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7BF852">
      <w:pPr>
        <w:ind w:left="599" w:leftChars="-202" w:right="-521" w:rightChars="-248" w:hanging="1023" w:hangingChars="142"/>
        <w:jc w:val="center"/>
        <w:outlineLvl w:val="0"/>
        <w:rPr>
          <w:rFonts w:hint="eastAsia" w:ascii="微软雅黑" w:hAnsi="微软雅黑" w:cs="微软雅黑"/>
          <w:b/>
          <w:bCs/>
          <w:color w:val="auto"/>
          <w:sz w:val="72"/>
          <w:szCs w:val="72"/>
          <w:highlight w:val="none"/>
        </w:rPr>
      </w:pPr>
      <w:bookmarkStart w:id="0" w:name="_Toc11060"/>
      <w:bookmarkStart w:id="1" w:name="_Toc24825"/>
      <w:bookmarkStart w:id="2" w:name="_Toc16414"/>
      <w:bookmarkStart w:id="3" w:name="_Toc12262"/>
      <w:r>
        <w:rPr>
          <w:rFonts w:hint="eastAsia" w:ascii="微软雅黑" w:hAnsi="微软雅黑" w:cs="微软雅黑"/>
          <w:b/>
          <w:bCs/>
          <w:color w:val="auto"/>
          <w:sz w:val="72"/>
          <w:szCs w:val="72"/>
          <w:highlight w:val="none"/>
        </w:rPr>
        <w:t>政府采购电子交易项目</w:t>
      </w:r>
      <w:bookmarkEnd w:id="0"/>
      <w:bookmarkEnd w:id="1"/>
      <w:bookmarkEnd w:id="2"/>
      <w:bookmarkEnd w:id="3"/>
    </w:p>
    <w:p w14:paraId="6752541E">
      <w:pPr>
        <w:pStyle w:val="275"/>
        <w:jc w:val="center"/>
        <w:rPr>
          <w:rFonts w:hint="eastAsia" w:ascii="方正粗黑宋简体" w:hAnsi="方正粗黑宋简体" w:eastAsia="方正粗黑宋简体"/>
          <w:color w:val="auto"/>
          <w:sz w:val="72"/>
          <w:szCs w:val="72"/>
          <w:highlight w:val="none"/>
        </w:rPr>
      </w:pPr>
      <w:r>
        <w:rPr>
          <w:rFonts w:hint="eastAsia" w:ascii="方正粗黑宋简体" w:hAnsi="方正粗黑宋简体" w:eastAsia="方正粗黑宋简体"/>
          <w:color w:val="auto"/>
          <w:sz w:val="72"/>
          <w:szCs w:val="72"/>
          <w:highlight w:val="none"/>
        </w:rPr>
        <w:t>采购采购</w:t>
      </w:r>
    </w:p>
    <w:p w14:paraId="1D7398E0">
      <w:pPr>
        <w:pStyle w:val="275"/>
        <w:jc w:val="center"/>
        <w:rPr>
          <w:rFonts w:hint="eastAsia" w:ascii="方正粗黑宋简体" w:hAnsi="方正粗黑宋简体" w:eastAsia="方正粗黑宋简体"/>
          <w:color w:val="auto"/>
          <w:sz w:val="52"/>
          <w:szCs w:val="52"/>
          <w:highlight w:val="none"/>
        </w:rPr>
      </w:pPr>
    </w:p>
    <w:p w14:paraId="78A61A62">
      <w:pPr>
        <w:ind w:left="120" w:leftChars="-337" w:right="-804" w:rightChars="-383" w:hanging="828" w:hangingChars="230"/>
        <w:jc w:val="center"/>
        <w:rPr>
          <w:rFonts w:hint="eastAsia" w:ascii="微软雅黑" w:hAnsi="微软雅黑"/>
          <w:b/>
          <w:bCs/>
          <w:color w:val="auto"/>
          <w:sz w:val="36"/>
          <w:szCs w:val="36"/>
          <w:highlight w:val="none"/>
        </w:rPr>
      </w:pPr>
      <w:r>
        <w:rPr>
          <w:rFonts w:ascii="微软雅黑" w:hAnsi="微软雅黑"/>
          <w:b/>
          <w:bCs/>
          <w:color w:val="auto"/>
          <w:sz w:val="36"/>
          <w:szCs w:val="36"/>
          <w:highlight w:val="none"/>
        </w:rPr>
        <w:drawing>
          <wp:inline distT="0" distB="0" distL="0" distR="0">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35"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448663F6">
      <w:pPr>
        <w:pStyle w:val="29"/>
        <w:pBdr>
          <w:bottom w:val="thinThickThinMediumGap" w:color="auto" w:sz="18" w:space="1"/>
        </w:pBdr>
        <w:ind w:firstLine="532"/>
        <w:jc w:val="distribute"/>
        <w:rPr>
          <w:rFonts w:hint="eastAsia" w:ascii="微软雅黑" w:hAnsi="微软雅黑"/>
          <w:b/>
          <w:bCs/>
          <w:color w:val="auto"/>
          <w:w w:val="95"/>
          <w:sz w:val="28"/>
          <w:szCs w:val="28"/>
          <w:highlight w:val="none"/>
        </w:rPr>
      </w:pPr>
    </w:p>
    <w:p w14:paraId="686C2D8D">
      <w:pPr>
        <w:pStyle w:val="29"/>
        <w:pBdr>
          <w:bottom w:val="thinThickThinMediumGap" w:color="auto" w:sz="18" w:space="1"/>
        </w:pBdr>
        <w:ind w:firstLine="0" w:firstLineChars="0"/>
        <w:jc w:val="distribute"/>
        <w:outlineLvl w:val="0"/>
        <w:rPr>
          <w:rFonts w:hint="eastAsia" w:ascii="微软雅黑" w:hAnsi="微软雅黑"/>
          <w:b/>
          <w:bCs/>
          <w:color w:val="auto"/>
          <w:w w:val="95"/>
          <w:sz w:val="28"/>
          <w:szCs w:val="28"/>
          <w:highlight w:val="none"/>
        </w:rPr>
      </w:pPr>
      <w:bookmarkStart w:id="4" w:name="_Toc31634"/>
      <w:bookmarkStart w:id="5" w:name="_Toc32224"/>
      <w:bookmarkStart w:id="6" w:name="_Toc23187"/>
      <w:bookmarkStart w:id="7" w:name="_Toc18138"/>
      <w:r>
        <w:rPr>
          <w:rFonts w:hint="eastAsia" w:ascii="微软雅黑" w:hAnsi="微软雅黑"/>
          <w:b/>
          <w:bCs/>
          <w:color w:val="auto"/>
          <w:w w:val="95"/>
          <w:sz w:val="28"/>
          <w:szCs w:val="28"/>
          <w:highlight w:val="none"/>
        </w:rPr>
        <w:t>嘉兴市千秋工程咨询有限公司</w:t>
      </w:r>
      <w:bookmarkEnd w:id="4"/>
      <w:bookmarkEnd w:id="5"/>
      <w:bookmarkEnd w:id="6"/>
      <w:bookmarkEnd w:id="7"/>
    </w:p>
    <w:p w14:paraId="64C616B5">
      <w:pPr>
        <w:pStyle w:val="29"/>
        <w:pBdr>
          <w:bottom w:val="thinThickThinMediumGap" w:color="auto" w:sz="18" w:space="1"/>
        </w:pBdr>
        <w:ind w:firstLine="0" w:firstLineChars="0"/>
        <w:jc w:val="distribute"/>
        <w:rPr>
          <w:rFonts w:hint="eastAsia" w:ascii="微软雅黑" w:hAnsi="微软雅黑"/>
          <w:b/>
          <w:bCs/>
          <w:color w:val="auto"/>
          <w:w w:val="95"/>
          <w:sz w:val="28"/>
          <w:szCs w:val="28"/>
          <w:highlight w:val="none"/>
        </w:rPr>
      </w:pPr>
      <w:r>
        <w:rPr>
          <w:rFonts w:hint="eastAsia" w:ascii="微软雅黑" w:hAnsi="微软雅黑"/>
          <w:b/>
          <w:bCs/>
          <w:color w:val="auto"/>
          <w:w w:val="95"/>
          <w:sz w:val="28"/>
          <w:szCs w:val="28"/>
          <w:highlight w:val="none"/>
        </w:rPr>
        <w:t>Jiaxing Qianqiu Engineering Consulting Co., Ltd</w:t>
      </w:r>
    </w:p>
    <w:p w14:paraId="16A3FE25">
      <w:pPr>
        <w:pStyle w:val="29"/>
        <w:ind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项目名称：秀洲区洪合镇圩区标准化创建及运维项目</w:t>
      </w:r>
    </w:p>
    <w:p w14:paraId="5E7B9797">
      <w:pPr>
        <w:pStyle w:val="29"/>
        <w:ind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招标编号：千秋-JXQQGK（2024）第69号</w:t>
      </w:r>
    </w:p>
    <w:p w14:paraId="436C384E">
      <w:pPr>
        <w:pStyle w:val="29"/>
        <w:ind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采 购 人：嘉兴市秀洲区洪合镇人民政府</w:t>
      </w:r>
    </w:p>
    <w:p w14:paraId="714180F2">
      <w:pPr>
        <w:pStyle w:val="29"/>
        <w:ind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代理机构：嘉兴市千秋工程咨询有限公司</w:t>
      </w:r>
    </w:p>
    <w:p w14:paraId="1AA0F7EC">
      <w:pPr>
        <w:pStyle w:val="29"/>
        <w:ind w:firstLine="0" w:firstLineChars="0"/>
        <w:rPr>
          <w:rFonts w:hint="eastAsia" w:ascii="微软雅黑" w:hAnsi="微软雅黑"/>
          <w:b/>
          <w:color w:val="auto"/>
          <w:sz w:val="28"/>
          <w:szCs w:val="28"/>
          <w:highlight w:val="none"/>
        </w:rPr>
      </w:pPr>
      <w:bookmarkStart w:id="8" w:name="_Toc50012812"/>
      <w:r>
        <w:rPr>
          <w:rFonts w:hint="eastAsia" w:ascii="微软雅黑" w:hAnsi="微软雅黑"/>
          <w:bCs/>
          <w:color w:val="auto"/>
          <w:w w:val="95"/>
          <w:sz w:val="28"/>
          <w:szCs w:val="28"/>
          <w:highlight w:val="none"/>
        </w:rPr>
        <w:t>日    期：2024年</w:t>
      </w:r>
      <w:r>
        <w:rPr>
          <w:rFonts w:hint="eastAsia" w:ascii="微软雅黑" w:hAnsi="微软雅黑"/>
          <w:bCs/>
          <w:color w:val="auto"/>
          <w:w w:val="95"/>
          <w:sz w:val="28"/>
          <w:szCs w:val="28"/>
          <w:highlight w:val="none"/>
          <w:lang w:val="en-US" w:eastAsia="zh-CN"/>
        </w:rPr>
        <w:t>11</w:t>
      </w:r>
      <w:r>
        <w:rPr>
          <w:rFonts w:hint="eastAsia" w:ascii="微软雅黑" w:hAnsi="微软雅黑"/>
          <w:bCs/>
          <w:color w:val="auto"/>
          <w:w w:val="95"/>
          <w:sz w:val="28"/>
          <w:szCs w:val="28"/>
          <w:highlight w:val="none"/>
        </w:rPr>
        <w:t>月</w:t>
      </w:r>
      <w:r>
        <w:rPr>
          <w:rFonts w:hint="eastAsia" w:ascii="微软雅黑" w:hAnsi="微软雅黑"/>
          <w:bCs/>
          <w:color w:val="auto"/>
          <w:w w:val="95"/>
          <w:sz w:val="28"/>
          <w:szCs w:val="28"/>
          <w:highlight w:val="none"/>
          <w:lang w:val="en-US" w:eastAsia="zh-CN"/>
        </w:rPr>
        <w:t>05</w:t>
      </w:r>
      <w:r>
        <w:rPr>
          <w:rFonts w:hint="eastAsia" w:ascii="微软雅黑" w:hAnsi="微软雅黑"/>
          <w:bCs/>
          <w:color w:val="auto"/>
          <w:w w:val="95"/>
          <w:sz w:val="28"/>
          <w:szCs w:val="28"/>
          <w:highlight w:val="none"/>
        </w:rPr>
        <w:t>日</w:t>
      </w:r>
      <w:bookmarkEnd w:id="8"/>
    </w:p>
    <w:p w14:paraId="29F348BE">
      <w:pPr>
        <w:pStyle w:val="126"/>
        <w:keepNext w:val="0"/>
        <w:keepLines w:val="0"/>
        <w:widowControl w:val="0"/>
        <w:spacing w:before="0" w:line="360" w:lineRule="auto"/>
        <w:rPr>
          <w:rFonts w:hint="eastAsia" w:ascii="微软雅黑" w:hAnsi="微软雅黑"/>
          <w:color w:val="auto"/>
          <w:highlight w:val="none"/>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74" w:right="1797" w:bottom="1247" w:left="1797" w:header="851" w:footer="851" w:gutter="0"/>
          <w:cols w:space="720" w:num="1"/>
          <w:docGrid w:linePitch="312" w:charSpace="0"/>
        </w:sectPr>
      </w:pPr>
    </w:p>
    <w:p w14:paraId="7B192593">
      <w:pPr>
        <w:pStyle w:val="297"/>
        <w:keepNext w:val="0"/>
        <w:keepLines w:val="0"/>
        <w:widowControl w:val="0"/>
        <w:rPr>
          <w:rFonts w:hint="eastAsia"/>
          <w:color w:val="auto"/>
          <w:sz w:val="40"/>
          <w:szCs w:val="40"/>
          <w:highlight w:val="none"/>
        </w:rPr>
      </w:pPr>
    </w:p>
    <w:sdt>
      <w:sdtPr>
        <w:rPr>
          <w:rFonts w:hint="eastAsia" w:ascii="微软雅黑" w:hAnsi="微软雅黑" w:cs="微软雅黑"/>
          <w:color w:val="auto"/>
          <w:sz w:val="24"/>
          <w:highlight w:val="none"/>
        </w:rPr>
        <w:id w:val="147478461"/>
        <w15:color w:val="DBDBDB"/>
        <w:docPartObj>
          <w:docPartGallery w:val="Table of Contents"/>
          <w:docPartUnique/>
        </w:docPartObj>
      </w:sdtPr>
      <w:sdtEndPr>
        <w:rPr>
          <w:rFonts w:hint="eastAsia" w:ascii="宋体" w:hAnsi="宋体" w:eastAsia="宋体" w:cs="微软雅黑"/>
          <w:b/>
          <w:color w:val="auto"/>
          <w:sz w:val="40"/>
          <w:szCs w:val="40"/>
          <w:highlight w:val="none"/>
        </w:rPr>
      </w:sdtEndPr>
      <w:sdtContent>
        <w:p w14:paraId="2E1062BE">
          <w:pPr>
            <w:spacing w:line="800" w:lineRule="exact"/>
            <w:ind w:firstLine="0" w:firstLineChars="0"/>
            <w:jc w:val="center"/>
            <w:rPr>
              <w:rFonts w:hint="eastAsia" w:ascii="微软雅黑" w:hAnsi="微软雅黑" w:cs="微软雅黑"/>
              <w:color w:val="auto"/>
              <w:sz w:val="24"/>
              <w:highlight w:val="none"/>
            </w:rPr>
          </w:pPr>
          <w:r>
            <w:rPr>
              <w:rFonts w:hint="eastAsia" w:ascii="微软雅黑" w:hAnsi="微软雅黑" w:cs="微软雅黑"/>
              <w:color w:val="auto"/>
              <w:sz w:val="24"/>
              <w:highlight w:val="none"/>
            </w:rPr>
            <w:t>目录</w:t>
          </w:r>
          <w:r>
            <w:rPr>
              <w:rFonts w:hint="eastAsia" w:ascii="微软雅黑" w:hAnsi="微软雅黑" w:cs="微软雅黑"/>
              <w:color w:val="auto"/>
              <w:sz w:val="24"/>
              <w:highlight w:val="none"/>
            </w:rPr>
            <w:fldChar w:fldCharType="begin"/>
          </w:r>
          <w:r>
            <w:rPr>
              <w:rFonts w:hint="eastAsia" w:ascii="微软雅黑" w:hAnsi="微软雅黑" w:cs="微软雅黑"/>
              <w:color w:val="auto"/>
              <w:sz w:val="24"/>
              <w:highlight w:val="none"/>
            </w:rPr>
            <w:instrText xml:space="preserve">TOC \o "1-2" \h \u </w:instrText>
          </w:r>
          <w:r>
            <w:rPr>
              <w:rFonts w:hint="eastAsia" w:ascii="微软雅黑" w:hAnsi="微软雅黑" w:cs="微软雅黑"/>
              <w:color w:val="auto"/>
              <w:sz w:val="24"/>
              <w:highlight w:val="none"/>
            </w:rPr>
            <w:fldChar w:fldCharType="separate"/>
          </w:r>
        </w:p>
        <w:p w14:paraId="66802968">
          <w:pPr>
            <w:pStyle w:val="37"/>
            <w:tabs>
              <w:tab w:val="right" w:leader="dot" w:pos="8312"/>
              <w:tab w:val="clear" w:pos="9060"/>
            </w:tabs>
            <w:spacing w:before="0" w:after="0" w:line="800" w:lineRule="exact"/>
            <w:ind w:firstLine="720"/>
            <w:rPr>
              <w:rFonts w:hint="eastAsia" w:ascii="微软雅黑" w:hAnsi="微软雅黑" w:eastAsia="微软雅黑" w:cs="微软雅黑"/>
              <w:color w:val="auto"/>
              <w:sz w:val="24"/>
              <w:szCs w:val="24"/>
              <w:highlight w:val="none"/>
            </w:rPr>
          </w:pPr>
          <w:r>
            <w:rPr>
              <w:color w:val="auto"/>
              <w:highlight w:val="none"/>
            </w:rPr>
            <w:fldChar w:fldCharType="begin"/>
          </w:r>
          <w:r>
            <w:rPr>
              <w:color w:val="auto"/>
              <w:highlight w:val="none"/>
            </w:rPr>
            <w:instrText xml:space="preserve"> HYPERLINK \l "_Toc20136" </w:instrText>
          </w:r>
          <w:r>
            <w:rPr>
              <w:color w:val="auto"/>
              <w:highlight w:val="none"/>
            </w:rPr>
            <w:fldChar w:fldCharType="separate"/>
          </w:r>
          <w:r>
            <w:rPr>
              <w:rFonts w:hint="eastAsia" w:ascii="微软雅黑" w:hAnsi="微软雅黑" w:eastAsia="微软雅黑" w:cs="微软雅黑"/>
              <w:color w:val="auto"/>
              <w:sz w:val="24"/>
              <w:szCs w:val="24"/>
              <w:highlight w:val="none"/>
            </w:rPr>
            <w:t>第一章 公开招标采购公告</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PAGEREF _Toc20136 \h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 w:val="24"/>
              <w:szCs w:val="24"/>
              <w:highlight w:val="none"/>
            </w:rPr>
            <w:t>3</w:t>
          </w:r>
          <w:r>
            <w:rPr>
              <w:rFonts w:hint="eastAsia" w:ascii="微软雅黑" w:hAnsi="微软雅黑" w:eastAsia="微软雅黑" w:cs="微软雅黑"/>
              <w:color w:val="auto"/>
              <w:sz w:val="24"/>
              <w:szCs w:val="24"/>
              <w:highlight w:val="none"/>
            </w:rPr>
            <w:fldChar w:fldCharType="end"/>
          </w:r>
          <w:r>
            <w:rPr>
              <w:rFonts w:hint="eastAsia" w:ascii="微软雅黑" w:hAnsi="微软雅黑" w:eastAsia="微软雅黑" w:cs="微软雅黑"/>
              <w:color w:val="auto"/>
              <w:sz w:val="24"/>
              <w:szCs w:val="24"/>
              <w:highlight w:val="none"/>
            </w:rPr>
            <w:fldChar w:fldCharType="end"/>
          </w:r>
        </w:p>
        <w:p w14:paraId="522A15EC">
          <w:pPr>
            <w:pStyle w:val="37"/>
            <w:tabs>
              <w:tab w:val="right" w:leader="dot" w:pos="8312"/>
              <w:tab w:val="clear" w:pos="9060"/>
            </w:tabs>
            <w:spacing w:before="0" w:after="0" w:line="800" w:lineRule="exact"/>
            <w:ind w:firstLine="720"/>
            <w:rPr>
              <w:rFonts w:hint="eastAsia" w:ascii="微软雅黑" w:hAnsi="微软雅黑" w:eastAsia="微软雅黑" w:cs="微软雅黑"/>
              <w:color w:val="auto"/>
              <w:sz w:val="24"/>
              <w:szCs w:val="24"/>
              <w:highlight w:val="none"/>
            </w:rPr>
          </w:pPr>
          <w:r>
            <w:rPr>
              <w:color w:val="auto"/>
              <w:highlight w:val="none"/>
            </w:rPr>
            <w:fldChar w:fldCharType="begin"/>
          </w:r>
          <w:r>
            <w:rPr>
              <w:color w:val="auto"/>
              <w:highlight w:val="none"/>
            </w:rPr>
            <w:instrText xml:space="preserve"> HYPERLINK \l "_Toc15662" </w:instrText>
          </w:r>
          <w:r>
            <w:rPr>
              <w:color w:val="auto"/>
              <w:highlight w:val="none"/>
            </w:rPr>
            <w:fldChar w:fldCharType="separate"/>
          </w:r>
          <w:r>
            <w:rPr>
              <w:rFonts w:hint="eastAsia" w:ascii="微软雅黑" w:hAnsi="微软雅黑" w:eastAsia="微软雅黑" w:cs="微软雅黑"/>
              <w:color w:val="auto"/>
              <w:sz w:val="24"/>
              <w:szCs w:val="24"/>
              <w:highlight w:val="none"/>
            </w:rPr>
            <w:t>第二章 招标项目要求</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PAGEREF _Toc15662 \h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 w:val="24"/>
              <w:szCs w:val="24"/>
              <w:highlight w:val="none"/>
            </w:rPr>
            <w:t>8</w:t>
          </w:r>
          <w:r>
            <w:rPr>
              <w:rFonts w:hint="eastAsia" w:ascii="微软雅黑" w:hAnsi="微软雅黑" w:eastAsia="微软雅黑" w:cs="微软雅黑"/>
              <w:color w:val="auto"/>
              <w:sz w:val="24"/>
              <w:szCs w:val="24"/>
              <w:highlight w:val="none"/>
            </w:rPr>
            <w:fldChar w:fldCharType="end"/>
          </w:r>
          <w:r>
            <w:rPr>
              <w:rFonts w:hint="eastAsia" w:ascii="微软雅黑" w:hAnsi="微软雅黑" w:eastAsia="微软雅黑" w:cs="微软雅黑"/>
              <w:color w:val="auto"/>
              <w:sz w:val="24"/>
              <w:szCs w:val="24"/>
              <w:highlight w:val="none"/>
            </w:rPr>
            <w:fldChar w:fldCharType="end"/>
          </w:r>
        </w:p>
        <w:p w14:paraId="50665BDD">
          <w:pPr>
            <w:pStyle w:val="37"/>
            <w:tabs>
              <w:tab w:val="right" w:leader="dot" w:pos="8312"/>
              <w:tab w:val="clear" w:pos="9060"/>
            </w:tabs>
            <w:spacing w:before="0" w:after="0" w:line="800" w:lineRule="exact"/>
            <w:ind w:firstLine="720"/>
            <w:rPr>
              <w:rFonts w:hint="eastAsia" w:ascii="微软雅黑" w:hAnsi="微软雅黑" w:eastAsia="微软雅黑" w:cs="微软雅黑"/>
              <w:color w:val="auto"/>
              <w:sz w:val="24"/>
              <w:szCs w:val="24"/>
              <w:highlight w:val="none"/>
            </w:rPr>
          </w:pPr>
          <w:r>
            <w:rPr>
              <w:color w:val="auto"/>
              <w:highlight w:val="none"/>
            </w:rPr>
            <w:fldChar w:fldCharType="begin"/>
          </w:r>
          <w:r>
            <w:rPr>
              <w:color w:val="auto"/>
              <w:highlight w:val="none"/>
            </w:rPr>
            <w:instrText xml:space="preserve"> HYPERLINK \l "_Toc20332" </w:instrText>
          </w:r>
          <w:r>
            <w:rPr>
              <w:color w:val="auto"/>
              <w:highlight w:val="none"/>
            </w:rPr>
            <w:fldChar w:fldCharType="separate"/>
          </w:r>
          <w:r>
            <w:rPr>
              <w:rFonts w:hint="eastAsia" w:ascii="微软雅黑" w:hAnsi="微软雅黑" w:eastAsia="微软雅黑" w:cs="微软雅黑"/>
              <w:color w:val="auto"/>
              <w:sz w:val="24"/>
              <w:szCs w:val="24"/>
              <w:highlight w:val="none"/>
            </w:rPr>
            <w:t>第三章 投标人须知</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PAGEREF _Toc20332 \h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 w:val="24"/>
              <w:szCs w:val="24"/>
              <w:highlight w:val="none"/>
            </w:rPr>
            <w:t>13</w:t>
          </w:r>
          <w:r>
            <w:rPr>
              <w:rFonts w:hint="eastAsia" w:ascii="微软雅黑" w:hAnsi="微软雅黑" w:eastAsia="微软雅黑" w:cs="微软雅黑"/>
              <w:color w:val="auto"/>
              <w:sz w:val="24"/>
              <w:szCs w:val="24"/>
              <w:highlight w:val="none"/>
            </w:rPr>
            <w:fldChar w:fldCharType="end"/>
          </w:r>
          <w:r>
            <w:rPr>
              <w:rFonts w:hint="eastAsia" w:ascii="微软雅黑" w:hAnsi="微软雅黑" w:eastAsia="微软雅黑" w:cs="微软雅黑"/>
              <w:color w:val="auto"/>
              <w:sz w:val="24"/>
              <w:szCs w:val="24"/>
              <w:highlight w:val="none"/>
            </w:rPr>
            <w:fldChar w:fldCharType="end"/>
          </w:r>
        </w:p>
        <w:p w14:paraId="6C95B092">
          <w:pPr>
            <w:pStyle w:val="37"/>
            <w:tabs>
              <w:tab w:val="right" w:leader="dot" w:pos="8312"/>
              <w:tab w:val="clear" w:pos="9060"/>
            </w:tabs>
            <w:spacing w:before="0" w:after="0" w:line="800" w:lineRule="exact"/>
            <w:ind w:firstLine="720"/>
            <w:rPr>
              <w:rFonts w:hint="eastAsia" w:ascii="微软雅黑" w:hAnsi="微软雅黑" w:eastAsia="微软雅黑" w:cs="微软雅黑"/>
              <w:color w:val="auto"/>
              <w:sz w:val="24"/>
              <w:szCs w:val="24"/>
              <w:highlight w:val="none"/>
            </w:rPr>
          </w:pPr>
          <w:r>
            <w:rPr>
              <w:color w:val="auto"/>
              <w:highlight w:val="none"/>
            </w:rPr>
            <w:fldChar w:fldCharType="begin"/>
          </w:r>
          <w:r>
            <w:rPr>
              <w:color w:val="auto"/>
              <w:highlight w:val="none"/>
            </w:rPr>
            <w:instrText xml:space="preserve"> HYPERLINK \l "_Toc5625" </w:instrText>
          </w:r>
          <w:r>
            <w:rPr>
              <w:color w:val="auto"/>
              <w:highlight w:val="none"/>
            </w:rPr>
            <w:fldChar w:fldCharType="separate"/>
          </w:r>
          <w:r>
            <w:rPr>
              <w:rFonts w:hint="eastAsia" w:ascii="微软雅黑" w:hAnsi="微软雅黑" w:eastAsia="微软雅黑" w:cs="微软雅黑"/>
              <w:color w:val="auto"/>
              <w:sz w:val="24"/>
              <w:szCs w:val="24"/>
              <w:highlight w:val="none"/>
            </w:rPr>
            <w:t>第四章 评标办法及评分标准</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PAGEREF _Toc5625 \h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 w:val="24"/>
              <w:szCs w:val="24"/>
              <w:highlight w:val="none"/>
            </w:rPr>
            <w:t>29</w:t>
          </w:r>
          <w:r>
            <w:rPr>
              <w:rFonts w:hint="eastAsia" w:ascii="微软雅黑" w:hAnsi="微软雅黑" w:eastAsia="微软雅黑" w:cs="微软雅黑"/>
              <w:color w:val="auto"/>
              <w:sz w:val="24"/>
              <w:szCs w:val="24"/>
              <w:highlight w:val="none"/>
            </w:rPr>
            <w:fldChar w:fldCharType="end"/>
          </w:r>
          <w:r>
            <w:rPr>
              <w:rFonts w:hint="eastAsia" w:ascii="微软雅黑" w:hAnsi="微软雅黑" w:eastAsia="微软雅黑" w:cs="微软雅黑"/>
              <w:color w:val="auto"/>
              <w:sz w:val="24"/>
              <w:szCs w:val="24"/>
              <w:highlight w:val="none"/>
            </w:rPr>
            <w:fldChar w:fldCharType="end"/>
          </w:r>
        </w:p>
        <w:p w14:paraId="24C4014A">
          <w:pPr>
            <w:pStyle w:val="37"/>
            <w:tabs>
              <w:tab w:val="right" w:leader="dot" w:pos="8312"/>
              <w:tab w:val="clear" w:pos="9060"/>
            </w:tabs>
            <w:spacing w:before="0" w:after="0" w:line="800" w:lineRule="exact"/>
            <w:ind w:firstLine="720"/>
            <w:rPr>
              <w:rFonts w:hint="eastAsia" w:ascii="微软雅黑" w:hAnsi="微软雅黑" w:eastAsia="微软雅黑" w:cs="微软雅黑"/>
              <w:color w:val="auto"/>
              <w:sz w:val="24"/>
              <w:szCs w:val="24"/>
              <w:highlight w:val="none"/>
            </w:rPr>
          </w:pPr>
          <w:r>
            <w:rPr>
              <w:color w:val="auto"/>
              <w:highlight w:val="none"/>
            </w:rPr>
            <w:fldChar w:fldCharType="begin"/>
          </w:r>
          <w:r>
            <w:rPr>
              <w:color w:val="auto"/>
              <w:highlight w:val="none"/>
            </w:rPr>
            <w:instrText xml:space="preserve"> HYPERLINK \l "_Toc25258" </w:instrText>
          </w:r>
          <w:r>
            <w:rPr>
              <w:color w:val="auto"/>
              <w:highlight w:val="none"/>
            </w:rPr>
            <w:fldChar w:fldCharType="separate"/>
          </w:r>
          <w:r>
            <w:rPr>
              <w:rFonts w:hint="eastAsia" w:ascii="微软雅黑" w:hAnsi="微软雅黑" w:eastAsia="微软雅黑" w:cs="微软雅黑"/>
              <w:color w:val="auto"/>
              <w:sz w:val="24"/>
              <w:szCs w:val="24"/>
              <w:highlight w:val="none"/>
            </w:rPr>
            <w:t>第五章 采购合同（指引）</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PAGEREF _Toc25258 \h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 w:val="24"/>
              <w:szCs w:val="24"/>
              <w:highlight w:val="none"/>
            </w:rPr>
            <w:t>32</w:t>
          </w:r>
          <w:r>
            <w:rPr>
              <w:rFonts w:hint="eastAsia" w:ascii="微软雅黑" w:hAnsi="微软雅黑" w:eastAsia="微软雅黑" w:cs="微软雅黑"/>
              <w:color w:val="auto"/>
              <w:sz w:val="24"/>
              <w:szCs w:val="24"/>
              <w:highlight w:val="none"/>
            </w:rPr>
            <w:fldChar w:fldCharType="end"/>
          </w:r>
          <w:r>
            <w:rPr>
              <w:rFonts w:hint="eastAsia" w:ascii="微软雅黑" w:hAnsi="微软雅黑" w:eastAsia="微软雅黑" w:cs="微软雅黑"/>
              <w:color w:val="auto"/>
              <w:sz w:val="24"/>
              <w:szCs w:val="24"/>
              <w:highlight w:val="none"/>
            </w:rPr>
            <w:fldChar w:fldCharType="end"/>
          </w:r>
        </w:p>
        <w:p w14:paraId="391FF4F0">
          <w:pPr>
            <w:pStyle w:val="37"/>
            <w:tabs>
              <w:tab w:val="right" w:leader="dot" w:pos="8312"/>
              <w:tab w:val="clear" w:pos="9060"/>
            </w:tabs>
            <w:spacing w:before="0" w:after="0" w:line="800" w:lineRule="exact"/>
            <w:ind w:firstLine="720"/>
            <w:rPr>
              <w:rFonts w:hint="eastAsia" w:ascii="微软雅黑" w:hAnsi="微软雅黑" w:eastAsia="微软雅黑" w:cs="微软雅黑"/>
              <w:color w:val="auto"/>
              <w:sz w:val="24"/>
              <w:szCs w:val="24"/>
              <w:highlight w:val="none"/>
            </w:rPr>
          </w:pPr>
          <w:r>
            <w:rPr>
              <w:color w:val="auto"/>
              <w:highlight w:val="none"/>
            </w:rPr>
            <w:fldChar w:fldCharType="begin"/>
          </w:r>
          <w:r>
            <w:rPr>
              <w:color w:val="auto"/>
              <w:highlight w:val="none"/>
            </w:rPr>
            <w:instrText xml:space="preserve"> HYPERLINK \l "_Toc177" </w:instrText>
          </w:r>
          <w:r>
            <w:rPr>
              <w:color w:val="auto"/>
              <w:highlight w:val="none"/>
            </w:rPr>
            <w:fldChar w:fldCharType="separate"/>
          </w:r>
          <w:r>
            <w:rPr>
              <w:rFonts w:hint="eastAsia" w:ascii="微软雅黑" w:hAnsi="微软雅黑" w:eastAsia="微软雅黑" w:cs="微软雅黑"/>
              <w:color w:val="auto"/>
              <w:sz w:val="24"/>
              <w:szCs w:val="24"/>
              <w:highlight w:val="none"/>
            </w:rPr>
            <w:t>第六章 投标文件相关格式</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PAGEREF _Toc177 \h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 w:val="24"/>
              <w:szCs w:val="24"/>
              <w:highlight w:val="none"/>
            </w:rPr>
            <w:t>37</w:t>
          </w:r>
          <w:r>
            <w:rPr>
              <w:rFonts w:hint="eastAsia" w:ascii="微软雅黑" w:hAnsi="微软雅黑" w:eastAsia="微软雅黑" w:cs="微软雅黑"/>
              <w:color w:val="auto"/>
              <w:sz w:val="24"/>
              <w:szCs w:val="24"/>
              <w:highlight w:val="none"/>
            </w:rPr>
            <w:fldChar w:fldCharType="end"/>
          </w:r>
          <w:r>
            <w:rPr>
              <w:rFonts w:hint="eastAsia" w:ascii="微软雅黑" w:hAnsi="微软雅黑" w:eastAsia="微软雅黑" w:cs="微软雅黑"/>
              <w:color w:val="auto"/>
              <w:sz w:val="24"/>
              <w:szCs w:val="24"/>
              <w:highlight w:val="none"/>
            </w:rPr>
            <w:fldChar w:fldCharType="end"/>
          </w:r>
        </w:p>
        <w:p w14:paraId="67C837C0">
          <w:pPr>
            <w:pStyle w:val="37"/>
            <w:tabs>
              <w:tab w:val="right" w:leader="dot" w:pos="8312"/>
              <w:tab w:val="clear" w:pos="9060"/>
            </w:tabs>
            <w:spacing w:before="0" w:after="0" w:line="800" w:lineRule="exact"/>
            <w:rPr>
              <w:rFonts w:hint="eastAsia" w:ascii="微软雅黑" w:hAnsi="微软雅黑" w:eastAsia="微软雅黑" w:cs="微软雅黑"/>
              <w:color w:val="auto"/>
              <w:sz w:val="24"/>
              <w:szCs w:val="24"/>
              <w:highlight w:val="none"/>
            </w:rPr>
          </w:pPr>
        </w:p>
        <w:p w14:paraId="4F570CDD">
          <w:pPr>
            <w:spacing w:line="800" w:lineRule="exact"/>
            <w:rPr>
              <w:color w:val="auto"/>
              <w:highlight w:val="none"/>
            </w:rPr>
          </w:pPr>
          <w:r>
            <w:rPr>
              <w:rFonts w:hint="eastAsia" w:ascii="微软雅黑" w:hAnsi="微软雅黑" w:cs="微软雅黑"/>
              <w:color w:val="auto"/>
              <w:sz w:val="24"/>
              <w:highlight w:val="none"/>
            </w:rPr>
            <w:fldChar w:fldCharType="end"/>
          </w:r>
        </w:p>
      </w:sdtContent>
    </w:sdt>
    <w:p w14:paraId="62C234FE">
      <w:pPr>
        <w:pStyle w:val="2"/>
        <w:keepNext w:val="0"/>
        <w:keepLines w:val="0"/>
        <w:numPr>
          <w:ilvl w:val="0"/>
          <w:numId w:val="3"/>
        </w:numPr>
        <w:rPr>
          <w:rStyle w:val="64"/>
          <w:b/>
          <w:bCs/>
          <w:color w:val="auto"/>
          <w:highlight w:val="none"/>
        </w:rPr>
        <w:sectPr>
          <w:headerReference r:id="rId13" w:type="first"/>
          <w:headerReference r:id="rId11" w:type="default"/>
          <w:footerReference r:id="rId14" w:type="default"/>
          <w:headerReference r:id="rId12" w:type="even"/>
          <w:pgSz w:w="11906" w:h="16838"/>
          <w:pgMar w:top="1474" w:right="1797" w:bottom="1247" w:left="1797" w:header="851" w:footer="851" w:gutter="0"/>
          <w:cols w:space="720" w:num="1"/>
          <w:docGrid w:linePitch="312" w:charSpace="0"/>
        </w:sectPr>
      </w:pPr>
    </w:p>
    <w:p w14:paraId="4D84C6F3">
      <w:pPr>
        <w:pStyle w:val="2"/>
        <w:keepNext w:val="0"/>
        <w:keepLines w:val="0"/>
        <w:numPr>
          <w:ilvl w:val="0"/>
          <w:numId w:val="3"/>
        </w:numPr>
        <w:rPr>
          <w:rStyle w:val="64"/>
          <w:b/>
          <w:bCs/>
          <w:color w:val="auto"/>
          <w:highlight w:val="none"/>
        </w:rPr>
      </w:pPr>
      <w:bookmarkStart w:id="9" w:name="_Toc20136"/>
      <w:r>
        <w:rPr>
          <w:rStyle w:val="64"/>
          <w:rFonts w:hint="eastAsia"/>
          <w:b/>
          <w:bCs/>
          <w:color w:val="auto"/>
          <w:highlight w:val="none"/>
        </w:rPr>
        <w:t>公开招标采购公告</w:t>
      </w:r>
      <w:bookmarkEnd w:id="9"/>
    </w:p>
    <w:tbl>
      <w:tblPr>
        <w:tblStyle w:val="5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6095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602F93C8">
            <w:pPr>
              <w:pStyle w:val="48"/>
              <w:widowControl w:val="0"/>
              <w:spacing w:before="75" w:beforeAutospacing="0" w:after="75" w:afterAutospacing="0" w:line="276" w:lineRule="auto"/>
              <w:ind w:firstLine="0" w:firstLineChars="0"/>
              <w:jc w:val="both"/>
              <w:rPr>
                <w:rFonts w:hint="eastAsia" w:ascii="微软雅黑" w:hAnsi="微软雅黑" w:cs="Arial"/>
                <w:color w:val="auto"/>
                <w:sz w:val="21"/>
                <w:szCs w:val="21"/>
                <w:highlight w:val="none"/>
              </w:rPr>
            </w:pPr>
            <w:bookmarkStart w:id="10" w:name="_Toc493511541"/>
            <w:bookmarkStart w:id="11" w:name="_Toc177870534"/>
            <w:r>
              <w:rPr>
                <w:rFonts w:hint="eastAsia" w:ascii="微软雅黑" w:hAnsi="微软雅黑" w:cs="Arial"/>
                <w:color w:val="auto"/>
                <w:sz w:val="21"/>
                <w:szCs w:val="21"/>
                <w:highlight w:val="none"/>
              </w:rPr>
              <w:t>项目概况</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p>
          <w:p w14:paraId="11B2089E">
            <w:pPr>
              <w:pStyle w:val="48"/>
              <w:widowControl w:val="0"/>
              <w:spacing w:before="75" w:beforeAutospacing="0" w:after="75" w:afterAutospacing="0" w:line="276" w:lineRule="auto"/>
              <w:ind w:firstLine="420"/>
              <w:rPr>
                <w:rFonts w:hint="eastAsia" w:ascii="微软雅黑" w:hAnsi="微软雅黑" w:cs="Arial"/>
                <w:color w:val="auto"/>
                <w:sz w:val="21"/>
                <w:szCs w:val="21"/>
                <w:highlight w:val="none"/>
              </w:rPr>
            </w:pPr>
            <w:r>
              <w:rPr>
                <w:rFonts w:hint="eastAsia" w:ascii="微软雅黑" w:hAnsi="微软雅黑" w:cs="Arial"/>
                <w:color w:val="auto"/>
                <w:sz w:val="21"/>
                <w:szCs w:val="21"/>
                <w:highlight w:val="none"/>
              </w:rPr>
              <w:t>秀洲区洪合镇圩区标准化创建及运维项目的潜在投标人应在https://zfcg.czt.zj.gov.cn/获取（下载）招标文件，并于202</w:t>
            </w:r>
            <w:r>
              <w:rPr>
                <w:rFonts w:ascii="微软雅黑" w:hAnsi="微软雅黑" w:cs="Arial"/>
                <w:color w:val="auto"/>
                <w:sz w:val="21"/>
                <w:szCs w:val="21"/>
                <w:highlight w:val="none"/>
              </w:rPr>
              <w:t>4</w:t>
            </w:r>
            <w:r>
              <w:rPr>
                <w:rFonts w:hint="eastAsia" w:ascii="微软雅黑" w:hAnsi="微软雅黑" w:cs="Arial"/>
                <w:color w:val="auto"/>
                <w:sz w:val="21"/>
                <w:szCs w:val="21"/>
                <w:highlight w:val="none"/>
              </w:rPr>
              <w:t>年</w:t>
            </w:r>
            <w:r>
              <w:rPr>
                <w:rFonts w:hint="eastAsia" w:ascii="微软雅黑" w:hAnsi="微软雅黑" w:cs="Arial"/>
                <w:color w:val="auto"/>
                <w:sz w:val="21"/>
                <w:szCs w:val="21"/>
                <w:highlight w:val="none"/>
                <w:lang w:val="en-US" w:eastAsia="zh-CN"/>
              </w:rPr>
              <w:t>11</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25</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14</w:t>
            </w:r>
            <w:r>
              <w:rPr>
                <w:rFonts w:hint="eastAsia" w:ascii="微软雅黑" w:hAnsi="微软雅黑" w:cs="Arial"/>
                <w:color w:val="auto"/>
                <w:sz w:val="21"/>
                <w:szCs w:val="21"/>
                <w:highlight w:val="none"/>
              </w:rPr>
              <w:t>：</w:t>
            </w:r>
            <w:r>
              <w:rPr>
                <w:rFonts w:hint="eastAsia" w:ascii="微软雅黑" w:hAnsi="微软雅黑" w:cs="Arial"/>
                <w:color w:val="auto"/>
                <w:sz w:val="21"/>
                <w:szCs w:val="21"/>
                <w:highlight w:val="none"/>
                <w:lang w:val="en-US" w:eastAsia="zh-CN"/>
              </w:rPr>
              <w:t>00</w:t>
            </w:r>
            <w:r>
              <w:rPr>
                <w:rFonts w:hint="eastAsia" w:ascii="微软雅黑" w:hAnsi="微软雅黑" w:cs="Arial"/>
                <w:color w:val="auto"/>
                <w:sz w:val="21"/>
                <w:szCs w:val="21"/>
                <w:highlight w:val="none"/>
              </w:rPr>
              <w:t>（北京时间）前递交（上传）投标文件。</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Calibri"/>
                <w:color w:val="auto"/>
                <w:sz w:val="21"/>
                <w:szCs w:val="21"/>
                <w:highlight w:val="none"/>
              </w:rPr>
              <w:t> </w:t>
            </w:r>
          </w:p>
        </w:tc>
      </w:tr>
    </w:tbl>
    <w:p w14:paraId="77E7DDC9">
      <w:pPr>
        <w:spacing w:line="460" w:lineRule="exact"/>
        <w:ind w:firstLine="0" w:firstLineChars="0"/>
        <w:jc w:val="both"/>
        <w:rPr>
          <w:rFonts w:hint="eastAsia" w:ascii="微软雅黑" w:hAnsi="微软雅黑" w:cs="微软雅黑"/>
          <w:color w:val="auto"/>
          <w:kern w:val="0"/>
          <w:szCs w:val="21"/>
          <w:highlight w:val="none"/>
        </w:rPr>
      </w:pPr>
      <w:r>
        <w:rPr>
          <w:rFonts w:hint="eastAsia" w:ascii="微软雅黑" w:hAnsi="微软雅黑" w:cs="微软雅黑"/>
          <w:b/>
          <w:bCs/>
          <w:color w:val="auto"/>
          <w:kern w:val="0"/>
          <w:szCs w:val="21"/>
          <w:highlight w:val="none"/>
        </w:rPr>
        <w:t>一、项目基本情况</w:t>
      </w:r>
      <w:r>
        <w:rPr>
          <w:rFonts w:hint="eastAsia" w:ascii="微软雅黑" w:hAnsi="微软雅黑" w:cs="微软雅黑"/>
          <w:color w:val="auto"/>
          <w:kern w:val="0"/>
          <w:szCs w:val="21"/>
          <w:highlight w:val="none"/>
        </w:rPr>
        <w:t>               </w:t>
      </w:r>
    </w:p>
    <w:p w14:paraId="3FF9EAE5">
      <w:pPr>
        <w:spacing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采购计划编号：</w:t>
      </w:r>
      <w:r>
        <w:rPr>
          <w:rFonts w:ascii="微软雅黑" w:hAnsi="微软雅黑" w:eastAsia="微软雅黑" w:cs="微软雅黑"/>
          <w:i w:val="0"/>
          <w:iCs w:val="0"/>
          <w:caps w:val="0"/>
          <w:color w:val="auto"/>
          <w:spacing w:val="0"/>
          <w:sz w:val="21"/>
          <w:szCs w:val="21"/>
          <w:highlight w:val="none"/>
          <w:shd w:val="clear" w:fill="FFFFFF"/>
        </w:rPr>
        <w:t>临[2024]1786号</w:t>
      </w:r>
      <w:r>
        <w:rPr>
          <w:rFonts w:hint="eastAsia"/>
          <w:color w:val="auto"/>
          <w:highlight w:val="none"/>
        </w:rPr>
        <w:t xml:space="preserve"> </w:t>
      </w:r>
      <w:r>
        <w:rPr>
          <w:color w:val="auto"/>
          <w:highlight w:val="none"/>
        </w:rPr>
        <w:fldChar w:fldCharType="begin"/>
      </w:r>
      <w:r>
        <w:rPr>
          <w:color w:val="auto"/>
          <w:highlight w:val="none"/>
        </w:rPr>
        <w:instrText xml:space="preserve"> HYPERLINK "https://pay.zcygov.cn/purchaseplan_front/" \l "/plan/list/view?id=1000000000013025774&amp;_app_=zcy.procurement" \t "_blank" </w:instrText>
      </w:r>
      <w:r>
        <w:rPr>
          <w:color w:val="auto"/>
          <w:highlight w:val="none"/>
        </w:rPr>
        <w:fldChar w:fldCharType="separate"/>
      </w:r>
      <w:r>
        <w:rPr>
          <w:color w:val="auto"/>
          <w:highlight w:val="none"/>
        </w:rPr>
        <w:fldChar w:fldCharType="end"/>
      </w:r>
      <w:r>
        <w:rPr>
          <w:rFonts w:hint="eastAsia" w:ascii="微软雅黑" w:hAnsi="微软雅黑" w:cs="微软雅黑"/>
          <w:color w:val="auto"/>
          <w:kern w:val="0"/>
          <w:szCs w:val="21"/>
          <w:highlight w:val="none"/>
        </w:rPr>
        <w:t xml:space="preserve">  </w:t>
      </w:r>
    </w:p>
    <w:p w14:paraId="0D1A9971">
      <w:pPr>
        <w:spacing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项目编号： 千秋-JXQQGK（2024）第69号</w:t>
      </w:r>
    </w:p>
    <w:p w14:paraId="08B170EA">
      <w:pPr>
        <w:spacing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项目名称：</w:t>
      </w:r>
      <w:r>
        <w:rPr>
          <w:rFonts w:hint="eastAsia" w:ascii="微软雅黑" w:hAnsi="微软雅黑" w:cs="微软雅黑"/>
          <w:color w:val="auto"/>
          <w:szCs w:val="21"/>
          <w:highlight w:val="none"/>
        </w:rPr>
        <w:t>秀洲区洪合镇圩区标准化创建及运维项目</w:t>
      </w:r>
    </w:p>
    <w:p w14:paraId="0EA21019">
      <w:pPr>
        <w:spacing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采购方式 ：公开招标</w:t>
      </w:r>
    </w:p>
    <w:p w14:paraId="1E65CD61">
      <w:pPr>
        <w:spacing w:line="460" w:lineRule="exact"/>
        <w:ind w:firstLine="424" w:firstLineChars="202"/>
        <w:rPr>
          <w:rFonts w:hint="default" w:ascii="微软雅黑" w:hAnsi="微软雅黑" w:eastAsia="微软雅黑" w:cs="微软雅黑"/>
          <w:color w:val="auto"/>
          <w:kern w:val="0"/>
          <w:szCs w:val="21"/>
          <w:highlight w:val="none"/>
          <w:lang w:val="en-US" w:eastAsia="zh-CN"/>
        </w:rPr>
      </w:pPr>
      <w:r>
        <w:rPr>
          <w:rFonts w:hint="eastAsia" w:ascii="微软雅黑" w:hAnsi="微软雅黑" w:cs="微软雅黑"/>
          <w:color w:val="auto"/>
          <w:kern w:val="0"/>
          <w:szCs w:val="21"/>
          <w:highlight w:val="none"/>
        </w:rPr>
        <w:t>预算金额（元）：</w:t>
      </w:r>
      <w:r>
        <w:rPr>
          <w:rFonts w:hint="eastAsia" w:ascii="微软雅黑" w:hAnsi="微软雅黑" w:cs="微软雅黑"/>
          <w:color w:val="auto"/>
          <w:kern w:val="0"/>
          <w:szCs w:val="21"/>
          <w:highlight w:val="none"/>
          <w:lang w:val="en-US" w:eastAsia="zh-CN"/>
        </w:rPr>
        <w:t>1800000.00</w:t>
      </w:r>
    </w:p>
    <w:p w14:paraId="3117C7FB">
      <w:pPr>
        <w:spacing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最高限价（元）：</w:t>
      </w:r>
      <w:r>
        <w:rPr>
          <w:rFonts w:hint="eastAsia" w:ascii="微软雅黑" w:hAnsi="微软雅黑" w:cs="微软雅黑"/>
          <w:color w:val="auto"/>
          <w:kern w:val="0"/>
          <w:szCs w:val="21"/>
          <w:highlight w:val="none"/>
          <w:lang w:val="en-US" w:eastAsia="zh-CN"/>
        </w:rPr>
        <w:t>1650000.00</w:t>
      </w:r>
    </w:p>
    <w:p w14:paraId="2D9E0496">
      <w:pPr>
        <w:spacing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采购需求：</w:t>
      </w:r>
      <w:r>
        <w:rPr>
          <w:rFonts w:hint="eastAsia" w:ascii="微软雅黑" w:hAnsi="微软雅黑" w:cs="微软雅黑"/>
          <w:color w:val="auto"/>
          <w:szCs w:val="21"/>
          <w:highlight w:val="none"/>
        </w:rPr>
        <w:t>秀洲区洪合镇圩区标准化创建及设运维项目，具体内容包括泾桥圩区标准化管理创建工作、2025年洪合镇圩区运行管理（闸站运行管理、自动化系统软硬件维护，堤防巡查，河道换水和防汛值班等工作）。</w:t>
      </w:r>
    </w:p>
    <w:p w14:paraId="1CEE5511">
      <w:pPr>
        <w:spacing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合同履约期限：</w:t>
      </w:r>
      <w:r>
        <w:rPr>
          <w:rFonts w:hint="eastAsia" w:ascii="微软雅黑" w:hAnsi="微软雅黑" w:cs="微软雅黑"/>
          <w:color w:val="auto"/>
          <w:kern w:val="0"/>
          <w:szCs w:val="21"/>
          <w:highlight w:val="none"/>
        </w:rPr>
        <w:t>详见第二章招标项目要求</w:t>
      </w:r>
    </w:p>
    <w:p w14:paraId="5798F6C9">
      <w:pPr>
        <w:spacing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本项目接受联合体投标：</w:t>
      </w:r>
      <w:r>
        <w:rPr>
          <w:rFonts w:hint="eastAsia" w:ascii="微软雅黑" w:hAnsi="微软雅黑" w:cs="微软雅黑"/>
          <w:color w:val="auto"/>
          <w:szCs w:val="21"/>
          <w:highlight w:val="none"/>
        </w:rPr>
        <w:sym w:font="Wingdings" w:char="00A8"/>
      </w:r>
      <w:r>
        <w:rPr>
          <w:rFonts w:hint="eastAsia" w:ascii="微软雅黑" w:hAnsi="微软雅黑" w:cs="微软雅黑"/>
          <w:color w:val="auto"/>
          <w:szCs w:val="21"/>
          <w:highlight w:val="none"/>
        </w:rPr>
        <w:t xml:space="preserve"> 是，</w:t>
      </w:r>
      <w:r>
        <w:rPr>
          <w:rFonts w:hint="eastAsia" w:ascii="微软雅黑" w:hAnsi="微软雅黑" w:cs="微软雅黑"/>
          <w:color w:val="auto"/>
          <w:szCs w:val="21"/>
          <w:highlight w:val="none"/>
        </w:rPr>
        <w:sym w:font="Wingdings" w:char="00FE"/>
      </w:r>
      <w:r>
        <w:rPr>
          <w:rFonts w:hint="eastAsia" w:ascii="微软雅黑" w:hAnsi="微软雅黑" w:cs="微软雅黑"/>
          <w:color w:val="auto"/>
          <w:szCs w:val="21"/>
          <w:highlight w:val="none"/>
        </w:rPr>
        <w:t>否。</w:t>
      </w:r>
    </w:p>
    <w:p w14:paraId="5670D9C9">
      <w:pPr>
        <w:spacing w:line="460" w:lineRule="exact"/>
        <w:ind w:firstLine="0" w:firstLineChars="0"/>
        <w:outlineLvl w:val="1"/>
        <w:rPr>
          <w:rFonts w:hint="eastAsia" w:ascii="微软雅黑" w:hAnsi="微软雅黑" w:cs="微软雅黑"/>
          <w:color w:val="auto"/>
          <w:kern w:val="0"/>
          <w:szCs w:val="21"/>
          <w:highlight w:val="none"/>
        </w:rPr>
      </w:pPr>
      <w:bookmarkStart w:id="12" w:name="_Toc32337"/>
      <w:bookmarkStart w:id="13" w:name="_Toc32743"/>
      <w:r>
        <w:rPr>
          <w:rFonts w:hint="eastAsia" w:ascii="微软雅黑" w:hAnsi="微软雅黑" w:cs="微软雅黑"/>
          <w:b/>
          <w:bCs/>
          <w:color w:val="auto"/>
          <w:kern w:val="0"/>
          <w:szCs w:val="21"/>
          <w:highlight w:val="none"/>
        </w:rPr>
        <w:t>二、申请人的资格要求：</w:t>
      </w:r>
      <w:bookmarkEnd w:id="12"/>
      <w:bookmarkEnd w:id="13"/>
    </w:p>
    <w:p w14:paraId="0A97ABC2">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47C25CB4">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2.落实政府采购支持中小企业政策需满足的资格要求：</w:t>
      </w:r>
    </w:p>
    <w:p w14:paraId="6EDB2B82">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2.1 </w:t>
      </w: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szCs w:val="21"/>
          <w:highlight w:val="none"/>
        </w:rPr>
        <w:t>无需落实；</w:t>
      </w:r>
    </w:p>
    <w:p w14:paraId="6E6AF866">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szCs w:val="21"/>
          <w:highlight w:val="none"/>
        </w:rPr>
        <w:t>2.2</w:t>
      </w: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 xml:space="preserve"> </w:t>
      </w:r>
      <w:r>
        <w:rPr>
          <w:rFonts w:hint="eastAsia" w:ascii="微软雅黑" w:hAnsi="微软雅黑" w:cs="微软雅黑"/>
          <w:color w:val="auto"/>
          <w:szCs w:val="21"/>
          <w:highlight w:val="none"/>
        </w:rPr>
        <w:t>需要落实：</w:t>
      </w:r>
    </w:p>
    <w:p w14:paraId="318B6B37">
      <w:pPr>
        <w:spacing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2.2.1专门面向中小企业</w:t>
      </w:r>
    </w:p>
    <w:p w14:paraId="09CC89D8">
      <w:pPr>
        <w:spacing w:line="460" w:lineRule="exact"/>
        <w:ind w:firstLine="840" w:firstLineChars="40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 xml:space="preserve"> </w:t>
      </w:r>
      <w:r>
        <w:rPr>
          <w:rFonts w:hint="eastAsia" w:ascii="微软雅黑" w:hAnsi="微软雅黑" w:cs="微软雅黑"/>
          <w:color w:val="auto"/>
          <w:szCs w:val="21"/>
          <w:highlight w:val="none"/>
        </w:rPr>
        <w:t>货物全部由符合政策要求的中小企业制造，提供中小企业声明函；</w:t>
      </w:r>
    </w:p>
    <w:p w14:paraId="04F188D4">
      <w:pPr>
        <w:spacing w:line="460" w:lineRule="exact"/>
        <w:ind w:firstLine="840" w:firstLineChars="40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 xml:space="preserve"> </w:t>
      </w:r>
      <w:r>
        <w:rPr>
          <w:rFonts w:hint="eastAsia" w:ascii="微软雅黑" w:hAnsi="微软雅黑" w:cs="微软雅黑"/>
          <w:color w:val="auto"/>
          <w:szCs w:val="21"/>
          <w:highlight w:val="none"/>
        </w:rPr>
        <w:t>货物全部由符合政策要求的小微企业制造，提供中小企业声明函；</w:t>
      </w:r>
    </w:p>
    <w:p w14:paraId="18E99814">
      <w:pPr>
        <w:spacing w:line="460" w:lineRule="exact"/>
        <w:ind w:firstLine="840" w:firstLineChars="40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sym w:font="Wingdings" w:char="00FE"/>
      </w:r>
      <w:r>
        <w:rPr>
          <w:rFonts w:hint="eastAsia" w:ascii="微软雅黑" w:hAnsi="微软雅黑" w:cs="微软雅黑"/>
          <w:color w:val="auto"/>
          <w:szCs w:val="21"/>
          <w:highlight w:val="none"/>
        </w:rPr>
        <w:t>服务全部由符合政策要求的中小企业承接，提供中小企业声明函；</w:t>
      </w:r>
    </w:p>
    <w:p w14:paraId="1195049B">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tab/>
      </w:r>
      <w:r>
        <w:rPr>
          <w:rFonts w:hint="eastAsia" w:ascii="微软雅黑" w:hAnsi="微软雅黑" w:cs="微软雅黑"/>
          <w:color w:val="auto"/>
          <w:kern w:val="0"/>
          <w:szCs w:val="21"/>
          <w:highlight w:val="none"/>
        </w:rPr>
        <w:t xml:space="preserve">  </w:t>
      </w: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 xml:space="preserve"> </w:t>
      </w:r>
      <w:r>
        <w:rPr>
          <w:rFonts w:hint="eastAsia" w:ascii="微软雅黑" w:hAnsi="微软雅黑" w:cs="微软雅黑"/>
          <w:color w:val="auto"/>
          <w:szCs w:val="21"/>
          <w:highlight w:val="none"/>
        </w:rPr>
        <w:t>服务全部由符合政策要求的小微企业承接，提供中小企业声明函；</w:t>
      </w:r>
    </w:p>
    <w:p w14:paraId="6D504314">
      <w:pPr>
        <w:spacing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2.2.2</w:t>
      </w: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 xml:space="preserve"> </w:t>
      </w:r>
      <w:r>
        <w:rPr>
          <w:rFonts w:hint="eastAsia" w:ascii="微软雅黑" w:hAnsi="微软雅黑" w:cs="微软雅黑"/>
          <w:color w:val="auto"/>
          <w:szCs w:val="21"/>
          <w:highlight w:val="none"/>
        </w:rPr>
        <w:t>要求以联合体形式参加，提供联合协议和中小企业声明函，联合协议中中小企业合同金额应当达到</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szCs w:val="21"/>
          <w:highlight w:val="none"/>
        </w:rPr>
        <w:t>%（不得低于40%），其中小微企业合同金额应当达到</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szCs w:val="21"/>
          <w:highlight w:val="none"/>
        </w:rPr>
        <w:t>%（不得低于70%）;如果</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本身提供所有标的均由中小企业制造、承建或承接，视同符合了资格条件，无需再与其他中小企业组成联合体参加政府采购活动，无需提供联合协议；</w:t>
      </w:r>
    </w:p>
    <w:p w14:paraId="5FA7125D">
      <w:pPr>
        <w:spacing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2.2.3</w:t>
      </w:r>
      <w:r>
        <w:rPr>
          <w:rFonts w:hint="eastAsia" w:ascii="微软雅黑" w:hAnsi="微软雅黑" w:cs="微软雅黑"/>
          <w:color w:val="auto"/>
          <w:szCs w:val="21"/>
          <w:highlight w:val="none"/>
        </w:rPr>
        <w:sym w:font="Wingdings" w:char="00A8"/>
      </w:r>
      <w:r>
        <w:rPr>
          <w:rFonts w:hint="eastAsia" w:ascii="微软雅黑" w:hAnsi="微软雅黑" w:cs="微软雅黑"/>
          <w:color w:val="auto"/>
          <w:szCs w:val="21"/>
          <w:highlight w:val="none"/>
        </w:rPr>
        <w:t>要求合同分包，提供分包意向协议和中小企业声明函，分包意向协议中中小企业合同金额应当达到</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szCs w:val="21"/>
          <w:highlight w:val="none"/>
        </w:rPr>
        <w:t>% （不得低于40%），其中小微企业合同金额应当达到</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szCs w:val="21"/>
          <w:highlight w:val="none"/>
        </w:rPr>
        <w:t>% （不得低于70%）;如果</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本身提供所有标的均由中小企业制造、承建或承接，视同符合了资格条件，无需再向中小企业分包，无需提供分包意向协议；</w:t>
      </w:r>
    </w:p>
    <w:p w14:paraId="0633F074">
      <w:pPr>
        <w:pStyle w:val="5"/>
        <w:keepNext w:val="0"/>
        <w:keepLines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3.本项目的特定资格要求：无</w:t>
      </w:r>
    </w:p>
    <w:p w14:paraId="52BA8B1E">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4.单位负责人为同一人或者存在直接控股、管理关系的不同</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，不得参加同一合同项下的政府采购活动；为采购项目提供整体设计、规范编制或者项目管理、监理、检测等服务后不得再参加该采购项目的其他采购活动。</w:t>
      </w:r>
    </w:p>
    <w:p w14:paraId="4540291C">
      <w:pPr>
        <w:spacing w:line="460" w:lineRule="exact"/>
        <w:ind w:firstLine="0" w:firstLineChars="0"/>
        <w:jc w:val="both"/>
        <w:outlineLvl w:val="1"/>
        <w:rPr>
          <w:rFonts w:hint="eastAsia" w:ascii="微软雅黑" w:hAnsi="微软雅黑" w:cs="微软雅黑"/>
          <w:color w:val="auto"/>
          <w:kern w:val="0"/>
          <w:szCs w:val="21"/>
          <w:highlight w:val="none"/>
        </w:rPr>
      </w:pPr>
      <w:bookmarkStart w:id="14" w:name="_Toc14749"/>
      <w:bookmarkStart w:id="15" w:name="_Toc18033"/>
      <w:r>
        <w:rPr>
          <w:rFonts w:hint="eastAsia" w:ascii="微软雅黑" w:hAnsi="微软雅黑" w:cs="微软雅黑"/>
          <w:b/>
          <w:bCs/>
          <w:color w:val="auto"/>
          <w:kern w:val="0"/>
          <w:szCs w:val="21"/>
          <w:highlight w:val="none"/>
        </w:rPr>
        <w:t>三、获取招标文件</w:t>
      </w:r>
      <w:r>
        <w:rPr>
          <w:rFonts w:hint="eastAsia" w:ascii="微软雅黑" w:hAnsi="微软雅黑" w:cs="微软雅黑"/>
          <w:color w:val="auto"/>
          <w:kern w:val="0"/>
          <w:szCs w:val="21"/>
          <w:highlight w:val="none"/>
        </w:rPr>
        <w:t> </w:t>
      </w:r>
      <w:bookmarkEnd w:id="14"/>
      <w:bookmarkEnd w:id="15"/>
    </w:p>
    <w:p w14:paraId="063EF2E9">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t> </w:t>
      </w:r>
      <w:r>
        <w:rPr>
          <w:rFonts w:hint="eastAsia" w:ascii="微软雅黑" w:hAnsi="微软雅黑" w:cs="微软雅黑"/>
          <w:color w:val="auto"/>
          <w:szCs w:val="21"/>
          <w:highlight w:val="none"/>
        </w:rPr>
        <w:t>时间： 2024年</w:t>
      </w:r>
      <w:r>
        <w:rPr>
          <w:rFonts w:hint="eastAsia" w:ascii="微软雅黑" w:hAnsi="微软雅黑" w:cs="微软雅黑"/>
          <w:color w:val="auto"/>
          <w:szCs w:val="21"/>
          <w:highlight w:val="none"/>
          <w:lang w:val="en-US" w:eastAsia="zh-CN"/>
        </w:rPr>
        <w:t>11</w:t>
      </w:r>
      <w:r>
        <w:rPr>
          <w:rFonts w:hint="eastAsia" w:ascii="微软雅黑" w:hAnsi="微软雅黑" w:cs="微软雅黑"/>
          <w:color w:val="auto"/>
          <w:szCs w:val="21"/>
          <w:highlight w:val="none"/>
        </w:rPr>
        <w:t>月</w:t>
      </w:r>
      <w:r>
        <w:rPr>
          <w:rFonts w:hint="eastAsia" w:ascii="微软雅黑" w:hAnsi="微软雅黑" w:cs="微软雅黑"/>
          <w:color w:val="auto"/>
          <w:szCs w:val="21"/>
          <w:highlight w:val="none"/>
          <w:lang w:val="en-US" w:eastAsia="zh-CN"/>
        </w:rPr>
        <w:t>05</w:t>
      </w:r>
      <w:r>
        <w:rPr>
          <w:rFonts w:hint="eastAsia" w:ascii="微软雅黑" w:hAnsi="微软雅黑" w:cs="微软雅黑"/>
          <w:color w:val="auto"/>
          <w:szCs w:val="21"/>
          <w:highlight w:val="none"/>
        </w:rPr>
        <w:t>日至  </w:t>
      </w:r>
      <w:r>
        <w:rPr>
          <w:rFonts w:hint="eastAsia" w:ascii="微软雅黑" w:hAnsi="微软雅黑" w:cs="Arial"/>
          <w:color w:val="auto"/>
          <w:sz w:val="21"/>
          <w:szCs w:val="21"/>
          <w:highlight w:val="none"/>
        </w:rPr>
        <w:t>202</w:t>
      </w:r>
      <w:r>
        <w:rPr>
          <w:rFonts w:ascii="微软雅黑" w:hAnsi="微软雅黑" w:cs="Arial"/>
          <w:color w:val="auto"/>
          <w:sz w:val="21"/>
          <w:szCs w:val="21"/>
          <w:highlight w:val="none"/>
        </w:rPr>
        <w:t>4</w:t>
      </w:r>
      <w:r>
        <w:rPr>
          <w:rFonts w:hint="eastAsia" w:ascii="微软雅黑" w:hAnsi="微软雅黑" w:cs="Arial"/>
          <w:color w:val="auto"/>
          <w:sz w:val="21"/>
          <w:szCs w:val="21"/>
          <w:highlight w:val="none"/>
        </w:rPr>
        <w:t>年</w:t>
      </w:r>
      <w:r>
        <w:rPr>
          <w:rFonts w:hint="eastAsia" w:ascii="微软雅黑" w:hAnsi="微软雅黑" w:cs="Arial"/>
          <w:color w:val="auto"/>
          <w:sz w:val="21"/>
          <w:szCs w:val="21"/>
          <w:highlight w:val="none"/>
          <w:lang w:val="en-US" w:eastAsia="zh-CN"/>
        </w:rPr>
        <w:t>11</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25</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14</w:t>
      </w:r>
      <w:r>
        <w:rPr>
          <w:rFonts w:hint="eastAsia" w:ascii="微软雅黑" w:hAnsi="微软雅黑" w:cs="Arial"/>
          <w:color w:val="auto"/>
          <w:sz w:val="21"/>
          <w:szCs w:val="21"/>
          <w:highlight w:val="none"/>
        </w:rPr>
        <w:t>：</w:t>
      </w:r>
      <w:r>
        <w:rPr>
          <w:rFonts w:hint="eastAsia" w:ascii="微软雅黑" w:hAnsi="微软雅黑" w:cs="Arial"/>
          <w:color w:val="auto"/>
          <w:sz w:val="21"/>
          <w:szCs w:val="21"/>
          <w:highlight w:val="none"/>
          <w:lang w:val="en-US" w:eastAsia="zh-CN"/>
        </w:rPr>
        <w:t>00</w:t>
      </w:r>
      <w:r>
        <w:rPr>
          <w:rFonts w:hint="eastAsia" w:ascii="微软雅黑" w:hAnsi="微软雅黑" w:cs="Arial"/>
          <w:color w:val="auto"/>
          <w:szCs w:val="21"/>
          <w:highlight w:val="none"/>
        </w:rPr>
        <w:t xml:space="preserve">  </w:t>
      </w:r>
    </w:p>
    <w:p w14:paraId="078B2CBE">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地点（网址）：政采云平台（https://zfcg.czt.zj.gov.cn/） </w:t>
      </w:r>
    </w:p>
    <w:p w14:paraId="0CE52660">
      <w:pPr>
        <w:spacing w:line="460" w:lineRule="exact"/>
        <w:ind w:firstLine="420"/>
        <w:rPr>
          <w:rFonts w:hint="eastAsia" w:ascii="微软雅黑" w:hAnsi="微软雅黑" w:cs="微软雅黑"/>
          <w:strike/>
          <w:color w:val="auto"/>
          <w:szCs w:val="21"/>
          <w:highlight w:val="none"/>
        </w:rPr>
      </w:pPr>
      <w:r>
        <w:rPr>
          <w:rFonts w:hint="eastAsia" w:ascii="微软雅黑" w:hAnsi="微软雅黑" w:cs="微软雅黑"/>
          <w:color w:val="auto"/>
          <w:szCs w:val="21"/>
          <w:highlight w:val="none"/>
        </w:rPr>
        <w:t>方式：</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登录政采云平台https://zfcg.czt.zj.gov.cn/在线申请获取招标文件（进入“项目采购”应用，在获取招标文件菜单中选择项目，申请获取招标文件）。</w:t>
      </w:r>
    </w:p>
    <w:p w14:paraId="215036E2">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售价：免费。</w:t>
      </w:r>
    </w:p>
    <w:p w14:paraId="319A421C">
      <w:pPr>
        <w:spacing w:line="460" w:lineRule="exact"/>
        <w:ind w:firstLine="0" w:firstLineChars="0"/>
        <w:outlineLvl w:val="1"/>
        <w:rPr>
          <w:rFonts w:hint="eastAsia" w:ascii="微软雅黑" w:hAnsi="微软雅黑" w:cs="微软雅黑"/>
          <w:color w:val="auto"/>
          <w:kern w:val="0"/>
          <w:szCs w:val="21"/>
          <w:highlight w:val="none"/>
        </w:rPr>
      </w:pPr>
      <w:bookmarkStart w:id="16" w:name="_Toc22530"/>
      <w:bookmarkStart w:id="17" w:name="_Toc9010"/>
      <w:r>
        <w:rPr>
          <w:rFonts w:hint="eastAsia" w:ascii="微软雅黑" w:hAnsi="微软雅黑" w:cs="微软雅黑"/>
          <w:b/>
          <w:bCs/>
          <w:color w:val="auto"/>
          <w:kern w:val="0"/>
          <w:szCs w:val="21"/>
          <w:highlight w:val="none"/>
        </w:rPr>
        <w:t>四、提交投标文件截止时间、开标时间和地点</w:t>
      </w:r>
      <w:bookmarkEnd w:id="16"/>
      <w:bookmarkEnd w:id="17"/>
    </w:p>
    <w:p w14:paraId="3F50498C">
      <w:pPr>
        <w:spacing w:line="460" w:lineRule="exact"/>
        <w:ind w:firstLine="420"/>
        <w:rPr>
          <w:rFonts w:hint="eastAsia" w:ascii="微软雅黑" w:hAnsi="微软雅黑" w:cs="微软雅黑"/>
          <w:color w:val="auto"/>
          <w:szCs w:val="21"/>
          <w:highlight w:val="none"/>
        </w:rPr>
      </w:pPr>
      <w:r>
        <w:rPr>
          <w:rFonts w:hint="eastAsia" w:ascii="微软雅黑" w:hAnsi="微软雅黑" w:cs="Arial"/>
          <w:color w:val="auto"/>
          <w:sz w:val="21"/>
          <w:szCs w:val="21"/>
          <w:highlight w:val="none"/>
        </w:rPr>
        <w:t>202</w:t>
      </w:r>
      <w:r>
        <w:rPr>
          <w:rFonts w:ascii="微软雅黑" w:hAnsi="微软雅黑" w:cs="Arial"/>
          <w:color w:val="auto"/>
          <w:sz w:val="21"/>
          <w:szCs w:val="21"/>
          <w:highlight w:val="none"/>
        </w:rPr>
        <w:t>4</w:t>
      </w:r>
      <w:r>
        <w:rPr>
          <w:rFonts w:hint="eastAsia" w:ascii="微软雅黑" w:hAnsi="微软雅黑" w:cs="Arial"/>
          <w:color w:val="auto"/>
          <w:sz w:val="21"/>
          <w:szCs w:val="21"/>
          <w:highlight w:val="none"/>
        </w:rPr>
        <w:t>年</w:t>
      </w:r>
      <w:r>
        <w:rPr>
          <w:rFonts w:hint="eastAsia" w:ascii="微软雅黑" w:hAnsi="微软雅黑" w:cs="Arial"/>
          <w:color w:val="auto"/>
          <w:sz w:val="21"/>
          <w:szCs w:val="21"/>
          <w:highlight w:val="none"/>
          <w:lang w:val="en-US" w:eastAsia="zh-CN"/>
        </w:rPr>
        <w:t>11</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25</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14</w:t>
      </w:r>
      <w:r>
        <w:rPr>
          <w:rFonts w:hint="eastAsia" w:ascii="微软雅黑" w:hAnsi="微软雅黑" w:cs="Arial"/>
          <w:color w:val="auto"/>
          <w:sz w:val="21"/>
          <w:szCs w:val="21"/>
          <w:highlight w:val="none"/>
        </w:rPr>
        <w:t>：</w:t>
      </w:r>
      <w:r>
        <w:rPr>
          <w:rFonts w:hint="eastAsia" w:ascii="微软雅黑" w:hAnsi="微软雅黑" w:cs="Arial"/>
          <w:color w:val="auto"/>
          <w:sz w:val="21"/>
          <w:szCs w:val="21"/>
          <w:highlight w:val="none"/>
          <w:lang w:val="en-US" w:eastAsia="zh-CN"/>
        </w:rPr>
        <w:t>00</w:t>
      </w:r>
      <w:r>
        <w:rPr>
          <w:rFonts w:hint="eastAsia" w:ascii="微软雅黑" w:hAnsi="微软雅黑" w:cs="微软雅黑"/>
          <w:color w:val="auto"/>
          <w:szCs w:val="21"/>
          <w:highlight w:val="none"/>
        </w:rPr>
        <w:t>（北京时间）</w:t>
      </w:r>
    </w:p>
    <w:p w14:paraId="24DF84B1">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szCs w:val="21"/>
          <w:highlight w:val="none"/>
        </w:rPr>
        <w:t>地点（网址）：政采云平台（https://zfcg.czt.zj.gov.cn/）</w:t>
      </w:r>
      <w:r>
        <w:rPr>
          <w:rFonts w:hint="eastAsia" w:ascii="微软雅黑" w:hAnsi="微软雅黑" w:cs="微软雅黑"/>
          <w:color w:val="auto"/>
          <w:kern w:val="0"/>
          <w:szCs w:val="21"/>
          <w:highlight w:val="none"/>
        </w:rPr>
        <w:t>  </w:t>
      </w:r>
    </w:p>
    <w:p w14:paraId="241772CC">
      <w:pPr>
        <w:spacing w:line="460" w:lineRule="exact"/>
        <w:ind w:firstLine="0" w:firstLineChars="0"/>
        <w:jc w:val="both"/>
        <w:outlineLvl w:val="1"/>
        <w:rPr>
          <w:rFonts w:hint="eastAsia" w:ascii="微软雅黑" w:hAnsi="微软雅黑" w:cs="微软雅黑"/>
          <w:color w:val="auto"/>
          <w:kern w:val="0"/>
          <w:szCs w:val="21"/>
          <w:highlight w:val="none"/>
        </w:rPr>
      </w:pPr>
      <w:bookmarkStart w:id="18" w:name="_Toc32324"/>
      <w:bookmarkStart w:id="19" w:name="_Toc26663"/>
      <w:r>
        <w:rPr>
          <w:rFonts w:hint="eastAsia" w:ascii="微软雅黑" w:hAnsi="微软雅黑" w:cs="微软雅黑"/>
          <w:b/>
          <w:bCs/>
          <w:color w:val="auto"/>
          <w:kern w:val="0"/>
          <w:szCs w:val="21"/>
          <w:highlight w:val="none"/>
        </w:rPr>
        <w:t>五、公告期限</w:t>
      </w:r>
      <w:r>
        <w:rPr>
          <w:rFonts w:hint="eastAsia" w:ascii="微软雅黑" w:hAnsi="微软雅黑" w:cs="微软雅黑"/>
          <w:color w:val="auto"/>
          <w:kern w:val="0"/>
          <w:szCs w:val="21"/>
          <w:highlight w:val="none"/>
        </w:rPr>
        <w:t> </w:t>
      </w:r>
      <w:bookmarkEnd w:id="18"/>
      <w:bookmarkEnd w:id="19"/>
    </w:p>
    <w:p w14:paraId="01E55DBF">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自本公告发布之日起5个工作日。</w:t>
      </w:r>
    </w:p>
    <w:p w14:paraId="565E32CD">
      <w:pPr>
        <w:spacing w:line="460" w:lineRule="exact"/>
        <w:ind w:firstLine="0" w:firstLineChars="0"/>
        <w:jc w:val="both"/>
        <w:outlineLvl w:val="1"/>
        <w:rPr>
          <w:rFonts w:hint="eastAsia" w:ascii="微软雅黑" w:hAnsi="微软雅黑" w:cs="微软雅黑"/>
          <w:b/>
          <w:bCs/>
          <w:color w:val="auto"/>
          <w:kern w:val="0"/>
          <w:szCs w:val="21"/>
          <w:highlight w:val="none"/>
        </w:rPr>
      </w:pPr>
      <w:bookmarkStart w:id="20" w:name="_Toc8493"/>
      <w:bookmarkStart w:id="21" w:name="_Toc20924"/>
      <w:r>
        <w:rPr>
          <w:rFonts w:hint="eastAsia" w:ascii="微软雅黑" w:hAnsi="微软雅黑" w:cs="微软雅黑"/>
          <w:b/>
          <w:bCs/>
          <w:color w:val="auto"/>
          <w:kern w:val="0"/>
          <w:szCs w:val="21"/>
          <w:highlight w:val="none"/>
        </w:rPr>
        <w:t>六、其他补充事宜</w:t>
      </w:r>
      <w:bookmarkEnd w:id="20"/>
      <w:bookmarkEnd w:id="21"/>
    </w:p>
    <w:p w14:paraId="1FA75FB6">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认为招标文件、采购过程、中标或者成交结果使自己的权益受到损害的，可以在知道或者应知其权益受到损害之日起7个工作日内，以书面形式在政采云平台向采购人和采购代理机构提出质疑。质疑</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FBB1F51">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2.其他事项：</w:t>
      </w:r>
    </w:p>
    <w:p w14:paraId="1E65777C">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（1）需要落实的政府采购政策：包括节约资源、保护环境、支持创新、促进中小企业发展等。</w:t>
      </w:r>
    </w:p>
    <w:p w14:paraId="0B3A24F1">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（2）电子招投标的说明：</w:t>
      </w:r>
    </w:p>
    <w:p w14:paraId="18FE967E">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①电子招投标：本项目以数据电文形式，依托“政府采购云平台（https://www.zcygov.cn/）”进行招投标活动，不接受纸质投标文件；</w:t>
      </w:r>
    </w:p>
    <w:p w14:paraId="3DCEF8D0">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②投标准备：注册账号--点击“商家入驻”，进行政府采购</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微软雅黑" w:hAnsi="微软雅黑" w:cs="微软雅黑"/>
          <w:b/>
          <w:bCs/>
          <w:color w:val="auto"/>
          <w:szCs w:val="21"/>
          <w:highlight w:val="none"/>
        </w:rPr>
        <w:t>中标</w:t>
      </w:r>
      <w:r>
        <w:rPr>
          <w:rFonts w:hint="eastAsia" w:ascii="微软雅黑" w:hAnsi="微软雅黑" w:cs="微软雅黑"/>
          <w:b/>
          <w:bCs/>
          <w:color w:val="auto"/>
          <w:szCs w:val="21"/>
          <w:highlight w:val="none"/>
          <w:lang w:eastAsia="zh-CN"/>
        </w:rPr>
        <w:t>投标人</w:t>
      </w:r>
      <w:r>
        <w:rPr>
          <w:rFonts w:hint="eastAsia" w:ascii="微软雅黑" w:hAnsi="微软雅黑" w:cs="微软雅黑"/>
          <w:b/>
          <w:bCs/>
          <w:color w:val="auto"/>
          <w:szCs w:val="21"/>
          <w:highlight w:val="none"/>
        </w:rPr>
        <w:t>在签订合同前，如不完成注册，视为放弃</w:t>
      </w:r>
      <w:r>
        <w:rPr>
          <w:rFonts w:hint="eastAsia" w:ascii="微软雅黑" w:hAnsi="微软雅黑" w:cs="微软雅黑"/>
          <w:color w:val="auto"/>
          <w:szCs w:val="21"/>
          <w:highlight w:val="none"/>
        </w:rPr>
        <w:t>；</w:t>
      </w:r>
    </w:p>
    <w:p w14:paraId="0A4A4928">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CA驱动和申领流程</w:t>
      </w:r>
    </w:p>
    <w:p w14:paraId="631333F8">
      <w:pPr>
        <w:spacing w:line="460" w:lineRule="exact"/>
        <w:ind w:firstLine="420"/>
        <w:rPr>
          <w:rStyle w:val="61"/>
          <w:rFonts w:hint="eastAsia" w:ascii="微软雅黑" w:hAnsi="微软雅黑" w:cs="微软雅黑"/>
          <w:color w:val="auto"/>
          <w:szCs w:val="21"/>
          <w:highlight w:val="none"/>
        </w:rPr>
      </w:pPr>
      <w:r>
        <w:rPr>
          <w:rStyle w:val="61"/>
          <w:rFonts w:hint="eastAsia" w:ascii="微软雅黑" w:hAnsi="微软雅黑" w:cs="微软雅黑"/>
          <w:color w:val="auto"/>
          <w:szCs w:val="21"/>
          <w:highlight w:val="none"/>
        </w:rPr>
        <w:t xml:space="preserve">https://zfcg.czt.zj.gov.cn/bidClientTemplate/2019-05-27/12945.html    </w:t>
      </w:r>
    </w:p>
    <w:p w14:paraId="663F7713">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注：ＣＡ证书遗失补办、延期、解锁、质保等业务可以在联连客户端上进行操作；使用政采云投标客户端时，建议使用windows7以上且64位的操作系统。</w:t>
      </w:r>
    </w:p>
    <w:p w14:paraId="29CE4B6F">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CA证书办理操作视频</w:t>
      </w:r>
    </w:p>
    <w:p w14:paraId="01825BB2">
      <w:pPr>
        <w:spacing w:line="460" w:lineRule="exact"/>
        <w:ind w:firstLine="420"/>
        <w:rPr>
          <w:rStyle w:val="61"/>
          <w:rFonts w:hint="eastAsia" w:ascii="微软雅黑" w:hAnsi="微软雅黑" w:cs="微软雅黑"/>
          <w:color w:val="auto"/>
          <w:szCs w:val="21"/>
          <w:highlight w:val="none"/>
        </w:rPr>
      </w:pPr>
      <w:r>
        <w:rPr>
          <w:rStyle w:val="61"/>
          <w:rFonts w:hint="eastAsia" w:ascii="微软雅黑" w:hAnsi="微软雅黑" w:cs="微软雅黑"/>
          <w:color w:val="auto"/>
          <w:szCs w:val="21"/>
          <w:highlight w:val="none"/>
        </w:rPr>
        <w:t>https://service.zcygov.cn/#/knowledges/UgcbC3EBiyELHE-opz1b/EWqqyXEByNnJ3A2CPyDI</w:t>
      </w:r>
    </w:p>
    <w:p w14:paraId="4F8FD345">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CA绑定登录操作视频</w:t>
      </w:r>
    </w:p>
    <w:p w14:paraId="71F2146C">
      <w:pPr>
        <w:spacing w:line="460" w:lineRule="exact"/>
        <w:ind w:firstLine="420"/>
        <w:rPr>
          <w:rFonts w:hint="eastAsia" w:ascii="微软雅黑" w:hAnsi="微软雅黑" w:cs="微软雅黑"/>
          <w:color w:val="auto"/>
          <w:szCs w:val="21"/>
          <w:highlight w:val="none"/>
        </w:rPr>
      </w:pPr>
      <w:r>
        <w:rPr>
          <w:rStyle w:val="61"/>
          <w:rFonts w:hint="eastAsia" w:ascii="微软雅黑" w:hAnsi="微软雅黑" w:cs="微软雅黑"/>
          <w:color w:val="auto"/>
          <w:szCs w:val="21"/>
          <w:highlight w:val="none"/>
        </w:rPr>
        <w:t>https://service.zcygov.cn/#/knowledges/UgcbC3EBiyELHE-opz1b/nAkmyXEBiyELHE-o-983</w:t>
      </w:r>
    </w:p>
    <w:p w14:paraId="10A3D919">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③招标文件的获取：使用账号登录或者使用CA登录政采云平台；进入“项目采购”应用，在获取招标文件菜单中选择项目，获取招标文件；</w:t>
      </w:r>
    </w:p>
    <w:p w14:paraId="6B07F0A6">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④投标文件的制作：在“政采云电子交易客户端”中完成“填写基本信息”、“导入投标文件”、“标书关联”、“标书检查”、“电子签名”、“生成电子标书”等操作；</w:t>
      </w:r>
    </w:p>
    <w:p w14:paraId="34B6A927">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⑤采购人、采购机构将依托政采云平台完成本项目的电子交易活动，平台不接受未按上述方式获取招标文件的</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 xml:space="preserve">进行投标活动； </w:t>
      </w:r>
    </w:p>
    <w:p w14:paraId="618F1C58">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⑥对未按上述方式获取招标文件的</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对该文件提出的质疑，采购人或采购代理机构将不予处理；</w:t>
      </w:r>
    </w:p>
    <w:p w14:paraId="0394FEF6">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⑦不提供招标文件纸质版；</w:t>
      </w:r>
    </w:p>
    <w:p w14:paraId="5878244E">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⑧投标文件的传输递交：投标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在投标截止时间前将加密的投标文件上传至政府采购云平台，同时可在投标截止时间前将政采云平台上最后生成的具备电子签章的备份电子标文件1份下载至U盘，直接提交或者以</w:t>
      </w:r>
      <w:r>
        <w:rPr>
          <w:rFonts w:hint="eastAsia" w:ascii="微软雅黑" w:hAnsi="微软雅黑" w:cs="微软雅黑"/>
          <w:b/>
          <w:bCs/>
          <w:color w:val="auto"/>
          <w:szCs w:val="21"/>
          <w:highlight w:val="none"/>
          <w:u w:val="single"/>
        </w:rPr>
        <w:t>快递</w:t>
      </w:r>
      <w:r>
        <w:rPr>
          <w:rFonts w:hint="eastAsia" w:ascii="微软雅黑" w:hAnsi="微软雅黑" w:cs="微软雅黑"/>
          <w:color w:val="auto"/>
          <w:szCs w:val="21"/>
          <w:highlight w:val="none"/>
        </w:rPr>
        <w:t>方式递交【地址：嘉兴市秀洲区新平路299号中禾广场23楼2323室；收件人：章莉莉；电话：13605735186；快递寄出同时，项目被授权代表须以邮件方式将快递单号、项目名称、公司名称、被授权代表姓名及联系方式等内容（邮件格式为：</w:t>
      </w:r>
      <w:r>
        <w:rPr>
          <w:color w:val="auto"/>
          <w:highlight w:val="none"/>
        </w:rPr>
        <w:fldChar w:fldCharType="begin"/>
      </w:r>
      <w:r>
        <w:rPr>
          <w:color w:val="auto"/>
          <w:highlight w:val="none"/>
        </w:rPr>
        <w:instrText xml:space="preserve"> HYPERLINK "mailto:项目编号+快递单号+公司名称+被授权代表姓名及联系方式）发代理机构联系人邮箱1450912653@qq.com)】" </w:instrText>
      </w:r>
      <w:r>
        <w:rPr>
          <w:color w:val="auto"/>
          <w:highlight w:val="none"/>
        </w:rPr>
        <w:fldChar w:fldCharType="separate"/>
      </w:r>
      <w:r>
        <w:rPr>
          <w:rStyle w:val="61"/>
          <w:rFonts w:hint="eastAsia" w:ascii="微软雅黑" w:hAnsi="微软雅黑" w:cs="微软雅黑"/>
          <w:color w:val="auto"/>
          <w:szCs w:val="21"/>
          <w:highlight w:val="none"/>
        </w:rPr>
        <w:t>项目编号+快递单号+公司名称+被授权代表姓名及联系方式）发代理机构联系人邮箱1450912653@qq.com)】</w:t>
      </w:r>
      <w:r>
        <w:rPr>
          <w:rStyle w:val="61"/>
          <w:rFonts w:hint="eastAsia" w:ascii="微软雅黑" w:hAnsi="微软雅黑" w:cs="微软雅黑"/>
          <w:color w:val="auto"/>
          <w:szCs w:val="21"/>
          <w:highlight w:val="none"/>
        </w:rPr>
        <w:fldChar w:fldCharType="end"/>
      </w:r>
      <w:r>
        <w:rPr>
          <w:rFonts w:hint="eastAsia" w:ascii="微软雅黑" w:hAnsi="微软雅黑" w:cs="微软雅黑"/>
          <w:color w:val="auto"/>
          <w:szCs w:val="21"/>
          <w:highlight w:val="none"/>
        </w:rPr>
        <w:t>；</w:t>
      </w:r>
    </w:p>
    <w:p w14:paraId="48071027">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备份投标文件递交须满足：外包装封面上应注明投标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名称、投标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联系方式（授权代表手机）、投标文件名称（备份投标文件）、投标项目名称、项目编号、标项及“开标时启封”字样，并加盖投标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公章。</w:t>
      </w:r>
    </w:p>
    <w:p w14:paraId="5F7739D0">
      <w:pPr>
        <w:spacing w:line="460" w:lineRule="exact"/>
        <w:ind w:firstLine="42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投标</w:t>
      </w:r>
      <w:r>
        <w:rPr>
          <w:rFonts w:hint="eastAsia" w:ascii="微软雅黑" w:hAnsi="微软雅黑" w:cs="微软雅黑"/>
          <w:b/>
          <w:bCs/>
          <w:color w:val="auto"/>
          <w:szCs w:val="21"/>
          <w:highlight w:val="none"/>
          <w:lang w:eastAsia="zh-CN"/>
        </w:rPr>
        <w:t>投标人</w:t>
      </w:r>
      <w:r>
        <w:rPr>
          <w:rFonts w:hint="eastAsia" w:ascii="微软雅黑" w:hAnsi="微软雅黑" w:cs="微软雅黑"/>
          <w:b/>
          <w:bCs/>
          <w:color w:val="auto"/>
          <w:szCs w:val="21"/>
          <w:highlight w:val="none"/>
        </w:rPr>
        <w:t>递交的备份投标文件，出现下列情况之一的，将被拒收：</w:t>
      </w:r>
    </w:p>
    <w:p w14:paraId="7E8AB5E4">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·未按规定密封或标记的；</w:t>
      </w:r>
    </w:p>
    <w:p w14:paraId="18D4E7DD">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·由于包装不妥，在送交途中严重破损或失散的；</w:t>
      </w:r>
    </w:p>
    <w:p w14:paraId="7652E5E5">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·超过投标截止时间送达的；</w:t>
      </w:r>
    </w:p>
    <w:p w14:paraId="5930513A">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·快递方式：快递费到付。</w:t>
      </w:r>
    </w:p>
    <w:p w14:paraId="680067C8">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⑨投标文件的解密：投标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按照平台提示和招标文件的规定在半小时内完成在线解密。通过“政府采购云平台”上传递交的投标文件无法按时解密，投标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递交了备份投标文件的，以备份投标文件为依据，否则视为投标文件撤回。通过“政府采购云平台”上传递交的投标文件已按时解密的，备份投标文件自动失效。投标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仅提交备份投标文件，没有在电子交易平台传输递交投标文件的，投标无效；</w:t>
      </w:r>
    </w:p>
    <w:p w14:paraId="7E12B73F">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⑩具体操作指南：详见政采云平台“服务中心-帮助文档-项目采购-操作流程-电子招投标-政府采购项目电子交易管理操作指南-</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”（浙江省“项目采购电子交易系统/不见面开评标”学习专题：</w:t>
      </w:r>
      <w:r>
        <w:rPr>
          <w:color w:val="auto"/>
          <w:highlight w:val="none"/>
        </w:rPr>
        <w:fldChar w:fldCharType="begin"/>
      </w:r>
      <w:r>
        <w:rPr>
          <w:color w:val="auto"/>
          <w:highlight w:val="none"/>
        </w:rPr>
        <w:instrText xml:space="preserve"> HYPERLINK "https://edu.zcygov.cn/luban/e-biding" </w:instrText>
      </w:r>
      <w:r>
        <w:rPr>
          <w:color w:val="auto"/>
          <w:highlight w:val="none"/>
        </w:rPr>
        <w:fldChar w:fldCharType="separate"/>
      </w:r>
      <w:r>
        <w:rPr>
          <w:rFonts w:hint="eastAsia" w:ascii="微软雅黑" w:hAnsi="微软雅黑" w:cs="微软雅黑"/>
          <w:color w:val="auto"/>
          <w:szCs w:val="21"/>
          <w:highlight w:val="none"/>
        </w:rPr>
        <w:t>https://edu.zcygov.cn/luban/e-biding</w:t>
      </w:r>
      <w:r>
        <w:rPr>
          <w:rFonts w:hint="eastAsia" w:ascii="微软雅黑" w:hAnsi="微软雅黑" w:cs="微软雅黑"/>
          <w:color w:val="auto"/>
          <w:szCs w:val="21"/>
          <w:highlight w:val="none"/>
        </w:rPr>
        <w:fldChar w:fldCharType="end"/>
      </w:r>
      <w:r>
        <w:rPr>
          <w:rFonts w:hint="eastAsia" w:ascii="微软雅黑" w:hAnsi="微软雅黑" w:cs="微软雅黑"/>
          <w:color w:val="auto"/>
          <w:szCs w:val="21"/>
          <w:highlight w:val="none"/>
        </w:rPr>
        <w:t>）。</w:t>
      </w:r>
    </w:p>
    <w:p w14:paraId="3AE67DF9">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3.惠企政策</w:t>
      </w:r>
    </w:p>
    <w:p w14:paraId="4D6F6D41">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3.1本采购项目，中标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与采购人签订的政府采购合同适用于嘉兴市政府采购贷款政策（简称“政采贷”），具体内容可参阅政府采购贷款流程：</w:t>
      </w:r>
    </w:p>
    <w:p w14:paraId="66E59C50">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http://jxszwsjb.jiaxing.gov.cn/zxfw/005001/005001004/20190315/76d484f7-8fac-497f-9359-4df81cc086da.html</w:t>
      </w:r>
    </w:p>
    <w:p w14:paraId="56A1A996">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3.2根据浙江省财政厅2022年3号文、8号文具体工作要求，鼓励政府采购</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使用政采贷获得普惠融资，使用履约保险/保函、预付款保险/保函释放保证金或者提高增信。具体内容可登录政采云平台（https://zfcg.czt.zj.gov.cn/），点击右侧咨询小采。</w:t>
      </w:r>
    </w:p>
    <w:p w14:paraId="6529333B">
      <w:pPr>
        <w:spacing w:line="460" w:lineRule="exact"/>
        <w:ind w:firstLine="0" w:firstLineChars="0"/>
        <w:jc w:val="both"/>
        <w:outlineLvl w:val="1"/>
        <w:rPr>
          <w:rFonts w:hint="eastAsia" w:ascii="微软雅黑" w:hAnsi="微软雅黑" w:cs="微软雅黑"/>
          <w:color w:val="auto"/>
          <w:kern w:val="0"/>
          <w:szCs w:val="21"/>
          <w:highlight w:val="none"/>
        </w:rPr>
      </w:pPr>
      <w:bookmarkStart w:id="22" w:name="_Toc16189"/>
      <w:bookmarkStart w:id="23" w:name="_Toc30576"/>
      <w:r>
        <w:rPr>
          <w:rFonts w:hint="eastAsia" w:ascii="微软雅黑" w:hAnsi="微软雅黑" w:cs="微软雅黑"/>
          <w:b/>
          <w:bCs/>
          <w:color w:val="auto"/>
          <w:kern w:val="0"/>
          <w:szCs w:val="21"/>
          <w:highlight w:val="none"/>
        </w:rPr>
        <w:t>七、对本次采购提出询问、质疑、投诉，请按以下方式联系</w:t>
      </w:r>
      <w:bookmarkEnd w:id="22"/>
      <w:bookmarkEnd w:id="23"/>
    </w:p>
    <w:p w14:paraId="13532518">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1.采购人信息</w:t>
      </w:r>
    </w:p>
    <w:p w14:paraId="4661C994">
      <w:pPr>
        <w:pStyle w:val="48"/>
        <w:widowControl w:val="0"/>
        <w:spacing w:before="0" w:beforeAutospacing="0" w:after="0" w:afterAutospacing="0" w:line="460" w:lineRule="exact"/>
        <w:ind w:firstLine="420"/>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名    称：嘉兴市秀洲区洪合镇人民政府</w:t>
      </w:r>
    </w:p>
    <w:p w14:paraId="680CF1EE">
      <w:pPr>
        <w:widowControl/>
        <w:spacing w:before="75" w:after="75" w:line="300" w:lineRule="atLeast"/>
        <w:ind w:firstLine="0" w:firstLineChars="0"/>
        <w:rPr>
          <w:rFonts w:hint="eastAsia" w:ascii="微软雅黑" w:hAnsi="微软雅黑" w:cs="宋体"/>
          <w:color w:val="auto"/>
          <w:kern w:val="0"/>
          <w:szCs w:val="21"/>
          <w:highlight w:val="none"/>
        </w:rPr>
      </w:pPr>
      <w:r>
        <w:rPr>
          <w:rFonts w:hint="eastAsia" w:ascii="微软雅黑" w:hAnsi="微软雅黑" w:cs="微软雅黑"/>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地</w:t>
      </w: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址： 嘉兴市秀洲区洪合镇洪运路211号</w:t>
      </w:r>
      <w:r>
        <w:rPr>
          <w:rFonts w:ascii="微软雅黑" w:hAnsi="微软雅黑" w:cs="Calibri"/>
          <w:color w:val="auto"/>
          <w:kern w:val="0"/>
          <w:szCs w:val="21"/>
          <w:highlight w:val="none"/>
        </w:rPr>
        <w:t> </w:t>
      </w:r>
    </w:p>
    <w:p w14:paraId="6938B696">
      <w:pPr>
        <w:widowControl/>
        <w:spacing w:before="75" w:after="75" w:line="300" w:lineRule="atLeast"/>
        <w:ind w:firstLine="0" w:firstLineChars="0"/>
        <w:rPr>
          <w:rFonts w:hint="eastAsia" w:ascii="微软雅黑" w:hAnsi="微软雅黑" w:cs="宋体"/>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传</w:t>
      </w: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真：</w:t>
      </w:r>
      <w:r>
        <w:rPr>
          <w:rFonts w:ascii="微软雅黑" w:hAnsi="微软雅黑" w:cs="Calibri"/>
          <w:color w:val="auto"/>
          <w:kern w:val="0"/>
          <w:szCs w:val="21"/>
          <w:highlight w:val="none"/>
        </w:rPr>
        <w:t>  </w:t>
      </w:r>
    </w:p>
    <w:p w14:paraId="7F822BA7">
      <w:pPr>
        <w:widowControl/>
        <w:spacing w:before="75" w:after="75" w:line="300" w:lineRule="atLeast"/>
        <w:ind w:firstLine="0" w:firstLineChars="0"/>
        <w:rPr>
          <w:rFonts w:hint="eastAsia" w:ascii="微软雅黑" w:hAnsi="微软雅黑" w:cs="宋体"/>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项目联系人（询问）： </w:t>
      </w:r>
      <w:r>
        <w:rPr>
          <w:rFonts w:ascii="微软雅黑" w:hAnsi="微软雅黑" w:cs="Calibri"/>
          <w:color w:val="auto"/>
          <w:kern w:val="0"/>
          <w:szCs w:val="21"/>
          <w:highlight w:val="none"/>
        </w:rPr>
        <w:t>  </w:t>
      </w:r>
      <w:r>
        <w:rPr>
          <w:rFonts w:hint="eastAsia" w:ascii="微软雅黑" w:hAnsi="微软雅黑" w:cs="Calibri"/>
          <w:color w:val="auto"/>
          <w:kern w:val="0"/>
          <w:szCs w:val="21"/>
          <w:highlight w:val="none"/>
        </w:rPr>
        <w:t>朱炫</w:t>
      </w:r>
    </w:p>
    <w:p w14:paraId="5A41B66C">
      <w:pPr>
        <w:widowControl/>
        <w:spacing w:before="75" w:after="75" w:line="300" w:lineRule="atLeast"/>
        <w:ind w:firstLine="0" w:firstLineChars="0"/>
        <w:rPr>
          <w:rFonts w:hint="eastAsia" w:ascii="微软雅黑" w:hAnsi="微软雅黑" w:cs="宋体"/>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项目联系方式（询问）：15024341924 </w:t>
      </w:r>
    </w:p>
    <w:p w14:paraId="03A7FAD8">
      <w:pPr>
        <w:widowControl/>
        <w:spacing w:before="75" w:after="75" w:line="300" w:lineRule="atLeast"/>
        <w:ind w:firstLine="0" w:firstLineChars="0"/>
        <w:rPr>
          <w:rFonts w:hint="eastAsia" w:ascii="微软雅黑" w:hAnsi="微软雅黑" w:cs="宋体"/>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质疑联系人：王司佳 </w:t>
      </w: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w:t>
      </w:r>
      <w:r>
        <w:rPr>
          <w:rFonts w:ascii="微软雅黑" w:hAnsi="微软雅黑" w:cs="Calibri"/>
          <w:color w:val="auto"/>
          <w:kern w:val="0"/>
          <w:szCs w:val="21"/>
          <w:highlight w:val="none"/>
        </w:rPr>
        <w:t> </w:t>
      </w:r>
    </w:p>
    <w:p w14:paraId="15CE95D1">
      <w:pPr>
        <w:widowControl/>
        <w:spacing w:before="75" w:after="75" w:line="300" w:lineRule="atLeast"/>
        <w:ind w:firstLine="0" w:firstLineChars="0"/>
        <w:rPr>
          <w:rFonts w:hint="eastAsia" w:ascii="微软雅黑" w:hAnsi="微软雅黑" w:cs="宋体"/>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宋体"/>
          <w:color w:val="auto"/>
          <w:kern w:val="0"/>
          <w:szCs w:val="21"/>
          <w:highlight w:val="none"/>
        </w:rPr>
        <w:t xml:space="preserve"> 质疑联系方式：0573-83366202 </w:t>
      </w:r>
      <w:r>
        <w:rPr>
          <w:rFonts w:ascii="微软雅黑" w:hAnsi="微软雅黑" w:cs="Calibri"/>
          <w:color w:val="auto"/>
          <w:kern w:val="0"/>
          <w:szCs w:val="21"/>
          <w:highlight w:val="none"/>
        </w:rPr>
        <w:t> </w:t>
      </w:r>
    </w:p>
    <w:p w14:paraId="24D6956C">
      <w:pPr>
        <w:spacing w:line="460" w:lineRule="exact"/>
        <w:ind w:firstLine="0" w:firstLineChars="0"/>
        <w:rPr>
          <w:rFonts w:hint="eastAsia" w:ascii="微软雅黑" w:hAnsi="微软雅黑" w:cs="微软雅黑"/>
          <w:color w:val="auto"/>
          <w:szCs w:val="21"/>
          <w:highlight w:val="none"/>
        </w:rPr>
      </w:pPr>
    </w:p>
    <w:p w14:paraId="5912B5C3">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2.采购代理机构信息            </w:t>
      </w:r>
    </w:p>
    <w:p w14:paraId="1F801287">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名    称：嘉兴市千秋工程咨询有限公司             </w:t>
      </w:r>
    </w:p>
    <w:p w14:paraId="6E21421A">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地    址：嘉兴市秀洲区新平路299号中禾广场23楼             </w:t>
      </w:r>
    </w:p>
    <w:p w14:paraId="1E278F6C">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传    真：0573-83705013             </w:t>
      </w:r>
    </w:p>
    <w:p w14:paraId="18927567">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项目联系人（询问）：章莉莉             </w:t>
      </w:r>
    </w:p>
    <w:p w14:paraId="33716AB8">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项目联系方式（询问）：0573-83705015 13605735186 </w:t>
      </w:r>
    </w:p>
    <w:p w14:paraId="02FCAFFB">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质疑联系人：项兴戟             </w:t>
      </w:r>
    </w:p>
    <w:p w14:paraId="25E20957">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质疑联系方式：0573-83705015 13605738567 　　　　　　     </w:t>
      </w:r>
    </w:p>
    <w:p w14:paraId="395FC543">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w:t>
      </w:r>
    </w:p>
    <w:p w14:paraId="544699D7">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3.同级政府采购监督管理部门            </w:t>
      </w:r>
    </w:p>
    <w:p w14:paraId="163DF2D7">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名    称：嘉兴市秀洲区财政局</w:t>
      </w:r>
    </w:p>
    <w:p w14:paraId="67044AF9">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地    址： /</w:t>
      </w:r>
    </w:p>
    <w:p w14:paraId="3B47D6C0">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传    真：/ </w:t>
      </w:r>
    </w:p>
    <w:p w14:paraId="25E27617">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联系人 ：宋女士</w:t>
      </w:r>
    </w:p>
    <w:p w14:paraId="2A64948C">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监督投诉电话：0573-82720085  </w:t>
      </w:r>
    </w:p>
    <w:p w14:paraId="26DC48F0">
      <w:pPr>
        <w:spacing w:line="460" w:lineRule="exact"/>
        <w:ind w:firstLine="420"/>
        <w:rPr>
          <w:rFonts w:hint="eastAsia" w:ascii="微软雅黑" w:hAnsi="微软雅黑" w:cs="微软雅黑"/>
          <w:color w:val="auto"/>
          <w:szCs w:val="21"/>
          <w:highlight w:val="none"/>
        </w:rPr>
      </w:pPr>
    </w:p>
    <w:p w14:paraId="6854FFCF">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若对项目采购电子交易系统操作有疑问，可登录政采云（https://zfcg.czt.zj.gov.cn/），点击右侧咨询小采，获取采小蜜智能服务管家帮助，或拨打政采云服务热线95763获取热线服务帮助。</w:t>
      </w:r>
    </w:p>
    <w:p w14:paraId="39FDC561">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szCs w:val="21"/>
          <w:highlight w:val="none"/>
        </w:rPr>
        <w:t>CA问题联系电话（人工）：汇信CA 400-888-4636；天谷CA 400-087-8198。</w:t>
      </w:r>
      <w:r>
        <w:rPr>
          <w:rFonts w:hint="eastAsia" w:ascii="微软雅黑" w:hAnsi="微软雅黑" w:cs="微软雅黑"/>
          <w:color w:val="auto"/>
          <w:kern w:val="0"/>
          <w:szCs w:val="21"/>
          <w:highlight w:val="none"/>
        </w:rPr>
        <w:t xml:space="preserve">          </w:t>
      </w:r>
    </w:p>
    <w:p w14:paraId="4868D2E2">
      <w:pPr>
        <w:pStyle w:val="2"/>
        <w:keepNext w:val="0"/>
        <w:keepLines w:val="0"/>
        <w:rPr>
          <w:rStyle w:val="64"/>
          <w:b/>
          <w:bCs/>
          <w:color w:val="auto"/>
          <w:highlight w:val="none"/>
        </w:rPr>
        <w:sectPr>
          <w:pgSz w:w="11906" w:h="16838"/>
          <w:pgMar w:top="1474" w:right="1797" w:bottom="1247" w:left="1797" w:header="851" w:footer="851" w:gutter="0"/>
          <w:cols w:space="720" w:num="1"/>
          <w:docGrid w:linePitch="312" w:charSpace="0"/>
        </w:sectPr>
      </w:pPr>
      <w:bookmarkStart w:id="24" w:name="_Toc5875"/>
    </w:p>
    <w:p w14:paraId="110E6096">
      <w:pPr>
        <w:pStyle w:val="2"/>
        <w:keepNext w:val="0"/>
        <w:keepLines w:val="0"/>
        <w:numPr>
          <w:ilvl w:val="0"/>
          <w:numId w:val="3"/>
        </w:numPr>
        <w:rPr>
          <w:rStyle w:val="64"/>
          <w:b/>
          <w:bCs/>
          <w:color w:val="auto"/>
          <w:highlight w:val="none"/>
        </w:rPr>
      </w:pPr>
      <w:r>
        <w:rPr>
          <w:rStyle w:val="64"/>
          <w:rFonts w:hint="eastAsia"/>
          <w:b/>
          <w:bCs/>
          <w:color w:val="auto"/>
          <w:highlight w:val="none"/>
        </w:rPr>
        <w:t xml:space="preserve">  </w:t>
      </w:r>
      <w:bookmarkStart w:id="25" w:name="_Toc15662"/>
      <w:r>
        <w:rPr>
          <w:rStyle w:val="64"/>
          <w:rFonts w:hint="eastAsia"/>
          <w:b/>
          <w:bCs/>
          <w:color w:val="auto"/>
          <w:highlight w:val="none"/>
        </w:rPr>
        <w:t>招标项目要求</w:t>
      </w:r>
      <w:bookmarkEnd w:id="10"/>
      <w:bookmarkEnd w:id="24"/>
      <w:bookmarkEnd w:id="25"/>
    </w:p>
    <w:p w14:paraId="089E8C55">
      <w:pPr>
        <w:pStyle w:val="305"/>
        <w:numPr>
          <w:ilvl w:val="0"/>
          <w:numId w:val="4"/>
        </w:numPr>
        <w:spacing w:after="120" w:line="460" w:lineRule="exact"/>
        <w:ind w:firstLineChars="0"/>
        <w:outlineLvl w:val="2"/>
        <w:rPr>
          <w:rFonts w:hint="eastAsia" w:ascii="微软雅黑" w:hAnsi="微软雅黑" w:eastAsia="微软雅黑" w:cs="微软雅黑"/>
          <w:b/>
          <w:color w:val="auto"/>
          <w:sz w:val="21"/>
          <w:szCs w:val="21"/>
          <w:highlight w:val="none"/>
        </w:rPr>
      </w:pPr>
      <w:bookmarkStart w:id="26" w:name="_Toc9401"/>
      <w:bookmarkStart w:id="27" w:name="_Toc19683"/>
      <w:bookmarkStart w:id="28" w:name="_Toc493511542"/>
      <w:r>
        <w:rPr>
          <w:rFonts w:hint="eastAsia" w:ascii="微软雅黑" w:hAnsi="微软雅黑" w:eastAsia="微软雅黑" w:cs="微软雅黑"/>
          <w:b/>
          <w:color w:val="auto"/>
          <w:sz w:val="21"/>
          <w:szCs w:val="21"/>
          <w:highlight w:val="none"/>
        </w:rPr>
        <w:t>项目需求</w:t>
      </w:r>
      <w:bookmarkStart w:id="29" w:name="_Toc489000185"/>
      <w:bookmarkStart w:id="30" w:name="_Toc478227653"/>
    </w:p>
    <w:p w14:paraId="60AF5257">
      <w:pPr>
        <w:pStyle w:val="305"/>
        <w:spacing w:after="120" w:line="460" w:lineRule="exact"/>
        <w:ind w:firstLine="420"/>
        <w:outlineLvl w:val="2"/>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根据《浙江省圩区运行管理规程》（试行）、《嘉兴市水利工程标准化管理实施方案》《嘉兴市本级水利工程标准化管理物业化工作考核管理办法》等相关要求，秀洲区洪合镇圩区标准化创建及运维项目内容包括：标准化管理文本编制、圩区划界方案编制、圩区运行管护、沉降观测、标识标牌及防汛物资采购等。</w:t>
      </w:r>
    </w:p>
    <w:bookmarkEnd w:id="29"/>
    <w:bookmarkEnd w:id="30"/>
    <w:p w14:paraId="54AD2175">
      <w:pPr>
        <w:pStyle w:val="305"/>
        <w:numPr>
          <w:ilvl w:val="0"/>
          <w:numId w:val="4"/>
        </w:numPr>
        <w:spacing w:after="120" w:line="460" w:lineRule="exact"/>
        <w:ind w:firstLineChars="0"/>
        <w:outlineLvl w:val="2"/>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bCs/>
          <w:color w:val="auto"/>
          <w:sz w:val="21"/>
          <w:szCs w:val="21"/>
          <w:highlight w:val="none"/>
        </w:rPr>
        <w:t>服务要求</w:t>
      </w:r>
    </w:p>
    <w:p w14:paraId="04FC145D">
      <w:pPr>
        <w:pStyle w:val="101"/>
        <w:widowControl/>
        <w:numPr>
          <w:ilvl w:val="0"/>
          <w:numId w:val="5"/>
        </w:numPr>
        <w:snapToGrid w:val="0"/>
        <w:spacing w:line="460" w:lineRule="exact"/>
        <w:ind w:firstLineChars="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编制全套标准化管理文本</w:t>
      </w:r>
    </w:p>
    <w:p w14:paraId="2283EF43">
      <w:pPr>
        <w:widowControl/>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对泾桥圩区、新王桥圩区编制全套标准化管理文本：包括管理体制相关文件资料、标准化管理手册、岗位职责人员事项对应表、各类规章制度、操作流程、防汛预案、防汛物资管理、工程抢险预案、安全应急预案等。各类资料收集、验收台账资料整理汇编。</w:t>
      </w:r>
    </w:p>
    <w:p w14:paraId="6754F129">
      <w:pPr>
        <w:pStyle w:val="101"/>
        <w:widowControl/>
        <w:numPr>
          <w:ilvl w:val="0"/>
          <w:numId w:val="5"/>
        </w:numPr>
        <w:snapToGrid w:val="0"/>
        <w:spacing w:line="460" w:lineRule="exact"/>
        <w:ind w:firstLineChars="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圩区划界方案编制</w:t>
      </w:r>
    </w:p>
    <w:p w14:paraId="53FA1A26">
      <w:pPr>
        <w:widowControl/>
        <w:snapToGrid w:val="0"/>
        <w:spacing w:line="460" w:lineRule="exact"/>
        <w:ind w:left="420"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对泾桥圩区、新王桥圩区进行圩区划界方案文本编制。</w:t>
      </w:r>
    </w:p>
    <w:p w14:paraId="5D3C50F8">
      <w:pPr>
        <w:pStyle w:val="101"/>
        <w:widowControl/>
        <w:numPr>
          <w:ilvl w:val="0"/>
          <w:numId w:val="5"/>
        </w:numPr>
        <w:snapToGrid w:val="0"/>
        <w:spacing w:line="460" w:lineRule="exact"/>
        <w:ind w:firstLineChars="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圩区运行管护</w:t>
      </w:r>
    </w:p>
    <w:p w14:paraId="665CF60B">
      <w:pPr>
        <w:pStyle w:val="101"/>
        <w:widowControl/>
        <w:numPr>
          <w:ilvl w:val="0"/>
          <w:numId w:val="6"/>
        </w:numPr>
        <w:snapToGrid w:val="0"/>
        <w:spacing w:line="460" w:lineRule="exact"/>
        <w:ind w:left="0" w:firstLine="426" w:firstLineChars="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运行管理基本情况</w:t>
      </w:r>
    </w:p>
    <w:p w14:paraId="6087DE16">
      <w:pPr>
        <w:pStyle w:val="101"/>
        <w:widowControl/>
        <w:snapToGrid w:val="0"/>
        <w:spacing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本次维护、运行管理责任范围：33座闸站的运行管理、堤防巡查、河道换水和防汛值班。</w:t>
      </w:r>
      <w:r>
        <w:rPr>
          <w:rFonts w:hint="eastAsia" w:ascii="微软雅黑" w:hAnsi="微软雅黑" w:cs="微软雅黑"/>
          <w:color w:val="auto"/>
          <w:szCs w:val="21"/>
          <w:highlight w:val="none"/>
        </w:rPr>
        <w:t>泾桥圩区维护、运行管理人员需配备不少于6人、新王桥圩区维护、运行管理人员需配备不少于4人。</w:t>
      </w:r>
    </w:p>
    <w:p w14:paraId="2935E779">
      <w:pPr>
        <w:pStyle w:val="101"/>
        <w:widowControl/>
        <w:numPr>
          <w:ilvl w:val="1"/>
          <w:numId w:val="7"/>
        </w:numPr>
        <w:snapToGrid w:val="0"/>
        <w:spacing w:line="460" w:lineRule="exact"/>
        <w:ind w:left="0"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日常运行管理的闸站：</w:t>
      </w:r>
    </w:p>
    <w:p w14:paraId="6A8CEB39">
      <w:pPr>
        <w:keepNext w:val="0"/>
        <w:keepLines w:val="0"/>
        <w:widowControl/>
        <w:suppressLineNumbers w:val="0"/>
        <w:jc w:val="left"/>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泾桥圩区（21座）：蒋姑庙桥港北闸</w:t>
      </w:r>
      <w:r>
        <w:rPr>
          <w:rFonts w:hint="eastAsia" w:ascii="微软雅黑" w:hAnsi="微软雅黑" w:cs="微软雅黑"/>
          <w:color w:val="auto"/>
          <w:szCs w:val="21"/>
          <w:highlight w:val="none"/>
          <w:lang w:eastAsia="zh-CN"/>
        </w:rPr>
        <w:t>、蒋姑庙桥港南闸、毛家桥港闸站、廊下村闸站、林塘头闸站、姚家弄闸站、南家浜闸站、</w:t>
      </w:r>
      <w:r>
        <w:rPr>
          <w:rFonts w:hint="eastAsia" w:ascii="微软雅黑" w:hAnsi="微软雅黑" w:cs="微软雅黑"/>
          <w:color w:val="auto"/>
          <w:szCs w:val="21"/>
          <w:highlight w:val="none"/>
          <w:lang w:val="en-US" w:eastAsia="zh-CN"/>
        </w:rPr>
        <w:t>3</w:t>
      </w:r>
      <w:r>
        <w:rPr>
          <w:rFonts w:hint="default" w:ascii="微软雅黑" w:hAnsi="微软雅黑" w:cs="微软雅黑"/>
          <w:color w:val="auto"/>
          <w:szCs w:val="21"/>
          <w:highlight w:val="none"/>
          <w:lang w:val="en-US" w:eastAsia="zh-CN"/>
        </w:rPr>
        <w:t>#</w:t>
      </w:r>
      <w:r>
        <w:rPr>
          <w:rFonts w:hint="eastAsia" w:ascii="微软雅黑" w:hAnsi="微软雅黑" w:cs="微软雅黑"/>
          <w:color w:val="auto"/>
          <w:szCs w:val="21"/>
          <w:highlight w:val="none"/>
          <w:lang w:val="en-US" w:eastAsia="zh-CN"/>
        </w:rPr>
        <w:t>泵站、4</w:t>
      </w:r>
      <w:r>
        <w:rPr>
          <w:rFonts w:hint="default" w:ascii="微软雅黑" w:hAnsi="微软雅黑" w:cs="微软雅黑"/>
          <w:color w:val="auto"/>
          <w:szCs w:val="21"/>
          <w:highlight w:val="none"/>
          <w:lang w:val="en-US" w:eastAsia="zh-CN"/>
        </w:rPr>
        <w:t>#</w:t>
      </w:r>
      <w:r>
        <w:rPr>
          <w:rFonts w:hint="eastAsia" w:ascii="微软雅黑" w:hAnsi="微软雅黑" w:cs="微软雅黑"/>
          <w:color w:val="auto"/>
          <w:szCs w:val="21"/>
          <w:highlight w:val="none"/>
          <w:lang w:val="en-US" w:eastAsia="zh-CN"/>
        </w:rPr>
        <w:t>泵站、</w:t>
      </w:r>
      <w:r>
        <w:rPr>
          <w:rFonts w:hint="eastAsia" w:ascii="微软雅黑" w:hAnsi="微软雅黑" w:cs="微软雅黑"/>
          <w:color w:val="auto"/>
          <w:szCs w:val="21"/>
          <w:highlight w:val="none"/>
          <w:lang w:eastAsia="zh-CN"/>
        </w:rPr>
        <w:t>张保里闸站、韩家圣堂闸站、李家弄浜闸站、桥头港闸站、洋泾港西闸站、愈家泾闸站、</w:t>
      </w:r>
      <w:r>
        <w:rPr>
          <w:rFonts w:hint="default" w:ascii="微软雅黑" w:hAnsi="微软雅黑" w:cs="微软雅黑"/>
          <w:color w:val="auto"/>
          <w:szCs w:val="21"/>
          <w:highlight w:val="none"/>
          <w:lang w:val="en-US" w:eastAsia="zh-CN"/>
        </w:rPr>
        <w:t>1#</w:t>
      </w:r>
      <w:r>
        <w:rPr>
          <w:rFonts w:hint="eastAsia" w:ascii="微软雅黑" w:hAnsi="微软雅黑" w:cs="微软雅黑"/>
          <w:color w:val="auto"/>
          <w:szCs w:val="21"/>
          <w:highlight w:val="none"/>
          <w:lang w:val="en-US" w:eastAsia="zh-CN"/>
        </w:rPr>
        <w:t>泵站、2</w:t>
      </w:r>
      <w:r>
        <w:rPr>
          <w:rFonts w:hint="default" w:ascii="微软雅黑" w:hAnsi="微软雅黑" w:cs="微软雅黑"/>
          <w:color w:val="auto"/>
          <w:szCs w:val="21"/>
          <w:highlight w:val="none"/>
          <w:lang w:val="en-US" w:eastAsia="zh-CN"/>
        </w:rPr>
        <w:t>#</w:t>
      </w:r>
      <w:r>
        <w:rPr>
          <w:rFonts w:hint="eastAsia" w:ascii="微软雅黑" w:hAnsi="微软雅黑" w:cs="微软雅黑"/>
          <w:color w:val="auto"/>
          <w:szCs w:val="21"/>
          <w:highlight w:val="none"/>
          <w:lang w:val="en-US" w:eastAsia="zh-CN"/>
        </w:rPr>
        <w:t>泵站、</w:t>
      </w:r>
      <w:r>
        <w:rPr>
          <w:rFonts w:hint="eastAsia" w:ascii="微软雅黑" w:hAnsi="微软雅黑" w:cs="微软雅黑"/>
          <w:color w:val="auto"/>
          <w:szCs w:val="21"/>
          <w:highlight w:val="none"/>
          <w:lang w:eastAsia="zh-CN"/>
        </w:rPr>
        <w:t>洋泾港东闸站、朱家弄浜水闸、周东村水闸、</w:t>
      </w:r>
      <w:r>
        <w:rPr>
          <w:rFonts w:hint="eastAsia" w:ascii="微软雅黑" w:hAnsi="微软雅黑" w:cs="微软雅黑"/>
          <w:color w:val="auto"/>
          <w:szCs w:val="21"/>
          <w:highlight w:val="none"/>
          <w:lang w:val="en-US" w:eastAsia="zh-CN"/>
        </w:rPr>
        <w:t>周东村排涝泵站</w:t>
      </w:r>
      <w:r>
        <w:rPr>
          <w:rFonts w:hint="eastAsia" w:ascii="微软雅黑" w:hAnsi="微软雅黑" w:cs="微软雅黑"/>
          <w:color w:val="auto"/>
          <w:szCs w:val="21"/>
          <w:highlight w:val="none"/>
        </w:rPr>
        <w:t>。</w:t>
      </w:r>
    </w:p>
    <w:p w14:paraId="2896B3B8">
      <w:pPr>
        <w:pStyle w:val="101"/>
        <w:widowControl/>
        <w:numPr>
          <w:ilvl w:val="1"/>
          <w:numId w:val="8"/>
        </w:numPr>
        <w:snapToGrid w:val="0"/>
        <w:spacing w:line="460" w:lineRule="exact"/>
        <w:ind w:left="0" w:firstLine="44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新王桥圩区（12座）：倪家桥港闸站、王西浜闸站、冬瓜浜闸站、白鹤桥港闸站、于打子桥港闸站、邵家浜闸站、方家浜闸站、顾家港闸站、吴家浜闸站、洪建港闸站、大木桥港东闸站、新开河西闸站。</w:t>
      </w:r>
    </w:p>
    <w:p w14:paraId="1F42F610">
      <w:pPr>
        <w:pStyle w:val="101"/>
        <w:widowControl/>
        <w:numPr>
          <w:ilvl w:val="1"/>
          <w:numId w:val="7"/>
        </w:numPr>
        <w:snapToGrid w:val="0"/>
        <w:spacing w:line="460" w:lineRule="exact"/>
        <w:ind w:left="0" w:firstLine="426"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日常河道换水时需调度各闸站的运行。</w:t>
      </w:r>
    </w:p>
    <w:p w14:paraId="4607C8A4">
      <w:pPr>
        <w:pStyle w:val="101"/>
        <w:widowControl/>
        <w:numPr>
          <w:ilvl w:val="1"/>
          <w:numId w:val="7"/>
        </w:numPr>
        <w:snapToGrid w:val="0"/>
        <w:spacing w:line="460" w:lineRule="exact"/>
        <w:ind w:left="0" w:firstLine="426"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汛期三级及以上响应时需再加强值班保障。</w:t>
      </w:r>
    </w:p>
    <w:p w14:paraId="085719E7">
      <w:pPr>
        <w:pStyle w:val="101"/>
        <w:widowControl/>
        <w:numPr>
          <w:ilvl w:val="1"/>
          <w:numId w:val="7"/>
        </w:numPr>
        <w:snapToGrid w:val="0"/>
        <w:spacing w:line="460" w:lineRule="exact"/>
        <w:ind w:left="0" w:firstLine="426"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自动化系统软硬件维护</w:t>
      </w:r>
    </w:p>
    <w:p w14:paraId="52595B15">
      <w:pPr>
        <w:pStyle w:val="101"/>
        <w:widowControl/>
        <w:numPr>
          <w:ilvl w:val="0"/>
          <w:numId w:val="9"/>
        </w:numPr>
        <w:snapToGrid w:val="0"/>
        <w:spacing w:line="460" w:lineRule="exact"/>
        <w:ind w:left="0" w:firstLine="424"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泾桥圩区（</w:t>
      </w:r>
      <w:r>
        <w:rPr>
          <w:rFonts w:hint="eastAsia" w:ascii="微软雅黑" w:hAnsi="微软雅黑" w:cs="微软雅黑"/>
          <w:color w:val="auto"/>
          <w:szCs w:val="21"/>
          <w:highlight w:val="none"/>
          <w:u w:val="single"/>
          <w:lang w:val="en-US" w:eastAsia="zh-CN"/>
        </w:rPr>
        <w:t>17</w:t>
      </w:r>
      <w:r>
        <w:rPr>
          <w:rFonts w:hint="eastAsia" w:ascii="微软雅黑" w:hAnsi="微软雅黑" w:cs="微软雅黑"/>
          <w:color w:val="auto"/>
          <w:szCs w:val="21"/>
          <w:highlight w:val="none"/>
          <w:u w:val="single"/>
        </w:rPr>
        <w:t xml:space="preserve"> 座</w:t>
      </w:r>
      <w:r>
        <w:rPr>
          <w:rFonts w:hint="eastAsia" w:ascii="微软雅黑" w:hAnsi="微软雅黑" w:cs="微软雅黑"/>
          <w:color w:val="auto"/>
          <w:szCs w:val="21"/>
          <w:highlight w:val="none"/>
        </w:rPr>
        <w:t>）：蒋姑庙桥港北闸</w:t>
      </w:r>
      <w:r>
        <w:rPr>
          <w:rFonts w:hint="eastAsia" w:ascii="微软雅黑" w:hAnsi="微软雅黑" w:cs="微软雅黑"/>
          <w:color w:val="auto"/>
          <w:szCs w:val="21"/>
          <w:highlight w:val="none"/>
          <w:lang w:eastAsia="zh-CN"/>
        </w:rPr>
        <w:t>、蒋姑庙桥港南闸、毛家桥港闸站、廊下村闸站、林塘头闸站、姚家弄闸站、南家浜闸站、张保里闸站、韩家圣堂闸站、李家弄浜闸站、桥头港闸站、洋泾港西闸站、愈家泾闸站、洋泾港东闸站、朱家弄浜水闸、周东村水闸、自动化控制中心</w:t>
      </w:r>
      <w:r>
        <w:rPr>
          <w:rFonts w:hint="eastAsia" w:ascii="微软雅黑" w:hAnsi="微软雅黑" w:cs="微软雅黑"/>
          <w:color w:val="auto"/>
          <w:szCs w:val="21"/>
          <w:highlight w:val="none"/>
        </w:rPr>
        <w:t>。</w:t>
      </w:r>
    </w:p>
    <w:p w14:paraId="0686F094">
      <w:pPr>
        <w:pStyle w:val="101"/>
        <w:widowControl/>
        <w:numPr>
          <w:ilvl w:val="0"/>
          <w:numId w:val="9"/>
        </w:numPr>
        <w:snapToGrid w:val="0"/>
        <w:spacing w:line="460" w:lineRule="exact"/>
        <w:ind w:left="0" w:firstLine="424"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新王桥圩区（1</w:t>
      </w:r>
      <w:r>
        <w:rPr>
          <w:rFonts w:hint="eastAsia" w:ascii="微软雅黑" w:hAnsi="微软雅黑" w:cs="微软雅黑"/>
          <w:color w:val="auto"/>
          <w:szCs w:val="21"/>
          <w:highlight w:val="none"/>
          <w:lang w:val="en-US" w:eastAsia="zh-CN"/>
        </w:rPr>
        <w:t>2</w:t>
      </w:r>
      <w:r>
        <w:rPr>
          <w:rFonts w:hint="eastAsia" w:ascii="微软雅黑" w:hAnsi="微软雅黑" w:cs="微软雅黑"/>
          <w:color w:val="auto"/>
          <w:szCs w:val="21"/>
          <w:highlight w:val="none"/>
        </w:rPr>
        <w:t>座）：倪家桥港闸站、王西浜闸站、冬瓜浜闸站、白鹤桥港闸站、于打子桥港闸站、邵家浜闸站、方家浜闸站、顾家港闸站、吴家浜闸站、洪建港闸站、大木桥港东闸站、新开河西闸站。</w:t>
      </w:r>
    </w:p>
    <w:p w14:paraId="61D3ACE8">
      <w:pPr>
        <w:pStyle w:val="101"/>
        <w:widowControl/>
        <w:numPr>
          <w:ilvl w:val="1"/>
          <w:numId w:val="7"/>
        </w:numPr>
        <w:snapToGrid w:val="0"/>
        <w:spacing w:line="460" w:lineRule="exact"/>
        <w:ind w:left="0" w:firstLine="426"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网络租赁费</w:t>
      </w:r>
    </w:p>
    <w:p w14:paraId="659D4BE9">
      <w:pPr>
        <w:pStyle w:val="101"/>
        <w:widowControl/>
        <w:numPr>
          <w:ilvl w:val="0"/>
          <w:numId w:val="10"/>
        </w:numPr>
        <w:snapToGrid w:val="0"/>
        <w:spacing w:line="460" w:lineRule="exact"/>
        <w:ind w:left="0" w:firstLine="426"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新王桥圩区：</w:t>
      </w:r>
      <w:r>
        <w:rPr>
          <w:rFonts w:hint="eastAsia" w:ascii="微软雅黑" w:hAnsi="微软雅黑" w:cs="微软雅黑"/>
          <w:color w:val="auto"/>
          <w:szCs w:val="21"/>
          <w:highlight w:val="none"/>
        </w:rPr>
        <w:t>1</w:t>
      </w:r>
      <w:r>
        <w:rPr>
          <w:rFonts w:hint="eastAsia" w:ascii="微软雅黑" w:hAnsi="微软雅黑" w:cs="微软雅黑"/>
          <w:color w:val="auto"/>
          <w:szCs w:val="21"/>
          <w:highlight w:val="none"/>
          <w:lang w:val="en-US" w:eastAsia="zh-CN"/>
        </w:rPr>
        <w:t>2</w:t>
      </w:r>
      <w:r>
        <w:rPr>
          <w:rFonts w:hint="eastAsia" w:ascii="微软雅黑" w:hAnsi="微软雅黑" w:cs="微软雅黑"/>
          <w:color w:val="auto"/>
          <w:szCs w:val="21"/>
          <w:highlight w:val="none"/>
        </w:rPr>
        <w:t>条VPN专网租赁费（</w:t>
      </w:r>
      <w:r>
        <w:rPr>
          <w:rFonts w:hint="eastAsia" w:ascii="微软雅黑" w:hAnsi="微软雅黑" w:cs="微软雅黑"/>
          <w:color w:val="auto"/>
          <w:szCs w:val="21"/>
          <w:highlight w:val="none"/>
          <w:lang w:val="en-US" w:eastAsia="zh-CN"/>
        </w:rPr>
        <w:t>①其中10</w:t>
      </w:r>
      <w:r>
        <w:rPr>
          <w:rFonts w:hint="eastAsia" w:ascii="微软雅黑" w:hAnsi="微软雅黑" w:cs="微软雅黑"/>
          <w:color w:val="auto"/>
          <w:szCs w:val="21"/>
          <w:highlight w:val="none"/>
        </w:rPr>
        <w:t>条20M的VPN</w:t>
      </w:r>
      <w:r>
        <w:rPr>
          <w:rFonts w:hint="eastAsia" w:ascii="微软雅黑" w:hAnsi="微软雅黑" w:cs="微软雅黑"/>
          <w:color w:val="auto"/>
          <w:szCs w:val="21"/>
          <w:highlight w:val="none"/>
          <w:lang w:eastAsia="zh-CN"/>
        </w:rPr>
        <w:t>：</w:t>
      </w:r>
      <w:r>
        <w:rPr>
          <w:rFonts w:hint="eastAsia" w:ascii="微软雅黑" w:hAnsi="微软雅黑" w:cs="微软雅黑"/>
          <w:color w:val="auto"/>
          <w:szCs w:val="21"/>
          <w:highlight w:val="none"/>
        </w:rPr>
        <w:t>202</w:t>
      </w:r>
      <w:r>
        <w:rPr>
          <w:rFonts w:hint="eastAsia" w:ascii="微软雅黑" w:hAnsi="微软雅黑" w:cs="微软雅黑"/>
          <w:color w:val="auto"/>
          <w:szCs w:val="21"/>
          <w:highlight w:val="none"/>
          <w:lang w:val="en-US" w:eastAsia="zh-CN"/>
        </w:rPr>
        <w:t>5</w:t>
      </w:r>
      <w:r>
        <w:rPr>
          <w:rFonts w:hint="eastAsia" w:ascii="微软雅黑" w:hAnsi="微软雅黑" w:cs="微软雅黑"/>
          <w:color w:val="auto"/>
          <w:szCs w:val="21"/>
          <w:highlight w:val="none"/>
        </w:rPr>
        <w:t>年</w:t>
      </w:r>
      <w:r>
        <w:rPr>
          <w:rFonts w:hint="eastAsia" w:ascii="微软雅黑" w:hAnsi="微软雅黑" w:cs="微软雅黑"/>
          <w:color w:val="auto"/>
          <w:szCs w:val="21"/>
          <w:highlight w:val="none"/>
          <w:lang w:val="en-US" w:eastAsia="zh-CN"/>
        </w:rPr>
        <w:t>1</w:t>
      </w:r>
      <w:r>
        <w:rPr>
          <w:rFonts w:hint="eastAsia" w:ascii="微软雅黑" w:hAnsi="微软雅黑" w:cs="微软雅黑"/>
          <w:color w:val="auto"/>
          <w:szCs w:val="21"/>
          <w:highlight w:val="none"/>
        </w:rPr>
        <w:t>月~202</w:t>
      </w:r>
      <w:r>
        <w:rPr>
          <w:rFonts w:hint="eastAsia" w:ascii="微软雅黑" w:hAnsi="微软雅黑" w:cs="微软雅黑"/>
          <w:color w:val="auto"/>
          <w:szCs w:val="21"/>
          <w:highlight w:val="none"/>
          <w:lang w:val="en-US" w:eastAsia="zh-CN"/>
        </w:rPr>
        <w:t>5</w:t>
      </w:r>
      <w:r>
        <w:rPr>
          <w:rFonts w:hint="eastAsia" w:ascii="微软雅黑" w:hAnsi="微软雅黑" w:cs="微软雅黑"/>
          <w:color w:val="auto"/>
          <w:szCs w:val="21"/>
          <w:highlight w:val="none"/>
        </w:rPr>
        <w:t>年12月。</w:t>
      </w:r>
      <w:r>
        <w:rPr>
          <w:rFonts w:hint="eastAsia" w:ascii="微软雅黑" w:hAnsi="微软雅黑" w:cs="微软雅黑"/>
          <w:color w:val="auto"/>
          <w:szCs w:val="21"/>
          <w:highlight w:val="none"/>
          <w:lang w:val="en-US" w:eastAsia="zh-CN"/>
        </w:rPr>
        <w:t>分别为</w:t>
      </w:r>
      <w:r>
        <w:rPr>
          <w:rFonts w:hint="eastAsia" w:ascii="微软雅黑" w:hAnsi="微软雅黑" w:cs="微软雅黑"/>
          <w:color w:val="auto"/>
          <w:szCs w:val="21"/>
          <w:highlight w:val="none"/>
        </w:rPr>
        <w:t>：倪家桥港闸站、王西浜闸站、冬瓜浜闸站、白鹤桥港闸站、于打子桥港闸站、邵家浜闸站、方家浜闸站、顾家港闸站、吴家浜闸站、洪建港闸站</w:t>
      </w:r>
      <w:r>
        <w:rPr>
          <w:rFonts w:hint="eastAsia" w:ascii="微软雅黑" w:hAnsi="微软雅黑" w:cs="微软雅黑"/>
          <w:color w:val="auto"/>
          <w:szCs w:val="21"/>
          <w:highlight w:val="none"/>
          <w:lang w:eastAsia="zh-CN"/>
        </w:rPr>
        <w:t>。</w:t>
      </w:r>
      <w:r>
        <w:rPr>
          <w:rFonts w:hint="eastAsia" w:ascii="微软雅黑" w:hAnsi="微软雅黑" w:cs="微软雅黑"/>
          <w:color w:val="auto"/>
          <w:szCs w:val="21"/>
          <w:highlight w:val="none"/>
          <w:lang w:val="en-US" w:eastAsia="zh-CN"/>
        </w:rPr>
        <w:t>②2条20M的VPN：2025年8月-2025年12月。分别为</w:t>
      </w:r>
      <w:r>
        <w:rPr>
          <w:rFonts w:hint="eastAsia" w:ascii="微软雅黑" w:hAnsi="微软雅黑" w:cs="微软雅黑"/>
          <w:color w:val="auto"/>
          <w:szCs w:val="21"/>
          <w:highlight w:val="none"/>
        </w:rPr>
        <w:t>大木桥港东闸站、新开河西闸站。</w:t>
      </w:r>
      <w:r>
        <w:rPr>
          <w:rFonts w:hint="eastAsia" w:ascii="微软雅黑" w:hAnsi="微软雅黑" w:cs="微软雅黑"/>
          <w:color w:val="auto"/>
          <w:szCs w:val="21"/>
          <w:highlight w:val="none"/>
          <w:lang w:eastAsia="zh-CN"/>
        </w:rPr>
        <w:t>）</w:t>
      </w:r>
    </w:p>
    <w:p w14:paraId="522B5E73">
      <w:pPr>
        <w:pStyle w:val="101"/>
        <w:widowControl/>
        <w:numPr>
          <w:ilvl w:val="0"/>
          <w:numId w:val="6"/>
        </w:numPr>
        <w:snapToGrid w:val="0"/>
        <w:spacing w:line="460" w:lineRule="exact"/>
        <w:ind w:left="0" w:firstLine="426" w:firstLineChars="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管理事项</w:t>
      </w:r>
    </w:p>
    <w:p w14:paraId="51E70DC4">
      <w:pPr>
        <w:pStyle w:val="101"/>
        <w:widowControl/>
        <w:snapToGrid w:val="0"/>
        <w:spacing w:line="460" w:lineRule="exact"/>
        <w:ind w:left="426" w:firstLine="0" w:firstLineChars="0"/>
        <w:rPr>
          <w:rFonts w:hint="eastAsia" w:ascii="微软雅黑" w:hAnsi="微软雅黑" w:cs="微软雅黑"/>
          <w:b/>
          <w:bCs/>
          <w:color w:val="auto"/>
          <w:szCs w:val="21"/>
          <w:highlight w:val="none"/>
        </w:rPr>
      </w:pPr>
      <w:r>
        <w:rPr>
          <w:rFonts w:hint="eastAsia" w:ascii="微软雅黑" w:hAnsi="微软雅黑"/>
          <w:color w:val="auto"/>
          <w:szCs w:val="21"/>
          <w:highlight w:val="none"/>
        </w:rPr>
        <w:t>按照《浙江省圩区工程运行管理规程》相关精神执行，同时须做好以下各项事宜：</w:t>
      </w:r>
    </w:p>
    <w:p w14:paraId="6A913224">
      <w:pPr>
        <w:pStyle w:val="101"/>
        <w:numPr>
          <w:ilvl w:val="0"/>
          <w:numId w:val="11"/>
        </w:numPr>
        <w:adjustRightInd w:val="0"/>
        <w:snapToGrid w:val="0"/>
        <w:spacing w:after="160" w:line="276" w:lineRule="auto"/>
        <w:ind w:firstLineChars="0"/>
        <w:jc w:val="both"/>
        <w:rPr>
          <w:rFonts w:hint="eastAsia" w:ascii="微软雅黑" w:hAnsi="微软雅黑"/>
          <w:b/>
          <w:vanish/>
          <w:color w:val="auto"/>
          <w:highlight w:val="none"/>
        </w:rPr>
      </w:pPr>
    </w:p>
    <w:p w14:paraId="58B61518">
      <w:pPr>
        <w:pStyle w:val="101"/>
        <w:numPr>
          <w:ilvl w:val="0"/>
          <w:numId w:val="11"/>
        </w:numPr>
        <w:adjustRightInd w:val="0"/>
        <w:snapToGrid w:val="0"/>
        <w:spacing w:after="160" w:line="276" w:lineRule="auto"/>
        <w:ind w:firstLineChars="0"/>
        <w:jc w:val="both"/>
        <w:rPr>
          <w:rFonts w:hint="eastAsia" w:ascii="微软雅黑" w:hAnsi="微软雅黑"/>
          <w:b/>
          <w:vanish/>
          <w:color w:val="auto"/>
          <w:highlight w:val="none"/>
        </w:rPr>
      </w:pPr>
    </w:p>
    <w:p w14:paraId="647CFB44">
      <w:pPr>
        <w:pStyle w:val="101"/>
        <w:numPr>
          <w:ilvl w:val="1"/>
          <w:numId w:val="11"/>
        </w:numPr>
        <w:adjustRightInd w:val="0"/>
        <w:snapToGrid w:val="0"/>
        <w:spacing w:after="160" w:line="276" w:lineRule="auto"/>
        <w:ind w:left="0" w:firstLine="424" w:firstLineChars="0"/>
        <w:jc w:val="both"/>
        <w:rPr>
          <w:rFonts w:hint="eastAsia" w:ascii="微软雅黑" w:hAnsi="微软雅黑" w:cs="宋体"/>
          <w:b/>
          <w:color w:val="auto"/>
          <w:highlight w:val="none"/>
        </w:rPr>
      </w:pPr>
      <w:r>
        <w:rPr>
          <w:rFonts w:hint="eastAsia" w:ascii="微软雅黑" w:hAnsi="微软雅黑"/>
          <w:b/>
          <w:color w:val="auto"/>
          <w:highlight w:val="none"/>
        </w:rPr>
        <w:t>管理的基本要求：</w:t>
      </w:r>
      <w:r>
        <w:rPr>
          <w:rFonts w:hint="eastAsia" w:ascii="微软雅黑" w:hAnsi="微软雅黑" w:cs="宋体"/>
          <w:b/>
          <w:color w:val="auto"/>
          <w:highlight w:val="none"/>
        </w:rPr>
        <w:t>做好工程检查、日常管护和报修工作，达到设施齐全完好，确保工程安全运行。</w:t>
      </w:r>
    </w:p>
    <w:p w14:paraId="40381308">
      <w:pPr>
        <w:pStyle w:val="101"/>
        <w:numPr>
          <w:ilvl w:val="0"/>
          <w:numId w:val="12"/>
        </w:numPr>
        <w:adjustRightInd w:val="0"/>
        <w:snapToGrid w:val="0"/>
        <w:spacing w:after="160" w:line="276" w:lineRule="auto"/>
        <w:ind w:firstLineChars="0"/>
        <w:jc w:val="both"/>
        <w:rPr>
          <w:rFonts w:hint="eastAsia" w:ascii="微软雅黑" w:hAnsi="微软雅黑" w:cs="宋体"/>
          <w:vanish/>
          <w:color w:val="auto"/>
          <w:highlight w:val="none"/>
        </w:rPr>
      </w:pPr>
    </w:p>
    <w:p w14:paraId="4319078F">
      <w:pPr>
        <w:pStyle w:val="101"/>
        <w:numPr>
          <w:ilvl w:val="0"/>
          <w:numId w:val="12"/>
        </w:numPr>
        <w:adjustRightInd w:val="0"/>
        <w:snapToGrid w:val="0"/>
        <w:spacing w:after="160" w:line="276" w:lineRule="auto"/>
        <w:ind w:firstLineChars="0"/>
        <w:jc w:val="both"/>
        <w:rPr>
          <w:rFonts w:hint="eastAsia" w:ascii="微软雅黑" w:hAnsi="微软雅黑" w:cs="宋体"/>
          <w:vanish/>
          <w:color w:val="auto"/>
          <w:highlight w:val="none"/>
        </w:rPr>
      </w:pPr>
    </w:p>
    <w:p w14:paraId="74168463">
      <w:pPr>
        <w:pStyle w:val="101"/>
        <w:numPr>
          <w:ilvl w:val="1"/>
          <w:numId w:val="12"/>
        </w:numPr>
        <w:adjustRightInd w:val="0"/>
        <w:snapToGrid w:val="0"/>
        <w:spacing w:after="160" w:line="276" w:lineRule="auto"/>
        <w:ind w:firstLineChars="0"/>
        <w:jc w:val="both"/>
        <w:rPr>
          <w:rFonts w:hint="eastAsia" w:ascii="微软雅黑" w:hAnsi="微软雅黑" w:cs="宋体"/>
          <w:vanish/>
          <w:color w:val="auto"/>
          <w:highlight w:val="none"/>
        </w:rPr>
      </w:pPr>
    </w:p>
    <w:p w14:paraId="22392871">
      <w:pPr>
        <w:pStyle w:val="101"/>
        <w:numPr>
          <w:ilvl w:val="2"/>
          <w:numId w:val="12"/>
        </w:numPr>
        <w:adjustRightInd w:val="0"/>
        <w:snapToGrid w:val="0"/>
        <w:spacing w:after="160" w:line="276" w:lineRule="auto"/>
        <w:ind w:left="0" w:firstLine="424" w:firstLineChars="202"/>
        <w:jc w:val="both"/>
        <w:rPr>
          <w:rFonts w:hint="eastAsia" w:ascii="微软雅黑" w:hAnsi="微软雅黑" w:cs="宋体"/>
          <w:color w:val="auto"/>
          <w:highlight w:val="none"/>
        </w:rPr>
      </w:pPr>
      <w:r>
        <w:rPr>
          <w:rFonts w:hint="eastAsia" w:ascii="微软雅黑" w:hAnsi="微软雅黑" w:cs="宋体"/>
          <w:color w:val="auto"/>
          <w:highlight w:val="none"/>
        </w:rPr>
        <w:t>闸站</w:t>
      </w:r>
      <w:r>
        <w:rPr>
          <w:rFonts w:hint="eastAsia" w:ascii="微软雅黑" w:hAnsi="微软雅黑"/>
          <w:color w:val="auto"/>
          <w:highlight w:val="none"/>
        </w:rPr>
        <w:t>应有完整的</w:t>
      </w:r>
      <w:r>
        <w:rPr>
          <w:rFonts w:hint="eastAsia" w:ascii="微软雅黑" w:hAnsi="微软雅黑" w:cs="宋体"/>
          <w:color w:val="auto"/>
          <w:highlight w:val="none"/>
        </w:rPr>
        <w:t>工程资料包括：内部工作制度和办法，汛前、汛后工程普查资料，维修养护方案及实施计划，单项工程维修养护工作总结，维修养护大事记，维修养护日志，维修养护工作总结报告等。</w:t>
      </w:r>
    </w:p>
    <w:p w14:paraId="1B229F61">
      <w:pPr>
        <w:pStyle w:val="101"/>
        <w:numPr>
          <w:ilvl w:val="2"/>
          <w:numId w:val="12"/>
        </w:numPr>
        <w:adjustRightInd w:val="0"/>
        <w:snapToGrid w:val="0"/>
        <w:spacing w:after="160" w:line="276" w:lineRule="auto"/>
        <w:ind w:left="0" w:firstLine="424" w:firstLineChars="202"/>
        <w:jc w:val="both"/>
        <w:rPr>
          <w:rFonts w:hint="eastAsia" w:ascii="微软雅黑" w:hAnsi="微软雅黑" w:cs="宋体"/>
          <w:color w:val="auto"/>
          <w:highlight w:val="none"/>
        </w:rPr>
      </w:pPr>
      <w:r>
        <w:rPr>
          <w:rFonts w:hint="eastAsia" w:ascii="微软雅黑" w:hAnsi="微软雅黑" w:cs="宋体"/>
          <w:color w:val="auto"/>
          <w:highlight w:val="none"/>
        </w:rPr>
        <w:t>工程检查记录要清晰、准确、完整、规范，各类工程的维修养护资料要清晰整洁，内容真实、齐全、准确、规范，并按要求以电子文档方式及时上报、存档。</w:t>
      </w:r>
    </w:p>
    <w:p w14:paraId="48A8DE29">
      <w:pPr>
        <w:pStyle w:val="101"/>
        <w:numPr>
          <w:ilvl w:val="2"/>
          <w:numId w:val="12"/>
        </w:numPr>
        <w:adjustRightInd w:val="0"/>
        <w:snapToGrid w:val="0"/>
        <w:spacing w:after="160" w:line="276" w:lineRule="auto"/>
        <w:ind w:left="0" w:firstLine="424" w:firstLineChars="202"/>
        <w:jc w:val="both"/>
        <w:rPr>
          <w:rFonts w:hint="eastAsia" w:ascii="微软雅黑" w:hAnsi="微软雅黑" w:cs="宋体"/>
          <w:color w:val="auto"/>
          <w:highlight w:val="none"/>
        </w:rPr>
      </w:pPr>
      <w:r>
        <w:rPr>
          <w:rFonts w:hint="eastAsia" w:ascii="微软雅黑" w:hAnsi="微软雅黑" w:cs="宋体"/>
          <w:color w:val="auto"/>
          <w:highlight w:val="none"/>
        </w:rPr>
        <w:t>防洪泵、闸门每月作一次启闭调试；</w:t>
      </w:r>
    </w:p>
    <w:p w14:paraId="191EEB74">
      <w:pPr>
        <w:pStyle w:val="101"/>
        <w:numPr>
          <w:ilvl w:val="2"/>
          <w:numId w:val="12"/>
        </w:numPr>
        <w:adjustRightInd w:val="0"/>
        <w:snapToGrid w:val="0"/>
        <w:spacing w:after="160" w:line="276" w:lineRule="auto"/>
        <w:ind w:left="0" w:firstLine="424" w:firstLineChars="202"/>
        <w:jc w:val="both"/>
        <w:rPr>
          <w:rFonts w:hint="eastAsia" w:ascii="微软雅黑" w:hAnsi="微软雅黑" w:cs="宋体"/>
          <w:color w:val="auto"/>
          <w:highlight w:val="none"/>
        </w:rPr>
      </w:pPr>
      <w:r>
        <w:rPr>
          <w:rFonts w:hint="eastAsia" w:ascii="微软雅黑" w:hAnsi="微软雅黑" w:cs="宋体"/>
          <w:color w:val="auto"/>
          <w:highlight w:val="none"/>
        </w:rPr>
        <w:t>防洪泵闸站内的机电设备、配件视情况酌情安排除锈、油漆等处理；</w:t>
      </w:r>
    </w:p>
    <w:p w14:paraId="797E8D10">
      <w:pPr>
        <w:pStyle w:val="101"/>
        <w:numPr>
          <w:ilvl w:val="2"/>
          <w:numId w:val="12"/>
        </w:numPr>
        <w:adjustRightInd w:val="0"/>
        <w:snapToGrid w:val="0"/>
        <w:spacing w:after="160" w:line="276" w:lineRule="auto"/>
        <w:ind w:left="0" w:firstLine="424" w:firstLineChars="202"/>
        <w:jc w:val="both"/>
        <w:rPr>
          <w:rFonts w:hint="eastAsia" w:ascii="微软雅黑" w:hAnsi="微软雅黑" w:cs="宋体"/>
          <w:color w:val="auto"/>
          <w:highlight w:val="none"/>
        </w:rPr>
      </w:pPr>
      <w:r>
        <w:rPr>
          <w:rFonts w:hint="eastAsia" w:ascii="微软雅黑" w:hAnsi="微软雅黑" w:cs="宋体"/>
          <w:color w:val="auto"/>
          <w:highlight w:val="none"/>
        </w:rPr>
        <w:t>水闸和泵站内的仪器每年校验一次，故障仪器仪表应立即更换；</w:t>
      </w:r>
    </w:p>
    <w:p w14:paraId="643025E6">
      <w:pPr>
        <w:pStyle w:val="101"/>
        <w:numPr>
          <w:ilvl w:val="2"/>
          <w:numId w:val="12"/>
        </w:numPr>
        <w:adjustRightInd w:val="0"/>
        <w:snapToGrid w:val="0"/>
        <w:spacing w:after="160" w:line="276" w:lineRule="auto"/>
        <w:ind w:left="0" w:firstLine="424" w:firstLineChars="202"/>
        <w:jc w:val="both"/>
        <w:rPr>
          <w:rFonts w:hint="eastAsia" w:ascii="微软雅黑" w:hAnsi="微软雅黑" w:cs="宋体"/>
          <w:color w:val="auto"/>
          <w:highlight w:val="none"/>
        </w:rPr>
      </w:pPr>
      <w:r>
        <w:rPr>
          <w:rFonts w:hint="eastAsia" w:ascii="微软雅黑" w:hAnsi="微软雅黑" w:cs="宋体"/>
          <w:color w:val="auto"/>
          <w:highlight w:val="none"/>
        </w:rPr>
        <w:t>水闸和泵站设施应进行清洁保养，出现损坏，应立即修复；</w:t>
      </w:r>
    </w:p>
    <w:p w14:paraId="3E63FAA5">
      <w:pPr>
        <w:pStyle w:val="101"/>
        <w:numPr>
          <w:ilvl w:val="2"/>
          <w:numId w:val="12"/>
        </w:numPr>
        <w:adjustRightInd w:val="0"/>
        <w:snapToGrid w:val="0"/>
        <w:spacing w:after="160" w:line="276" w:lineRule="auto"/>
        <w:ind w:left="0" w:firstLine="424" w:firstLineChars="202"/>
        <w:jc w:val="both"/>
        <w:rPr>
          <w:rFonts w:hint="eastAsia" w:ascii="微软雅黑" w:hAnsi="微软雅黑" w:cs="宋体"/>
          <w:color w:val="auto"/>
          <w:highlight w:val="none"/>
        </w:rPr>
      </w:pPr>
      <w:r>
        <w:rPr>
          <w:rFonts w:hint="eastAsia" w:ascii="微软雅黑" w:hAnsi="微软雅黑" w:cs="宋体"/>
          <w:color w:val="auto"/>
          <w:highlight w:val="none"/>
        </w:rPr>
        <w:t>每年汛前、汛后，水闸和泵站的防汛设施及配电设施，应进行检查和维护；</w:t>
      </w:r>
    </w:p>
    <w:p w14:paraId="333CD9BA">
      <w:pPr>
        <w:pStyle w:val="101"/>
        <w:numPr>
          <w:ilvl w:val="2"/>
          <w:numId w:val="12"/>
        </w:numPr>
        <w:adjustRightInd w:val="0"/>
        <w:snapToGrid w:val="0"/>
        <w:spacing w:after="160" w:line="276" w:lineRule="auto"/>
        <w:ind w:left="0" w:firstLine="424" w:firstLineChars="202"/>
        <w:jc w:val="both"/>
        <w:rPr>
          <w:rFonts w:hint="eastAsia" w:ascii="微软雅黑" w:hAnsi="微软雅黑" w:cs="宋体"/>
          <w:color w:val="auto"/>
          <w:highlight w:val="none"/>
        </w:rPr>
      </w:pPr>
      <w:r>
        <w:rPr>
          <w:rFonts w:hint="eastAsia" w:ascii="微软雅黑" w:hAnsi="微软雅黑" w:cs="宋体"/>
          <w:color w:val="auto"/>
          <w:highlight w:val="none"/>
        </w:rPr>
        <w:t>做好防盗和防汛安排，能够随时投入防汛设施抢修和防汛运行管理及防汛抢险工作，做到随叫随到。</w:t>
      </w:r>
    </w:p>
    <w:p w14:paraId="6D214C1D">
      <w:pPr>
        <w:pStyle w:val="101"/>
        <w:numPr>
          <w:ilvl w:val="1"/>
          <w:numId w:val="11"/>
        </w:numPr>
        <w:adjustRightInd w:val="0"/>
        <w:snapToGrid w:val="0"/>
        <w:spacing w:after="160" w:line="276" w:lineRule="auto"/>
        <w:ind w:left="0" w:firstLine="424" w:firstLineChars="0"/>
        <w:jc w:val="both"/>
        <w:rPr>
          <w:rFonts w:hint="eastAsia" w:ascii="微软雅黑" w:hAnsi="微软雅黑"/>
          <w:b/>
          <w:color w:val="auto"/>
          <w:highlight w:val="none"/>
        </w:rPr>
      </w:pPr>
      <w:r>
        <w:rPr>
          <w:rFonts w:hint="eastAsia" w:ascii="微软雅黑" w:hAnsi="微软雅黑"/>
          <w:b/>
          <w:color w:val="auto"/>
          <w:highlight w:val="none"/>
        </w:rPr>
        <w:t>工作内容</w:t>
      </w:r>
    </w:p>
    <w:p w14:paraId="2289CFCD">
      <w:pPr>
        <w:pStyle w:val="101"/>
        <w:numPr>
          <w:ilvl w:val="0"/>
          <w:numId w:val="13"/>
        </w:numPr>
        <w:adjustRightInd w:val="0"/>
        <w:snapToGrid w:val="0"/>
        <w:spacing w:after="160" w:line="276" w:lineRule="auto"/>
        <w:ind w:firstLineChars="0"/>
        <w:jc w:val="both"/>
        <w:rPr>
          <w:rFonts w:hint="eastAsia" w:ascii="微软雅黑" w:hAnsi="微软雅黑" w:cs="宋体"/>
          <w:vanish/>
          <w:color w:val="auto"/>
          <w:highlight w:val="none"/>
        </w:rPr>
      </w:pPr>
    </w:p>
    <w:p w14:paraId="155E450F">
      <w:pPr>
        <w:pStyle w:val="101"/>
        <w:numPr>
          <w:ilvl w:val="0"/>
          <w:numId w:val="13"/>
        </w:numPr>
        <w:adjustRightInd w:val="0"/>
        <w:snapToGrid w:val="0"/>
        <w:spacing w:after="160" w:line="276" w:lineRule="auto"/>
        <w:ind w:firstLineChars="0"/>
        <w:jc w:val="both"/>
        <w:rPr>
          <w:rFonts w:hint="eastAsia" w:ascii="微软雅黑" w:hAnsi="微软雅黑" w:cs="宋体"/>
          <w:vanish/>
          <w:color w:val="auto"/>
          <w:highlight w:val="none"/>
        </w:rPr>
      </w:pPr>
    </w:p>
    <w:p w14:paraId="512A6788">
      <w:pPr>
        <w:pStyle w:val="101"/>
        <w:numPr>
          <w:ilvl w:val="1"/>
          <w:numId w:val="13"/>
        </w:numPr>
        <w:adjustRightInd w:val="0"/>
        <w:snapToGrid w:val="0"/>
        <w:spacing w:after="160" w:line="276" w:lineRule="auto"/>
        <w:ind w:firstLineChars="0"/>
        <w:jc w:val="both"/>
        <w:rPr>
          <w:rFonts w:hint="eastAsia" w:ascii="微软雅黑" w:hAnsi="微软雅黑" w:cs="宋体"/>
          <w:vanish/>
          <w:color w:val="auto"/>
          <w:highlight w:val="none"/>
        </w:rPr>
      </w:pPr>
    </w:p>
    <w:p w14:paraId="3262D071">
      <w:pPr>
        <w:pStyle w:val="101"/>
        <w:numPr>
          <w:ilvl w:val="1"/>
          <w:numId w:val="13"/>
        </w:numPr>
        <w:adjustRightInd w:val="0"/>
        <w:snapToGrid w:val="0"/>
        <w:spacing w:after="160" w:line="276" w:lineRule="auto"/>
        <w:ind w:firstLineChars="0"/>
        <w:jc w:val="both"/>
        <w:rPr>
          <w:rFonts w:hint="eastAsia" w:ascii="微软雅黑" w:hAnsi="微软雅黑" w:cs="宋体"/>
          <w:vanish/>
          <w:color w:val="auto"/>
          <w:highlight w:val="none"/>
        </w:rPr>
      </w:pPr>
    </w:p>
    <w:p w14:paraId="59CE2D75">
      <w:pPr>
        <w:pStyle w:val="101"/>
        <w:numPr>
          <w:ilvl w:val="2"/>
          <w:numId w:val="13"/>
        </w:numPr>
        <w:adjustRightInd w:val="0"/>
        <w:snapToGrid w:val="0"/>
        <w:spacing w:after="160" w:line="276" w:lineRule="auto"/>
        <w:ind w:left="0" w:firstLine="424" w:firstLineChars="202"/>
        <w:jc w:val="both"/>
        <w:rPr>
          <w:rFonts w:hint="eastAsia" w:ascii="微软雅黑" w:hAnsi="微软雅黑"/>
          <w:color w:val="auto"/>
          <w:highlight w:val="none"/>
        </w:rPr>
      </w:pPr>
      <w:r>
        <w:rPr>
          <w:rFonts w:hint="eastAsia" w:ascii="微软雅黑" w:hAnsi="微软雅黑" w:cs="宋体"/>
          <w:color w:val="auto"/>
          <w:highlight w:val="none"/>
        </w:rPr>
        <w:t>排水泵（闸）站应有完整的运行与维护记录（值班记录、交接班记录、运行数据、</w:t>
      </w:r>
      <w:r>
        <w:rPr>
          <w:rFonts w:hint="eastAsia" w:ascii="微软雅黑" w:hAnsi="微软雅黑"/>
          <w:color w:val="auto"/>
          <w:highlight w:val="none"/>
        </w:rPr>
        <w:t>维修记录）；</w:t>
      </w:r>
    </w:p>
    <w:p w14:paraId="40C59FE1">
      <w:pPr>
        <w:pStyle w:val="101"/>
        <w:numPr>
          <w:ilvl w:val="2"/>
          <w:numId w:val="13"/>
        </w:numPr>
        <w:adjustRightInd w:val="0"/>
        <w:snapToGrid w:val="0"/>
        <w:spacing w:after="160" w:line="276" w:lineRule="auto"/>
        <w:ind w:left="0" w:firstLine="424" w:firstLineChars="202"/>
        <w:jc w:val="both"/>
        <w:rPr>
          <w:rFonts w:hint="eastAsia" w:ascii="微软雅黑" w:hAnsi="微软雅黑" w:cs="宋体"/>
          <w:color w:val="auto"/>
          <w:highlight w:val="none"/>
        </w:rPr>
      </w:pPr>
      <w:r>
        <w:rPr>
          <w:rFonts w:hint="eastAsia" w:ascii="微软雅黑" w:hAnsi="微软雅黑" w:cs="宋体"/>
          <w:color w:val="auto"/>
          <w:highlight w:val="none"/>
        </w:rPr>
        <w:t xml:space="preserve">不常开的水泵每周应盘动一次，试运行时间不得小于5min； </w:t>
      </w:r>
    </w:p>
    <w:p w14:paraId="59C0D5C9">
      <w:pPr>
        <w:pStyle w:val="101"/>
        <w:numPr>
          <w:ilvl w:val="2"/>
          <w:numId w:val="13"/>
        </w:numPr>
        <w:adjustRightInd w:val="0"/>
        <w:snapToGrid w:val="0"/>
        <w:spacing w:after="160" w:line="276" w:lineRule="auto"/>
        <w:ind w:left="0" w:firstLine="424" w:firstLineChars="202"/>
        <w:jc w:val="both"/>
        <w:rPr>
          <w:rFonts w:hint="eastAsia" w:ascii="微软雅黑" w:hAnsi="微软雅黑" w:cs="宋体"/>
          <w:color w:val="auto"/>
          <w:highlight w:val="none"/>
        </w:rPr>
      </w:pPr>
      <w:r>
        <w:rPr>
          <w:rFonts w:hint="eastAsia" w:ascii="微软雅黑" w:hAnsi="微软雅黑" w:cs="宋体"/>
          <w:color w:val="auto"/>
          <w:highlight w:val="none"/>
        </w:rPr>
        <w:t>排水泵（闸）站内的设施维护应达到下列规定：</w:t>
      </w:r>
    </w:p>
    <w:p w14:paraId="359F0F25">
      <w:pPr>
        <w:pStyle w:val="101"/>
        <w:numPr>
          <w:ilvl w:val="0"/>
          <w:numId w:val="14"/>
        </w:numPr>
        <w:adjustRightInd w:val="0"/>
        <w:snapToGrid w:val="0"/>
        <w:spacing w:after="160" w:line="276" w:lineRule="auto"/>
        <w:ind w:left="0" w:firstLine="424" w:firstLineChars="202"/>
        <w:jc w:val="both"/>
        <w:rPr>
          <w:rFonts w:hint="eastAsia" w:ascii="微软雅黑" w:hAnsi="微软雅黑"/>
          <w:color w:val="auto"/>
          <w:highlight w:val="none"/>
        </w:rPr>
      </w:pPr>
      <w:r>
        <w:rPr>
          <w:rFonts w:hint="eastAsia" w:ascii="微软雅黑" w:hAnsi="微软雅黑"/>
          <w:color w:val="auto"/>
          <w:highlight w:val="none"/>
        </w:rPr>
        <w:t>泵（闸）站内的机电设备、管配件视情况酌情安排除锈、油漆等处理；</w:t>
      </w:r>
    </w:p>
    <w:p w14:paraId="1ED90CEA">
      <w:pPr>
        <w:pStyle w:val="101"/>
        <w:numPr>
          <w:ilvl w:val="0"/>
          <w:numId w:val="14"/>
        </w:numPr>
        <w:adjustRightInd w:val="0"/>
        <w:snapToGrid w:val="0"/>
        <w:spacing w:after="160" w:line="276" w:lineRule="auto"/>
        <w:ind w:left="0" w:firstLine="424" w:firstLineChars="202"/>
        <w:jc w:val="both"/>
        <w:rPr>
          <w:rFonts w:hint="eastAsia" w:ascii="微软雅黑" w:hAnsi="微软雅黑"/>
          <w:color w:val="auto"/>
          <w:highlight w:val="none"/>
        </w:rPr>
      </w:pPr>
      <w:r>
        <w:rPr>
          <w:rFonts w:hint="eastAsia" w:ascii="微软雅黑" w:hAnsi="微软雅黑"/>
          <w:color w:val="auto"/>
          <w:highlight w:val="none"/>
        </w:rPr>
        <w:t>泵（闸）站内的仪器每年应校验一次；当仪器仪表失灵时应立即更换；</w:t>
      </w:r>
    </w:p>
    <w:p w14:paraId="37B2202B">
      <w:pPr>
        <w:pStyle w:val="101"/>
        <w:numPr>
          <w:ilvl w:val="0"/>
          <w:numId w:val="14"/>
        </w:numPr>
        <w:adjustRightInd w:val="0"/>
        <w:snapToGrid w:val="0"/>
        <w:spacing w:after="160" w:line="276" w:lineRule="auto"/>
        <w:ind w:left="0" w:firstLine="424" w:firstLineChars="202"/>
        <w:jc w:val="both"/>
        <w:rPr>
          <w:rFonts w:hint="eastAsia" w:ascii="微软雅黑" w:hAnsi="微软雅黑"/>
          <w:color w:val="auto"/>
          <w:highlight w:val="none"/>
        </w:rPr>
      </w:pPr>
      <w:r>
        <w:rPr>
          <w:rFonts w:hint="eastAsia" w:ascii="微软雅黑" w:hAnsi="微软雅黑"/>
          <w:color w:val="auto"/>
          <w:highlight w:val="none"/>
        </w:rPr>
        <w:t>泵（闸）站的围墙、道路、泵房及附属设施应经常进行清洁保养，出现损坏，应立即修复。</w:t>
      </w:r>
    </w:p>
    <w:p w14:paraId="7B3A8D69">
      <w:pPr>
        <w:pStyle w:val="101"/>
        <w:numPr>
          <w:ilvl w:val="0"/>
          <w:numId w:val="14"/>
        </w:numPr>
        <w:adjustRightInd w:val="0"/>
        <w:snapToGrid w:val="0"/>
        <w:spacing w:after="160" w:line="276" w:lineRule="auto"/>
        <w:ind w:left="0" w:firstLine="424" w:firstLineChars="202"/>
        <w:jc w:val="both"/>
        <w:rPr>
          <w:rFonts w:hint="eastAsia" w:ascii="微软雅黑" w:hAnsi="微软雅黑"/>
          <w:color w:val="auto"/>
          <w:highlight w:val="none"/>
        </w:rPr>
      </w:pPr>
      <w:r>
        <w:rPr>
          <w:rFonts w:hint="eastAsia" w:ascii="微软雅黑" w:hAnsi="微软雅黑"/>
          <w:color w:val="auto"/>
          <w:highlight w:val="none"/>
        </w:rPr>
        <w:t>每年汛期，泵（闸）站的自身防汛设施，应进行检查与维护。</w:t>
      </w:r>
    </w:p>
    <w:p w14:paraId="2A788CBC">
      <w:pPr>
        <w:pStyle w:val="101"/>
        <w:numPr>
          <w:ilvl w:val="0"/>
          <w:numId w:val="14"/>
        </w:numPr>
        <w:adjustRightInd w:val="0"/>
        <w:snapToGrid w:val="0"/>
        <w:spacing w:after="160" w:line="276" w:lineRule="auto"/>
        <w:ind w:left="0" w:firstLine="424" w:firstLineChars="202"/>
        <w:jc w:val="both"/>
        <w:rPr>
          <w:rFonts w:hint="eastAsia" w:ascii="微软雅黑" w:hAnsi="微软雅黑"/>
          <w:color w:val="auto"/>
          <w:highlight w:val="none"/>
        </w:rPr>
      </w:pPr>
      <w:r>
        <w:rPr>
          <w:rFonts w:hint="eastAsia" w:ascii="微软雅黑" w:hAnsi="微软雅黑"/>
          <w:color w:val="auto"/>
          <w:highlight w:val="none"/>
        </w:rPr>
        <w:t>泵（闸）站内应经常做好卫生、绿化与除害灭虫工作。</w:t>
      </w:r>
    </w:p>
    <w:p w14:paraId="4DBC8B0E">
      <w:pPr>
        <w:pStyle w:val="101"/>
        <w:numPr>
          <w:ilvl w:val="2"/>
          <w:numId w:val="13"/>
        </w:numPr>
        <w:adjustRightInd w:val="0"/>
        <w:snapToGrid w:val="0"/>
        <w:spacing w:after="160" w:line="276" w:lineRule="auto"/>
        <w:ind w:left="0" w:firstLine="424" w:firstLineChars="202"/>
        <w:jc w:val="both"/>
        <w:rPr>
          <w:rFonts w:hint="eastAsia" w:ascii="微软雅黑" w:hAnsi="微软雅黑" w:cs="宋体"/>
          <w:color w:val="auto"/>
          <w:highlight w:val="none"/>
        </w:rPr>
      </w:pPr>
      <w:r>
        <w:rPr>
          <w:rFonts w:hint="eastAsia" w:ascii="微软雅黑" w:hAnsi="微软雅黑" w:cs="宋体"/>
          <w:color w:val="auto"/>
          <w:highlight w:val="none"/>
        </w:rPr>
        <w:t>依据业主要求执行换水方案，并要求做好换水河段水质的实时监控，及时建议或调整换水方案，做好换水相关记录。要求换水操作人员必须具备相应的配电上岗证和一定的实际操作经验。一般每周各泵站投运时间约四天，若河道水质导常或迎检时期换水频率将适当加大，相关费用已列入合同总价中，不另行增加。</w:t>
      </w:r>
    </w:p>
    <w:p w14:paraId="470EB790">
      <w:pPr>
        <w:pStyle w:val="101"/>
        <w:numPr>
          <w:ilvl w:val="2"/>
          <w:numId w:val="13"/>
        </w:numPr>
        <w:adjustRightInd w:val="0"/>
        <w:snapToGrid w:val="0"/>
        <w:spacing w:after="160" w:line="276" w:lineRule="auto"/>
        <w:ind w:left="0" w:firstLine="424" w:firstLineChars="202"/>
        <w:jc w:val="both"/>
        <w:rPr>
          <w:rFonts w:hint="eastAsia" w:ascii="微软雅黑" w:hAnsi="微软雅黑" w:cs="宋体"/>
          <w:color w:val="auto"/>
          <w:highlight w:val="none"/>
        </w:rPr>
      </w:pPr>
      <w:r>
        <w:rPr>
          <w:rFonts w:hint="eastAsia" w:ascii="微软雅黑" w:hAnsi="微软雅黑" w:cs="宋体"/>
          <w:color w:val="auto"/>
          <w:highlight w:val="none"/>
        </w:rPr>
        <w:t>管护范围内闸站涉及配件仪器故障需维修或者更换，根据相关凭据实报实销；管护范围内闸站日常养护相关人工、耗材费用已列入合同总价中，不再另计。</w:t>
      </w:r>
    </w:p>
    <w:p w14:paraId="713B3248">
      <w:pPr>
        <w:pStyle w:val="101"/>
        <w:widowControl/>
        <w:numPr>
          <w:ilvl w:val="0"/>
          <w:numId w:val="5"/>
        </w:numPr>
        <w:snapToGrid w:val="0"/>
        <w:spacing w:line="460" w:lineRule="exact"/>
        <w:ind w:firstLineChars="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沉降观测</w:t>
      </w:r>
    </w:p>
    <w:p w14:paraId="554A021A">
      <w:pPr>
        <w:pStyle w:val="101"/>
        <w:widowControl/>
        <w:snapToGrid w:val="0"/>
        <w:spacing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对泾桥圩区频次进行观测监测，编制沉降观测报告。</w:t>
      </w:r>
    </w:p>
    <w:p w14:paraId="3092884F">
      <w:pPr>
        <w:widowControl/>
        <w:snapToGrid w:val="0"/>
        <w:spacing w:line="460" w:lineRule="exact"/>
        <w:ind w:firstLine="0" w:firstLineChars="0"/>
        <w:jc w:val="center"/>
        <w:rPr>
          <w:rFonts w:hint="eastAsia" w:ascii="微软雅黑" w:hAnsi="微软雅黑" w:cs="微软雅黑"/>
          <w:b/>
          <w:bCs/>
          <w:color w:val="auto"/>
          <w:szCs w:val="21"/>
          <w:highlight w:val="none"/>
        </w:rPr>
      </w:pPr>
      <w:r>
        <w:rPr>
          <w:rFonts w:ascii="微软雅黑" w:hAnsi="微软雅黑" w:cs="微软雅黑"/>
          <w:b/>
          <w:bCs/>
          <w:color w:val="auto"/>
          <w:szCs w:val="21"/>
          <w:highlight w:val="none"/>
        </w:rPr>
        <w:t>沉降观测清单</w:t>
      </w:r>
    </w:p>
    <w:tbl>
      <w:tblPr>
        <w:tblStyle w:val="53"/>
        <w:tblW w:w="8379" w:type="dxa"/>
        <w:tblInd w:w="93" w:type="dxa"/>
        <w:tblLayout w:type="fixed"/>
        <w:tblCellMar>
          <w:top w:w="0" w:type="dxa"/>
          <w:left w:w="108" w:type="dxa"/>
          <w:bottom w:w="0" w:type="dxa"/>
          <w:right w:w="108" w:type="dxa"/>
        </w:tblCellMar>
      </w:tblPr>
      <w:tblGrid>
        <w:gridCol w:w="1320"/>
        <w:gridCol w:w="760"/>
        <w:gridCol w:w="3747"/>
        <w:gridCol w:w="1336"/>
        <w:gridCol w:w="1216"/>
      </w:tblGrid>
      <w:tr w14:paraId="5F01ACFD">
        <w:tblPrEx>
          <w:tblCellMar>
            <w:top w:w="0" w:type="dxa"/>
            <w:left w:w="108" w:type="dxa"/>
            <w:bottom w:w="0" w:type="dxa"/>
            <w:right w:w="108" w:type="dxa"/>
          </w:tblCellMar>
        </w:tblPrEx>
        <w:trPr>
          <w:trHeight w:val="381" w:hRule="atLeast"/>
        </w:trPr>
        <w:tc>
          <w:tcPr>
            <w:tcW w:w="1320" w:type="dxa"/>
            <w:tcBorders>
              <w:top w:val="single" w:color="000000" w:sz="8" w:space="0"/>
              <w:left w:val="single" w:color="000000" w:sz="8" w:space="0"/>
              <w:bottom w:val="single" w:color="000000" w:sz="4" w:space="0"/>
              <w:right w:val="single" w:color="000000" w:sz="4" w:space="0"/>
            </w:tcBorders>
            <w:noWrap/>
            <w:vAlign w:val="center"/>
          </w:tcPr>
          <w:p w14:paraId="700803A0">
            <w:pPr>
              <w:widowControl/>
              <w:spacing w:line="240" w:lineRule="auto"/>
              <w:ind w:firstLine="0" w:firstLineChars="0"/>
              <w:jc w:val="center"/>
              <w:textAlignment w:val="center"/>
              <w:rPr>
                <w:rFonts w:hint="eastAsia" w:ascii="微软雅黑" w:hAnsi="微软雅黑" w:cs="微软雅黑"/>
                <w:b/>
                <w:bCs/>
                <w:color w:val="auto"/>
                <w:szCs w:val="21"/>
                <w:highlight w:val="none"/>
              </w:rPr>
            </w:pPr>
            <w:r>
              <w:rPr>
                <w:rFonts w:hint="eastAsia" w:ascii="微软雅黑" w:hAnsi="微软雅黑" w:cs="微软雅黑"/>
                <w:b/>
                <w:bCs/>
                <w:color w:val="auto"/>
                <w:kern w:val="0"/>
                <w:szCs w:val="21"/>
                <w:highlight w:val="none"/>
                <w:lang w:bidi="ar"/>
              </w:rPr>
              <w:t>圩区名称</w:t>
            </w:r>
          </w:p>
        </w:tc>
        <w:tc>
          <w:tcPr>
            <w:tcW w:w="760" w:type="dxa"/>
            <w:tcBorders>
              <w:top w:val="single" w:color="000000" w:sz="8" w:space="0"/>
              <w:left w:val="single" w:color="000000" w:sz="4" w:space="0"/>
              <w:bottom w:val="single" w:color="000000" w:sz="4" w:space="0"/>
              <w:right w:val="single" w:color="000000" w:sz="4" w:space="0"/>
            </w:tcBorders>
            <w:noWrap/>
            <w:vAlign w:val="center"/>
          </w:tcPr>
          <w:p w14:paraId="66508C79">
            <w:pPr>
              <w:widowControl/>
              <w:spacing w:line="240" w:lineRule="auto"/>
              <w:ind w:firstLine="0" w:firstLineChars="0"/>
              <w:jc w:val="center"/>
              <w:textAlignment w:val="center"/>
              <w:rPr>
                <w:rFonts w:hint="eastAsia" w:ascii="微软雅黑" w:hAnsi="微软雅黑" w:cs="微软雅黑"/>
                <w:b/>
                <w:bCs/>
                <w:color w:val="auto"/>
                <w:szCs w:val="21"/>
                <w:highlight w:val="none"/>
              </w:rPr>
            </w:pPr>
            <w:r>
              <w:rPr>
                <w:rFonts w:hint="eastAsia" w:ascii="微软雅黑" w:hAnsi="微软雅黑" w:cs="微软雅黑"/>
                <w:b/>
                <w:bCs/>
                <w:color w:val="auto"/>
                <w:kern w:val="0"/>
                <w:szCs w:val="21"/>
                <w:highlight w:val="none"/>
                <w:lang w:bidi="ar"/>
              </w:rPr>
              <w:t>序号</w:t>
            </w:r>
          </w:p>
        </w:tc>
        <w:tc>
          <w:tcPr>
            <w:tcW w:w="3747" w:type="dxa"/>
            <w:tcBorders>
              <w:top w:val="single" w:color="000000" w:sz="8" w:space="0"/>
              <w:left w:val="single" w:color="000000" w:sz="4" w:space="0"/>
              <w:bottom w:val="single" w:color="000000" w:sz="4" w:space="0"/>
              <w:right w:val="single" w:color="000000" w:sz="4" w:space="0"/>
            </w:tcBorders>
            <w:noWrap/>
            <w:vAlign w:val="center"/>
          </w:tcPr>
          <w:p w14:paraId="1F8439BD">
            <w:pPr>
              <w:widowControl/>
              <w:spacing w:line="240" w:lineRule="auto"/>
              <w:ind w:firstLine="0" w:firstLineChars="0"/>
              <w:jc w:val="center"/>
              <w:textAlignment w:val="center"/>
              <w:rPr>
                <w:rFonts w:hint="eastAsia" w:ascii="微软雅黑" w:hAnsi="微软雅黑" w:cs="微软雅黑"/>
                <w:b/>
                <w:bCs/>
                <w:color w:val="auto"/>
                <w:szCs w:val="21"/>
                <w:highlight w:val="none"/>
              </w:rPr>
            </w:pPr>
            <w:r>
              <w:rPr>
                <w:rFonts w:hint="eastAsia" w:ascii="微软雅黑" w:hAnsi="微软雅黑" w:cs="微软雅黑"/>
                <w:b/>
                <w:bCs/>
                <w:color w:val="auto"/>
                <w:kern w:val="0"/>
                <w:szCs w:val="21"/>
                <w:highlight w:val="none"/>
                <w:lang w:bidi="ar"/>
              </w:rPr>
              <w:t>项目名称</w:t>
            </w:r>
          </w:p>
        </w:tc>
        <w:tc>
          <w:tcPr>
            <w:tcW w:w="1336" w:type="dxa"/>
            <w:tcBorders>
              <w:top w:val="single" w:color="000000" w:sz="8" w:space="0"/>
              <w:left w:val="single" w:color="000000" w:sz="4" w:space="0"/>
              <w:bottom w:val="single" w:color="000000" w:sz="4" w:space="0"/>
              <w:right w:val="single" w:color="000000" w:sz="4" w:space="0"/>
            </w:tcBorders>
            <w:noWrap/>
            <w:vAlign w:val="center"/>
          </w:tcPr>
          <w:p w14:paraId="7C917B66">
            <w:pPr>
              <w:widowControl/>
              <w:spacing w:line="240" w:lineRule="auto"/>
              <w:ind w:firstLine="0" w:firstLineChars="0"/>
              <w:jc w:val="center"/>
              <w:textAlignment w:val="center"/>
              <w:rPr>
                <w:rFonts w:hint="eastAsia" w:ascii="微软雅黑" w:hAnsi="微软雅黑" w:cs="微软雅黑"/>
                <w:b/>
                <w:bCs/>
                <w:color w:val="auto"/>
                <w:szCs w:val="21"/>
                <w:highlight w:val="none"/>
              </w:rPr>
            </w:pPr>
            <w:r>
              <w:rPr>
                <w:rFonts w:hint="eastAsia" w:ascii="微软雅黑" w:hAnsi="微软雅黑" w:cs="微软雅黑"/>
                <w:b/>
                <w:bCs/>
                <w:color w:val="auto"/>
                <w:kern w:val="0"/>
                <w:szCs w:val="21"/>
                <w:highlight w:val="none"/>
                <w:lang w:bidi="ar"/>
              </w:rPr>
              <w:t>单位</w:t>
            </w:r>
          </w:p>
        </w:tc>
        <w:tc>
          <w:tcPr>
            <w:tcW w:w="1216" w:type="dxa"/>
            <w:tcBorders>
              <w:top w:val="single" w:color="000000" w:sz="8" w:space="0"/>
              <w:left w:val="single" w:color="000000" w:sz="4" w:space="0"/>
              <w:bottom w:val="single" w:color="000000" w:sz="4" w:space="0"/>
              <w:right w:val="single" w:color="000000" w:sz="4" w:space="0"/>
            </w:tcBorders>
            <w:noWrap/>
            <w:vAlign w:val="center"/>
          </w:tcPr>
          <w:p w14:paraId="326B3F09">
            <w:pPr>
              <w:widowControl/>
              <w:spacing w:line="240" w:lineRule="auto"/>
              <w:ind w:firstLine="0" w:firstLineChars="0"/>
              <w:jc w:val="center"/>
              <w:textAlignment w:val="center"/>
              <w:rPr>
                <w:rFonts w:hint="eastAsia" w:ascii="微软雅黑" w:hAnsi="微软雅黑" w:cs="微软雅黑"/>
                <w:b/>
                <w:bCs/>
                <w:color w:val="auto"/>
                <w:szCs w:val="21"/>
                <w:highlight w:val="none"/>
              </w:rPr>
            </w:pPr>
            <w:r>
              <w:rPr>
                <w:rFonts w:hint="eastAsia" w:ascii="微软雅黑" w:hAnsi="微软雅黑" w:cs="微软雅黑"/>
                <w:b/>
                <w:bCs/>
                <w:color w:val="auto"/>
                <w:kern w:val="0"/>
                <w:szCs w:val="21"/>
                <w:highlight w:val="none"/>
                <w:lang w:bidi="ar"/>
              </w:rPr>
              <w:t>数量</w:t>
            </w:r>
          </w:p>
        </w:tc>
      </w:tr>
      <w:tr w14:paraId="11291B09">
        <w:tblPrEx>
          <w:tblCellMar>
            <w:top w:w="0" w:type="dxa"/>
            <w:left w:w="108" w:type="dxa"/>
            <w:bottom w:w="0" w:type="dxa"/>
            <w:right w:w="108" w:type="dxa"/>
          </w:tblCellMar>
        </w:tblPrEx>
        <w:trPr>
          <w:trHeight w:val="373" w:hRule="atLeast"/>
        </w:trPr>
        <w:tc>
          <w:tcPr>
            <w:tcW w:w="1320" w:type="dxa"/>
            <w:vMerge w:val="restart"/>
            <w:tcBorders>
              <w:top w:val="single" w:color="000000" w:sz="4" w:space="0"/>
              <w:left w:val="single" w:color="000000" w:sz="8" w:space="0"/>
              <w:bottom w:val="single" w:color="000000" w:sz="4" w:space="0"/>
              <w:right w:val="single" w:color="000000" w:sz="4" w:space="0"/>
            </w:tcBorders>
            <w:noWrap/>
            <w:vAlign w:val="center"/>
          </w:tcPr>
          <w:p w14:paraId="50D2D6C3">
            <w:pPr>
              <w:widowControl/>
              <w:spacing w:line="240" w:lineRule="auto"/>
              <w:ind w:firstLine="0" w:firstLineChars="0"/>
              <w:jc w:val="center"/>
              <w:textAlignment w:val="center"/>
              <w:rPr>
                <w:color w:val="auto"/>
                <w:kern w:val="0"/>
                <w:highlight w:val="none"/>
              </w:rPr>
            </w:pPr>
            <w:r>
              <w:rPr>
                <w:rFonts w:hint="eastAsia" w:ascii="微软雅黑" w:hAnsi="微软雅黑" w:cs="微软雅黑"/>
                <w:color w:val="auto"/>
                <w:szCs w:val="21"/>
                <w:highlight w:val="none"/>
              </w:rPr>
              <w:t>泾桥圩区</w:t>
            </w:r>
          </w:p>
        </w:tc>
        <w:tc>
          <w:tcPr>
            <w:tcW w:w="760" w:type="dxa"/>
            <w:tcBorders>
              <w:top w:val="single" w:color="000000" w:sz="4" w:space="0"/>
              <w:left w:val="single" w:color="000000" w:sz="4" w:space="0"/>
              <w:bottom w:val="single" w:color="000000" w:sz="4" w:space="0"/>
              <w:right w:val="single" w:color="000000" w:sz="4" w:space="0"/>
            </w:tcBorders>
            <w:noWrap/>
            <w:vAlign w:val="center"/>
          </w:tcPr>
          <w:p w14:paraId="5C025644">
            <w:pPr>
              <w:widowControl/>
              <w:spacing w:line="240" w:lineRule="auto"/>
              <w:ind w:firstLine="0" w:firstLineChars="0"/>
              <w:jc w:val="center"/>
              <w:textAlignment w:val="center"/>
              <w:rPr>
                <w:color w:val="auto"/>
                <w:kern w:val="0"/>
                <w:highlight w:val="none"/>
              </w:rPr>
            </w:pPr>
            <w:r>
              <w:rPr>
                <w:color w:val="auto"/>
                <w:sz w:val="22"/>
                <w:szCs w:val="22"/>
                <w:highlight w:val="none"/>
              </w:rPr>
              <w:t>1</w:t>
            </w:r>
          </w:p>
        </w:tc>
        <w:tc>
          <w:tcPr>
            <w:tcW w:w="3747" w:type="dxa"/>
            <w:tcBorders>
              <w:top w:val="single" w:color="000000" w:sz="4" w:space="0"/>
              <w:left w:val="single" w:color="000000" w:sz="4" w:space="0"/>
              <w:bottom w:val="single" w:color="000000" w:sz="4" w:space="0"/>
              <w:right w:val="single" w:color="000000" w:sz="4" w:space="0"/>
            </w:tcBorders>
            <w:noWrap/>
            <w:vAlign w:val="center"/>
          </w:tcPr>
          <w:p w14:paraId="2EA8089B">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rFonts w:hint="eastAsia"/>
                <w:color w:val="auto"/>
                <w:sz w:val="22"/>
                <w:szCs w:val="22"/>
                <w:highlight w:val="none"/>
              </w:rPr>
              <w:t>水闸沉降观测钉埋设</w:t>
            </w:r>
          </w:p>
        </w:tc>
        <w:tc>
          <w:tcPr>
            <w:tcW w:w="1336" w:type="dxa"/>
            <w:tcBorders>
              <w:top w:val="single" w:color="000000" w:sz="4" w:space="0"/>
              <w:left w:val="single" w:color="000000" w:sz="4" w:space="0"/>
              <w:bottom w:val="single" w:color="000000" w:sz="4" w:space="0"/>
              <w:right w:val="single" w:color="000000" w:sz="4" w:space="0"/>
            </w:tcBorders>
            <w:noWrap/>
            <w:vAlign w:val="center"/>
          </w:tcPr>
          <w:p w14:paraId="034CB169">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rFonts w:hint="eastAsia"/>
                <w:color w:val="auto"/>
                <w:sz w:val="22"/>
                <w:szCs w:val="22"/>
                <w:highlight w:val="none"/>
              </w:rPr>
              <w:t>点位</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58D76B53">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color w:val="auto"/>
                <w:sz w:val="22"/>
                <w:szCs w:val="22"/>
                <w:highlight w:val="none"/>
              </w:rPr>
              <w:t>35</w:t>
            </w:r>
          </w:p>
        </w:tc>
      </w:tr>
      <w:tr w14:paraId="0C1824A1">
        <w:tblPrEx>
          <w:tblCellMar>
            <w:top w:w="0" w:type="dxa"/>
            <w:left w:w="108" w:type="dxa"/>
            <w:bottom w:w="0" w:type="dxa"/>
            <w:right w:w="108" w:type="dxa"/>
          </w:tblCellMar>
        </w:tblPrEx>
        <w:trPr>
          <w:trHeight w:val="373" w:hRule="atLeast"/>
        </w:trPr>
        <w:tc>
          <w:tcPr>
            <w:tcW w:w="1320" w:type="dxa"/>
            <w:vMerge w:val="continue"/>
            <w:tcBorders>
              <w:top w:val="single" w:color="000000" w:sz="4" w:space="0"/>
              <w:left w:val="single" w:color="000000" w:sz="8" w:space="0"/>
              <w:bottom w:val="single" w:color="000000" w:sz="4" w:space="0"/>
              <w:right w:val="single" w:color="000000" w:sz="4" w:space="0"/>
            </w:tcBorders>
            <w:noWrap/>
            <w:vAlign w:val="center"/>
          </w:tcPr>
          <w:p w14:paraId="7CF0544E">
            <w:pPr>
              <w:widowControl/>
              <w:spacing w:line="240" w:lineRule="auto"/>
              <w:ind w:firstLine="0" w:firstLineChars="0"/>
              <w:jc w:val="center"/>
              <w:textAlignment w:val="center"/>
              <w:rPr>
                <w:color w:val="auto"/>
                <w:kern w:val="0"/>
                <w:highlight w:val="none"/>
              </w:rPr>
            </w:pPr>
          </w:p>
        </w:tc>
        <w:tc>
          <w:tcPr>
            <w:tcW w:w="760" w:type="dxa"/>
            <w:tcBorders>
              <w:top w:val="single" w:color="000000" w:sz="4" w:space="0"/>
              <w:left w:val="single" w:color="000000" w:sz="4" w:space="0"/>
              <w:bottom w:val="single" w:color="000000" w:sz="4" w:space="0"/>
              <w:right w:val="single" w:color="000000" w:sz="4" w:space="0"/>
            </w:tcBorders>
            <w:noWrap/>
            <w:vAlign w:val="center"/>
          </w:tcPr>
          <w:p w14:paraId="401053A5">
            <w:pPr>
              <w:widowControl/>
              <w:spacing w:line="240" w:lineRule="auto"/>
              <w:ind w:firstLine="0" w:firstLineChars="0"/>
              <w:jc w:val="center"/>
              <w:textAlignment w:val="center"/>
              <w:rPr>
                <w:color w:val="auto"/>
                <w:kern w:val="0"/>
                <w:highlight w:val="none"/>
              </w:rPr>
            </w:pPr>
            <w:r>
              <w:rPr>
                <w:color w:val="auto"/>
                <w:sz w:val="22"/>
                <w:szCs w:val="22"/>
                <w:highlight w:val="none"/>
              </w:rPr>
              <w:t>2</w:t>
            </w:r>
          </w:p>
        </w:tc>
        <w:tc>
          <w:tcPr>
            <w:tcW w:w="3747" w:type="dxa"/>
            <w:tcBorders>
              <w:top w:val="single" w:color="000000" w:sz="4" w:space="0"/>
              <w:left w:val="single" w:color="000000" w:sz="4" w:space="0"/>
              <w:bottom w:val="single" w:color="000000" w:sz="4" w:space="0"/>
              <w:right w:val="single" w:color="000000" w:sz="4" w:space="0"/>
            </w:tcBorders>
            <w:noWrap/>
            <w:vAlign w:val="center"/>
          </w:tcPr>
          <w:p w14:paraId="1981538C">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rFonts w:hint="eastAsia"/>
                <w:color w:val="auto"/>
                <w:sz w:val="22"/>
                <w:szCs w:val="22"/>
                <w:highlight w:val="none"/>
              </w:rPr>
              <w:t>圩堤沉降观测桩埋设</w:t>
            </w:r>
          </w:p>
        </w:tc>
        <w:tc>
          <w:tcPr>
            <w:tcW w:w="1336" w:type="dxa"/>
            <w:tcBorders>
              <w:top w:val="single" w:color="000000" w:sz="4" w:space="0"/>
              <w:left w:val="single" w:color="000000" w:sz="4" w:space="0"/>
              <w:bottom w:val="single" w:color="000000" w:sz="4" w:space="0"/>
              <w:right w:val="single" w:color="000000" w:sz="4" w:space="0"/>
            </w:tcBorders>
            <w:noWrap/>
            <w:vAlign w:val="center"/>
          </w:tcPr>
          <w:p w14:paraId="3FD2B657">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rFonts w:hint="eastAsia"/>
                <w:color w:val="auto"/>
                <w:sz w:val="22"/>
                <w:szCs w:val="22"/>
                <w:highlight w:val="none"/>
              </w:rPr>
              <w:t>点位</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79C1F739">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color w:val="auto"/>
                <w:sz w:val="22"/>
                <w:szCs w:val="22"/>
                <w:highlight w:val="none"/>
              </w:rPr>
              <w:t>20</w:t>
            </w:r>
          </w:p>
        </w:tc>
      </w:tr>
      <w:tr w14:paraId="1FA87002">
        <w:tblPrEx>
          <w:tblCellMar>
            <w:top w:w="0" w:type="dxa"/>
            <w:left w:w="108" w:type="dxa"/>
            <w:bottom w:w="0" w:type="dxa"/>
            <w:right w:w="108" w:type="dxa"/>
          </w:tblCellMar>
        </w:tblPrEx>
        <w:trPr>
          <w:trHeight w:val="373" w:hRule="atLeast"/>
        </w:trPr>
        <w:tc>
          <w:tcPr>
            <w:tcW w:w="1320" w:type="dxa"/>
            <w:vMerge w:val="continue"/>
            <w:tcBorders>
              <w:top w:val="single" w:color="000000" w:sz="4" w:space="0"/>
              <w:left w:val="single" w:color="000000" w:sz="8" w:space="0"/>
              <w:bottom w:val="single" w:color="000000" w:sz="4" w:space="0"/>
              <w:right w:val="single" w:color="000000" w:sz="4" w:space="0"/>
            </w:tcBorders>
            <w:noWrap/>
            <w:vAlign w:val="center"/>
          </w:tcPr>
          <w:p w14:paraId="1C29CD62">
            <w:pPr>
              <w:widowControl/>
              <w:spacing w:line="240" w:lineRule="auto"/>
              <w:ind w:firstLine="0" w:firstLineChars="0"/>
              <w:jc w:val="center"/>
              <w:textAlignment w:val="center"/>
              <w:rPr>
                <w:color w:val="auto"/>
                <w:kern w:val="0"/>
                <w:highlight w:val="none"/>
              </w:rPr>
            </w:pPr>
          </w:p>
        </w:tc>
        <w:tc>
          <w:tcPr>
            <w:tcW w:w="760" w:type="dxa"/>
            <w:tcBorders>
              <w:top w:val="single" w:color="000000" w:sz="4" w:space="0"/>
              <w:left w:val="single" w:color="000000" w:sz="4" w:space="0"/>
              <w:bottom w:val="single" w:color="000000" w:sz="4" w:space="0"/>
              <w:right w:val="single" w:color="000000" w:sz="4" w:space="0"/>
            </w:tcBorders>
            <w:noWrap/>
            <w:vAlign w:val="center"/>
          </w:tcPr>
          <w:p w14:paraId="038BD6E4">
            <w:pPr>
              <w:widowControl/>
              <w:spacing w:line="240" w:lineRule="auto"/>
              <w:ind w:firstLine="0" w:firstLineChars="0"/>
              <w:jc w:val="center"/>
              <w:textAlignment w:val="center"/>
              <w:rPr>
                <w:color w:val="auto"/>
                <w:kern w:val="0"/>
                <w:highlight w:val="none"/>
              </w:rPr>
            </w:pPr>
            <w:r>
              <w:rPr>
                <w:color w:val="auto"/>
                <w:sz w:val="22"/>
                <w:szCs w:val="22"/>
                <w:highlight w:val="none"/>
              </w:rPr>
              <w:t>3</w:t>
            </w:r>
          </w:p>
        </w:tc>
        <w:tc>
          <w:tcPr>
            <w:tcW w:w="3747" w:type="dxa"/>
            <w:tcBorders>
              <w:top w:val="single" w:color="000000" w:sz="4" w:space="0"/>
              <w:left w:val="single" w:color="000000" w:sz="4" w:space="0"/>
              <w:bottom w:val="single" w:color="000000" w:sz="4" w:space="0"/>
              <w:right w:val="single" w:color="000000" w:sz="4" w:space="0"/>
            </w:tcBorders>
            <w:noWrap/>
            <w:vAlign w:val="center"/>
          </w:tcPr>
          <w:p w14:paraId="0963141D">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rFonts w:hint="eastAsia"/>
                <w:color w:val="auto"/>
                <w:sz w:val="22"/>
                <w:szCs w:val="22"/>
                <w:highlight w:val="none"/>
              </w:rPr>
              <w:t>水准基点及工作基点埋设</w:t>
            </w:r>
          </w:p>
        </w:tc>
        <w:tc>
          <w:tcPr>
            <w:tcW w:w="1336" w:type="dxa"/>
            <w:tcBorders>
              <w:top w:val="single" w:color="000000" w:sz="4" w:space="0"/>
              <w:left w:val="single" w:color="000000" w:sz="4" w:space="0"/>
              <w:bottom w:val="single" w:color="000000" w:sz="4" w:space="0"/>
              <w:right w:val="single" w:color="000000" w:sz="4" w:space="0"/>
            </w:tcBorders>
            <w:noWrap/>
            <w:vAlign w:val="center"/>
          </w:tcPr>
          <w:p w14:paraId="5ACDA9B0">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rFonts w:hint="eastAsia"/>
                <w:color w:val="auto"/>
                <w:sz w:val="22"/>
                <w:szCs w:val="22"/>
                <w:highlight w:val="none"/>
              </w:rPr>
              <w:t>点位</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B9BBA45">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color w:val="auto"/>
                <w:sz w:val="22"/>
                <w:szCs w:val="22"/>
                <w:highlight w:val="none"/>
              </w:rPr>
              <w:t>42</w:t>
            </w:r>
          </w:p>
        </w:tc>
      </w:tr>
      <w:tr w14:paraId="16FC2CBC">
        <w:tblPrEx>
          <w:tblCellMar>
            <w:top w:w="0" w:type="dxa"/>
            <w:left w:w="108" w:type="dxa"/>
            <w:bottom w:w="0" w:type="dxa"/>
            <w:right w:w="108" w:type="dxa"/>
          </w:tblCellMar>
        </w:tblPrEx>
        <w:trPr>
          <w:trHeight w:val="373" w:hRule="atLeast"/>
        </w:trPr>
        <w:tc>
          <w:tcPr>
            <w:tcW w:w="1320" w:type="dxa"/>
            <w:vMerge w:val="continue"/>
            <w:tcBorders>
              <w:top w:val="single" w:color="000000" w:sz="4" w:space="0"/>
              <w:left w:val="single" w:color="000000" w:sz="8" w:space="0"/>
              <w:bottom w:val="single" w:color="000000" w:sz="4" w:space="0"/>
              <w:right w:val="single" w:color="000000" w:sz="4" w:space="0"/>
            </w:tcBorders>
            <w:noWrap/>
            <w:vAlign w:val="center"/>
          </w:tcPr>
          <w:p w14:paraId="2E6DD669">
            <w:pPr>
              <w:widowControl/>
              <w:spacing w:line="240" w:lineRule="auto"/>
              <w:ind w:firstLine="0" w:firstLineChars="0"/>
              <w:jc w:val="center"/>
              <w:textAlignment w:val="center"/>
              <w:rPr>
                <w:color w:val="auto"/>
                <w:kern w:val="0"/>
                <w:highlight w:val="none"/>
              </w:rPr>
            </w:pPr>
          </w:p>
        </w:tc>
        <w:tc>
          <w:tcPr>
            <w:tcW w:w="760" w:type="dxa"/>
            <w:tcBorders>
              <w:top w:val="single" w:color="000000" w:sz="4" w:space="0"/>
              <w:left w:val="single" w:color="000000" w:sz="4" w:space="0"/>
              <w:bottom w:val="single" w:color="000000" w:sz="4" w:space="0"/>
              <w:right w:val="single" w:color="000000" w:sz="4" w:space="0"/>
            </w:tcBorders>
            <w:noWrap/>
            <w:vAlign w:val="center"/>
          </w:tcPr>
          <w:p w14:paraId="08FA87B1">
            <w:pPr>
              <w:widowControl/>
              <w:spacing w:line="240" w:lineRule="auto"/>
              <w:ind w:firstLine="0" w:firstLineChars="0"/>
              <w:jc w:val="center"/>
              <w:textAlignment w:val="center"/>
              <w:rPr>
                <w:color w:val="auto"/>
                <w:kern w:val="0"/>
                <w:highlight w:val="none"/>
              </w:rPr>
            </w:pPr>
            <w:r>
              <w:rPr>
                <w:color w:val="auto"/>
                <w:sz w:val="22"/>
                <w:szCs w:val="22"/>
                <w:highlight w:val="none"/>
              </w:rPr>
              <w:t>4</w:t>
            </w:r>
          </w:p>
        </w:tc>
        <w:tc>
          <w:tcPr>
            <w:tcW w:w="3747" w:type="dxa"/>
            <w:tcBorders>
              <w:top w:val="single" w:color="000000" w:sz="4" w:space="0"/>
              <w:left w:val="single" w:color="000000" w:sz="4" w:space="0"/>
              <w:bottom w:val="single" w:color="000000" w:sz="4" w:space="0"/>
              <w:right w:val="single" w:color="000000" w:sz="4" w:space="0"/>
            </w:tcBorders>
            <w:noWrap/>
            <w:vAlign w:val="center"/>
          </w:tcPr>
          <w:p w14:paraId="606D1CC0">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rFonts w:hint="eastAsia"/>
                <w:color w:val="auto"/>
                <w:sz w:val="22"/>
                <w:szCs w:val="22"/>
                <w:highlight w:val="none"/>
              </w:rPr>
              <w:t>水准网测量</w:t>
            </w:r>
          </w:p>
        </w:tc>
        <w:tc>
          <w:tcPr>
            <w:tcW w:w="1336" w:type="dxa"/>
            <w:tcBorders>
              <w:top w:val="single" w:color="000000" w:sz="4" w:space="0"/>
              <w:left w:val="single" w:color="000000" w:sz="4" w:space="0"/>
              <w:bottom w:val="single" w:color="000000" w:sz="4" w:space="0"/>
              <w:right w:val="single" w:color="000000" w:sz="4" w:space="0"/>
            </w:tcBorders>
            <w:noWrap/>
            <w:vAlign w:val="center"/>
          </w:tcPr>
          <w:p w14:paraId="50492748">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color w:val="auto"/>
                <w:sz w:val="22"/>
                <w:szCs w:val="22"/>
                <w:highlight w:val="none"/>
              </w:rPr>
              <w:t>km</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2315022">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color w:val="auto"/>
                <w:sz w:val="22"/>
                <w:szCs w:val="22"/>
                <w:highlight w:val="none"/>
              </w:rPr>
              <w:t>20</w:t>
            </w:r>
          </w:p>
        </w:tc>
      </w:tr>
      <w:tr w14:paraId="0F52D1D7">
        <w:tblPrEx>
          <w:tblCellMar>
            <w:top w:w="0" w:type="dxa"/>
            <w:left w:w="108" w:type="dxa"/>
            <w:bottom w:w="0" w:type="dxa"/>
            <w:right w:w="108" w:type="dxa"/>
          </w:tblCellMar>
        </w:tblPrEx>
        <w:trPr>
          <w:trHeight w:val="373" w:hRule="atLeast"/>
        </w:trPr>
        <w:tc>
          <w:tcPr>
            <w:tcW w:w="1320" w:type="dxa"/>
            <w:vMerge w:val="continue"/>
            <w:tcBorders>
              <w:top w:val="single" w:color="000000" w:sz="4" w:space="0"/>
              <w:left w:val="single" w:color="000000" w:sz="8" w:space="0"/>
              <w:bottom w:val="single" w:color="000000" w:sz="4" w:space="0"/>
              <w:right w:val="single" w:color="000000" w:sz="4" w:space="0"/>
            </w:tcBorders>
            <w:noWrap/>
            <w:vAlign w:val="center"/>
          </w:tcPr>
          <w:p w14:paraId="2CEC86CF">
            <w:pPr>
              <w:widowControl/>
              <w:spacing w:line="240" w:lineRule="auto"/>
              <w:ind w:firstLine="0" w:firstLineChars="0"/>
              <w:jc w:val="center"/>
              <w:textAlignment w:val="center"/>
              <w:rPr>
                <w:color w:val="auto"/>
                <w:kern w:val="0"/>
                <w:highlight w:val="none"/>
              </w:rPr>
            </w:pPr>
          </w:p>
        </w:tc>
        <w:tc>
          <w:tcPr>
            <w:tcW w:w="760" w:type="dxa"/>
            <w:tcBorders>
              <w:top w:val="single" w:color="000000" w:sz="4" w:space="0"/>
              <w:left w:val="single" w:color="000000" w:sz="4" w:space="0"/>
              <w:bottom w:val="single" w:color="000000" w:sz="4" w:space="0"/>
              <w:right w:val="single" w:color="000000" w:sz="4" w:space="0"/>
            </w:tcBorders>
            <w:noWrap/>
            <w:vAlign w:val="center"/>
          </w:tcPr>
          <w:p w14:paraId="775FD6DE">
            <w:pPr>
              <w:widowControl/>
              <w:spacing w:line="240" w:lineRule="auto"/>
              <w:ind w:firstLine="0" w:firstLineChars="0"/>
              <w:jc w:val="center"/>
              <w:textAlignment w:val="center"/>
              <w:rPr>
                <w:color w:val="auto"/>
                <w:kern w:val="0"/>
                <w:highlight w:val="none"/>
              </w:rPr>
            </w:pPr>
            <w:r>
              <w:rPr>
                <w:color w:val="auto"/>
                <w:sz w:val="22"/>
                <w:szCs w:val="22"/>
                <w:highlight w:val="none"/>
              </w:rPr>
              <w:t>5</w:t>
            </w:r>
          </w:p>
        </w:tc>
        <w:tc>
          <w:tcPr>
            <w:tcW w:w="3747" w:type="dxa"/>
            <w:tcBorders>
              <w:top w:val="single" w:color="000000" w:sz="4" w:space="0"/>
              <w:left w:val="single" w:color="000000" w:sz="4" w:space="0"/>
              <w:bottom w:val="single" w:color="000000" w:sz="4" w:space="0"/>
              <w:right w:val="single" w:color="000000" w:sz="4" w:space="0"/>
            </w:tcBorders>
            <w:noWrap/>
            <w:vAlign w:val="center"/>
          </w:tcPr>
          <w:p w14:paraId="6CE51E82">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rFonts w:hint="eastAsia"/>
                <w:color w:val="auto"/>
                <w:sz w:val="22"/>
                <w:szCs w:val="22"/>
                <w:highlight w:val="none"/>
              </w:rPr>
              <w:t>观测费用（一年</w:t>
            </w:r>
            <w:r>
              <w:rPr>
                <w:color w:val="auto"/>
                <w:sz w:val="22"/>
                <w:szCs w:val="22"/>
                <w:highlight w:val="none"/>
              </w:rPr>
              <w:t>4</w:t>
            </w:r>
            <w:r>
              <w:rPr>
                <w:rFonts w:hint="eastAsia"/>
                <w:color w:val="auto"/>
                <w:sz w:val="22"/>
                <w:szCs w:val="22"/>
                <w:highlight w:val="none"/>
              </w:rPr>
              <w:t>次）</w:t>
            </w:r>
          </w:p>
        </w:tc>
        <w:tc>
          <w:tcPr>
            <w:tcW w:w="1336" w:type="dxa"/>
            <w:tcBorders>
              <w:top w:val="single" w:color="000000" w:sz="4" w:space="0"/>
              <w:left w:val="single" w:color="000000" w:sz="4" w:space="0"/>
              <w:bottom w:val="single" w:color="000000" w:sz="4" w:space="0"/>
              <w:right w:val="single" w:color="000000" w:sz="4" w:space="0"/>
            </w:tcBorders>
            <w:noWrap/>
            <w:vAlign w:val="center"/>
          </w:tcPr>
          <w:p w14:paraId="425335C3">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rFonts w:hint="eastAsia"/>
                <w:color w:val="auto"/>
                <w:sz w:val="22"/>
                <w:szCs w:val="22"/>
                <w:highlight w:val="none"/>
              </w:rPr>
              <w:t>点位</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6268344">
            <w:pPr>
              <w:widowControl/>
              <w:spacing w:line="240" w:lineRule="auto"/>
              <w:ind w:firstLine="0" w:firstLineChars="0"/>
              <w:jc w:val="center"/>
              <w:textAlignment w:val="center"/>
              <w:rPr>
                <w:rFonts w:hint="eastAsia" w:ascii="微软雅黑" w:hAnsi="微软雅黑" w:cs="微软雅黑"/>
                <w:color w:val="auto"/>
                <w:kern w:val="0"/>
                <w:szCs w:val="21"/>
                <w:highlight w:val="none"/>
                <w:lang w:bidi="ar"/>
              </w:rPr>
            </w:pPr>
            <w:r>
              <w:rPr>
                <w:color w:val="auto"/>
                <w:sz w:val="22"/>
                <w:szCs w:val="22"/>
                <w:highlight w:val="none"/>
              </w:rPr>
              <w:t>55</w:t>
            </w:r>
          </w:p>
        </w:tc>
      </w:tr>
    </w:tbl>
    <w:p w14:paraId="243058A9">
      <w:pPr>
        <w:pStyle w:val="101"/>
        <w:widowControl/>
        <w:snapToGrid w:val="0"/>
        <w:spacing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注：</w:t>
      </w:r>
    </w:p>
    <w:p w14:paraId="59D3C18F">
      <w:pPr>
        <w:pStyle w:val="101"/>
        <w:widowControl/>
        <w:snapToGrid w:val="0"/>
        <w:spacing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水闸、及闸站共21座，单闸及泵站共7座设观测标志7个；闸站14个，设观测标志28个，圩区长度20公里，每公里设1个观测桩。共设观测标志55个。</w:t>
      </w:r>
    </w:p>
    <w:p w14:paraId="7027B322">
      <w:pPr>
        <w:pStyle w:val="101"/>
        <w:widowControl/>
        <w:snapToGrid w:val="0"/>
        <w:spacing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每做水闸及堤防沉降观测桩附近埋设1个工作基点，共41个工作基点、水准基点1座。</w:t>
      </w:r>
    </w:p>
    <w:p w14:paraId="3F494A22">
      <w:pPr>
        <w:pStyle w:val="101"/>
        <w:widowControl/>
        <w:snapToGrid w:val="0"/>
        <w:spacing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闭合环水准网路线以实际水准路线长度计算，长度约20公里。沉降观测次数为4次，每季度1次。</w:t>
      </w:r>
    </w:p>
    <w:p w14:paraId="37EB353D">
      <w:pPr>
        <w:pStyle w:val="101"/>
        <w:widowControl/>
        <w:numPr>
          <w:ilvl w:val="0"/>
          <w:numId w:val="5"/>
        </w:numPr>
        <w:snapToGrid w:val="0"/>
        <w:spacing w:line="460" w:lineRule="exact"/>
        <w:ind w:firstLineChars="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标识标牌及防汛物资采购</w:t>
      </w:r>
    </w:p>
    <w:p w14:paraId="515D44DC">
      <w:pPr>
        <w:pStyle w:val="101"/>
        <w:widowControl/>
        <w:numPr>
          <w:ilvl w:val="0"/>
          <w:numId w:val="15"/>
        </w:numPr>
        <w:snapToGrid w:val="0"/>
        <w:spacing w:line="460" w:lineRule="exact"/>
        <w:ind w:left="0" w:firstLine="426"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泾桥圩区采购清单（见附件）</w:t>
      </w:r>
    </w:p>
    <w:p w14:paraId="1537CCF8">
      <w:pPr>
        <w:pStyle w:val="101"/>
        <w:widowControl/>
        <w:numPr>
          <w:ilvl w:val="0"/>
          <w:numId w:val="15"/>
        </w:numPr>
        <w:snapToGrid w:val="0"/>
        <w:spacing w:line="460" w:lineRule="exact"/>
        <w:ind w:left="0"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新王桥圩区采购清单（见附件）</w:t>
      </w:r>
    </w:p>
    <w:p w14:paraId="1B7CE775">
      <w:pPr>
        <w:pStyle w:val="101"/>
        <w:widowControl/>
        <w:numPr>
          <w:ilvl w:val="0"/>
          <w:numId w:val="5"/>
        </w:numPr>
        <w:snapToGrid w:val="0"/>
        <w:spacing w:line="460" w:lineRule="exact"/>
        <w:ind w:firstLineChars="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lang w:val="en-US" w:eastAsia="zh-CN"/>
        </w:rPr>
        <w:t>其他</w:t>
      </w:r>
    </w:p>
    <w:p w14:paraId="208D75C7">
      <w:pPr>
        <w:pStyle w:val="101"/>
        <w:widowControl/>
        <w:numPr>
          <w:ilvl w:val="0"/>
          <w:numId w:val="0"/>
        </w:numPr>
        <w:snapToGrid w:val="0"/>
        <w:spacing w:line="460" w:lineRule="exact"/>
        <w:ind w:left="0" w:leftChars="0" w:firstLine="420" w:firstLineChars="200"/>
        <w:rPr>
          <w:rFonts w:hint="default" w:ascii="微软雅黑" w:hAnsi="微软雅黑" w:eastAsia="微软雅黑" w:cs="微软雅黑"/>
          <w:b w:val="0"/>
          <w:bCs w:val="0"/>
          <w:color w:val="auto"/>
          <w:szCs w:val="21"/>
          <w:highlight w:val="none"/>
          <w:lang w:val="en-US" w:eastAsia="zh-CN"/>
        </w:rPr>
      </w:pPr>
      <w:r>
        <w:rPr>
          <w:rFonts w:hint="eastAsia" w:ascii="微软雅黑" w:hAnsi="微软雅黑" w:cs="微软雅黑"/>
          <w:b w:val="0"/>
          <w:bCs w:val="0"/>
          <w:color w:val="auto"/>
          <w:szCs w:val="21"/>
          <w:highlight w:val="none"/>
          <w:lang w:val="en-US" w:eastAsia="zh-CN"/>
        </w:rPr>
        <w:t>投标人应根据项目实际需求，在投标文件中列明</w:t>
      </w:r>
      <w:r>
        <w:rPr>
          <w:rFonts w:hint="eastAsia" w:ascii="微软雅黑" w:hAnsi="微软雅黑" w:cs="微软雅黑"/>
          <w:b w:val="0"/>
          <w:bCs w:val="0"/>
          <w:color w:val="auto"/>
          <w:szCs w:val="21"/>
          <w:highlight w:val="none"/>
        </w:rPr>
        <w:t>标识标牌及防汛物资</w:t>
      </w:r>
      <w:r>
        <w:rPr>
          <w:rFonts w:hint="eastAsia" w:ascii="微软雅黑" w:hAnsi="微软雅黑" w:cs="微软雅黑"/>
          <w:b w:val="0"/>
          <w:bCs w:val="0"/>
          <w:color w:val="auto"/>
          <w:szCs w:val="21"/>
          <w:highlight w:val="none"/>
          <w:lang w:val="en-US" w:eastAsia="zh-CN"/>
        </w:rPr>
        <w:t>的性能及技术指标，并</w:t>
      </w:r>
      <w:r>
        <w:rPr>
          <w:rFonts w:hint="eastAsia" w:ascii="微软雅黑" w:hAnsi="微软雅黑" w:cs="微软雅黑"/>
          <w:b w:val="0"/>
          <w:bCs w:val="0"/>
          <w:color w:val="auto"/>
          <w:szCs w:val="21"/>
          <w:highlight w:val="none"/>
          <w:lang w:val="en-US" w:eastAsia="zh-CN"/>
        </w:rPr>
        <w:t>根据自行勘察结果，</w:t>
      </w:r>
      <w:r>
        <w:rPr>
          <w:rFonts w:hint="eastAsia" w:ascii="微软雅黑" w:hAnsi="微软雅黑" w:eastAsia="微软雅黑" w:cs="微软雅黑"/>
          <w:b w:val="0"/>
          <w:bCs w:val="0"/>
          <w:color w:val="auto"/>
          <w:szCs w:val="21"/>
          <w:highlight w:val="none"/>
          <w:lang w:val="en-US" w:eastAsia="zh-CN"/>
        </w:rPr>
        <w:t>对本项目涉及建筑物现状调查及标准化内容设施设备</w:t>
      </w:r>
      <w:r>
        <w:rPr>
          <w:rFonts w:hint="eastAsia" w:ascii="微软雅黑" w:hAnsi="微软雅黑" w:cs="微软雅黑"/>
          <w:b w:val="0"/>
          <w:bCs w:val="0"/>
          <w:color w:val="auto"/>
          <w:szCs w:val="21"/>
          <w:highlight w:val="none"/>
          <w:lang w:val="en-US" w:eastAsia="zh-CN"/>
        </w:rPr>
        <w:t>作出分析，并对</w:t>
      </w:r>
      <w:r>
        <w:rPr>
          <w:rFonts w:hint="eastAsia" w:ascii="微软雅黑" w:hAnsi="微软雅黑" w:eastAsia="微软雅黑" w:cs="微软雅黑"/>
          <w:b w:val="0"/>
          <w:bCs w:val="0"/>
          <w:color w:val="auto"/>
          <w:szCs w:val="21"/>
          <w:highlight w:val="none"/>
          <w:lang w:val="en-US" w:eastAsia="zh-CN"/>
        </w:rPr>
        <w:t>圩区维修养护及运行管理</w:t>
      </w:r>
      <w:r>
        <w:rPr>
          <w:rFonts w:hint="eastAsia" w:ascii="微软雅黑" w:hAnsi="微软雅黑" w:cs="微软雅黑"/>
          <w:b w:val="0"/>
          <w:bCs w:val="0"/>
          <w:color w:val="auto"/>
          <w:szCs w:val="21"/>
          <w:highlight w:val="none"/>
          <w:lang w:val="en-US" w:eastAsia="zh-CN"/>
        </w:rPr>
        <w:t>、</w:t>
      </w:r>
      <w:r>
        <w:rPr>
          <w:rFonts w:hint="eastAsia" w:ascii="微软雅黑" w:hAnsi="微软雅黑" w:eastAsia="微软雅黑" w:cs="微软雅黑"/>
          <w:b w:val="0"/>
          <w:bCs w:val="0"/>
          <w:color w:val="auto"/>
          <w:szCs w:val="21"/>
          <w:highlight w:val="none"/>
          <w:lang w:val="en-US" w:eastAsia="zh-CN"/>
        </w:rPr>
        <w:t>圩区全套标准化管理文本</w:t>
      </w:r>
      <w:r>
        <w:rPr>
          <w:rFonts w:hint="eastAsia" w:ascii="微软雅黑" w:hAnsi="微软雅黑" w:cs="微软雅黑"/>
          <w:b w:val="0"/>
          <w:bCs w:val="0"/>
          <w:color w:val="auto"/>
          <w:szCs w:val="21"/>
          <w:highlight w:val="none"/>
          <w:lang w:val="en-US" w:eastAsia="zh-CN"/>
        </w:rPr>
        <w:t>和</w:t>
      </w:r>
      <w:r>
        <w:rPr>
          <w:rFonts w:hint="eastAsia" w:ascii="微软雅黑" w:hAnsi="微软雅黑" w:eastAsia="微软雅黑" w:cs="微软雅黑"/>
          <w:b w:val="0"/>
          <w:bCs w:val="0"/>
          <w:color w:val="auto"/>
          <w:szCs w:val="21"/>
          <w:highlight w:val="none"/>
          <w:lang w:val="en-US" w:eastAsia="zh-CN"/>
        </w:rPr>
        <w:t>圩区划界方案文</w:t>
      </w:r>
      <w:r>
        <w:rPr>
          <w:rFonts w:hint="eastAsia" w:ascii="微软雅黑" w:hAnsi="微软雅黑" w:cs="微软雅黑"/>
          <w:b w:val="0"/>
          <w:bCs w:val="0"/>
          <w:color w:val="auto"/>
          <w:szCs w:val="21"/>
          <w:highlight w:val="none"/>
          <w:lang w:val="en-US" w:eastAsia="zh-CN"/>
        </w:rPr>
        <w:t>本编制、</w:t>
      </w:r>
      <w:r>
        <w:rPr>
          <w:rFonts w:hint="eastAsia" w:ascii="微软雅黑" w:hAnsi="微软雅黑" w:eastAsia="微软雅黑" w:cs="微软雅黑"/>
          <w:b w:val="0"/>
          <w:bCs w:val="0"/>
          <w:color w:val="auto"/>
          <w:szCs w:val="21"/>
          <w:highlight w:val="none"/>
          <w:lang w:val="en-US" w:eastAsia="zh-CN"/>
        </w:rPr>
        <w:t>沉降观测</w:t>
      </w:r>
      <w:r>
        <w:rPr>
          <w:rFonts w:hint="eastAsia" w:ascii="微软雅黑" w:hAnsi="微软雅黑" w:cs="微软雅黑"/>
          <w:b w:val="0"/>
          <w:bCs w:val="0"/>
          <w:color w:val="auto"/>
          <w:szCs w:val="21"/>
          <w:highlight w:val="none"/>
          <w:lang w:val="en-US" w:eastAsia="zh-CN"/>
        </w:rPr>
        <w:t>、保证项目</w:t>
      </w:r>
      <w:r>
        <w:rPr>
          <w:rFonts w:hint="eastAsia" w:ascii="宋体" w:hAnsi="宋体"/>
          <w:b w:val="0"/>
          <w:bCs w:val="0"/>
          <w:color w:val="auto"/>
          <w:szCs w:val="21"/>
          <w:highlight w:val="none"/>
        </w:rPr>
        <w:t>质量目标</w:t>
      </w:r>
      <w:r>
        <w:rPr>
          <w:rFonts w:hint="eastAsia" w:ascii="宋体" w:hAnsi="宋体"/>
          <w:b w:val="0"/>
          <w:bCs w:val="0"/>
          <w:color w:val="auto"/>
          <w:szCs w:val="21"/>
          <w:highlight w:val="none"/>
          <w:lang w:val="en-US" w:eastAsia="zh-CN"/>
        </w:rPr>
        <w:t>和</w:t>
      </w:r>
      <w:r>
        <w:rPr>
          <w:rFonts w:hint="eastAsia" w:ascii="宋体" w:hAnsi="宋体"/>
          <w:b w:val="0"/>
          <w:bCs w:val="0"/>
          <w:color w:val="auto"/>
          <w:szCs w:val="21"/>
          <w:highlight w:val="none"/>
        </w:rPr>
        <w:t>保证措施</w:t>
      </w:r>
      <w:r>
        <w:rPr>
          <w:rFonts w:hint="eastAsia" w:ascii="宋体" w:hAnsi="宋体"/>
          <w:b w:val="0"/>
          <w:bCs w:val="0"/>
          <w:color w:val="auto"/>
          <w:szCs w:val="21"/>
          <w:highlight w:val="none"/>
          <w:lang w:eastAsia="zh-CN"/>
        </w:rPr>
        <w:t>、</w:t>
      </w:r>
      <w:r>
        <w:rPr>
          <w:rFonts w:hint="eastAsia" w:ascii="微软雅黑" w:hAnsi="微软雅黑" w:eastAsia="微软雅黑" w:cs="微软雅黑"/>
          <w:b w:val="0"/>
          <w:bCs w:val="0"/>
          <w:color w:val="auto"/>
          <w:szCs w:val="21"/>
          <w:highlight w:val="none"/>
          <w:lang w:val="en-US" w:eastAsia="zh-CN"/>
        </w:rPr>
        <w:t>标识标牌及防汛物资采购实施</w:t>
      </w:r>
      <w:r>
        <w:rPr>
          <w:rFonts w:hint="eastAsia" w:ascii="微软雅黑" w:hAnsi="微软雅黑" w:cs="微软雅黑"/>
          <w:b w:val="0"/>
          <w:bCs w:val="0"/>
          <w:color w:val="auto"/>
          <w:szCs w:val="21"/>
          <w:highlight w:val="none"/>
          <w:lang w:val="en-US" w:eastAsia="zh-CN"/>
        </w:rPr>
        <w:t>、工作期间的</w:t>
      </w:r>
      <w:r>
        <w:rPr>
          <w:rFonts w:hint="eastAsia" w:ascii="宋体" w:hAnsi="宋体"/>
          <w:b w:val="0"/>
          <w:bCs w:val="0"/>
          <w:color w:val="auto"/>
          <w:szCs w:val="21"/>
          <w:highlight w:val="none"/>
        </w:rPr>
        <w:t>台账</w:t>
      </w:r>
      <w:r>
        <w:rPr>
          <w:rFonts w:hint="eastAsia" w:ascii="宋体" w:hAnsi="宋体"/>
          <w:b w:val="0"/>
          <w:bCs w:val="0"/>
          <w:color w:val="auto"/>
          <w:szCs w:val="21"/>
          <w:highlight w:val="none"/>
          <w:lang w:val="en-US" w:eastAsia="zh-CN"/>
        </w:rPr>
        <w:t>和</w:t>
      </w:r>
      <w:r>
        <w:rPr>
          <w:rFonts w:hint="eastAsia" w:ascii="宋体" w:hAnsi="宋体"/>
          <w:b w:val="0"/>
          <w:bCs w:val="0"/>
          <w:color w:val="auto"/>
          <w:szCs w:val="21"/>
          <w:highlight w:val="none"/>
        </w:rPr>
        <w:t>内控制度</w:t>
      </w:r>
      <w:r>
        <w:rPr>
          <w:rFonts w:hint="eastAsia" w:ascii="宋体" w:hAnsi="宋体"/>
          <w:b w:val="0"/>
          <w:bCs w:val="0"/>
          <w:color w:val="auto"/>
          <w:szCs w:val="21"/>
          <w:highlight w:val="none"/>
          <w:lang w:eastAsia="zh-CN"/>
        </w:rPr>
        <w:t>、</w:t>
      </w:r>
      <w:r>
        <w:rPr>
          <w:rFonts w:hint="eastAsia" w:ascii="宋体" w:hAnsi="宋体"/>
          <w:b w:val="0"/>
          <w:bCs w:val="0"/>
          <w:color w:val="auto"/>
          <w:szCs w:val="21"/>
          <w:highlight w:val="none"/>
          <w:lang w:val="en-US" w:eastAsia="zh-CN"/>
        </w:rPr>
        <w:t>单位的管理内控制度、人员配置和培训、</w:t>
      </w:r>
      <w:r>
        <w:rPr>
          <w:rFonts w:hint="eastAsia" w:ascii="微软雅黑" w:hAnsi="微软雅黑"/>
          <w:b w:val="0"/>
          <w:bCs w:val="0"/>
          <w:color w:val="auto"/>
          <w:szCs w:val="21"/>
          <w:highlight w:val="none"/>
        </w:rPr>
        <w:t>投标单位针对本项目</w:t>
      </w:r>
      <w:r>
        <w:rPr>
          <w:rFonts w:hint="eastAsia" w:ascii="微软雅黑" w:hAnsi="微软雅黑"/>
          <w:b w:val="0"/>
          <w:bCs w:val="0"/>
          <w:color w:val="auto"/>
          <w:szCs w:val="21"/>
          <w:highlight w:val="none"/>
          <w:lang w:eastAsia="zh-CN"/>
        </w:rPr>
        <w:t>在实施过程中</w:t>
      </w:r>
      <w:r>
        <w:rPr>
          <w:rFonts w:hint="eastAsia" w:ascii="微软雅黑" w:hAnsi="微软雅黑"/>
          <w:b w:val="0"/>
          <w:bCs w:val="0"/>
          <w:color w:val="auto"/>
          <w:szCs w:val="21"/>
          <w:highlight w:val="none"/>
        </w:rPr>
        <w:t>生突发性事件的分析、应急预案及处理</w:t>
      </w:r>
      <w:r>
        <w:rPr>
          <w:rFonts w:hint="eastAsia" w:ascii="微软雅黑" w:hAnsi="微软雅黑"/>
          <w:b w:val="0"/>
          <w:bCs w:val="0"/>
          <w:color w:val="auto"/>
          <w:szCs w:val="21"/>
          <w:highlight w:val="none"/>
          <w:lang w:val="en-US" w:eastAsia="zh-CN"/>
        </w:rPr>
        <w:t>等方面</w:t>
      </w:r>
      <w:r>
        <w:rPr>
          <w:rFonts w:hint="eastAsia" w:ascii="微软雅黑" w:hAnsi="微软雅黑" w:cs="微软雅黑"/>
          <w:b w:val="0"/>
          <w:bCs w:val="0"/>
          <w:color w:val="auto"/>
          <w:szCs w:val="21"/>
          <w:highlight w:val="none"/>
          <w:lang w:val="en-US" w:eastAsia="zh-CN"/>
        </w:rPr>
        <w:t>提出详细</w:t>
      </w:r>
      <w:r>
        <w:rPr>
          <w:rFonts w:hint="eastAsia" w:ascii="微软雅黑" w:hAnsi="微软雅黑" w:eastAsia="微软雅黑" w:cs="微软雅黑"/>
          <w:b w:val="0"/>
          <w:bCs w:val="0"/>
          <w:color w:val="auto"/>
          <w:szCs w:val="21"/>
          <w:highlight w:val="none"/>
          <w:lang w:val="en-US" w:eastAsia="zh-CN"/>
        </w:rPr>
        <w:t>实施方案</w:t>
      </w:r>
      <w:r>
        <w:rPr>
          <w:rFonts w:hint="eastAsia" w:ascii="微软雅黑" w:hAnsi="微软雅黑" w:cs="微软雅黑"/>
          <w:b w:val="0"/>
          <w:bCs w:val="0"/>
          <w:color w:val="auto"/>
          <w:szCs w:val="21"/>
          <w:highlight w:val="none"/>
          <w:lang w:val="en-US" w:eastAsia="zh-CN"/>
        </w:rPr>
        <w:t>。</w:t>
      </w:r>
    </w:p>
    <w:p w14:paraId="14F6594F">
      <w:pPr>
        <w:pStyle w:val="305"/>
        <w:numPr>
          <w:ilvl w:val="0"/>
          <w:numId w:val="4"/>
        </w:numPr>
        <w:spacing w:after="120" w:line="460" w:lineRule="exact"/>
        <w:ind w:firstLineChars="0"/>
        <w:outlineLvl w:val="2"/>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服务期限</w:t>
      </w:r>
    </w:p>
    <w:p w14:paraId="26FBFB8F">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标准化管理文本编制、圩区划界方案编制、物资采购在</w:t>
      </w:r>
      <w:r>
        <w:rPr>
          <w:rFonts w:hint="eastAsia" w:ascii="微软雅黑" w:hAnsi="微软雅黑" w:cs="微软雅黑"/>
          <w:color w:val="auto"/>
          <w:szCs w:val="21"/>
          <w:highlight w:val="none"/>
          <w:lang w:val="zh-CN"/>
        </w:rPr>
        <w:t>2024年12月31日</w:t>
      </w:r>
      <w:r>
        <w:rPr>
          <w:rFonts w:hint="eastAsia" w:ascii="微软雅黑" w:hAnsi="微软雅黑" w:cs="微软雅黑"/>
          <w:color w:val="auto"/>
          <w:szCs w:val="21"/>
          <w:highlight w:val="none"/>
        </w:rPr>
        <w:t>前完成且通过验收。</w:t>
      </w:r>
    </w:p>
    <w:p w14:paraId="34AB8F0A">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圩区运行管护、沉降观测</w:t>
      </w:r>
      <w:r>
        <w:rPr>
          <w:rFonts w:hint="eastAsia" w:ascii="微软雅黑" w:hAnsi="微软雅黑" w:cs="Arial"/>
          <w:color w:val="auto"/>
          <w:szCs w:val="21"/>
          <w:highlight w:val="none"/>
        </w:rPr>
        <w:t>时间从合同之日签订起至2025年12月31日。服务期满后根据承包单位的工作情况、采购单位满意度情况，综合考虑是否续签合同（按浙财采监〔2021〕2号《浙江省财政厅关于进一步规范政府购买服务采购管理的通知》的有关规定续签合同）</w:t>
      </w:r>
      <w:r>
        <w:rPr>
          <w:rFonts w:hint="eastAsia" w:ascii="微软雅黑" w:hAnsi="微软雅黑" w:cs="微软雅黑"/>
          <w:color w:val="auto"/>
          <w:szCs w:val="21"/>
          <w:highlight w:val="none"/>
        </w:rPr>
        <w:t>。</w:t>
      </w:r>
    </w:p>
    <w:p w14:paraId="74793B19">
      <w:pPr>
        <w:pStyle w:val="305"/>
        <w:numPr>
          <w:ilvl w:val="0"/>
          <w:numId w:val="4"/>
        </w:numPr>
        <w:spacing w:after="120" w:line="460" w:lineRule="exact"/>
        <w:ind w:firstLineChars="0"/>
        <w:outlineLvl w:val="2"/>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质保期及售后服务保障</w:t>
      </w:r>
    </w:p>
    <w:p w14:paraId="682BA6ED">
      <w:pPr>
        <w:pStyle w:val="101"/>
        <w:numPr>
          <w:ilvl w:val="0"/>
          <w:numId w:val="16"/>
        </w:numPr>
        <w:tabs>
          <w:tab w:val="left" w:pos="709"/>
        </w:tabs>
        <w:spacing w:line="460" w:lineRule="exact"/>
        <w:ind w:left="0" w:right="-416" w:firstLine="426" w:firstLineChars="0"/>
        <w:rPr>
          <w:rFonts w:hint="eastAsia" w:ascii="微软雅黑" w:hAnsi="微软雅黑" w:cs="微软雅黑"/>
          <w:color w:val="auto"/>
          <w:szCs w:val="21"/>
          <w:highlight w:val="none"/>
          <w:lang w:val="zh-CN"/>
        </w:rPr>
      </w:pPr>
      <w:r>
        <w:rPr>
          <w:rFonts w:hint="eastAsia" w:ascii="微软雅黑" w:hAnsi="微软雅黑" w:cs="微软雅黑"/>
          <w:color w:val="auto"/>
          <w:szCs w:val="21"/>
          <w:highlight w:val="none"/>
        </w:rPr>
        <w:t>标识标牌及防汛物资</w:t>
      </w:r>
      <w:r>
        <w:rPr>
          <w:rFonts w:hint="eastAsia" w:ascii="微软雅黑" w:hAnsi="微软雅黑" w:cs="微软雅黑"/>
          <w:color w:val="auto"/>
          <w:szCs w:val="21"/>
          <w:highlight w:val="none"/>
          <w:lang w:val="zh-CN"/>
        </w:rPr>
        <w:t>提供不少于</w:t>
      </w:r>
      <w:r>
        <w:rPr>
          <w:rFonts w:hint="eastAsia" w:ascii="微软雅黑" w:hAnsi="微软雅黑" w:cs="微软雅黑"/>
          <w:color w:val="auto"/>
          <w:szCs w:val="21"/>
          <w:highlight w:val="none"/>
        </w:rPr>
        <w:t>2</w:t>
      </w:r>
      <w:r>
        <w:rPr>
          <w:rFonts w:hint="eastAsia" w:ascii="微软雅黑" w:hAnsi="微软雅黑" w:cs="微软雅黑"/>
          <w:color w:val="auto"/>
          <w:szCs w:val="21"/>
          <w:highlight w:val="none"/>
          <w:lang w:val="zh-CN"/>
        </w:rPr>
        <w:t>年免费质保期，质保期自验收合格次日起计算，质保期严格按照国家三包规定执行。</w:t>
      </w:r>
    </w:p>
    <w:p w14:paraId="5B8FCF8B">
      <w:pPr>
        <w:pStyle w:val="101"/>
        <w:numPr>
          <w:ilvl w:val="0"/>
          <w:numId w:val="16"/>
        </w:numPr>
        <w:tabs>
          <w:tab w:val="left" w:pos="709"/>
        </w:tabs>
        <w:spacing w:line="460" w:lineRule="exact"/>
        <w:ind w:left="0" w:right="-416" w:firstLine="426" w:firstLineChars="0"/>
        <w:rPr>
          <w:rFonts w:hint="eastAsia" w:ascii="微软雅黑" w:hAnsi="微软雅黑" w:cs="微软雅黑"/>
          <w:color w:val="auto"/>
          <w:szCs w:val="21"/>
          <w:highlight w:val="none"/>
          <w:lang w:val="zh-CN"/>
        </w:rPr>
      </w:pPr>
      <w:r>
        <w:rPr>
          <w:rFonts w:hint="eastAsia" w:ascii="微软雅黑" w:hAnsi="微软雅黑" w:cs="微软雅黑"/>
          <w:color w:val="auto"/>
          <w:szCs w:val="21"/>
          <w:highlight w:val="none"/>
          <w:lang w:val="zh-CN"/>
        </w:rPr>
        <w:t>乙方对产品实行终身维修，保修期内如发生不会使用情况、电脑问题及网络故障，乙方免费提供电话或者网络服务及上门服务，在甲方提出问题后乙方需在24小时内响应。</w:t>
      </w:r>
    </w:p>
    <w:p w14:paraId="775B2A40">
      <w:pPr>
        <w:pStyle w:val="101"/>
        <w:numPr>
          <w:ilvl w:val="0"/>
          <w:numId w:val="16"/>
        </w:numPr>
        <w:tabs>
          <w:tab w:val="left" w:pos="709"/>
        </w:tabs>
        <w:spacing w:line="460" w:lineRule="exact"/>
        <w:ind w:left="0" w:right="-416" w:firstLine="426" w:firstLineChars="0"/>
        <w:rPr>
          <w:rFonts w:hint="eastAsia" w:ascii="微软雅黑" w:hAnsi="微软雅黑" w:cs="微软雅黑"/>
          <w:color w:val="auto"/>
          <w:szCs w:val="21"/>
          <w:highlight w:val="none"/>
          <w:lang w:val="zh-CN"/>
        </w:rPr>
      </w:pPr>
      <w:r>
        <w:rPr>
          <w:rFonts w:hint="eastAsia" w:ascii="微软雅黑" w:hAnsi="微软雅黑" w:cs="微软雅黑"/>
          <w:color w:val="auto"/>
          <w:szCs w:val="21"/>
          <w:highlight w:val="none"/>
          <w:lang w:val="zh-CN"/>
        </w:rPr>
        <w:t>保修期内由于火灾、水灾、地震等不可抗力原因及甲方人为破坏因素造成的损坏，乙方负责免费维修，设备材料成本费由甲方承担。</w:t>
      </w:r>
    </w:p>
    <w:p w14:paraId="702AB8A5">
      <w:pPr>
        <w:pStyle w:val="101"/>
        <w:numPr>
          <w:ilvl w:val="0"/>
          <w:numId w:val="16"/>
        </w:numPr>
        <w:tabs>
          <w:tab w:val="left" w:pos="709"/>
        </w:tabs>
        <w:spacing w:line="460" w:lineRule="exact"/>
        <w:ind w:left="0" w:right="-416" w:firstLine="426" w:firstLineChars="0"/>
        <w:rPr>
          <w:rFonts w:hint="eastAsia" w:ascii="微软雅黑" w:hAnsi="微软雅黑" w:cs="微软雅黑"/>
          <w:color w:val="auto"/>
          <w:szCs w:val="21"/>
          <w:highlight w:val="none"/>
          <w:lang w:val="zh-CN"/>
        </w:rPr>
      </w:pPr>
      <w:r>
        <w:rPr>
          <w:rFonts w:hint="eastAsia" w:ascii="微软雅黑" w:hAnsi="微软雅黑" w:cs="微软雅黑"/>
          <w:color w:val="auto"/>
          <w:szCs w:val="21"/>
          <w:highlight w:val="none"/>
          <w:lang w:val="zh-CN"/>
        </w:rPr>
        <w:t>保修期后，乙方接到甲方维修通知后，派人到甲方现场维修或简单问题远程技术指导。设备维修、更换，乙方酌情收取材料费和服务费，收费标准另行约定。</w:t>
      </w:r>
    </w:p>
    <w:p w14:paraId="4C4C542F">
      <w:pPr>
        <w:pStyle w:val="101"/>
        <w:numPr>
          <w:ilvl w:val="0"/>
          <w:numId w:val="16"/>
        </w:numPr>
        <w:tabs>
          <w:tab w:val="left" w:pos="709"/>
        </w:tabs>
        <w:spacing w:line="460" w:lineRule="exact"/>
        <w:ind w:left="0" w:right="-416" w:firstLine="426" w:firstLineChars="0"/>
        <w:rPr>
          <w:rFonts w:hint="eastAsia" w:ascii="微软雅黑" w:hAnsi="微软雅黑" w:cs="微软雅黑"/>
          <w:color w:val="auto"/>
          <w:szCs w:val="21"/>
          <w:highlight w:val="none"/>
          <w:lang w:val="zh-CN"/>
        </w:rPr>
      </w:pPr>
      <w:r>
        <w:rPr>
          <w:rFonts w:hint="eastAsia" w:ascii="微软雅黑" w:hAnsi="微软雅黑" w:cs="微软雅黑"/>
          <w:color w:val="auto"/>
          <w:szCs w:val="21"/>
          <w:highlight w:val="none"/>
          <w:lang w:val="zh-CN"/>
        </w:rPr>
        <w:t>投标方必须提供</w:t>
      </w:r>
      <w:r>
        <w:rPr>
          <w:rFonts w:hint="eastAsia" w:ascii="微软雅黑" w:hAnsi="微软雅黑" w:cs="微软雅黑"/>
          <w:color w:val="auto"/>
          <w:szCs w:val="21"/>
          <w:highlight w:val="none"/>
        </w:rPr>
        <w:t>5</w:t>
      </w:r>
      <w:r>
        <w:rPr>
          <w:rFonts w:hint="eastAsia" w:ascii="微软雅黑" w:hAnsi="微软雅黑" w:cs="微软雅黑"/>
          <w:color w:val="auto"/>
          <w:szCs w:val="21"/>
          <w:highlight w:val="none"/>
          <w:lang w:val="zh-CN"/>
        </w:rPr>
        <w:t>*8小时的技术支持服务。</w:t>
      </w:r>
      <w:r>
        <w:rPr>
          <w:rFonts w:hint="eastAsia" w:ascii="微软雅黑" w:hAnsi="微软雅黑" w:cs="微软雅黑"/>
          <w:color w:val="auto"/>
          <w:szCs w:val="21"/>
          <w:highlight w:val="none"/>
          <w:lang w:val="zh-CN"/>
        </w:rPr>
        <w:tab/>
      </w:r>
    </w:p>
    <w:p w14:paraId="05186957">
      <w:pPr>
        <w:pStyle w:val="101"/>
        <w:numPr>
          <w:ilvl w:val="0"/>
          <w:numId w:val="16"/>
        </w:numPr>
        <w:tabs>
          <w:tab w:val="left" w:pos="709"/>
        </w:tabs>
        <w:spacing w:line="460" w:lineRule="exact"/>
        <w:ind w:left="0" w:right="-416" w:firstLine="426"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zh-CN"/>
        </w:rPr>
        <w:t>重大活动期间投标方必须在</w:t>
      </w:r>
      <w:r>
        <w:rPr>
          <w:rFonts w:hint="eastAsia" w:ascii="微软雅黑" w:hAnsi="微软雅黑" w:cs="微软雅黑"/>
          <w:color w:val="auto"/>
          <w:szCs w:val="21"/>
          <w:highlight w:val="none"/>
        </w:rPr>
        <w:t>12</w:t>
      </w:r>
      <w:r>
        <w:rPr>
          <w:rFonts w:hint="eastAsia" w:ascii="微软雅黑" w:hAnsi="微软雅黑" w:cs="微软雅黑"/>
          <w:color w:val="auto"/>
          <w:szCs w:val="21"/>
          <w:highlight w:val="none"/>
          <w:lang w:val="zh-CN"/>
        </w:rPr>
        <w:t>小时内对用户所提出的维修要求赶赴现场。</w:t>
      </w:r>
    </w:p>
    <w:p w14:paraId="3C684810">
      <w:pPr>
        <w:pStyle w:val="305"/>
        <w:numPr>
          <w:ilvl w:val="0"/>
          <w:numId w:val="4"/>
        </w:numPr>
        <w:spacing w:after="120" w:line="460" w:lineRule="exact"/>
        <w:ind w:firstLineChars="0"/>
        <w:outlineLvl w:val="2"/>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lang w:val="en-US" w:eastAsia="zh-CN"/>
        </w:rPr>
        <w:t>人员要求</w:t>
      </w:r>
    </w:p>
    <w:p w14:paraId="358B1AAB">
      <w:pPr>
        <w:numPr>
          <w:ilvl w:val="1"/>
          <w:numId w:val="17"/>
        </w:numPr>
        <w:spacing w:line="460" w:lineRule="exact"/>
        <w:ind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zh-CN"/>
        </w:rPr>
        <w:t>乙方</w:t>
      </w:r>
      <w:r>
        <w:rPr>
          <w:rFonts w:hint="eastAsia" w:ascii="微软雅黑" w:hAnsi="微软雅黑" w:cs="微软雅黑"/>
          <w:color w:val="auto"/>
          <w:szCs w:val="21"/>
          <w:highlight w:val="none"/>
        </w:rPr>
        <w:t>招用工作人员必须按《劳动法》有关规定执行，为员工办理社会保险、职工意外伤害保险等，保障员工休息休假权利；</w:t>
      </w:r>
    </w:p>
    <w:p w14:paraId="506CE832">
      <w:pPr>
        <w:numPr>
          <w:ilvl w:val="1"/>
          <w:numId w:val="17"/>
        </w:numPr>
        <w:spacing w:line="460" w:lineRule="exact"/>
        <w:ind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员工如因操作不当发生的人身安全事故，其发生的一切费用均由承包方负责，与发包方无关；</w:t>
      </w:r>
    </w:p>
    <w:p w14:paraId="1A78C44C">
      <w:pPr>
        <w:numPr>
          <w:ilvl w:val="1"/>
          <w:numId w:val="17"/>
        </w:numPr>
        <w:spacing w:line="460" w:lineRule="exact"/>
        <w:ind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zh-CN"/>
        </w:rPr>
        <w:t>乙方</w:t>
      </w:r>
      <w:r>
        <w:rPr>
          <w:rFonts w:hint="eastAsia" w:ascii="微软雅黑" w:hAnsi="微软雅黑" w:cs="微软雅黑"/>
          <w:color w:val="auto"/>
          <w:szCs w:val="21"/>
          <w:highlight w:val="none"/>
        </w:rPr>
        <w:t>应将人员的分工情况、作息时间、排班计划等告知发包方。</w:t>
      </w:r>
    </w:p>
    <w:p w14:paraId="23900EC6">
      <w:pPr>
        <w:pStyle w:val="305"/>
        <w:numPr>
          <w:ilvl w:val="0"/>
          <w:numId w:val="4"/>
        </w:numPr>
        <w:spacing w:after="120" w:line="460" w:lineRule="exact"/>
        <w:ind w:firstLineChars="0"/>
        <w:outlineLvl w:val="2"/>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付款方式</w:t>
      </w:r>
    </w:p>
    <w:p w14:paraId="44780B7D">
      <w:pPr>
        <w:numPr>
          <w:ilvl w:val="1"/>
          <w:numId w:val="18"/>
        </w:numPr>
        <w:spacing w:line="460" w:lineRule="exact"/>
        <w:ind w:left="0"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预付款政策告知</w:t>
      </w:r>
    </w:p>
    <w:p w14:paraId="283406AD">
      <w:pPr>
        <w:spacing w:line="460" w:lineRule="exact"/>
        <w:ind w:right="-380" w:rightChars="-181"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根据《浙江省财政厅关于进一步发挥政府采购政策功能全力推动经济稳进提质的通知》[浙财采监〔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为大型企业的项目或者以人工投入为主且实行按月定期结算支付款项的项目，预付款比例可低于上述比例或者不约定预付款。在签订合同同时，</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明确表示无需预付款或者主动要求降低预付款比例的，采购单位可不适用前述规定。采购单位根据项目特点、</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诚信等因素，可以要求</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7978E049">
      <w:pPr>
        <w:numPr>
          <w:ilvl w:val="1"/>
          <w:numId w:val="18"/>
        </w:numPr>
        <w:spacing w:line="460" w:lineRule="exact"/>
        <w:ind w:left="0"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项目进度款</w:t>
      </w:r>
    </w:p>
    <w:p w14:paraId="2B46B88E">
      <w:pPr>
        <w:tabs>
          <w:tab w:val="left" w:pos="1155"/>
        </w:tabs>
        <w:spacing w:line="460" w:lineRule="exact"/>
        <w:ind w:right="-416" w:firstLine="420"/>
        <w:rPr>
          <w:rFonts w:hint="eastAsia" w:ascii="微软雅黑" w:hAnsi="微软雅黑" w:cs="微软雅黑"/>
          <w:color w:val="auto"/>
          <w:szCs w:val="21"/>
          <w:highlight w:val="none"/>
          <w:lang w:eastAsia="zh-CN"/>
        </w:rPr>
      </w:pPr>
      <w:r>
        <w:rPr>
          <w:rFonts w:hint="eastAsia" w:ascii="微软雅黑" w:hAnsi="微软雅黑" w:cs="微软雅黑"/>
          <w:color w:val="auto"/>
          <w:szCs w:val="21"/>
          <w:highlight w:val="none"/>
          <w:lang w:val="en-US" w:eastAsia="zh-CN"/>
        </w:rPr>
        <w:t>2.1、</w:t>
      </w:r>
      <w:r>
        <w:rPr>
          <w:rFonts w:hint="eastAsia" w:ascii="微软雅黑" w:hAnsi="微软雅黑" w:cs="微软雅黑"/>
          <w:color w:val="auto"/>
          <w:szCs w:val="21"/>
          <w:highlight w:val="none"/>
          <w:lang w:val="zh-CN"/>
        </w:rPr>
        <w:t>合同签订生效后，采购单位支付合同金额</w:t>
      </w:r>
      <w:r>
        <w:rPr>
          <w:rFonts w:hint="eastAsia" w:ascii="微软雅黑" w:hAnsi="微软雅黑" w:cs="微软雅黑"/>
          <w:color w:val="auto"/>
          <w:szCs w:val="21"/>
          <w:highlight w:val="none"/>
          <w:lang w:val="en-US" w:eastAsia="zh-CN"/>
        </w:rPr>
        <w:t>1</w:t>
      </w:r>
      <w:r>
        <w:rPr>
          <w:rFonts w:hint="eastAsia" w:ascii="微软雅黑" w:hAnsi="微软雅黑" w:cs="微软雅黑"/>
          <w:color w:val="auto"/>
          <w:szCs w:val="21"/>
          <w:highlight w:val="none"/>
        </w:rPr>
        <w:t>0%</w:t>
      </w:r>
      <w:r>
        <w:rPr>
          <w:rFonts w:hint="eastAsia" w:ascii="微软雅黑" w:hAnsi="微软雅黑" w:cs="微软雅黑"/>
          <w:color w:val="auto"/>
          <w:szCs w:val="21"/>
          <w:highlight w:val="none"/>
          <w:lang w:eastAsia="zh-CN"/>
        </w:rPr>
        <w:t>作为</w:t>
      </w:r>
      <w:r>
        <w:rPr>
          <w:rFonts w:hint="eastAsia" w:ascii="微软雅黑" w:hAnsi="微软雅黑" w:cs="微软雅黑"/>
          <w:color w:val="auto"/>
          <w:szCs w:val="21"/>
          <w:highlight w:val="none"/>
        </w:rPr>
        <w:t>预付款</w:t>
      </w:r>
      <w:r>
        <w:rPr>
          <w:rFonts w:hint="eastAsia" w:ascii="微软雅黑" w:hAnsi="微软雅黑" w:cs="微软雅黑"/>
          <w:color w:val="auto"/>
          <w:szCs w:val="21"/>
          <w:highlight w:val="none"/>
          <w:lang w:eastAsia="zh-CN"/>
        </w:rPr>
        <w:t>（</w:t>
      </w:r>
      <w:r>
        <w:rPr>
          <w:rFonts w:hint="eastAsia" w:ascii="微软雅黑" w:hAnsi="微软雅黑" w:cs="微软雅黑"/>
          <w:color w:val="auto"/>
          <w:szCs w:val="21"/>
          <w:highlight w:val="none"/>
        </w:rPr>
        <w:t>采购单位根据项目特点、</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诚信等因素，可以要求</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提交银行、保险公司等金融机构出具的预付款保函或其他担保措施；</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明确表示无需预付款或者主动要求降低预付款比例的</w:t>
      </w:r>
      <w:r>
        <w:rPr>
          <w:rFonts w:hint="eastAsia" w:ascii="微软雅黑" w:hAnsi="微软雅黑" w:cs="微软雅黑"/>
          <w:color w:val="auto"/>
          <w:szCs w:val="21"/>
          <w:highlight w:val="none"/>
          <w:lang w:eastAsia="zh-CN"/>
        </w:rPr>
        <w:t>另行规定）；</w:t>
      </w:r>
    </w:p>
    <w:p w14:paraId="2F4EE47A">
      <w:pPr>
        <w:tabs>
          <w:tab w:val="left" w:pos="1155"/>
        </w:tabs>
        <w:spacing w:line="460" w:lineRule="exact"/>
        <w:ind w:right="-416"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en-US" w:eastAsia="zh-CN"/>
        </w:rPr>
        <w:t>2.2、</w:t>
      </w:r>
      <w:r>
        <w:rPr>
          <w:rFonts w:hint="eastAsia" w:ascii="微软雅黑" w:hAnsi="微软雅黑" w:cs="微软雅黑"/>
          <w:color w:val="auto"/>
          <w:szCs w:val="21"/>
          <w:highlight w:val="none"/>
        </w:rPr>
        <w:t>标准化创建成功后付至合同价的50%</w:t>
      </w:r>
      <w:r>
        <w:rPr>
          <w:rFonts w:hint="eastAsia" w:ascii="微软雅黑" w:hAnsi="微软雅黑" w:cs="微软雅黑"/>
          <w:color w:val="auto"/>
          <w:szCs w:val="21"/>
          <w:highlight w:val="none"/>
          <w:lang w:eastAsia="zh-CN"/>
        </w:rPr>
        <w:t>（如支付预付款的，须扣除预付款资金）；</w:t>
      </w:r>
    </w:p>
    <w:p w14:paraId="13C394CE">
      <w:pPr>
        <w:tabs>
          <w:tab w:val="left" w:pos="1155"/>
        </w:tabs>
        <w:spacing w:line="460" w:lineRule="exact"/>
        <w:ind w:right="-416" w:firstLine="420"/>
        <w:rPr>
          <w:rFonts w:hint="eastAsia" w:ascii="微软雅黑" w:hAnsi="微软雅黑" w:cs="微软雅黑"/>
          <w:color w:val="auto"/>
          <w:szCs w:val="21"/>
          <w:highlight w:val="none"/>
          <w:lang w:val="zh-CN"/>
        </w:rPr>
      </w:pPr>
      <w:r>
        <w:rPr>
          <w:rFonts w:hint="eastAsia" w:ascii="微软雅黑" w:hAnsi="微软雅黑" w:cs="微软雅黑"/>
          <w:color w:val="auto"/>
          <w:szCs w:val="21"/>
          <w:highlight w:val="none"/>
          <w:lang w:val="en-US" w:eastAsia="zh-CN"/>
        </w:rPr>
        <w:t>2.3、</w:t>
      </w:r>
      <w:r>
        <w:rPr>
          <w:rFonts w:hint="eastAsia" w:ascii="微软雅黑" w:hAnsi="微软雅黑" w:cs="微软雅黑"/>
          <w:color w:val="auto"/>
          <w:szCs w:val="21"/>
          <w:highlight w:val="none"/>
        </w:rPr>
        <w:t>圩区运行管护、沉降观测</w:t>
      </w:r>
      <w:r>
        <w:rPr>
          <w:rFonts w:hint="eastAsia" w:ascii="微软雅黑" w:hAnsi="微软雅黑" w:cs="微软雅黑"/>
          <w:color w:val="auto"/>
          <w:szCs w:val="21"/>
          <w:highlight w:val="none"/>
          <w:lang w:eastAsia="zh-CN"/>
        </w:rPr>
        <w:t>部分合同费用</w:t>
      </w:r>
      <w:r>
        <w:rPr>
          <w:rFonts w:hint="eastAsia" w:ascii="微软雅黑" w:hAnsi="微软雅黑" w:cs="微软雅黑"/>
          <w:color w:val="auto"/>
          <w:szCs w:val="21"/>
          <w:highlight w:val="none"/>
        </w:rPr>
        <w:t>按运维进度分4</w:t>
      </w:r>
      <w:r>
        <w:rPr>
          <w:rFonts w:hint="eastAsia" w:ascii="微软雅黑" w:hAnsi="微软雅黑" w:cs="微软雅黑"/>
          <w:color w:val="auto"/>
          <w:szCs w:val="21"/>
          <w:highlight w:val="none"/>
          <w:lang w:eastAsia="zh-CN"/>
        </w:rPr>
        <w:t>个</w:t>
      </w:r>
      <w:r>
        <w:rPr>
          <w:rFonts w:hint="eastAsia" w:ascii="微软雅黑" w:hAnsi="微软雅黑" w:cs="微软雅黑"/>
          <w:color w:val="auto"/>
          <w:szCs w:val="21"/>
          <w:highlight w:val="none"/>
        </w:rPr>
        <w:t>季度</w:t>
      </w:r>
      <w:r>
        <w:rPr>
          <w:rFonts w:hint="eastAsia" w:ascii="微软雅黑" w:hAnsi="微软雅黑" w:cs="微软雅黑"/>
          <w:color w:val="auto"/>
          <w:szCs w:val="21"/>
          <w:highlight w:val="none"/>
          <w:lang w:eastAsia="zh-CN"/>
        </w:rPr>
        <w:t>平均分配支付</w:t>
      </w:r>
      <w:r>
        <w:rPr>
          <w:rFonts w:hint="eastAsia" w:ascii="微软雅黑" w:hAnsi="微软雅黑" w:cs="微软雅黑"/>
          <w:color w:val="auto"/>
          <w:szCs w:val="21"/>
          <w:highlight w:val="none"/>
          <w:lang w:val="zh-CN"/>
        </w:rPr>
        <w:t>。</w:t>
      </w:r>
    </w:p>
    <w:bookmarkEnd w:id="26"/>
    <w:p w14:paraId="09D90288">
      <w:pPr>
        <w:pStyle w:val="305"/>
        <w:numPr>
          <w:ilvl w:val="0"/>
          <w:numId w:val="4"/>
        </w:numPr>
        <w:spacing w:after="120" w:line="460" w:lineRule="exact"/>
        <w:ind w:firstLineChars="0"/>
        <w:outlineLvl w:val="2"/>
        <w:rPr>
          <w:rFonts w:hint="eastAsia" w:ascii="微软雅黑" w:hAnsi="微软雅黑" w:cs="微软雅黑"/>
          <w:color w:val="auto"/>
          <w:sz w:val="21"/>
          <w:szCs w:val="21"/>
          <w:highlight w:val="none"/>
        </w:rPr>
        <w:sectPr>
          <w:headerReference r:id="rId16" w:type="first"/>
          <w:footerReference r:id="rId17" w:type="default"/>
          <w:headerReference r:id="rId15" w:type="even"/>
          <w:pgSz w:w="11906" w:h="16838"/>
          <w:pgMar w:top="1474" w:right="1797" w:bottom="1247" w:left="1843" w:header="851" w:footer="851" w:gutter="0"/>
          <w:cols w:space="720" w:num="1"/>
          <w:docGrid w:linePitch="312" w:charSpace="0"/>
        </w:sectPr>
      </w:pPr>
    </w:p>
    <w:p w14:paraId="5CAA38C3">
      <w:pPr>
        <w:pStyle w:val="2"/>
        <w:keepNext w:val="0"/>
        <w:keepLines w:val="0"/>
        <w:numPr>
          <w:ilvl w:val="0"/>
          <w:numId w:val="3"/>
        </w:numPr>
        <w:rPr>
          <w:rStyle w:val="64"/>
          <w:b/>
          <w:bCs/>
          <w:color w:val="auto"/>
          <w:highlight w:val="none"/>
        </w:rPr>
      </w:pPr>
      <w:r>
        <w:rPr>
          <w:rStyle w:val="64"/>
          <w:rFonts w:hint="eastAsia"/>
          <w:b/>
          <w:bCs/>
          <w:color w:val="auto"/>
          <w:highlight w:val="none"/>
        </w:rPr>
        <w:t xml:space="preserve">  </w:t>
      </w:r>
      <w:bookmarkStart w:id="31" w:name="_Toc20332"/>
      <w:r>
        <w:rPr>
          <w:rStyle w:val="64"/>
          <w:rFonts w:hint="eastAsia"/>
          <w:b/>
          <w:bCs/>
          <w:color w:val="auto"/>
          <w:highlight w:val="none"/>
        </w:rPr>
        <w:t>投标人须知</w:t>
      </w:r>
      <w:bookmarkEnd w:id="11"/>
      <w:bookmarkEnd w:id="27"/>
      <w:bookmarkEnd w:id="28"/>
      <w:bookmarkEnd w:id="31"/>
    </w:p>
    <w:p w14:paraId="1D60384A">
      <w:pPr>
        <w:pStyle w:val="3"/>
        <w:keepNext w:val="0"/>
        <w:keepLines w:val="0"/>
        <w:spacing w:line="600" w:lineRule="exact"/>
        <w:ind w:firstLine="420"/>
        <w:rPr>
          <w:rFonts w:hint="eastAsia"/>
          <w:color w:val="auto"/>
          <w:highlight w:val="none"/>
        </w:rPr>
      </w:pPr>
      <w:bookmarkStart w:id="32" w:name="_Toc1068"/>
      <w:bookmarkStart w:id="33" w:name="_Toc177870535"/>
      <w:bookmarkStart w:id="34" w:name="_Toc493511543"/>
      <w:r>
        <w:rPr>
          <w:rFonts w:hint="eastAsia"/>
          <w:color w:val="auto"/>
          <w:highlight w:val="none"/>
        </w:rPr>
        <w:t>电子交易注意事项</w:t>
      </w:r>
      <w:bookmarkEnd w:id="32"/>
    </w:p>
    <w:p w14:paraId="48683D3C">
      <w:pPr>
        <w:spacing w:line="600" w:lineRule="exact"/>
        <w:ind w:firstLine="210" w:firstLineChars="10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政府采购项目电子交易活动适用《浙江省政府采购项目电子交易管理暂行办法》，现将相关注意事项告知如下：</w:t>
      </w:r>
    </w:p>
    <w:p w14:paraId="4B2486C1">
      <w:pPr>
        <w:spacing w:line="600" w:lineRule="exact"/>
        <w:ind w:firstLine="210" w:firstLineChars="100"/>
        <w:rPr>
          <w:rFonts w:hint="eastAsia" w:ascii="微软雅黑" w:hAnsi="微软雅黑"/>
          <w:color w:val="auto"/>
          <w:szCs w:val="21"/>
          <w:highlight w:val="none"/>
        </w:rPr>
      </w:pPr>
      <w:r>
        <w:rPr>
          <w:rFonts w:hint="eastAsia" w:ascii="微软雅黑" w:hAnsi="微软雅黑"/>
          <w:color w:val="auto"/>
          <w:szCs w:val="21"/>
          <w:highlight w:val="none"/>
        </w:rPr>
        <w:t>　1.代理机构按照招标文件规定的时间通过电子交易平台组织开标、开启投标文件，所有</w:t>
      </w:r>
      <w:r>
        <w:rPr>
          <w:rFonts w:hint="eastAsia" w:ascii="微软雅黑" w:hAnsi="微软雅黑"/>
          <w:color w:val="auto"/>
          <w:szCs w:val="21"/>
          <w:highlight w:val="none"/>
          <w:lang w:eastAsia="zh-CN"/>
        </w:rPr>
        <w:t>投标人</w:t>
      </w:r>
      <w:r>
        <w:rPr>
          <w:rFonts w:hint="eastAsia" w:ascii="微软雅黑" w:hAnsi="微软雅黑"/>
          <w:color w:val="auto"/>
          <w:szCs w:val="21"/>
          <w:highlight w:val="none"/>
        </w:rPr>
        <w:t>均应当准时在线参加，直至评审结束。</w:t>
      </w:r>
    </w:p>
    <w:p w14:paraId="70281D6E">
      <w:pPr>
        <w:pStyle w:val="48"/>
        <w:widowControl w:val="0"/>
        <w:spacing w:before="0" w:beforeAutospacing="0" w:after="0" w:afterAutospacing="0" w:line="600" w:lineRule="exact"/>
        <w:ind w:firstLine="210" w:firstLineChars="10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　2. 投标文件未按时解密，</w:t>
      </w:r>
      <w:r>
        <w:rPr>
          <w:rFonts w:hint="eastAsia" w:ascii="微软雅黑" w:hAnsi="微软雅黑"/>
          <w:color w:val="auto"/>
          <w:kern w:val="2"/>
          <w:sz w:val="21"/>
          <w:szCs w:val="21"/>
          <w:highlight w:val="none"/>
          <w:lang w:eastAsia="zh-CN"/>
        </w:rPr>
        <w:t>投标人</w:t>
      </w:r>
      <w:r>
        <w:rPr>
          <w:rFonts w:hint="eastAsia" w:ascii="微软雅黑" w:hAnsi="微软雅黑"/>
          <w:color w:val="auto"/>
          <w:kern w:val="2"/>
          <w:sz w:val="21"/>
          <w:szCs w:val="21"/>
          <w:highlight w:val="none"/>
        </w:rPr>
        <w:t>如提供备份投标文件的，以符合要求的备份投标文件作为依据，否则视为投标文件撤回。投标文件已按时解密的，备份投标文件自动失效。</w:t>
      </w:r>
    </w:p>
    <w:p w14:paraId="317A69DE">
      <w:pPr>
        <w:pStyle w:val="48"/>
        <w:widowControl w:val="0"/>
        <w:spacing w:before="0" w:beforeAutospacing="0" w:after="0" w:afterAutospacing="0" w:line="600" w:lineRule="exact"/>
        <w:ind w:firstLine="210" w:firstLineChars="10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　3. 采购过程中出现以下情形，导致电子交易平台无法正常运行，或者无法保证电子交易的公平、公正和安全时，代理机构可中止电子交易活动：</w:t>
      </w:r>
    </w:p>
    <w:p w14:paraId="107E44EC">
      <w:pPr>
        <w:pStyle w:val="48"/>
        <w:widowControl w:val="0"/>
        <w:spacing w:before="0" w:beforeAutospacing="0" w:after="0" w:afterAutospacing="0" w:line="600" w:lineRule="exact"/>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（一）电子交易平台发生故障而无法登录访问的。</w:t>
      </w:r>
    </w:p>
    <w:p w14:paraId="60026F48">
      <w:pPr>
        <w:pStyle w:val="48"/>
        <w:widowControl w:val="0"/>
        <w:spacing w:before="0" w:beforeAutospacing="0" w:after="0" w:afterAutospacing="0" w:line="600" w:lineRule="exact"/>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（二）电子交易平台应用或数据库出现错误，不能进行正常操作的。</w:t>
      </w:r>
    </w:p>
    <w:p w14:paraId="0FCE61E6">
      <w:pPr>
        <w:pStyle w:val="48"/>
        <w:widowControl w:val="0"/>
        <w:spacing w:before="0" w:beforeAutospacing="0" w:after="0" w:afterAutospacing="0" w:line="600" w:lineRule="exact"/>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（三）电子交易平台发现严重安全漏洞，有潜在泄密危险的。</w:t>
      </w:r>
    </w:p>
    <w:p w14:paraId="7838D3D4">
      <w:pPr>
        <w:pStyle w:val="48"/>
        <w:widowControl w:val="0"/>
        <w:spacing w:before="0" w:beforeAutospacing="0" w:after="0" w:afterAutospacing="0" w:line="600" w:lineRule="exact"/>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（四）病毒发作导致不能进行正常操作的。 </w:t>
      </w:r>
    </w:p>
    <w:p w14:paraId="31EDF60E">
      <w:pPr>
        <w:pStyle w:val="48"/>
        <w:widowControl w:val="0"/>
        <w:spacing w:before="0" w:beforeAutospacing="0" w:after="0" w:afterAutospacing="0" w:line="600" w:lineRule="exact"/>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（五）其他无法保证电子交易的公平、公正和安全的情况。</w:t>
      </w:r>
    </w:p>
    <w:p w14:paraId="4C3C9276">
      <w:pPr>
        <w:pStyle w:val="48"/>
        <w:widowControl w:val="0"/>
        <w:spacing w:before="0" w:beforeAutospacing="0" w:after="0" w:afterAutospacing="0" w:line="600" w:lineRule="exact"/>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出现前款规定情形，不影响采购公平、公正性的，代理机构可以待上述情形消除后继续组织电子交易活动，也可以决定某些环节以纸质形式进行；影响或可能影响采购公平、公正性的，应当重新采购。</w:t>
      </w:r>
    </w:p>
    <w:p w14:paraId="0AA9FFAE">
      <w:pPr>
        <w:pStyle w:val="48"/>
        <w:widowControl w:val="0"/>
        <w:numPr>
          <w:ilvl w:val="0"/>
          <w:numId w:val="19"/>
        </w:numPr>
        <w:spacing w:before="0" w:beforeAutospacing="0" w:after="0" w:afterAutospacing="0" w:line="600" w:lineRule="exact"/>
        <w:ind w:firstLineChars="0"/>
        <w:rPr>
          <w:rFonts w:hint="eastAsia" w:ascii="微软雅黑" w:hAnsi="微软雅黑"/>
          <w:color w:val="auto"/>
          <w:sz w:val="21"/>
          <w:szCs w:val="21"/>
          <w:highlight w:val="none"/>
        </w:rPr>
      </w:pPr>
      <w:r>
        <w:rPr>
          <w:rFonts w:hint="eastAsia" w:ascii="微软雅黑" w:hAnsi="微软雅黑"/>
          <w:color w:val="auto"/>
          <w:sz w:val="21"/>
          <w:szCs w:val="21"/>
          <w:highlight w:val="none"/>
          <w:shd w:val="clear" w:color="auto" w:fill="FFFFFF"/>
        </w:rPr>
        <w:t>评审中需要</w:t>
      </w:r>
      <w:r>
        <w:rPr>
          <w:rFonts w:hint="eastAsia" w:ascii="微软雅黑" w:hAnsi="微软雅黑"/>
          <w:color w:val="auto"/>
          <w:sz w:val="21"/>
          <w:szCs w:val="21"/>
          <w:highlight w:val="none"/>
          <w:shd w:val="clear" w:color="auto" w:fill="FFFFFF"/>
          <w:lang w:eastAsia="zh-CN"/>
        </w:rPr>
        <w:t>投标人</w:t>
      </w:r>
      <w:r>
        <w:rPr>
          <w:rFonts w:hint="eastAsia" w:ascii="微软雅黑" w:hAnsi="微软雅黑"/>
          <w:color w:val="auto"/>
          <w:sz w:val="21"/>
          <w:szCs w:val="21"/>
          <w:highlight w:val="none"/>
          <w:shd w:val="clear" w:color="auto" w:fill="FFFFFF"/>
        </w:rPr>
        <w:t>对投标文件作出澄清、说明或者补正的，评审小组和</w:t>
      </w:r>
      <w:r>
        <w:rPr>
          <w:rFonts w:hint="eastAsia" w:ascii="微软雅黑" w:hAnsi="微软雅黑"/>
          <w:color w:val="auto"/>
          <w:sz w:val="21"/>
          <w:szCs w:val="21"/>
          <w:highlight w:val="none"/>
          <w:shd w:val="clear" w:color="auto" w:fill="FFFFFF"/>
          <w:lang w:eastAsia="zh-CN"/>
        </w:rPr>
        <w:t>投标人</w:t>
      </w:r>
      <w:r>
        <w:rPr>
          <w:rFonts w:hint="eastAsia" w:ascii="微软雅黑" w:hAnsi="微软雅黑"/>
          <w:color w:val="auto"/>
          <w:sz w:val="21"/>
          <w:szCs w:val="21"/>
          <w:highlight w:val="none"/>
          <w:shd w:val="clear" w:color="auto" w:fill="FFFFFF"/>
        </w:rPr>
        <w:t>应当通过电子交易平台交换数据电文。</w:t>
      </w:r>
      <w:r>
        <w:rPr>
          <w:rFonts w:hint="eastAsia" w:ascii="微软雅黑" w:hAnsi="微软雅黑"/>
          <w:color w:val="auto"/>
          <w:sz w:val="21"/>
          <w:szCs w:val="21"/>
          <w:highlight w:val="none"/>
          <w:shd w:val="clear" w:color="auto" w:fill="FFFFFF"/>
          <w:lang w:eastAsia="zh-CN"/>
        </w:rPr>
        <w:t>投标人</w:t>
      </w:r>
      <w:r>
        <w:rPr>
          <w:rFonts w:hint="eastAsia" w:ascii="微软雅黑" w:hAnsi="微软雅黑"/>
          <w:color w:val="auto"/>
          <w:sz w:val="21"/>
          <w:szCs w:val="21"/>
          <w:highlight w:val="none"/>
          <w:shd w:val="clear" w:color="auto" w:fill="FFFFFF"/>
        </w:rPr>
        <w:t>需在半小时内提交澄清说明或补正，</w:t>
      </w:r>
      <w:r>
        <w:rPr>
          <w:rFonts w:hint="eastAsia" w:ascii="微软雅黑" w:hAnsi="微软雅黑"/>
          <w:color w:val="auto"/>
          <w:sz w:val="21"/>
          <w:szCs w:val="21"/>
          <w:highlight w:val="none"/>
          <w:shd w:val="clear" w:color="auto" w:fill="FFFFFF"/>
          <w:lang w:eastAsia="zh-CN"/>
        </w:rPr>
        <w:t>投标人</w:t>
      </w:r>
      <w:r>
        <w:rPr>
          <w:rFonts w:hint="eastAsia" w:ascii="微软雅黑" w:hAnsi="微软雅黑"/>
          <w:color w:val="auto"/>
          <w:sz w:val="21"/>
          <w:szCs w:val="21"/>
          <w:highlight w:val="none"/>
          <w:shd w:val="clear" w:color="auto" w:fill="FFFFFF"/>
        </w:rPr>
        <w:t>已经明确表示澄清说明或补正完毕的除外。</w:t>
      </w:r>
    </w:p>
    <w:p w14:paraId="00D84C5E">
      <w:pPr>
        <w:ind w:left="238" w:firstLine="420"/>
        <w:jc w:val="center"/>
        <w:rPr>
          <w:rFonts w:hint="eastAsia" w:ascii="微软雅黑" w:hAnsi="微软雅黑"/>
          <w:b/>
          <w:color w:val="auto"/>
          <w:szCs w:val="21"/>
          <w:highlight w:val="none"/>
        </w:rPr>
        <w:sectPr>
          <w:pgSz w:w="11906" w:h="16838"/>
          <w:pgMar w:top="1474" w:right="1797" w:bottom="1247" w:left="1797" w:header="851" w:footer="851" w:gutter="0"/>
          <w:cols w:space="720" w:num="1"/>
          <w:docGrid w:linePitch="312" w:charSpace="0"/>
        </w:sectPr>
      </w:pPr>
    </w:p>
    <w:p w14:paraId="2BFE5F38">
      <w:pPr>
        <w:ind w:left="238" w:firstLine="420"/>
        <w:jc w:val="center"/>
        <w:outlineLvl w:val="1"/>
        <w:rPr>
          <w:rFonts w:hint="eastAsia" w:ascii="微软雅黑" w:hAnsi="微软雅黑"/>
          <w:b/>
          <w:color w:val="auto"/>
          <w:szCs w:val="21"/>
          <w:highlight w:val="none"/>
        </w:rPr>
      </w:pPr>
      <w:bookmarkStart w:id="35" w:name="_Toc26770"/>
      <w:r>
        <w:rPr>
          <w:rFonts w:hint="eastAsia" w:ascii="微软雅黑" w:hAnsi="微软雅黑"/>
          <w:b/>
          <w:color w:val="auto"/>
          <w:szCs w:val="21"/>
          <w:highlight w:val="none"/>
        </w:rPr>
        <w:t>前附表</w:t>
      </w:r>
      <w:bookmarkEnd w:id="33"/>
      <w:bookmarkEnd w:id="34"/>
      <w:bookmarkEnd w:id="35"/>
    </w:p>
    <w:tbl>
      <w:tblPr>
        <w:tblStyle w:val="53"/>
        <w:tblW w:w="913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727"/>
        <w:gridCol w:w="1872"/>
        <w:gridCol w:w="6536"/>
      </w:tblGrid>
      <w:tr w14:paraId="657009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727" w:type="dxa"/>
            <w:tcBorders>
              <w:top w:val="single" w:color="auto" w:sz="4" w:space="0"/>
              <w:left w:val="single" w:color="auto" w:sz="4" w:space="0"/>
              <w:bottom w:val="single" w:color="auto" w:sz="4" w:space="0"/>
              <w:right w:val="single" w:color="auto" w:sz="4" w:space="0"/>
            </w:tcBorders>
          </w:tcPr>
          <w:p w14:paraId="76FC2EDC">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序号</w:t>
            </w:r>
          </w:p>
        </w:tc>
        <w:tc>
          <w:tcPr>
            <w:tcW w:w="1872" w:type="dxa"/>
            <w:tcBorders>
              <w:top w:val="single" w:color="000000" w:sz="8" w:space="0"/>
              <w:left w:val="single" w:color="auto" w:sz="4" w:space="0"/>
              <w:bottom w:val="single" w:color="000000" w:sz="8" w:space="0"/>
              <w:right w:val="single" w:color="000000" w:sz="8" w:space="0"/>
            </w:tcBorders>
            <w:vAlign w:val="center"/>
          </w:tcPr>
          <w:p w14:paraId="2B54D626">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事项</w:t>
            </w:r>
          </w:p>
        </w:tc>
        <w:tc>
          <w:tcPr>
            <w:tcW w:w="6536" w:type="dxa"/>
            <w:tcBorders>
              <w:top w:val="single" w:color="000000" w:sz="8" w:space="0"/>
              <w:left w:val="single" w:color="000000" w:sz="2" w:space="0"/>
              <w:bottom w:val="single" w:color="000000" w:sz="8" w:space="0"/>
              <w:right w:val="single" w:color="000000" w:sz="8" w:space="0"/>
            </w:tcBorders>
            <w:vAlign w:val="center"/>
          </w:tcPr>
          <w:p w14:paraId="50130636">
            <w:pPr>
              <w:snapToGrid w:val="0"/>
              <w:spacing w:line="460" w:lineRule="exact"/>
              <w:ind w:left="42" w:leftChars="20" w:right="42" w:rightChars="20"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本项目的特别规定</w:t>
            </w:r>
          </w:p>
        </w:tc>
      </w:tr>
      <w:tr w14:paraId="38A339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727" w:type="dxa"/>
            <w:tcBorders>
              <w:top w:val="single" w:color="auto" w:sz="4" w:space="0"/>
              <w:left w:val="single" w:color="auto" w:sz="4" w:space="0"/>
              <w:bottom w:val="single" w:color="auto" w:sz="4" w:space="0"/>
              <w:right w:val="single" w:color="auto" w:sz="4" w:space="0"/>
            </w:tcBorders>
            <w:vAlign w:val="center"/>
          </w:tcPr>
          <w:p w14:paraId="62E97E18">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1</w:t>
            </w:r>
          </w:p>
        </w:tc>
        <w:tc>
          <w:tcPr>
            <w:tcW w:w="1872" w:type="dxa"/>
            <w:tcBorders>
              <w:top w:val="single" w:color="000000" w:sz="8" w:space="0"/>
              <w:left w:val="single" w:color="auto" w:sz="4" w:space="0"/>
              <w:bottom w:val="single" w:color="000000" w:sz="8" w:space="0"/>
              <w:right w:val="single" w:color="000000" w:sz="8" w:space="0"/>
            </w:tcBorders>
            <w:vAlign w:val="center"/>
          </w:tcPr>
          <w:p w14:paraId="146E543C">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项目名称</w:t>
            </w:r>
          </w:p>
        </w:tc>
        <w:tc>
          <w:tcPr>
            <w:tcW w:w="6536" w:type="dxa"/>
            <w:tcBorders>
              <w:top w:val="single" w:color="000000" w:sz="8" w:space="0"/>
              <w:left w:val="single" w:color="000000" w:sz="2" w:space="0"/>
              <w:bottom w:val="single" w:color="000000" w:sz="8" w:space="0"/>
              <w:right w:val="single" w:color="000000" w:sz="8" w:space="0"/>
            </w:tcBorders>
            <w:vAlign w:val="center"/>
          </w:tcPr>
          <w:p w14:paraId="55F13FDC">
            <w:pPr>
              <w:snapToGrid w:val="0"/>
              <w:spacing w:line="460" w:lineRule="exact"/>
              <w:ind w:left="42" w:leftChars="20" w:right="42" w:rightChars="20" w:firstLine="0" w:firstLineChars="0"/>
              <w:jc w:val="center"/>
              <w:rPr>
                <w:rFonts w:hint="eastAsia" w:ascii="微软雅黑" w:hAnsi="微软雅黑" w:cs="微软雅黑"/>
                <w:b/>
                <w:color w:val="auto"/>
                <w:szCs w:val="21"/>
                <w:highlight w:val="none"/>
              </w:rPr>
            </w:pPr>
            <w:r>
              <w:rPr>
                <w:rFonts w:hint="eastAsia" w:ascii="微软雅黑" w:hAnsi="微软雅黑" w:cs="微软雅黑"/>
                <w:color w:val="auto"/>
                <w:szCs w:val="21"/>
                <w:highlight w:val="none"/>
              </w:rPr>
              <w:t>秀洲区洪合镇圩区标准化创建及运维项目</w:t>
            </w:r>
          </w:p>
        </w:tc>
      </w:tr>
      <w:tr w14:paraId="6758CA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727" w:type="dxa"/>
            <w:tcBorders>
              <w:top w:val="single" w:color="auto" w:sz="4" w:space="0"/>
              <w:left w:val="single" w:color="auto" w:sz="4" w:space="0"/>
              <w:bottom w:val="single" w:color="auto" w:sz="4" w:space="0"/>
              <w:right w:val="single" w:color="auto" w:sz="4" w:space="0"/>
            </w:tcBorders>
            <w:vAlign w:val="center"/>
          </w:tcPr>
          <w:p w14:paraId="336C662C">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2</w:t>
            </w:r>
          </w:p>
        </w:tc>
        <w:tc>
          <w:tcPr>
            <w:tcW w:w="1872" w:type="dxa"/>
            <w:tcBorders>
              <w:top w:val="single" w:color="000000" w:sz="8" w:space="0"/>
              <w:left w:val="single" w:color="auto" w:sz="4" w:space="0"/>
              <w:bottom w:val="single" w:color="000000" w:sz="8" w:space="0"/>
              <w:right w:val="single" w:color="000000" w:sz="8" w:space="0"/>
            </w:tcBorders>
            <w:vAlign w:val="center"/>
          </w:tcPr>
          <w:p w14:paraId="723BA4D4">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采购内容</w:t>
            </w:r>
          </w:p>
        </w:tc>
        <w:tc>
          <w:tcPr>
            <w:tcW w:w="6536" w:type="dxa"/>
            <w:tcBorders>
              <w:top w:val="single" w:color="000000" w:sz="8" w:space="0"/>
              <w:left w:val="single" w:color="000000" w:sz="2" w:space="0"/>
              <w:bottom w:val="single" w:color="000000" w:sz="8" w:space="0"/>
              <w:right w:val="single" w:color="000000" w:sz="8" w:space="0"/>
            </w:tcBorders>
            <w:vAlign w:val="center"/>
          </w:tcPr>
          <w:p w14:paraId="105CDC9E">
            <w:pPr>
              <w:snapToGrid w:val="0"/>
              <w:spacing w:line="460" w:lineRule="exact"/>
              <w:ind w:left="42" w:leftChars="20" w:right="42" w:rightChars="20"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详见第二章</w:t>
            </w:r>
          </w:p>
        </w:tc>
      </w:tr>
      <w:tr w14:paraId="5BF5F9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13" w:hRule="atLeast"/>
          <w:tblHeader/>
          <w:jc w:val="center"/>
        </w:trPr>
        <w:tc>
          <w:tcPr>
            <w:tcW w:w="727" w:type="dxa"/>
            <w:tcBorders>
              <w:top w:val="single" w:color="auto" w:sz="4" w:space="0"/>
              <w:left w:val="single" w:color="auto" w:sz="4" w:space="0"/>
              <w:bottom w:val="single" w:color="auto" w:sz="4" w:space="0"/>
              <w:right w:val="single" w:color="auto" w:sz="4" w:space="0"/>
            </w:tcBorders>
            <w:vAlign w:val="center"/>
          </w:tcPr>
          <w:p w14:paraId="48DA9A76">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w:t>
            </w:r>
          </w:p>
        </w:tc>
        <w:tc>
          <w:tcPr>
            <w:tcW w:w="1872" w:type="dxa"/>
            <w:tcBorders>
              <w:top w:val="single" w:color="000000" w:sz="8" w:space="0"/>
              <w:left w:val="single" w:color="auto" w:sz="4" w:space="0"/>
              <w:bottom w:val="single" w:color="000000" w:sz="8" w:space="0"/>
              <w:right w:val="single" w:color="000000" w:sz="8" w:space="0"/>
            </w:tcBorders>
            <w:vAlign w:val="center"/>
          </w:tcPr>
          <w:p w14:paraId="59AF968B">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报价要求</w:t>
            </w:r>
          </w:p>
        </w:tc>
        <w:tc>
          <w:tcPr>
            <w:tcW w:w="6536" w:type="dxa"/>
            <w:tcBorders>
              <w:top w:val="single" w:color="000000" w:sz="8" w:space="0"/>
              <w:left w:val="single" w:color="000000" w:sz="2" w:space="0"/>
              <w:bottom w:val="single" w:color="000000" w:sz="8" w:space="0"/>
              <w:right w:val="single" w:color="000000" w:sz="8" w:space="0"/>
            </w:tcBorders>
            <w:vAlign w:val="center"/>
          </w:tcPr>
          <w:p w14:paraId="6737E4D0">
            <w:pPr>
              <w:spacing w:line="460" w:lineRule="exact"/>
              <w:ind w:left="42" w:leftChars="20" w:right="42" w:rightChars="20" w:firstLine="0" w:firstLineChars="0"/>
              <w:rPr>
                <w:rFonts w:hint="eastAsia" w:ascii="微软雅黑" w:hAnsi="微软雅黑" w:cs="微软雅黑"/>
                <w:color w:val="auto"/>
                <w:szCs w:val="21"/>
                <w:highlight w:val="none"/>
                <w:lang w:val="zh-CN"/>
              </w:rPr>
            </w:pPr>
            <w:r>
              <w:rPr>
                <w:rFonts w:hint="eastAsia" w:ascii="微软雅黑" w:hAnsi="微软雅黑" w:cs="微软雅黑"/>
                <w:color w:val="auto"/>
                <w:szCs w:val="21"/>
                <w:highlight w:val="none"/>
                <w:lang w:val="zh-CN"/>
              </w:rPr>
              <w:t>有关本项目实施所需的所有费用（含税费）均计入报价。开标一览表（报价表）是报价的唯一载体。投标文件中价格全部采用人民币报价。招标文件未列明，而投标投标人认为必需的费用也需列入报价。</w:t>
            </w:r>
          </w:p>
          <w:p w14:paraId="57D9E543">
            <w:pPr>
              <w:spacing w:line="460" w:lineRule="exact"/>
              <w:ind w:left="42" w:leftChars="20" w:right="42" w:rightChars="20" w:firstLine="0" w:firstLineChars="0"/>
              <w:rPr>
                <w:rFonts w:hint="eastAsia" w:ascii="微软雅黑" w:hAnsi="微软雅黑" w:cs="微软雅黑"/>
                <w:color w:val="auto"/>
                <w:szCs w:val="21"/>
                <w:highlight w:val="none"/>
              </w:rPr>
            </w:pPr>
            <w:r>
              <w:rPr>
                <w:rFonts w:hint="eastAsia" w:ascii="微软雅黑" w:hAnsi="微软雅黑" w:cs="微软雅黑"/>
                <w:b/>
                <w:color w:val="auto"/>
                <w:kern w:val="0"/>
                <w:szCs w:val="21"/>
                <w:highlight w:val="none"/>
                <w:lang w:val="zh-CN"/>
              </w:rPr>
              <w:t>提醒：验收时检测费、</w:t>
            </w:r>
            <w:r>
              <w:rPr>
                <w:rFonts w:hint="eastAsia" w:ascii="微软雅黑" w:hAnsi="微软雅黑" w:cs="微软雅黑"/>
                <w:b/>
                <w:color w:val="auto"/>
                <w:kern w:val="0"/>
                <w:szCs w:val="21"/>
                <w:highlight w:val="none"/>
              </w:rPr>
              <w:t>专家费等验收所产生的合理费</w:t>
            </w:r>
            <w:r>
              <w:rPr>
                <w:rFonts w:hint="eastAsia" w:ascii="微软雅黑" w:hAnsi="微软雅黑" w:cs="微软雅黑"/>
                <w:b/>
                <w:color w:val="auto"/>
                <w:kern w:val="0"/>
                <w:szCs w:val="21"/>
                <w:highlight w:val="none"/>
                <w:lang w:val="zh-CN"/>
              </w:rPr>
              <w:t>用由采购人承担，不包含在投标总价中，</w:t>
            </w:r>
            <w:r>
              <w:rPr>
                <w:rFonts w:hint="eastAsia" w:ascii="微软雅黑" w:hAnsi="微软雅黑" w:cs="微软雅黑"/>
                <w:b/>
                <w:color w:val="auto"/>
                <w:kern w:val="0"/>
                <w:szCs w:val="21"/>
                <w:highlight w:val="none"/>
              </w:rPr>
              <w:t>若由中标方原因造成的验收不合格所产生的费用，由中标方承担</w:t>
            </w:r>
            <w:r>
              <w:rPr>
                <w:rFonts w:hint="eastAsia" w:ascii="微软雅黑" w:hAnsi="微软雅黑" w:cs="微软雅黑"/>
                <w:b/>
                <w:color w:val="auto"/>
                <w:kern w:val="0"/>
                <w:szCs w:val="21"/>
                <w:highlight w:val="none"/>
                <w:lang w:val="zh-CN"/>
              </w:rPr>
              <w:t>。</w:t>
            </w:r>
          </w:p>
        </w:tc>
      </w:tr>
      <w:tr w14:paraId="656E92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727" w:type="dxa"/>
            <w:tcBorders>
              <w:top w:val="single" w:color="auto" w:sz="4" w:space="0"/>
              <w:left w:val="single" w:color="auto" w:sz="4" w:space="0"/>
              <w:bottom w:val="single" w:color="auto" w:sz="4" w:space="0"/>
              <w:right w:val="single" w:color="auto" w:sz="4" w:space="0"/>
            </w:tcBorders>
            <w:vAlign w:val="center"/>
          </w:tcPr>
          <w:p w14:paraId="0413190F">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w:t>
            </w:r>
          </w:p>
        </w:tc>
        <w:tc>
          <w:tcPr>
            <w:tcW w:w="1872" w:type="dxa"/>
            <w:tcBorders>
              <w:top w:val="single" w:color="000000" w:sz="8" w:space="0"/>
              <w:left w:val="single" w:color="auto" w:sz="4" w:space="0"/>
              <w:bottom w:val="single" w:color="000000" w:sz="8" w:space="0"/>
              <w:right w:val="single" w:color="000000" w:sz="8" w:space="0"/>
            </w:tcBorders>
            <w:vAlign w:val="center"/>
          </w:tcPr>
          <w:p w14:paraId="5F622D93">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分包</w:t>
            </w:r>
          </w:p>
        </w:tc>
        <w:tc>
          <w:tcPr>
            <w:tcW w:w="6536" w:type="dxa"/>
            <w:tcBorders>
              <w:top w:val="single" w:color="000000" w:sz="8" w:space="0"/>
              <w:left w:val="single" w:color="000000" w:sz="2" w:space="0"/>
              <w:bottom w:val="single" w:color="000000" w:sz="8" w:space="0"/>
              <w:right w:val="single" w:color="000000" w:sz="8" w:space="0"/>
            </w:tcBorders>
            <w:vAlign w:val="center"/>
          </w:tcPr>
          <w:p w14:paraId="7596CF66">
            <w:pPr>
              <w:spacing w:line="460" w:lineRule="exact"/>
              <w:ind w:left="42" w:leftChars="20" w:right="42" w:rightChars="20" w:firstLine="0" w:firstLineChars="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 xml:space="preserve"> </w:t>
            </w:r>
            <w:r>
              <w:rPr>
                <w:rFonts w:hint="eastAsia" w:ascii="微软雅黑" w:hAnsi="微软雅黑" w:cs="微软雅黑"/>
                <w:color w:val="auto"/>
                <w:szCs w:val="21"/>
                <w:highlight w:val="none"/>
                <w:lang w:val="zh-CN"/>
              </w:rPr>
              <w:t>A同意将非主体、非关键性的</w:t>
            </w:r>
            <w:r>
              <w:rPr>
                <w:rFonts w:hint="eastAsia" w:ascii="微软雅黑" w:hAnsi="微软雅黑" w:cs="微软雅黑"/>
                <w:color w:val="auto"/>
                <w:szCs w:val="21"/>
                <w:highlight w:val="none"/>
                <w:u w:val="single"/>
                <w:lang w:val="zh-CN"/>
              </w:rPr>
              <w:t xml:space="preserve">             </w:t>
            </w:r>
            <w:r>
              <w:rPr>
                <w:rFonts w:hint="eastAsia" w:ascii="微软雅黑" w:hAnsi="微软雅黑" w:cs="微软雅黑"/>
                <w:color w:val="auto"/>
                <w:szCs w:val="21"/>
                <w:highlight w:val="none"/>
                <w:lang w:val="zh-CN"/>
              </w:rPr>
              <w:t>工作分包。</w:t>
            </w:r>
            <w:r>
              <w:rPr>
                <w:rFonts w:hint="eastAsia" w:ascii="微软雅黑" w:hAnsi="微软雅黑" w:cs="微软雅黑"/>
                <w:color w:val="auto"/>
                <w:kern w:val="0"/>
                <w:szCs w:val="21"/>
                <w:highlight w:val="none"/>
              </w:rPr>
              <w:sym w:font="Wingdings" w:char="00FE"/>
            </w:r>
            <w:r>
              <w:rPr>
                <w:rFonts w:hint="eastAsia" w:ascii="微软雅黑" w:hAnsi="微软雅黑" w:cs="微软雅黑"/>
                <w:color w:val="auto"/>
                <w:kern w:val="0"/>
                <w:szCs w:val="21"/>
                <w:highlight w:val="none"/>
              </w:rPr>
              <w:t xml:space="preserve"> </w:t>
            </w:r>
            <w:r>
              <w:rPr>
                <w:rFonts w:hint="eastAsia" w:ascii="微软雅黑" w:hAnsi="微软雅黑" w:cs="微软雅黑"/>
                <w:color w:val="auto"/>
                <w:szCs w:val="21"/>
                <w:highlight w:val="none"/>
                <w:lang w:val="zh-CN"/>
              </w:rPr>
              <w:t>B不同意分包。</w:t>
            </w:r>
          </w:p>
        </w:tc>
      </w:tr>
      <w:tr w14:paraId="01F40A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727" w:type="dxa"/>
            <w:tcBorders>
              <w:top w:val="single" w:color="auto" w:sz="4" w:space="0"/>
              <w:left w:val="single" w:color="auto" w:sz="4" w:space="0"/>
              <w:bottom w:val="single" w:color="auto" w:sz="4" w:space="0"/>
              <w:right w:val="single" w:color="auto" w:sz="4" w:space="0"/>
            </w:tcBorders>
            <w:vAlign w:val="center"/>
          </w:tcPr>
          <w:p w14:paraId="3061523C">
            <w:pPr>
              <w:snapToGrid w:val="0"/>
              <w:spacing w:line="460" w:lineRule="exact"/>
              <w:ind w:firstLine="0" w:firstLineChars="0"/>
              <w:jc w:val="center"/>
              <w:rPr>
                <w:rFonts w:hint="eastAsia" w:ascii="微软雅黑" w:hAnsi="微软雅黑" w:cs="微软雅黑"/>
                <w:color w:val="auto"/>
                <w:szCs w:val="21"/>
                <w:highlight w:val="none"/>
              </w:rPr>
            </w:pPr>
          </w:p>
          <w:p w14:paraId="11B95CB7">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5</w:t>
            </w:r>
          </w:p>
        </w:tc>
        <w:tc>
          <w:tcPr>
            <w:tcW w:w="1872" w:type="dxa"/>
            <w:tcBorders>
              <w:top w:val="single" w:color="000000" w:sz="8" w:space="0"/>
              <w:left w:val="single" w:color="auto" w:sz="4" w:space="0"/>
              <w:bottom w:val="single" w:color="000000" w:sz="8" w:space="0"/>
              <w:right w:val="single" w:color="000000" w:sz="8" w:space="0"/>
            </w:tcBorders>
            <w:vAlign w:val="center"/>
          </w:tcPr>
          <w:p w14:paraId="0D5B54F8">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开标前答疑会或现场踏勘</w:t>
            </w:r>
          </w:p>
        </w:tc>
        <w:tc>
          <w:tcPr>
            <w:tcW w:w="6536" w:type="dxa"/>
            <w:tcBorders>
              <w:top w:val="single" w:color="000000" w:sz="8" w:space="0"/>
              <w:left w:val="single" w:color="000000" w:sz="2" w:space="0"/>
              <w:bottom w:val="single" w:color="000000" w:sz="8" w:space="0"/>
              <w:right w:val="single" w:color="000000" w:sz="8" w:space="0"/>
            </w:tcBorders>
            <w:vAlign w:val="center"/>
          </w:tcPr>
          <w:p w14:paraId="0440061A">
            <w:pPr>
              <w:spacing w:line="460" w:lineRule="exact"/>
              <w:ind w:left="42" w:leftChars="20" w:right="42" w:rightChars="20" w:firstLine="0" w:firstLineChars="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sym w:font="Wingdings" w:char="00FE"/>
            </w:r>
            <w:r>
              <w:rPr>
                <w:rFonts w:hint="eastAsia" w:ascii="微软雅黑" w:hAnsi="微软雅黑" w:cs="微软雅黑"/>
                <w:color w:val="auto"/>
                <w:szCs w:val="21"/>
                <w:highlight w:val="none"/>
                <w:lang w:val="zh-CN"/>
              </w:rPr>
              <w:t>A不组织。本项目由投标人自行进行踏勘（招标文件中不能详细表述的不可预见费用、招标需求等，投标投标人需通过现场踏勘后考虑在最终报价内，否则后果由中标投标人自负）；踏勘联系人为采购方联系人</w:t>
            </w:r>
            <w:r>
              <w:rPr>
                <w:rFonts w:hint="eastAsia" w:ascii="微软雅黑" w:hAnsi="微软雅黑" w:cs="微软雅黑"/>
                <w:color w:val="auto"/>
                <w:szCs w:val="21"/>
                <w:highlight w:val="none"/>
              </w:rPr>
              <w:t>。</w:t>
            </w:r>
          </w:p>
          <w:p w14:paraId="52464223">
            <w:pPr>
              <w:spacing w:line="460" w:lineRule="exact"/>
              <w:ind w:left="42" w:leftChars="20" w:right="42" w:rightChars="20" w:firstLine="0" w:firstLineChars="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szCs w:val="21"/>
                <w:highlight w:val="none"/>
                <w:lang w:val="zh-CN"/>
              </w:rPr>
              <w:t>B组织，时间：</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szCs w:val="21"/>
                <w:highlight w:val="none"/>
              </w:rPr>
              <w:t>,</w:t>
            </w:r>
            <w:r>
              <w:rPr>
                <w:rFonts w:hint="eastAsia" w:ascii="微软雅黑" w:hAnsi="微软雅黑" w:cs="微软雅黑"/>
                <w:color w:val="auto"/>
                <w:szCs w:val="21"/>
                <w:highlight w:val="none"/>
                <w:lang w:val="zh-CN"/>
              </w:rPr>
              <w:t>地点：</w:t>
            </w:r>
            <w:r>
              <w:rPr>
                <w:rFonts w:hint="eastAsia" w:ascii="微软雅黑" w:hAnsi="微软雅黑" w:cs="微软雅黑"/>
                <w:color w:val="auto"/>
                <w:szCs w:val="21"/>
                <w:highlight w:val="none"/>
                <w:u w:val="single"/>
              </w:rPr>
              <w:t>嘉兴市**区**路**号**室</w:t>
            </w:r>
            <w:r>
              <w:rPr>
                <w:rFonts w:hint="eastAsia" w:ascii="微软雅黑" w:hAnsi="微软雅黑" w:cs="微软雅黑"/>
                <w:color w:val="auto"/>
                <w:szCs w:val="21"/>
                <w:highlight w:val="none"/>
                <w:lang w:val="zh-CN"/>
              </w:rPr>
              <w:t>，联系人：</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szCs w:val="21"/>
                <w:highlight w:val="none"/>
              </w:rPr>
              <w:t>，</w:t>
            </w:r>
            <w:r>
              <w:rPr>
                <w:rFonts w:hint="eastAsia" w:ascii="微软雅黑" w:hAnsi="微软雅黑" w:cs="微软雅黑"/>
                <w:color w:val="auto"/>
                <w:szCs w:val="21"/>
                <w:highlight w:val="none"/>
                <w:lang w:val="zh-CN"/>
              </w:rPr>
              <w:t>联系方式：</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szCs w:val="21"/>
                <w:highlight w:val="none"/>
              </w:rPr>
              <w:t>。</w:t>
            </w:r>
          </w:p>
        </w:tc>
      </w:tr>
      <w:tr w14:paraId="1453F3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727" w:type="dxa"/>
            <w:tcBorders>
              <w:top w:val="single" w:color="auto" w:sz="4" w:space="0"/>
              <w:left w:val="single" w:color="auto" w:sz="4" w:space="0"/>
              <w:bottom w:val="single" w:color="auto" w:sz="4" w:space="0"/>
              <w:right w:val="single" w:color="auto" w:sz="4" w:space="0"/>
            </w:tcBorders>
            <w:vAlign w:val="center"/>
          </w:tcPr>
          <w:p w14:paraId="1669690E">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6</w:t>
            </w:r>
          </w:p>
        </w:tc>
        <w:tc>
          <w:tcPr>
            <w:tcW w:w="1872" w:type="dxa"/>
            <w:tcBorders>
              <w:top w:val="single" w:color="000000" w:sz="8" w:space="0"/>
              <w:left w:val="single" w:color="auto" w:sz="4" w:space="0"/>
              <w:bottom w:val="single" w:color="000000" w:sz="8" w:space="0"/>
              <w:right w:val="single" w:color="000000" w:sz="8" w:space="0"/>
            </w:tcBorders>
            <w:vAlign w:val="center"/>
          </w:tcPr>
          <w:p w14:paraId="38DD7ECF">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投标</w:t>
            </w:r>
            <w:r>
              <w:rPr>
                <w:rFonts w:hint="eastAsia" w:ascii="微软雅黑" w:hAnsi="微软雅黑" w:cs="微软雅黑"/>
                <w:b/>
                <w:color w:val="auto"/>
                <w:szCs w:val="21"/>
                <w:highlight w:val="none"/>
                <w:lang w:val="zh-CN"/>
              </w:rPr>
              <w:t>文件组成</w:t>
            </w:r>
          </w:p>
        </w:tc>
        <w:tc>
          <w:tcPr>
            <w:tcW w:w="6536" w:type="dxa"/>
            <w:tcBorders>
              <w:top w:val="single" w:color="000000" w:sz="8" w:space="0"/>
              <w:left w:val="single" w:color="000000" w:sz="2" w:space="0"/>
              <w:bottom w:val="single" w:color="000000" w:sz="8" w:space="0"/>
              <w:right w:val="single" w:color="000000" w:sz="8" w:space="0"/>
            </w:tcBorders>
            <w:vAlign w:val="center"/>
          </w:tcPr>
          <w:p w14:paraId="5E7236F7">
            <w:pPr>
              <w:snapToGrid w:val="0"/>
              <w:spacing w:line="460" w:lineRule="exact"/>
              <w:ind w:left="42" w:leftChars="20" w:right="42" w:rightChars="20" w:firstLine="0" w:firstLineChars="0"/>
              <w:rPr>
                <w:rFonts w:hint="eastAsia" w:ascii="微软雅黑" w:hAnsi="微软雅黑" w:cs="微软雅黑"/>
                <w:color w:val="auto"/>
                <w:szCs w:val="21"/>
                <w:highlight w:val="none"/>
                <w:lang w:val="zh-CN"/>
              </w:rPr>
            </w:pPr>
            <w:r>
              <w:rPr>
                <w:rFonts w:hint="eastAsia" w:ascii="微软雅黑" w:hAnsi="微软雅黑" w:cs="微软雅黑"/>
                <w:color w:val="auto"/>
                <w:szCs w:val="21"/>
                <w:highlight w:val="none"/>
                <w:lang w:val="zh-CN"/>
              </w:rPr>
              <w:t>电子</w:t>
            </w:r>
            <w:r>
              <w:rPr>
                <w:rFonts w:hint="eastAsia" w:ascii="微软雅黑" w:hAnsi="微软雅黑" w:cs="微软雅黑"/>
                <w:color w:val="auto"/>
                <w:szCs w:val="21"/>
                <w:highlight w:val="none"/>
              </w:rPr>
              <w:t>投标</w:t>
            </w:r>
            <w:r>
              <w:rPr>
                <w:rFonts w:hint="eastAsia" w:ascii="微软雅黑" w:hAnsi="微软雅黑" w:cs="微软雅黑"/>
                <w:color w:val="auto"/>
                <w:szCs w:val="21"/>
                <w:highlight w:val="none"/>
                <w:lang w:val="zh-CN"/>
              </w:rPr>
              <w:t>文件和备份</w:t>
            </w:r>
            <w:r>
              <w:rPr>
                <w:rFonts w:hint="eastAsia" w:ascii="微软雅黑" w:hAnsi="微软雅黑" w:cs="微软雅黑"/>
                <w:color w:val="auto"/>
                <w:szCs w:val="21"/>
                <w:highlight w:val="none"/>
              </w:rPr>
              <w:t>投标</w:t>
            </w:r>
            <w:r>
              <w:rPr>
                <w:rFonts w:hint="eastAsia" w:ascii="微软雅黑" w:hAnsi="微软雅黑" w:cs="微软雅黑"/>
                <w:color w:val="auto"/>
                <w:szCs w:val="21"/>
                <w:highlight w:val="none"/>
                <w:lang w:val="zh-CN"/>
              </w:rPr>
              <w:t>文件均由</w:t>
            </w:r>
            <w:r>
              <w:rPr>
                <w:rFonts w:hint="eastAsia" w:ascii="微软雅黑" w:hAnsi="微软雅黑" w:cs="微软雅黑"/>
                <w:color w:val="auto"/>
                <w:szCs w:val="21"/>
                <w:highlight w:val="none"/>
              </w:rPr>
              <w:t>资格</w:t>
            </w:r>
            <w:r>
              <w:rPr>
                <w:rFonts w:hint="eastAsia" w:ascii="微软雅黑" w:hAnsi="微软雅黑" w:cs="微软雅黑"/>
                <w:color w:val="auto"/>
                <w:szCs w:val="21"/>
                <w:highlight w:val="none"/>
                <w:lang w:val="zh-CN"/>
              </w:rPr>
              <w:t>文件、</w:t>
            </w:r>
            <w:r>
              <w:rPr>
                <w:rFonts w:hint="eastAsia" w:ascii="微软雅黑" w:hAnsi="微软雅黑" w:cs="微软雅黑"/>
                <w:color w:val="auto"/>
                <w:szCs w:val="21"/>
                <w:highlight w:val="none"/>
              </w:rPr>
              <w:t>商务</w:t>
            </w:r>
            <w:r>
              <w:rPr>
                <w:rFonts w:hint="eastAsia" w:ascii="微软雅黑" w:hAnsi="微软雅黑" w:cs="微软雅黑"/>
                <w:color w:val="auto"/>
                <w:szCs w:val="21"/>
                <w:highlight w:val="none"/>
                <w:lang w:val="zh-CN"/>
              </w:rPr>
              <w:t>技术文件及投标报价文件</w:t>
            </w:r>
            <w:r>
              <w:rPr>
                <w:rFonts w:hint="eastAsia" w:ascii="微软雅黑" w:hAnsi="微软雅黑" w:cs="微软雅黑"/>
                <w:color w:val="auto"/>
                <w:szCs w:val="21"/>
                <w:highlight w:val="none"/>
              </w:rPr>
              <w:t>三</w:t>
            </w:r>
            <w:r>
              <w:rPr>
                <w:rFonts w:hint="eastAsia" w:ascii="微软雅黑" w:hAnsi="微软雅黑" w:cs="微软雅黑"/>
                <w:color w:val="auto"/>
                <w:szCs w:val="21"/>
                <w:highlight w:val="none"/>
                <w:lang w:val="zh-CN"/>
              </w:rPr>
              <w:t>部分组成。</w:t>
            </w:r>
          </w:p>
        </w:tc>
      </w:tr>
      <w:tr w14:paraId="6B72E1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727" w:type="dxa"/>
            <w:tcBorders>
              <w:top w:val="single" w:color="auto" w:sz="4" w:space="0"/>
              <w:left w:val="single" w:color="auto" w:sz="4" w:space="0"/>
              <w:bottom w:val="single" w:color="auto" w:sz="4" w:space="0"/>
              <w:right w:val="single" w:color="auto" w:sz="4" w:space="0"/>
            </w:tcBorders>
            <w:vAlign w:val="center"/>
          </w:tcPr>
          <w:p w14:paraId="4D8A15A6">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7</w:t>
            </w:r>
          </w:p>
        </w:tc>
        <w:tc>
          <w:tcPr>
            <w:tcW w:w="1872" w:type="dxa"/>
            <w:tcBorders>
              <w:top w:val="single" w:color="000000" w:sz="8" w:space="0"/>
              <w:left w:val="single" w:color="auto" w:sz="4" w:space="0"/>
              <w:bottom w:val="single" w:color="000000" w:sz="8" w:space="0"/>
              <w:right w:val="single" w:color="000000" w:sz="8" w:space="0"/>
            </w:tcBorders>
            <w:vAlign w:val="center"/>
          </w:tcPr>
          <w:p w14:paraId="644F03E5">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lang w:val="zh-CN"/>
              </w:rPr>
              <w:t>开标时间及地点</w:t>
            </w:r>
          </w:p>
        </w:tc>
        <w:tc>
          <w:tcPr>
            <w:tcW w:w="6536" w:type="dxa"/>
            <w:tcBorders>
              <w:top w:val="single" w:color="000000" w:sz="8" w:space="0"/>
              <w:left w:val="single" w:color="000000" w:sz="2" w:space="0"/>
              <w:bottom w:val="single" w:color="000000" w:sz="8" w:space="0"/>
              <w:right w:val="single" w:color="000000" w:sz="8" w:space="0"/>
            </w:tcBorders>
            <w:vAlign w:val="center"/>
          </w:tcPr>
          <w:p w14:paraId="13BBEF6F">
            <w:pPr>
              <w:snapToGrid w:val="0"/>
              <w:spacing w:line="460" w:lineRule="exact"/>
              <w:ind w:left="42" w:leftChars="20" w:right="42" w:rightChars="20" w:firstLine="0" w:firstLineChars="0"/>
              <w:rPr>
                <w:rFonts w:hint="eastAsia" w:ascii="微软雅黑" w:hAnsi="微软雅黑" w:cs="Arial"/>
                <w:color w:val="auto"/>
                <w:szCs w:val="21"/>
                <w:highlight w:val="none"/>
              </w:rPr>
            </w:pPr>
            <w:r>
              <w:rPr>
                <w:rFonts w:hint="eastAsia" w:ascii="微软雅黑" w:hAnsi="微软雅黑" w:cs="微软雅黑"/>
                <w:color w:val="auto"/>
                <w:szCs w:val="21"/>
                <w:highlight w:val="none"/>
              </w:rPr>
              <w:t>时间：</w:t>
            </w:r>
            <w:r>
              <w:rPr>
                <w:rFonts w:hint="eastAsia" w:ascii="微软雅黑" w:hAnsi="微软雅黑" w:cs="Arial"/>
                <w:sz w:val="21"/>
                <w:szCs w:val="21"/>
                <w:highlight w:val="none"/>
              </w:rPr>
              <w:t>202</w:t>
            </w:r>
            <w:r>
              <w:rPr>
                <w:rFonts w:ascii="微软雅黑" w:hAnsi="微软雅黑" w:cs="Arial"/>
                <w:sz w:val="21"/>
                <w:szCs w:val="21"/>
                <w:highlight w:val="none"/>
              </w:rPr>
              <w:t>4</w:t>
            </w:r>
            <w:r>
              <w:rPr>
                <w:rFonts w:hint="eastAsia" w:ascii="微软雅黑" w:hAnsi="微软雅黑" w:cs="Arial"/>
                <w:sz w:val="21"/>
                <w:szCs w:val="21"/>
                <w:highlight w:val="none"/>
              </w:rPr>
              <w:t>年</w:t>
            </w:r>
            <w:r>
              <w:rPr>
                <w:rFonts w:hint="eastAsia" w:ascii="微软雅黑" w:hAnsi="微软雅黑" w:cs="Arial"/>
                <w:sz w:val="21"/>
                <w:szCs w:val="21"/>
                <w:highlight w:val="none"/>
                <w:lang w:val="en-US" w:eastAsia="zh-CN"/>
              </w:rPr>
              <w:t>11</w:t>
            </w:r>
            <w:r>
              <w:rPr>
                <w:rFonts w:hint="eastAsia" w:ascii="微软雅黑" w:hAnsi="微软雅黑" w:cs="Arial"/>
                <w:sz w:val="21"/>
                <w:szCs w:val="21"/>
                <w:highlight w:val="none"/>
              </w:rPr>
              <w:t>月</w:t>
            </w:r>
            <w:r>
              <w:rPr>
                <w:rFonts w:hint="eastAsia" w:ascii="微软雅黑" w:hAnsi="微软雅黑" w:cs="Arial"/>
                <w:sz w:val="21"/>
                <w:szCs w:val="21"/>
                <w:highlight w:val="none"/>
                <w:lang w:val="en-US" w:eastAsia="zh-CN"/>
              </w:rPr>
              <w:t>25</w:t>
            </w:r>
            <w:r>
              <w:rPr>
                <w:rFonts w:hint="eastAsia" w:ascii="微软雅黑" w:hAnsi="微软雅黑" w:cs="Arial"/>
                <w:sz w:val="21"/>
                <w:szCs w:val="21"/>
                <w:highlight w:val="none"/>
              </w:rPr>
              <w:t>日</w:t>
            </w:r>
            <w:r>
              <w:rPr>
                <w:rFonts w:hint="eastAsia" w:ascii="微软雅黑" w:hAnsi="微软雅黑" w:cs="Arial"/>
                <w:sz w:val="21"/>
                <w:szCs w:val="21"/>
                <w:highlight w:val="none"/>
                <w:lang w:val="en-US" w:eastAsia="zh-CN"/>
              </w:rPr>
              <w:t>14</w:t>
            </w:r>
            <w:r>
              <w:rPr>
                <w:rFonts w:hint="eastAsia" w:ascii="微软雅黑" w:hAnsi="微软雅黑" w:cs="Arial"/>
                <w:sz w:val="21"/>
                <w:szCs w:val="21"/>
                <w:highlight w:val="none"/>
              </w:rPr>
              <w:t>：</w:t>
            </w:r>
            <w:r>
              <w:rPr>
                <w:rFonts w:hint="eastAsia" w:ascii="微软雅黑" w:hAnsi="微软雅黑" w:cs="Arial"/>
                <w:sz w:val="21"/>
                <w:szCs w:val="21"/>
                <w:highlight w:val="none"/>
                <w:lang w:val="en-US" w:eastAsia="zh-CN"/>
              </w:rPr>
              <w:t>00</w:t>
            </w:r>
          </w:p>
          <w:p w14:paraId="46FE64FE">
            <w:pPr>
              <w:snapToGrid w:val="0"/>
              <w:spacing w:line="460" w:lineRule="exact"/>
              <w:ind w:left="42" w:leftChars="20" w:right="42" w:rightChars="20"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地点：政采云平台</w:t>
            </w:r>
          </w:p>
          <w:p w14:paraId="12B0EB53">
            <w:pPr>
              <w:snapToGrid w:val="0"/>
              <w:spacing w:line="460" w:lineRule="exact"/>
              <w:ind w:left="42" w:leftChars="20" w:right="42" w:rightChars="20" w:firstLine="0" w:firstLineChars="0"/>
              <w:rPr>
                <w:rFonts w:hint="eastAsia" w:ascii="微软雅黑" w:hAnsi="微软雅黑" w:cs="微软雅黑"/>
                <w:color w:val="auto"/>
                <w:szCs w:val="21"/>
                <w:highlight w:val="none"/>
                <w:lang w:val="zh-CN"/>
              </w:rPr>
            </w:pPr>
            <w:r>
              <w:rPr>
                <w:rFonts w:hint="eastAsia" w:ascii="微软雅黑" w:hAnsi="微软雅黑" w:cs="微软雅黑"/>
                <w:b/>
                <w:bCs/>
                <w:color w:val="auto"/>
                <w:szCs w:val="21"/>
                <w:highlight w:val="none"/>
                <w:u w:val="single"/>
                <w:lang w:val="zh-CN"/>
              </w:rPr>
              <w:t>投标人无需到开标现场，但须准时在线参加，直至评审结束。</w:t>
            </w:r>
          </w:p>
        </w:tc>
      </w:tr>
      <w:tr w14:paraId="3CB6F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727" w:type="dxa"/>
            <w:tcBorders>
              <w:top w:val="single" w:color="auto" w:sz="4" w:space="0"/>
              <w:left w:val="single" w:color="000000" w:sz="8" w:space="0"/>
              <w:bottom w:val="single" w:color="auto" w:sz="4" w:space="0"/>
              <w:right w:val="single" w:color="000000" w:sz="2" w:space="0"/>
            </w:tcBorders>
            <w:vAlign w:val="center"/>
          </w:tcPr>
          <w:p w14:paraId="4E5666CD">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8</w:t>
            </w:r>
          </w:p>
        </w:tc>
        <w:tc>
          <w:tcPr>
            <w:tcW w:w="1872" w:type="dxa"/>
            <w:tcBorders>
              <w:top w:val="single" w:color="000000" w:sz="8" w:space="0"/>
              <w:left w:val="single" w:color="000000" w:sz="2" w:space="0"/>
              <w:bottom w:val="single" w:color="000000" w:sz="8" w:space="0"/>
              <w:right w:val="single" w:color="000000" w:sz="8" w:space="0"/>
            </w:tcBorders>
            <w:vAlign w:val="center"/>
          </w:tcPr>
          <w:p w14:paraId="3562CD0B">
            <w:pPr>
              <w:snapToGrid w:val="0"/>
              <w:spacing w:line="460" w:lineRule="exact"/>
              <w:ind w:firstLine="0" w:firstLineChars="0"/>
              <w:jc w:val="center"/>
              <w:rPr>
                <w:rFonts w:hint="eastAsia" w:ascii="微软雅黑" w:hAnsi="微软雅黑" w:cs="微软雅黑"/>
                <w:bCs/>
                <w:color w:val="auto"/>
                <w:szCs w:val="21"/>
                <w:highlight w:val="none"/>
              </w:rPr>
            </w:pPr>
            <w:r>
              <w:rPr>
                <w:rFonts w:hint="eastAsia" w:ascii="微软雅黑" w:hAnsi="微软雅黑" w:cs="微软雅黑"/>
                <w:b/>
                <w:color w:val="auto"/>
                <w:szCs w:val="21"/>
                <w:highlight w:val="none"/>
              </w:rPr>
              <w:t>方案讲解演示</w:t>
            </w:r>
          </w:p>
        </w:tc>
        <w:tc>
          <w:tcPr>
            <w:tcW w:w="6536" w:type="dxa"/>
            <w:tcBorders>
              <w:top w:val="single" w:color="000000" w:sz="8" w:space="0"/>
              <w:left w:val="single" w:color="000000" w:sz="2" w:space="0"/>
              <w:bottom w:val="single" w:color="000000" w:sz="8" w:space="0"/>
              <w:right w:val="single" w:color="000000" w:sz="8" w:space="0"/>
            </w:tcBorders>
            <w:vAlign w:val="center"/>
          </w:tcPr>
          <w:p w14:paraId="20FD062C">
            <w:pPr>
              <w:snapToGrid w:val="0"/>
              <w:spacing w:line="460" w:lineRule="exact"/>
              <w:ind w:left="42" w:leftChars="20" w:right="42" w:rightChars="20"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sym w:font="Wingdings" w:char="00FE"/>
            </w:r>
            <w:r>
              <w:rPr>
                <w:rFonts w:hint="eastAsia" w:ascii="微软雅黑" w:hAnsi="微软雅黑" w:cs="微软雅黑"/>
                <w:color w:val="auto"/>
                <w:szCs w:val="21"/>
                <w:highlight w:val="none"/>
                <w:lang w:val="zh-CN"/>
              </w:rPr>
              <w:t>A不组织。</w:t>
            </w:r>
          </w:p>
          <w:p w14:paraId="33494BBF">
            <w:pPr>
              <w:spacing w:line="460" w:lineRule="exact"/>
              <w:ind w:left="42" w:leftChars="20" w:right="42" w:rightChars="20" w:firstLine="0" w:firstLineChars="0"/>
              <w:rPr>
                <w:rFonts w:hint="eastAsia" w:ascii="微软雅黑" w:hAnsi="微软雅黑" w:cs="微软雅黑"/>
                <w:color w:val="auto"/>
                <w:kern w:val="0"/>
                <w:szCs w:val="21"/>
                <w:highlight w:val="none"/>
                <w:lang w:val="zh-CN"/>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szCs w:val="21"/>
                <w:highlight w:val="none"/>
                <w:lang w:val="zh-CN"/>
              </w:rPr>
              <w:t>B组织。</w:t>
            </w:r>
            <w:r>
              <w:rPr>
                <w:rFonts w:hint="eastAsia" w:ascii="微软雅黑" w:hAnsi="微软雅黑" w:cs="微软雅黑"/>
                <w:color w:val="auto"/>
                <w:szCs w:val="21"/>
                <w:highlight w:val="none"/>
              </w:rPr>
              <w:t>演示方式采用视频方式【投标单位制作好演示视频（U盘方式）在投标截止时间前寄至采购代理公司】时间不超过15分钟。</w:t>
            </w:r>
          </w:p>
        </w:tc>
      </w:tr>
      <w:tr w14:paraId="1914D5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727" w:type="dxa"/>
            <w:tcBorders>
              <w:top w:val="single" w:color="auto" w:sz="4" w:space="0"/>
              <w:left w:val="single" w:color="000000" w:sz="8" w:space="0"/>
              <w:bottom w:val="single" w:color="auto" w:sz="4" w:space="0"/>
              <w:right w:val="single" w:color="000000" w:sz="2" w:space="0"/>
            </w:tcBorders>
            <w:vAlign w:val="center"/>
          </w:tcPr>
          <w:p w14:paraId="2F37842C">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9</w:t>
            </w:r>
          </w:p>
        </w:tc>
        <w:tc>
          <w:tcPr>
            <w:tcW w:w="1872" w:type="dxa"/>
            <w:tcBorders>
              <w:top w:val="single" w:color="000000" w:sz="8" w:space="0"/>
              <w:left w:val="single" w:color="000000" w:sz="2" w:space="0"/>
              <w:bottom w:val="single" w:color="000000" w:sz="8" w:space="0"/>
              <w:right w:val="single" w:color="000000" w:sz="8" w:space="0"/>
            </w:tcBorders>
            <w:vAlign w:val="center"/>
          </w:tcPr>
          <w:p w14:paraId="1936D6F2">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是否允许采购进口产品</w:t>
            </w:r>
          </w:p>
        </w:tc>
        <w:tc>
          <w:tcPr>
            <w:tcW w:w="6536" w:type="dxa"/>
            <w:tcBorders>
              <w:top w:val="single" w:color="000000" w:sz="8" w:space="0"/>
              <w:left w:val="single" w:color="000000" w:sz="2" w:space="0"/>
              <w:bottom w:val="single" w:color="000000" w:sz="8" w:space="0"/>
              <w:right w:val="single" w:color="000000" w:sz="8" w:space="0"/>
            </w:tcBorders>
            <w:vAlign w:val="center"/>
          </w:tcPr>
          <w:p w14:paraId="042A7EB8">
            <w:pPr>
              <w:spacing w:line="460" w:lineRule="exact"/>
              <w:ind w:left="42" w:leftChars="20" w:right="42" w:rightChars="20"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sym w:font="Wingdings" w:char="00FE"/>
            </w:r>
            <w:r>
              <w:rPr>
                <w:rFonts w:hint="eastAsia" w:ascii="微软雅黑" w:hAnsi="微软雅黑" w:cs="微软雅黑"/>
                <w:color w:val="auto"/>
                <w:szCs w:val="21"/>
                <w:highlight w:val="none"/>
                <w:lang w:val="zh-CN"/>
              </w:rPr>
              <w:t>本项目不允许采购进口产品。</w:t>
            </w:r>
          </w:p>
          <w:p w14:paraId="4EA38016">
            <w:pPr>
              <w:spacing w:line="460" w:lineRule="exact"/>
              <w:ind w:left="42" w:leftChars="20" w:right="42" w:rightChars="20" w:firstLine="0" w:firstLineChars="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t>☐</w:t>
            </w:r>
            <w:r>
              <w:rPr>
                <w:rFonts w:hint="eastAsia" w:ascii="微软雅黑" w:hAnsi="微软雅黑" w:cs="微软雅黑"/>
                <w:color w:val="auto"/>
                <w:szCs w:val="21"/>
                <w:highlight w:val="none"/>
                <w:lang w:val="zh-CN"/>
              </w:rPr>
              <w:t>可以采购进口产品，优先采购向我国企业转让技术、与我国企业签订消化吸收再创新方案的投标人的进口产品；但如果因信息不对称等原因，仍有满足需求的国内产品要求参与采购竞争的，采购人及其委托的采购代理机构不对其加以限制，将按照公平竞争原则实施采购。</w:t>
            </w:r>
          </w:p>
        </w:tc>
      </w:tr>
      <w:tr w14:paraId="139F0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727" w:type="dxa"/>
            <w:tcBorders>
              <w:top w:val="single" w:color="auto" w:sz="4" w:space="0"/>
              <w:left w:val="single" w:color="000000" w:sz="8" w:space="0"/>
              <w:bottom w:val="single" w:color="auto" w:sz="4" w:space="0"/>
              <w:right w:val="single" w:color="000000" w:sz="2" w:space="0"/>
            </w:tcBorders>
            <w:vAlign w:val="center"/>
          </w:tcPr>
          <w:p w14:paraId="66A4D540">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10</w:t>
            </w:r>
          </w:p>
        </w:tc>
        <w:tc>
          <w:tcPr>
            <w:tcW w:w="1872" w:type="dxa"/>
            <w:tcBorders>
              <w:top w:val="single" w:color="000000" w:sz="8" w:space="0"/>
              <w:left w:val="single" w:color="000000" w:sz="2" w:space="0"/>
              <w:bottom w:val="single" w:color="000000" w:sz="8" w:space="0"/>
              <w:right w:val="single" w:color="000000" w:sz="8" w:space="0"/>
            </w:tcBorders>
            <w:vAlign w:val="center"/>
          </w:tcPr>
          <w:p w14:paraId="211B3857">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项目属性与核心产品</w:t>
            </w:r>
          </w:p>
        </w:tc>
        <w:tc>
          <w:tcPr>
            <w:tcW w:w="6536" w:type="dxa"/>
            <w:tcBorders>
              <w:top w:val="single" w:color="000000" w:sz="8" w:space="0"/>
              <w:left w:val="single" w:color="000000" w:sz="2" w:space="0"/>
              <w:bottom w:val="single" w:color="000000" w:sz="8" w:space="0"/>
              <w:right w:val="single" w:color="000000" w:sz="8" w:space="0"/>
            </w:tcBorders>
            <w:vAlign w:val="center"/>
          </w:tcPr>
          <w:p w14:paraId="09420989">
            <w:pPr>
              <w:spacing w:line="460" w:lineRule="exact"/>
              <w:ind w:left="42" w:leftChars="20" w:right="42" w:rightChars="20" w:firstLine="0" w:firstLineChars="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szCs w:val="21"/>
                <w:highlight w:val="none"/>
                <w:lang w:val="zh-CN"/>
              </w:rPr>
              <w:t>A货物类，核心产品为：</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szCs w:val="21"/>
                <w:highlight w:val="none"/>
              </w:rPr>
              <w:t>。</w:t>
            </w:r>
          </w:p>
          <w:p w14:paraId="0BF8291E">
            <w:pPr>
              <w:spacing w:line="460" w:lineRule="exact"/>
              <w:ind w:left="42" w:leftChars="20" w:right="42" w:rightChars="20" w:firstLine="0" w:firstLineChars="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sym w:font="Wingdings" w:char="00FE"/>
            </w:r>
            <w:r>
              <w:rPr>
                <w:rFonts w:hint="eastAsia" w:ascii="微软雅黑" w:hAnsi="微软雅黑" w:cs="微软雅黑"/>
                <w:color w:val="auto"/>
                <w:szCs w:val="21"/>
                <w:highlight w:val="none"/>
                <w:lang w:val="zh-CN"/>
              </w:rPr>
              <w:t>B服务类。</w:t>
            </w:r>
          </w:p>
        </w:tc>
      </w:tr>
      <w:tr w14:paraId="4FDB35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727" w:type="dxa"/>
            <w:tcBorders>
              <w:top w:val="single" w:color="auto" w:sz="4" w:space="0"/>
              <w:left w:val="single" w:color="000000" w:sz="8" w:space="0"/>
              <w:bottom w:val="single" w:color="auto" w:sz="4" w:space="0"/>
              <w:right w:val="single" w:color="000000" w:sz="2" w:space="0"/>
            </w:tcBorders>
            <w:vAlign w:val="center"/>
          </w:tcPr>
          <w:p w14:paraId="6490B1CC">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11</w:t>
            </w:r>
          </w:p>
        </w:tc>
        <w:tc>
          <w:tcPr>
            <w:tcW w:w="1872" w:type="dxa"/>
            <w:tcBorders>
              <w:top w:val="single" w:color="000000" w:sz="8" w:space="0"/>
              <w:left w:val="single" w:color="000000" w:sz="2" w:space="0"/>
              <w:bottom w:val="single" w:color="000000" w:sz="8" w:space="0"/>
              <w:right w:val="single" w:color="000000" w:sz="8" w:space="0"/>
            </w:tcBorders>
            <w:vAlign w:val="center"/>
          </w:tcPr>
          <w:p w14:paraId="16430194">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采购标的对应的中小企业划分标准所属行业</w:t>
            </w:r>
          </w:p>
        </w:tc>
        <w:tc>
          <w:tcPr>
            <w:tcW w:w="6536" w:type="dxa"/>
            <w:tcBorders>
              <w:top w:val="single" w:color="000000" w:sz="8" w:space="0"/>
              <w:left w:val="single" w:color="000000" w:sz="2" w:space="0"/>
              <w:bottom w:val="single" w:color="000000" w:sz="8" w:space="0"/>
              <w:right w:val="single" w:color="000000" w:sz="8" w:space="0"/>
            </w:tcBorders>
            <w:vAlign w:val="center"/>
          </w:tcPr>
          <w:p w14:paraId="0A4E58A0">
            <w:pPr>
              <w:snapToGrid w:val="0"/>
              <w:spacing w:line="460" w:lineRule="exact"/>
              <w:ind w:left="42" w:leftChars="20" w:right="42" w:rightChars="20"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zh-CN"/>
              </w:rPr>
              <w:t>标的：</w:t>
            </w:r>
            <w:r>
              <w:rPr>
                <w:rFonts w:hint="eastAsia"/>
                <w:color w:val="auto"/>
                <w:highlight w:val="none"/>
                <w:u w:val="single"/>
              </w:rPr>
              <w:t>圩区标准化创建及运维服务</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w:t>
            </w:r>
            <w:r>
              <w:rPr>
                <w:rFonts w:hint="eastAsia" w:ascii="微软雅黑" w:hAnsi="微软雅黑" w:cs="微软雅黑"/>
                <w:color w:val="auto"/>
                <w:szCs w:val="21"/>
                <w:highlight w:val="none"/>
                <w:lang w:val="zh-CN"/>
              </w:rPr>
              <w:t>属于</w:t>
            </w:r>
            <w:r>
              <w:rPr>
                <w:rFonts w:hint="eastAsia" w:ascii="微软雅黑" w:hAnsi="微软雅黑" w:cs="微软雅黑"/>
                <w:color w:val="auto"/>
                <w:kern w:val="0"/>
                <w:szCs w:val="21"/>
                <w:highlight w:val="none"/>
                <w:u w:val="single"/>
              </w:rPr>
              <w:t xml:space="preserve"> 其他未列明 </w:t>
            </w:r>
            <w:r>
              <w:rPr>
                <w:rFonts w:hint="eastAsia" w:ascii="微软雅黑" w:hAnsi="微软雅黑" w:cs="微软雅黑"/>
                <w:color w:val="auto"/>
                <w:szCs w:val="21"/>
                <w:highlight w:val="none"/>
                <w:lang w:val="zh-CN"/>
              </w:rPr>
              <w:t>行业；</w:t>
            </w:r>
          </w:p>
        </w:tc>
      </w:tr>
      <w:tr w14:paraId="64487B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727" w:type="dxa"/>
            <w:tcBorders>
              <w:top w:val="single" w:color="auto" w:sz="4" w:space="0"/>
              <w:left w:val="single" w:color="000000" w:sz="8" w:space="0"/>
              <w:bottom w:val="single" w:color="auto" w:sz="4" w:space="0"/>
              <w:right w:val="single" w:color="000000" w:sz="2" w:space="0"/>
            </w:tcBorders>
            <w:vAlign w:val="center"/>
          </w:tcPr>
          <w:p w14:paraId="2A309D0A">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12</w:t>
            </w:r>
          </w:p>
        </w:tc>
        <w:tc>
          <w:tcPr>
            <w:tcW w:w="1872" w:type="dxa"/>
            <w:tcBorders>
              <w:top w:val="single" w:color="000000" w:sz="8" w:space="0"/>
              <w:left w:val="single" w:color="000000" w:sz="2" w:space="0"/>
              <w:bottom w:val="single" w:color="000000" w:sz="8" w:space="0"/>
              <w:right w:val="single" w:color="000000" w:sz="8" w:space="0"/>
            </w:tcBorders>
            <w:vAlign w:val="center"/>
          </w:tcPr>
          <w:p w14:paraId="7844A61A">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节能产品、环境标志产品</w:t>
            </w:r>
          </w:p>
        </w:tc>
        <w:tc>
          <w:tcPr>
            <w:tcW w:w="6536" w:type="dxa"/>
            <w:tcBorders>
              <w:top w:val="single" w:color="000000" w:sz="8" w:space="0"/>
              <w:left w:val="single" w:color="000000" w:sz="2" w:space="0"/>
              <w:bottom w:val="single" w:color="000000" w:sz="8" w:space="0"/>
              <w:right w:val="single" w:color="000000" w:sz="8" w:space="0"/>
            </w:tcBorders>
            <w:vAlign w:val="center"/>
          </w:tcPr>
          <w:p w14:paraId="39257DFA">
            <w:pPr>
              <w:snapToGrid w:val="0"/>
              <w:spacing w:line="460" w:lineRule="exact"/>
              <w:ind w:left="42" w:leftChars="20" w:right="42" w:rightChars="20" w:firstLine="0" w:firstLineChars="0"/>
              <w:rPr>
                <w:rFonts w:hint="eastAsia" w:ascii="微软雅黑" w:hAnsi="微软雅黑" w:cs="微软雅黑"/>
                <w:color w:val="auto"/>
                <w:szCs w:val="21"/>
                <w:highlight w:val="none"/>
              </w:rPr>
            </w:pPr>
            <w:r>
              <w:rPr>
                <w:rFonts w:hint="eastAsia" w:ascii="微软雅黑" w:hAnsi="微软雅黑" w:cs="微软雅黑"/>
                <w:snapToGrid w:val="0"/>
                <w:color w:val="auto"/>
                <w:kern w:val="0"/>
                <w:szCs w:val="21"/>
                <w:highlight w:val="none"/>
              </w:rPr>
              <w:t>按《节能产品政府采购品目清单》财库〔2019〕19号执行；政府采购节能产品、环境标志产品实施品目清单管理：投标产品符合财库〔2019〕9号《关于调整优化节能产品、环境标志产品政府采购执行机制的通知》条件。</w:t>
            </w:r>
          </w:p>
        </w:tc>
      </w:tr>
      <w:tr w14:paraId="4DE59C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39" w:hRule="atLeast"/>
          <w:tblHeader/>
          <w:jc w:val="center"/>
        </w:trPr>
        <w:tc>
          <w:tcPr>
            <w:tcW w:w="727" w:type="dxa"/>
            <w:tcBorders>
              <w:left w:val="single" w:color="000000" w:sz="8" w:space="0"/>
              <w:right w:val="single" w:color="000000" w:sz="2" w:space="0"/>
            </w:tcBorders>
            <w:vAlign w:val="center"/>
          </w:tcPr>
          <w:p w14:paraId="6217CA2F">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13</w:t>
            </w:r>
          </w:p>
        </w:tc>
        <w:tc>
          <w:tcPr>
            <w:tcW w:w="1872" w:type="dxa"/>
            <w:tcBorders>
              <w:left w:val="single" w:color="000000" w:sz="2" w:space="0"/>
              <w:right w:val="single" w:color="000000" w:sz="8" w:space="0"/>
            </w:tcBorders>
            <w:vAlign w:val="center"/>
          </w:tcPr>
          <w:p w14:paraId="5A2EA5F9">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b/>
                <w:color w:val="auto"/>
                <w:szCs w:val="21"/>
                <w:highlight w:val="none"/>
              </w:rPr>
              <w:t>评标结果公告及中标通知书</w:t>
            </w:r>
          </w:p>
        </w:tc>
        <w:tc>
          <w:tcPr>
            <w:tcW w:w="6536" w:type="dxa"/>
            <w:tcBorders>
              <w:top w:val="single" w:color="000000" w:sz="8" w:space="0"/>
              <w:left w:val="single" w:color="000000" w:sz="2" w:space="0"/>
              <w:bottom w:val="single" w:color="000000" w:sz="8" w:space="0"/>
              <w:right w:val="single" w:color="000000" w:sz="8" w:space="0"/>
            </w:tcBorders>
            <w:vAlign w:val="center"/>
          </w:tcPr>
          <w:p w14:paraId="2487D68C">
            <w:pPr>
              <w:autoSpaceDE w:val="0"/>
              <w:autoSpaceDN w:val="0"/>
              <w:snapToGrid w:val="0"/>
              <w:spacing w:line="460" w:lineRule="exact"/>
              <w:ind w:left="42" w:leftChars="20" w:right="42" w:rightChars="20" w:firstLine="0" w:firstLineChars="0"/>
              <w:textAlignment w:val="bottom"/>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评标结束后2个工作日内，评标结果公告于浙江政府采购网(http://www.zjzfcg.gov.cn/new/)</w:t>
            </w:r>
          </w:p>
          <w:p w14:paraId="79C1027B">
            <w:pPr>
              <w:autoSpaceDE w:val="0"/>
              <w:autoSpaceDN w:val="0"/>
              <w:snapToGrid w:val="0"/>
              <w:spacing w:line="460" w:lineRule="exact"/>
              <w:ind w:left="42" w:leftChars="20" w:right="42" w:rightChars="20" w:firstLine="0" w:firstLineChars="0"/>
              <w:textAlignment w:val="bottom"/>
              <w:rPr>
                <w:rFonts w:hint="eastAsia" w:ascii="微软雅黑" w:hAnsi="微软雅黑" w:cs="微软雅黑"/>
                <w:snapToGrid w:val="0"/>
                <w:color w:val="auto"/>
                <w:kern w:val="28"/>
                <w:szCs w:val="21"/>
                <w:highlight w:val="none"/>
              </w:rPr>
            </w:pPr>
            <w:r>
              <w:rPr>
                <w:rFonts w:hint="eastAsia" w:ascii="微软雅黑" w:hAnsi="微软雅黑" w:cs="微软雅黑"/>
                <w:color w:val="auto"/>
                <w:kern w:val="0"/>
                <w:szCs w:val="21"/>
                <w:highlight w:val="none"/>
              </w:rPr>
              <w:t>中标公告期限为1个工作日</w:t>
            </w:r>
            <w:r>
              <w:rPr>
                <w:rFonts w:hint="eastAsia" w:ascii="微软雅黑" w:hAnsi="微软雅黑" w:cs="微软雅黑"/>
                <w:b/>
                <w:bCs/>
                <w:color w:val="auto"/>
                <w:szCs w:val="21"/>
                <w:highlight w:val="none"/>
              </w:rPr>
              <w:t>（中标</w:t>
            </w:r>
            <w:r>
              <w:rPr>
                <w:rFonts w:hint="eastAsia" w:ascii="微软雅黑" w:hAnsi="微软雅黑" w:cs="微软雅黑"/>
                <w:b/>
                <w:bCs/>
                <w:color w:val="auto"/>
                <w:szCs w:val="21"/>
                <w:highlight w:val="none"/>
                <w:lang w:eastAsia="zh-CN"/>
              </w:rPr>
              <w:t>投标人</w:t>
            </w:r>
            <w:r>
              <w:rPr>
                <w:rFonts w:hint="eastAsia" w:ascii="微软雅黑" w:hAnsi="微软雅黑" w:cs="微软雅黑"/>
                <w:b/>
                <w:bCs/>
                <w:color w:val="auto"/>
                <w:szCs w:val="21"/>
                <w:highlight w:val="none"/>
              </w:rPr>
              <w:t>为小微企业的，其中小企业声明函将随中标结果同时公告）</w:t>
            </w:r>
            <w:r>
              <w:rPr>
                <w:rFonts w:hint="eastAsia" w:ascii="微软雅黑" w:hAnsi="微软雅黑" w:cs="微软雅黑"/>
                <w:color w:val="auto"/>
                <w:kern w:val="0"/>
                <w:szCs w:val="21"/>
                <w:highlight w:val="none"/>
              </w:rPr>
              <w:t>。在公告中标结果的同时，代理机构在政采云系统向中标</w:t>
            </w:r>
            <w:r>
              <w:rPr>
                <w:rFonts w:hint="eastAsia" w:ascii="微软雅黑" w:hAnsi="微软雅黑" w:cs="微软雅黑"/>
                <w:color w:val="auto"/>
                <w:kern w:val="0"/>
                <w:szCs w:val="21"/>
                <w:highlight w:val="none"/>
                <w:lang w:eastAsia="zh-CN"/>
              </w:rPr>
              <w:t>投标人</w:t>
            </w:r>
            <w:r>
              <w:rPr>
                <w:rFonts w:hint="eastAsia" w:ascii="微软雅黑" w:hAnsi="微软雅黑" w:cs="微软雅黑"/>
                <w:color w:val="auto"/>
                <w:kern w:val="0"/>
                <w:szCs w:val="21"/>
                <w:highlight w:val="none"/>
              </w:rPr>
              <w:t>发出中标通知书。</w:t>
            </w:r>
          </w:p>
        </w:tc>
      </w:tr>
      <w:tr w14:paraId="0FDA5C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727" w:type="dxa"/>
            <w:tcBorders>
              <w:top w:val="single" w:color="auto" w:sz="4" w:space="0"/>
              <w:left w:val="single" w:color="000000" w:sz="8" w:space="0"/>
              <w:bottom w:val="single" w:color="auto" w:sz="4" w:space="0"/>
              <w:right w:val="single" w:color="000000" w:sz="2" w:space="0"/>
            </w:tcBorders>
            <w:vAlign w:val="center"/>
          </w:tcPr>
          <w:p w14:paraId="112C6DB6">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14</w:t>
            </w:r>
          </w:p>
        </w:tc>
        <w:tc>
          <w:tcPr>
            <w:tcW w:w="1872" w:type="dxa"/>
            <w:tcBorders>
              <w:top w:val="single" w:color="000000" w:sz="8" w:space="0"/>
              <w:left w:val="single" w:color="000000" w:sz="2" w:space="0"/>
              <w:bottom w:val="single" w:color="000000" w:sz="8" w:space="0"/>
              <w:right w:val="single" w:color="000000" w:sz="8" w:space="0"/>
            </w:tcBorders>
            <w:vAlign w:val="center"/>
          </w:tcPr>
          <w:p w14:paraId="0FA32B6E">
            <w:pPr>
              <w:autoSpaceDE w:val="0"/>
              <w:autoSpaceDN w:val="0"/>
              <w:snapToGrid w:val="0"/>
              <w:spacing w:line="460" w:lineRule="exact"/>
              <w:ind w:firstLine="0" w:firstLineChars="0"/>
              <w:jc w:val="center"/>
              <w:textAlignment w:val="bottom"/>
              <w:rPr>
                <w:rFonts w:hint="eastAsia" w:ascii="微软雅黑" w:hAnsi="微软雅黑" w:cs="微软雅黑"/>
                <w:color w:val="auto"/>
                <w:kern w:val="0"/>
                <w:szCs w:val="21"/>
                <w:highlight w:val="none"/>
              </w:rPr>
            </w:pPr>
            <w:r>
              <w:rPr>
                <w:rFonts w:hint="eastAsia" w:ascii="微软雅黑" w:hAnsi="微软雅黑" w:cs="微软雅黑"/>
                <w:b/>
                <w:color w:val="auto"/>
                <w:szCs w:val="21"/>
                <w:highlight w:val="none"/>
              </w:rPr>
              <w:t>履约保证金</w:t>
            </w:r>
          </w:p>
        </w:tc>
        <w:tc>
          <w:tcPr>
            <w:tcW w:w="6536" w:type="dxa"/>
            <w:tcBorders>
              <w:top w:val="single" w:color="000000" w:sz="8" w:space="0"/>
              <w:left w:val="single" w:color="000000" w:sz="2" w:space="0"/>
              <w:bottom w:val="single" w:color="000000" w:sz="8" w:space="0"/>
              <w:right w:val="single" w:color="000000" w:sz="8" w:space="0"/>
            </w:tcBorders>
            <w:vAlign w:val="center"/>
          </w:tcPr>
          <w:p w14:paraId="05863A4A">
            <w:pPr>
              <w:spacing w:line="460" w:lineRule="exact"/>
              <w:ind w:left="42" w:leftChars="20" w:right="42" w:rightChars="20"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szCs w:val="21"/>
                <w:highlight w:val="none"/>
                <w:lang w:val="zh-CN"/>
              </w:rPr>
              <w:t>无</w:t>
            </w:r>
            <w:r>
              <w:rPr>
                <w:rFonts w:hint="eastAsia" w:ascii="微软雅黑" w:hAnsi="微软雅黑" w:cs="微软雅黑"/>
                <w:color w:val="auto"/>
                <w:szCs w:val="21"/>
                <w:highlight w:val="none"/>
              </w:rPr>
              <w:t>。</w:t>
            </w:r>
          </w:p>
        </w:tc>
      </w:tr>
      <w:tr w14:paraId="26C7D4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0" w:hRule="atLeast"/>
          <w:tblHeader/>
          <w:jc w:val="center"/>
        </w:trPr>
        <w:tc>
          <w:tcPr>
            <w:tcW w:w="727" w:type="dxa"/>
            <w:tcBorders>
              <w:top w:val="single" w:color="auto" w:sz="4" w:space="0"/>
              <w:left w:val="single" w:color="000000" w:sz="8" w:space="0"/>
              <w:bottom w:val="single" w:color="auto" w:sz="4" w:space="0"/>
              <w:right w:val="single" w:color="000000" w:sz="2" w:space="0"/>
            </w:tcBorders>
            <w:vAlign w:val="center"/>
          </w:tcPr>
          <w:p w14:paraId="1F5103D2">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15</w:t>
            </w:r>
          </w:p>
        </w:tc>
        <w:tc>
          <w:tcPr>
            <w:tcW w:w="1872" w:type="dxa"/>
            <w:tcBorders>
              <w:top w:val="single" w:color="000000" w:sz="8" w:space="0"/>
              <w:left w:val="single" w:color="000000" w:sz="2" w:space="0"/>
              <w:bottom w:val="single" w:color="000000" w:sz="8" w:space="0"/>
              <w:right w:val="single" w:color="000000" w:sz="8" w:space="0"/>
            </w:tcBorders>
            <w:vAlign w:val="center"/>
          </w:tcPr>
          <w:p w14:paraId="657D5B13">
            <w:pPr>
              <w:snapToGrid w:val="0"/>
              <w:spacing w:line="460" w:lineRule="exact"/>
              <w:ind w:firstLine="0" w:firstLineChars="0"/>
              <w:jc w:val="center"/>
              <w:rPr>
                <w:rFonts w:hint="eastAsia" w:ascii="微软雅黑" w:hAnsi="微软雅黑" w:cs="微软雅黑"/>
                <w:b/>
                <w:strike/>
                <w:color w:val="auto"/>
                <w:szCs w:val="21"/>
                <w:highlight w:val="none"/>
              </w:rPr>
            </w:pPr>
            <w:r>
              <w:rPr>
                <w:rFonts w:hint="eastAsia" w:ascii="微软雅黑" w:hAnsi="微软雅黑" w:cs="微软雅黑"/>
                <w:b/>
                <w:color w:val="auto"/>
                <w:szCs w:val="21"/>
                <w:highlight w:val="none"/>
              </w:rPr>
              <w:t>签订合同时间</w:t>
            </w:r>
          </w:p>
        </w:tc>
        <w:tc>
          <w:tcPr>
            <w:tcW w:w="6536" w:type="dxa"/>
            <w:tcBorders>
              <w:top w:val="single" w:color="000000" w:sz="8" w:space="0"/>
              <w:left w:val="single" w:color="000000" w:sz="2" w:space="0"/>
              <w:bottom w:val="single" w:color="000000" w:sz="8" w:space="0"/>
              <w:right w:val="single" w:color="000000" w:sz="8" w:space="0"/>
            </w:tcBorders>
            <w:vAlign w:val="center"/>
          </w:tcPr>
          <w:p w14:paraId="0FC54D9A">
            <w:pPr>
              <w:autoSpaceDE w:val="0"/>
              <w:autoSpaceDN w:val="0"/>
              <w:snapToGrid w:val="0"/>
              <w:spacing w:line="460" w:lineRule="exact"/>
              <w:ind w:left="42" w:leftChars="20" w:right="42" w:rightChars="20" w:firstLine="0" w:firstLineChars="0"/>
              <w:textAlignment w:val="bottom"/>
              <w:rPr>
                <w:rFonts w:hint="eastAsia" w:ascii="微软雅黑" w:hAnsi="微软雅黑" w:cs="微软雅黑"/>
                <w:strike/>
                <w:color w:val="auto"/>
                <w:kern w:val="28"/>
                <w:szCs w:val="21"/>
                <w:highlight w:val="none"/>
              </w:rPr>
            </w:pPr>
            <w:r>
              <w:rPr>
                <w:rFonts w:hint="eastAsia" w:ascii="微软雅黑" w:hAnsi="微软雅黑" w:cs="微软雅黑"/>
                <w:color w:val="auto"/>
                <w:szCs w:val="21"/>
                <w:highlight w:val="none"/>
              </w:rPr>
              <w:t>中标通知书发出后30日内。</w:t>
            </w:r>
            <w:r>
              <w:rPr>
                <w:rFonts w:hint="eastAsia" w:ascii="微软雅黑" w:hAnsi="微软雅黑" w:cs="微软雅黑"/>
                <w:color w:val="auto"/>
                <w:kern w:val="0"/>
                <w:szCs w:val="21"/>
                <w:highlight w:val="none"/>
              </w:rPr>
              <w:t>建议采购人在对采购结果质疑期（自采购结果公告之日起七个工作日）后与中标</w:t>
            </w:r>
            <w:r>
              <w:rPr>
                <w:rFonts w:hint="eastAsia" w:ascii="微软雅黑" w:hAnsi="微软雅黑" w:cs="微软雅黑"/>
                <w:color w:val="auto"/>
                <w:kern w:val="0"/>
                <w:szCs w:val="21"/>
                <w:highlight w:val="none"/>
                <w:lang w:eastAsia="zh-CN"/>
              </w:rPr>
              <w:t>投标人</w:t>
            </w:r>
            <w:r>
              <w:rPr>
                <w:rFonts w:hint="eastAsia" w:ascii="微软雅黑" w:hAnsi="微软雅黑" w:cs="微软雅黑"/>
                <w:color w:val="auto"/>
                <w:kern w:val="0"/>
                <w:szCs w:val="21"/>
                <w:highlight w:val="none"/>
              </w:rPr>
              <w:t>签订政府采购合同。</w:t>
            </w:r>
          </w:p>
        </w:tc>
      </w:tr>
      <w:tr w14:paraId="370560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4" w:hRule="atLeast"/>
          <w:tblHeader/>
          <w:jc w:val="center"/>
        </w:trPr>
        <w:tc>
          <w:tcPr>
            <w:tcW w:w="727" w:type="dxa"/>
            <w:tcBorders>
              <w:top w:val="single" w:color="auto" w:sz="4" w:space="0"/>
              <w:left w:val="single" w:color="000000" w:sz="8" w:space="0"/>
              <w:bottom w:val="single" w:color="auto" w:sz="4" w:space="0"/>
              <w:right w:val="single" w:color="000000" w:sz="2" w:space="0"/>
            </w:tcBorders>
            <w:vAlign w:val="center"/>
          </w:tcPr>
          <w:p w14:paraId="0494B281">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16</w:t>
            </w:r>
          </w:p>
        </w:tc>
        <w:tc>
          <w:tcPr>
            <w:tcW w:w="1872" w:type="dxa"/>
            <w:tcBorders>
              <w:top w:val="single" w:color="000000" w:sz="8" w:space="0"/>
              <w:left w:val="single" w:color="000000" w:sz="2" w:space="0"/>
              <w:bottom w:val="single" w:color="000000" w:sz="8" w:space="0"/>
              <w:right w:val="single" w:color="000000" w:sz="8" w:space="0"/>
            </w:tcBorders>
            <w:vAlign w:val="center"/>
          </w:tcPr>
          <w:p w14:paraId="3D455A5D">
            <w:pPr>
              <w:snapToGrid w:val="0"/>
              <w:spacing w:line="460" w:lineRule="exact"/>
              <w:ind w:firstLine="0" w:firstLineChars="0"/>
              <w:jc w:val="center"/>
              <w:rPr>
                <w:rFonts w:hint="eastAsia" w:ascii="微软雅黑" w:hAnsi="微软雅黑" w:cs="微软雅黑"/>
                <w:b/>
                <w:strike/>
                <w:color w:val="auto"/>
                <w:szCs w:val="21"/>
                <w:highlight w:val="none"/>
              </w:rPr>
            </w:pPr>
            <w:r>
              <w:rPr>
                <w:rFonts w:hint="eastAsia" w:ascii="微软雅黑" w:hAnsi="微软雅黑" w:cs="微软雅黑"/>
                <w:b/>
                <w:color w:val="auto"/>
                <w:szCs w:val="21"/>
                <w:highlight w:val="none"/>
              </w:rPr>
              <w:t>合同公告</w:t>
            </w:r>
          </w:p>
        </w:tc>
        <w:tc>
          <w:tcPr>
            <w:tcW w:w="6536" w:type="dxa"/>
            <w:tcBorders>
              <w:top w:val="single" w:color="000000" w:sz="8" w:space="0"/>
              <w:left w:val="single" w:color="000000" w:sz="2" w:space="0"/>
              <w:bottom w:val="single" w:color="000000" w:sz="8" w:space="0"/>
              <w:right w:val="single" w:color="000000" w:sz="8" w:space="0"/>
            </w:tcBorders>
            <w:vAlign w:val="center"/>
          </w:tcPr>
          <w:p w14:paraId="497AFABC">
            <w:pPr>
              <w:autoSpaceDE w:val="0"/>
              <w:autoSpaceDN w:val="0"/>
              <w:snapToGrid w:val="0"/>
              <w:spacing w:line="460" w:lineRule="exact"/>
              <w:ind w:left="42" w:leftChars="20" w:right="42" w:rightChars="20" w:firstLine="0" w:firstLineChars="0"/>
              <w:textAlignment w:val="bottom"/>
              <w:rPr>
                <w:rFonts w:hint="eastAsia" w:ascii="微软雅黑" w:hAnsi="微软雅黑" w:cs="微软雅黑"/>
                <w:strike/>
                <w:color w:val="auto"/>
                <w:kern w:val="28"/>
                <w:szCs w:val="21"/>
                <w:highlight w:val="none"/>
              </w:rPr>
            </w:pPr>
            <w:r>
              <w:rPr>
                <w:rFonts w:hint="eastAsia" w:ascii="微软雅黑" w:hAnsi="微软雅黑" w:cs="微软雅黑"/>
                <w:color w:val="auto"/>
                <w:szCs w:val="21"/>
                <w:highlight w:val="none"/>
              </w:rPr>
              <w:t>本项目政府采购合同将于签订之日起2个工作日内发布于浙江政府采购网，但政府采购合同中涉及国家秘密、商业秘密的内容除外。</w:t>
            </w:r>
          </w:p>
        </w:tc>
      </w:tr>
      <w:tr w14:paraId="6A29F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727" w:type="dxa"/>
            <w:tcBorders>
              <w:top w:val="single" w:color="auto" w:sz="4" w:space="0"/>
              <w:left w:val="single" w:color="000000" w:sz="8" w:space="0"/>
              <w:bottom w:val="single" w:color="auto" w:sz="4" w:space="0"/>
              <w:right w:val="single" w:color="000000" w:sz="2" w:space="0"/>
            </w:tcBorders>
            <w:vAlign w:val="center"/>
          </w:tcPr>
          <w:p w14:paraId="26B9998E">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17</w:t>
            </w:r>
          </w:p>
        </w:tc>
        <w:tc>
          <w:tcPr>
            <w:tcW w:w="1872" w:type="dxa"/>
            <w:tcBorders>
              <w:top w:val="single" w:color="000000" w:sz="8" w:space="0"/>
              <w:left w:val="single" w:color="000000" w:sz="2" w:space="0"/>
              <w:bottom w:val="single" w:color="000000" w:sz="8" w:space="0"/>
              <w:right w:val="single" w:color="000000" w:sz="8" w:space="0"/>
            </w:tcBorders>
            <w:vAlign w:val="center"/>
          </w:tcPr>
          <w:p w14:paraId="53334FD9">
            <w:pPr>
              <w:snapToGrid w:val="0"/>
              <w:spacing w:line="460" w:lineRule="exact"/>
              <w:ind w:firstLine="0" w:firstLineChars="0"/>
              <w:jc w:val="center"/>
              <w:rPr>
                <w:rFonts w:hint="eastAsia" w:ascii="微软雅黑" w:hAnsi="微软雅黑" w:cs="微软雅黑"/>
                <w:b/>
                <w:strike/>
                <w:color w:val="auto"/>
                <w:szCs w:val="21"/>
                <w:highlight w:val="none"/>
              </w:rPr>
            </w:pPr>
            <w:r>
              <w:rPr>
                <w:rFonts w:hint="eastAsia" w:ascii="微软雅黑" w:hAnsi="微软雅黑" w:cs="微软雅黑"/>
                <w:b/>
                <w:color w:val="auto"/>
                <w:szCs w:val="21"/>
                <w:highlight w:val="none"/>
              </w:rPr>
              <w:t>本项目预算金额</w:t>
            </w:r>
          </w:p>
        </w:tc>
        <w:tc>
          <w:tcPr>
            <w:tcW w:w="6536" w:type="dxa"/>
            <w:tcBorders>
              <w:top w:val="single" w:color="000000" w:sz="8" w:space="0"/>
              <w:left w:val="single" w:color="000000" w:sz="2" w:space="0"/>
              <w:bottom w:val="single" w:color="000000" w:sz="8" w:space="0"/>
              <w:right w:val="single" w:color="000000" w:sz="8" w:space="0"/>
            </w:tcBorders>
            <w:vAlign w:val="center"/>
          </w:tcPr>
          <w:p w14:paraId="0BF6AD22">
            <w:pPr>
              <w:spacing w:line="460" w:lineRule="exact"/>
              <w:ind w:left="42" w:leftChars="20" w:right="42" w:rightChars="20" w:firstLine="0" w:firstLineChars="0"/>
              <w:rPr>
                <w:rFonts w:hint="eastAsia" w:ascii="微软雅黑" w:hAnsi="微软雅黑" w:cs="微软雅黑"/>
                <w:strike/>
                <w:color w:val="auto"/>
                <w:kern w:val="28"/>
                <w:szCs w:val="21"/>
                <w:highlight w:val="none"/>
              </w:rPr>
            </w:pPr>
            <w:r>
              <w:rPr>
                <w:rFonts w:hint="eastAsia" w:ascii="微软雅黑" w:hAnsi="微软雅黑" w:cs="微软雅黑"/>
                <w:color w:val="auto"/>
                <w:szCs w:val="21"/>
                <w:highlight w:val="none"/>
              </w:rPr>
              <w:t>预算价</w:t>
            </w:r>
            <w:r>
              <w:rPr>
                <w:rFonts w:hint="eastAsia" w:ascii="微软雅黑" w:hAnsi="微软雅黑" w:cs="微软雅黑"/>
                <w:color w:val="auto"/>
                <w:kern w:val="0"/>
                <w:szCs w:val="21"/>
                <w:highlight w:val="none"/>
                <w:lang w:val="en-US" w:eastAsia="zh-CN"/>
              </w:rPr>
              <w:t>1800000.00</w:t>
            </w:r>
            <w:r>
              <w:rPr>
                <w:rFonts w:hint="eastAsia" w:ascii="微软雅黑" w:hAnsi="微软雅黑" w:cs="微软雅黑"/>
                <w:color w:val="auto"/>
                <w:kern w:val="0"/>
                <w:szCs w:val="21"/>
                <w:highlight w:val="none"/>
              </w:rPr>
              <w:t>元</w:t>
            </w:r>
            <w:r>
              <w:rPr>
                <w:rFonts w:hint="eastAsia" w:ascii="微软雅黑" w:hAnsi="微软雅黑" w:cs="微软雅黑"/>
                <w:color w:val="auto"/>
                <w:szCs w:val="21"/>
                <w:highlight w:val="none"/>
              </w:rPr>
              <w:t>，</w:t>
            </w:r>
            <w:r>
              <w:rPr>
                <w:rFonts w:hint="eastAsia" w:ascii="微软雅黑" w:hAnsi="微软雅黑" w:cs="微软雅黑"/>
                <w:color w:val="auto"/>
                <w:szCs w:val="21"/>
                <w:highlight w:val="none"/>
                <w:lang w:val="en-US" w:eastAsia="zh-CN"/>
              </w:rPr>
              <w:t>上限价1650000.00</w:t>
            </w:r>
            <w:r>
              <w:rPr>
                <w:rFonts w:hint="eastAsia" w:ascii="微软雅黑" w:hAnsi="微软雅黑" w:cs="微软雅黑"/>
                <w:color w:val="auto"/>
                <w:szCs w:val="21"/>
                <w:highlight w:val="none"/>
              </w:rPr>
              <w:t>超</w:t>
            </w:r>
            <w:r>
              <w:rPr>
                <w:rFonts w:hint="eastAsia" w:ascii="微软雅黑" w:hAnsi="微软雅黑" w:cs="微软雅黑"/>
                <w:color w:val="auto"/>
                <w:szCs w:val="21"/>
                <w:highlight w:val="none"/>
                <w:lang w:val="en-US" w:eastAsia="zh-CN"/>
              </w:rPr>
              <w:t>上限</w:t>
            </w:r>
            <w:r>
              <w:rPr>
                <w:rFonts w:hint="eastAsia" w:ascii="微软雅黑" w:hAnsi="微软雅黑" w:cs="微软雅黑"/>
                <w:color w:val="auto"/>
                <w:szCs w:val="21"/>
                <w:highlight w:val="none"/>
              </w:rPr>
              <w:t>价的投标文件无效。</w:t>
            </w:r>
          </w:p>
        </w:tc>
      </w:tr>
      <w:tr w14:paraId="3C20A4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727" w:type="dxa"/>
            <w:tcBorders>
              <w:top w:val="single" w:color="auto" w:sz="4" w:space="0"/>
              <w:left w:val="single" w:color="000000" w:sz="8" w:space="0"/>
              <w:bottom w:val="single" w:color="auto" w:sz="4" w:space="0"/>
              <w:right w:val="single" w:color="000000" w:sz="2" w:space="0"/>
            </w:tcBorders>
            <w:vAlign w:val="center"/>
          </w:tcPr>
          <w:p w14:paraId="04935366">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18</w:t>
            </w:r>
          </w:p>
        </w:tc>
        <w:tc>
          <w:tcPr>
            <w:tcW w:w="1872" w:type="dxa"/>
            <w:tcBorders>
              <w:top w:val="single" w:color="000000" w:sz="8" w:space="0"/>
              <w:left w:val="single" w:color="000000" w:sz="2" w:space="0"/>
              <w:bottom w:val="single" w:color="000000" w:sz="8" w:space="0"/>
              <w:right w:val="single" w:color="000000" w:sz="8" w:space="0"/>
            </w:tcBorders>
            <w:vAlign w:val="center"/>
          </w:tcPr>
          <w:p w14:paraId="36275CD4">
            <w:pPr>
              <w:snapToGrid w:val="0"/>
              <w:spacing w:line="460" w:lineRule="exact"/>
              <w:ind w:firstLine="0" w:firstLineChars="0"/>
              <w:jc w:val="center"/>
              <w:rPr>
                <w:rFonts w:hint="eastAsia" w:ascii="微软雅黑" w:hAnsi="微软雅黑" w:cs="微软雅黑"/>
                <w:b/>
                <w:strike/>
                <w:color w:val="auto"/>
                <w:szCs w:val="21"/>
                <w:highlight w:val="none"/>
              </w:rPr>
            </w:pPr>
            <w:r>
              <w:rPr>
                <w:rFonts w:hint="eastAsia" w:ascii="微软雅黑" w:hAnsi="微软雅黑" w:cs="微软雅黑"/>
                <w:b/>
                <w:color w:val="auto"/>
                <w:szCs w:val="21"/>
                <w:highlight w:val="none"/>
              </w:rPr>
              <w:t>投标文件有效期</w:t>
            </w:r>
          </w:p>
        </w:tc>
        <w:tc>
          <w:tcPr>
            <w:tcW w:w="6536" w:type="dxa"/>
            <w:tcBorders>
              <w:top w:val="single" w:color="000000" w:sz="8" w:space="0"/>
              <w:left w:val="single" w:color="000000" w:sz="2" w:space="0"/>
              <w:bottom w:val="single" w:color="000000" w:sz="8" w:space="0"/>
              <w:right w:val="single" w:color="000000" w:sz="8" w:space="0"/>
            </w:tcBorders>
            <w:vAlign w:val="center"/>
          </w:tcPr>
          <w:p w14:paraId="7B24E995">
            <w:pPr>
              <w:autoSpaceDE w:val="0"/>
              <w:autoSpaceDN w:val="0"/>
              <w:snapToGrid w:val="0"/>
              <w:spacing w:line="460" w:lineRule="exact"/>
              <w:ind w:left="42" w:leftChars="20" w:right="42" w:rightChars="20" w:firstLine="0" w:firstLineChars="0"/>
              <w:textAlignment w:val="bottom"/>
              <w:rPr>
                <w:rFonts w:hint="eastAsia" w:ascii="微软雅黑" w:hAnsi="微软雅黑" w:cs="微软雅黑"/>
                <w:strike/>
                <w:color w:val="auto"/>
                <w:kern w:val="28"/>
                <w:szCs w:val="21"/>
                <w:highlight w:val="none"/>
              </w:rPr>
            </w:pPr>
            <w:r>
              <w:rPr>
                <w:rFonts w:hint="eastAsia" w:ascii="微软雅黑" w:hAnsi="微软雅黑" w:cs="微软雅黑"/>
                <w:color w:val="auto"/>
                <w:szCs w:val="21"/>
                <w:highlight w:val="none"/>
                <w:u w:val="single"/>
              </w:rPr>
              <w:t>90</w:t>
            </w:r>
            <w:r>
              <w:rPr>
                <w:rFonts w:hint="eastAsia" w:ascii="微软雅黑" w:hAnsi="微软雅黑" w:cs="微软雅黑"/>
                <w:color w:val="auto"/>
                <w:szCs w:val="21"/>
                <w:highlight w:val="none"/>
              </w:rPr>
              <w:t>天</w:t>
            </w:r>
          </w:p>
        </w:tc>
      </w:tr>
      <w:tr w14:paraId="560D99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89" w:hRule="atLeast"/>
          <w:tblHeader/>
          <w:jc w:val="center"/>
        </w:trPr>
        <w:tc>
          <w:tcPr>
            <w:tcW w:w="727" w:type="dxa"/>
            <w:tcBorders>
              <w:top w:val="single" w:color="auto" w:sz="4" w:space="0"/>
              <w:left w:val="single" w:color="000000" w:sz="8" w:space="0"/>
              <w:bottom w:val="single" w:color="auto" w:sz="4" w:space="0"/>
              <w:right w:val="single" w:color="000000" w:sz="2" w:space="0"/>
            </w:tcBorders>
            <w:vAlign w:val="center"/>
          </w:tcPr>
          <w:p w14:paraId="5B7FB3C4">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19</w:t>
            </w:r>
          </w:p>
        </w:tc>
        <w:tc>
          <w:tcPr>
            <w:tcW w:w="1872" w:type="dxa"/>
            <w:tcBorders>
              <w:top w:val="single" w:color="000000" w:sz="8" w:space="0"/>
              <w:left w:val="single" w:color="000000" w:sz="2" w:space="0"/>
              <w:bottom w:val="single" w:color="000000" w:sz="8" w:space="0"/>
              <w:right w:val="single" w:color="000000" w:sz="8" w:space="0"/>
            </w:tcBorders>
            <w:vAlign w:val="center"/>
          </w:tcPr>
          <w:p w14:paraId="6E40783E">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中小企业预留份额情况</w:t>
            </w:r>
          </w:p>
        </w:tc>
        <w:tc>
          <w:tcPr>
            <w:tcW w:w="6536" w:type="dxa"/>
            <w:tcBorders>
              <w:top w:val="single" w:color="000000" w:sz="8" w:space="0"/>
              <w:left w:val="single" w:color="000000" w:sz="2" w:space="0"/>
              <w:bottom w:val="single" w:color="000000" w:sz="8" w:space="0"/>
              <w:right w:val="single" w:color="000000" w:sz="8" w:space="0"/>
            </w:tcBorders>
            <w:vAlign w:val="center"/>
          </w:tcPr>
          <w:p w14:paraId="07277170">
            <w:pPr>
              <w:spacing w:line="460" w:lineRule="exact"/>
              <w:ind w:left="42" w:leftChars="20" w:right="42" w:rightChars="20"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szCs w:val="21"/>
                <w:highlight w:val="none"/>
              </w:rPr>
              <w:t>根据《政府采购促进中小企业发展管理办法》财库〔2020〕46号文件的规定，本项目属于预留份额专门面向中小企业采购的项目。</w:t>
            </w:r>
          </w:p>
        </w:tc>
      </w:tr>
      <w:tr w14:paraId="65E863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jc w:val="center"/>
        </w:trPr>
        <w:tc>
          <w:tcPr>
            <w:tcW w:w="727" w:type="dxa"/>
            <w:tcBorders>
              <w:top w:val="single" w:color="auto" w:sz="4" w:space="0"/>
              <w:left w:val="single" w:color="000000" w:sz="8" w:space="0"/>
              <w:bottom w:val="single" w:color="auto" w:sz="4" w:space="0"/>
              <w:right w:val="single" w:color="000000" w:sz="2" w:space="0"/>
            </w:tcBorders>
            <w:vAlign w:val="center"/>
          </w:tcPr>
          <w:p w14:paraId="05CD951D">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20</w:t>
            </w:r>
          </w:p>
        </w:tc>
        <w:tc>
          <w:tcPr>
            <w:tcW w:w="1872" w:type="dxa"/>
            <w:tcBorders>
              <w:top w:val="single" w:color="000000" w:sz="8" w:space="0"/>
              <w:left w:val="single" w:color="000000" w:sz="2" w:space="0"/>
              <w:bottom w:val="single" w:color="000000" w:sz="8" w:space="0"/>
              <w:right w:val="single" w:color="000000" w:sz="8" w:space="0"/>
            </w:tcBorders>
            <w:vAlign w:val="center"/>
          </w:tcPr>
          <w:p w14:paraId="1BD823CD">
            <w:pPr>
              <w:tabs>
                <w:tab w:val="center" w:pos="954"/>
                <w:tab w:val="right" w:pos="1787"/>
              </w:tabs>
              <w:snapToGrid w:val="0"/>
              <w:spacing w:line="460" w:lineRule="exact"/>
              <w:ind w:firstLine="0" w:firstLineChars="0"/>
              <w:rPr>
                <w:rFonts w:hint="eastAsia" w:ascii="微软雅黑" w:hAnsi="微软雅黑" w:cs="微软雅黑"/>
                <w:b/>
                <w:strike/>
                <w:color w:val="auto"/>
                <w:szCs w:val="21"/>
                <w:highlight w:val="none"/>
              </w:rPr>
            </w:pPr>
            <w:r>
              <w:rPr>
                <w:rFonts w:hint="eastAsia" w:ascii="微软雅黑" w:hAnsi="微软雅黑" w:cs="微软雅黑"/>
                <w:b/>
                <w:color w:val="auto"/>
                <w:szCs w:val="21"/>
                <w:highlight w:val="none"/>
              </w:rPr>
              <w:tab/>
            </w:r>
            <w:r>
              <w:rPr>
                <w:rFonts w:hint="eastAsia" w:ascii="微软雅黑" w:hAnsi="微软雅黑" w:cs="微软雅黑"/>
                <w:b/>
                <w:color w:val="auto"/>
                <w:szCs w:val="21"/>
                <w:highlight w:val="none"/>
              </w:rPr>
              <w:t>政策优惠</w:t>
            </w:r>
            <w:r>
              <w:rPr>
                <w:rFonts w:hint="eastAsia" w:ascii="微软雅黑" w:hAnsi="微软雅黑" w:cs="微软雅黑"/>
                <w:b/>
                <w:color w:val="auto"/>
                <w:szCs w:val="21"/>
                <w:highlight w:val="none"/>
              </w:rPr>
              <w:tab/>
            </w:r>
          </w:p>
        </w:tc>
        <w:tc>
          <w:tcPr>
            <w:tcW w:w="6536" w:type="dxa"/>
            <w:tcBorders>
              <w:top w:val="single" w:color="000000" w:sz="8" w:space="0"/>
              <w:left w:val="single" w:color="000000" w:sz="2" w:space="0"/>
              <w:bottom w:val="single" w:color="000000" w:sz="8" w:space="0"/>
              <w:right w:val="single" w:color="000000" w:sz="8" w:space="0"/>
            </w:tcBorders>
            <w:vAlign w:val="center"/>
          </w:tcPr>
          <w:p w14:paraId="1FAE2C8F">
            <w:pPr>
              <w:autoSpaceDE w:val="0"/>
              <w:autoSpaceDN w:val="0"/>
              <w:snapToGrid w:val="0"/>
              <w:spacing w:line="460" w:lineRule="exact"/>
              <w:ind w:left="42" w:leftChars="20" w:right="42" w:rightChars="20" w:firstLine="0" w:firstLineChars="0"/>
              <w:textAlignment w:val="bottom"/>
              <w:rPr>
                <w:rFonts w:hint="eastAsia" w:ascii="微软雅黑" w:hAnsi="微软雅黑" w:cs="微软雅黑"/>
                <w:snapToGrid w:val="0"/>
                <w:color w:val="auto"/>
                <w:kern w:val="0"/>
                <w:szCs w:val="21"/>
                <w:highlight w:val="none"/>
              </w:rPr>
            </w:pPr>
            <w:r>
              <w:rPr>
                <w:rFonts w:hint="eastAsia" w:ascii="微软雅黑" w:hAnsi="微软雅黑" w:cs="微软雅黑"/>
                <w:color w:val="auto"/>
                <w:szCs w:val="21"/>
                <w:highlight w:val="none"/>
              </w:rPr>
              <w:t>1.根据财库〔2020〕46号、财库〔2022〕19号等相关规定，在评审时对于未预留份额专门面向中小企业的政府采购货物或服务项目，以及预留份额政府采购货物或服务项目中的非预留部分标项，对小型和微型企业的</w:t>
            </w:r>
            <w:r>
              <w:rPr>
                <w:rFonts w:hint="eastAsia" w:ascii="微软雅黑" w:hAnsi="微软雅黑" w:cs="微软雅黑"/>
                <w:color w:val="auto"/>
                <w:szCs w:val="21"/>
                <w:highlight w:val="none"/>
                <w:lang w:val="en"/>
              </w:rPr>
              <w:t>投标报价给予20%的扣除</w:t>
            </w:r>
            <w:r>
              <w:rPr>
                <w:rFonts w:hint="eastAsia" w:ascii="微软雅黑" w:hAnsi="微软雅黑" w:cs="微软雅黑"/>
                <w:color w:val="auto"/>
                <w:szCs w:val="21"/>
                <w:highlight w:val="none"/>
              </w:rPr>
              <w:t>，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40%以上的，对联合体或者大中型企业的报价给予</w:t>
            </w:r>
            <w:r>
              <w:rPr>
                <w:rFonts w:hint="eastAsia" w:ascii="微软雅黑" w:hAnsi="微软雅黑" w:cs="微软雅黑"/>
                <w:color w:val="auto"/>
                <w:szCs w:val="21"/>
                <w:highlight w:val="none"/>
                <w:lang w:val="en"/>
              </w:rPr>
              <w:t>6</w:t>
            </w:r>
            <w:r>
              <w:rPr>
                <w:rFonts w:hint="eastAsia" w:ascii="微软雅黑" w:hAnsi="微软雅黑" w:cs="微软雅黑"/>
                <w:color w:val="auto"/>
                <w:szCs w:val="21"/>
                <w:highlight w:val="none"/>
              </w:rPr>
              <w:t>%的扣除，用扣除后的价格参加评审。组成联合体或者接受分包的小微企业与联合体内其他企业、分包企业之间存在直接控股、管理关系的，不享受价格扣除优惠政策。属于小微企业的，投标文件必须提供《中小企业声明函》（模板见第六章）。</w:t>
            </w:r>
          </w:p>
          <w:p w14:paraId="3DB7C4AA">
            <w:pPr>
              <w:tabs>
                <w:tab w:val="left" w:pos="3870"/>
                <w:tab w:val="left" w:pos="4085"/>
              </w:tabs>
              <w:snapToGrid w:val="0"/>
              <w:spacing w:line="460" w:lineRule="exact"/>
              <w:ind w:left="42" w:leftChars="20" w:right="42" w:rightChars="20" w:firstLine="0" w:firstLineChars="0"/>
              <w:rPr>
                <w:rFonts w:hint="eastAsia" w:ascii="微软雅黑" w:hAnsi="微软雅黑" w:cs="微软雅黑"/>
                <w:snapToGrid w:val="0"/>
                <w:color w:val="auto"/>
                <w:kern w:val="0"/>
                <w:szCs w:val="21"/>
                <w:highlight w:val="none"/>
              </w:rPr>
            </w:pPr>
            <w:r>
              <w:rPr>
                <w:rFonts w:hint="eastAsia" w:ascii="微软雅黑" w:hAnsi="微软雅黑" w:cs="微软雅黑"/>
                <w:snapToGrid w:val="0"/>
                <w:color w:val="auto"/>
                <w:kern w:val="0"/>
                <w:szCs w:val="21"/>
                <w:highlight w:val="none"/>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64B38D9C">
            <w:pPr>
              <w:autoSpaceDE w:val="0"/>
              <w:autoSpaceDN w:val="0"/>
              <w:snapToGrid w:val="0"/>
              <w:spacing w:line="460" w:lineRule="exact"/>
              <w:ind w:left="42" w:leftChars="20" w:right="42" w:rightChars="20" w:firstLine="0" w:firstLineChars="0"/>
              <w:textAlignment w:val="bottom"/>
              <w:rPr>
                <w:rFonts w:hint="eastAsia" w:ascii="微软雅黑" w:hAnsi="微软雅黑" w:cs="微软雅黑"/>
                <w:strike/>
                <w:color w:val="auto"/>
                <w:kern w:val="28"/>
                <w:szCs w:val="21"/>
                <w:highlight w:val="none"/>
              </w:rPr>
            </w:pPr>
            <w:r>
              <w:rPr>
                <w:rFonts w:hint="eastAsia" w:ascii="微软雅黑" w:hAnsi="微软雅黑" w:cs="微软雅黑"/>
                <w:snapToGrid w:val="0"/>
                <w:color w:val="auto"/>
                <w:kern w:val="0"/>
                <w:szCs w:val="21"/>
                <w:highlight w:val="none"/>
              </w:rPr>
              <w:t>3.监狱企业同视为小型、微型企业，享受中小企业政策扶持。</w:t>
            </w:r>
          </w:p>
        </w:tc>
      </w:tr>
      <w:tr w14:paraId="09BAC4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4" w:hRule="atLeast"/>
          <w:tblHeader/>
          <w:jc w:val="center"/>
        </w:trPr>
        <w:tc>
          <w:tcPr>
            <w:tcW w:w="727" w:type="dxa"/>
            <w:tcBorders>
              <w:top w:val="single" w:color="auto" w:sz="4" w:space="0"/>
              <w:left w:val="single" w:color="000000" w:sz="8" w:space="0"/>
              <w:bottom w:val="single" w:color="auto" w:sz="4" w:space="0"/>
              <w:right w:val="single" w:color="000000" w:sz="2" w:space="0"/>
            </w:tcBorders>
            <w:vAlign w:val="center"/>
          </w:tcPr>
          <w:p w14:paraId="2F120784">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21</w:t>
            </w:r>
          </w:p>
        </w:tc>
        <w:tc>
          <w:tcPr>
            <w:tcW w:w="1872" w:type="dxa"/>
            <w:tcBorders>
              <w:top w:val="single" w:color="000000" w:sz="8" w:space="0"/>
              <w:left w:val="single" w:color="000000" w:sz="2" w:space="0"/>
              <w:bottom w:val="single" w:color="000000" w:sz="8" w:space="0"/>
              <w:right w:val="single" w:color="000000" w:sz="8" w:space="0"/>
            </w:tcBorders>
            <w:vAlign w:val="center"/>
          </w:tcPr>
          <w:p w14:paraId="772507BE">
            <w:pPr>
              <w:snapToGrid w:val="0"/>
              <w:spacing w:line="460" w:lineRule="exact"/>
              <w:ind w:firstLine="0" w:firstLineChars="0"/>
              <w:jc w:val="center"/>
              <w:rPr>
                <w:rFonts w:hint="eastAsia" w:ascii="微软雅黑" w:hAnsi="微软雅黑" w:cs="微软雅黑"/>
                <w:b/>
                <w:strike/>
                <w:color w:val="auto"/>
                <w:szCs w:val="21"/>
                <w:highlight w:val="none"/>
              </w:rPr>
            </w:pPr>
            <w:r>
              <w:rPr>
                <w:rFonts w:hint="eastAsia" w:ascii="微软雅黑" w:hAnsi="微软雅黑" w:cs="微软雅黑"/>
                <w:b/>
                <w:color w:val="auto"/>
                <w:szCs w:val="21"/>
                <w:highlight w:val="none"/>
              </w:rPr>
              <w:t>特别说明</w:t>
            </w:r>
          </w:p>
        </w:tc>
        <w:tc>
          <w:tcPr>
            <w:tcW w:w="6536" w:type="dxa"/>
            <w:tcBorders>
              <w:top w:val="single" w:color="000000" w:sz="8" w:space="0"/>
              <w:left w:val="single" w:color="000000" w:sz="2" w:space="0"/>
              <w:bottom w:val="single" w:color="000000" w:sz="8" w:space="0"/>
              <w:right w:val="single" w:color="000000" w:sz="8" w:space="0"/>
            </w:tcBorders>
            <w:vAlign w:val="center"/>
          </w:tcPr>
          <w:p w14:paraId="0045A144">
            <w:pPr>
              <w:autoSpaceDE w:val="0"/>
              <w:autoSpaceDN w:val="0"/>
              <w:snapToGrid w:val="0"/>
              <w:spacing w:line="460" w:lineRule="exact"/>
              <w:ind w:left="42" w:leftChars="20" w:right="42" w:rightChars="20" w:firstLine="0" w:firstLineChars="0"/>
              <w:textAlignment w:val="bottom"/>
              <w:rPr>
                <w:rFonts w:hint="eastAsia" w:ascii="微软雅黑" w:hAnsi="微软雅黑" w:cs="微软雅黑"/>
                <w:strike/>
                <w:color w:val="auto"/>
                <w:kern w:val="28"/>
                <w:szCs w:val="21"/>
                <w:highlight w:val="none"/>
              </w:rPr>
            </w:pPr>
            <w:r>
              <w:rPr>
                <w:rFonts w:hint="eastAsia" w:ascii="微软雅黑" w:hAnsi="微软雅黑" w:cs="微软雅黑"/>
                <w:snapToGrid w:val="0"/>
                <w:color w:val="auto"/>
                <w:kern w:val="0"/>
                <w:szCs w:val="21"/>
                <w:highlight w:val="none"/>
              </w:rPr>
              <w:t>本招标文件的解释权属于采购人</w:t>
            </w:r>
          </w:p>
        </w:tc>
      </w:tr>
    </w:tbl>
    <w:p w14:paraId="3B2A2657">
      <w:pPr>
        <w:pStyle w:val="3"/>
        <w:keepNext w:val="0"/>
        <w:keepLines w:val="0"/>
        <w:spacing w:line="500" w:lineRule="exact"/>
        <w:ind w:firstLine="420"/>
        <w:rPr>
          <w:rFonts w:hint="eastAsia" w:ascii="微软雅黑" w:hAnsi="微软雅黑"/>
          <w:color w:val="auto"/>
          <w:szCs w:val="21"/>
          <w:highlight w:val="none"/>
        </w:rPr>
      </w:pPr>
      <w:bookmarkStart w:id="36" w:name="_Toc493511580"/>
      <w:bookmarkStart w:id="37" w:name="_Toc26655"/>
      <w:bookmarkStart w:id="38" w:name="_Toc177870536"/>
      <w:r>
        <w:rPr>
          <w:rFonts w:hint="eastAsia" w:ascii="微软雅黑" w:hAnsi="微软雅黑"/>
          <w:color w:val="auto"/>
          <w:szCs w:val="21"/>
          <w:highlight w:val="none"/>
        </w:rPr>
        <w:t>一、总  则</w:t>
      </w:r>
      <w:bookmarkEnd w:id="36"/>
      <w:bookmarkEnd w:id="37"/>
      <w:bookmarkEnd w:id="38"/>
    </w:p>
    <w:p w14:paraId="1ABD259A">
      <w:pPr>
        <w:snapToGrid w:val="0"/>
        <w:spacing w:line="460" w:lineRule="exact"/>
        <w:ind w:firstLine="420"/>
        <w:outlineLvl w:val="2"/>
        <w:rPr>
          <w:rFonts w:hint="eastAsia" w:ascii="微软雅黑" w:hAnsi="微软雅黑" w:cs="微软雅黑"/>
          <w:b/>
          <w:color w:val="auto"/>
          <w:szCs w:val="21"/>
          <w:highlight w:val="none"/>
        </w:rPr>
      </w:pPr>
      <w:bookmarkStart w:id="39" w:name="_Toc169015114"/>
      <w:bookmarkStart w:id="40" w:name="_Toc164943190"/>
      <w:bookmarkStart w:id="41" w:name="_Toc397670948"/>
      <w:bookmarkStart w:id="42" w:name="_Toc397670919"/>
      <w:bookmarkStart w:id="43" w:name="_Toc493511613"/>
      <w:bookmarkStart w:id="44" w:name="_Toc177870544"/>
      <w:r>
        <w:rPr>
          <w:rFonts w:hint="eastAsia" w:ascii="微软雅黑" w:hAnsi="微软雅黑"/>
          <w:b/>
          <w:color w:val="auto"/>
          <w:szCs w:val="21"/>
          <w:highlight w:val="none"/>
        </w:rPr>
        <w:t>（一）</w:t>
      </w:r>
      <w:r>
        <w:rPr>
          <w:rFonts w:hint="eastAsia" w:ascii="微软雅黑" w:hAnsi="微软雅黑" w:cs="微软雅黑"/>
          <w:b/>
          <w:color w:val="auto"/>
          <w:szCs w:val="21"/>
          <w:highlight w:val="none"/>
        </w:rPr>
        <w:t>适用范围</w:t>
      </w:r>
      <w:bookmarkEnd w:id="39"/>
      <w:bookmarkEnd w:id="40"/>
    </w:p>
    <w:p w14:paraId="27C92536">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本招标文件适用于该项目的招标、投标、评标、定标、验收、合同履约、付款等行为（法律、法规另有规定的，从其规定）。</w:t>
      </w:r>
    </w:p>
    <w:p w14:paraId="24D9201D">
      <w:pPr>
        <w:snapToGrid w:val="0"/>
        <w:spacing w:line="460" w:lineRule="exact"/>
        <w:ind w:firstLine="420"/>
        <w:outlineLvl w:val="2"/>
        <w:rPr>
          <w:rFonts w:hint="eastAsia" w:ascii="微软雅黑" w:hAnsi="微软雅黑" w:cs="微软雅黑"/>
          <w:b/>
          <w:color w:val="auto"/>
          <w:szCs w:val="21"/>
          <w:highlight w:val="none"/>
        </w:rPr>
      </w:pPr>
      <w:bookmarkStart w:id="45" w:name="_Toc164943191"/>
      <w:bookmarkStart w:id="46" w:name="_Toc169015115"/>
      <w:r>
        <w:rPr>
          <w:rFonts w:hint="eastAsia" w:ascii="微软雅黑" w:hAnsi="微软雅黑" w:cs="微软雅黑"/>
          <w:b/>
          <w:color w:val="auto"/>
          <w:szCs w:val="21"/>
          <w:highlight w:val="none"/>
        </w:rPr>
        <w:t>（二）定义</w:t>
      </w:r>
      <w:bookmarkEnd w:id="45"/>
      <w:bookmarkEnd w:id="46"/>
    </w:p>
    <w:p w14:paraId="2D55F611">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1.“采购人”系指招标公告中载明的本项目的采购人。</w:t>
      </w:r>
    </w:p>
    <w:p w14:paraId="38A90B0A">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2.“采购代理机构”系指招标公告中载明的本项目的采购代理机构</w:t>
      </w:r>
    </w:p>
    <w:p w14:paraId="42B958B4">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”系指是指响应招标、参加投标竞争的法人、其他组织或者自然人。</w:t>
      </w:r>
    </w:p>
    <w:p w14:paraId="55A71C29">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4.“负责人”系指法人企业的法定负责人，或其他组织为法律、行政法规规定代表单位行使职权的主要负责人，或自然人本人。</w:t>
      </w:r>
    </w:p>
    <w:p w14:paraId="4116EC97">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5.“产品”系指供方按招标文件规定，须向采购人提供的一切设备、保险、税金、备品备件、工具、手册及其他有关技术资料和材料。</w:t>
      </w:r>
    </w:p>
    <w:p w14:paraId="4A8870A1">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6.“服务”系指招标文件规定投标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须承担的安装、调试、技术协助、校准、培训、技术指导以及其他类似的义务。</w:t>
      </w:r>
    </w:p>
    <w:p w14:paraId="243743B4">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7.“项目”系指投标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按招标文件规定向采购人提供的产品和服务。</w:t>
      </w:r>
    </w:p>
    <w:p w14:paraId="2BF4DCFF">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8.“书面形式”包括信函、传真、电报等。</w:t>
      </w:r>
    </w:p>
    <w:p w14:paraId="0FEBB034">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9.“电子签名”系指数据电文中以电子形式所含、所附用于识别签名人身份并表明签名人认可其中内容的数据；“公章”系指单位法定名称章。</w:t>
      </w:r>
    </w:p>
    <w:p w14:paraId="5076F4E3">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10.“电子交易平台”是指本项目政府采购活动所依托的政府采购云平台（https://zfcg.czt.zj.gov.cn/）。</w:t>
      </w:r>
    </w:p>
    <w:p w14:paraId="5F90E588">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11.“▲”系指实质性要求条款，不满足实行性要求条款的投标文件无效。“★”系指产品采购项目中核心产品。“</w:t>
      </w:r>
      <w:r>
        <w:rPr>
          <w:rFonts w:hint="eastAsia" w:ascii="微软雅黑" w:hAnsi="微软雅黑" w:cs="微软雅黑"/>
          <w:color w:val="auto"/>
          <w:kern w:val="0"/>
          <w:szCs w:val="21"/>
          <w:highlight w:val="none"/>
        </w:rPr>
        <w:t></w:t>
      </w:r>
      <w:r>
        <w:rPr>
          <w:rFonts w:hint="eastAsia" w:ascii="微软雅黑" w:hAnsi="微软雅黑" w:cs="微软雅黑"/>
          <w:color w:val="auto"/>
          <w:szCs w:val="21"/>
          <w:highlight w:val="none"/>
        </w:rPr>
        <w:t>” 系指适用本项目的要求，“</w:t>
      </w:r>
      <w:r>
        <w:rPr>
          <w:rFonts w:hint="eastAsia" w:ascii="微软雅黑" w:hAnsi="微软雅黑" w:cs="微软雅黑"/>
          <w:color w:val="auto"/>
          <w:szCs w:val="21"/>
          <w:highlight w:val="none"/>
        </w:rPr>
        <w:sym w:font="Wingdings" w:char="00A8"/>
      </w:r>
      <w:r>
        <w:rPr>
          <w:rFonts w:hint="eastAsia" w:ascii="微软雅黑" w:hAnsi="微软雅黑" w:cs="微软雅黑"/>
          <w:color w:val="auto"/>
          <w:szCs w:val="21"/>
          <w:highlight w:val="none"/>
        </w:rPr>
        <w:t>” 系指不适用本项目的要求。</w:t>
      </w:r>
    </w:p>
    <w:bookmarkEnd w:id="41"/>
    <w:bookmarkEnd w:id="42"/>
    <w:p w14:paraId="2D64CEAA">
      <w:pPr>
        <w:snapToGrid w:val="0"/>
        <w:spacing w:line="460" w:lineRule="exact"/>
        <w:ind w:firstLine="420"/>
        <w:outlineLvl w:val="2"/>
        <w:rPr>
          <w:rFonts w:hint="eastAsia" w:ascii="微软雅黑" w:hAnsi="微软雅黑" w:cs="微软雅黑"/>
          <w:b/>
          <w:color w:val="auto"/>
          <w:szCs w:val="21"/>
          <w:highlight w:val="none"/>
        </w:rPr>
      </w:pPr>
      <w:bookmarkStart w:id="47" w:name="_Toc164943192"/>
      <w:bookmarkStart w:id="48" w:name="_Toc169015116"/>
      <w:bookmarkStart w:id="49" w:name="_Toc397670920"/>
      <w:bookmarkStart w:id="50" w:name="_Toc397670949"/>
      <w:r>
        <w:rPr>
          <w:rFonts w:hint="eastAsia" w:ascii="微软雅黑" w:hAnsi="微软雅黑" w:cs="微软雅黑"/>
          <w:b/>
          <w:color w:val="auto"/>
          <w:szCs w:val="21"/>
          <w:highlight w:val="none"/>
        </w:rPr>
        <w:t>（三）采购方式</w:t>
      </w:r>
      <w:bookmarkEnd w:id="47"/>
      <w:bookmarkEnd w:id="48"/>
    </w:p>
    <w:p w14:paraId="0ABA5D38">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本次招标采用公开采购方式进行。</w:t>
      </w:r>
    </w:p>
    <w:bookmarkEnd w:id="49"/>
    <w:bookmarkEnd w:id="50"/>
    <w:p w14:paraId="5643F901">
      <w:pPr>
        <w:snapToGrid w:val="0"/>
        <w:spacing w:line="460" w:lineRule="exact"/>
        <w:ind w:firstLine="420"/>
        <w:outlineLvl w:val="2"/>
        <w:rPr>
          <w:rFonts w:hint="eastAsia" w:ascii="微软雅黑" w:hAnsi="微软雅黑" w:cs="微软雅黑"/>
          <w:b/>
          <w:color w:val="auto"/>
          <w:szCs w:val="21"/>
          <w:highlight w:val="none"/>
        </w:rPr>
      </w:pPr>
      <w:bookmarkStart w:id="51" w:name="_Toc397670950"/>
      <w:bookmarkStart w:id="52" w:name="_Toc164943193"/>
      <w:bookmarkStart w:id="53" w:name="_Toc397670921"/>
      <w:bookmarkStart w:id="54" w:name="_Toc169015117"/>
      <w:r>
        <w:rPr>
          <w:rFonts w:hint="eastAsia" w:ascii="微软雅黑" w:hAnsi="微软雅黑" w:cs="微软雅黑"/>
          <w:b/>
          <w:color w:val="auto"/>
          <w:szCs w:val="21"/>
          <w:highlight w:val="none"/>
        </w:rPr>
        <w:t>（四）投标费用</w:t>
      </w:r>
      <w:bookmarkEnd w:id="51"/>
      <w:bookmarkEnd w:id="52"/>
      <w:bookmarkEnd w:id="53"/>
      <w:bookmarkEnd w:id="54"/>
    </w:p>
    <w:p w14:paraId="21C2BB30">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不论投标结果如何，投标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均应自行承担所有与投标有关的全部费用（招标文件有相反规定除外）。</w:t>
      </w:r>
    </w:p>
    <w:p w14:paraId="7EDE047E">
      <w:pPr>
        <w:snapToGrid w:val="0"/>
        <w:spacing w:line="460" w:lineRule="exact"/>
        <w:ind w:firstLine="420"/>
        <w:outlineLvl w:val="2"/>
        <w:rPr>
          <w:rFonts w:hint="eastAsia" w:ascii="微软雅黑" w:hAnsi="微软雅黑" w:cs="微软雅黑"/>
          <w:b/>
          <w:color w:val="auto"/>
          <w:szCs w:val="21"/>
          <w:highlight w:val="none"/>
        </w:rPr>
      </w:pPr>
      <w:bookmarkStart w:id="55" w:name="_Toc164943194"/>
      <w:bookmarkStart w:id="56" w:name="_Toc169015118"/>
      <w:r>
        <w:rPr>
          <w:rFonts w:hint="eastAsia" w:ascii="微软雅黑" w:hAnsi="微软雅黑" w:cs="微软雅黑"/>
          <w:b/>
          <w:color w:val="auto"/>
          <w:szCs w:val="21"/>
          <w:highlight w:val="none"/>
        </w:rPr>
        <w:t>（五）相关政府采购政策</w:t>
      </w:r>
      <w:bookmarkEnd w:id="55"/>
      <w:bookmarkEnd w:id="56"/>
    </w:p>
    <w:p w14:paraId="48E2A986">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65CED1A">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2.支持绿色发展</w:t>
      </w:r>
    </w:p>
    <w:p w14:paraId="3F13DF0F">
      <w:pPr>
        <w:snapToGrid w:val="0"/>
        <w:spacing w:line="460" w:lineRule="exact"/>
        <w:ind w:firstLine="420"/>
        <w:rPr>
          <w:rFonts w:hint="eastAsia" w:ascii="微软雅黑" w:hAnsi="微软雅黑" w:cs="微软雅黑"/>
          <w:b/>
          <w:color w:val="auto"/>
          <w:szCs w:val="21"/>
          <w:highlight w:val="none"/>
        </w:rPr>
      </w:pPr>
      <w:r>
        <w:rPr>
          <w:rFonts w:hint="eastAsia" w:ascii="微软雅黑" w:hAnsi="微软雅黑" w:cs="微软雅黑"/>
          <w:color w:val="auto"/>
          <w:szCs w:val="21"/>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须按招标文件要求提供相关产品认证证书。▲</w:t>
      </w:r>
      <w:r>
        <w:rPr>
          <w:rFonts w:hint="eastAsia" w:ascii="微软雅黑" w:hAnsi="微软雅黑" w:cs="微软雅黑"/>
          <w:b/>
          <w:color w:val="auto"/>
          <w:szCs w:val="21"/>
          <w:highlight w:val="none"/>
        </w:rPr>
        <w:t>采购人拟采购的产品属于政府强制采购的节能产品品目清单范围的，投标</w:t>
      </w:r>
      <w:r>
        <w:rPr>
          <w:rFonts w:hint="eastAsia" w:ascii="微软雅黑" w:hAnsi="微软雅黑" w:cs="微软雅黑"/>
          <w:b/>
          <w:color w:val="auto"/>
          <w:szCs w:val="21"/>
          <w:highlight w:val="none"/>
          <w:lang w:eastAsia="zh-CN"/>
        </w:rPr>
        <w:t>投标人</w:t>
      </w:r>
      <w:r>
        <w:rPr>
          <w:rFonts w:hint="eastAsia" w:ascii="微软雅黑" w:hAnsi="微软雅黑" w:cs="微软雅黑"/>
          <w:b/>
          <w:color w:val="auto"/>
          <w:szCs w:val="21"/>
          <w:highlight w:val="none"/>
        </w:rPr>
        <w:t>未按招标文件要求提供国家确定的认证机构出具的、处于有效期之内的节能产品认证证书的，投标无效。</w:t>
      </w:r>
    </w:p>
    <w:p w14:paraId="13409934">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2.2 修缮、装修类项目采购建材的，采购人应将绿色建筑和绿色建材性能、指标等作为实质性条件纳入招标文件和合同。</w:t>
      </w:r>
    </w:p>
    <w:p w14:paraId="36AEA73E">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2.3为助力打好污染防治攻坚战，推广使用绿色包装，政府采购货物、工程和服务项目中涉及商品包装和快递包装的，</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提供产品及相关快递服务的具体包装要求要参考《商品包装政府采购需求标准（试行）》、《快递包装政府采购需求标准（试行）》。</w:t>
      </w:r>
    </w:p>
    <w:p w14:paraId="11D3FCCA">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3.支持中小企业发展</w:t>
      </w:r>
    </w:p>
    <w:p w14:paraId="18056DE0">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3231108D">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符合中小企业划分标准的个体工商户，在政府采购活动中视同中小企业。</w:t>
      </w:r>
    </w:p>
    <w:p w14:paraId="0A098718">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3.2在政府采购活动中，投标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提供的货物、工程或者服务符合下列情形的，享受中小企业扶持政策：</w:t>
      </w:r>
    </w:p>
    <w:p w14:paraId="72466D39">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3.2.1在货物采购项目中，货物由中小企业制造，即货物由中小企业生产且使用该中小企业商号或者注册商标；</w:t>
      </w:r>
    </w:p>
    <w:p w14:paraId="498CF27C">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3.2.2在工程采购项目中，工程由中小企业承建，即工程施工单位为中小企业；</w:t>
      </w:r>
    </w:p>
    <w:p w14:paraId="3D07DF20">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3.2.3在服务采购项目中，服务由中小企业承接，即提供服务的人员为中小企业依照《中华人民共和国劳动合同法》订立劳动合同的从业人员。</w:t>
      </w:r>
    </w:p>
    <w:p w14:paraId="510B7BE7">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在货物采购项目中，投标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提供的货物既有中小企业制造货物，也有大型企业制造货物的，不享受中小企业扶持政策。</w:t>
      </w:r>
    </w:p>
    <w:p w14:paraId="3FB0952D">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以联合体形式参加政府采购活动，联合体各方均为中小企业的，联合体视同中小企业。其中，联合体各方均为小微企业的，联合体视同小微企业。</w:t>
      </w:r>
    </w:p>
    <w:p w14:paraId="41F813CC">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3.3符合《关于促进残疾人就业政府采购政策的通知》（财库〔2017〕141号）规定的条件并提供《残疾人福利性单位声明函》（附件1）的残疾人福利性单位视同小型、微型企业；</w:t>
      </w:r>
    </w:p>
    <w:p w14:paraId="7088B666">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3.4符合《关于政府采购支持监狱企业发展有关问题的通知》（财库[2014]68号）规定的监狱企业并提供由省级以上监狱管理局、戒毒管理局（含新疆生产建设兵团）出具的属于监狱企业证明文件的，视同为小型、微型企业。</w:t>
      </w:r>
    </w:p>
    <w:p w14:paraId="74AEFF83">
      <w:pPr>
        <w:snapToGrid w:val="0"/>
        <w:spacing w:line="460" w:lineRule="exact"/>
        <w:ind w:firstLine="420"/>
        <w:rPr>
          <w:rFonts w:hint="eastAsia" w:ascii="微软雅黑" w:hAnsi="微软雅黑" w:cs="微软雅黑"/>
          <w:b/>
          <w:bCs/>
          <w:color w:val="auto"/>
          <w:szCs w:val="21"/>
          <w:highlight w:val="none"/>
        </w:rPr>
      </w:pPr>
      <w:r>
        <w:rPr>
          <w:rFonts w:hint="eastAsia" w:ascii="微软雅黑" w:hAnsi="微软雅黑" w:cs="微软雅黑"/>
          <w:color w:val="auto"/>
          <w:szCs w:val="21"/>
          <w:highlight w:val="none"/>
        </w:rPr>
        <w:t>3.5可享受中小企业扶持政策的投标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应按照招标文件格式要求提供《中小企业声明函》，投标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提供的《中小企业声明函》与实际情况不符的，不享受中小企业扶持政策。</w:t>
      </w:r>
      <w:r>
        <w:rPr>
          <w:rFonts w:hint="eastAsia" w:ascii="微软雅黑" w:hAnsi="微软雅黑" w:cs="微软雅黑"/>
          <w:b/>
          <w:bCs/>
          <w:color w:val="auto"/>
          <w:szCs w:val="21"/>
          <w:highlight w:val="none"/>
        </w:rPr>
        <w:t>声明内容不实的，属于提供虚假材料谋取中标、成交的，依法承担法律责任。</w:t>
      </w:r>
    </w:p>
    <w:p w14:paraId="7CE380CE">
      <w:pPr>
        <w:snapToGrid w:val="0"/>
        <w:spacing w:line="460" w:lineRule="exact"/>
        <w:ind w:firstLine="420"/>
        <w:rPr>
          <w:rFonts w:hint="eastAsia" w:ascii="微软雅黑" w:hAnsi="微软雅黑" w:cs="微软雅黑"/>
          <w:b/>
          <w:strike/>
          <w:color w:val="auto"/>
          <w:szCs w:val="21"/>
          <w:highlight w:val="none"/>
        </w:rPr>
      </w:pPr>
      <w:r>
        <w:rPr>
          <w:rFonts w:hint="eastAsia" w:ascii="微软雅黑" w:hAnsi="微软雅黑" w:cs="微软雅黑"/>
          <w:color w:val="auto"/>
          <w:szCs w:val="21"/>
          <w:highlight w:val="none"/>
        </w:rPr>
        <w:t>3.6中小企业享受扶持政策获得政府采购合同的，小微企业不得将合同分包给大中型企业，中型企业不得将合同分包给大型企业。</w:t>
      </w:r>
    </w:p>
    <w:p w14:paraId="0A02DC9D">
      <w:pPr>
        <w:snapToGrid w:val="0"/>
        <w:spacing w:line="460" w:lineRule="exact"/>
        <w:ind w:firstLine="420"/>
        <w:outlineLvl w:val="2"/>
        <w:rPr>
          <w:rFonts w:hint="eastAsia" w:ascii="微软雅黑" w:hAnsi="微软雅黑" w:cs="微软雅黑"/>
          <w:b/>
          <w:color w:val="auto"/>
          <w:szCs w:val="21"/>
          <w:highlight w:val="none"/>
        </w:rPr>
      </w:pPr>
      <w:bookmarkStart w:id="57" w:name="_Toc169015119"/>
      <w:bookmarkStart w:id="58" w:name="_Toc164943195"/>
      <w:r>
        <w:rPr>
          <w:rFonts w:hint="eastAsia" w:ascii="微软雅黑" w:hAnsi="微软雅黑" w:cs="微软雅黑"/>
          <w:b/>
          <w:color w:val="auto"/>
          <w:szCs w:val="21"/>
          <w:highlight w:val="none"/>
        </w:rPr>
        <w:t>（六）特别说明：</w:t>
      </w:r>
      <w:bookmarkEnd w:id="57"/>
      <w:bookmarkEnd w:id="58"/>
    </w:p>
    <w:p w14:paraId="06F0F531">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1.采用最低评标价法的采购项目，提供相同品牌产品的不同投标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参加同一合同项下投标的，以其中通过资格审查、符合性审查且报价最低的参加评标；报价相同的，由采购人或者采购人委托评标委员会按照招标文件规定的方式确定一个参加评标的投标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，招标文件未规定的采取随机抽取方式确定，其他投标无效。</w:t>
      </w:r>
    </w:p>
    <w:p w14:paraId="37876C86">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使用综合评分法的采购项目，提供相同品牌产品且通过资格审查、符合性审查的不同投标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参加同一合同项下投标的，按一家投标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计算，评审后得分最高的同品牌投标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获得中标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推荐资格；评审得分相同的，由采购人或者采购人委托评标委员会按照招标文件规定的方式确定一个投标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获得中标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推荐资格，招标文件未规定的采取随机抽取方式确定，其他同品牌投标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不作为中标候选人。</w:t>
      </w:r>
    </w:p>
    <w:p w14:paraId="70123639">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非单一产品采购项目，采购人应当根据采购项目技术构成、产品价格比重等合理确定核心产品，并在招标文件中载明。多家投标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提供的核心产品品牌相同的，按前两款规定处理。</w:t>
      </w:r>
    </w:p>
    <w:p w14:paraId="5008DE49">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投标所使用的资格、信誉、荣誉、业绩与企业认证必须为本法人所拥有。投标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投标所使用的采购项目实施人员必须为本法人员工（或必须为本法人或控股投标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正式员工）。</w:t>
      </w:r>
    </w:p>
    <w:p w14:paraId="2D9C566E">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应仔细阅读招标文件的所有内容，按照招标文件的要求提交投标文件，并对所提供的全部资料的真实性承担法律责任。</w:t>
      </w:r>
    </w:p>
    <w:p w14:paraId="3A741B04">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在投标活动中提供任何虚假材料，其投标无效，并报监管部门查处；中标后发现的，中标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须依照《中华人民共和国消费者权益保护法》第49条之规定双倍赔偿采购人，且民事赔偿并不免除违法投标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的行政与刑事责任。</w:t>
      </w:r>
    </w:p>
    <w:p w14:paraId="439D98FE">
      <w:pPr>
        <w:spacing w:line="460" w:lineRule="exact"/>
        <w:ind w:firstLine="42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（七）质疑和投诉</w:t>
      </w:r>
    </w:p>
    <w:p w14:paraId="075911E1">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1.质疑和投诉应当满足《政府采购质疑和投诉办法》（中华人民共和国财政部令第94号）要求。</w:t>
      </w:r>
    </w:p>
    <w:p w14:paraId="069ED6CD">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2.招标文件质疑：</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可在获取招标文件之日或者招标文件公告期限届满之日（公告期限届满后获取招标文件的，以公告期限届满之日为准）起7个工作日内发起；采购过程质疑：投标（响应）</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可在投标（响应）截止时间后，采购结果公告发布时间起7个工作日内发起；采购结果质疑：投标（响应）</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可在采购结果公告期限届满之日起7个工作日内发起。</w:t>
      </w:r>
    </w:p>
    <w:p w14:paraId="13AC12CE">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须在法定质疑期内一次性提出针对同一采购程序环节的质疑。</w:t>
      </w:r>
    </w:p>
    <w:p w14:paraId="640BC1A1">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须按上述规定，在政采云系统里提出质疑。询问路径为：政采云-项目采购-询问质疑投诉-询问列表；质疑路径为：政采云-项目采购-询问质疑投诉-质疑列表。质疑</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对在线质疑答复不满意的，可在线提起投诉，投诉路径为：浙江政府服务网-政府采购投诉处理-在线办理。</w:t>
      </w:r>
    </w:p>
    <w:p w14:paraId="5FD9AC85">
      <w:pPr>
        <w:pStyle w:val="3"/>
        <w:keepNext w:val="0"/>
        <w:keepLines w:val="0"/>
        <w:spacing w:line="460" w:lineRule="exact"/>
        <w:ind w:firstLine="420" w:firstLineChars="200"/>
        <w:rPr>
          <w:rFonts w:hint="eastAsia" w:ascii="微软雅黑" w:hAnsi="微软雅黑" w:cs="微软雅黑"/>
          <w:color w:val="auto"/>
          <w:sz w:val="21"/>
          <w:szCs w:val="21"/>
          <w:highlight w:val="none"/>
        </w:rPr>
      </w:pPr>
      <w:bookmarkStart w:id="59" w:name="_Toc1322"/>
      <w:r>
        <w:rPr>
          <w:rFonts w:hint="eastAsia" w:ascii="微软雅黑" w:hAnsi="微软雅黑" w:cs="微软雅黑"/>
          <w:color w:val="auto"/>
          <w:sz w:val="21"/>
          <w:szCs w:val="21"/>
          <w:highlight w:val="none"/>
        </w:rPr>
        <w:t>二 、招标文件</w:t>
      </w:r>
      <w:bookmarkEnd w:id="43"/>
      <w:bookmarkEnd w:id="44"/>
      <w:bookmarkEnd w:id="59"/>
    </w:p>
    <w:p w14:paraId="144BE546">
      <w:pPr>
        <w:snapToGrid w:val="0"/>
        <w:spacing w:line="460" w:lineRule="exact"/>
        <w:ind w:firstLine="420"/>
        <w:rPr>
          <w:rFonts w:hint="eastAsia" w:ascii="微软雅黑" w:hAnsi="微软雅黑" w:cs="微软雅黑"/>
          <w:b/>
          <w:color w:val="auto"/>
          <w:szCs w:val="21"/>
          <w:highlight w:val="none"/>
        </w:rPr>
      </w:pPr>
      <w:bookmarkStart w:id="60" w:name="_Toc493511630"/>
      <w:bookmarkStart w:id="61" w:name="_Toc177870545"/>
      <w:r>
        <w:rPr>
          <w:rFonts w:hint="eastAsia" w:ascii="微软雅黑" w:hAnsi="微软雅黑" w:cs="微软雅黑"/>
          <w:b/>
          <w:color w:val="auto"/>
          <w:szCs w:val="21"/>
          <w:highlight w:val="none"/>
        </w:rPr>
        <w:t>（一）招标文件的构成。本招标文件由以下部分组成：</w:t>
      </w:r>
    </w:p>
    <w:p w14:paraId="4A6EF047">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1.招标公告</w:t>
      </w:r>
    </w:p>
    <w:p w14:paraId="43210CC3">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2.招标需求</w:t>
      </w:r>
    </w:p>
    <w:p w14:paraId="2AD0B51B">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须知</w:t>
      </w:r>
    </w:p>
    <w:p w14:paraId="6B596B61">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4.评标办法及标准</w:t>
      </w:r>
    </w:p>
    <w:p w14:paraId="5A115E9B">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5.合同主要条款</w:t>
      </w:r>
    </w:p>
    <w:p w14:paraId="46145226">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6.投标文件格式</w:t>
      </w:r>
    </w:p>
    <w:p w14:paraId="30B09FF2">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7.本项目招标文件的澄清、答复、修改、补充的内容</w:t>
      </w:r>
    </w:p>
    <w:p w14:paraId="1D362C2C">
      <w:pPr>
        <w:snapToGrid w:val="0"/>
        <w:spacing w:line="460" w:lineRule="exact"/>
        <w:ind w:firstLine="420"/>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（二）投标</w:t>
      </w:r>
      <w:r>
        <w:rPr>
          <w:rFonts w:hint="eastAsia" w:ascii="微软雅黑" w:hAnsi="微软雅黑" w:cs="微软雅黑"/>
          <w:b/>
          <w:color w:val="auto"/>
          <w:szCs w:val="21"/>
          <w:highlight w:val="none"/>
          <w:lang w:eastAsia="zh-CN"/>
        </w:rPr>
        <w:t>投标人</w:t>
      </w:r>
      <w:r>
        <w:rPr>
          <w:rFonts w:hint="eastAsia" w:ascii="微软雅黑" w:hAnsi="微软雅黑" w:cs="微软雅黑"/>
          <w:b/>
          <w:color w:val="auto"/>
          <w:szCs w:val="21"/>
          <w:highlight w:val="none"/>
        </w:rPr>
        <w:t>的风险</w:t>
      </w:r>
    </w:p>
    <w:p w14:paraId="3E6CBF9A">
      <w:pPr>
        <w:pStyle w:val="43"/>
        <w:spacing w:line="460" w:lineRule="exact"/>
        <w:ind w:firstLine="42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投标</w:t>
      </w:r>
      <w:r>
        <w:rPr>
          <w:rFonts w:hint="eastAsia" w:ascii="微软雅黑" w:hAnsi="微软雅黑" w:eastAsia="微软雅黑" w:cs="微软雅黑"/>
          <w:color w:val="auto"/>
          <w:sz w:val="21"/>
          <w:szCs w:val="21"/>
          <w:highlight w:val="none"/>
          <w:lang w:eastAsia="zh-CN"/>
        </w:rPr>
        <w:t>投标人</w:t>
      </w:r>
      <w:r>
        <w:rPr>
          <w:rFonts w:hint="eastAsia" w:ascii="微软雅黑" w:hAnsi="微软雅黑" w:eastAsia="微软雅黑" w:cs="微软雅黑"/>
          <w:color w:val="auto"/>
          <w:sz w:val="21"/>
          <w:szCs w:val="21"/>
          <w:highlight w:val="none"/>
        </w:rPr>
        <w:t>没有按照招标文件要求提供全部资料，或者投标</w:t>
      </w:r>
      <w:r>
        <w:rPr>
          <w:rFonts w:hint="eastAsia" w:ascii="微软雅黑" w:hAnsi="微软雅黑" w:eastAsia="微软雅黑" w:cs="微软雅黑"/>
          <w:color w:val="auto"/>
          <w:sz w:val="21"/>
          <w:szCs w:val="21"/>
          <w:highlight w:val="none"/>
          <w:lang w:eastAsia="zh-CN"/>
        </w:rPr>
        <w:t>投标人</w:t>
      </w:r>
      <w:r>
        <w:rPr>
          <w:rFonts w:hint="eastAsia" w:ascii="微软雅黑" w:hAnsi="微软雅黑" w:eastAsia="微软雅黑" w:cs="微软雅黑"/>
          <w:color w:val="auto"/>
          <w:sz w:val="21"/>
          <w:szCs w:val="21"/>
          <w:highlight w:val="none"/>
        </w:rPr>
        <w:t>没有对招标文件在各方面做出实质性响应是投标</w:t>
      </w:r>
      <w:r>
        <w:rPr>
          <w:rFonts w:hint="eastAsia" w:ascii="微软雅黑" w:hAnsi="微软雅黑" w:eastAsia="微软雅黑" w:cs="微软雅黑"/>
          <w:color w:val="auto"/>
          <w:sz w:val="21"/>
          <w:szCs w:val="21"/>
          <w:highlight w:val="none"/>
          <w:lang w:eastAsia="zh-CN"/>
        </w:rPr>
        <w:t>投标人</w:t>
      </w:r>
      <w:r>
        <w:rPr>
          <w:rFonts w:hint="eastAsia" w:ascii="微软雅黑" w:hAnsi="微软雅黑" w:eastAsia="微软雅黑" w:cs="微软雅黑"/>
          <w:color w:val="auto"/>
          <w:sz w:val="21"/>
          <w:szCs w:val="21"/>
          <w:highlight w:val="none"/>
        </w:rPr>
        <w:t>的风险，并可能导致其投标为无效标。</w:t>
      </w:r>
    </w:p>
    <w:p w14:paraId="70819447">
      <w:pPr>
        <w:pStyle w:val="290"/>
        <w:snapToGrid w:val="0"/>
        <w:spacing w:before="0" w:line="460" w:lineRule="exact"/>
        <w:ind w:firstLine="420"/>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（三）招标文件的澄清与修改</w:t>
      </w:r>
    </w:p>
    <w:p w14:paraId="23654993">
      <w:pPr>
        <w:pStyle w:val="290"/>
        <w:snapToGrid w:val="0"/>
        <w:spacing w:before="0" w:line="460" w:lineRule="exact"/>
        <w:ind w:firstLine="42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t>1.</w:t>
      </w:r>
      <w:r>
        <w:rPr>
          <w:rFonts w:hint="eastAsia" w:ascii="微软雅黑" w:hAnsi="微软雅黑" w:eastAsia="微软雅黑" w:cs="微软雅黑"/>
          <w:color w:val="auto"/>
          <w:sz w:val="21"/>
          <w:szCs w:val="21"/>
          <w:highlight w:val="none"/>
        </w:rPr>
        <w:t>投标</w:t>
      </w:r>
      <w:r>
        <w:rPr>
          <w:rFonts w:hint="eastAsia" w:ascii="微软雅黑" w:hAnsi="微软雅黑" w:eastAsia="微软雅黑" w:cs="微软雅黑"/>
          <w:color w:val="auto"/>
          <w:sz w:val="21"/>
          <w:szCs w:val="21"/>
          <w:highlight w:val="none"/>
          <w:lang w:eastAsia="zh-CN"/>
        </w:rPr>
        <w:t>投标人</w:t>
      </w:r>
      <w:r>
        <w:rPr>
          <w:rFonts w:hint="eastAsia" w:ascii="微软雅黑" w:hAnsi="微软雅黑" w:eastAsia="微软雅黑" w:cs="微软雅黑"/>
          <w:color w:val="auto"/>
          <w:sz w:val="21"/>
          <w:szCs w:val="21"/>
          <w:highlight w:val="none"/>
        </w:rPr>
        <w:t>应认真阅读本招标文件，发现其中有误或有不合理要求的，可</w:t>
      </w:r>
    </w:p>
    <w:p w14:paraId="05629823">
      <w:pPr>
        <w:pStyle w:val="290"/>
        <w:snapToGrid w:val="0"/>
        <w:spacing w:before="0" w:line="460" w:lineRule="exact"/>
        <w:ind w:firstLine="42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要求招标采购人澄清。招标采购人对已发出的招标文件进行必要澄清或者修改的，应当在招标文件要求提交投标文件截止十五日前，在财政部门指定的政府采购信息发布媒体上发布更正公告，并以书面形式通知所有招标文件获取人。</w:t>
      </w:r>
    </w:p>
    <w:p w14:paraId="4DC9F7E1">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2.招标文件澄清或者修改的内容为招标文件的组成部分。当招标文件与澄清或者修改就同一内容的表述不一致时，以最后发出的书面文件为准。</w:t>
      </w:r>
    </w:p>
    <w:p w14:paraId="40821E13">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3.对招标文件的澄清、答复、修改或补充都应该通过代理机构以法定形式发布，采购人非通过本机构，不得擅自澄清、答复、修改或补充招标文件。</w:t>
      </w:r>
    </w:p>
    <w:p w14:paraId="2F850E4B">
      <w:pPr>
        <w:pStyle w:val="3"/>
        <w:keepNext w:val="0"/>
        <w:keepLines w:val="0"/>
        <w:spacing w:line="460" w:lineRule="exact"/>
        <w:ind w:firstLine="420" w:firstLineChars="200"/>
        <w:rPr>
          <w:rFonts w:hint="eastAsia" w:ascii="微软雅黑" w:hAnsi="微软雅黑" w:cs="微软雅黑"/>
          <w:color w:val="auto"/>
          <w:sz w:val="21"/>
          <w:szCs w:val="21"/>
          <w:highlight w:val="none"/>
        </w:rPr>
      </w:pPr>
      <w:bookmarkStart w:id="62" w:name="_Toc13607"/>
      <w:r>
        <w:rPr>
          <w:rFonts w:hint="eastAsia" w:ascii="微软雅黑" w:hAnsi="微软雅黑" w:cs="微软雅黑"/>
          <w:color w:val="auto"/>
          <w:sz w:val="21"/>
          <w:szCs w:val="21"/>
          <w:highlight w:val="none"/>
        </w:rPr>
        <w:t>三、 投标文件的编制</w:t>
      </w:r>
      <w:bookmarkEnd w:id="60"/>
      <w:bookmarkEnd w:id="61"/>
      <w:bookmarkEnd w:id="62"/>
    </w:p>
    <w:p w14:paraId="49DB040D">
      <w:pPr>
        <w:spacing w:line="460" w:lineRule="exact"/>
        <w:ind w:firstLine="420"/>
        <w:rPr>
          <w:rFonts w:hint="eastAsia" w:ascii="微软雅黑" w:hAnsi="微软雅黑" w:cs="微软雅黑"/>
          <w:b/>
          <w:bCs/>
          <w:color w:val="auto"/>
          <w:szCs w:val="21"/>
          <w:highlight w:val="none"/>
        </w:rPr>
      </w:pPr>
      <w:bookmarkStart w:id="63" w:name="_Toc14074"/>
      <w:bookmarkStart w:id="64" w:name="_Toc21392"/>
      <w:bookmarkStart w:id="65" w:name="_Toc406402988"/>
      <w:bookmarkStart w:id="66" w:name="_Toc532218225"/>
      <w:bookmarkStart w:id="67" w:name="_Toc406402944"/>
      <w:bookmarkStart w:id="68" w:name="_Toc33535369"/>
      <w:bookmarkStart w:id="69" w:name="_Toc493511751"/>
      <w:r>
        <w:rPr>
          <w:rFonts w:hint="eastAsia" w:ascii="微软雅黑" w:hAnsi="微软雅黑" w:cs="微软雅黑"/>
          <w:b/>
          <w:bCs/>
          <w:color w:val="auto"/>
          <w:szCs w:val="21"/>
          <w:highlight w:val="none"/>
        </w:rPr>
        <w:t>本项目所涉投标文件格式请详见第六章，未给出的格式请自拟。商务、资信及其他及技术文件中不得出现报价，否则投标文件将被视为无效。</w:t>
      </w:r>
    </w:p>
    <w:p w14:paraId="1BD7493B">
      <w:pPr>
        <w:spacing w:line="460" w:lineRule="exact"/>
        <w:ind w:firstLine="42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注：电子投标文件按政采云平台</w:t>
      </w:r>
      <w:r>
        <w:rPr>
          <w:rFonts w:hint="eastAsia" w:ascii="微软雅黑" w:hAnsi="微软雅黑" w:cs="微软雅黑"/>
          <w:b/>
          <w:bCs/>
          <w:color w:val="auto"/>
          <w:szCs w:val="21"/>
          <w:highlight w:val="none"/>
          <w:lang w:eastAsia="zh-CN"/>
        </w:rPr>
        <w:t>投标人</w:t>
      </w:r>
      <w:r>
        <w:rPr>
          <w:rFonts w:hint="eastAsia" w:ascii="微软雅黑" w:hAnsi="微软雅黑" w:cs="微软雅黑"/>
          <w:b/>
          <w:bCs/>
          <w:color w:val="auto"/>
          <w:szCs w:val="21"/>
          <w:highlight w:val="none"/>
        </w:rPr>
        <w:t>电子招投标操作指南及本招标文件规定的格式和顺序编制电子投标文件并进行关联。建议根据招标文件合格</w:t>
      </w:r>
      <w:r>
        <w:rPr>
          <w:rFonts w:hint="eastAsia" w:ascii="微软雅黑" w:hAnsi="微软雅黑" w:cs="微软雅黑"/>
          <w:b/>
          <w:bCs/>
          <w:color w:val="auto"/>
          <w:szCs w:val="21"/>
          <w:highlight w:val="none"/>
          <w:lang w:eastAsia="zh-CN"/>
        </w:rPr>
        <w:t>投标人</w:t>
      </w:r>
      <w:r>
        <w:rPr>
          <w:rFonts w:hint="eastAsia" w:ascii="微软雅黑" w:hAnsi="微软雅黑" w:cs="微软雅黑"/>
          <w:b/>
          <w:bCs/>
          <w:color w:val="auto"/>
          <w:szCs w:val="21"/>
          <w:highlight w:val="none"/>
        </w:rPr>
        <w:t>的资格要求、投标文件的编制及评分标准等内容一一关联。</w:t>
      </w:r>
    </w:p>
    <w:p w14:paraId="3A56FE39">
      <w:pPr>
        <w:spacing w:line="460" w:lineRule="exact"/>
        <w:ind w:firstLine="420"/>
        <w:rPr>
          <w:rFonts w:hint="eastAsia" w:ascii="微软雅黑" w:hAnsi="微软雅黑" w:eastAsia="微软雅黑" w:cs="微软雅黑"/>
          <w:b/>
          <w:bCs/>
          <w:color w:val="auto"/>
          <w:szCs w:val="21"/>
          <w:highlight w:val="none"/>
          <w:lang w:eastAsia="zh-CN"/>
        </w:rPr>
      </w:pPr>
      <w:r>
        <w:rPr>
          <w:rFonts w:hint="eastAsia" w:ascii="微软雅黑" w:hAnsi="微软雅黑" w:cs="微软雅黑"/>
          <w:b/>
          <w:bCs/>
          <w:color w:val="auto"/>
          <w:szCs w:val="21"/>
          <w:highlight w:val="none"/>
        </w:rPr>
        <w:t>路径：浙江省“项目采购电子交易系统/不见面开评标”学习专题-操作指南-</w:t>
      </w:r>
      <w:r>
        <w:rPr>
          <w:rFonts w:hint="eastAsia" w:ascii="微软雅黑" w:hAnsi="微软雅黑" w:cs="微软雅黑"/>
          <w:b/>
          <w:bCs/>
          <w:color w:val="auto"/>
          <w:szCs w:val="21"/>
          <w:highlight w:val="none"/>
          <w:lang w:eastAsia="zh-CN"/>
        </w:rPr>
        <w:t>投标人</w:t>
      </w:r>
    </w:p>
    <w:p w14:paraId="3083221D">
      <w:pPr>
        <w:spacing w:line="460" w:lineRule="exact"/>
        <w:ind w:firstLine="42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网址：</w:t>
      </w:r>
      <w:r>
        <w:rPr>
          <w:color w:val="auto"/>
          <w:highlight w:val="none"/>
        </w:rPr>
        <w:fldChar w:fldCharType="begin"/>
      </w:r>
      <w:r>
        <w:rPr>
          <w:color w:val="auto"/>
          <w:highlight w:val="none"/>
        </w:rPr>
        <w:instrText xml:space="preserve"> HYPERLINK "https://help.zcygov.cn/web/site_2/2018/12-28/2573.html%EF%BC%89%E5%8F%8A%E6%9C%AC%E6%8B%9B%E6%A0%87%E6%96%87%E4%BB%B6%E8%A7%84%E5%AE%9A%E7%9A%84%E6%A0%BC%E5%BC%8F%E5%92%8C%E9%A1%BA%E5%BA%8F%E7%BC%96%E5%88%B6%E7%94%B5%E5%AD%90%E6%8A%95%E6%A0%87%E6%96%87%E4%BB%B6%E5%B9%B6%E8%BF%9B%E8%A1%8C%E5%85%B3%E8%81%94%E5%AE%9A" \t "_blank" </w:instrText>
      </w:r>
      <w:r>
        <w:rPr>
          <w:color w:val="auto"/>
          <w:highlight w:val="none"/>
        </w:rPr>
        <w:fldChar w:fldCharType="separate"/>
      </w:r>
      <w:r>
        <w:rPr>
          <w:rFonts w:hint="eastAsia" w:ascii="微软雅黑" w:hAnsi="微软雅黑" w:cs="微软雅黑"/>
          <w:b/>
          <w:bCs/>
          <w:color w:val="auto"/>
          <w:szCs w:val="21"/>
          <w:highlight w:val="none"/>
        </w:rPr>
        <w:t>https://edu.zcygov.cn/luban/e-biding</w:t>
      </w:r>
      <w:r>
        <w:rPr>
          <w:rFonts w:hint="eastAsia" w:ascii="微软雅黑" w:hAnsi="微软雅黑" w:cs="微软雅黑"/>
          <w:b/>
          <w:bCs/>
          <w:color w:val="auto"/>
          <w:szCs w:val="21"/>
          <w:highlight w:val="none"/>
        </w:rPr>
        <w:fldChar w:fldCharType="end"/>
      </w:r>
    </w:p>
    <w:p w14:paraId="5D9C8E2A">
      <w:pPr>
        <w:spacing w:line="460" w:lineRule="exact"/>
        <w:ind w:firstLine="42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总体要求：</w:t>
      </w:r>
    </w:p>
    <w:p w14:paraId="047030E3">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 xml:space="preserve">应仔细阅读招标文件的所有内容，按本文件的要求提供投标文件，并保证所提供的全部资料的真实性，以使其投标文件对招标文件作出实质性响应，否则，投标文件可能视为无效投标文件。 </w:t>
      </w:r>
    </w:p>
    <w:p w14:paraId="189C6734">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2.投标文件及</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与采购有关的来往通知，函件和文件均应使用中文。</w:t>
      </w:r>
    </w:p>
    <w:p w14:paraId="18A811DC">
      <w:pPr>
        <w:spacing w:line="460" w:lineRule="exact"/>
        <w:ind w:firstLine="420"/>
        <w:rPr>
          <w:rFonts w:hint="eastAsia" w:ascii="微软雅黑" w:hAnsi="微软雅黑" w:cs="微软雅黑"/>
          <w:b/>
          <w:color w:val="auto"/>
          <w:szCs w:val="21"/>
          <w:highlight w:val="none"/>
          <w:u w:val="single"/>
        </w:rPr>
      </w:pPr>
      <w:r>
        <w:rPr>
          <w:rFonts w:hint="eastAsia" w:ascii="微软雅黑" w:hAnsi="微软雅黑" w:cs="微软雅黑"/>
          <w:color w:val="auto"/>
          <w:szCs w:val="21"/>
          <w:highlight w:val="none"/>
        </w:rPr>
        <w:t>3.</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应按本文件中提供的文件格式、内容和要求制作投标文件</w:t>
      </w:r>
      <w:r>
        <w:rPr>
          <w:rFonts w:hint="eastAsia" w:ascii="微软雅黑" w:hAnsi="微软雅黑" w:cs="微软雅黑"/>
          <w:b/>
          <w:color w:val="auto"/>
          <w:szCs w:val="21"/>
          <w:highlight w:val="none"/>
        </w:rPr>
        <w:t>。</w:t>
      </w:r>
    </w:p>
    <w:p w14:paraId="25F20ED3">
      <w:pPr>
        <w:pStyle w:val="5"/>
        <w:keepNext w:val="0"/>
        <w:keepLines w:val="0"/>
        <w:spacing w:line="460" w:lineRule="exact"/>
        <w:ind w:firstLine="420"/>
        <w:rPr>
          <w:rFonts w:hint="eastAsia" w:ascii="微软雅黑" w:hAnsi="微软雅黑" w:cs="微软雅黑"/>
          <w:color w:val="auto"/>
          <w:szCs w:val="21"/>
          <w:highlight w:val="none"/>
        </w:rPr>
      </w:pPr>
      <w:bookmarkStart w:id="70" w:name="_Toc169015122"/>
      <w:bookmarkStart w:id="71" w:name="_Toc164943198"/>
      <w:r>
        <w:rPr>
          <w:rFonts w:hint="eastAsia" w:ascii="微软雅黑" w:hAnsi="微软雅黑" w:cs="微软雅黑"/>
          <w:color w:val="auto"/>
          <w:szCs w:val="21"/>
          <w:highlight w:val="none"/>
        </w:rPr>
        <w:t>（一）投标文件的组成</w:t>
      </w:r>
      <w:bookmarkEnd w:id="63"/>
      <w:bookmarkEnd w:id="64"/>
      <w:bookmarkEnd w:id="70"/>
      <w:bookmarkEnd w:id="71"/>
    </w:p>
    <w:p w14:paraId="03D02ACB">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电子投标文件和备份投标文件均由</w:t>
      </w:r>
      <w:r>
        <w:rPr>
          <w:rFonts w:hint="eastAsia" w:ascii="微软雅黑" w:hAnsi="微软雅黑" w:cs="微软雅黑"/>
          <w:color w:val="auto"/>
          <w:szCs w:val="21"/>
          <w:highlight w:val="none"/>
          <w:lang w:val="zh-CN"/>
        </w:rPr>
        <w:t>资格文件、商务技术文件、报价</w:t>
      </w:r>
      <w:r>
        <w:rPr>
          <w:rFonts w:hint="eastAsia" w:ascii="微软雅黑" w:hAnsi="微软雅黑" w:cs="微软雅黑"/>
          <w:color w:val="auto"/>
          <w:szCs w:val="21"/>
          <w:highlight w:val="none"/>
        </w:rPr>
        <w:t>文件三部分组成。投标文件中所须加盖公章部分均采用CA签章。</w:t>
      </w:r>
    </w:p>
    <w:bookmarkEnd w:id="65"/>
    <w:bookmarkEnd w:id="66"/>
    <w:bookmarkEnd w:id="67"/>
    <w:p w14:paraId="1E79BC11">
      <w:pPr>
        <w:snapToGrid w:val="0"/>
        <w:spacing w:line="460" w:lineRule="exact"/>
        <w:ind w:firstLine="420"/>
        <w:outlineLvl w:val="2"/>
        <w:rPr>
          <w:rFonts w:hint="eastAsia" w:ascii="微软雅黑" w:hAnsi="微软雅黑" w:cs="微软雅黑"/>
          <w:b/>
          <w:color w:val="auto"/>
          <w:szCs w:val="21"/>
          <w:highlight w:val="none"/>
        </w:rPr>
      </w:pPr>
      <w:bookmarkStart w:id="72" w:name="_Toc164943199"/>
      <w:bookmarkStart w:id="73" w:name="_Toc169015123"/>
      <w:r>
        <w:rPr>
          <w:rFonts w:hint="eastAsia" w:ascii="微软雅黑" w:hAnsi="微软雅黑" w:cs="微软雅黑"/>
          <w:b/>
          <w:color w:val="auto"/>
          <w:szCs w:val="21"/>
          <w:highlight w:val="none"/>
        </w:rPr>
        <w:t>（二）</w:t>
      </w:r>
      <w:r>
        <w:rPr>
          <w:rFonts w:hint="eastAsia" w:ascii="微软雅黑" w:hAnsi="微软雅黑" w:cs="微软雅黑"/>
          <w:b/>
          <w:bCs/>
          <w:color w:val="auto"/>
          <w:szCs w:val="21"/>
          <w:highlight w:val="none"/>
        </w:rPr>
        <w:t>投标文件的编制</w:t>
      </w:r>
      <w:bookmarkEnd w:id="72"/>
      <w:bookmarkEnd w:id="73"/>
    </w:p>
    <w:p w14:paraId="37EC7018">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zh-CN"/>
        </w:rPr>
        <w:t>1</w:t>
      </w:r>
      <w:r>
        <w:rPr>
          <w:rFonts w:hint="eastAsia" w:ascii="微软雅黑" w:hAnsi="微软雅黑" w:cs="微软雅黑"/>
          <w:color w:val="auto"/>
          <w:szCs w:val="21"/>
          <w:highlight w:val="none"/>
        </w:rPr>
        <w:t>.</w:t>
      </w:r>
      <w:r>
        <w:rPr>
          <w:rFonts w:hint="eastAsia" w:ascii="微软雅黑" w:hAnsi="微软雅黑" w:cs="微软雅黑"/>
          <w:color w:val="auto"/>
          <w:szCs w:val="21"/>
          <w:highlight w:val="none"/>
          <w:lang w:val="zh-CN"/>
        </w:rPr>
        <w:t>投标文件分为资格文件、商务技术文件、报价文件三部分。各投标投标人在编制投标文件时请按照招标文件规定的格式进行，混乱的编排导致投标文件被误读或评标委员会查找不到有效文件是投标投标人的风险。</w:t>
      </w:r>
    </w:p>
    <w:p w14:paraId="75C67414">
      <w:pPr>
        <w:snapToGrid w:val="0"/>
        <w:spacing w:line="460" w:lineRule="exact"/>
        <w:ind w:firstLine="420"/>
        <w:rPr>
          <w:rFonts w:hint="eastAsia" w:ascii="微软雅黑" w:hAnsi="微软雅黑" w:cs="微软雅黑"/>
          <w:color w:val="auto"/>
          <w:szCs w:val="21"/>
          <w:highlight w:val="none"/>
          <w:lang w:val="zh-CN"/>
        </w:rPr>
      </w:pPr>
      <w:r>
        <w:rPr>
          <w:rFonts w:hint="eastAsia" w:ascii="微软雅黑" w:hAnsi="微软雅黑" w:cs="微软雅黑"/>
          <w:color w:val="auto"/>
          <w:szCs w:val="21"/>
          <w:highlight w:val="none"/>
          <w:lang w:val="zh-CN"/>
        </w:rPr>
        <w:t>2</w:t>
      </w:r>
      <w:r>
        <w:rPr>
          <w:rFonts w:hint="eastAsia" w:ascii="微软雅黑" w:hAnsi="微软雅黑" w:cs="微软雅黑"/>
          <w:color w:val="auto"/>
          <w:szCs w:val="21"/>
          <w:highlight w:val="none"/>
        </w:rPr>
        <w:t>.</w:t>
      </w:r>
      <w:r>
        <w:rPr>
          <w:rFonts w:hint="eastAsia" w:ascii="微软雅黑" w:hAnsi="微软雅黑" w:cs="微软雅黑"/>
          <w:color w:val="auto"/>
          <w:szCs w:val="21"/>
          <w:highlight w:val="none"/>
          <w:lang w:val="zh-CN"/>
        </w:rPr>
        <w:t>投标投标人进行电子投标应安装客户端软件—“政采云电子交易客户端”，并按照招标文件和电子交易平台的要求编制并加密投标文件。投标投标人未按规定加密的投标文件，电子交易平台将拒收并提示。</w:t>
      </w:r>
    </w:p>
    <w:p w14:paraId="3C2FEC08">
      <w:pPr>
        <w:snapToGrid w:val="0"/>
        <w:spacing w:line="460" w:lineRule="exact"/>
        <w:ind w:firstLine="420"/>
        <w:rPr>
          <w:rFonts w:hint="eastAsia" w:ascii="微软雅黑" w:hAnsi="微软雅黑" w:cs="微软雅黑"/>
          <w:color w:val="auto"/>
          <w:szCs w:val="21"/>
          <w:highlight w:val="none"/>
          <w:lang w:val="zh-CN"/>
        </w:rPr>
      </w:pPr>
      <w:r>
        <w:rPr>
          <w:rFonts w:hint="eastAsia" w:ascii="微软雅黑" w:hAnsi="微软雅黑" w:cs="微软雅黑"/>
          <w:color w:val="auto"/>
          <w:szCs w:val="21"/>
          <w:highlight w:val="none"/>
          <w:lang w:val="zh-CN"/>
        </w:rPr>
        <w:t>3</w:t>
      </w:r>
      <w:r>
        <w:rPr>
          <w:rFonts w:hint="eastAsia" w:ascii="微软雅黑" w:hAnsi="微软雅黑" w:cs="微软雅黑"/>
          <w:color w:val="auto"/>
          <w:szCs w:val="21"/>
          <w:highlight w:val="none"/>
        </w:rPr>
        <w:t>.</w:t>
      </w:r>
      <w:r>
        <w:rPr>
          <w:rFonts w:hint="eastAsia" w:ascii="微软雅黑" w:hAnsi="微软雅黑" w:cs="微软雅黑"/>
          <w:color w:val="auto"/>
          <w:szCs w:val="21"/>
          <w:highlight w:val="none"/>
          <w:lang w:val="zh-CN"/>
        </w:rPr>
        <w:t>使用“政采云电子交易客户端”需要提前申领CA数字证书，申领流程请自行前往“浙江政府采购网-下载专区-电子交易客户端-CA驱动和申领流程”进行查阅。</w:t>
      </w:r>
    </w:p>
    <w:p w14:paraId="410B794B">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4.投标文件按照招标文件要求进行签署、盖章。</w:t>
      </w:r>
    </w:p>
    <w:p w14:paraId="5B1EAE74">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5.为确保网上操作合法、有效和安全，投标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应当在投标截止时间前完成在“政府采购云平台”的身份认证，确保在电子投标过程中能够对相关数据电文进行加密和使用电子签名。</w:t>
      </w:r>
    </w:p>
    <w:p w14:paraId="5E084282">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6.招标文件对投标文件签署、盖章的要求适用于电子签名。</w:t>
      </w:r>
    </w:p>
    <w:p w14:paraId="3B8EFD1E">
      <w:pPr>
        <w:snapToGrid w:val="0"/>
        <w:spacing w:line="460" w:lineRule="exact"/>
        <w:ind w:firstLine="420"/>
        <w:outlineLvl w:val="2"/>
        <w:rPr>
          <w:rFonts w:hint="eastAsia" w:ascii="微软雅黑" w:hAnsi="微软雅黑" w:cs="微软雅黑"/>
          <w:b/>
          <w:color w:val="auto"/>
          <w:szCs w:val="21"/>
          <w:highlight w:val="none"/>
        </w:rPr>
      </w:pPr>
      <w:bookmarkStart w:id="74" w:name="_Toc402963084"/>
      <w:bookmarkStart w:id="75" w:name="_Toc532218227"/>
      <w:bookmarkStart w:id="76" w:name="_Toc406402946"/>
      <w:bookmarkStart w:id="77" w:name="_Toc164943200"/>
      <w:bookmarkStart w:id="78" w:name="_Toc385854100"/>
      <w:bookmarkStart w:id="79" w:name="_Toc169015124"/>
      <w:bookmarkStart w:id="80" w:name="_Toc406402990"/>
      <w:bookmarkStart w:id="81" w:name="_Toc385854146"/>
      <w:bookmarkStart w:id="82" w:name="_Toc402963117"/>
      <w:r>
        <w:rPr>
          <w:rFonts w:hint="eastAsia" w:ascii="微软雅黑" w:hAnsi="微软雅黑" w:cs="微软雅黑"/>
          <w:b/>
          <w:color w:val="auto"/>
          <w:szCs w:val="21"/>
          <w:highlight w:val="none"/>
        </w:rPr>
        <w:t>（三）投标文件的语言及计量</w:t>
      </w:r>
      <w:bookmarkEnd w:id="74"/>
      <w:bookmarkEnd w:id="75"/>
      <w:bookmarkEnd w:id="76"/>
      <w:bookmarkEnd w:id="77"/>
      <w:bookmarkEnd w:id="78"/>
      <w:bookmarkEnd w:id="79"/>
      <w:bookmarkEnd w:id="80"/>
      <w:bookmarkEnd w:id="81"/>
      <w:bookmarkEnd w:id="82"/>
    </w:p>
    <w:p w14:paraId="53105155">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1.投标文件以及投标方与采购人就有关投标事宜的所有来往函电，均应以中文汉语书写。除签名、盖章、专用名称等特殊情形外，以中文汉语以外的文字表述的投标文件视同未提供。</w:t>
      </w:r>
    </w:p>
    <w:p w14:paraId="0E52F429">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2.投标计量单位，招标文件已有明确规定的，使用招标文件规定的计量单位；招标文件没有规定的，应采用中华人民共和国法定计量单位（货币单位：人民币元），否则视同未响应。</w:t>
      </w:r>
    </w:p>
    <w:p w14:paraId="54284B0C">
      <w:pPr>
        <w:pStyle w:val="290"/>
        <w:spacing w:before="0" w:line="460" w:lineRule="exact"/>
        <w:ind w:firstLine="420"/>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（四）投标文件的提交、补充、修改、撤回</w:t>
      </w:r>
    </w:p>
    <w:p w14:paraId="1BBD3DDB">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971ED4C">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2.电子交易平台收到投标文件，将妥善保存并即时向</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发出确认回执通知。在投标截止时间前，除</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补充、修改或者撤回投标文件外，任何单位和个人不得解密或提取投标文件。</w:t>
      </w:r>
    </w:p>
    <w:p w14:paraId="7B199C56">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3.采购人、采购机构可以视情况延长投标文件提交的截止时间。在上述情况下，采购机构与投标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以前在投标截止期方面的全部权利、责任和义务，将适用于延长至新的投标截止期。</w:t>
      </w:r>
    </w:p>
    <w:p w14:paraId="5DD6C7BD">
      <w:pPr>
        <w:snapToGrid w:val="0"/>
        <w:spacing w:line="460" w:lineRule="exact"/>
        <w:ind w:firstLine="420"/>
        <w:outlineLvl w:val="2"/>
        <w:rPr>
          <w:rFonts w:hint="eastAsia" w:ascii="微软雅黑" w:hAnsi="微软雅黑" w:cs="微软雅黑"/>
          <w:b/>
          <w:color w:val="auto"/>
          <w:szCs w:val="21"/>
          <w:highlight w:val="none"/>
        </w:rPr>
      </w:pPr>
      <w:bookmarkStart w:id="83" w:name="_Toc406402947"/>
      <w:bookmarkStart w:id="84" w:name="_Toc385854101"/>
      <w:bookmarkStart w:id="85" w:name="_Toc169015125"/>
      <w:bookmarkStart w:id="86" w:name="_Toc402963085"/>
      <w:bookmarkStart w:id="87" w:name="_Toc406402991"/>
      <w:bookmarkStart w:id="88" w:name="_Toc532218228"/>
      <w:bookmarkStart w:id="89" w:name="_Toc402963118"/>
      <w:bookmarkStart w:id="90" w:name="_Toc164943201"/>
      <w:bookmarkStart w:id="91" w:name="_Toc385854147"/>
      <w:r>
        <w:rPr>
          <w:rFonts w:hint="eastAsia" w:ascii="微软雅黑" w:hAnsi="微软雅黑" w:cs="微软雅黑"/>
          <w:b/>
          <w:color w:val="auto"/>
          <w:szCs w:val="21"/>
          <w:highlight w:val="none"/>
        </w:rPr>
        <w:t>（五）投标报价</w:t>
      </w:r>
      <w:bookmarkEnd w:id="83"/>
      <w:bookmarkEnd w:id="84"/>
      <w:bookmarkEnd w:id="85"/>
      <w:bookmarkEnd w:id="86"/>
      <w:bookmarkEnd w:id="87"/>
      <w:bookmarkEnd w:id="88"/>
      <w:bookmarkEnd w:id="89"/>
      <w:bookmarkEnd w:id="90"/>
      <w:bookmarkEnd w:id="91"/>
    </w:p>
    <w:p w14:paraId="275CCC80">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1.投标报价应按招标文件中相关附表格式填写。</w:t>
      </w:r>
    </w:p>
    <w:p w14:paraId="16D3ECB7">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2.投标报价是履行合同的最终价格，应包括货款、标准附件、备品备件、专用工具、包装、运输、装卸、保险、税金、货到就位以及安装、调试、培训、保修和前期方案编制、招投标等一切税金和费用。</w:t>
      </w:r>
    </w:p>
    <w:p w14:paraId="0A03D99F">
      <w:pPr>
        <w:tabs>
          <w:tab w:val="left" w:pos="525"/>
        </w:tabs>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3.投标文件只允许有一个报价，有选择的或有条件的报价将不予接受。</w:t>
      </w:r>
    </w:p>
    <w:p w14:paraId="20B4DCE3">
      <w:pPr>
        <w:snapToGrid w:val="0"/>
        <w:spacing w:line="460" w:lineRule="exact"/>
        <w:ind w:firstLine="420"/>
        <w:outlineLvl w:val="2"/>
        <w:rPr>
          <w:rFonts w:hint="eastAsia" w:ascii="微软雅黑" w:hAnsi="微软雅黑" w:cs="微软雅黑"/>
          <w:b/>
          <w:color w:val="auto"/>
          <w:szCs w:val="21"/>
          <w:highlight w:val="none"/>
        </w:rPr>
      </w:pPr>
      <w:bookmarkStart w:id="92" w:name="_Toc164943202"/>
      <w:bookmarkStart w:id="93" w:name="_Toc169015126"/>
      <w:r>
        <w:rPr>
          <w:rFonts w:hint="eastAsia" w:ascii="微软雅黑" w:hAnsi="微软雅黑" w:cs="微软雅黑"/>
          <w:b/>
          <w:color w:val="auto"/>
          <w:szCs w:val="21"/>
          <w:highlight w:val="none"/>
        </w:rPr>
        <w:t>（六）投标文件的有效期</w:t>
      </w:r>
      <w:bookmarkEnd w:id="92"/>
      <w:bookmarkEnd w:id="93"/>
    </w:p>
    <w:p w14:paraId="41BD049C">
      <w:pPr>
        <w:pStyle w:val="13"/>
        <w:widowControl w:val="0"/>
        <w:numPr>
          <w:ilvl w:val="0"/>
          <w:numId w:val="0"/>
        </w:numPr>
        <w:tabs>
          <w:tab w:val="left" w:pos="360"/>
        </w:tabs>
        <w:snapToGrid w:val="0"/>
        <w:spacing w:afterLines="0" w:line="460" w:lineRule="exact"/>
        <w:ind w:firstLine="420" w:firstLineChars="200"/>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1.自投标截止日起</w:t>
      </w:r>
      <w:r>
        <w:rPr>
          <w:rFonts w:hint="eastAsia" w:ascii="微软雅黑" w:hAnsi="微软雅黑" w:cs="微软雅黑"/>
          <w:color w:val="auto"/>
          <w:sz w:val="21"/>
          <w:szCs w:val="21"/>
          <w:highlight w:val="none"/>
          <w:u w:val="single"/>
        </w:rPr>
        <w:t>90</w:t>
      </w:r>
      <w:r>
        <w:rPr>
          <w:rFonts w:hint="eastAsia" w:ascii="微软雅黑" w:hAnsi="微软雅黑" w:cs="微软雅黑"/>
          <w:color w:val="auto"/>
          <w:sz w:val="21"/>
          <w:szCs w:val="21"/>
          <w:highlight w:val="none"/>
        </w:rPr>
        <w:t>天投标文件应保持有效。有效期不足的投标文件将被拒绝。</w:t>
      </w:r>
    </w:p>
    <w:p w14:paraId="68D7D4E4">
      <w:pPr>
        <w:pStyle w:val="13"/>
        <w:widowControl w:val="0"/>
        <w:numPr>
          <w:ilvl w:val="0"/>
          <w:numId w:val="0"/>
        </w:numPr>
        <w:tabs>
          <w:tab w:val="left" w:pos="360"/>
        </w:tabs>
        <w:snapToGrid w:val="0"/>
        <w:spacing w:afterLines="0" w:line="460" w:lineRule="exact"/>
        <w:ind w:firstLine="420" w:firstLineChars="200"/>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2.在特殊情况下，采购人可与投标</w:t>
      </w:r>
      <w:r>
        <w:rPr>
          <w:rFonts w:hint="eastAsia" w:ascii="微软雅黑" w:hAnsi="微软雅黑" w:cs="微软雅黑"/>
          <w:color w:val="auto"/>
          <w:sz w:val="21"/>
          <w:szCs w:val="21"/>
          <w:highlight w:val="none"/>
          <w:lang w:eastAsia="zh-CN"/>
        </w:rPr>
        <w:t>投标人</w:t>
      </w:r>
      <w:r>
        <w:rPr>
          <w:rFonts w:hint="eastAsia" w:ascii="微软雅黑" w:hAnsi="微软雅黑" w:cs="微软雅黑"/>
          <w:color w:val="auto"/>
          <w:sz w:val="21"/>
          <w:szCs w:val="21"/>
          <w:highlight w:val="none"/>
        </w:rPr>
        <w:t>协商延长投标书的有效期，这种要求和答复均以书面形式进行。</w:t>
      </w:r>
    </w:p>
    <w:p w14:paraId="27B59B4D">
      <w:pPr>
        <w:pStyle w:val="13"/>
        <w:widowControl w:val="0"/>
        <w:numPr>
          <w:ilvl w:val="0"/>
          <w:numId w:val="0"/>
        </w:numPr>
        <w:tabs>
          <w:tab w:val="left" w:pos="360"/>
        </w:tabs>
        <w:snapToGrid w:val="0"/>
        <w:spacing w:afterLines="0" w:line="460" w:lineRule="exact"/>
        <w:ind w:firstLine="420" w:firstLineChars="200"/>
        <w:rPr>
          <w:rFonts w:hint="eastAsia" w:ascii="微软雅黑" w:hAnsi="微软雅黑" w:cs="微软雅黑"/>
          <w:color w:val="auto"/>
          <w:sz w:val="21"/>
          <w:szCs w:val="21"/>
          <w:highlight w:val="none"/>
        </w:rPr>
      </w:pPr>
      <w:bookmarkStart w:id="94" w:name="_Toc385854149"/>
      <w:bookmarkStart w:id="95" w:name="_Toc402963120"/>
      <w:bookmarkStart w:id="96" w:name="_Toc385854103"/>
      <w:bookmarkStart w:id="97" w:name="_Toc532218229"/>
      <w:bookmarkStart w:id="98" w:name="_Toc406402993"/>
      <w:bookmarkStart w:id="99" w:name="_Toc406402949"/>
      <w:bookmarkStart w:id="100" w:name="_Toc402963087"/>
      <w:r>
        <w:rPr>
          <w:rFonts w:hint="eastAsia" w:ascii="微软雅黑" w:hAnsi="微软雅黑" w:cs="微软雅黑"/>
          <w:color w:val="auto"/>
          <w:sz w:val="21"/>
          <w:szCs w:val="21"/>
          <w:highlight w:val="none"/>
        </w:rPr>
        <w:t>3.中标</w:t>
      </w:r>
      <w:r>
        <w:rPr>
          <w:rFonts w:hint="eastAsia" w:ascii="微软雅黑" w:hAnsi="微软雅黑" w:cs="微软雅黑"/>
          <w:color w:val="auto"/>
          <w:sz w:val="21"/>
          <w:szCs w:val="21"/>
          <w:highlight w:val="none"/>
          <w:lang w:eastAsia="zh-CN"/>
        </w:rPr>
        <w:t>投标人</w:t>
      </w:r>
      <w:r>
        <w:rPr>
          <w:rFonts w:hint="eastAsia" w:ascii="微软雅黑" w:hAnsi="微软雅黑" w:cs="微软雅黑"/>
          <w:color w:val="auto"/>
          <w:sz w:val="21"/>
          <w:szCs w:val="21"/>
          <w:highlight w:val="none"/>
        </w:rPr>
        <w:t>的投标文件自开标之日起至合同履行完毕止均应保持有效。</w:t>
      </w:r>
      <w:bookmarkEnd w:id="94"/>
      <w:bookmarkEnd w:id="95"/>
      <w:bookmarkEnd w:id="96"/>
      <w:bookmarkEnd w:id="97"/>
      <w:bookmarkEnd w:id="98"/>
      <w:bookmarkEnd w:id="99"/>
      <w:bookmarkEnd w:id="100"/>
    </w:p>
    <w:p w14:paraId="5184D729">
      <w:pPr>
        <w:pStyle w:val="290"/>
        <w:spacing w:before="0" w:line="460" w:lineRule="exact"/>
        <w:ind w:firstLine="42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4.在原定投标有效期满之前，如果出现特殊情况，采购机构可以以书面形式通知投标</w:t>
      </w:r>
      <w:r>
        <w:rPr>
          <w:rFonts w:hint="eastAsia" w:ascii="微软雅黑" w:hAnsi="微软雅黑" w:eastAsia="微软雅黑" w:cs="微软雅黑"/>
          <w:color w:val="auto"/>
          <w:sz w:val="21"/>
          <w:szCs w:val="21"/>
          <w:highlight w:val="none"/>
          <w:lang w:eastAsia="zh-CN"/>
        </w:rPr>
        <w:t>投标人</w:t>
      </w:r>
      <w:r>
        <w:rPr>
          <w:rFonts w:hint="eastAsia" w:ascii="微软雅黑" w:hAnsi="微软雅黑" w:eastAsia="微软雅黑" w:cs="微软雅黑"/>
          <w:color w:val="auto"/>
          <w:sz w:val="21"/>
          <w:szCs w:val="21"/>
          <w:highlight w:val="none"/>
        </w:rPr>
        <w:t>延长投标有效期。投标</w:t>
      </w:r>
      <w:r>
        <w:rPr>
          <w:rFonts w:hint="eastAsia" w:ascii="微软雅黑" w:hAnsi="微软雅黑" w:eastAsia="微软雅黑" w:cs="微软雅黑"/>
          <w:color w:val="auto"/>
          <w:sz w:val="21"/>
          <w:szCs w:val="21"/>
          <w:highlight w:val="none"/>
          <w:lang w:eastAsia="zh-CN"/>
        </w:rPr>
        <w:t>投标人</w:t>
      </w:r>
      <w:r>
        <w:rPr>
          <w:rFonts w:hint="eastAsia" w:ascii="微软雅黑" w:hAnsi="微软雅黑" w:eastAsia="微软雅黑" w:cs="微软雅黑"/>
          <w:color w:val="auto"/>
          <w:sz w:val="21"/>
          <w:szCs w:val="21"/>
          <w:highlight w:val="none"/>
        </w:rPr>
        <w:t>同意延长的，不得要求或被允许修改其投标文件，投标</w:t>
      </w:r>
      <w:r>
        <w:rPr>
          <w:rFonts w:hint="eastAsia" w:ascii="微软雅黑" w:hAnsi="微软雅黑" w:eastAsia="微软雅黑" w:cs="微软雅黑"/>
          <w:color w:val="auto"/>
          <w:sz w:val="21"/>
          <w:szCs w:val="21"/>
          <w:highlight w:val="none"/>
          <w:lang w:eastAsia="zh-CN"/>
        </w:rPr>
        <w:t>投标人</w:t>
      </w:r>
      <w:r>
        <w:rPr>
          <w:rFonts w:hint="eastAsia" w:ascii="微软雅黑" w:hAnsi="微软雅黑" w:eastAsia="微软雅黑" w:cs="微软雅黑"/>
          <w:color w:val="auto"/>
          <w:sz w:val="21"/>
          <w:szCs w:val="21"/>
          <w:highlight w:val="none"/>
        </w:rPr>
        <w:t>拒绝延长的，其投标无效。</w:t>
      </w:r>
    </w:p>
    <w:p w14:paraId="37773E4F">
      <w:pPr>
        <w:snapToGrid w:val="0"/>
        <w:spacing w:line="460" w:lineRule="exact"/>
        <w:ind w:firstLine="420"/>
        <w:outlineLvl w:val="2"/>
        <w:rPr>
          <w:rFonts w:hint="eastAsia" w:ascii="微软雅黑" w:hAnsi="微软雅黑" w:cs="微软雅黑"/>
          <w:b/>
          <w:color w:val="auto"/>
          <w:szCs w:val="21"/>
          <w:highlight w:val="none"/>
        </w:rPr>
      </w:pPr>
      <w:bookmarkStart w:id="101" w:name="_Toc169015127"/>
      <w:bookmarkStart w:id="102" w:name="_Toc164943203"/>
      <w:r>
        <w:rPr>
          <w:rFonts w:hint="eastAsia" w:ascii="微软雅黑" w:hAnsi="微软雅黑" w:cs="微软雅黑"/>
          <w:b/>
          <w:color w:val="auto"/>
          <w:szCs w:val="21"/>
          <w:highlight w:val="none"/>
        </w:rPr>
        <w:t>（七）投标无效的情形</w:t>
      </w:r>
      <w:bookmarkEnd w:id="101"/>
      <w:bookmarkEnd w:id="102"/>
    </w:p>
    <w:p w14:paraId="75B58752">
      <w:pPr>
        <w:snapToGrid w:val="0"/>
        <w:spacing w:line="460" w:lineRule="exact"/>
        <w:ind w:firstLine="420"/>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1.电子投标文件解密失败的，且未在规定时间内提交有效备份投标文件的。电子投标文件解密失败，虽然在规定时间内提交了备份投标文件，但是备份投标文件无法导入或者无法读取或者不符合本招标文件和电子交易平台要求的。</w:t>
      </w:r>
    </w:p>
    <w:p w14:paraId="259968A7">
      <w:pPr>
        <w:snapToGrid w:val="0"/>
        <w:spacing w:line="460" w:lineRule="exact"/>
        <w:ind w:firstLine="420"/>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2.仅提交备份投标文件，没有在电子交易平台传输递交投标文件的。</w:t>
      </w:r>
    </w:p>
    <w:p w14:paraId="569FF062">
      <w:pPr>
        <w:snapToGrid w:val="0"/>
        <w:spacing w:line="460" w:lineRule="exact"/>
        <w:ind w:firstLine="420"/>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3.没有通过资格审查的，投标文件将被视为无效。</w:t>
      </w:r>
    </w:p>
    <w:p w14:paraId="1384BE6C">
      <w:pPr>
        <w:snapToGrid w:val="0"/>
        <w:spacing w:line="460" w:lineRule="exact"/>
        <w:ind w:firstLine="420"/>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4.在符合性审查和商务评审时，如发现下列情形之一的，投标文件将被视为无效：</w:t>
      </w:r>
    </w:p>
    <w:p w14:paraId="241FEBF4">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bCs/>
          <w:color w:val="auto"/>
          <w:szCs w:val="21"/>
          <w:highlight w:val="none"/>
        </w:rPr>
        <w:t>4.1</w:t>
      </w:r>
      <w:r>
        <w:rPr>
          <w:rFonts w:hint="eastAsia" w:ascii="微软雅黑" w:hAnsi="微软雅黑" w:cs="微软雅黑"/>
          <w:color w:val="auto"/>
          <w:szCs w:val="21"/>
          <w:highlight w:val="none"/>
        </w:rPr>
        <w:t>电子投标文件未按规定要求提供电子签章的。</w:t>
      </w:r>
    </w:p>
    <w:p w14:paraId="68377BFF">
      <w:pPr>
        <w:snapToGrid w:val="0"/>
        <w:spacing w:line="460" w:lineRule="exact"/>
        <w:ind w:firstLine="420"/>
        <w:rPr>
          <w:rFonts w:hint="eastAsia" w:ascii="微软雅黑" w:hAnsi="微软雅黑" w:cs="微软雅黑"/>
          <w:bCs/>
          <w:color w:val="auto"/>
          <w:szCs w:val="21"/>
          <w:highlight w:val="none"/>
        </w:rPr>
      </w:pPr>
      <w:r>
        <w:rPr>
          <w:rFonts w:hint="eastAsia" w:ascii="微软雅黑" w:hAnsi="微软雅黑" w:cs="微软雅黑"/>
          <w:color w:val="auto"/>
          <w:szCs w:val="21"/>
          <w:highlight w:val="none"/>
        </w:rPr>
        <w:t>4.2</w:t>
      </w:r>
      <w:r>
        <w:rPr>
          <w:rFonts w:hint="eastAsia" w:ascii="微软雅黑" w:hAnsi="微软雅黑" w:cs="微软雅黑"/>
          <w:bCs/>
          <w:color w:val="auto"/>
          <w:szCs w:val="21"/>
          <w:highlight w:val="none"/>
        </w:rPr>
        <w:t>在资信商务技术文件中出现报价的。</w:t>
      </w:r>
    </w:p>
    <w:p w14:paraId="19E86189">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4.3未按要求对资格文件进行承诺，或虚假承诺的。</w:t>
      </w:r>
    </w:p>
    <w:p w14:paraId="71FB6AE3">
      <w:pPr>
        <w:snapToGrid w:val="0"/>
        <w:spacing w:line="460" w:lineRule="exact"/>
        <w:ind w:firstLine="420"/>
        <w:rPr>
          <w:rFonts w:hint="eastAsia" w:ascii="微软雅黑" w:hAnsi="微软雅黑" w:cs="微软雅黑"/>
          <w:bCs/>
          <w:color w:val="auto"/>
          <w:kern w:val="0"/>
          <w:szCs w:val="21"/>
          <w:highlight w:val="none"/>
        </w:rPr>
      </w:pPr>
      <w:r>
        <w:rPr>
          <w:rFonts w:hint="eastAsia" w:ascii="微软雅黑" w:hAnsi="微软雅黑" w:cs="微软雅黑"/>
          <w:color w:val="auto"/>
          <w:szCs w:val="21"/>
          <w:highlight w:val="none"/>
        </w:rPr>
        <w:t>4.4未</w:t>
      </w:r>
      <w:r>
        <w:rPr>
          <w:rFonts w:hint="eastAsia" w:ascii="微软雅黑" w:hAnsi="微软雅黑" w:cs="微软雅黑"/>
          <w:bCs/>
          <w:color w:val="auto"/>
          <w:kern w:val="0"/>
          <w:szCs w:val="21"/>
          <w:highlight w:val="none"/>
        </w:rPr>
        <w:t>提供法定代表人授权委托书、投标函或者填写项目不齐全的。</w:t>
      </w:r>
    </w:p>
    <w:p w14:paraId="6A865A2A">
      <w:pPr>
        <w:pStyle w:val="21"/>
        <w:snapToGrid w:val="0"/>
        <w:spacing w:line="460" w:lineRule="exact"/>
        <w:ind w:firstLine="404"/>
        <w:rPr>
          <w:rFonts w:hint="eastAsia" w:ascii="微软雅黑" w:hAnsi="微软雅黑" w:cs="微软雅黑"/>
          <w:snapToGrid w:val="0"/>
          <w:color w:val="auto"/>
          <w:sz w:val="21"/>
          <w:szCs w:val="21"/>
          <w:highlight w:val="none"/>
        </w:rPr>
      </w:pPr>
      <w:r>
        <w:rPr>
          <w:rFonts w:hint="eastAsia" w:ascii="微软雅黑" w:hAnsi="微软雅黑" w:cs="微软雅黑"/>
          <w:color w:val="auto"/>
          <w:sz w:val="21"/>
          <w:szCs w:val="21"/>
          <w:highlight w:val="none"/>
        </w:rPr>
        <w:t>4.5投标文件格式不规范、项目不齐全或者内容虚假的。</w:t>
      </w:r>
    </w:p>
    <w:p w14:paraId="0F3181D6">
      <w:pPr>
        <w:pStyle w:val="21"/>
        <w:snapToGrid w:val="0"/>
        <w:spacing w:line="460" w:lineRule="exact"/>
        <w:ind w:firstLine="404"/>
        <w:rPr>
          <w:rFonts w:hint="eastAsia" w:ascii="微软雅黑" w:hAnsi="微软雅黑" w:cs="微软雅黑"/>
          <w:snapToGrid w:val="0"/>
          <w:color w:val="auto"/>
          <w:sz w:val="21"/>
          <w:szCs w:val="21"/>
          <w:highlight w:val="none"/>
        </w:rPr>
      </w:pPr>
      <w:r>
        <w:rPr>
          <w:rFonts w:hint="eastAsia" w:ascii="微软雅黑" w:hAnsi="微软雅黑" w:cs="微软雅黑"/>
          <w:color w:val="auto"/>
          <w:sz w:val="21"/>
          <w:szCs w:val="21"/>
          <w:highlight w:val="none"/>
        </w:rPr>
        <w:t>4.6投标文件的实质性内容未使用中文表述、意思表述不明确、前后矛盾或者使用计量单位不符合招标文件要求的（经评标委员会认定并允许其当场更正的笔误除外）。</w:t>
      </w:r>
    </w:p>
    <w:p w14:paraId="3E70D1DB">
      <w:pPr>
        <w:pStyle w:val="21"/>
        <w:snapToGrid w:val="0"/>
        <w:spacing w:line="460" w:lineRule="exact"/>
        <w:ind w:firstLine="404"/>
        <w:rPr>
          <w:rFonts w:hint="eastAsia" w:ascii="微软雅黑" w:hAnsi="微软雅黑" w:cs="微软雅黑"/>
          <w:snapToGrid w:val="0"/>
          <w:color w:val="auto"/>
          <w:sz w:val="21"/>
          <w:szCs w:val="21"/>
          <w:highlight w:val="none"/>
        </w:rPr>
      </w:pPr>
      <w:r>
        <w:rPr>
          <w:rFonts w:hint="eastAsia" w:ascii="微软雅黑" w:hAnsi="微软雅黑" w:cs="微软雅黑"/>
          <w:color w:val="auto"/>
          <w:sz w:val="21"/>
          <w:szCs w:val="21"/>
          <w:highlight w:val="none"/>
        </w:rPr>
        <w:t>4.7</w:t>
      </w:r>
      <w:r>
        <w:rPr>
          <w:rFonts w:hint="eastAsia" w:ascii="微软雅黑" w:hAnsi="微软雅黑" w:cs="微软雅黑"/>
          <w:snapToGrid w:val="0"/>
          <w:color w:val="auto"/>
          <w:sz w:val="21"/>
          <w:szCs w:val="21"/>
          <w:highlight w:val="none"/>
        </w:rPr>
        <w:t>投标有效期、服务承诺等商务条款不能满足招标文件要求的。</w:t>
      </w:r>
    </w:p>
    <w:p w14:paraId="2D8AD3C8">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4.8未实质性响应招标文件要求或者投标文件有采购人不能接受的附加条件的。</w:t>
      </w:r>
    </w:p>
    <w:p w14:paraId="60D8F16E">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4.9不符合本招标文件中的实质性要求条款。</w:t>
      </w:r>
    </w:p>
    <w:p w14:paraId="7184B6D2">
      <w:pPr>
        <w:pStyle w:val="21"/>
        <w:snapToGrid w:val="0"/>
        <w:spacing w:line="460" w:lineRule="exact"/>
        <w:ind w:firstLine="404"/>
        <w:rPr>
          <w:rFonts w:hint="eastAsia" w:ascii="微软雅黑" w:hAnsi="微软雅黑" w:cs="微软雅黑"/>
          <w:b/>
          <w:bCs/>
          <w:color w:val="auto"/>
          <w:sz w:val="21"/>
          <w:szCs w:val="21"/>
          <w:highlight w:val="none"/>
        </w:rPr>
      </w:pPr>
      <w:r>
        <w:rPr>
          <w:rFonts w:hint="eastAsia" w:ascii="微软雅黑" w:hAnsi="微软雅黑" w:cs="微软雅黑"/>
          <w:b/>
          <w:bCs/>
          <w:color w:val="auto"/>
          <w:sz w:val="21"/>
          <w:szCs w:val="21"/>
          <w:highlight w:val="none"/>
        </w:rPr>
        <w:t>5.在技术评审时，如发现下列情形之一的，投标文件将被视为无效：</w:t>
      </w:r>
    </w:p>
    <w:p w14:paraId="22FDEEEF">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5.1未提供或未如实提供投标货物的技术参数，或者投标文件标明的响应或偏离与事实不符或虚假投标的。</w:t>
      </w:r>
    </w:p>
    <w:p w14:paraId="0EE669D3">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5.2</w:t>
      </w:r>
      <w:r>
        <w:rPr>
          <w:rFonts w:hint="eastAsia" w:ascii="微软雅黑" w:hAnsi="微软雅黑" w:cs="微软雅黑"/>
          <w:snapToGrid w:val="0"/>
          <w:color w:val="auto"/>
          <w:sz w:val="21"/>
          <w:szCs w:val="21"/>
          <w:highlight w:val="none"/>
        </w:rPr>
        <w:t>明显不符合招标文件要求的规格型号、质量标准，或者与</w:t>
      </w:r>
      <w:r>
        <w:rPr>
          <w:rFonts w:hint="eastAsia" w:ascii="微软雅黑" w:hAnsi="微软雅黑" w:cs="微软雅黑"/>
          <w:color w:val="auto"/>
          <w:sz w:val="21"/>
          <w:szCs w:val="21"/>
          <w:highlight w:val="none"/>
        </w:rPr>
        <w:t>招标文件中标“▲”的技术指标、主要功能项目发生实质性偏离的。</w:t>
      </w:r>
    </w:p>
    <w:p w14:paraId="4B798386">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snapToGrid w:val="0"/>
          <w:color w:val="auto"/>
          <w:sz w:val="21"/>
          <w:szCs w:val="21"/>
          <w:highlight w:val="none"/>
        </w:rPr>
        <w:t>5.3</w:t>
      </w:r>
      <w:r>
        <w:rPr>
          <w:rFonts w:hint="eastAsia" w:ascii="微软雅黑" w:hAnsi="微软雅黑" w:cs="微软雅黑"/>
          <w:color w:val="auto"/>
          <w:sz w:val="21"/>
          <w:szCs w:val="21"/>
          <w:highlight w:val="none"/>
        </w:rPr>
        <w:t>投标技术方案不明确，存在一个或一个以上备选（替代）投标方案的。</w:t>
      </w:r>
    </w:p>
    <w:p w14:paraId="21D4778F">
      <w:pPr>
        <w:pStyle w:val="21"/>
        <w:snapToGrid w:val="0"/>
        <w:spacing w:line="460" w:lineRule="exact"/>
        <w:ind w:firstLine="404"/>
        <w:rPr>
          <w:rFonts w:hint="eastAsia" w:ascii="微软雅黑" w:hAnsi="微软雅黑" w:cs="微软雅黑"/>
          <w:b/>
          <w:bCs/>
          <w:color w:val="auto"/>
          <w:sz w:val="21"/>
          <w:szCs w:val="21"/>
          <w:highlight w:val="none"/>
        </w:rPr>
      </w:pPr>
      <w:r>
        <w:rPr>
          <w:rFonts w:hint="eastAsia" w:ascii="微软雅黑" w:hAnsi="微软雅黑" w:cs="微软雅黑"/>
          <w:b/>
          <w:bCs/>
          <w:color w:val="auto"/>
          <w:sz w:val="21"/>
          <w:szCs w:val="21"/>
          <w:highlight w:val="none"/>
        </w:rPr>
        <w:t>6.在报价评审时，如发现下列情形之一的，投标文件将被视为无效：</w:t>
      </w:r>
    </w:p>
    <w:p w14:paraId="07426910">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6.1未按要求提供《开标一览表》。</w:t>
      </w:r>
    </w:p>
    <w:p w14:paraId="4A3E4AAE">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6.2未采用人民币报价或者未按照招标文件标明的币种报价的。</w:t>
      </w:r>
    </w:p>
    <w:p w14:paraId="257F62B2">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6.3报价超出最高限价的。</w:t>
      </w:r>
    </w:p>
    <w:p w14:paraId="56D6ED8D">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 xml:space="preserve">6.4投标报价具有选择性，或者开标价格与投标文件承诺的优惠（折扣）价格不一致的。   </w:t>
      </w:r>
    </w:p>
    <w:p w14:paraId="5C53E817">
      <w:pPr>
        <w:spacing w:line="460" w:lineRule="exact"/>
        <w:ind w:firstLine="404"/>
        <w:rPr>
          <w:rFonts w:hint="eastAsia" w:ascii="微软雅黑" w:hAnsi="微软雅黑" w:cs="微软雅黑"/>
          <w:color w:val="auto"/>
          <w:spacing w:val="-4"/>
          <w:kern w:val="0"/>
          <w:szCs w:val="21"/>
          <w:highlight w:val="none"/>
        </w:rPr>
      </w:pPr>
      <w:r>
        <w:rPr>
          <w:rFonts w:hint="eastAsia" w:ascii="微软雅黑" w:hAnsi="微软雅黑" w:cs="微软雅黑"/>
          <w:color w:val="auto"/>
          <w:spacing w:val="-4"/>
          <w:kern w:val="0"/>
          <w:szCs w:val="21"/>
          <w:highlight w:val="none"/>
        </w:rPr>
        <w:t>6.5报价明显低于其他通过符合性审查投标</w:t>
      </w:r>
      <w:r>
        <w:rPr>
          <w:rFonts w:hint="eastAsia" w:ascii="微软雅黑" w:hAnsi="微软雅黑" w:cs="微软雅黑"/>
          <w:color w:val="auto"/>
          <w:spacing w:val="-4"/>
          <w:kern w:val="0"/>
          <w:szCs w:val="21"/>
          <w:highlight w:val="none"/>
          <w:lang w:eastAsia="zh-CN"/>
        </w:rPr>
        <w:t>投标人</w:t>
      </w:r>
      <w:r>
        <w:rPr>
          <w:rFonts w:hint="eastAsia" w:ascii="微软雅黑" w:hAnsi="微软雅黑" w:cs="微软雅黑"/>
          <w:color w:val="auto"/>
          <w:spacing w:val="-4"/>
          <w:kern w:val="0"/>
          <w:szCs w:val="21"/>
          <w:highlight w:val="none"/>
        </w:rPr>
        <w:t xml:space="preserve">的报价，有可能影响产品质量或者不能诚信履约的，未能按要求提供书面说明或者提交相关证明材料，不能证明其报价合理性的; </w:t>
      </w:r>
    </w:p>
    <w:p w14:paraId="35DEF972">
      <w:pPr>
        <w:spacing w:line="460" w:lineRule="exact"/>
        <w:ind w:firstLine="404"/>
        <w:rPr>
          <w:rFonts w:hint="eastAsia" w:ascii="微软雅黑" w:hAnsi="微软雅黑" w:cs="微软雅黑"/>
          <w:color w:val="auto"/>
          <w:spacing w:val="-4"/>
          <w:kern w:val="0"/>
          <w:szCs w:val="21"/>
          <w:highlight w:val="none"/>
        </w:rPr>
      </w:pPr>
      <w:r>
        <w:rPr>
          <w:rFonts w:hint="eastAsia" w:ascii="微软雅黑" w:hAnsi="微软雅黑" w:cs="微软雅黑"/>
          <w:color w:val="auto"/>
          <w:spacing w:val="-4"/>
          <w:kern w:val="0"/>
          <w:szCs w:val="21"/>
          <w:highlight w:val="none"/>
        </w:rPr>
        <w:t xml:space="preserve">6.6报价一经涂改，应在涂改处加盖单位公章或者由法定代表人或被授权人签字（或盖章），否则其投标作无效标处理；   </w:t>
      </w:r>
    </w:p>
    <w:p w14:paraId="49EF4BEB">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7.</w:t>
      </w:r>
      <w:r>
        <w:rPr>
          <w:rFonts w:hint="eastAsia" w:ascii="微软雅黑" w:hAnsi="微软雅黑" w:cs="微软雅黑"/>
          <w:b/>
          <w:bCs/>
          <w:color w:val="auto"/>
          <w:szCs w:val="21"/>
          <w:highlight w:val="none"/>
        </w:rPr>
        <w:t>投标</w:t>
      </w:r>
      <w:r>
        <w:rPr>
          <w:rFonts w:hint="eastAsia" w:ascii="微软雅黑" w:hAnsi="微软雅黑" w:cs="微软雅黑"/>
          <w:b/>
          <w:bCs/>
          <w:color w:val="auto"/>
          <w:szCs w:val="21"/>
          <w:highlight w:val="none"/>
          <w:lang w:eastAsia="zh-CN"/>
        </w:rPr>
        <w:t>投标人</w:t>
      </w:r>
      <w:r>
        <w:rPr>
          <w:rFonts w:hint="eastAsia" w:ascii="微软雅黑" w:hAnsi="微软雅黑" w:cs="微软雅黑"/>
          <w:b/>
          <w:bCs/>
          <w:color w:val="auto"/>
          <w:szCs w:val="21"/>
          <w:highlight w:val="none"/>
        </w:rPr>
        <w:t>有恶意串通、妨碍其他投标</w:t>
      </w:r>
      <w:r>
        <w:rPr>
          <w:rFonts w:hint="eastAsia" w:ascii="微软雅黑" w:hAnsi="微软雅黑" w:cs="微软雅黑"/>
          <w:b/>
          <w:bCs/>
          <w:color w:val="auto"/>
          <w:szCs w:val="21"/>
          <w:highlight w:val="none"/>
          <w:lang w:eastAsia="zh-CN"/>
        </w:rPr>
        <w:t>投标人</w:t>
      </w:r>
      <w:r>
        <w:rPr>
          <w:rFonts w:hint="eastAsia" w:ascii="微软雅黑" w:hAnsi="微软雅黑" w:cs="微软雅黑"/>
          <w:b/>
          <w:bCs/>
          <w:color w:val="auto"/>
          <w:szCs w:val="21"/>
          <w:highlight w:val="none"/>
        </w:rPr>
        <w:t>的竞争行为、损害采购人或者其他投标</w:t>
      </w:r>
      <w:r>
        <w:rPr>
          <w:rFonts w:hint="eastAsia" w:ascii="微软雅黑" w:hAnsi="微软雅黑" w:cs="微软雅黑"/>
          <w:b/>
          <w:bCs/>
          <w:color w:val="auto"/>
          <w:szCs w:val="21"/>
          <w:highlight w:val="none"/>
          <w:lang w:eastAsia="zh-CN"/>
        </w:rPr>
        <w:t>投标人</w:t>
      </w:r>
      <w:r>
        <w:rPr>
          <w:rFonts w:hint="eastAsia" w:ascii="微软雅黑" w:hAnsi="微软雅黑" w:cs="微软雅黑"/>
          <w:b/>
          <w:bCs/>
          <w:color w:val="auto"/>
          <w:szCs w:val="21"/>
          <w:highlight w:val="none"/>
        </w:rPr>
        <w:t>的合法权益情形的，投标文件将被视为无效</w:t>
      </w:r>
      <w:r>
        <w:rPr>
          <w:rFonts w:hint="eastAsia" w:ascii="微软雅黑" w:hAnsi="微软雅黑" w:cs="微软雅黑"/>
          <w:color w:val="auto"/>
          <w:kern w:val="0"/>
          <w:szCs w:val="21"/>
          <w:highlight w:val="none"/>
        </w:rPr>
        <w:t>；</w:t>
      </w:r>
      <w:r>
        <w:rPr>
          <w:rFonts w:hint="eastAsia" w:ascii="微软雅黑" w:hAnsi="微软雅黑" w:cs="微软雅黑"/>
          <w:color w:val="auto"/>
          <w:szCs w:val="21"/>
          <w:highlight w:val="none"/>
        </w:rPr>
        <w:t xml:space="preserve"> </w:t>
      </w:r>
    </w:p>
    <w:p w14:paraId="2D8CF58F">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b/>
          <w:bCs/>
          <w:color w:val="auto"/>
          <w:sz w:val="21"/>
          <w:szCs w:val="21"/>
          <w:highlight w:val="none"/>
        </w:rPr>
        <w:t>8.法律、法规、规章（适用本市的）及省级以上规范性文件（适用本市的）规定的其他无效情形。</w:t>
      </w:r>
      <w:r>
        <w:rPr>
          <w:rFonts w:hint="eastAsia" w:ascii="微软雅黑" w:hAnsi="微软雅黑" w:cs="微软雅黑"/>
          <w:color w:val="auto"/>
          <w:sz w:val="21"/>
          <w:szCs w:val="21"/>
          <w:highlight w:val="none"/>
        </w:rPr>
        <w:t xml:space="preserve">                                                                                    </w:t>
      </w:r>
    </w:p>
    <w:p w14:paraId="67F79792">
      <w:pPr>
        <w:pStyle w:val="21"/>
        <w:snapToGrid w:val="0"/>
        <w:spacing w:line="460" w:lineRule="exact"/>
        <w:ind w:firstLine="404"/>
        <w:rPr>
          <w:rFonts w:hint="eastAsia" w:ascii="微软雅黑" w:hAnsi="微软雅黑" w:cs="微软雅黑"/>
          <w:b/>
          <w:color w:val="auto"/>
          <w:sz w:val="21"/>
          <w:szCs w:val="21"/>
          <w:highlight w:val="none"/>
        </w:rPr>
      </w:pPr>
      <w:r>
        <w:rPr>
          <w:rFonts w:hint="eastAsia" w:ascii="微软雅黑" w:hAnsi="微软雅黑" w:cs="微软雅黑"/>
          <w:b/>
          <w:color w:val="auto"/>
          <w:sz w:val="21"/>
          <w:szCs w:val="21"/>
          <w:highlight w:val="none"/>
        </w:rPr>
        <w:t>9.被拒绝的投标文件为无效。</w:t>
      </w:r>
    </w:p>
    <w:p w14:paraId="3AA88BDA">
      <w:pPr>
        <w:pStyle w:val="21"/>
        <w:snapToGrid w:val="0"/>
        <w:spacing w:line="460" w:lineRule="exact"/>
        <w:ind w:firstLine="404"/>
        <w:rPr>
          <w:rFonts w:hint="eastAsia" w:ascii="微软雅黑" w:hAnsi="微软雅黑" w:cs="微软雅黑"/>
          <w:b/>
          <w:color w:val="auto"/>
          <w:sz w:val="21"/>
          <w:szCs w:val="21"/>
          <w:highlight w:val="none"/>
        </w:rPr>
      </w:pPr>
      <w:r>
        <w:rPr>
          <w:rFonts w:hint="eastAsia" w:ascii="微软雅黑" w:hAnsi="微软雅黑" w:cs="微软雅黑"/>
          <w:b/>
          <w:color w:val="auto"/>
          <w:sz w:val="21"/>
          <w:szCs w:val="21"/>
          <w:highlight w:val="none"/>
        </w:rPr>
        <w:t>（八）废标的情形</w:t>
      </w:r>
    </w:p>
    <w:p w14:paraId="10F0323E">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根据《中华人民共和国政府采购法》第三十六条之规定，在采购中，出现下列情形之一的，应予废标：</w:t>
      </w:r>
    </w:p>
    <w:p w14:paraId="010029F5">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1.符合专业条件的</w:t>
      </w:r>
      <w:r>
        <w:rPr>
          <w:rFonts w:hint="eastAsia" w:ascii="微软雅黑" w:hAnsi="微软雅黑" w:cs="微软雅黑"/>
          <w:color w:val="auto"/>
          <w:sz w:val="21"/>
          <w:szCs w:val="21"/>
          <w:highlight w:val="none"/>
          <w:lang w:eastAsia="zh-CN"/>
        </w:rPr>
        <w:t>投标人</w:t>
      </w:r>
      <w:r>
        <w:rPr>
          <w:rFonts w:hint="eastAsia" w:ascii="微软雅黑" w:hAnsi="微软雅黑" w:cs="微软雅黑"/>
          <w:color w:val="auto"/>
          <w:sz w:val="21"/>
          <w:szCs w:val="21"/>
          <w:highlight w:val="none"/>
        </w:rPr>
        <w:t>或者对招标文件作实质响应的</w:t>
      </w:r>
      <w:r>
        <w:rPr>
          <w:rFonts w:hint="eastAsia" w:ascii="微软雅黑" w:hAnsi="微软雅黑" w:cs="微软雅黑"/>
          <w:color w:val="auto"/>
          <w:sz w:val="21"/>
          <w:szCs w:val="21"/>
          <w:highlight w:val="none"/>
          <w:lang w:eastAsia="zh-CN"/>
        </w:rPr>
        <w:t>投标人</w:t>
      </w:r>
      <w:r>
        <w:rPr>
          <w:rFonts w:hint="eastAsia" w:ascii="微软雅黑" w:hAnsi="微软雅黑" w:cs="微软雅黑"/>
          <w:color w:val="auto"/>
          <w:sz w:val="21"/>
          <w:szCs w:val="21"/>
          <w:highlight w:val="none"/>
        </w:rPr>
        <w:t>不足3家的；</w:t>
      </w:r>
    </w:p>
    <w:p w14:paraId="4859B893">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2.出现影响采购公正的违法、违规行为的；</w:t>
      </w:r>
    </w:p>
    <w:p w14:paraId="54E7556B">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3.投标</w:t>
      </w:r>
      <w:r>
        <w:rPr>
          <w:rFonts w:hint="eastAsia" w:ascii="微软雅黑" w:hAnsi="微软雅黑" w:cs="微软雅黑"/>
          <w:color w:val="auto"/>
          <w:sz w:val="21"/>
          <w:szCs w:val="21"/>
          <w:highlight w:val="none"/>
          <w:lang w:eastAsia="zh-CN"/>
        </w:rPr>
        <w:t>投标人</w:t>
      </w:r>
      <w:r>
        <w:rPr>
          <w:rFonts w:hint="eastAsia" w:ascii="微软雅黑" w:hAnsi="微软雅黑" w:cs="微软雅黑"/>
          <w:color w:val="auto"/>
          <w:sz w:val="21"/>
          <w:szCs w:val="21"/>
          <w:highlight w:val="none"/>
        </w:rPr>
        <w:t>的报价均超过了采购预算，采购人不能支付的；</w:t>
      </w:r>
    </w:p>
    <w:p w14:paraId="2E79EC56">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4.因重大变故，采购任务取消的。</w:t>
      </w:r>
    </w:p>
    <w:p w14:paraId="6DAF306F">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废标后，采购机构应当将废标理由通知所有投标</w:t>
      </w:r>
      <w:r>
        <w:rPr>
          <w:rFonts w:hint="eastAsia" w:ascii="微软雅黑" w:hAnsi="微软雅黑" w:cs="微软雅黑"/>
          <w:color w:val="auto"/>
          <w:sz w:val="21"/>
          <w:szCs w:val="21"/>
          <w:highlight w:val="none"/>
          <w:lang w:eastAsia="zh-CN"/>
        </w:rPr>
        <w:t>投标人</w:t>
      </w:r>
      <w:r>
        <w:rPr>
          <w:rFonts w:hint="eastAsia" w:ascii="微软雅黑" w:hAnsi="微软雅黑" w:cs="微软雅黑"/>
          <w:color w:val="auto"/>
          <w:sz w:val="21"/>
          <w:szCs w:val="21"/>
          <w:highlight w:val="none"/>
        </w:rPr>
        <w:t>。</w:t>
      </w:r>
    </w:p>
    <w:p w14:paraId="299381E0">
      <w:pPr>
        <w:pStyle w:val="3"/>
        <w:keepNext w:val="0"/>
        <w:keepLines w:val="0"/>
        <w:spacing w:line="460" w:lineRule="exact"/>
        <w:ind w:firstLine="420" w:firstLineChars="200"/>
        <w:rPr>
          <w:rFonts w:hint="eastAsia" w:ascii="微软雅黑" w:hAnsi="微软雅黑" w:cs="微软雅黑"/>
          <w:color w:val="auto"/>
          <w:sz w:val="21"/>
          <w:szCs w:val="21"/>
          <w:highlight w:val="none"/>
        </w:rPr>
      </w:pPr>
      <w:bookmarkStart w:id="103" w:name="_Toc16709"/>
      <w:r>
        <w:rPr>
          <w:rFonts w:hint="eastAsia" w:ascii="微软雅黑" w:hAnsi="微软雅黑" w:cs="微软雅黑"/>
          <w:color w:val="auto"/>
          <w:sz w:val="21"/>
          <w:szCs w:val="21"/>
          <w:highlight w:val="none"/>
        </w:rPr>
        <w:t>四、开标</w:t>
      </w:r>
      <w:bookmarkEnd w:id="68"/>
      <w:bookmarkEnd w:id="103"/>
    </w:p>
    <w:p w14:paraId="4031FE03">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1.本项目实行电子开评标，</w:t>
      </w:r>
      <w:r>
        <w:rPr>
          <w:rFonts w:hint="eastAsia" w:ascii="微软雅黑" w:hAnsi="微软雅黑" w:cs="微软雅黑"/>
          <w:color w:val="auto"/>
          <w:sz w:val="21"/>
          <w:szCs w:val="21"/>
          <w:highlight w:val="none"/>
          <w:lang w:eastAsia="zh-CN"/>
        </w:rPr>
        <w:t>投标人</w:t>
      </w:r>
      <w:r>
        <w:rPr>
          <w:rFonts w:hint="eastAsia" w:ascii="微软雅黑" w:hAnsi="微软雅黑" w:cs="微软雅黑"/>
          <w:color w:val="auto"/>
          <w:sz w:val="21"/>
          <w:szCs w:val="21"/>
          <w:highlight w:val="none"/>
        </w:rPr>
        <w:t>无需到开标现场，但须准时在线参加，直至评审结束。投标</w:t>
      </w:r>
      <w:r>
        <w:rPr>
          <w:rFonts w:hint="eastAsia" w:ascii="微软雅黑" w:hAnsi="微软雅黑" w:cs="微软雅黑"/>
          <w:color w:val="auto"/>
          <w:sz w:val="21"/>
          <w:szCs w:val="21"/>
          <w:highlight w:val="none"/>
          <w:lang w:eastAsia="zh-CN"/>
        </w:rPr>
        <w:t>投标人</w:t>
      </w:r>
      <w:r>
        <w:rPr>
          <w:rFonts w:hint="eastAsia" w:ascii="微软雅黑" w:hAnsi="微软雅黑" w:cs="微软雅黑"/>
          <w:color w:val="auto"/>
          <w:sz w:val="21"/>
          <w:szCs w:val="21"/>
          <w:highlight w:val="none"/>
        </w:rPr>
        <w:t>不足3家的，不得开标。</w:t>
      </w:r>
    </w:p>
    <w:p w14:paraId="7B2CCE4F">
      <w:pPr>
        <w:pStyle w:val="21"/>
        <w:snapToGrid w:val="0"/>
        <w:spacing w:line="460" w:lineRule="exact"/>
        <w:ind w:firstLine="404"/>
        <w:rPr>
          <w:rFonts w:hint="eastAsia" w:ascii="微软雅黑" w:hAnsi="微软雅黑" w:cs="微软雅黑"/>
          <w:color w:val="auto"/>
          <w:sz w:val="21"/>
          <w:szCs w:val="21"/>
          <w:highlight w:val="none"/>
        </w:rPr>
      </w:pPr>
      <w:r>
        <w:rPr>
          <w:rFonts w:hint="eastAsia" w:ascii="微软雅黑" w:hAnsi="微软雅黑" w:cs="微软雅黑"/>
          <w:color w:val="auto"/>
          <w:sz w:val="21"/>
          <w:szCs w:val="21"/>
          <w:highlight w:val="none"/>
        </w:rPr>
        <w:t>2.投标截止时间后的半小时内，由各</w:t>
      </w:r>
      <w:r>
        <w:rPr>
          <w:rFonts w:hint="eastAsia" w:ascii="微软雅黑" w:hAnsi="微软雅黑" w:cs="微软雅黑"/>
          <w:color w:val="auto"/>
          <w:sz w:val="21"/>
          <w:szCs w:val="21"/>
          <w:highlight w:val="none"/>
          <w:lang w:eastAsia="zh-CN"/>
        </w:rPr>
        <w:t>投标人</w:t>
      </w:r>
      <w:r>
        <w:rPr>
          <w:rFonts w:hint="eastAsia" w:ascii="微软雅黑" w:hAnsi="微软雅黑" w:cs="微软雅黑"/>
          <w:color w:val="auto"/>
          <w:sz w:val="21"/>
          <w:szCs w:val="21"/>
          <w:highlight w:val="none"/>
        </w:rPr>
        <w:t>自行对电子投标文件进行解密请各</w:t>
      </w:r>
      <w:r>
        <w:rPr>
          <w:rFonts w:hint="eastAsia" w:ascii="微软雅黑" w:hAnsi="微软雅黑" w:cs="微软雅黑"/>
          <w:color w:val="auto"/>
          <w:sz w:val="21"/>
          <w:szCs w:val="21"/>
          <w:highlight w:val="none"/>
          <w:lang w:eastAsia="zh-CN"/>
        </w:rPr>
        <w:t>投标人</w:t>
      </w:r>
      <w:r>
        <w:rPr>
          <w:rFonts w:hint="eastAsia" w:ascii="微软雅黑" w:hAnsi="微软雅黑" w:cs="微软雅黑"/>
          <w:color w:val="auto"/>
          <w:sz w:val="21"/>
          <w:szCs w:val="21"/>
          <w:highlight w:val="none"/>
        </w:rPr>
        <w:t>务必在规定时间内完成电子投标文件的解密工作；开启报价环节，</w:t>
      </w:r>
      <w:r>
        <w:rPr>
          <w:rFonts w:hint="eastAsia" w:ascii="微软雅黑" w:hAnsi="微软雅黑" w:cs="微软雅黑"/>
          <w:color w:val="auto"/>
          <w:sz w:val="21"/>
          <w:szCs w:val="21"/>
          <w:highlight w:val="none"/>
          <w:lang w:eastAsia="zh-CN"/>
        </w:rPr>
        <w:t>投标人</w:t>
      </w:r>
      <w:r>
        <w:rPr>
          <w:rFonts w:hint="eastAsia" w:ascii="微软雅黑" w:hAnsi="微软雅黑" w:cs="微软雅黑"/>
          <w:color w:val="auto"/>
          <w:sz w:val="21"/>
          <w:szCs w:val="21"/>
          <w:highlight w:val="none"/>
        </w:rPr>
        <w:t>须在15分钟内在系统里CA签字确认。</w:t>
      </w:r>
    </w:p>
    <w:p w14:paraId="523A8C51">
      <w:pPr>
        <w:pStyle w:val="21"/>
        <w:snapToGrid w:val="0"/>
        <w:spacing w:line="460" w:lineRule="exact"/>
        <w:ind w:firstLine="404"/>
        <w:rPr>
          <w:rFonts w:hint="eastAsia" w:ascii="微软雅黑" w:hAnsi="微软雅黑" w:cs="微软雅黑"/>
          <w:color w:val="auto"/>
          <w:kern w:val="0"/>
          <w:sz w:val="21"/>
          <w:szCs w:val="21"/>
          <w:highlight w:val="none"/>
          <w:shd w:val="pct10" w:color="auto" w:fill="FFFFFF"/>
        </w:rPr>
      </w:pPr>
      <w:r>
        <w:rPr>
          <w:rFonts w:hint="eastAsia" w:ascii="微软雅黑" w:hAnsi="微软雅黑" w:cs="微软雅黑"/>
          <w:color w:val="auto"/>
          <w:sz w:val="21"/>
          <w:szCs w:val="21"/>
          <w:highlight w:val="none"/>
        </w:rPr>
        <w:t>3.投标文件未按时解密，投标</w:t>
      </w:r>
      <w:r>
        <w:rPr>
          <w:rFonts w:hint="eastAsia" w:ascii="微软雅黑" w:hAnsi="微软雅黑" w:cs="微软雅黑"/>
          <w:color w:val="auto"/>
          <w:sz w:val="21"/>
          <w:szCs w:val="21"/>
          <w:highlight w:val="none"/>
          <w:lang w:eastAsia="zh-CN"/>
        </w:rPr>
        <w:t>投标人</w:t>
      </w:r>
      <w:r>
        <w:rPr>
          <w:rFonts w:hint="eastAsia" w:ascii="微软雅黑" w:hAnsi="微软雅黑" w:cs="微软雅黑"/>
          <w:color w:val="auto"/>
          <w:sz w:val="21"/>
          <w:szCs w:val="21"/>
          <w:highlight w:val="none"/>
        </w:rPr>
        <w:t>提供了备份投标文件的，以备份投标文件作为依据，否则视为投标文件撤回。投标文件已按时解密的，备份投标文件自动失效。</w:t>
      </w:r>
    </w:p>
    <w:p w14:paraId="195CE3C4">
      <w:pPr>
        <w:pStyle w:val="3"/>
        <w:keepNext w:val="0"/>
        <w:keepLines w:val="0"/>
        <w:spacing w:line="460" w:lineRule="exact"/>
        <w:ind w:firstLine="420" w:firstLineChars="200"/>
        <w:rPr>
          <w:rFonts w:hint="eastAsia" w:ascii="微软雅黑" w:hAnsi="微软雅黑" w:cs="微软雅黑"/>
          <w:color w:val="auto"/>
          <w:sz w:val="21"/>
          <w:szCs w:val="21"/>
          <w:highlight w:val="none"/>
        </w:rPr>
      </w:pPr>
      <w:bookmarkStart w:id="104" w:name="_Toc33535370"/>
      <w:bookmarkStart w:id="105" w:name="_Toc29783"/>
      <w:r>
        <w:rPr>
          <w:rFonts w:hint="eastAsia" w:ascii="微软雅黑" w:hAnsi="微软雅黑" w:cs="微软雅黑"/>
          <w:color w:val="auto"/>
          <w:sz w:val="21"/>
          <w:szCs w:val="21"/>
          <w:highlight w:val="none"/>
        </w:rPr>
        <w:t>五、评标</w:t>
      </w:r>
      <w:bookmarkEnd w:id="104"/>
      <w:bookmarkEnd w:id="105"/>
    </w:p>
    <w:p w14:paraId="3D004717">
      <w:pPr>
        <w:pStyle w:val="29"/>
        <w:snapToGrid w:val="0"/>
        <w:spacing w:line="460" w:lineRule="exact"/>
        <w:ind w:firstLine="420"/>
        <w:rPr>
          <w:rFonts w:hint="eastAsia" w:ascii="微软雅黑" w:hAnsi="微软雅黑" w:cs="微软雅黑"/>
          <w:b/>
          <w:color w:val="auto"/>
          <w:szCs w:val="21"/>
          <w:highlight w:val="none"/>
        </w:rPr>
      </w:pPr>
      <w:bookmarkStart w:id="106" w:name="_Toc33535371"/>
      <w:r>
        <w:rPr>
          <w:rFonts w:hint="eastAsia" w:ascii="微软雅黑" w:hAnsi="微软雅黑" w:cs="微软雅黑"/>
          <w:b/>
          <w:color w:val="auto"/>
          <w:szCs w:val="21"/>
          <w:highlight w:val="none"/>
        </w:rPr>
        <w:t>（一）组建评标委员会</w:t>
      </w:r>
    </w:p>
    <w:p w14:paraId="70427B5D">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评标委员会由采购人代表和评审专家组成，政府采购评审专家</w:t>
      </w:r>
      <w:r>
        <w:rPr>
          <w:rFonts w:hint="eastAsia" w:ascii="微软雅黑" w:hAnsi="微软雅黑" w:cs="微软雅黑"/>
          <w:color w:val="auto"/>
          <w:szCs w:val="21"/>
          <w:highlight w:val="none"/>
          <w:u w:val="single"/>
        </w:rPr>
        <w:t xml:space="preserve"> 4 </w:t>
      </w:r>
      <w:r>
        <w:rPr>
          <w:rFonts w:hint="eastAsia" w:ascii="微软雅黑" w:hAnsi="微软雅黑" w:cs="微软雅黑"/>
          <w:color w:val="auto"/>
          <w:szCs w:val="21"/>
          <w:highlight w:val="none"/>
        </w:rPr>
        <w:t>人和采购人代表</w:t>
      </w:r>
      <w:r>
        <w:rPr>
          <w:rFonts w:hint="eastAsia" w:ascii="微软雅黑" w:hAnsi="微软雅黑" w:cs="微软雅黑"/>
          <w:color w:val="auto"/>
          <w:szCs w:val="21"/>
          <w:highlight w:val="none"/>
          <w:u w:val="single"/>
        </w:rPr>
        <w:t xml:space="preserve"> 1</w:t>
      </w:r>
      <w:r>
        <w:rPr>
          <w:rFonts w:hint="eastAsia" w:ascii="微软雅黑" w:hAnsi="微软雅黑" w:cs="微软雅黑"/>
          <w:color w:val="auto"/>
          <w:szCs w:val="21"/>
          <w:highlight w:val="none"/>
        </w:rPr>
        <w:t>人，共</w:t>
      </w:r>
      <w:r>
        <w:rPr>
          <w:rFonts w:hint="eastAsia" w:ascii="微软雅黑" w:hAnsi="微软雅黑" w:cs="微软雅黑"/>
          <w:color w:val="auto"/>
          <w:szCs w:val="21"/>
          <w:highlight w:val="none"/>
          <w:u w:val="single"/>
        </w:rPr>
        <w:t xml:space="preserve"> 5 </w:t>
      </w:r>
      <w:r>
        <w:rPr>
          <w:rFonts w:hint="eastAsia" w:ascii="微软雅黑" w:hAnsi="微软雅黑" w:cs="微软雅黑"/>
          <w:color w:val="auto"/>
          <w:szCs w:val="21"/>
          <w:highlight w:val="none"/>
        </w:rPr>
        <w:t>人组成。</w:t>
      </w:r>
    </w:p>
    <w:p w14:paraId="5219D8F3">
      <w:pPr>
        <w:shd w:val="clear" w:color="auto" w:fill="FFFFFF"/>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评标委员会负责具体评标事务，并独立履行下列职责：</w:t>
      </w:r>
    </w:p>
    <w:p w14:paraId="326AB39B">
      <w:pPr>
        <w:shd w:val="clear" w:color="auto" w:fill="FFFFFF"/>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1.审查、评价投标文件是否符合招标文件的商务、技术等实质性要求。</w:t>
      </w:r>
    </w:p>
    <w:p w14:paraId="2BFF6183">
      <w:pPr>
        <w:shd w:val="clear" w:color="auto" w:fill="FFFFFF"/>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2.要求投标</w:t>
      </w:r>
      <w:r>
        <w:rPr>
          <w:rFonts w:hint="eastAsia" w:ascii="微软雅黑" w:hAnsi="微软雅黑" w:cs="微软雅黑"/>
          <w:color w:val="auto"/>
          <w:kern w:val="0"/>
          <w:szCs w:val="21"/>
          <w:highlight w:val="none"/>
          <w:lang w:eastAsia="zh-CN"/>
        </w:rPr>
        <w:t>投标人</w:t>
      </w:r>
      <w:r>
        <w:rPr>
          <w:rFonts w:hint="eastAsia" w:ascii="微软雅黑" w:hAnsi="微软雅黑" w:cs="微软雅黑"/>
          <w:color w:val="auto"/>
          <w:kern w:val="0"/>
          <w:szCs w:val="21"/>
          <w:highlight w:val="none"/>
        </w:rPr>
        <w:t>对投标文件有关事项做出澄清或者说明。</w:t>
      </w:r>
    </w:p>
    <w:p w14:paraId="1D693521">
      <w:pPr>
        <w:shd w:val="clear" w:color="auto" w:fill="FFFFFF"/>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3.对投标文件进行比较和评价。</w:t>
      </w:r>
    </w:p>
    <w:p w14:paraId="302B5B36">
      <w:pPr>
        <w:shd w:val="clear" w:color="auto" w:fill="FFFFFF"/>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4.确定中标</w:t>
      </w:r>
      <w:r>
        <w:rPr>
          <w:rFonts w:hint="eastAsia" w:ascii="微软雅黑" w:hAnsi="微软雅黑" w:cs="微软雅黑"/>
          <w:color w:val="auto"/>
          <w:kern w:val="0"/>
          <w:szCs w:val="21"/>
          <w:highlight w:val="none"/>
          <w:lang w:eastAsia="zh-CN"/>
        </w:rPr>
        <w:t>投标人</w:t>
      </w:r>
      <w:r>
        <w:rPr>
          <w:rFonts w:hint="eastAsia" w:ascii="微软雅黑" w:hAnsi="微软雅黑" w:cs="微软雅黑"/>
          <w:color w:val="auto"/>
          <w:kern w:val="0"/>
          <w:szCs w:val="21"/>
          <w:highlight w:val="none"/>
        </w:rPr>
        <w:t>名单，以及根据采购人委托直接确定中标</w:t>
      </w:r>
      <w:r>
        <w:rPr>
          <w:rFonts w:hint="eastAsia" w:ascii="微软雅黑" w:hAnsi="微软雅黑" w:cs="微软雅黑"/>
          <w:color w:val="auto"/>
          <w:kern w:val="0"/>
          <w:szCs w:val="21"/>
          <w:highlight w:val="none"/>
          <w:lang w:eastAsia="zh-CN"/>
        </w:rPr>
        <w:t>投标人</w:t>
      </w:r>
      <w:r>
        <w:rPr>
          <w:rFonts w:hint="eastAsia" w:ascii="微软雅黑" w:hAnsi="微软雅黑" w:cs="微软雅黑"/>
          <w:color w:val="auto"/>
          <w:kern w:val="0"/>
          <w:szCs w:val="21"/>
          <w:highlight w:val="none"/>
        </w:rPr>
        <w:t>。</w:t>
      </w:r>
    </w:p>
    <w:p w14:paraId="6A3CB777">
      <w:pPr>
        <w:shd w:val="clear" w:color="auto" w:fill="FFFFFF"/>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5.向采购人、代理机构或者有关部门报告评标中发现的违法行为。</w:t>
      </w:r>
    </w:p>
    <w:p w14:paraId="065A1AF2">
      <w:pPr>
        <w:shd w:val="clear" w:color="auto" w:fill="FFFFFF"/>
        <w:spacing w:line="460" w:lineRule="exact"/>
        <w:ind w:firstLine="420"/>
        <w:rPr>
          <w:rFonts w:hint="eastAsia" w:ascii="微软雅黑" w:hAnsi="微软雅黑" w:cs="微软雅黑"/>
          <w:b/>
          <w:color w:val="auto"/>
          <w:kern w:val="0"/>
          <w:szCs w:val="21"/>
          <w:highlight w:val="none"/>
        </w:rPr>
      </w:pPr>
      <w:r>
        <w:rPr>
          <w:rFonts w:hint="eastAsia" w:ascii="微软雅黑" w:hAnsi="微软雅黑" w:cs="微软雅黑"/>
          <w:b/>
          <w:color w:val="auto"/>
          <w:kern w:val="0"/>
          <w:szCs w:val="21"/>
          <w:highlight w:val="none"/>
        </w:rPr>
        <w:t>除除采购人代表及所派纪检监察人员、评标现场组织人员外，采购人的其他工作人员以及与评标工作无关的人员不得进入评标现场。</w:t>
      </w:r>
    </w:p>
    <w:p w14:paraId="09FE70EE">
      <w:pPr>
        <w:pStyle w:val="29"/>
        <w:snapToGrid w:val="0"/>
        <w:spacing w:line="460" w:lineRule="exact"/>
        <w:ind w:firstLine="420"/>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（二）评标的方式</w:t>
      </w:r>
    </w:p>
    <w:p w14:paraId="606ABA56">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本项目采用不公开方式评标，评标的依据为招标文件和投标文件。</w:t>
      </w:r>
    </w:p>
    <w:p w14:paraId="06751623">
      <w:pPr>
        <w:pStyle w:val="29"/>
        <w:snapToGrid w:val="0"/>
        <w:spacing w:line="460" w:lineRule="exact"/>
        <w:ind w:firstLine="420"/>
        <w:rPr>
          <w:rFonts w:hint="eastAsia" w:ascii="微软雅黑" w:hAnsi="微软雅黑" w:cs="微软雅黑"/>
          <w:b/>
          <w:bCs/>
          <w:color w:val="auto"/>
          <w:szCs w:val="21"/>
          <w:highlight w:val="none"/>
        </w:rPr>
      </w:pPr>
      <w:r>
        <w:rPr>
          <w:rFonts w:hint="eastAsia" w:ascii="微软雅黑" w:hAnsi="微软雅黑" w:cs="微软雅黑"/>
          <w:b/>
          <w:color w:val="auto"/>
          <w:szCs w:val="21"/>
          <w:highlight w:val="none"/>
        </w:rPr>
        <w:t>（三）</w:t>
      </w:r>
      <w:r>
        <w:rPr>
          <w:rFonts w:hint="eastAsia" w:ascii="微软雅黑" w:hAnsi="微软雅黑" w:cs="微软雅黑"/>
          <w:b/>
          <w:bCs/>
          <w:color w:val="auto"/>
          <w:szCs w:val="21"/>
          <w:highlight w:val="none"/>
        </w:rPr>
        <w:t>评标程序</w:t>
      </w:r>
    </w:p>
    <w:p w14:paraId="6A54E34F">
      <w:pPr>
        <w:pStyle w:val="29"/>
        <w:snapToGrid w:val="0"/>
        <w:spacing w:line="460" w:lineRule="exact"/>
        <w:ind w:firstLine="420"/>
        <w:rPr>
          <w:rFonts w:hint="eastAsia" w:ascii="微软雅黑" w:hAnsi="微软雅黑" w:cs="微软雅黑"/>
          <w:bCs/>
          <w:color w:val="auto"/>
          <w:szCs w:val="21"/>
          <w:highlight w:val="none"/>
        </w:rPr>
      </w:pPr>
      <w:r>
        <w:rPr>
          <w:rFonts w:hint="eastAsia" w:ascii="微软雅黑" w:hAnsi="微软雅黑" w:cs="微软雅黑"/>
          <w:bCs/>
          <w:color w:val="auto"/>
          <w:szCs w:val="21"/>
          <w:highlight w:val="none"/>
        </w:rPr>
        <w:t>采购人可以在评标前说明项目背景和采购需求，说明内容不得含有歧视性、倾向性意见，不得超出招标文件所述范围。说明应当提交书面材料，并随招标文件一并存档。</w:t>
      </w:r>
    </w:p>
    <w:p w14:paraId="61620643">
      <w:pPr>
        <w:snapToGrid w:val="0"/>
        <w:spacing w:line="460" w:lineRule="exact"/>
        <w:ind w:firstLine="42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1.形式审查</w:t>
      </w:r>
    </w:p>
    <w:p w14:paraId="02097614">
      <w:pPr>
        <w:snapToGrid w:val="0"/>
        <w:spacing w:line="460" w:lineRule="exact"/>
        <w:ind w:firstLine="420"/>
        <w:rPr>
          <w:rFonts w:hint="eastAsia" w:ascii="微软雅黑" w:hAnsi="微软雅黑" w:cs="微软雅黑"/>
          <w:bCs/>
          <w:color w:val="auto"/>
          <w:szCs w:val="21"/>
          <w:highlight w:val="none"/>
        </w:rPr>
      </w:pPr>
      <w:r>
        <w:rPr>
          <w:rFonts w:hint="eastAsia" w:ascii="微软雅黑" w:hAnsi="微软雅黑" w:cs="微软雅黑"/>
          <w:bCs/>
          <w:color w:val="auto"/>
          <w:szCs w:val="21"/>
          <w:highlight w:val="none"/>
        </w:rPr>
        <w:t>1.1形式审查包括资格审查（除符合性审查以外的关于投标</w:t>
      </w:r>
      <w:r>
        <w:rPr>
          <w:rFonts w:hint="eastAsia" w:ascii="微软雅黑" w:hAnsi="微软雅黑" w:cs="微软雅黑"/>
          <w:bCs/>
          <w:color w:val="auto"/>
          <w:szCs w:val="21"/>
          <w:highlight w:val="none"/>
          <w:lang w:eastAsia="zh-CN"/>
        </w:rPr>
        <w:t>投标人</w:t>
      </w:r>
      <w:r>
        <w:rPr>
          <w:rFonts w:hint="eastAsia" w:ascii="微软雅黑" w:hAnsi="微软雅黑" w:cs="微软雅黑"/>
          <w:bCs/>
          <w:color w:val="auto"/>
          <w:szCs w:val="21"/>
          <w:highlight w:val="none"/>
        </w:rPr>
        <w:t>资格条件等内容）和符合性审查，即对投标</w:t>
      </w:r>
      <w:r>
        <w:rPr>
          <w:rFonts w:hint="eastAsia" w:ascii="微软雅黑" w:hAnsi="微软雅黑" w:cs="微软雅黑"/>
          <w:bCs/>
          <w:color w:val="auto"/>
          <w:szCs w:val="21"/>
          <w:highlight w:val="none"/>
          <w:lang w:eastAsia="zh-CN"/>
        </w:rPr>
        <w:t>投标人</w:t>
      </w:r>
      <w:r>
        <w:rPr>
          <w:rFonts w:hint="eastAsia" w:ascii="微软雅黑" w:hAnsi="微软雅黑" w:cs="微软雅黑"/>
          <w:bCs/>
          <w:color w:val="auto"/>
          <w:szCs w:val="21"/>
          <w:highlight w:val="none"/>
        </w:rPr>
        <w:t>的资格和投标文件的完整性、合法性等进行审查。投标文件形式审查未通过的投标</w:t>
      </w:r>
      <w:r>
        <w:rPr>
          <w:rFonts w:hint="eastAsia" w:ascii="微软雅黑" w:hAnsi="微软雅黑" w:cs="微软雅黑"/>
          <w:bCs/>
          <w:color w:val="auto"/>
          <w:szCs w:val="21"/>
          <w:highlight w:val="none"/>
          <w:lang w:eastAsia="zh-CN"/>
        </w:rPr>
        <w:t>投标人</w:t>
      </w:r>
      <w:r>
        <w:rPr>
          <w:rFonts w:hint="eastAsia" w:ascii="微软雅黑" w:hAnsi="微软雅黑" w:cs="微软雅黑"/>
          <w:bCs/>
          <w:color w:val="auto"/>
          <w:szCs w:val="21"/>
          <w:highlight w:val="none"/>
        </w:rPr>
        <w:t>，其投标文件将不再评审。合格投标</w:t>
      </w:r>
      <w:r>
        <w:rPr>
          <w:rFonts w:hint="eastAsia" w:ascii="微软雅黑" w:hAnsi="微软雅黑" w:cs="微软雅黑"/>
          <w:bCs/>
          <w:color w:val="auto"/>
          <w:szCs w:val="21"/>
          <w:highlight w:val="none"/>
          <w:lang w:eastAsia="zh-CN"/>
        </w:rPr>
        <w:t>投标人</w:t>
      </w:r>
      <w:r>
        <w:rPr>
          <w:rFonts w:hint="eastAsia" w:ascii="微软雅黑" w:hAnsi="微软雅黑" w:cs="微软雅黑"/>
          <w:bCs/>
          <w:color w:val="auto"/>
          <w:szCs w:val="21"/>
          <w:highlight w:val="none"/>
        </w:rPr>
        <w:t>不足3家的，不再评标。</w:t>
      </w:r>
    </w:p>
    <w:p w14:paraId="093F2333">
      <w:pPr>
        <w:snapToGrid w:val="0"/>
        <w:spacing w:line="460" w:lineRule="exact"/>
        <w:ind w:firstLine="420"/>
        <w:rPr>
          <w:rFonts w:hint="eastAsia" w:ascii="微软雅黑" w:hAnsi="微软雅黑" w:cs="微软雅黑"/>
          <w:bCs/>
          <w:color w:val="auto"/>
          <w:szCs w:val="21"/>
          <w:highlight w:val="none"/>
        </w:rPr>
      </w:pPr>
      <w:r>
        <w:rPr>
          <w:rFonts w:hint="eastAsia" w:ascii="微软雅黑" w:hAnsi="微软雅黑" w:cs="微软雅黑"/>
          <w:bCs/>
          <w:color w:val="auto"/>
          <w:szCs w:val="21"/>
          <w:highlight w:val="none"/>
        </w:rPr>
        <w:t>1.2信用信息查询</w:t>
      </w:r>
    </w:p>
    <w:p w14:paraId="6F037B93">
      <w:pPr>
        <w:snapToGrid w:val="0"/>
        <w:spacing w:line="460" w:lineRule="exact"/>
        <w:ind w:firstLine="420"/>
        <w:rPr>
          <w:rFonts w:hint="eastAsia" w:ascii="微软雅黑" w:hAnsi="微软雅黑" w:cs="微软雅黑"/>
          <w:bCs/>
          <w:color w:val="auto"/>
          <w:szCs w:val="21"/>
          <w:highlight w:val="none"/>
        </w:rPr>
      </w:pPr>
      <w:r>
        <w:rPr>
          <w:rFonts w:hint="eastAsia" w:ascii="微软雅黑" w:hAnsi="微软雅黑" w:cs="微软雅黑"/>
          <w:bCs/>
          <w:color w:val="auto"/>
          <w:szCs w:val="21"/>
          <w:highlight w:val="none"/>
        </w:rPr>
        <w:t>1.2.1信用信息查询渠道及截止时间：采购人将通过“信用中国”网站(www.creditchina.gov.cn)、中国政府采购网(www.ccgp.gov.cn)渠道查询投标</w:t>
      </w:r>
      <w:r>
        <w:rPr>
          <w:rFonts w:hint="eastAsia" w:ascii="微软雅黑" w:hAnsi="微软雅黑" w:cs="微软雅黑"/>
          <w:bCs/>
          <w:color w:val="auto"/>
          <w:szCs w:val="21"/>
          <w:highlight w:val="none"/>
          <w:lang w:eastAsia="zh-CN"/>
        </w:rPr>
        <w:t>投标人</w:t>
      </w:r>
      <w:r>
        <w:rPr>
          <w:rFonts w:hint="eastAsia" w:ascii="微软雅黑" w:hAnsi="微软雅黑" w:cs="微软雅黑"/>
          <w:bCs/>
          <w:color w:val="auto"/>
          <w:szCs w:val="21"/>
          <w:highlight w:val="none"/>
        </w:rPr>
        <w:t>投标截止时间当天的信用记录。</w:t>
      </w:r>
    </w:p>
    <w:p w14:paraId="2453BA24">
      <w:pPr>
        <w:snapToGrid w:val="0"/>
        <w:spacing w:line="460" w:lineRule="exact"/>
        <w:ind w:firstLine="420"/>
        <w:rPr>
          <w:rFonts w:hint="eastAsia" w:ascii="微软雅黑" w:hAnsi="微软雅黑" w:cs="微软雅黑"/>
          <w:bCs/>
          <w:color w:val="auto"/>
          <w:szCs w:val="21"/>
          <w:highlight w:val="none"/>
        </w:rPr>
      </w:pPr>
      <w:r>
        <w:rPr>
          <w:rFonts w:hint="eastAsia" w:ascii="微软雅黑" w:hAnsi="微软雅黑" w:cs="微软雅黑"/>
          <w:bCs/>
          <w:color w:val="auto"/>
          <w:szCs w:val="21"/>
          <w:highlight w:val="none"/>
        </w:rPr>
        <w:t>1.2.2信用信息查询记录和证据留存的具体方式：现场查询的投标</w:t>
      </w:r>
      <w:r>
        <w:rPr>
          <w:rFonts w:hint="eastAsia" w:ascii="微软雅黑" w:hAnsi="微软雅黑" w:cs="微软雅黑"/>
          <w:bCs/>
          <w:color w:val="auto"/>
          <w:szCs w:val="21"/>
          <w:highlight w:val="none"/>
          <w:lang w:eastAsia="zh-CN"/>
        </w:rPr>
        <w:t>投标人</w:t>
      </w:r>
      <w:r>
        <w:rPr>
          <w:rFonts w:hint="eastAsia" w:ascii="微软雅黑" w:hAnsi="微软雅黑" w:cs="微软雅黑"/>
          <w:bCs/>
          <w:color w:val="auto"/>
          <w:szCs w:val="21"/>
          <w:highlight w:val="none"/>
        </w:rPr>
        <w:t>的信用记录、查询结果经确认后将与招标文件一起存档。</w:t>
      </w:r>
    </w:p>
    <w:p w14:paraId="055FE5F1">
      <w:pPr>
        <w:snapToGrid w:val="0"/>
        <w:spacing w:line="460" w:lineRule="exact"/>
        <w:ind w:firstLine="420"/>
        <w:rPr>
          <w:rFonts w:hint="eastAsia" w:ascii="微软雅黑" w:hAnsi="微软雅黑" w:cs="微软雅黑"/>
          <w:bCs/>
          <w:color w:val="auto"/>
          <w:szCs w:val="21"/>
          <w:highlight w:val="none"/>
        </w:rPr>
      </w:pPr>
      <w:r>
        <w:rPr>
          <w:rFonts w:hint="eastAsia" w:ascii="微软雅黑" w:hAnsi="微软雅黑" w:cs="微软雅黑"/>
          <w:bCs/>
          <w:color w:val="auto"/>
          <w:szCs w:val="21"/>
          <w:highlight w:val="none"/>
        </w:rPr>
        <w:t>1.2.3信用信息的使用规则：经查询列入失信被执行人名单、重大税收违法案件当事人名单、政府采购严重违法失信行为记录名单的投标</w:t>
      </w:r>
      <w:r>
        <w:rPr>
          <w:rFonts w:hint="eastAsia" w:ascii="微软雅黑" w:hAnsi="微软雅黑" w:cs="微软雅黑"/>
          <w:bCs/>
          <w:color w:val="auto"/>
          <w:szCs w:val="21"/>
          <w:highlight w:val="none"/>
          <w:lang w:eastAsia="zh-CN"/>
        </w:rPr>
        <w:t>投标人</w:t>
      </w:r>
      <w:r>
        <w:rPr>
          <w:rFonts w:hint="eastAsia" w:ascii="微软雅黑" w:hAnsi="微软雅黑" w:cs="微软雅黑"/>
          <w:bCs/>
          <w:color w:val="auto"/>
          <w:szCs w:val="21"/>
          <w:highlight w:val="none"/>
        </w:rPr>
        <w:t>将被拒绝参与政府采购活动。</w:t>
      </w:r>
    </w:p>
    <w:p w14:paraId="134E2EB7">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bCs/>
          <w:color w:val="auto"/>
          <w:szCs w:val="21"/>
          <w:highlight w:val="none"/>
        </w:rPr>
        <w:t>1.2.4联合体信用信息查询：两个以上的自然人、法人或者其他组织组成一个联合体，以一个</w:t>
      </w:r>
      <w:r>
        <w:rPr>
          <w:rFonts w:hint="eastAsia" w:ascii="微软雅黑" w:hAnsi="微软雅黑" w:cs="微软雅黑"/>
          <w:bCs/>
          <w:color w:val="auto"/>
          <w:szCs w:val="21"/>
          <w:highlight w:val="none"/>
          <w:lang w:eastAsia="zh-CN"/>
        </w:rPr>
        <w:t>投标人</w:t>
      </w:r>
      <w:r>
        <w:rPr>
          <w:rFonts w:hint="eastAsia" w:ascii="微软雅黑" w:hAnsi="微软雅黑" w:cs="微软雅黑"/>
          <w:bCs/>
          <w:color w:val="auto"/>
          <w:szCs w:val="21"/>
          <w:highlight w:val="none"/>
        </w:rPr>
        <w:t>的身份共同参加政府采购活动的，应当对所有联合体成员进行信用记录查询，联合体成员存在不良信用记录的，视同联合体存在不良信用记录。</w:t>
      </w:r>
    </w:p>
    <w:p w14:paraId="5D0B1424">
      <w:pPr>
        <w:snapToGrid w:val="0"/>
        <w:spacing w:line="460" w:lineRule="exact"/>
        <w:ind w:firstLine="42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2.实质审查</w:t>
      </w:r>
    </w:p>
    <w:p w14:paraId="1715AFD5">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2.1评标委员会审查投标文件的实质性内容是否符合招标文件的实质性要求。</w:t>
      </w:r>
    </w:p>
    <w:p w14:paraId="1A66BFEB">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2.2评标委员会将根据投标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的投标文件进行审查、核对，如有疑问，将对投标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进行询标，投标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要向评标委员会澄清有关问题，并最终以书面形式进行答复。</w:t>
      </w:r>
    </w:p>
    <w:p w14:paraId="146B7FD4">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询标时，投标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代表未到场或者拒绝澄清或者澄清的内容改变了投标文件的实质性内容的，评标委员会有权对该投标文件做出不利于投标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的评判。</w:t>
      </w:r>
    </w:p>
    <w:p w14:paraId="15752741">
      <w:pPr>
        <w:snapToGrid w:val="0"/>
        <w:spacing w:line="460" w:lineRule="exact"/>
        <w:ind w:firstLine="420"/>
        <w:rPr>
          <w:rFonts w:hint="eastAsia" w:ascii="微软雅黑" w:hAnsi="微软雅黑" w:cs="微软雅黑"/>
          <w:strike/>
          <w:color w:val="auto"/>
          <w:szCs w:val="21"/>
          <w:highlight w:val="none"/>
        </w:rPr>
      </w:pPr>
      <w:r>
        <w:rPr>
          <w:rFonts w:hint="eastAsia" w:ascii="微软雅黑" w:hAnsi="微软雅黑" w:cs="微软雅黑"/>
          <w:color w:val="auto"/>
          <w:kern w:val="0"/>
          <w:szCs w:val="21"/>
          <w:highlight w:val="none"/>
        </w:rPr>
        <w:t>2.3</w:t>
      </w:r>
      <w:r>
        <w:rPr>
          <w:rFonts w:hint="eastAsia" w:ascii="微软雅黑" w:hAnsi="微软雅黑" w:cs="微软雅黑"/>
          <w:color w:val="auto"/>
          <w:szCs w:val="21"/>
          <w:highlight w:val="none"/>
        </w:rPr>
        <w:t>评标委员会各成员应当独立对每个投标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的商务和技术文件进行评价，并汇总商务技术得分情况。</w:t>
      </w:r>
    </w:p>
    <w:p w14:paraId="10B4D131">
      <w:pPr>
        <w:pStyle w:val="3"/>
        <w:keepNext w:val="0"/>
        <w:keepLines w:val="0"/>
        <w:spacing w:line="460" w:lineRule="exact"/>
        <w:ind w:firstLine="420" w:firstLineChars="200"/>
        <w:jc w:val="left"/>
        <w:rPr>
          <w:rFonts w:hint="eastAsia" w:ascii="微软雅黑" w:hAnsi="微软雅黑" w:cs="微软雅黑"/>
          <w:color w:val="auto"/>
          <w:kern w:val="2"/>
          <w:sz w:val="21"/>
          <w:szCs w:val="21"/>
          <w:highlight w:val="none"/>
        </w:rPr>
      </w:pPr>
      <w:bookmarkStart w:id="107" w:name="_Toc27524"/>
      <w:bookmarkStart w:id="108" w:name="_Toc164943206"/>
      <w:bookmarkStart w:id="109" w:name="_Toc4562"/>
      <w:bookmarkStart w:id="110" w:name="_Toc169015130"/>
      <w:r>
        <w:rPr>
          <w:rFonts w:hint="eastAsia" w:ascii="微软雅黑" w:hAnsi="微软雅黑" w:cs="微软雅黑"/>
          <w:color w:val="auto"/>
          <w:kern w:val="2"/>
          <w:sz w:val="21"/>
          <w:szCs w:val="21"/>
          <w:highlight w:val="none"/>
        </w:rPr>
        <w:t>3.报价审查</w:t>
      </w:r>
      <w:bookmarkEnd w:id="107"/>
      <w:bookmarkEnd w:id="108"/>
      <w:bookmarkEnd w:id="109"/>
      <w:bookmarkEnd w:id="110"/>
    </w:p>
    <w:p w14:paraId="7A30CF6D">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(1)投标文件报价如果出现计算或表达上的错误，修正错误的原则如下：</w:t>
      </w:r>
    </w:p>
    <w:p w14:paraId="0B524EAD">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1.1报价</w:t>
      </w:r>
      <w:r>
        <w:rPr>
          <w:rFonts w:hint="eastAsia" w:ascii="微软雅黑" w:hAnsi="微软雅黑" w:cs="微软雅黑"/>
          <w:color w:val="auto"/>
          <w:kern w:val="0"/>
          <w:szCs w:val="21"/>
          <w:highlight w:val="none"/>
        </w:rPr>
        <w:t>以开标一览表为准。</w:t>
      </w:r>
    </w:p>
    <w:p w14:paraId="4D6A3501">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1.2投标文件的大写金额和小写金额不一致的，以大写金额为准。</w:t>
      </w:r>
    </w:p>
    <w:p w14:paraId="3F030A7F">
      <w:pPr>
        <w:pStyle w:val="290"/>
        <w:spacing w:before="0" w:line="460" w:lineRule="exact"/>
        <w:ind w:firstLine="42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t>1.3总</w:t>
      </w:r>
      <w:r>
        <w:rPr>
          <w:rFonts w:hint="eastAsia" w:ascii="微软雅黑" w:hAnsi="微软雅黑" w:eastAsia="微软雅黑" w:cs="微软雅黑"/>
          <w:color w:val="auto"/>
          <w:sz w:val="21"/>
          <w:szCs w:val="21"/>
          <w:highlight w:val="none"/>
        </w:rPr>
        <w:t>价金额与按单价汇总金额不一致的，以单价金额计算结果为准。</w:t>
      </w:r>
    </w:p>
    <w:p w14:paraId="2AEAFAC1">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t>1.4</w:t>
      </w:r>
      <w:r>
        <w:rPr>
          <w:rFonts w:hint="eastAsia" w:ascii="微软雅黑" w:hAnsi="微软雅黑" w:cs="微软雅黑"/>
          <w:color w:val="auto"/>
          <w:szCs w:val="21"/>
          <w:highlight w:val="none"/>
        </w:rPr>
        <w:t>对不同文字文本投标文件的解释发生异议的，以中文文本为准。</w:t>
      </w:r>
    </w:p>
    <w:p w14:paraId="7D50F083">
      <w:pPr>
        <w:pStyle w:val="29"/>
        <w:snapToGrid w:val="0"/>
        <w:spacing w:line="460" w:lineRule="exact"/>
        <w:ind w:firstLine="42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按上述修正错误的原则及方法调整或修正投标文件的投标报价，投标</w:t>
      </w:r>
      <w:r>
        <w:rPr>
          <w:rFonts w:hint="eastAsia" w:ascii="微软雅黑" w:hAnsi="微软雅黑" w:cs="微软雅黑"/>
          <w:b/>
          <w:bCs/>
          <w:color w:val="auto"/>
          <w:szCs w:val="21"/>
          <w:highlight w:val="none"/>
          <w:lang w:eastAsia="zh-CN"/>
        </w:rPr>
        <w:t>投标人</w:t>
      </w:r>
      <w:r>
        <w:rPr>
          <w:rFonts w:hint="eastAsia" w:ascii="微软雅黑" w:hAnsi="微软雅黑" w:cs="微软雅黑"/>
          <w:b/>
          <w:bCs/>
          <w:color w:val="auto"/>
          <w:szCs w:val="21"/>
          <w:highlight w:val="none"/>
        </w:rPr>
        <w:t>同意并签字确认后，调整后的投标报价对投标</w:t>
      </w:r>
      <w:r>
        <w:rPr>
          <w:rFonts w:hint="eastAsia" w:ascii="微软雅黑" w:hAnsi="微软雅黑" w:cs="微软雅黑"/>
          <w:b/>
          <w:bCs/>
          <w:color w:val="auto"/>
          <w:szCs w:val="21"/>
          <w:highlight w:val="none"/>
          <w:lang w:eastAsia="zh-CN"/>
        </w:rPr>
        <w:t>投标人</w:t>
      </w:r>
      <w:r>
        <w:rPr>
          <w:rFonts w:hint="eastAsia" w:ascii="微软雅黑" w:hAnsi="微软雅黑" w:cs="微软雅黑"/>
          <w:b/>
          <w:bCs/>
          <w:color w:val="auto"/>
          <w:szCs w:val="21"/>
          <w:highlight w:val="none"/>
        </w:rPr>
        <w:t>具有约束作用。如果投标</w:t>
      </w:r>
      <w:r>
        <w:rPr>
          <w:rFonts w:hint="eastAsia" w:ascii="微软雅黑" w:hAnsi="微软雅黑" w:cs="微软雅黑"/>
          <w:b/>
          <w:bCs/>
          <w:color w:val="auto"/>
          <w:szCs w:val="21"/>
          <w:highlight w:val="none"/>
          <w:lang w:eastAsia="zh-CN"/>
        </w:rPr>
        <w:t>投标人</w:t>
      </w:r>
      <w:r>
        <w:rPr>
          <w:rFonts w:hint="eastAsia" w:ascii="微软雅黑" w:hAnsi="微软雅黑" w:cs="微软雅黑"/>
          <w:b/>
          <w:bCs/>
          <w:color w:val="auto"/>
          <w:szCs w:val="21"/>
          <w:highlight w:val="none"/>
        </w:rPr>
        <w:t>不接受修正后的报价，则其投标将作为无效投标处理。</w:t>
      </w:r>
    </w:p>
    <w:p w14:paraId="29AA7472">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(2)评标委员会根据合格</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报价得出得分汇总。</w:t>
      </w:r>
    </w:p>
    <w:p w14:paraId="022510B4">
      <w:pPr>
        <w:pStyle w:val="3"/>
        <w:keepNext w:val="0"/>
        <w:keepLines w:val="0"/>
        <w:spacing w:line="460" w:lineRule="exact"/>
        <w:ind w:firstLine="420" w:firstLineChars="200"/>
        <w:jc w:val="left"/>
        <w:rPr>
          <w:rFonts w:hint="eastAsia" w:ascii="微软雅黑" w:hAnsi="微软雅黑" w:cs="微软雅黑"/>
          <w:color w:val="auto"/>
          <w:kern w:val="2"/>
          <w:sz w:val="21"/>
          <w:szCs w:val="21"/>
          <w:highlight w:val="none"/>
        </w:rPr>
      </w:pPr>
      <w:bookmarkStart w:id="111" w:name="_Toc7808"/>
      <w:bookmarkStart w:id="112" w:name="_Toc169015131"/>
      <w:bookmarkStart w:id="113" w:name="_Toc164943207"/>
      <w:bookmarkStart w:id="114" w:name="_Toc22943"/>
      <w:r>
        <w:rPr>
          <w:rFonts w:hint="eastAsia" w:ascii="微软雅黑" w:hAnsi="微软雅黑" w:cs="微软雅黑"/>
          <w:color w:val="auto"/>
          <w:kern w:val="2"/>
          <w:sz w:val="21"/>
          <w:szCs w:val="21"/>
          <w:highlight w:val="none"/>
        </w:rPr>
        <w:t>4.比较和推荐</w:t>
      </w:r>
      <w:bookmarkEnd w:id="111"/>
      <w:bookmarkEnd w:id="112"/>
      <w:bookmarkEnd w:id="113"/>
      <w:bookmarkEnd w:id="114"/>
    </w:p>
    <w:p w14:paraId="05220DEE">
      <w:pPr>
        <w:snapToGrid w:val="0"/>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szCs w:val="21"/>
          <w:highlight w:val="none"/>
        </w:rPr>
        <w:t>评标委员会按评标原则推荐中标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同时起草评标报告。</w:t>
      </w:r>
    </w:p>
    <w:p w14:paraId="676B9F59">
      <w:pPr>
        <w:snapToGrid w:val="0"/>
        <w:spacing w:line="460" w:lineRule="exact"/>
        <w:ind w:firstLine="420"/>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（四）澄清问题的形式</w:t>
      </w:r>
    </w:p>
    <w:p w14:paraId="0E4762D7">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对投标文件中含义不明确、同类问题表述不一致或者有明显文字和计算错误的内容，评标委员会可要求</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作出必要的澄清、说明或者纠正。</w:t>
      </w:r>
    </w:p>
    <w:p w14:paraId="5211E1E1">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1.评标委员会可以在“政采云”平台在线询标或其他有效形式要求</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对同一份投标文件含义不明确或同类问题表述不一致的内容（招标文件其他地方有规定处理方法的除外）作必要的澄清或说明。</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应采用在线回复或其他有效形式在询标规定时间内进行澄清或说明，但不得超出投标文件的范围或改变投标文件的实质性内容。凡属于评标委员会在评标中发现的计算错误并进行核实的修改不在此列。</w:t>
      </w:r>
    </w:p>
    <w:p w14:paraId="106A4303">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2.如果</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代表拒绝或未按评标委员会要求在“政采云”平台作出在线回复且无其他有效回复方式的，评标委员会可以对其作出无效标处理。</w:t>
      </w:r>
    </w:p>
    <w:p w14:paraId="7096B7D1">
      <w:pPr>
        <w:pStyle w:val="29"/>
        <w:tabs>
          <w:tab w:val="left" w:pos="630"/>
        </w:tabs>
        <w:snapToGrid w:val="0"/>
        <w:spacing w:line="460" w:lineRule="exact"/>
        <w:ind w:firstLine="420"/>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（五）评标原则和评标办法</w:t>
      </w:r>
    </w:p>
    <w:p w14:paraId="6708BAA5">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接触。</w:t>
      </w:r>
    </w:p>
    <w:p w14:paraId="6E126E4C">
      <w:pPr>
        <w:pStyle w:val="29"/>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2.评标办法。本项目评标办法是 综合评分法，具体评标内容及评分标准等详见《第四章：评标办法及评分标准》。</w:t>
      </w:r>
    </w:p>
    <w:p w14:paraId="07BCCF40">
      <w:pPr>
        <w:pStyle w:val="29"/>
        <w:snapToGrid w:val="0"/>
        <w:spacing w:line="460" w:lineRule="exact"/>
        <w:ind w:firstLine="420"/>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（六）评标过程的监控</w:t>
      </w:r>
    </w:p>
    <w:p w14:paraId="0485B95A">
      <w:pPr>
        <w:pStyle w:val="3"/>
        <w:keepNext w:val="0"/>
        <w:keepLines w:val="0"/>
        <w:spacing w:line="460" w:lineRule="exact"/>
        <w:ind w:firstLine="420" w:firstLineChars="200"/>
        <w:jc w:val="left"/>
        <w:rPr>
          <w:rFonts w:hint="eastAsia" w:ascii="微软雅黑" w:hAnsi="微软雅黑" w:cs="微软雅黑"/>
          <w:color w:val="auto"/>
          <w:sz w:val="21"/>
          <w:szCs w:val="21"/>
          <w:highlight w:val="none"/>
        </w:rPr>
      </w:pPr>
      <w:bookmarkStart w:id="115" w:name="_Toc31962"/>
      <w:bookmarkStart w:id="116" w:name="_Toc169015132"/>
      <w:bookmarkStart w:id="117" w:name="_Toc164943208"/>
      <w:bookmarkStart w:id="118" w:name="_Toc28041"/>
      <w:r>
        <w:rPr>
          <w:rFonts w:hint="eastAsia" w:ascii="微软雅黑" w:hAnsi="微软雅黑" w:cs="微软雅黑"/>
          <w:color w:val="auto"/>
          <w:sz w:val="21"/>
          <w:szCs w:val="21"/>
          <w:highlight w:val="none"/>
        </w:rPr>
        <w:t>本项目评标过程实行全程录音、录像监控。投标</w:t>
      </w:r>
      <w:r>
        <w:rPr>
          <w:rFonts w:hint="eastAsia" w:ascii="微软雅黑" w:hAnsi="微软雅黑" w:cs="微软雅黑"/>
          <w:color w:val="auto"/>
          <w:sz w:val="21"/>
          <w:szCs w:val="21"/>
          <w:highlight w:val="none"/>
          <w:lang w:eastAsia="zh-CN"/>
        </w:rPr>
        <w:t>投标人</w:t>
      </w:r>
      <w:r>
        <w:rPr>
          <w:rFonts w:hint="eastAsia" w:ascii="微软雅黑" w:hAnsi="微软雅黑" w:cs="微软雅黑"/>
          <w:color w:val="auto"/>
          <w:sz w:val="21"/>
          <w:szCs w:val="21"/>
          <w:highlight w:val="none"/>
        </w:rPr>
        <w:t>在评标过程中所进行的试图影响评标结果的不公正活动，可能导致其投标被拒绝</w:t>
      </w:r>
      <w:bookmarkEnd w:id="115"/>
      <w:bookmarkEnd w:id="116"/>
      <w:bookmarkEnd w:id="117"/>
      <w:r>
        <w:rPr>
          <w:rFonts w:hint="eastAsia" w:ascii="微软雅黑" w:hAnsi="微软雅黑" w:cs="微软雅黑"/>
          <w:color w:val="auto"/>
          <w:sz w:val="21"/>
          <w:szCs w:val="21"/>
          <w:highlight w:val="none"/>
        </w:rPr>
        <w:t>。</w:t>
      </w:r>
      <w:bookmarkEnd w:id="118"/>
    </w:p>
    <w:p w14:paraId="6890FFE6">
      <w:pPr>
        <w:pStyle w:val="3"/>
        <w:keepNext w:val="0"/>
        <w:keepLines w:val="0"/>
        <w:spacing w:line="460" w:lineRule="exact"/>
        <w:ind w:firstLine="420" w:firstLineChars="200"/>
        <w:rPr>
          <w:rFonts w:hint="eastAsia" w:ascii="微软雅黑" w:hAnsi="微软雅黑" w:cs="微软雅黑"/>
          <w:color w:val="auto"/>
          <w:sz w:val="21"/>
          <w:szCs w:val="21"/>
          <w:highlight w:val="none"/>
        </w:rPr>
      </w:pPr>
      <w:bookmarkStart w:id="119" w:name="_Toc29663"/>
      <w:r>
        <w:rPr>
          <w:rFonts w:hint="eastAsia" w:ascii="微软雅黑" w:hAnsi="微软雅黑" w:cs="微软雅黑"/>
          <w:color w:val="auto"/>
          <w:sz w:val="21"/>
          <w:szCs w:val="21"/>
          <w:highlight w:val="none"/>
        </w:rPr>
        <w:t>六、定标</w:t>
      </w:r>
      <w:bookmarkEnd w:id="106"/>
      <w:bookmarkEnd w:id="119"/>
    </w:p>
    <w:p w14:paraId="52EE19DA">
      <w:pPr>
        <w:pStyle w:val="29"/>
        <w:snapToGrid w:val="0"/>
        <w:spacing w:line="460" w:lineRule="exact"/>
        <w:ind w:firstLine="420"/>
        <w:rPr>
          <w:rFonts w:hint="eastAsia" w:ascii="微软雅黑" w:hAnsi="微软雅黑" w:cs="微软雅黑"/>
          <w:b/>
          <w:bCs/>
          <w:color w:val="auto"/>
          <w:szCs w:val="21"/>
          <w:highlight w:val="none"/>
        </w:rPr>
      </w:pPr>
      <w:bookmarkStart w:id="120" w:name="_Toc33535372"/>
      <w:r>
        <w:rPr>
          <w:rFonts w:hint="eastAsia" w:ascii="微软雅黑" w:hAnsi="微软雅黑" w:cs="微软雅黑"/>
          <w:b/>
          <w:bCs/>
          <w:color w:val="auto"/>
          <w:szCs w:val="21"/>
          <w:highlight w:val="none"/>
        </w:rPr>
        <w:t>确定中标</w:t>
      </w:r>
      <w:r>
        <w:rPr>
          <w:rFonts w:hint="eastAsia" w:ascii="微软雅黑" w:hAnsi="微软雅黑" w:cs="微软雅黑"/>
          <w:b/>
          <w:bCs/>
          <w:color w:val="auto"/>
          <w:szCs w:val="21"/>
          <w:highlight w:val="none"/>
          <w:lang w:eastAsia="zh-CN"/>
        </w:rPr>
        <w:t>投标人</w:t>
      </w:r>
      <w:r>
        <w:rPr>
          <w:rFonts w:hint="eastAsia" w:ascii="微软雅黑" w:hAnsi="微软雅黑" w:cs="微软雅黑"/>
          <w:b/>
          <w:bCs/>
          <w:color w:val="auto"/>
          <w:szCs w:val="21"/>
          <w:highlight w:val="none"/>
        </w:rPr>
        <w:t>：本项目由采购人确定中标</w:t>
      </w:r>
      <w:r>
        <w:rPr>
          <w:rFonts w:hint="eastAsia" w:ascii="微软雅黑" w:hAnsi="微软雅黑" w:cs="微软雅黑"/>
          <w:b/>
          <w:bCs/>
          <w:color w:val="auto"/>
          <w:szCs w:val="21"/>
          <w:highlight w:val="none"/>
          <w:lang w:eastAsia="zh-CN"/>
        </w:rPr>
        <w:t>投标人</w:t>
      </w:r>
      <w:r>
        <w:rPr>
          <w:rFonts w:hint="eastAsia" w:ascii="微软雅黑" w:hAnsi="微软雅黑" w:cs="微软雅黑"/>
          <w:b/>
          <w:bCs/>
          <w:color w:val="auto"/>
          <w:szCs w:val="21"/>
          <w:highlight w:val="none"/>
        </w:rPr>
        <w:t>。</w:t>
      </w:r>
    </w:p>
    <w:p w14:paraId="7F37779E">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1.代理机构在评标结束后2个工作日内将评标报告交采购人确认，同时在发布招标公告的网站上对评标结果进行公告。</w:t>
      </w:r>
    </w:p>
    <w:p w14:paraId="7A9A14D6">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对评标结果无异议的，采购人应在收到评标报告后5个工作日内对评标结果进行确认。如有投标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对评标结果提出质疑的，采购人可在质疑处理完毕后确定中标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w:t>
      </w:r>
    </w:p>
    <w:p w14:paraId="60F0E256">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3.在公告中标结果的同时，代理机构在政采云系统向中标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发出中标通知书。</w:t>
      </w:r>
    </w:p>
    <w:p w14:paraId="410FBB5B">
      <w:pPr>
        <w:pStyle w:val="3"/>
        <w:keepNext w:val="0"/>
        <w:keepLines w:val="0"/>
        <w:spacing w:line="460" w:lineRule="exact"/>
        <w:ind w:firstLine="420" w:firstLineChars="200"/>
        <w:rPr>
          <w:rFonts w:hint="eastAsia" w:ascii="微软雅黑" w:hAnsi="微软雅黑" w:cs="微软雅黑"/>
          <w:color w:val="auto"/>
          <w:sz w:val="21"/>
          <w:szCs w:val="21"/>
          <w:highlight w:val="none"/>
        </w:rPr>
      </w:pPr>
      <w:bookmarkStart w:id="121" w:name="_Toc20091"/>
      <w:r>
        <w:rPr>
          <w:rFonts w:hint="eastAsia" w:ascii="微软雅黑" w:hAnsi="微软雅黑" w:cs="微软雅黑"/>
          <w:color w:val="auto"/>
          <w:sz w:val="21"/>
          <w:szCs w:val="21"/>
          <w:highlight w:val="none"/>
        </w:rPr>
        <w:t>七、合同授予</w:t>
      </w:r>
      <w:bookmarkEnd w:id="120"/>
      <w:bookmarkEnd w:id="121"/>
    </w:p>
    <w:p w14:paraId="60D4553D">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1.采购人与中标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应当在《中标通知书》发出之日起30日内签订政府采购合同。</w:t>
      </w:r>
    </w:p>
    <w:p w14:paraId="5A2BC282">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２.中标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拖延、拒签合同的，将被取消中标资格，并报监督管理部门依法处理。</w:t>
      </w:r>
    </w:p>
    <w:p w14:paraId="00C86183">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3.采购人须在本项目政府采购合同签订之日起2个工作日内将合同发布于浙江政府采购网，但政府采购合同中涉及国家秘密、商业秘密的内容除外。</w:t>
      </w:r>
    </w:p>
    <w:p w14:paraId="00641A87">
      <w:pPr>
        <w:pStyle w:val="3"/>
        <w:keepNext w:val="0"/>
        <w:keepLines w:val="0"/>
        <w:spacing w:line="460" w:lineRule="exact"/>
        <w:ind w:firstLine="420" w:firstLineChars="200"/>
        <w:rPr>
          <w:rFonts w:hint="eastAsia" w:ascii="微软雅黑" w:hAnsi="微软雅黑" w:cs="微软雅黑"/>
          <w:color w:val="auto"/>
          <w:sz w:val="21"/>
          <w:szCs w:val="21"/>
          <w:highlight w:val="none"/>
        </w:rPr>
      </w:pPr>
      <w:bookmarkStart w:id="122" w:name="_Toc24065"/>
      <w:r>
        <w:rPr>
          <w:rFonts w:hint="eastAsia" w:ascii="微软雅黑" w:hAnsi="微软雅黑" w:cs="微软雅黑"/>
          <w:color w:val="auto"/>
          <w:sz w:val="21"/>
          <w:szCs w:val="21"/>
          <w:highlight w:val="none"/>
        </w:rPr>
        <w:t>八、验收</w:t>
      </w:r>
      <w:bookmarkEnd w:id="122"/>
    </w:p>
    <w:p w14:paraId="5FF8B029">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1.采购人组织对</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履约的验收。大型或者复杂的政府采购项目，应当邀请国家认可的质量检测机构参加验收工作。验收方成员应当在验收书上签字，并承担相应的法律责任。如果发现与合同中要求不符，</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须承担由此发生的一切损失和费用，并接受相应的处理。</w:t>
      </w:r>
    </w:p>
    <w:p w14:paraId="646A3C8B">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2.采购人可以邀请参加本项目的其他投标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或者第三方机构参与验收。参与验收的投标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或者第三方机构的意见作为验收书的参考资料一并存档。</w:t>
      </w:r>
    </w:p>
    <w:p w14:paraId="58D80CB9">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3.严格按照采购合同开展履约验收。采购人成立验收小组，按照采购合同的约定对</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05A784A">
      <w:pPr>
        <w:snapToGrid w:val="0"/>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4.验收合格的项目，采购人将根据采购合同的约定及时向</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支付采购资金、退还履约保证金。验收不合格的项目，采购人将依法及时处理。采购合同的履行、违约责任和解决争议的方式等适用《中华人民共和国民法典》。</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在履约过程中有政府采购法律法规规定的违法违规情形的，采购人应当及时报告本级财政部</w:t>
      </w:r>
      <w:bookmarkStart w:id="123" w:name="_Hlt75236290"/>
      <w:bookmarkEnd w:id="123"/>
      <w:bookmarkStart w:id="124" w:name="_Hlt74729768"/>
      <w:bookmarkEnd w:id="124"/>
      <w:bookmarkStart w:id="125" w:name="_Hlt68072998"/>
      <w:bookmarkEnd w:id="125"/>
      <w:bookmarkStart w:id="126" w:name="_Hlt74714665"/>
      <w:bookmarkEnd w:id="126"/>
      <w:bookmarkStart w:id="127" w:name="_Hlt68072990"/>
      <w:bookmarkEnd w:id="127"/>
      <w:bookmarkStart w:id="128" w:name="_Hlt74707468"/>
      <w:bookmarkEnd w:id="128"/>
      <w:bookmarkStart w:id="129" w:name="_Hlt68073093"/>
      <w:bookmarkEnd w:id="129"/>
      <w:bookmarkStart w:id="130" w:name="_Hlt68403820"/>
      <w:bookmarkEnd w:id="130"/>
      <w:bookmarkStart w:id="131" w:name="_Hlt74730295"/>
      <w:bookmarkEnd w:id="131"/>
      <w:bookmarkStart w:id="132" w:name="_Hlt68057669"/>
      <w:bookmarkEnd w:id="132"/>
      <w:bookmarkStart w:id="133" w:name="_Hlt75236101"/>
      <w:bookmarkEnd w:id="133"/>
      <w:bookmarkStart w:id="134" w:name="_Hlt75236011"/>
      <w:bookmarkEnd w:id="134"/>
      <w:r>
        <w:rPr>
          <w:rFonts w:hint="eastAsia" w:ascii="微软雅黑" w:hAnsi="微软雅黑" w:cs="微软雅黑"/>
          <w:color w:val="auto"/>
          <w:szCs w:val="21"/>
          <w:highlight w:val="none"/>
        </w:rPr>
        <w:t>部门。</w:t>
      </w:r>
    </w:p>
    <w:p w14:paraId="75F088CD">
      <w:pPr>
        <w:pStyle w:val="3"/>
        <w:keepNext w:val="0"/>
        <w:keepLines w:val="0"/>
        <w:spacing w:line="460" w:lineRule="exact"/>
        <w:ind w:firstLine="420" w:firstLineChars="200"/>
        <w:rPr>
          <w:rFonts w:hint="eastAsia" w:ascii="微软雅黑" w:hAnsi="微软雅黑" w:cs="微软雅黑"/>
          <w:color w:val="auto"/>
          <w:sz w:val="21"/>
          <w:szCs w:val="21"/>
          <w:highlight w:val="none"/>
        </w:rPr>
      </w:pPr>
      <w:bookmarkStart w:id="135" w:name="_Toc22735"/>
      <w:r>
        <w:rPr>
          <w:rFonts w:hint="eastAsia" w:ascii="微软雅黑" w:hAnsi="微软雅黑" w:cs="微软雅黑"/>
          <w:color w:val="auto"/>
          <w:sz w:val="21"/>
          <w:szCs w:val="21"/>
          <w:highlight w:val="none"/>
        </w:rPr>
        <w:t>九、招标代理费</w:t>
      </w:r>
      <w:bookmarkEnd w:id="69"/>
      <w:bookmarkEnd w:id="135"/>
    </w:p>
    <w:p w14:paraId="2954A8E0">
      <w:pPr>
        <w:pStyle w:val="101"/>
        <w:numPr>
          <w:ilvl w:val="0"/>
          <w:numId w:val="20"/>
        </w:numPr>
        <w:spacing w:line="460" w:lineRule="exact"/>
        <w:ind w:left="0" w:firstLine="420"/>
        <w:rPr>
          <w:rFonts w:hint="eastAsia" w:ascii="微软雅黑" w:hAnsi="微软雅黑" w:cs="微软雅黑"/>
          <w:color w:val="auto"/>
          <w:szCs w:val="21"/>
          <w:highlight w:val="none"/>
        </w:rPr>
      </w:pPr>
      <w:bookmarkStart w:id="136" w:name="_Toc493511752"/>
      <w:r>
        <w:rPr>
          <w:rFonts w:hint="eastAsia" w:ascii="微软雅黑" w:hAnsi="微软雅黑" w:cs="微软雅黑"/>
          <w:color w:val="auto"/>
          <w:szCs w:val="21"/>
          <w:highlight w:val="none"/>
        </w:rPr>
        <w:t>根据“国家发展和改革委员会办公厅《关于招标代理服务收费有关问题的通知》（发改办价格【2003】857号、财库【2018】2号第十五条）”规定，招标代理机构向中标人收取招标代理服务费。</w:t>
      </w:r>
    </w:p>
    <w:p w14:paraId="7F93407A">
      <w:pPr>
        <w:pStyle w:val="101"/>
        <w:numPr>
          <w:ilvl w:val="0"/>
          <w:numId w:val="20"/>
        </w:numPr>
        <w:spacing w:line="460" w:lineRule="exact"/>
        <w:ind w:left="0"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中标人应在收取《中标通知书》时向采购代理机构交纳招标代理服务费，服务费的收费标准按浙价服〔2003〕77号文规定计算</w:t>
      </w:r>
      <w:bookmarkEnd w:id="136"/>
    </w:p>
    <w:tbl>
      <w:tblPr>
        <w:tblStyle w:val="53"/>
        <w:tblW w:w="64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60"/>
        <w:gridCol w:w="2160"/>
        <w:gridCol w:w="2160"/>
      </w:tblGrid>
      <w:tr w14:paraId="33AB6D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2160" w:type="dxa"/>
            <w:tcBorders>
              <w:top w:val="double" w:color="auto" w:sz="4" w:space="0"/>
              <w:left w:val="double" w:color="auto" w:sz="4" w:space="0"/>
              <w:bottom w:val="single" w:color="auto" w:sz="6" w:space="0"/>
              <w:right w:val="single" w:color="auto" w:sz="6" w:space="0"/>
            </w:tcBorders>
            <w:shd w:val="clear" w:color="auto" w:fill="D9D9D9"/>
            <w:vAlign w:val="center"/>
          </w:tcPr>
          <w:p w14:paraId="538AF432">
            <w:pPr>
              <w:spacing w:line="240" w:lineRule="auto"/>
              <w:ind w:firstLine="0" w:firstLineChars="0"/>
              <w:rPr>
                <w:rFonts w:hint="eastAsia" w:ascii="微软雅黑" w:hAnsi="微软雅黑" w:cs="微软雅黑"/>
                <w:color w:val="auto"/>
                <w:szCs w:val="21"/>
                <w:highlight w:val="none"/>
              </w:rPr>
            </w:pPr>
            <w:bookmarkStart w:id="137" w:name="_Toc493511753"/>
            <w:r>
              <w:rPr>
                <w:rFonts w:hint="eastAsia" w:ascii="微软雅黑" w:hAnsi="微软雅黑" w:cs="微软雅黑"/>
                <w:color w:val="auto"/>
                <w:szCs w:val="21"/>
                <w:highlight w:val="none"/>
              </w:rPr>
              <w:t>中标金额（万元）</w:t>
            </w:r>
            <w:bookmarkEnd w:id="137"/>
          </w:p>
        </w:tc>
        <w:tc>
          <w:tcPr>
            <w:tcW w:w="2160" w:type="dxa"/>
            <w:tcBorders>
              <w:top w:val="double" w:color="auto" w:sz="4" w:space="0"/>
              <w:left w:val="single" w:color="auto" w:sz="6" w:space="0"/>
              <w:bottom w:val="single" w:color="auto" w:sz="6" w:space="0"/>
              <w:right w:val="single" w:color="auto" w:sz="6" w:space="0"/>
            </w:tcBorders>
            <w:shd w:val="clear" w:color="auto" w:fill="D9D9D9"/>
            <w:vAlign w:val="center"/>
          </w:tcPr>
          <w:p w14:paraId="0EF07B05">
            <w:pPr>
              <w:spacing w:line="240" w:lineRule="auto"/>
              <w:ind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货物招标收费费率</w:t>
            </w:r>
          </w:p>
        </w:tc>
        <w:tc>
          <w:tcPr>
            <w:tcW w:w="2160" w:type="dxa"/>
            <w:tcBorders>
              <w:top w:val="double" w:color="auto" w:sz="4" w:space="0"/>
              <w:left w:val="single" w:color="auto" w:sz="6" w:space="0"/>
              <w:bottom w:val="single" w:color="auto" w:sz="6" w:space="0"/>
              <w:right w:val="double" w:color="auto" w:sz="4" w:space="0"/>
            </w:tcBorders>
            <w:shd w:val="clear" w:color="auto" w:fill="D9D9D9"/>
          </w:tcPr>
          <w:p w14:paraId="0C999C44">
            <w:pPr>
              <w:spacing w:line="240" w:lineRule="auto"/>
              <w:ind w:firstLine="0" w:firstLineChars="0"/>
              <w:rPr>
                <w:rFonts w:hint="eastAsia" w:ascii="微软雅黑" w:hAnsi="微软雅黑" w:cs="微软雅黑"/>
                <w:color w:val="auto"/>
                <w:szCs w:val="21"/>
                <w:highlight w:val="none"/>
              </w:rPr>
            </w:pPr>
            <w:bookmarkStart w:id="138" w:name="_Toc493511754"/>
            <w:r>
              <w:rPr>
                <w:rFonts w:hint="eastAsia" w:ascii="微软雅黑" w:hAnsi="微软雅黑" w:cs="微软雅黑"/>
                <w:color w:val="auto"/>
                <w:szCs w:val="21"/>
                <w:highlight w:val="none"/>
              </w:rPr>
              <w:t>服务类招标收费费率</w:t>
            </w:r>
            <w:bookmarkEnd w:id="138"/>
          </w:p>
        </w:tc>
      </w:tr>
      <w:tr w14:paraId="2D8334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5E09C4E6">
            <w:pPr>
              <w:spacing w:line="240" w:lineRule="auto"/>
              <w:ind w:firstLine="0" w:firstLineChars="0"/>
              <w:rPr>
                <w:rFonts w:hint="eastAsia" w:ascii="微软雅黑" w:hAnsi="微软雅黑" w:cs="微软雅黑"/>
                <w:color w:val="auto"/>
                <w:szCs w:val="21"/>
                <w:highlight w:val="none"/>
              </w:rPr>
            </w:pPr>
            <w:bookmarkStart w:id="139" w:name="_Toc493511755"/>
            <w:r>
              <w:rPr>
                <w:rFonts w:hint="eastAsia" w:ascii="微软雅黑" w:hAnsi="微软雅黑" w:cs="微软雅黑"/>
                <w:color w:val="auto"/>
                <w:szCs w:val="21"/>
                <w:highlight w:val="none"/>
              </w:rPr>
              <w:t>100以下</w:t>
            </w:r>
            <w:bookmarkEnd w:id="139"/>
          </w:p>
        </w:tc>
        <w:tc>
          <w:tcPr>
            <w:tcW w:w="2160" w:type="dxa"/>
            <w:tcBorders>
              <w:top w:val="single" w:color="auto" w:sz="6" w:space="0"/>
              <w:left w:val="single" w:color="auto" w:sz="6" w:space="0"/>
              <w:bottom w:val="single" w:color="auto" w:sz="6" w:space="0"/>
              <w:right w:val="single" w:color="auto" w:sz="6" w:space="0"/>
            </w:tcBorders>
          </w:tcPr>
          <w:p w14:paraId="56EB1B41">
            <w:pPr>
              <w:spacing w:line="240" w:lineRule="auto"/>
              <w:ind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1.5%</w:t>
            </w:r>
          </w:p>
        </w:tc>
        <w:tc>
          <w:tcPr>
            <w:tcW w:w="2160" w:type="dxa"/>
            <w:tcBorders>
              <w:top w:val="single" w:color="auto" w:sz="6" w:space="0"/>
              <w:left w:val="single" w:color="auto" w:sz="6" w:space="0"/>
              <w:bottom w:val="single" w:color="auto" w:sz="6" w:space="0"/>
              <w:right w:val="double" w:color="auto" w:sz="4" w:space="0"/>
            </w:tcBorders>
            <w:vAlign w:val="center"/>
          </w:tcPr>
          <w:p w14:paraId="11A7A197">
            <w:pPr>
              <w:spacing w:line="240" w:lineRule="auto"/>
              <w:ind w:firstLine="0" w:firstLineChars="0"/>
              <w:rPr>
                <w:rFonts w:hint="eastAsia" w:ascii="微软雅黑" w:hAnsi="微软雅黑" w:cs="微软雅黑"/>
                <w:color w:val="auto"/>
                <w:szCs w:val="21"/>
                <w:highlight w:val="none"/>
              </w:rPr>
            </w:pPr>
            <w:bookmarkStart w:id="140" w:name="_Toc493511756"/>
            <w:r>
              <w:rPr>
                <w:rFonts w:hint="eastAsia" w:ascii="微软雅黑" w:hAnsi="微软雅黑" w:cs="微软雅黑"/>
                <w:color w:val="auto"/>
                <w:szCs w:val="21"/>
                <w:highlight w:val="none"/>
              </w:rPr>
              <w:t>1.5％</w:t>
            </w:r>
            <w:bookmarkEnd w:id="140"/>
          </w:p>
        </w:tc>
      </w:tr>
      <w:tr w14:paraId="2A1064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4C11002F">
            <w:pPr>
              <w:spacing w:line="240" w:lineRule="auto"/>
              <w:ind w:firstLine="0" w:firstLineChars="0"/>
              <w:rPr>
                <w:rFonts w:hint="eastAsia" w:ascii="微软雅黑" w:hAnsi="微软雅黑" w:cs="微软雅黑"/>
                <w:color w:val="auto"/>
                <w:szCs w:val="21"/>
                <w:highlight w:val="none"/>
              </w:rPr>
            </w:pPr>
            <w:bookmarkStart w:id="141" w:name="_Toc493511757"/>
            <w:r>
              <w:rPr>
                <w:rFonts w:hint="eastAsia" w:ascii="微软雅黑" w:hAnsi="微软雅黑" w:cs="微软雅黑"/>
                <w:color w:val="auto"/>
                <w:szCs w:val="21"/>
                <w:highlight w:val="none"/>
              </w:rPr>
              <w:t>100-500</w:t>
            </w:r>
            <w:bookmarkEnd w:id="141"/>
          </w:p>
        </w:tc>
        <w:tc>
          <w:tcPr>
            <w:tcW w:w="2160" w:type="dxa"/>
            <w:tcBorders>
              <w:top w:val="single" w:color="auto" w:sz="6" w:space="0"/>
              <w:left w:val="single" w:color="auto" w:sz="6" w:space="0"/>
              <w:bottom w:val="single" w:color="auto" w:sz="6" w:space="0"/>
              <w:right w:val="single" w:color="auto" w:sz="6" w:space="0"/>
            </w:tcBorders>
          </w:tcPr>
          <w:p w14:paraId="49C53D4B">
            <w:pPr>
              <w:spacing w:line="240" w:lineRule="auto"/>
              <w:ind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1.1%</w:t>
            </w:r>
          </w:p>
        </w:tc>
        <w:tc>
          <w:tcPr>
            <w:tcW w:w="2160" w:type="dxa"/>
            <w:tcBorders>
              <w:top w:val="single" w:color="auto" w:sz="6" w:space="0"/>
              <w:left w:val="single" w:color="auto" w:sz="6" w:space="0"/>
              <w:bottom w:val="single" w:color="auto" w:sz="6" w:space="0"/>
              <w:right w:val="double" w:color="auto" w:sz="4" w:space="0"/>
            </w:tcBorders>
            <w:vAlign w:val="center"/>
          </w:tcPr>
          <w:p w14:paraId="3A9C3C57">
            <w:pPr>
              <w:spacing w:line="240" w:lineRule="auto"/>
              <w:ind w:firstLine="0" w:firstLineChars="0"/>
              <w:rPr>
                <w:rFonts w:hint="eastAsia" w:ascii="微软雅黑" w:hAnsi="微软雅黑" w:cs="微软雅黑"/>
                <w:color w:val="auto"/>
                <w:szCs w:val="21"/>
                <w:highlight w:val="none"/>
              </w:rPr>
            </w:pPr>
            <w:bookmarkStart w:id="142" w:name="_Toc493511758"/>
            <w:r>
              <w:rPr>
                <w:rFonts w:hint="eastAsia" w:ascii="微软雅黑" w:hAnsi="微软雅黑" w:cs="微软雅黑"/>
                <w:color w:val="auto"/>
                <w:szCs w:val="21"/>
                <w:highlight w:val="none"/>
              </w:rPr>
              <w:t>0.8％</w:t>
            </w:r>
            <w:bookmarkEnd w:id="142"/>
          </w:p>
        </w:tc>
      </w:tr>
      <w:tr w14:paraId="490830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34E2A9A9">
            <w:pPr>
              <w:spacing w:line="240" w:lineRule="auto"/>
              <w:ind w:firstLine="0" w:firstLineChars="0"/>
              <w:rPr>
                <w:rFonts w:hint="eastAsia" w:ascii="微软雅黑" w:hAnsi="微软雅黑" w:cs="微软雅黑"/>
                <w:color w:val="auto"/>
                <w:szCs w:val="21"/>
                <w:highlight w:val="none"/>
              </w:rPr>
            </w:pPr>
            <w:bookmarkStart w:id="143" w:name="_Toc493511759"/>
            <w:r>
              <w:rPr>
                <w:rFonts w:hint="eastAsia" w:ascii="微软雅黑" w:hAnsi="微软雅黑" w:cs="微软雅黑"/>
                <w:color w:val="auto"/>
                <w:szCs w:val="21"/>
                <w:highlight w:val="none"/>
              </w:rPr>
              <w:t>500-1000</w:t>
            </w:r>
            <w:bookmarkEnd w:id="143"/>
          </w:p>
        </w:tc>
        <w:tc>
          <w:tcPr>
            <w:tcW w:w="2160" w:type="dxa"/>
            <w:tcBorders>
              <w:top w:val="single" w:color="auto" w:sz="6" w:space="0"/>
              <w:left w:val="single" w:color="auto" w:sz="6" w:space="0"/>
              <w:bottom w:val="single" w:color="auto" w:sz="6" w:space="0"/>
              <w:right w:val="single" w:color="auto" w:sz="6" w:space="0"/>
            </w:tcBorders>
          </w:tcPr>
          <w:p w14:paraId="553BE468">
            <w:pPr>
              <w:spacing w:line="240" w:lineRule="auto"/>
              <w:ind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0.8%</w:t>
            </w:r>
          </w:p>
        </w:tc>
        <w:tc>
          <w:tcPr>
            <w:tcW w:w="2160" w:type="dxa"/>
            <w:tcBorders>
              <w:top w:val="single" w:color="auto" w:sz="6" w:space="0"/>
              <w:left w:val="single" w:color="auto" w:sz="6" w:space="0"/>
              <w:bottom w:val="single" w:color="auto" w:sz="6" w:space="0"/>
              <w:right w:val="double" w:color="auto" w:sz="4" w:space="0"/>
            </w:tcBorders>
            <w:vAlign w:val="center"/>
          </w:tcPr>
          <w:p w14:paraId="3C2C2A7A">
            <w:pPr>
              <w:spacing w:line="240" w:lineRule="auto"/>
              <w:ind w:firstLine="0" w:firstLineChars="0"/>
              <w:rPr>
                <w:rFonts w:hint="eastAsia" w:ascii="微软雅黑" w:hAnsi="微软雅黑" w:cs="微软雅黑"/>
                <w:color w:val="auto"/>
                <w:szCs w:val="21"/>
                <w:highlight w:val="none"/>
              </w:rPr>
            </w:pPr>
            <w:bookmarkStart w:id="144" w:name="_Toc493511760"/>
            <w:r>
              <w:rPr>
                <w:rFonts w:hint="eastAsia" w:ascii="微软雅黑" w:hAnsi="微软雅黑" w:cs="微软雅黑"/>
                <w:color w:val="auto"/>
                <w:szCs w:val="21"/>
                <w:highlight w:val="none"/>
              </w:rPr>
              <w:t>0.45％</w:t>
            </w:r>
            <w:bookmarkEnd w:id="144"/>
          </w:p>
        </w:tc>
      </w:tr>
    </w:tbl>
    <w:p w14:paraId="2B6B3C2F">
      <w:pPr>
        <w:spacing w:line="460" w:lineRule="exact"/>
        <w:ind w:firstLine="420"/>
        <w:rPr>
          <w:rFonts w:hint="eastAsia" w:ascii="微软雅黑" w:hAnsi="微软雅黑" w:cs="微软雅黑"/>
          <w:color w:val="auto"/>
          <w:szCs w:val="21"/>
          <w:highlight w:val="none"/>
        </w:rPr>
      </w:pPr>
      <w:bookmarkStart w:id="145" w:name="_Toc493511761"/>
      <w:r>
        <w:rPr>
          <w:rFonts w:hint="eastAsia" w:ascii="微软雅黑" w:hAnsi="微软雅黑" w:cs="微软雅黑"/>
          <w:color w:val="auto"/>
          <w:szCs w:val="21"/>
          <w:highlight w:val="none"/>
        </w:rPr>
        <w:t>例如：某项目服务类招标代理业务中标金额为900万元，计算中标服务费收费额如下：</w:t>
      </w:r>
      <w:bookmarkEnd w:id="145"/>
    </w:p>
    <w:p w14:paraId="483AF149">
      <w:pPr>
        <w:spacing w:line="460" w:lineRule="exact"/>
        <w:ind w:firstLine="420"/>
        <w:rPr>
          <w:rFonts w:hint="eastAsia" w:ascii="微软雅黑" w:hAnsi="微软雅黑" w:cs="微软雅黑"/>
          <w:color w:val="auto"/>
          <w:szCs w:val="21"/>
          <w:highlight w:val="none"/>
        </w:rPr>
      </w:pPr>
      <w:bookmarkStart w:id="146" w:name="_Toc493511762"/>
      <w:r>
        <w:rPr>
          <w:rFonts w:hint="eastAsia" w:ascii="微软雅黑" w:hAnsi="微软雅黑" w:cs="微软雅黑"/>
          <w:color w:val="auto"/>
          <w:szCs w:val="21"/>
          <w:highlight w:val="none"/>
        </w:rPr>
        <w:t>100万元 × 1.5% = 1.5万元</w:t>
      </w:r>
      <w:bookmarkEnd w:id="146"/>
    </w:p>
    <w:p w14:paraId="587DE491">
      <w:pPr>
        <w:spacing w:line="460" w:lineRule="exact"/>
        <w:ind w:firstLine="420"/>
        <w:rPr>
          <w:rFonts w:hint="eastAsia" w:ascii="微软雅黑" w:hAnsi="微软雅黑" w:cs="微软雅黑"/>
          <w:color w:val="auto"/>
          <w:szCs w:val="21"/>
          <w:highlight w:val="none"/>
        </w:rPr>
      </w:pPr>
      <w:bookmarkStart w:id="147" w:name="_Toc493511763"/>
      <w:r>
        <w:rPr>
          <w:rFonts w:hint="eastAsia" w:ascii="微软雅黑" w:hAnsi="微软雅黑" w:cs="微软雅黑"/>
          <w:color w:val="auto"/>
          <w:szCs w:val="21"/>
          <w:highlight w:val="none"/>
        </w:rPr>
        <w:t>（500-100）万元 × 0.8% = 3.2万元</w:t>
      </w:r>
      <w:bookmarkEnd w:id="147"/>
    </w:p>
    <w:p w14:paraId="2B1C2554">
      <w:pPr>
        <w:spacing w:line="460" w:lineRule="exact"/>
        <w:ind w:firstLine="420"/>
        <w:rPr>
          <w:rFonts w:hint="eastAsia" w:ascii="微软雅黑" w:hAnsi="微软雅黑" w:cs="微软雅黑"/>
          <w:color w:val="auto"/>
          <w:szCs w:val="21"/>
          <w:highlight w:val="none"/>
        </w:rPr>
      </w:pPr>
      <w:bookmarkStart w:id="148" w:name="_Toc493511764"/>
      <w:r>
        <w:rPr>
          <w:rFonts w:hint="eastAsia" w:ascii="微软雅黑" w:hAnsi="微软雅黑" w:cs="微软雅黑"/>
          <w:color w:val="auto"/>
          <w:szCs w:val="21"/>
          <w:highlight w:val="none"/>
        </w:rPr>
        <w:t>（900-500）万元×0.45% = 1.8万元</w:t>
      </w:r>
      <w:bookmarkEnd w:id="148"/>
    </w:p>
    <w:p w14:paraId="1B94CFB3">
      <w:pPr>
        <w:spacing w:line="460" w:lineRule="exact"/>
        <w:ind w:firstLine="420"/>
        <w:rPr>
          <w:rFonts w:hint="eastAsia" w:ascii="微软雅黑" w:hAnsi="微软雅黑" w:cs="微软雅黑"/>
          <w:color w:val="auto"/>
          <w:szCs w:val="21"/>
          <w:highlight w:val="none"/>
        </w:rPr>
      </w:pPr>
      <w:bookmarkStart w:id="149" w:name="_Toc493511765"/>
      <w:r>
        <w:rPr>
          <w:rFonts w:hint="eastAsia" w:ascii="微软雅黑" w:hAnsi="微软雅黑" w:cs="微软雅黑"/>
          <w:color w:val="auto"/>
          <w:szCs w:val="21"/>
          <w:highlight w:val="none"/>
        </w:rPr>
        <w:t>计收费 = 1.5万元 + 3.2万元+1.8万元 = 6.5万元</w:t>
      </w:r>
      <w:bookmarkEnd w:id="149"/>
    </w:p>
    <w:p w14:paraId="21F14856">
      <w:pPr>
        <w:pStyle w:val="101"/>
        <w:numPr>
          <w:ilvl w:val="0"/>
          <w:numId w:val="20"/>
        </w:numPr>
        <w:spacing w:line="460" w:lineRule="exact"/>
        <w:ind w:left="0"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本项目以服务类招标收费标准的62.83%收取中标服务费</w:t>
      </w:r>
      <w:r>
        <w:rPr>
          <w:rFonts w:hint="eastAsia" w:ascii="微软雅黑" w:hAnsi="微软雅黑" w:cs="微软雅黑"/>
          <w:color w:val="auto"/>
          <w:highlight w:val="none"/>
        </w:rPr>
        <w:t>（</w:t>
      </w:r>
      <w:r>
        <w:rPr>
          <w:rFonts w:hint="eastAsia" w:ascii="微软雅黑" w:hAnsi="微软雅黑" w:cs="微软雅黑"/>
          <w:color w:val="auto"/>
          <w:szCs w:val="21"/>
          <w:highlight w:val="none"/>
        </w:rPr>
        <w:t>单个项目保底4500</w:t>
      </w:r>
      <w:r>
        <w:rPr>
          <w:rFonts w:ascii="微软雅黑" w:hAnsi="微软雅黑" w:cs="微软雅黑"/>
          <w:color w:val="auto"/>
          <w:szCs w:val="21"/>
          <w:highlight w:val="none"/>
        </w:rPr>
        <w:t>元</w:t>
      </w:r>
      <w:r>
        <w:rPr>
          <w:rFonts w:hint="eastAsia" w:ascii="微软雅黑" w:hAnsi="微软雅黑" w:cs="微软雅黑"/>
          <w:color w:val="auto"/>
          <w:highlight w:val="none"/>
        </w:rPr>
        <w:t>）</w:t>
      </w:r>
      <w:r>
        <w:rPr>
          <w:rFonts w:hint="eastAsia" w:ascii="微软雅黑" w:hAnsi="微软雅黑" w:cs="微软雅黑"/>
          <w:color w:val="auto"/>
          <w:szCs w:val="21"/>
          <w:highlight w:val="none"/>
        </w:rPr>
        <w:t>。</w:t>
      </w:r>
    </w:p>
    <w:p w14:paraId="11FD2473">
      <w:pPr>
        <w:pStyle w:val="101"/>
        <w:numPr>
          <w:ilvl w:val="0"/>
          <w:numId w:val="20"/>
        </w:numPr>
        <w:spacing w:line="460" w:lineRule="exact"/>
        <w:ind w:left="0" w:firstLine="420"/>
        <w:rPr>
          <w:rFonts w:hint="eastAsia" w:ascii="微软雅黑" w:hAnsi="微软雅黑" w:cs="微软雅黑"/>
          <w:color w:val="auto"/>
          <w:szCs w:val="21"/>
          <w:highlight w:val="none"/>
        </w:rPr>
      </w:pPr>
      <w:bookmarkStart w:id="150" w:name="_Toc493511767"/>
      <w:r>
        <w:rPr>
          <w:rFonts w:hint="eastAsia" w:ascii="微软雅黑" w:hAnsi="微软雅黑" w:cs="微软雅黑"/>
          <w:color w:val="auto"/>
          <w:szCs w:val="21"/>
          <w:highlight w:val="none"/>
        </w:rPr>
        <w:t>服务费的货币为人民币。</w:t>
      </w:r>
      <w:bookmarkEnd w:id="150"/>
    </w:p>
    <w:p w14:paraId="6DA76E44">
      <w:pPr>
        <w:pStyle w:val="101"/>
        <w:numPr>
          <w:ilvl w:val="0"/>
          <w:numId w:val="20"/>
        </w:numPr>
        <w:spacing w:line="460" w:lineRule="exact"/>
        <w:ind w:left="0" w:firstLine="420"/>
        <w:rPr>
          <w:rFonts w:hint="eastAsia" w:ascii="微软雅黑" w:hAnsi="微软雅黑" w:cs="微软雅黑"/>
          <w:color w:val="auto"/>
          <w:szCs w:val="21"/>
          <w:highlight w:val="none"/>
        </w:rPr>
      </w:pPr>
      <w:bookmarkStart w:id="151" w:name="_Toc493511768"/>
      <w:r>
        <w:rPr>
          <w:rFonts w:hint="eastAsia" w:ascii="微软雅黑" w:hAnsi="微软雅黑" w:cs="微软雅黑"/>
          <w:color w:val="auto"/>
          <w:szCs w:val="21"/>
          <w:highlight w:val="none"/>
        </w:rPr>
        <w:t>服务费支付方式：一次性以银行划账、电汇、汇票或支票的形式支付。</w:t>
      </w:r>
      <w:bookmarkEnd w:id="151"/>
    </w:p>
    <w:p w14:paraId="59EA8037">
      <w:pPr>
        <w:pStyle w:val="101"/>
        <w:numPr>
          <w:ilvl w:val="0"/>
          <w:numId w:val="20"/>
        </w:numPr>
        <w:spacing w:line="460" w:lineRule="exact"/>
        <w:ind w:left="0" w:firstLine="420"/>
        <w:rPr>
          <w:rFonts w:hint="eastAsia" w:ascii="微软雅黑" w:hAnsi="微软雅黑" w:cs="微软雅黑"/>
          <w:color w:val="auto"/>
          <w:szCs w:val="21"/>
          <w:highlight w:val="none"/>
        </w:rPr>
      </w:pPr>
      <w:bookmarkStart w:id="152" w:name="_Toc493511769"/>
      <w:r>
        <w:rPr>
          <w:rFonts w:hint="eastAsia" w:ascii="微软雅黑" w:hAnsi="微软雅黑" w:cs="微软雅黑"/>
          <w:color w:val="auto"/>
          <w:szCs w:val="21"/>
          <w:highlight w:val="none"/>
        </w:rPr>
        <w:t>服务费以银行划账方式按下列要求提交：</w:t>
      </w:r>
      <w:bookmarkEnd w:id="152"/>
    </w:p>
    <w:p w14:paraId="23DFC90A">
      <w:pPr>
        <w:spacing w:line="460" w:lineRule="exact"/>
        <w:ind w:firstLine="420"/>
        <w:rPr>
          <w:rFonts w:hint="eastAsia" w:ascii="微软雅黑" w:hAnsi="微软雅黑" w:cs="微软雅黑"/>
          <w:color w:val="auto"/>
          <w:szCs w:val="21"/>
          <w:highlight w:val="none"/>
        </w:rPr>
      </w:pPr>
      <w:bookmarkStart w:id="153" w:name="_Toc493511770"/>
      <w:r>
        <w:rPr>
          <w:rFonts w:hint="eastAsia" w:ascii="微软雅黑" w:hAnsi="微软雅黑" w:cs="微软雅黑"/>
          <w:color w:val="auto"/>
          <w:szCs w:val="21"/>
          <w:highlight w:val="none"/>
        </w:rPr>
        <w:t>收款人：嘉兴市千秋工程咨询有限公司</w:t>
      </w:r>
      <w:bookmarkEnd w:id="153"/>
    </w:p>
    <w:p w14:paraId="49F77DB8">
      <w:pPr>
        <w:spacing w:line="460" w:lineRule="exact"/>
        <w:ind w:firstLine="420"/>
        <w:rPr>
          <w:rFonts w:hint="eastAsia" w:ascii="微软雅黑" w:hAnsi="微软雅黑" w:cs="微软雅黑"/>
          <w:color w:val="auto"/>
          <w:szCs w:val="21"/>
          <w:highlight w:val="none"/>
        </w:rPr>
      </w:pPr>
      <w:bookmarkStart w:id="154" w:name="_Toc493511771"/>
      <w:r>
        <w:rPr>
          <w:rFonts w:hint="eastAsia" w:ascii="微软雅黑" w:hAnsi="微软雅黑" w:cs="微软雅黑"/>
          <w:color w:val="auto"/>
          <w:szCs w:val="21"/>
          <w:highlight w:val="none"/>
        </w:rPr>
        <w:t>户名：嘉兴市千秋工程咨询有限公司</w:t>
      </w:r>
      <w:bookmarkEnd w:id="154"/>
    </w:p>
    <w:p w14:paraId="5DE4B5FD">
      <w:pPr>
        <w:spacing w:line="460" w:lineRule="exact"/>
        <w:ind w:firstLine="420"/>
        <w:rPr>
          <w:rFonts w:hint="eastAsia" w:ascii="微软雅黑" w:hAnsi="微软雅黑" w:cs="微软雅黑"/>
          <w:color w:val="auto"/>
          <w:szCs w:val="21"/>
          <w:highlight w:val="none"/>
        </w:rPr>
      </w:pPr>
      <w:bookmarkStart w:id="155" w:name="_Toc493511772"/>
      <w:r>
        <w:rPr>
          <w:rFonts w:hint="eastAsia" w:ascii="微软雅黑" w:hAnsi="微软雅黑" w:cs="微软雅黑"/>
          <w:color w:val="auto"/>
          <w:szCs w:val="21"/>
          <w:highlight w:val="none"/>
        </w:rPr>
        <w:t>开户银行：交通银行嘉兴分行</w:t>
      </w:r>
      <w:bookmarkEnd w:id="155"/>
    </w:p>
    <w:p w14:paraId="6FF6EE6D">
      <w:pPr>
        <w:spacing w:line="460" w:lineRule="exact"/>
        <w:ind w:firstLine="420"/>
        <w:rPr>
          <w:rFonts w:hint="eastAsia" w:ascii="微软雅黑" w:hAnsi="微软雅黑" w:cs="微软雅黑"/>
          <w:color w:val="auto"/>
          <w:szCs w:val="21"/>
          <w:highlight w:val="none"/>
        </w:rPr>
      </w:pPr>
      <w:bookmarkStart w:id="156" w:name="_Toc493511773"/>
      <w:r>
        <w:rPr>
          <w:rFonts w:hint="eastAsia" w:ascii="微软雅黑" w:hAnsi="微软雅黑" w:cs="微软雅黑"/>
          <w:color w:val="auto"/>
          <w:szCs w:val="21"/>
          <w:highlight w:val="none"/>
        </w:rPr>
        <w:t>账号：334601000018170160050</w:t>
      </w:r>
      <w:bookmarkEnd w:id="156"/>
    </w:p>
    <w:p w14:paraId="335E82CA">
      <w:pPr>
        <w:pStyle w:val="101"/>
        <w:numPr>
          <w:ilvl w:val="0"/>
          <w:numId w:val="20"/>
        </w:numPr>
        <w:spacing w:line="460" w:lineRule="exact"/>
        <w:ind w:left="0" w:firstLine="420"/>
        <w:rPr>
          <w:rFonts w:hint="eastAsia" w:ascii="微软雅黑" w:hAnsi="微软雅黑" w:cs="微软雅黑"/>
          <w:color w:val="auto"/>
          <w:szCs w:val="21"/>
          <w:highlight w:val="none"/>
        </w:rPr>
      </w:pPr>
      <w:bookmarkStart w:id="157" w:name="_Toc493511775"/>
      <w:r>
        <w:rPr>
          <w:rFonts w:hint="eastAsia" w:ascii="微软雅黑" w:hAnsi="微软雅黑" w:cs="微软雅黑"/>
          <w:color w:val="auto"/>
          <w:szCs w:val="21"/>
          <w:highlight w:val="none"/>
        </w:rPr>
        <w:t>服务费不在投标报价中单列。</w:t>
      </w:r>
      <w:bookmarkEnd w:id="157"/>
    </w:p>
    <w:p w14:paraId="41A61C4C">
      <w:pPr>
        <w:pStyle w:val="50"/>
        <w:spacing w:before="0" w:after="0" w:line="460" w:lineRule="exact"/>
        <w:ind w:firstLine="420"/>
        <w:outlineLvl w:val="9"/>
        <w:rPr>
          <w:rFonts w:hint="eastAsia" w:ascii="微软雅黑" w:hAnsi="微软雅黑" w:cs="微软雅黑"/>
          <w:color w:val="auto"/>
          <w:sz w:val="21"/>
          <w:szCs w:val="21"/>
          <w:highlight w:val="none"/>
        </w:rPr>
        <w:sectPr>
          <w:footerReference r:id="rId19" w:type="first"/>
          <w:footerReference r:id="rId18" w:type="default"/>
          <w:pgSz w:w="11906" w:h="16838"/>
          <w:pgMar w:top="1474" w:right="1797" w:bottom="1247" w:left="1797" w:header="851" w:footer="851" w:gutter="0"/>
          <w:cols w:space="720" w:num="1"/>
          <w:docGrid w:linePitch="312" w:charSpace="0"/>
        </w:sectPr>
      </w:pPr>
      <w:bookmarkStart w:id="158" w:name="_Toc493511776"/>
      <w:bookmarkStart w:id="159" w:name="_Toc25435"/>
      <w:bookmarkStart w:id="160" w:name="_Toc177870559"/>
      <w:bookmarkStart w:id="161" w:name="_Toc170792807"/>
      <w:bookmarkStart w:id="162" w:name="_Toc417992896"/>
      <w:bookmarkStart w:id="163" w:name="_Toc416422800"/>
      <w:bookmarkStart w:id="164" w:name="_Toc493511826"/>
      <w:bookmarkStart w:id="165" w:name="_Toc170792802"/>
    </w:p>
    <w:p w14:paraId="6D29B0CD">
      <w:pPr>
        <w:pStyle w:val="2"/>
        <w:keepNext w:val="0"/>
        <w:keepLines w:val="0"/>
        <w:numPr>
          <w:ilvl w:val="0"/>
          <w:numId w:val="3"/>
        </w:numPr>
        <w:rPr>
          <w:rStyle w:val="64"/>
          <w:b/>
          <w:bCs/>
          <w:color w:val="auto"/>
          <w:highlight w:val="none"/>
        </w:rPr>
      </w:pPr>
      <w:bookmarkStart w:id="166" w:name="_Toc5625"/>
      <w:r>
        <w:rPr>
          <w:rStyle w:val="64"/>
          <w:rFonts w:hint="eastAsia"/>
          <w:b/>
          <w:bCs/>
          <w:color w:val="auto"/>
          <w:highlight w:val="none"/>
        </w:rPr>
        <w:t>评标办法及评分标准</w:t>
      </w:r>
      <w:bookmarkEnd w:id="158"/>
      <w:bookmarkEnd w:id="159"/>
      <w:bookmarkEnd w:id="166"/>
    </w:p>
    <w:p w14:paraId="486A27E0">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为公正、公平、科学地选择中标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，根据《中华人民共和国政府采购法》等有关法律法规的规定，并结合本项目的实际，制定本办法。</w:t>
      </w:r>
    </w:p>
    <w:p w14:paraId="1A2FB189">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本办法适用于本项目的评标。</w:t>
      </w:r>
    </w:p>
    <w:bookmarkEnd w:id="160"/>
    <w:bookmarkEnd w:id="161"/>
    <w:p w14:paraId="1AE2C1E2">
      <w:pPr>
        <w:pStyle w:val="3"/>
        <w:keepNext w:val="0"/>
        <w:keepLines w:val="0"/>
        <w:spacing w:line="460" w:lineRule="exact"/>
        <w:ind w:firstLine="420" w:firstLineChars="200"/>
        <w:jc w:val="left"/>
        <w:rPr>
          <w:rFonts w:hint="eastAsia" w:ascii="微软雅黑" w:hAnsi="微软雅黑" w:cs="微软雅黑"/>
          <w:b w:val="0"/>
          <w:color w:val="auto"/>
          <w:sz w:val="21"/>
          <w:szCs w:val="21"/>
          <w:highlight w:val="none"/>
        </w:rPr>
      </w:pPr>
      <w:bookmarkStart w:id="167" w:name="_Toc597"/>
      <w:bookmarkStart w:id="168" w:name="_Toc6319"/>
      <w:r>
        <w:rPr>
          <w:rFonts w:hint="eastAsia" w:ascii="微软雅黑" w:hAnsi="微软雅黑" w:cs="微软雅黑"/>
          <w:color w:val="auto"/>
          <w:sz w:val="21"/>
          <w:szCs w:val="21"/>
          <w:highlight w:val="none"/>
        </w:rPr>
        <w:t>一、总则</w:t>
      </w:r>
      <w:bookmarkEnd w:id="167"/>
      <w:bookmarkEnd w:id="168"/>
    </w:p>
    <w:p w14:paraId="5BF37A99">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本次评标采用综合评分法，总分为100分。合格</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的评标得分为各项目汇总得分，中标候选资格按评标得分由高到低顺序排列，得分相同的，按投标报价由低到高顺序排列；得分且投标报价相同的，按商务技术得分由高到低顺序排列，仍不能分出前后的，以投标解密先后顺序确定中标候选</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。中标候选</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数量：3家，采购人应从评审报告确定的中标候选</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名单中按顺序确定中标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，中标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拒绝与采购人签订合同的，确定下一候选</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为中标</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，也可以重新开展政府采购活动。评分过程中采用四舍五入法，并保留小数2位。</w:t>
      </w:r>
    </w:p>
    <w:p w14:paraId="765BDA76">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评标综合得分=价格分+技术分+资信及其他分</w:t>
      </w:r>
    </w:p>
    <w:p w14:paraId="31A42F51">
      <w:pPr>
        <w:pStyle w:val="3"/>
        <w:keepNext w:val="0"/>
        <w:keepLines w:val="0"/>
        <w:spacing w:line="460" w:lineRule="exact"/>
        <w:ind w:firstLine="420" w:firstLineChars="200"/>
        <w:jc w:val="left"/>
        <w:rPr>
          <w:rFonts w:hint="eastAsia" w:ascii="微软雅黑" w:hAnsi="微软雅黑" w:cs="微软雅黑"/>
          <w:b w:val="0"/>
          <w:color w:val="auto"/>
          <w:sz w:val="21"/>
          <w:szCs w:val="21"/>
          <w:highlight w:val="none"/>
        </w:rPr>
      </w:pPr>
      <w:bookmarkStart w:id="169" w:name="_Toc22817"/>
      <w:bookmarkStart w:id="170" w:name="_Toc23206"/>
      <w:r>
        <w:rPr>
          <w:rFonts w:hint="eastAsia" w:ascii="微软雅黑" w:hAnsi="微软雅黑" w:cs="微软雅黑"/>
          <w:color w:val="auto"/>
          <w:sz w:val="21"/>
          <w:szCs w:val="21"/>
          <w:highlight w:val="none"/>
        </w:rPr>
        <w:t>二、评标内容及标准</w:t>
      </w:r>
      <w:bookmarkEnd w:id="169"/>
      <w:bookmarkEnd w:id="170"/>
    </w:p>
    <w:p w14:paraId="1F7359FC">
      <w:pPr>
        <w:pStyle w:val="21"/>
        <w:spacing w:line="460" w:lineRule="exact"/>
        <w:ind w:firstLine="404"/>
        <w:rPr>
          <w:rFonts w:hint="eastAsia" w:ascii="微软雅黑" w:hAnsi="微软雅黑" w:cs="微软雅黑"/>
          <w:b/>
          <w:bCs/>
          <w:color w:val="auto"/>
          <w:sz w:val="21"/>
          <w:szCs w:val="21"/>
          <w:highlight w:val="none"/>
        </w:rPr>
      </w:pPr>
      <w:r>
        <w:rPr>
          <w:rFonts w:hint="eastAsia" w:ascii="微软雅黑" w:hAnsi="微软雅黑" w:cs="微软雅黑"/>
          <w:b/>
          <w:color w:val="auto"/>
          <w:sz w:val="21"/>
          <w:szCs w:val="21"/>
          <w:highlight w:val="none"/>
        </w:rPr>
        <w:t>（一）</w:t>
      </w:r>
      <w:r>
        <w:rPr>
          <w:rFonts w:hint="eastAsia" w:ascii="微软雅黑" w:hAnsi="微软雅黑" w:cs="微软雅黑"/>
          <w:b/>
          <w:bCs/>
          <w:color w:val="auto"/>
          <w:sz w:val="21"/>
          <w:szCs w:val="21"/>
          <w:highlight w:val="none"/>
        </w:rPr>
        <w:t>价格分（30分）</w:t>
      </w:r>
    </w:p>
    <w:p w14:paraId="563243B9">
      <w:pPr>
        <w:pStyle w:val="21"/>
        <w:spacing w:line="460" w:lineRule="exact"/>
        <w:ind w:firstLine="404"/>
        <w:rPr>
          <w:rFonts w:hint="eastAsia" w:ascii="微软雅黑" w:hAnsi="微软雅黑" w:cs="微软雅黑"/>
          <w:bCs/>
          <w:color w:val="auto"/>
          <w:sz w:val="21"/>
          <w:szCs w:val="21"/>
          <w:highlight w:val="none"/>
        </w:rPr>
      </w:pPr>
      <w:r>
        <w:rPr>
          <w:rFonts w:hint="eastAsia" w:ascii="微软雅黑" w:hAnsi="微软雅黑" w:cs="微软雅黑"/>
          <w:bCs/>
          <w:color w:val="auto"/>
          <w:sz w:val="21"/>
          <w:szCs w:val="21"/>
          <w:highlight w:val="none"/>
        </w:rPr>
        <w:t>1.价格分采用低价优先法计算，即满足招标文件要求且投标价格最低的投标报价为评标基准价，其他</w:t>
      </w:r>
      <w:r>
        <w:rPr>
          <w:rFonts w:hint="eastAsia" w:ascii="微软雅黑" w:hAnsi="微软雅黑" w:cs="微软雅黑"/>
          <w:bCs/>
          <w:color w:val="auto"/>
          <w:sz w:val="21"/>
          <w:szCs w:val="21"/>
          <w:highlight w:val="none"/>
          <w:lang w:eastAsia="zh-CN"/>
        </w:rPr>
        <w:t>投标人</w:t>
      </w:r>
      <w:r>
        <w:rPr>
          <w:rFonts w:hint="eastAsia" w:ascii="微软雅黑" w:hAnsi="微软雅黑" w:cs="微软雅黑"/>
          <w:bCs/>
          <w:color w:val="auto"/>
          <w:sz w:val="21"/>
          <w:szCs w:val="21"/>
          <w:highlight w:val="none"/>
        </w:rPr>
        <w:t>的价格分按照下列公式计算：</w:t>
      </w:r>
    </w:p>
    <w:p w14:paraId="68002E63">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价格分=（评标基准价/投标报价）×30%×100</w:t>
      </w:r>
    </w:p>
    <w:p w14:paraId="4B629DE5">
      <w:pPr>
        <w:pStyle w:val="21"/>
        <w:spacing w:line="460" w:lineRule="exact"/>
        <w:ind w:firstLine="404"/>
        <w:rPr>
          <w:rFonts w:hint="eastAsia" w:ascii="微软雅黑" w:hAnsi="微软雅黑" w:cs="微软雅黑"/>
          <w:bCs/>
          <w:color w:val="auto"/>
          <w:sz w:val="21"/>
          <w:szCs w:val="21"/>
          <w:highlight w:val="none"/>
        </w:rPr>
      </w:pPr>
      <w:r>
        <w:rPr>
          <w:rFonts w:hint="eastAsia" w:ascii="微软雅黑" w:hAnsi="微软雅黑" w:cs="微软雅黑"/>
          <w:bCs/>
          <w:color w:val="auto"/>
          <w:sz w:val="21"/>
          <w:szCs w:val="21"/>
          <w:highlight w:val="none"/>
        </w:rPr>
        <w:t>2.</w:t>
      </w:r>
      <w:r>
        <w:rPr>
          <w:rFonts w:hint="eastAsia" w:ascii="微软雅黑" w:hAnsi="微软雅黑" w:cs="微软雅黑"/>
          <w:bCs/>
          <w:color w:val="auto"/>
          <w:sz w:val="21"/>
          <w:szCs w:val="21"/>
          <w:highlight w:val="none"/>
          <w:lang w:eastAsia="zh-CN"/>
        </w:rPr>
        <w:t>投标人</w:t>
      </w:r>
      <w:r>
        <w:rPr>
          <w:rFonts w:hint="eastAsia" w:ascii="微软雅黑" w:hAnsi="微软雅黑" w:cs="微软雅黑"/>
          <w:bCs/>
          <w:color w:val="auto"/>
          <w:sz w:val="21"/>
          <w:szCs w:val="21"/>
          <w:highlight w:val="none"/>
        </w:rPr>
        <w:t>的投标报价超过采购人设定的最高限价，将作为无效标。评标委员会认为</w:t>
      </w:r>
      <w:r>
        <w:rPr>
          <w:rFonts w:hint="eastAsia" w:ascii="微软雅黑" w:hAnsi="微软雅黑" w:cs="微软雅黑"/>
          <w:bCs/>
          <w:color w:val="auto"/>
          <w:sz w:val="21"/>
          <w:szCs w:val="21"/>
          <w:highlight w:val="none"/>
          <w:lang w:eastAsia="zh-CN"/>
        </w:rPr>
        <w:t>投标人</w:t>
      </w:r>
      <w:r>
        <w:rPr>
          <w:rFonts w:hint="eastAsia" w:ascii="微软雅黑" w:hAnsi="微软雅黑" w:cs="微软雅黑"/>
          <w:bCs/>
          <w:color w:val="auto"/>
          <w:sz w:val="21"/>
          <w:szCs w:val="21"/>
          <w:highlight w:val="none"/>
        </w:rPr>
        <w:t>的报价明显低于其他通过符合性审查</w:t>
      </w:r>
      <w:r>
        <w:rPr>
          <w:rFonts w:hint="eastAsia" w:ascii="微软雅黑" w:hAnsi="微软雅黑" w:cs="微软雅黑"/>
          <w:bCs/>
          <w:color w:val="auto"/>
          <w:sz w:val="21"/>
          <w:szCs w:val="21"/>
          <w:highlight w:val="none"/>
          <w:lang w:eastAsia="zh-CN"/>
        </w:rPr>
        <w:t>投标人</w:t>
      </w:r>
      <w:r>
        <w:rPr>
          <w:rFonts w:hint="eastAsia" w:ascii="微软雅黑" w:hAnsi="微软雅黑" w:cs="微软雅黑"/>
          <w:bCs/>
          <w:color w:val="auto"/>
          <w:sz w:val="21"/>
          <w:szCs w:val="21"/>
          <w:highlight w:val="none"/>
        </w:rPr>
        <w:t>的报价，有可能影响产品质量或者不能诚信履约的，应当要求其在评标现场合理的时间内提供书面说明，必要时提交相关证明材料;</w:t>
      </w:r>
      <w:r>
        <w:rPr>
          <w:rFonts w:hint="eastAsia" w:ascii="微软雅黑" w:hAnsi="微软雅黑" w:cs="微软雅黑"/>
          <w:bCs/>
          <w:color w:val="auto"/>
          <w:sz w:val="21"/>
          <w:szCs w:val="21"/>
          <w:highlight w:val="none"/>
          <w:lang w:eastAsia="zh-CN"/>
        </w:rPr>
        <w:t>投标人</w:t>
      </w:r>
      <w:r>
        <w:rPr>
          <w:rFonts w:hint="eastAsia" w:ascii="微软雅黑" w:hAnsi="微软雅黑" w:cs="微软雅黑"/>
          <w:bCs/>
          <w:color w:val="auto"/>
          <w:sz w:val="21"/>
          <w:szCs w:val="21"/>
          <w:highlight w:val="none"/>
        </w:rPr>
        <w:t>不能证明其报价合理性的，评标委员会应当将其作为无效投标处理。</w:t>
      </w:r>
    </w:p>
    <w:p w14:paraId="6C311ACB">
      <w:pPr>
        <w:numPr>
          <w:ilvl w:val="0"/>
          <w:numId w:val="21"/>
        </w:numPr>
        <w:tabs>
          <w:tab w:val="left" w:pos="3870"/>
          <w:tab w:val="left" w:pos="4085"/>
        </w:tabs>
        <w:snapToGrid w:val="0"/>
        <w:spacing w:line="460" w:lineRule="exact"/>
        <w:ind w:firstLine="420"/>
        <w:outlineLvl w:val="1"/>
        <w:rPr>
          <w:b/>
          <w:bCs/>
          <w:color w:val="auto"/>
          <w:highlight w:val="none"/>
        </w:rPr>
      </w:pPr>
      <w:bookmarkStart w:id="171" w:name="_Toc2294"/>
      <w:r>
        <w:rPr>
          <w:rFonts w:hint="eastAsia"/>
          <w:b/>
          <w:bCs/>
          <w:color w:val="auto"/>
          <w:highlight w:val="none"/>
        </w:rPr>
        <w:t>技术分：</w:t>
      </w:r>
      <w:bookmarkEnd w:id="171"/>
    </w:p>
    <w:tbl>
      <w:tblPr>
        <w:tblStyle w:val="53"/>
        <w:tblW w:w="9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026"/>
        <w:gridCol w:w="801"/>
        <w:gridCol w:w="709"/>
      </w:tblGrid>
      <w:tr w14:paraId="4B80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7FEFA994">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序号</w:t>
            </w:r>
          </w:p>
        </w:tc>
        <w:tc>
          <w:tcPr>
            <w:tcW w:w="7026" w:type="dxa"/>
            <w:tcBorders>
              <w:bottom w:val="single" w:color="auto" w:sz="4" w:space="0"/>
            </w:tcBorders>
            <w:vAlign w:val="center"/>
          </w:tcPr>
          <w:p w14:paraId="4F132BFE">
            <w:pPr>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评分内容</w:t>
            </w:r>
          </w:p>
        </w:tc>
        <w:tc>
          <w:tcPr>
            <w:tcW w:w="801" w:type="dxa"/>
            <w:tcBorders>
              <w:bottom w:val="single" w:color="auto" w:sz="4" w:space="0"/>
            </w:tcBorders>
            <w:vAlign w:val="center"/>
          </w:tcPr>
          <w:p w14:paraId="7A920310">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最高得分</w:t>
            </w:r>
          </w:p>
        </w:tc>
        <w:tc>
          <w:tcPr>
            <w:tcW w:w="709" w:type="dxa"/>
            <w:tcBorders>
              <w:bottom w:val="single" w:color="auto" w:sz="4" w:space="0"/>
            </w:tcBorders>
            <w:vAlign w:val="center"/>
          </w:tcPr>
          <w:p w14:paraId="3C6DEC24">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评分设置</w:t>
            </w:r>
          </w:p>
        </w:tc>
      </w:tr>
      <w:tr w14:paraId="025F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20E399C3">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w:t>
            </w:r>
          </w:p>
        </w:tc>
        <w:tc>
          <w:tcPr>
            <w:tcW w:w="7026" w:type="dxa"/>
            <w:tcBorders>
              <w:bottom w:val="single" w:color="auto" w:sz="4" w:space="0"/>
            </w:tcBorders>
            <w:vAlign w:val="center"/>
          </w:tcPr>
          <w:p w14:paraId="0F277F65">
            <w:pPr>
              <w:spacing w:line="460" w:lineRule="exact"/>
              <w:ind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提</w:t>
            </w:r>
            <w:r>
              <w:rPr>
                <w:rFonts w:hint="eastAsia" w:ascii="微软雅黑" w:hAnsi="微软雅黑" w:cs="微软雅黑"/>
                <w:color w:val="auto"/>
                <w:szCs w:val="21"/>
                <w:highlight w:val="none"/>
              </w:rPr>
              <w:t>供的标识标牌及防汛物资</w:t>
            </w:r>
            <w:r>
              <w:rPr>
                <w:rFonts w:hint="eastAsia" w:ascii="微软雅黑" w:hAnsi="微软雅黑"/>
                <w:color w:val="auto"/>
                <w:szCs w:val="21"/>
                <w:highlight w:val="none"/>
              </w:rPr>
              <w:t>的性能及技术指标要求：能满足招标文件要求的，得</w:t>
            </w:r>
            <w:r>
              <w:rPr>
                <w:rFonts w:hint="eastAsia" w:ascii="微软雅黑" w:hAnsi="微软雅黑"/>
                <w:color w:val="auto"/>
                <w:szCs w:val="21"/>
                <w:highlight w:val="none"/>
                <w:lang w:val="en-US" w:eastAsia="zh-CN"/>
              </w:rPr>
              <w:t>3</w:t>
            </w:r>
            <w:r>
              <w:rPr>
                <w:rFonts w:hint="eastAsia" w:ascii="微软雅黑" w:hAnsi="微软雅黑"/>
                <w:color w:val="auto"/>
                <w:szCs w:val="21"/>
                <w:highlight w:val="none"/>
              </w:rPr>
              <w:t>分，指标存在负偏离的，每一项扣0.5分，扣完为止。</w:t>
            </w:r>
            <w:r>
              <w:rPr>
                <w:rFonts w:hint="eastAsia" w:ascii="微软雅黑" w:hAnsi="微软雅黑"/>
                <w:b/>
                <w:bCs/>
                <w:color w:val="auto"/>
                <w:szCs w:val="21"/>
                <w:highlight w:val="none"/>
              </w:rPr>
              <w:t>（中标后如发现投标单位提供的技术参数与招标文件明显不符，按提供虚假材料处理，取消中标资格，并通报有关单位）</w:t>
            </w:r>
          </w:p>
        </w:tc>
        <w:tc>
          <w:tcPr>
            <w:tcW w:w="801" w:type="dxa"/>
            <w:tcBorders>
              <w:bottom w:val="single" w:color="auto" w:sz="4" w:space="0"/>
            </w:tcBorders>
            <w:vAlign w:val="center"/>
          </w:tcPr>
          <w:p w14:paraId="110CB555">
            <w:pPr>
              <w:spacing w:line="276" w:lineRule="auto"/>
              <w:ind w:firstLine="0" w:firstLineChars="0"/>
              <w:jc w:val="center"/>
              <w:rPr>
                <w:rFonts w:hint="eastAsia" w:ascii="微软雅黑" w:hAnsi="微软雅黑" w:eastAsia="微软雅黑" w:cs="微软雅黑"/>
                <w:color w:val="auto"/>
                <w:szCs w:val="21"/>
                <w:highlight w:val="none"/>
                <w:lang w:eastAsia="zh-CN"/>
              </w:rPr>
            </w:pPr>
            <w:r>
              <w:rPr>
                <w:rFonts w:hint="eastAsia" w:ascii="微软雅黑" w:hAnsi="微软雅黑" w:cs="微软雅黑"/>
                <w:color w:val="auto"/>
                <w:szCs w:val="21"/>
                <w:highlight w:val="none"/>
                <w:lang w:val="en-US" w:eastAsia="zh-CN"/>
              </w:rPr>
              <w:t>3</w:t>
            </w:r>
          </w:p>
        </w:tc>
        <w:tc>
          <w:tcPr>
            <w:tcW w:w="709" w:type="dxa"/>
            <w:tcBorders>
              <w:bottom w:val="single" w:color="auto" w:sz="4" w:space="0"/>
            </w:tcBorders>
            <w:vAlign w:val="center"/>
          </w:tcPr>
          <w:p w14:paraId="1FF24723">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客观</w:t>
            </w:r>
          </w:p>
        </w:tc>
      </w:tr>
      <w:tr w14:paraId="3511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478B2111">
            <w:pPr>
              <w:spacing w:line="276" w:lineRule="auto"/>
              <w:ind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2</w:t>
            </w:r>
          </w:p>
        </w:tc>
        <w:tc>
          <w:tcPr>
            <w:tcW w:w="7026" w:type="dxa"/>
            <w:tcBorders>
              <w:bottom w:val="single" w:color="auto" w:sz="4" w:space="0"/>
            </w:tcBorders>
            <w:vAlign w:val="center"/>
          </w:tcPr>
          <w:p w14:paraId="6884D85C">
            <w:pPr>
              <w:pStyle w:val="101"/>
              <w:numPr>
                <w:ilvl w:val="0"/>
                <w:numId w:val="0"/>
              </w:numPr>
              <w:spacing w:line="460" w:lineRule="exact"/>
              <w:ind w:left="60" w:leftChars="0" w:right="42" w:rightChars="20"/>
              <w:rPr>
                <w:rFonts w:hint="eastAsia" w:ascii="微软雅黑" w:hAnsi="微软雅黑" w:eastAsia="微软雅黑"/>
                <w:b w:val="0"/>
                <w:bCs w:val="0"/>
                <w:color w:val="auto"/>
                <w:szCs w:val="21"/>
                <w:highlight w:val="none"/>
                <w:lang w:eastAsia="zh-CN"/>
              </w:rPr>
            </w:pPr>
            <w:r>
              <w:rPr>
                <w:rFonts w:hint="eastAsia" w:ascii="微软雅黑" w:hAnsi="微软雅黑" w:cs="微软雅黑"/>
                <w:b w:val="0"/>
                <w:bCs w:val="0"/>
                <w:color w:val="auto"/>
                <w:szCs w:val="21"/>
                <w:highlight w:val="none"/>
                <w:lang w:val="en-US" w:eastAsia="zh-CN"/>
              </w:rPr>
              <w:t>投标人根据自行勘察结果，</w:t>
            </w:r>
            <w:r>
              <w:rPr>
                <w:rFonts w:hint="eastAsia" w:ascii="微软雅黑" w:hAnsi="微软雅黑" w:eastAsia="微软雅黑" w:cs="微软雅黑"/>
                <w:b w:val="0"/>
                <w:bCs w:val="0"/>
                <w:color w:val="auto"/>
                <w:szCs w:val="21"/>
                <w:highlight w:val="none"/>
                <w:lang w:val="en-US" w:eastAsia="zh-CN"/>
              </w:rPr>
              <w:t>对本项目涉及建筑物现状调查及标准化内容设施设备</w:t>
            </w:r>
            <w:r>
              <w:rPr>
                <w:rFonts w:hint="eastAsia" w:ascii="微软雅黑" w:hAnsi="微软雅黑" w:cs="微软雅黑"/>
                <w:b w:val="0"/>
                <w:bCs w:val="0"/>
                <w:color w:val="auto"/>
                <w:szCs w:val="21"/>
                <w:highlight w:val="none"/>
                <w:lang w:val="en-US" w:eastAsia="zh-CN"/>
              </w:rPr>
              <w:t>作出</w:t>
            </w:r>
            <w:r>
              <w:rPr>
                <w:rFonts w:hint="eastAsia" w:ascii="微软雅黑" w:hAnsi="微软雅黑" w:eastAsia="微软雅黑" w:cs="微软雅黑"/>
                <w:b w:val="0"/>
                <w:bCs w:val="0"/>
                <w:color w:val="auto"/>
                <w:szCs w:val="21"/>
                <w:highlight w:val="none"/>
                <w:lang w:val="en-US" w:eastAsia="zh-CN"/>
              </w:rPr>
              <w:t>的了解情况</w:t>
            </w:r>
            <w:r>
              <w:rPr>
                <w:rFonts w:hint="eastAsia" w:ascii="微软雅黑" w:hAnsi="微软雅黑" w:cs="微软雅黑"/>
                <w:b w:val="0"/>
                <w:bCs w:val="0"/>
                <w:color w:val="auto"/>
                <w:szCs w:val="21"/>
                <w:highlight w:val="none"/>
                <w:lang w:val="en-US" w:eastAsia="zh-CN"/>
              </w:rPr>
              <w:t>，是</w:t>
            </w:r>
            <w:r>
              <w:rPr>
                <w:rFonts w:hint="eastAsia" w:ascii="微软雅黑" w:hAnsi="微软雅黑"/>
                <w:b w:val="0"/>
                <w:bCs w:val="0"/>
                <w:color w:val="auto"/>
                <w:szCs w:val="21"/>
                <w:highlight w:val="none"/>
              </w:rPr>
              <w:t>否与采购需求符合性或匹配度进行打分</w:t>
            </w:r>
            <w:r>
              <w:rPr>
                <w:rFonts w:hint="eastAsia" w:ascii="微软雅黑" w:hAnsi="微软雅黑"/>
                <w:b w:val="0"/>
                <w:bCs w:val="0"/>
                <w:color w:val="auto"/>
                <w:szCs w:val="21"/>
                <w:highlight w:val="none"/>
                <w:lang w:eastAsia="zh-CN"/>
              </w:rPr>
              <w:t>。</w:t>
            </w:r>
            <w:r>
              <w:rPr>
                <w:rFonts w:hint="eastAsia" w:ascii="微软雅黑" w:hAnsi="微软雅黑" w:cs="微软雅黑"/>
                <w:b w:val="0"/>
                <w:bCs w:val="0"/>
                <w:color w:val="auto"/>
                <w:szCs w:val="21"/>
                <w:highlight w:val="none"/>
              </w:rPr>
              <w:t>（</w:t>
            </w:r>
            <w:r>
              <w:rPr>
                <w:rFonts w:hint="eastAsia" w:ascii="微软雅黑" w:hAnsi="微软雅黑" w:cs="宋体"/>
                <w:b w:val="0"/>
                <w:bCs w:val="0"/>
                <w:color w:val="auto"/>
                <w:kern w:val="0"/>
                <w:szCs w:val="21"/>
                <w:highlight w:val="none"/>
              </w:rPr>
              <w:t>评分</w:t>
            </w:r>
            <w:r>
              <w:rPr>
                <w:rFonts w:hint="eastAsia" w:ascii="微软雅黑" w:hAnsi="微软雅黑" w:cs="宋体"/>
                <w:b w:val="0"/>
                <w:bCs w:val="0"/>
                <w:color w:val="auto"/>
                <w:szCs w:val="21"/>
                <w:highlight w:val="none"/>
              </w:rPr>
              <w:t>标准</w:t>
            </w:r>
            <w:r>
              <w:rPr>
                <w:rFonts w:hint="eastAsia" w:ascii="微软雅黑" w:hAnsi="微软雅黑" w:cs="宋体"/>
                <w:b w:val="0"/>
                <w:bCs w:val="0"/>
                <w:color w:val="auto"/>
                <w:kern w:val="0"/>
                <w:szCs w:val="21"/>
                <w:highlight w:val="none"/>
              </w:rPr>
              <w:t>：4</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3</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2</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1,没有不得分</w:t>
            </w:r>
            <w:r>
              <w:rPr>
                <w:rFonts w:hint="eastAsia" w:ascii="微软雅黑" w:hAnsi="微软雅黑" w:cs="微软雅黑"/>
                <w:b w:val="0"/>
                <w:bCs w:val="0"/>
                <w:color w:val="auto"/>
                <w:szCs w:val="21"/>
                <w:highlight w:val="none"/>
              </w:rPr>
              <w:t>）</w:t>
            </w:r>
          </w:p>
        </w:tc>
        <w:tc>
          <w:tcPr>
            <w:tcW w:w="801" w:type="dxa"/>
            <w:tcBorders>
              <w:bottom w:val="single" w:color="auto" w:sz="4" w:space="0"/>
            </w:tcBorders>
            <w:vAlign w:val="center"/>
          </w:tcPr>
          <w:p w14:paraId="47784C80">
            <w:pPr>
              <w:spacing w:line="276" w:lineRule="auto"/>
              <w:ind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4</w:t>
            </w:r>
          </w:p>
        </w:tc>
        <w:tc>
          <w:tcPr>
            <w:tcW w:w="709" w:type="dxa"/>
            <w:tcBorders>
              <w:bottom w:val="single" w:color="auto" w:sz="4" w:space="0"/>
            </w:tcBorders>
            <w:vAlign w:val="center"/>
          </w:tcPr>
          <w:p w14:paraId="7C2D42FD">
            <w:pPr>
              <w:spacing w:line="276" w:lineRule="auto"/>
              <w:ind w:firstLine="0" w:firstLineChars="0"/>
              <w:jc w:val="center"/>
              <w:rPr>
                <w:rFonts w:hint="default"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主观</w:t>
            </w:r>
          </w:p>
        </w:tc>
      </w:tr>
      <w:tr w14:paraId="10DA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443D5A68">
            <w:pPr>
              <w:spacing w:line="276" w:lineRule="auto"/>
              <w:ind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3</w:t>
            </w:r>
          </w:p>
        </w:tc>
        <w:tc>
          <w:tcPr>
            <w:tcW w:w="7026" w:type="dxa"/>
            <w:tcBorders>
              <w:bottom w:val="single" w:color="auto" w:sz="4" w:space="0"/>
            </w:tcBorders>
            <w:vAlign w:val="center"/>
          </w:tcPr>
          <w:p w14:paraId="6931A599">
            <w:pPr>
              <w:pStyle w:val="101"/>
              <w:numPr>
                <w:ilvl w:val="0"/>
                <w:numId w:val="0"/>
              </w:numPr>
              <w:spacing w:line="460" w:lineRule="exact"/>
              <w:ind w:left="60" w:leftChars="0" w:right="42" w:rightChars="20"/>
              <w:rPr>
                <w:rFonts w:hint="eastAsia" w:ascii="微软雅黑" w:hAnsi="微软雅黑"/>
                <w:b w:val="0"/>
                <w:bCs w:val="0"/>
                <w:color w:val="auto"/>
                <w:szCs w:val="21"/>
                <w:highlight w:val="none"/>
              </w:rPr>
            </w:pPr>
            <w:r>
              <w:rPr>
                <w:rFonts w:hint="eastAsia" w:ascii="微软雅黑" w:hAnsi="微软雅黑" w:eastAsia="微软雅黑" w:cs="微软雅黑"/>
                <w:b w:val="0"/>
                <w:bCs w:val="0"/>
                <w:color w:val="auto"/>
                <w:szCs w:val="21"/>
                <w:highlight w:val="none"/>
                <w:lang w:val="en-US" w:eastAsia="zh-CN"/>
              </w:rPr>
              <w:t>对本项目的圩区维修养护及运行管理实施</w:t>
            </w:r>
            <w:r>
              <w:rPr>
                <w:rFonts w:hint="eastAsia" w:ascii="微软雅黑" w:hAnsi="微软雅黑" w:eastAsia="微软雅黑" w:cs="微软雅黑"/>
                <w:b w:val="0"/>
                <w:bCs w:val="0"/>
                <w:color w:val="auto"/>
                <w:szCs w:val="21"/>
                <w:highlight w:val="none"/>
                <w:lang w:val="en-US" w:eastAsia="zh-CN"/>
              </w:rPr>
              <w:t>方案</w:t>
            </w:r>
            <w:r>
              <w:rPr>
                <w:rFonts w:hint="eastAsia" w:ascii="微软雅黑" w:hAnsi="微软雅黑" w:cs="微软雅黑"/>
                <w:b w:val="0"/>
                <w:bCs w:val="0"/>
                <w:color w:val="auto"/>
                <w:szCs w:val="21"/>
                <w:highlight w:val="none"/>
                <w:lang w:val="en-US" w:eastAsia="zh-CN"/>
              </w:rPr>
              <w:t>，</w:t>
            </w:r>
            <w:r>
              <w:rPr>
                <w:rFonts w:hint="eastAsia" w:ascii="微软雅黑" w:hAnsi="微软雅黑" w:cs="微软雅黑"/>
                <w:b w:val="0"/>
                <w:bCs w:val="0"/>
                <w:color w:val="auto"/>
                <w:szCs w:val="21"/>
                <w:highlight w:val="none"/>
                <w:lang w:val="en-US" w:eastAsia="zh-CN"/>
              </w:rPr>
              <w:t>是</w:t>
            </w:r>
            <w:r>
              <w:rPr>
                <w:rFonts w:hint="eastAsia" w:ascii="微软雅黑" w:hAnsi="微软雅黑"/>
                <w:b w:val="0"/>
                <w:bCs w:val="0"/>
                <w:color w:val="auto"/>
                <w:szCs w:val="21"/>
                <w:highlight w:val="none"/>
              </w:rPr>
              <w:t>否与采购需求符合性或匹配度进行打分</w:t>
            </w:r>
            <w:r>
              <w:rPr>
                <w:rFonts w:hint="eastAsia" w:ascii="微软雅黑" w:hAnsi="微软雅黑"/>
                <w:b w:val="0"/>
                <w:bCs w:val="0"/>
                <w:color w:val="auto"/>
                <w:szCs w:val="21"/>
                <w:highlight w:val="none"/>
                <w:lang w:eastAsia="zh-CN"/>
              </w:rPr>
              <w:t>。</w:t>
            </w:r>
            <w:r>
              <w:rPr>
                <w:rFonts w:hint="eastAsia" w:ascii="微软雅黑" w:hAnsi="微软雅黑" w:cs="微软雅黑"/>
                <w:b w:val="0"/>
                <w:bCs w:val="0"/>
                <w:color w:val="auto"/>
                <w:szCs w:val="21"/>
                <w:highlight w:val="none"/>
              </w:rPr>
              <w:t>（</w:t>
            </w:r>
            <w:r>
              <w:rPr>
                <w:rFonts w:hint="eastAsia" w:ascii="微软雅黑" w:hAnsi="微软雅黑" w:cs="宋体"/>
                <w:b w:val="0"/>
                <w:bCs w:val="0"/>
                <w:color w:val="auto"/>
                <w:kern w:val="0"/>
                <w:szCs w:val="21"/>
                <w:highlight w:val="none"/>
              </w:rPr>
              <w:t>评分</w:t>
            </w:r>
            <w:r>
              <w:rPr>
                <w:rFonts w:hint="eastAsia" w:ascii="微软雅黑" w:hAnsi="微软雅黑" w:cs="宋体"/>
                <w:b w:val="0"/>
                <w:bCs w:val="0"/>
                <w:color w:val="auto"/>
                <w:szCs w:val="21"/>
                <w:highlight w:val="none"/>
              </w:rPr>
              <w:t>标准</w:t>
            </w:r>
            <w:r>
              <w:rPr>
                <w:rFonts w:hint="eastAsia" w:ascii="微软雅黑" w:hAnsi="微软雅黑" w:cs="宋体"/>
                <w:b w:val="0"/>
                <w:bCs w:val="0"/>
                <w:color w:val="auto"/>
                <w:kern w:val="0"/>
                <w:szCs w:val="21"/>
                <w:highlight w:val="none"/>
              </w:rPr>
              <w:t>：</w:t>
            </w:r>
            <w:r>
              <w:rPr>
                <w:rFonts w:hint="eastAsia" w:ascii="微软雅黑" w:hAnsi="微软雅黑" w:cs="宋体"/>
                <w:b w:val="0"/>
                <w:bCs w:val="0"/>
                <w:color w:val="auto"/>
                <w:kern w:val="0"/>
                <w:szCs w:val="21"/>
                <w:highlight w:val="none"/>
                <w:lang w:val="en-US" w:eastAsia="zh-CN"/>
              </w:rPr>
              <w:t>5/</w:t>
            </w:r>
            <w:r>
              <w:rPr>
                <w:rFonts w:hint="eastAsia" w:ascii="微软雅黑" w:hAnsi="微软雅黑" w:cs="宋体"/>
                <w:b w:val="0"/>
                <w:bCs w:val="0"/>
                <w:color w:val="auto"/>
                <w:kern w:val="0"/>
                <w:szCs w:val="21"/>
                <w:highlight w:val="none"/>
              </w:rPr>
              <w:t>4</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3</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2</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1,没有不得分</w:t>
            </w:r>
            <w:r>
              <w:rPr>
                <w:rFonts w:hint="eastAsia" w:ascii="微软雅黑" w:hAnsi="微软雅黑" w:cs="微软雅黑"/>
                <w:b w:val="0"/>
                <w:bCs w:val="0"/>
                <w:color w:val="auto"/>
                <w:szCs w:val="21"/>
                <w:highlight w:val="none"/>
              </w:rPr>
              <w:t>）</w:t>
            </w:r>
          </w:p>
        </w:tc>
        <w:tc>
          <w:tcPr>
            <w:tcW w:w="801" w:type="dxa"/>
            <w:tcBorders>
              <w:bottom w:val="single" w:color="auto" w:sz="4" w:space="0"/>
            </w:tcBorders>
            <w:vAlign w:val="center"/>
          </w:tcPr>
          <w:p w14:paraId="74F043B4">
            <w:pPr>
              <w:spacing w:line="276" w:lineRule="auto"/>
              <w:ind w:firstLine="0" w:firstLineChars="0"/>
              <w:jc w:val="center"/>
              <w:rPr>
                <w:rFonts w:hint="default"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5</w:t>
            </w:r>
          </w:p>
        </w:tc>
        <w:tc>
          <w:tcPr>
            <w:tcW w:w="709" w:type="dxa"/>
            <w:tcBorders>
              <w:bottom w:val="single" w:color="auto" w:sz="4" w:space="0"/>
            </w:tcBorders>
            <w:vAlign w:val="center"/>
          </w:tcPr>
          <w:p w14:paraId="748652C3">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en-US" w:eastAsia="zh-CN"/>
              </w:rPr>
              <w:t>主观</w:t>
            </w:r>
          </w:p>
        </w:tc>
      </w:tr>
      <w:tr w14:paraId="7765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608633CE">
            <w:pPr>
              <w:spacing w:line="276" w:lineRule="auto"/>
              <w:ind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4</w:t>
            </w:r>
          </w:p>
        </w:tc>
        <w:tc>
          <w:tcPr>
            <w:tcW w:w="7026" w:type="dxa"/>
            <w:tcBorders>
              <w:bottom w:val="single" w:color="auto" w:sz="4" w:space="0"/>
            </w:tcBorders>
            <w:shd w:val="clear" w:color="auto" w:fill="auto"/>
            <w:vAlign w:val="center"/>
          </w:tcPr>
          <w:p w14:paraId="51D2654F">
            <w:pPr>
              <w:pStyle w:val="29"/>
              <w:keepNext w:val="0"/>
              <w:keepLines w:val="0"/>
              <w:pageBreakBefore w:val="0"/>
              <w:kinsoku/>
              <w:wordWrap/>
              <w:overflowPunct/>
              <w:topLinePunct w:val="0"/>
              <w:autoSpaceDE/>
              <w:autoSpaceDN/>
              <w:bidi w:val="0"/>
              <w:adjustRightInd w:val="0"/>
              <w:snapToGrid/>
              <w:spacing w:line="360" w:lineRule="exact"/>
              <w:ind w:left="0" w:leftChars="0" w:firstLine="0" w:firstLineChars="0"/>
              <w:jc w:val="left"/>
              <w:textAlignment w:val="auto"/>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szCs w:val="21"/>
                <w:highlight w:val="none"/>
                <w:lang w:val="en-US" w:eastAsia="zh-CN"/>
              </w:rPr>
              <w:t>对本项目圩区全套标准化管理文本实施</w:t>
            </w:r>
            <w:r>
              <w:rPr>
                <w:rFonts w:hint="eastAsia" w:ascii="微软雅黑" w:hAnsi="微软雅黑" w:eastAsia="微软雅黑" w:cs="微软雅黑"/>
                <w:b w:val="0"/>
                <w:bCs w:val="0"/>
                <w:color w:val="auto"/>
                <w:szCs w:val="21"/>
                <w:highlight w:val="none"/>
                <w:lang w:val="en-US" w:eastAsia="zh-CN"/>
              </w:rPr>
              <w:t>方案编制，</w:t>
            </w:r>
            <w:r>
              <w:rPr>
                <w:rFonts w:hint="eastAsia" w:ascii="微软雅黑" w:hAnsi="微软雅黑"/>
                <w:b w:val="0"/>
                <w:bCs w:val="0"/>
                <w:color w:val="auto"/>
                <w:szCs w:val="21"/>
                <w:highlight w:val="none"/>
              </w:rPr>
              <w:t>否与采购需求符合性或匹配度进行打分</w:t>
            </w:r>
            <w:r>
              <w:rPr>
                <w:rFonts w:hint="eastAsia" w:ascii="微软雅黑" w:hAnsi="微软雅黑"/>
                <w:b w:val="0"/>
                <w:bCs w:val="0"/>
                <w:color w:val="auto"/>
                <w:szCs w:val="21"/>
                <w:highlight w:val="none"/>
                <w:lang w:eastAsia="zh-CN"/>
              </w:rPr>
              <w:t>。</w:t>
            </w:r>
            <w:r>
              <w:rPr>
                <w:rFonts w:hint="eastAsia" w:ascii="微软雅黑" w:hAnsi="微软雅黑" w:cs="微软雅黑"/>
                <w:b w:val="0"/>
                <w:bCs w:val="0"/>
                <w:color w:val="auto"/>
                <w:szCs w:val="21"/>
                <w:highlight w:val="none"/>
              </w:rPr>
              <w:t>（</w:t>
            </w:r>
            <w:r>
              <w:rPr>
                <w:rFonts w:hint="eastAsia" w:ascii="微软雅黑" w:hAnsi="微软雅黑" w:cs="宋体"/>
                <w:b w:val="0"/>
                <w:bCs w:val="0"/>
                <w:color w:val="auto"/>
                <w:kern w:val="0"/>
                <w:szCs w:val="21"/>
                <w:highlight w:val="none"/>
              </w:rPr>
              <w:t>评分</w:t>
            </w:r>
            <w:r>
              <w:rPr>
                <w:rFonts w:hint="eastAsia" w:ascii="微软雅黑" w:hAnsi="微软雅黑" w:cs="宋体"/>
                <w:b w:val="0"/>
                <w:bCs w:val="0"/>
                <w:color w:val="auto"/>
                <w:szCs w:val="21"/>
                <w:highlight w:val="none"/>
              </w:rPr>
              <w:t>标准</w:t>
            </w:r>
            <w:r>
              <w:rPr>
                <w:rFonts w:hint="eastAsia" w:ascii="微软雅黑" w:hAnsi="微软雅黑" w:cs="宋体"/>
                <w:b w:val="0"/>
                <w:bCs w:val="0"/>
                <w:color w:val="auto"/>
                <w:kern w:val="0"/>
                <w:szCs w:val="21"/>
                <w:highlight w:val="none"/>
              </w:rPr>
              <w:t>：4</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3</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2</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1,没有不得分</w:t>
            </w:r>
            <w:r>
              <w:rPr>
                <w:rFonts w:hint="eastAsia" w:ascii="微软雅黑" w:hAnsi="微软雅黑" w:cs="微软雅黑"/>
                <w:b w:val="0"/>
                <w:bCs w:val="0"/>
                <w:color w:val="auto"/>
                <w:szCs w:val="21"/>
                <w:highlight w:val="none"/>
              </w:rPr>
              <w:t>）</w:t>
            </w:r>
          </w:p>
        </w:tc>
        <w:tc>
          <w:tcPr>
            <w:tcW w:w="801" w:type="dxa"/>
            <w:tcBorders>
              <w:bottom w:val="single" w:color="auto" w:sz="4" w:space="0"/>
            </w:tcBorders>
            <w:vAlign w:val="center"/>
          </w:tcPr>
          <w:p w14:paraId="1561C11E">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en-US" w:eastAsia="zh-CN"/>
              </w:rPr>
              <w:t>4</w:t>
            </w:r>
          </w:p>
        </w:tc>
        <w:tc>
          <w:tcPr>
            <w:tcW w:w="709" w:type="dxa"/>
            <w:tcBorders>
              <w:bottom w:val="single" w:color="auto" w:sz="4" w:space="0"/>
            </w:tcBorders>
            <w:vAlign w:val="center"/>
          </w:tcPr>
          <w:p w14:paraId="12A4374A">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en-US" w:eastAsia="zh-CN"/>
              </w:rPr>
              <w:t>主观</w:t>
            </w:r>
          </w:p>
        </w:tc>
      </w:tr>
      <w:tr w14:paraId="44A2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6BC7FA29">
            <w:pPr>
              <w:spacing w:line="276" w:lineRule="auto"/>
              <w:ind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5</w:t>
            </w:r>
          </w:p>
        </w:tc>
        <w:tc>
          <w:tcPr>
            <w:tcW w:w="7026" w:type="dxa"/>
            <w:tcBorders>
              <w:bottom w:val="single" w:color="auto" w:sz="4" w:space="0"/>
            </w:tcBorders>
            <w:shd w:val="clear" w:color="auto" w:fill="auto"/>
            <w:vAlign w:val="center"/>
          </w:tcPr>
          <w:p w14:paraId="55A80BE8">
            <w:pPr>
              <w:pStyle w:val="29"/>
              <w:keepNext w:val="0"/>
              <w:keepLines w:val="0"/>
              <w:pageBreakBefore w:val="0"/>
              <w:kinsoku/>
              <w:wordWrap/>
              <w:overflowPunct/>
              <w:topLinePunct w:val="0"/>
              <w:autoSpaceDE/>
              <w:autoSpaceDN/>
              <w:bidi w:val="0"/>
              <w:adjustRightInd w:val="0"/>
              <w:snapToGrid/>
              <w:spacing w:line="360" w:lineRule="exact"/>
              <w:ind w:left="0" w:leftChars="0" w:firstLine="0" w:firstLineChars="0"/>
              <w:jc w:val="left"/>
              <w:textAlignment w:val="auto"/>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szCs w:val="21"/>
                <w:highlight w:val="none"/>
                <w:lang w:val="en-US" w:eastAsia="zh-CN"/>
              </w:rPr>
              <w:t>对本项目进行圩区划界方案文本实施方案编制，</w:t>
            </w:r>
            <w:r>
              <w:rPr>
                <w:rFonts w:hint="eastAsia" w:ascii="微软雅黑" w:hAnsi="微软雅黑" w:cs="微软雅黑"/>
                <w:b w:val="0"/>
                <w:bCs w:val="0"/>
                <w:color w:val="auto"/>
                <w:szCs w:val="21"/>
                <w:highlight w:val="none"/>
                <w:lang w:val="en-US" w:eastAsia="zh-CN"/>
              </w:rPr>
              <w:t>是</w:t>
            </w:r>
            <w:r>
              <w:rPr>
                <w:rFonts w:hint="eastAsia" w:ascii="微软雅黑" w:hAnsi="微软雅黑"/>
                <w:b w:val="0"/>
                <w:bCs w:val="0"/>
                <w:color w:val="auto"/>
                <w:szCs w:val="21"/>
                <w:highlight w:val="none"/>
              </w:rPr>
              <w:t>否与采购需求符合性或匹配度进行打分</w:t>
            </w:r>
            <w:r>
              <w:rPr>
                <w:rFonts w:hint="eastAsia" w:ascii="微软雅黑" w:hAnsi="微软雅黑"/>
                <w:b w:val="0"/>
                <w:bCs w:val="0"/>
                <w:color w:val="auto"/>
                <w:szCs w:val="21"/>
                <w:highlight w:val="none"/>
                <w:lang w:eastAsia="zh-CN"/>
              </w:rPr>
              <w:t>。</w:t>
            </w:r>
            <w:r>
              <w:rPr>
                <w:rFonts w:hint="eastAsia" w:ascii="微软雅黑" w:hAnsi="微软雅黑" w:cs="微软雅黑"/>
                <w:b w:val="0"/>
                <w:bCs w:val="0"/>
                <w:color w:val="auto"/>
                <w:szCs w:val="21"/>
                <w:highlight w:val="none"/>
              </w:rPr>
              <w:t>（</w:t>
            </w:r>
            <w:r>
              <w:rPr>
                <w:rFonts w:hint="eastAsia" w:ascii="微软雅黑" w:hAnsi="微软雅黑" w:cs="宋体"/>
                <w:b w:val="0"/>
                <w:bCs w:val="0"/>
                <w:color w:val="auto"/>
                <w:kern w:val="0"/>
                <w:szCs w:val="21"/>
                <w:highlight w:val="none"/>
              </w:rPr>
              <w:t>评分</w:t>
            </w:r>
            <w:r>
              <w:rPr>
                <w:rFonts w:hint="eastAsia" w:ascii="微软雅黑" w:hAnsi="微软雅黑" w:cs="宋体"/>
                <w:b w:val="0"/>
                <w:bCs w:val="0"/>
                <w:color w:val="auto"/>
                <w:szCs w:val="21"/>
                <w:highlight w:val="none"/>
              </w:rPr>
              <w:t>标准</w:t>
            </w:r>
            <w:r>
              <w:rPr>
                <w:rFonts w:hint="eastAsia" w:ascii="微软雅黑" w:hAnsi="微软雅黑" w:cs="宋体"/>
                <w:b w:val="0"/>
                <w:bCs w:val="0"/>
                <w:color w:val="auto"/>
                <w:kern w:val="0"/>
                <w:szCs w:val="21"/>
                <w:highlight w:val="none"/>
              </w:rPr>
              <w:t>：4</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3</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2</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1,没有不得分</w:t>
            </w:r>
            <w:r>
              <w:rPr>
                <w:rFonts w:hint="eastAsia" w:ascii="微软雅黑" w:hAnsi="微软雅黑" w:cs="微软雅黑"/>
                <w:b w:val="0"/>
                <w:bCs w:val="0"/>
                <w:color w:val="auto"/>
                <w:szCs w:val="21"/>
                <w:highlight w:val="none"/>
              </w:rPr>
              <w:t>）</w:t>
            </w:r>
          </w:p>
        </w:tc>
        <w:tc>
          <w:tcPr>
            <w:tcW w:w="801" w:type="dxa"/>
            <w:tcBorders>
              <w:bottom w:val="single" w:color="auto" w:sz="4" w:space="0"/>
            </w:tcBorders>
            <w:vAlign w:val="center"/>
          </w:tcPr>
          <w:p w14:paraId="1F215AB0">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en-US" w:eastAsia="zh-CN"/>
              </w:rPr>
              <w:t>4</w:t>
            </w:r>
          </w:p>
        </w:tc>
        <w:tc>
          <w:tcPr>
            <w:tcW w:w="709" w:type="dxa"/>
            <w:tcBorders>
              <w:bottom w:val="single" w:color="auto" w:sz="4" w:space="0"/>
            </w:tcBorders>
            <w:vAlign w:val="center"/>
          </w:tcPr>
          <w:p w14:paraId="209C3760">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en-US" w:eastAsia="zh-CN"/>
              </w:rPr>
              <w:t>主观</w:t>
            </w:r>
          </w:p>
        </w:tc>
      </w:tr>
      <w:tr w14:paraId="4D51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45A1F904">
            <w:pPr>
              <w:spacing w:line="276" w:lineRule="auto"/>
              <w:ind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6</w:t>
            </w:r>
          </w:p>
        </w:tc>
        <w:tc>
          <w:tcPr>
            <w:tcW w:w="7026" w:type="dxa"/>
            <w:tcBorders>
              <w:bottom w:val="single" w:color="auto" w:sz="4" w:space="0"/>
            </w:tcBorders>
            <w:shd w:val="clear" w:color="auto" w:fill="auto"/>
            <w:vAlign w:val="center"/>
          </w:tcPr>
          <w:p w14:paraId="42A0CED7">
            <w:pPr>
              <w:pStyle w:val="29"/>
              <w:keepNext w:val="0"/>
              <w:keepLines w:val="0"/>
              <w:pageBreakBefore w:val="0"/>
              <w:kinsoku/>
              <w:wordWrap/>
              <w:overflowPunct/>
              <w:topLinePunct w:val="0"/>
              <w:autoSpaceDE/>
              <w:autoSpaceDN/>
              <w:bidi w:val="0"/>
              <w:adjustRightInd w:val="0"/>
              <w:snapToGrid/>
              <w:spacing w:line="360" w:lineRule="exact"/>
              <w:ind w:left="0" w:leftChars="0" w:firstLine="0" w:firstLineChars="0"/>
              <w:jc w:val="left"/>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Cs w:val="21"/>
                <w:highlight w:val="none"/>
                <w:lang w:val="en-US" w:eastAsia="zh-CN"/>
              </w:rPr>
              <w:t>对本项目沉降观测实施方案</w:t>
            </w:r>
            <w:r>
              <w:rPr>
                <w:rFonts w:hint="eastAsia" w:ascii="微软雅黑" w:hAnsi="微软雅黑" w:eastAsia="微软雅黑" w:cs="微软雅黑"/>
                <w:b w:val="0"/>
                <w:bCs w:val="0"/>
                <w:color w:val="auto"/>
                <w:szCs w:val="21"/>
                <w:highlight w:val="none"/>
                <w:lang w:val="en-US" w:eastAsia="zh-CN"/>
              </w:rPr>
              <w:t>，</w:t>
            </w:r>
            <w:r>
              <w:rPr>
                <w:rFonts w:hint="eastAsia" w:ascii="微软雅黑" w:hAnsi="微软雅黑" w:cs="微软雅黑"/>
                <w:b w:val="0"/>
                <w:bCs w:val="0"/>
                <w:color w:val="auto"/>
                <w:szCs w:val="21"/>
                <w:highlight w:val="none"/>
                <w:lang w:val="en-US" w:eastAsia="zh-CN"/>
              </w:rPr>
              <w:t>是</w:t>
            </w:r>
            <w:r>
              <w:rPr>
                <w:rFonts w:hint="eastAsia" w:ascii="微软雅黑" w:hAnsi="微软雅黑"/>
                <w:b w:val="0"/>
                <w:bCs w:val="0"/>
                <w:color w:val="auto"/>
                <w:szCs w:val="21"/>
                <w:highlight w:val="none"/>
              </w:rPr>
              <w:t>否与采购需求符合性或匹配度进行打分</w:t>
            </w:r>
            <w:r>
              <w:rPr>
                <w:rFonts w:hint="eastAsia" w:ascii="微软雅黑" w:hAnsi="微软雅黑"/>
                <w:b w:val="0"/>
                <w:bCs w:val="0"/>
                <w:color w:val="auto"/>
                <w:szCs w:val="21"/>
                <w:highlight w:val="none"/>
                <w:lang w:eastAsia="zh-CN"/>
              </w:rPr>
              <w:t>。</w:t>
            </w:r>
            <w:r>
              <w:rPr>
                <w:rFonts w:hint="eastAsia" w:ascii="微软雅黑" w:hAnsi="微软雅黑" w:cs="微软雅黑"/>
                <w:b w:val="0"/>
                <w:bCs w:val="0"/>
                <w:color w:val="auto"/>
                <w:szCs w:val="21"/>
                <w:highlight w:val="none"/>
              </w:rPr>
              <w:t>（</w:t>
            </w:r>
            <w:r>
              <w:rPr>
                <w:rFonts w:hint="eastAsia" w:ascii="微软雅黑" w:hAnsi="微软雅黑" w:cs="宋体"/>
                <w:b w:val="0"/>
                <w:bCs w:val="0"/>
                <w:color w:val="auto"/>
                <w:kern w:val="0"/>
                <w:szCs w:val="21"/>
                <w:highlight w:val="none"/>
              </w:rPr>
              <w:t>评分</w:t>
            </w:r>
            <w:r>
              <w:rPr>
                <w:rFonts w:hint="eastAsia" w:ascii="微软雅黑" w:hAnsi="微软雅黑" w:cs="宋体"/>
                <w:b w:val="0"/>
                <w:bCs w:val="0"/>
                <w:color w:val="auto"/>
                <w:szCs w:val="21"/>
                <w:highlight w:val="none"/>
              </w:rPr>
              <w:t>标准</w:t>
            </w:r>
            <w:r>
              <w:rPr>
                <w:rFonts w:hint="eastAsia" w:ascii="微软雅黑" w:hAnsi="微软雅黑" w:cs="宋体"/>
                <w:b w:val="0"/>
                <w:bCs w:val="0"/>
                <w:color w:val="auto"/>
                <w:kern w:val="0"/>
                <w:szCs w:val="21"/>
                <w:highlight w:val="none"/>
              </w:rPr>
              <w:t>：4</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3</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2</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1,没有不得分</w:t>
            </w:r>
            <w:r>
              <w:rPr>
                <w:rFonts w:hint="eastAsia" w:ascii="微软雅黑" w:hAnsi="微软雅黑" w:cs="微软雅黑"/>
                <w:b w:val="0"/>
                <w:bCs w:val="0"/>
                <w:color w:val="auto"/>
                <w:szCs w:val="21"/>
                <w:highlight w:val="none"/>
              </w:rPr>
              <w:t>）</w:t>
            </w:r>
          </w:p>
        </w:tc>
        <w:tc>
          <w:tcPr>
            <w:tcW w:w="801" w:type="dxa"/>
            <w:tcBorders>
              <w:bottom w:val="single" w:color="auto" w:sz="4" w:space="0"/>
            </w:tcBorders>
            <w:vAlign w:val="center"/>
          </w:tcPr>
          <w:p w14:paraId="1BBB4706">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en-US" w:eastAsia="zh-CN"/>
              </w:rPr>
              <w:t>4</w:t>
            </w:r>
          </w:p>
        </w:tc>
        <w:tc>
          <w:tcPr>
            <w:tcW w:w="709" w:type="dxa"/>
            <w:tcBorders>
              <w:bottom w:val="single" w:color="auto" w:sz="4" w:space="0"/>
            </w:tcBorders>
            <w:vAlign w:val="center"/>
          </w:tcPr>
          <w:p w14:paraId="521F688D">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en-US" w:eastAsia="zh-CN"/>
              </w:rPr>
              <w:t>主观</w:t>
            </w:r>
          </w:p>
        </w:tc>
      </w:tr>
      <w:tr w14:paraId="6E92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52F2E148">
            <w:pPr>
              <w:spacing w:line="276" w:lineRule="auto"/>
              <w:ind w:firstLine="0" w:firstLineChars="0"/>
              <w:jc w:val="center"/>
              <w:rPr>
                <w:rFonts w:hint="eastAsia" w:ascii="微软雅黑" w:hAnsi="微软雅黑" w:eastAsia="微软雅黑" w:cs="微软雅黑"/>
                <w:color w:val="auto"/>
                <w:szCs w:val="21"/>
                <w:highlight w:val="none"/>
                <w:lang w:eastAsia="zh-CN"/>
              </w:rPr>
            </w:pPr>
            <w:r>
              <w:rPr>
                <w:rFonts w:hint="eastAsia" w:ascii="微软雅黑" w:hAnsi="微软雅黑" w:cs="微软雅黑"/>
                <w:color w:val="auto"/>
                <w:szCs w:val="21"/>
                <w:highlight w:val="none"/>
                <w:lang w:val="en-US" w:eastAsia="zh-CN"/>
              </w:rPr>
              <w:t>7</w:t>
            </w:r>
          </w:p>
        </w:tc>
        <w:tc>
          <w:tcPr>
            <w:tcW w:w="7026" w:type="dxa"/>
            <w:tcBorders>
              <w:bottom w:val="single" w:color="auto" w:sz="4" w:space="0"/>
            </w:tcBorders>
            <w:vAlign w:val="center"/>
          </w:tcPr>
          <w:p w14:paraId="767D45B0">
            <w:pPr>
              <w:spacing w:line="460" w:lineRule="exact"/>
              <w:ind w:left="42" w:leftChars="20" w:right="42" w:rightChars="20" w:firstLine="0" w:firstLineChars="0"/>
              <w:rPr>
                <w:rFonts w:hint="eastAsia" w:ascii="微软雅黑" w:hAnsi="微软雅黑"/>
                <w:color w:val="auto"/>
                <w:szCs w:val="21"/>
                <w:highlight w:val="none"/>
              </w:rPr>
            </w:pPr>
            <w:r>
              <w:rPr>
                <w:rFonts w:hint="eastAsia" w:ascii="宋体" w:hAnsi="宋体"/>
                <w:color w:val="auto"/>
                <w:szCs w:val="21"/>
                <w:highlight w:val="none"/>
              </w:rPr>
              <w:t>从质量目标、保证措施等方面内容的科学、合理、详细有效情况，</w:t>
            </w:r>
            <w:r>
              <w:rPr>
                <w:rFonts w:hint="eastAsia" w:ascii="微软雅黑" w:hAnsi="微软雅黑" w:cs="微软雅黑"/>
                <w:color w:val="auto"/>
                <w:szCs w:val="21"/>
                <w:highlight w:val="none"/>
              </w:rPr>
              <w:t>根据方案</w:t>
            </w:r>
            <w:r>
              <w:rPr>
                <w:rFonts w:hint="eastAsia" w:ascii="微软雅黑" w:hAnsi="微软雅黑" w:cs="宋体"/>
                <w:color w:val="auto"/>
                <w:kern w:val="0"/>
                <w:szCs w:val="21"/>
                <w:highlight w:val="none"/>
              </w:rPr>
              <w:t>是否与采购需求符合性或匹配度进行打分</w:t>
            </w:r>
            <w:r>
              <w:rPr>
                <w:rFonts w:hint="eastAsia" w:ascii="微软雅黑" w:hAnsi="微软雅黑" w:cs="微软雅黑"/>
                <w:color w:val="auto"/>
                <w:szCs w:val="21"/>
                <w:highlight w:val="none"/>
              </w:rPr>
              <w:t>。（</w:t>
            </w:r>
            <w:r>
              <w:rPr>
                <w:rFonts w:hint="eastAsia" w:ascii="微软雅黑" w:hAnsi="微软雅黑" w:cs="宋体"/>
                <w:b w:val="0"/>
                <w:bCs w:val="0"/>
                <w:color w:val="auto"/>
                <w:kern w:val="0"/>
                <w:szCs w:val="21"/>
                <w:highlight w:val="none"/>
              </w:rPr>
              <w:t>评分</w:t>
            </w:r>
            <w:r>
              <w:rPr>
                <w:rFonts w:hint="eastAsia" w:ascii="微软雅黑" w:hAnsi="微软雅黑" w:cs="宋体"/>
                <w:b w:val="0"/>
                <w:bCs w:val="0"/>
                <w:color w:val="auto"/>
                <w:szCs w:val="21"/>
                <w:highlight w:val="none"/>
              </w:rPr>
              <w:t>标准</w:t>
            </w:r>
            <w:r>
              <w:rPr>
                <w:rFonts w:hint="eastAsia" w:ascii="微软雅黑" w:hAnsi="微软雅黑" w:cs="宋体"/>
                <w:b w:val="0"/>
                <w:bCs w:val="0"/>
                <w:color w:val="auto"/>
                <w:kern w:val="0"/>
                <w:szCs w:val="21"/>
                <w:highlight w:val="none"/>
              </w:rPr>
              <w:t>：4</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3</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2</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1,没有不得分</w:t>
            </w:r>
            <w:r>
              <w:rPr>
                <w:rFonts w:hint="eastAsia" w:ascii="微软雅黑" w:hAnsi="微软雅黑" w:cs="微软雅黑"/>
                <w:color w:val="auto"/>
                <w:szCs w:val="21"/>
                <w:highlight w:val="none"/>
              </w:rPr>
              <w:t>）</w:t>
            </w:r>
          </w:p>
        </w:tc>
        <w:tc>
          <w:tcPr>
            <w:tcW w:w="801" w:type="dxa"/>
            <w:tcBorders>
              <w:bottom w:val="single" w:color="auto" w:sz="4" w:space="0"/>
            </w:tcBorders>
            <w:vAlign w:val="center"/>
          </w:tcPr>
          <w:p w14:paraId="1413E775">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w:t>
            </w:r>
          </w:p>
        </w:tc>
        <w:tc>
          <w:tcPr>
            <w:tcW w:w="709" w:type="dxa"/>
            <w:tcBorders>
              <w:bottom w:val="single" w:color="auto" w:sz="4" w:space="0"/>
            </w:tcBorders>
            <w:vAlign w:val="center"/>
          </w:tcPr>
          <w:p w14:paraId="6F1F6FB8">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主观</w:t>
            </w:r>
          </w:p>
        </w:tc>
      </w:tr>
      <w:tr w14:paraId="5195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3AC76903">
            <w:pPr>
              <w:spacing w:line="276" w:lineRule="auto"/>
              <w:ind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8</w:t>
            </w:r>
          </w:p>
        </w:tc>
        <w:tc>
          <w:tcPr>
            <w:tcW w:w="7026" w:type="dxa"/>
            <w:tcBorders>
              <w:bottom w:val="single" w:color="auto" w:sz="4" w:space="0"/>
            </w:tcBorders>
            <w:vAlign w:val="center"/>
          </w:tcPr>
          <w:p w14:paraId="1D08FDD0">
            <w:pPr>
              <w:spacing w:line="460" w:lineRule="exact"/>
              <w:ind w:left="42" w:leftChars="20" w:right="42" w:rightChars="20" w:firstLine="0" w:firstLineChars="0"/>
              <w:rPr>
                <w:rFonts w:hint="eastAsia" w:ascii="宋体" w:hAnsi="宋体"/>
                <w:color w:val="auto"/>
                <w:szCs w:val="21"/>
                <w:highlight w:val="none"/>
              </w:rPr>
            </w:pPr>
            <w:r>
              <w:rPr>
                <w:rFonts w:hint="eastAsia" w:ascii="微软雅黑" w:hAnsi="微软雅黑" w:eastAsia="微软雅黑" w:cs="微软雅黑"/>
                <w:color w:val="auto"/>
                <w:szCs w:val="21"/>
                <w:highlight w:val="none"/>
                <w:lang w:val="en-US" w:eastAsia="zh-CN"/>
              </w:rPr>
              <w:t>对本项目标识标牌及防汛物资采购实施方案</w:t>
            </w:r>
            <w:r>
              <w:rPr>
                <w:rFonts w:hint="eastAsia" w:ascii="微软雅黑" w:hAnsi="微软雅黑" w:cs="微软雅黑"/>
                <w:color w:val="auto"/>
                <w:szCs w:val="21"/>
                <w:highlight w:val="none"/>
                <w:lang w:val="en-US" w:eastAsia="zh-CN"/>
              </w:rPr>
              <w:t>，及送货进度安排</w:t>
            </w:r>
            <w:r>
              <w:rPr>
                <w:rFonts w:hint="eastAsia" w:ascii="微软雅黑" w:hAnsi="微软雅黑" w:eastAsia="微软雅黑" w:cs="微软雅黑"/>
                <w:color w:val="auto"/>
                <w:szCs w:val="21"/>
                <w:highlight w:val="none"/>
                <w:lang w:val="en-US" w:eastAsia="zh-CN"/>
              </w:rPr>
              <w:t>，</w:t>
            </w:r>
            <w:r>
              <w:rPr>
                <w:rFonts w:hint="eastAsia" w:ascii="微软雅黑" w:hAnsi="微软雅黑" w:cs="微软雅黑"/>
                <w:b w:val="0"/>
                <w:bCs w:val="0"/>
                <w:color w:val="auto"/>
                <w:szCs w:val="21"/>
                <w:highlight w:val="none"/>
                <w:lang w:val="en-US" w:eastAsia="zh-CN"/>
              </w:rPr>
              <w:t>是</w:t>
            </w:r>
            <w:r>
              <w:rPr>
                <w:rFonts w:hint="eastAsia" w:ascii="微软雅黑" w:hAnsi="微软雅黑"/>
                <w:b w:val="0"/>
                <w:bCs w:val="0"/>
                <w:color w:val="auto"/>
                <w:szCs w:val="21"/>
                <w:highlight w:val="none"/>
              </w:rPr>
              <w:t>否与采购需求符合性或匹配度进行打分</w:t>
            </w:r>
            <w:r>
              <w:rPr>
                <w:rFonts w:hint="eastAsia" w:ascii="微软雅黑" w:hAnsi="微软雅黑"/>
                <w:b w:val="0"/>
                <w:bCs w:val="0"/>
                <w:color w:val="auto"/>
                <w:szCs w:val="21"/>
                <w:highlight w:val="none"/>
                <w:lang w:eastAsia="zh-CN"/>
              </w:rPr>
              <w:t>。</w:t>
            </w:r>
            <w:r>
              <w:rPr>
                <w:rFonts w:hint="eastAsia" w:ascii="微软雅黑" w:hAnsi="微软雅黑" w:cs="微软雅黑"/>
                <w:b w:val="0"/>
                <w:bCs w:val="0"/>
                <w:color w:val="auto"/>
                <w:szCs w:val="21"/>
                <w:highlight w:val="none"/>
              </w:rPr>
              <w:t>（</w:t>
            </w:r>
            <w:r>
              <w:rPr>
                <w:rFonts w:hint="eastAsia" w:ascii="微软雅黑" w:hAnsi="微软雅黑" w:cs="宋体"/>
                <w:b w:val="0"/>
                <w:bCs w:val="0"/>
                <w:color w:val="auto"/>
                <w:kern w:val="0"/>
                <w:szCs w:val="21"/>
                <w:highlight w:val="none"/>
              </w:rPr>
              <w:t>评分</w:t>
            </w:r>
            <w:r>
              <w:rPr>
                <w:rFonts w:hint="eastAsia" w:ascii="微软雅黑" w:hAnsi="微软雅黑" w:cs="宋体"/>
                <w:b w:val="0"/>
                <w:bCs w:val="0"/>
                <w:color w:val="auto"/>
                <w:szCs w:val="21"/>
                <w:highlight w:val="none"/>
              </w:rPr>
              <w:t>标准</w:t>
            </w:r>
            <w:r>
              <w:rPr>
                <w:rFonts w:hint="eastAsia" w:ascii="微软雅黑" w:hAnsi="微软雅黑" w:cs="宋体"/>
                <w:b w:val="0"/>
                <w:bCs w:val="0"/>
                <w:color w:val="auto"/>
                <w:kern w:val="0"/>
                <w:szCs w:val="21"/>
                <w:highlight w:val="none"/>
              </w:rPr>
              <w:t>：3</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2</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1,没有不得分</w:t>
            </w:r>
            <w:r>
              <w:rPr>
                <w:rFonts w:hint="eastAsia" w:ascii="微软雅黑" w:hAnsi="微软雅黑" w:cs="微软雅黑"/>
                <w:b w:val="0"/>
                <w:bCs w:val="0"/>
                <w:color w:val="auto"/>
                <w:szCs w:val="21"/>
                <w:highlight w:val="none"/>
              </w:rPr>
              <w:t>）</w:t>
            </w:r>
          </w:p>
        </w:tc>
        <w:tc>
          <w:tcPr>
            <w:tcW w:w="801" w:type="dxa"/>
            <w:tcBorders>
              <w:bottom w:val="single" w:color="auto" w:sz="4" w:space="0"/>
            </w:tcBorders>
            <w:vAlign w:val="center"/>
          </w:tcPr>
          <w:p w14:paraId="269D4653">
            <w:pPr>
              <w:spacing w:line="276" w:lineRule="auto"/>
              <w:ind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3</w:t>
            </w:r>
          </w:p>
        </w:tc>
        <w:tc>
          <w:tcPr>
            <w:tcW w:w="709" w:type="dxa"/>
            <w:tcBorders>
              <w:bottom w:val="single" w:color="auto" w:sz="4" w:space="0"/>
            </w:tcBorders>
            <w:vAlign w:val="center"/>
          </w:tcPr>
          <w:p w14:paraId="4EB91A93">
            <w:pPr>
              <w:spacing w:line="276" w:lineRule="auto"/>
              <w:ind w:firstLine="0" w:firstLineChars="0"/>
              <w:jc w:val="center"/>
              <w:rPr>
                <w:rFonts w:hint="default"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主观</w:t>
            </w:r>
          </w:p>
        </w:tc>
      </w:tr>
      <w:tr w14:paraId="66D2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3" w:hRule="atLeast"/>
          <w:jc w:val="center"/>
        </w:trPr>
        <w:tc>
          <w:tcPr>
            <w:tcW w:w="730" w:type="dxa"/>
            <w:tcBorders>
              <w:bottom w:val="single" w:color="auto" w:sz="4" w:space="0"/>
            </w:tcBorders>
            <w:vAlign w:val="center"/>
          </w:tcPr>
          <w:p w14:paraId="214C1338">
            <w:pPr>
              <w:spacing w:line="276" w:lineRule="auto"/>
              <w:ind w:firstLine="0" w:firstLineChars="0"/>
              <w:jc w:val="center"/>
              <w:rPr>
                <w:rFonts w:hint="eastAsia" w:ascii="微软雅黑" w:hAnsi="微软雅黑" w:eastAsia="微软雅黑" w:cs="微软雅黑"/>
                <w:color w:val="auto"/>
                <w:szCs w:val="21"/>
                <w:highlight w:val="none"/>
                <w:lang w:eastAsia="zh-CN"/>
              </w:rPr>
            </w:pPr>
            <w:r>
              <w:rPr>
                <w:rFonts w:hint="eastAsia" w:ascii="微软雅黑" w:hAnsi="微软雅黑" w:cs="微软雅黑"/>
                <w:color w:val="auto"/>
                <w:szCs w:val="21"/>
                <w:highlight w:val="none"/>
                <w:lang w:val="en-US" w:eastAsia="zh-CN"/>
              </w:rPr>
              <w:t>9</w:t>
            </w:r>
          </w:p>
        </w:tc>
        <w:tc>
          <w:tcPr>
            <w:tcW w:w="7026" w:type="dxa"/>
            <w:tcBorders>
              <w:bottom w:val="single" w:color="auto" w:sz="4" w:space="0"/>
            </w:tcBorders>
            <w:vAlign w:val="center"/>
          </w:tcPr>
          <w:p w14:paraId="730D0FA4">
            <w:pPr>
              <w:spacing w:line="460" w:lineRule="exact"/>
              <w:ind w:left="42" w:leftChars="20" w:right="42" w:rightChars="20" w:firstLine="0" w:firstLineChars="0"/>
              <w:rPr>
                <w:rFonts w:hint="eastAsia" w:ascii="宋体" w:hAnsi="宋体"/>
                <w:color w:val="auto"/>
                <w:szCs w:val="21"/>
                <w:highlight w:val="none"/>
              </w:rPr>
            </w:pPr>
            <w:r>
              <w:rPr>
                <w:rFonts w:hint="eastAsia" w:ascii="宋体" w:hAnsi="宋体"/>
                <w:color w:val="auto"/>
                <w:szCs w:val="21"/>
                <w:highlight w:val="none"/>
              </w:rPr>
              <w:t>提供的台账、内控制度，等方面，内容是否完善、健全、科学，</w:t>
            </w:r>
            <w:r>
              <w:rPr>
                <w:rFonts w:hint="eastAsia" w:ascii="微软雅黑" w:hAnsi="微软雅黑" w:cs="微软雅黑"/>
                <w:color w:val="auto"/>
                <w:szCs w:val="21"/>
                <w:highlight w:val="none"/>
              </w:rPr>
              <w:t>根据方案</w:t>
            </w:r>
            <w:r>
              <w:rPr>
                <w:rFonts w:hint="eastAsia" w:ascii="微软雅黑" w:hAnsi="微软雅黑" w:cs="宋体"/>
                <w:color w:val="auto"/>
                <w:kern w:val="0"/>
                <w:szCs w:val="21"/>
                <w:highlight w:val="none"/>
              </w:rPr>
              <w:t>是否与采购需求符合性或匹配度进行打分</w:t>
            </w:r>
            <w:r>
              <w:rPr>
                <w:rFonts w:hint="eastAsia" w:ascii="微软雅黑" w:hAnsi="微软雅黑" w:cs="微软雅黑"/>
                <w:color w:val="auto"/>
                <w:szCs w:val="21"/>
                <w:highlight w:val="none"/>
              </w:rPr>
              <w:t>。（</w:t>
            </w:r>
            <w:r>
              <w:rPr>
                <w:rFonts w:hint="eastAsia" w:ascii="微软雅黑" w:hAnsi="微软雅黑" w:cs="宋体"/>
                <w:b w:val="0"/>
                <w:bCs w:val="0"/>
                <w:color w:val="auto"/>
                <w:kern w:val="0"/>
                <w:szCs w:val="21"/>
                <w:highlight w:val="none"/>
              </w:rPr>
              <w:t>评分</w:t>
            </w:r>
            <w:r>
              <w:rPr>
                <w:rFonts w:hint="eastAsia" w:ascii="微软雅黑" w:hAnsi="微软雅黑" w:cs="宋体"/>
                <w:b w:val="0"/>
                <w:bCs w:val="0"/>
                <w:color w:val="auto"/>
                <w:szCs w:val="21"/>
                <w:highlight w:val="none"/>
              </w:rPr>
              <w:t>标准</w:t>
            </w:r>
            <w:r>
              <w:rPr>
                <w:rFonts w:hint="eastAsia" w:ascii="微软雅黑" w:hAnsi="微软雅黑" w:cs="宋体"/>
                <w:b w:val="0"/>
                <w:bCs w:val="0"/>
                <w:color w:val="auto"/>
                <w:kern w:val="0"/>
                <w:szCs w:val="21"/>
                <w:highlight w:val="none"/>
              </w:rPr>
              <w:t>：4</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3</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2</w:t>
            </w:r>
            <w:r>
              <w:rPr>
                <w:rFonts w:hint="eastAsia" w:ascii="微软雅黑" w:hAnsi="微软雅黑" w:cs="宋体"/>
                <w:b w:val="0"/>
                <w:bCs w:val="0"/>
                <w:color w:val="auto"/>
                <w:kern w:val="0"/>
                <w:szCs w:val="21"/>
                <w:highlight w:val="none"/>
                <w:lang w:val="en-US" w:eastAsia="zh-CN"/>
              </w:rPr>
              <w:t>/</w:t>
            </w:r>
            <w:r>
              <w:rPr>
                <w:rFonts w:hint="eastAsia" w:ascii="微软雅黑" w:hAnsi="微软雅黑" w:cs="宋体"/>
                <w:b w:val="0"/>
                <w:bCs w:val="0"/>
                <w:color w:val="auto"/>
                <w:kern w:val="0"/>
                <w:szCs w:val="21"/>
                <w:highlight w:val="none"/>
              </w:rPr>
              <w:t>1,没有不得分</w:t>
            </w:r>
            <w:r>
              <w:rPr>
                <w:rFonts w:hint="eastAsia" w:ascii="微软雅黑" w:hAnsi="微软雅黑" w:cs="微软雅黑"/>
                <w:color w:val="auto"/>
                <w:szCs w:val="21"/>
                <w:highlight w:val="none"/>
              </w:rPr>
              <w:t>）</w:t>
            </w:r>
          </w:p>
        </w:tc>
        <w:tc>
          <w:tcPr>
            <w:tcW w:w="801" w:type="dxa"/>
            <w:tcBorders>
              <w:bottom w:val="single" w:color="auto" w:sz="4" w:space="0"/>
            </w:tcBorders>
            <w:vAlign w:val="center"/>
          </w:tcPr>
          <w:p w14:paraId="20F7D83A">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w:t>
            </w:r>
          </w:p>
        </w:tc>
        <w:tc>
          <w:tcPr>
            <w:tcW w:w="709" w:type="dxa"/>
            <w:tcBorders>
              <w:bottom w:val="single" w:color="auto" w:sz="4" w:space="0"/>
            </w:tcBorders>
            <w:vAlign w:val="center"/>
          </w:tcPr>
          <w:p w14:paraId="540DF9C2">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主观</w:t>
            </w:r>
          </w:p>
        </w:tc>
      </w:tr>
      <w:tr w14:paraId="13D9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5944444F">
            <w:pPr>
              <w:spacing w:line="276" w:lineRule="auto"/>
              <w:ind w:firstLine="0" w:firstLineChars="0"/>
              <w:jc w:val="center"/>
              <w:rPr>
                <w:rFonts w:hint="eastAsia" w:ascii="微软雅黑" w:hAnsi="微软雅黑" w:eastAsia="微软雅黑" w:cs="微软雅黑"/>
                <w:color w:val="auto"/>
                <w:szCs w:val="21"/>
                <w:highlight w:val="none"/>
                <w:lang w:eastAsia="zh-CN"/>
              </w:rPr>
            </w:pPr>
            <w:r>
              <w:rPr>
                <w:rFonts w:hint="eastAsia" w:ascii="微软雅黑" w:hAnsi="微软雅黑" w:cs="微软雅黑"/>
                <w:color w:val="auto"/>
                <w:szCs w:val="21"/>
                <w:highlight w:val="none"/>
                <w:lang w:val="en-US" w:eastAsia="zh-CN"/>
              </w:rPr>
              <w:t>10</w:t>
            </w:r>
          </w:p>
        </w:tc>
        <w:tc>
          <w:tcPr>
            <w:tcW w:w="7026" w:type="dxa"/>
            <w:tcBorders>
              <w:bottom w:val="single" w:color="auto" w:sz="4" w:space="0"/>
            </w:tcBorders>
          </w:tcPr>
          <w:p w14:paraId="5390D54A">
            <w:pPr>
              <w:spacing w:line="460" w:lineRule="exact"/>
              <w:ind w:firstLine="0" w:firstLineChars="0"/>
              <w:rPr>
                <w:rFonts w:hint="eastAsia" w:ascii="微软雅黑" w:hAnsi="微软雅黑" w:cs="仿宋"/>
                <w:color w:val="auto"/>
                <w:szCs w:val="21"/>
                <w:highlight w:val="none"/>
              </w:rPr>
            </w:pPr>
            <w:r>
              <w:rPr>
                <w:rFonts w:hint="eastAsia" w:ascii="微软雅黑" w:hAnsi="微软雅黑" w:cs="微软雅黑"/>
                <w:color w:val="auto"/>
                <w:szCs w:val="21"/>
                <w:highlight w:val="none"/>
              </w:rPr>
              <w:t>针对本项目的各项管理制度：①人员管理制度</w:t>
            </w:r>
            <w:r>
              <w:rPr>
                <w:rFonts w:hint="eastAsia" w:ascii="微软雅黑" w:hAnsi="微软雅黑" w:cs="微软雅黑"/>
                <w:bCs/>
                <w:color w:val="auto"/>
                <w:szCs w:val="21"/>
                <w:highlight w:val="none"/>
              </w:rPr>
              <w:t>；</w:t>
            </w:r>
            <w:r>
              <w:rPr>
                <w:rFonts w:hint="eastAsia" w:ascii="微软雅黑" w:hAnsi="微软雅黑" w:cs="微软雅黑"/>
                <w:color w:val="auto"/>
                <w:szCs w:val="21"/>
                <w:highlight w:val="none"/>
              </w:rPr>
              <w:t>②安全管理制度；③文明工作制度</w:t>
            </w:r>
            <w:r>
              <w:rPr>
                <w:rFonts w:hint="eastAsia" w:ascii="微软雅黑" w:hAnsi="微软雅黑"/>
                <w:color w:val="auto"/>
                <w:szCs w:val="21"/>
                <w:highlight w:val="none"/>
              </w:rPr>
              <w:t>；</w:t>
            </w:r>
            <w:r>
              <w:rPr>
                <w:rFonts w:hint="eastAsia" w:ascii="微软雅黑" w:hAnsi="微软雅黑"/>
                <w:b w:val="0"/>
                <w:bCs w:val="0"/>
                <w:color w:val="auto"/>
                <w:szCs w:val="21"/>
                <w:highlight w:val="none"/>
              </w:rPr>
              <w:t>每小项</w:t>
            </w:r>
            <w:r>
              <w:rPr>
                <w:rFonts w:hint="eastAsia" w:ascii="微软雅黑" w:hAnsi="微软雅黑" w:cs="宋体"/>
                <w:b w:val="0"/>
                <w:bCs w:val="0"/>
                <w:color w:val="auto"/>
                <w:szCs w:val="21"/>
                <w:highlight w:val="none"/>
              </w:rPr>
              <w:t>评分标准（3,2,1,</w:t>
            </w:r>
            <w:r>
              <w:rPr>
                <w:rFonts w:hint="eastAsia" w:ascii="微软雅黑" w:hAnsi="微软雅黑" w:cs="宋体"/>
                <w:b w:val="0"/>
                <w:bCs w:val="0"/>
                <w:color w:val="auto"/>
                <w:kern w:val="0"/>
                <w:szCs w:val="21"/>
                <w:highlight w:val="none"/>
              </w:rPr>
              <w:t xml:space="preserve"> 没有不得分</w:t>
            </w:r>
            <w:r>
              <w:rPr>
                <w:rFonts w:hint="eastAsia" w:ascii="微软雅黑" w:hAnsi="微软雅黑" w:cs="宋体"/>
                <w:b w:val="0"/>
                <w:bCs w:val="0"/>
                <w:color w:val="auto"/>
                <w:szCs w:val="21"/>
                <w:highlight w:val="none"/>
              </w:rPr>
              <w:t>）</w:t>
            </w:r>
          </w:p>
        </w:tc>
        <w:tc>
          <w:tcPr>
            <w:tcW w:w="801" w:type="dxa"/>
            <w:tcBorders>
              <w:bottom w:val="single" w:color="auto" w:sz="4" w:space="0"/>
            </w:tcBorders>
            <w:vAlign w:val="center"/>
          </w:tcPr>
          <w:p w14:paraId="6A34D5D9">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9</w:t>
            </w:r>
          </w:p>
        </w:tc>
        <w:tc>
          <w:tcPr>
            <w:tcW w:w="709" w:type="dxa"/>
            <w:tcBorders>
              <w:bottom w:val="single" w:color="auto" w:sz="4" w:space="0"/>
            </w:tcBorders>
            <w:vAlign w:val="center"/>
          </w:tcPr>
          <w:p w14:paraId="6342D3F6">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主观</w:t>
            </w:r>
          </w:p>
        </w:tc>
      </w:tr>
      <w:tr w14:paraId="0C90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061527BA">
            <w:pPr>
              <w:spacing w:line="276" w:lineRule="auto"/>
              <w:ind w:firstLine="0" w:firstLineChars="0"/>
              <w:jc w:val="center"/>
              <w:rPr>
                <w:rFonts w:hint="default"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11</w:t>
            </w:r>
          </w:p>
        </w:tc>
        <w:tc>
          <w:tcPr>
            <w:tcW w:w="7026" w:type="dxa"/>
            <w:tcBorders>
              <w:bottom w:val="single" w:color="auto" w:sz="4" w:space="0"/>
            </w:tcBorders>
            <w:vAlign w:val="center"/>
          </w:tcPr>
          <w:p w14:paraId="6F1EF26F">
            <w:pPr>
              <w:spacing w:line="460" w:lineRule="exact"/>
              <w:ind w:firstLine="0" w:firstLineChars="0"/>
              <w:rPr>
                <w:rFonts w:hint="eastAsia" w:ascii="微软雅黑" w:hAnsi="微软雅黑" w:cs="微软雅黑"/>
                <w:color w:val="auto"/>
                <w:szCs w:val="21"/>
                <w:highlight w:val="none"/>
              </w:rPr>
            </w:pPr>
            <w:r>
              <w:rPr>
                <w:rFonts w:hint="eastAsia" w:ascii="微软雅黑" w:hAnsi="微软雅黑"/>
                <w:color w:val="auto"/>
                <w:szCs w:val="21"/>
                <w:highlight w:val="none"/>
                <w:lang w:eastAsia="zh-CN"/>
              </w:rPr>
              <w:t>根据</w:t>
            </w:r>
            <w:r>
              <w:rPr>
                <w:rFonts w:hint="eastAsia" w:ascii="微软雅黑" w:hAnsi="微软雅黑" w:cs="微软雅黑"/>
                <w:b w:val="0"/>
                <w:bCs w:val="0"/>
                <w:color w:val="auto"/>
                <w:szCs w:val="21"/>
                <w:highlight w:val="none"/>
                <w:lang w:val="en-US" w:eastAsia="zh-CN"/>
              </w:rPr>
              <w:t>投标人</w:t>
            </w:r>
            <w:r>
              <w:rPr>
                <w:rFonts w:hint="eastAsia" w:ascii="微软雅黑" w:hAnsi="微软雅黑"/>
                <w:color w:val="auto"/>
                <w:szCs w:val="21"/>
                <w:highlight w:val="none"/>
              </w:rPr>
              <w:t>针对本项目</w:t>
            </w:r>
            <w:r>
              <w:rPr>
                <w:rFonts w:hint="eastAsia" w:ascii="微软雅黑" w:hAnsi="微软雅黑"/>
                <w:color w:val="auto"/>
                <w:szCs w:val="21"/>
                <w:highlight w:val="none"/>
                <w:lang w:eastAsia="zh-CN"/>
              </w:rPr>
              <w:t>在实施过程中</w:t>
            </w:r>
            <w:r>
              <w:rPr>
                <w:rFonts w:hint="eastAsia" w:ascii="微软雅黑" w:hAnsi="微软雅黑"/>
                <w:color w:val="auto"/>
                <w:szCs w:val="21"/>
                <w:highlight w:val="none"/>
              </w:rPr>
              <w:t>生突发性事件的分析、应急预案及处理方案的合理性、可操作性、完整性，，</w:t>
            </w:r>
            <w:r>
              <w:rPr>
                <w:rFonts w:hint="eastAsia" w:ascii="微软雅黑" w:hAnsi="微软雅黑" w:cs="微软雅黑"/>
                <w:color w:val="auto"/>
                <w:szCs w:val="21"/>
                <w:highlight w:val="none"/>
              </w:rPr>
              <w:t>根据方案</w:t>
            </w:r>
            <w:r>
              <w:rPr>
                <w:rFonts w:hint="eastAsia" w:ascii="微软雅黑" w:hAnsi="微软雅黑" w:cs="宋体"/>
                <w:color w:val="auto"/>
                <w:kern w:val="0"/>
                <w:szCs w:val="21"/>
                <w:highlight w:val="none"/>
              </w:rPr>
              <w:t>是否与采购需求符合性或匹配度进行打分</w:t>
            </w:r>
            <w:r>
              <w:rPr>
                <w:rFonts w:hint="eastAsia" w:ascii="微软雅黑" w:hAnsi="微软雅黑" w:cs="宋体"/>
                <w:color w:val="auto"/>
                <w:kern w:val="0"/>
                <w:szCs w:val="21"/>
                <w:highlight w:val="none"/>
                <w:lang w:eastAsia="zh-CN"/>
              </w:rPr>
              <w:t>；</w:t>
            </w:r>
            <w:r>
              <w:rPr>
                <w:rFonts w:hint="eastAsia" w:ascii="微软雅黑" w:hAnsi="微软雅黑" w:cs="微软雅黑"/>
                <w:b w:val="0"/>
                <w:bCs w:val="0"/>
                <w:color w:val="auto"/>
                <w:szCs w:val="21"/>
                <w:highlight w:val="none"/>
              </w:rPr>
              <w:t>（</w:t>
            </w:r>
            <w:r>
              <w:rPr>
                <w:rFonts w:hint="eastAsia" w:ascii="微软雅黑" w:hAnsi="微软雅黑" w:cs="宋体"/>
                <w:b w:val="0"/>
                <w:bCs w:val="0"/>
                <w:color w:val="auto"/>
                <w:kern w:val="0"/>
                <w:szCs w:val="21"/>
                <w:highlight w:val="none"/>
              </w:rPr>
              <w:t>评分</w:t>
            </w:r>
            <w:r>
              <w:rPr>
                <w:rFonts w:hint="eastAsia" w:ascii="微软雅黑" w:hAnsi="微软雅黑" w:cs="宋体"/>
                <w:b w:val="0"/>
                <w:bCs w:val="0"/>
                <w:color w:val="auto"/>
                <w:szCs w:val="21"/>
                <w:highlight w:val="none"/>
              </w:rPr>
              <w:t>标准</w:t>
            </w:r>
            <w:r>
              <w:rPr>
                <w:rFonts w:hint="eastAsia" w:ascii="微软雅黑" w:hAnsi="微软雅黑" w:cs="宋体"/>
                <w:b w:val="0"/>
                <w:bCs w:val="0"/>
                <w:color w:val="auto"/>
                <w:kern w:val="0"/>
                <w:szCs w:val="21"/>
                <w:highlight w:val="none"/>
              </w:rPr>
              <w:t>：4,3,2,1,没有不得分）</w:t>
            </w:r>
          </w:p>
        </w:tc>
        <w:tc>
          <w:tcPr>
            <w:tcW w:w="801" w:type="dxa"/>
            <w:tcBorders>
              <w:bottom w:val="single" w:color="auto" w:sz="4" w:space="0"/>
            </w:tcBorders>
            <w:vAlign w:val="center"/>
          </w:tcPr>
          <w:p w14:paraId="76E52878">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w:t>
            </w:r>
          </w:p>
        </w:tc>
        <w:tc>
          <w:tcPr>
            <w:tcW w:w="709" w:type="dxa"/>
            <w:tcBorders>
              <w:bottom w:val="single" w:color="auto" w:sz="4" w:space="0"/>
            </w:tcBorders>
            <w:vAlign w:val="center"/>
          </w:tcPr>
          <w:p w14:paraId="24EE7395">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主观</w:t>
            </w:r>
          </w:p>
        </w:tc>
      </w:tr>
      <w:tr w14:paraId="4B42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72B7EC99">
            <w:pPr>
              <w:spacing w:line="276" w:lineRule="auto"/>
              <w:ind w:firstLine="0" w:firstLineChars="0"/>
              <w:jc w:val="center"/>
              <w:rPr>
                <w:rFonts w:hint="default"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12</w:t>
            </w:r>
          </w:p>
        </w:tc>
        <w:tc>
          <w:tcPr>
            <w:tcW w:w="7026" w:type="dxa"/>
            <w:tcBorders>
              <w:bottom w:val="single" w:color="auto" w:sz="4" w:space="0"/>
            </w:tcBorders>
            <w:vAlign w:val="center"/>
          </w:tcPr>
          <w:p w14:paraId="2326B44D">
            <w:pPr>
              <w:spacing w:line="460" w:lineRule="exact"/>
              <w:ind w:firstLine="0" w:firstLineChars="0"/>
              <w:rPr>
                <w:rFonts w:hint="eastAsia" w:ascii="微软雅黑" w:hAnsi="微软雅黑" w:cs="微软雅黑"/>
                <w:color w:val="auto"/>
                <w:szCs w:val="21"/>
                <w:highlight w:val="none"/>
              </w:rPr>
            </w:pPr>
            <w:r>
              <w:rPr>
                <w:rFonts w:hint="eastAsia" w:ascii="微软雅黑" w:hAnsi="微软雅黑"/>
                <w:color w:val="auto"/>
                <w:szCs w:val="21"/>
                <w:highlight w:val="none"/>
                <w:lang w:eastAsia="zh-CN"/>
              </w:rPr>
              <w:t>根据</w:t>
            </w:r>
            <w:r>
              <w:rPr>
                <w:rFonts w:hint="eastAsia" w:ascii="微软雅黑" w:hAnsi="微软雅黑" w:cs="微软雅黑"/>
                <w:b w:val="0"/>
                <w:bCs w:val="0"/>
                <w:color w:val="auto"/>
                <w:szCs w:val="21"/>
                <w:highlight w:val="none"/>
                <w:lang w:val="en-US" w:eastAsia="zh-CN"/>
              </w:rPr>
              <w:t>投标人</w:t>
            </w:r>
            <w:r>
              <w:rPr>
                <w:rFonts w:hint="eastAsia" w:ascii="微软雅黑" w:hAnsi="微软雅黑"/>
                <w:color w:val="auto"/>
                <w:szCs w:val="21"/>
                <w:highlight w:val="none"/>
              </w:rPr>
              <w:t>针对本项目的实施人员、专业、岗位配置（岗位配置要求但不限于以下内容：各岗位设置、各岗位工作职能、各岗位配置人员数量 ），</w:t>
            </w:r>
            <w:r>
              <w:rPr>
                <w:rFonts w:hint="eastAsia" w:ascii="微软雅黑" w:hAnsi="微软雅黑" w:cs="微软雅黑"/>
                <w:color w:val="auto"/>
                <w:szCs w:val="21"/>
                <w:highlight w:val="none"/>
              </w:rPr>
              <w:t>根据方案</w:t>
            </w:r>
            <w:r>
              <w:rPr>
                <w:rFonts w:hint="eastAsia" w:ascii="微软雅黑" w:hAnsi="微软雅黑" w:cs="宋体"/>
                <w:color w:val="auto"/>
                <w:kern w:val="0"/>
                <w:szCs w:val="21"/>
                <w:highlight w:val="none"/>
              </w:rPr>
              <w:t>是否与采购需求符合性或匹配度进行打分</w:t>
            </w:r>
            <w:r>
              <w:rPr>
                <w:rFonts w:hint="eastAsia" w:ascii="微软雅黑" w:hAnsi="微软雅黑" w:cs="微软雅黑"/>
                <w:color w:val="auto"/>
                <w:szCs w:val="21"/>
                <w:highlight w:val="none"/>
              </w:rPr>
              <w:t>,</w:t>
            </w:r>
            <w:r>
              <w:rPr>
                <w:rFonts w:hint="eastAsia" w:ascii="微软雅黑" w:hAnsi="微软雅黑" w:cs="宋体"/>
                <w:color w:val="auto"/>
                <w:szCs w:val="21"/>
                <w:highlight w:val="none"/>
              </w:rPr>
              <w:t>评分标准</w:t>
            </w:r>
            <w:r>
              <w:rPr>
                <w:rFonts w:hint="eastAsia" w:ascii="微软雅黑" w:hAnsi="微软雅黑" w:cs="宋体"/>
                <w:b w:val="0"/>
                <w:bCs w:val="0"/>
                <w:color w:val="auto"/>
                <w:szCs w:val="21"/>
                <w:highlight w:val="none"/>
              </w:rPr>
              <w:t>(</w:t>
            </w:r>
            <w:r>
              <w:rPr>
                <w:rFonts w:hint="eastAsia" w:ascii="微软雅黑" w:hAnsi="微软雅黑" w:cs="宋体"/>
                <w:b w:val="0"/>
                <w:bCs w:val="0"/>
                <w:color w:val="auto"/>
                <w:kern w:val="0"/>
                <w:szCs w:val="21"/>
                <w:highlight w:val="none"/>
              </w:rPr>
              <w:t>4,3,2,1,没有不得分</w:t>
            </w:r>
            <w:r>
              <w:rPr>
                <w:rFonts w:hint="eastAsia" w:ascii="微软雅黑" w:hAnsi="微软雅黑" w:cs="微软雅黑"/>
                <w:b w:val="0"/>
                <w:bCs w:val="0"/>
                <w:color w:val="auto"/>
                <w:szCs w:val="21"/>
                <w:highlight w:val="none"/>
              </w:rPr>
              <w:t>）</w:t>
            </w:r>
            <w:r>
              <w:rPr>
                <w:rFonts w:hint="eastAsia" w:ascii="微软雅黑" w:hAnsi="微软雅黑" w:cs="宋体"/>
                <w:b w:val="0"/>
                <w:bCs w:val="0"/>
                <w:color w:val="auto"/>
                <w:szCs w:val="21"/>
                <w:highlight w:val="none"/>
              </w:rPr>
              <w:t>。</w:t>
            </w:r>
          </w:p>
        </w:tc>
        <w:tc>
          <w:tcPr>
            <w:tcW w:w="801" w:type="dxa"/>
            <w:tcBorders>
              <w:bottom w:val="single" w:color="auto" w:sz="4" w:space="0"/>
            </w:tcBorders>
            <w:vAlign w:val="center"/>
          </w:tcPr>
          <w:p w14:paraId="3C3EA9D8">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w:t>
            </w:r>
          </w:p>
        </w:tc>
        <w:tc>
          <w:tcPr>
            <w:tcW w:w="709" w:type="dxa"/>
            <w:tcBorders>
              <w:bottom w:val="single" w:color="auto" w:sz="4" w:space="0"/>
            </w:tcBorders>
            <w:vAlign w:val="center"/>
          </w:tcPr>
          <w:p w14:paraId="6A63F532">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主观</w:t>
            </w:r>
          </w:p>
        </w:tc>
      </w:tr>
      <w:tr w14:paraId="6AFA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6D71F44C">
            <w:pPr>
              <w:spacing w:line="276" w:lineRule="auto"/>
              <w:ind w:firstLine="0" w:firstLineChars="0"/>
              <w:jc w:val="center"/>
              <w:rPr>
                <w:rFonts w:hint="default"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13</w:t>
            </w:r>
          </w:p>
        </w:tc>
        <w:tc>
          <w:tcPr>
            <w:tcW w:w="7026" w:type="dxa"/>
            <w:tcBorders>
              <w:bottom w:val="single" w:color="auto" w:sz="4" w:space="0"/>
            </w:tcBorders>
            <w:vAlign w:val="center"/>
          </w:tcPr>
          <w:p w14:paraId="42C5B089">
            <w:pPr>
              <w:autoSpaceDE w:val="0"/>
              <w:autoSpaceDN w:val="0"/>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根据</w:t>
            </w:r>
            <w:r>
              <w:rPr>
                <w:rFonts w:hint="eastAsia" w:ascii="微软雅黑" w:hAnsi="微软雅黑"/>
                <w:color w:val="auto"/>
                <w:szCs w:val="21"/>
                <w:highlight w:val="none"/>
                <w:lang w:eastAsia="zh-CN"/>
              </w:rPr>
              <w:t>投标人</w:t>
            </w:r>
            <w:r>
              <w:rPr>
                <w:rFonts w:hint="eastAsia" w:ascii="微软雅黑" w:hAnsi="微软雅黑"/>
                <w:color w:val="auto"/>
                <w:szCs w:val="21"/>
                <w:highlight w:val="none"/>
              </w:rPr>
              <w:t>针对本项目实施人员的业务培训的内容和措施，是否与采购需求符合性或匹配度进行打分：①业务培训内容</w:t>
            </w:r>
            <w:r>
              <w:rPr>
                <w:rFonts w:hint="eastAsia" w:ascii="微软雅黑" w:hAnsi="微软雅黑" w:cs="微软雅黑"/>
                <w:color w:val="auto"/>
                <w:szCs w:val="21"/>
                <w:highlight w:val="none"/>
              </w:rPr>
              <w:t>;②</w:t>
            </w:r>
            <w:r>
              <w:rPr>
                <w:rFonts w:hint="eastAsia" w:ascii="微软雅黑" w:hAnsi="微软雅黑"/>
                <w:color w:val="auto"/>
                <w:szCs w:val="21"/>
                <w:highlight w:val="none"/>
              </w:rPr>
              <w:t>保证培训的措施</w:t>
            </w:r>
            <w:r>
              <w:rPr>
                <w:rFonts w:hint="eastAsia" w:ascii="微软雅黑" w:hAnsi="微软雅黑"/>
                <w:bCs/>
                <w:color w:val="auto"/>
                <w:szCs w:val="21"/>
                <w:highlight w:val="none"/>
              </w:rPr>
              <w:t>;</w:t>
            </w:r>
            <w:r>
              <w:rPr>
                <w:rFonts w:hint="eastAsia" w:ascii="微软雅黑" w:hAnsi="微软雅黑"/>
                <w:color w:val="auto"/>
                <w:szCs w:val="21"/>
                <w:highlight w:val="none"/>
              </w:rPr>
              <w:t>③业务培训的频率</w:t>
            </w:r>
            <w:r>
              <w:rPr>
                <w:rFonts w:hint="eastAsia" w:ascii="微软雅黑" w:hAnsi="微软雅黑"/>
                <w:bCs/>
                <w:color w:val="auto"/>
                <w:szCs w:val="21"/>
                <w:highlight w:val="none"/>
              </w:rPr>
              <w:t>.</w:t>
            </w:r>
            <w:r>
              <w:rPr>
                <w:rFonts w:hint="eastAsia" w:ascii="微软雅黑" w:hAnsi="微软雅黑"/>
                <w:color w:val="auto"/>
                <w:szCs w:val="21"/>
                <w:highlight w:val="none"/>
              </w:rPr>
              <w:t>每小项</w:t>
            </w:r>
            <w:r>
              <w:rPr>
                <w:rFonts w:hint="eastAsia" w:ascii="微软雅黑" w:hAnsi="微软雅黑" w:cs="宋体"/>
                <w:color w:val="auto"/>
                <w:szCs w:val="21"/>
                <w:highlight w:val="none"/>
              </w:rPr>
              <w:t>评分标准</w:t>
            </w:r>
            <w:r>
              <w:rPr>
                <w:rFonts w:hint="eastAsia" w:ascii="微软雅黑" w:hAnsi="微软雅黑" w:cs="宋体"/>
                <w:b w:val="0"/>
                <w:bCs w:val="0"/>
                <w:color w:val="auto"/>
                <w:szCs w:val="21"/>
                <w:highlight w:val="none"/>
              </w:rPr>
              <w:t>（3,2,1,</w:t>
            </w:r>
            <w:r>
              <w:rPr>
                <w:rFonts w:hint="eastAsia" w:ascii="微软雅黑" w:hAnsi="微软雅黑" w:cs="宋体"/>
                <w:b w:val="0"/>
                <w:bCs w:val="0"/>
                <w:color w:val="auto"/>
                <w:kern w:val="0"/>
                <w:szCs w:val="21"/>
                <w:highlight w:val="none"/>
              </w:rPr>
              <w:t xml:space="preserve"> ,没有不得分</w:t>
            </w:r>
            <w:r>
              <w:rPr>
                <w:rFonts w:hint="eastAsia" w:ascii="微软雅黑" w:hAnsi="微软雅黑" w:cs="宋体"/>
                <w:b w:val="0"/>
                <w:bCs w:val="0"/>
                <w:color w:val="auto"/>
                <w:szCs w:val="21"/>
                <w:highlight w:val="none"/>
              </w:rPr>
              <w:t>）</w:t>
            </w:r>
          </w:p>
        </w:tc>
        <w:tc>
          <w:tcPr>
            <w:tcW w:w="801" w:type="dxa"/>
            <w:tcBorders>
              <w:bottom w:val="single" w:color="auto" w:sz="4" w:space="0"/>
            </w:tcBorders>
            <w:vAlign w:val="center"/>
          </w:tcPr>
          <w:p w14:paraId="2A77DE6F">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9</w:t>
            </w:r>
          </w:p>
        </w:tc>
        <w:tc>
          <w:tcPr>
            <w:tcW w:w="709" w:type="dxa"/>
            <w:tcBorders>
              <w:bottom w:val="single" w:color="auto" w:sz="4" w:space="0"/>
            </w:tcBorders>
            <w:vAlign w:val="center"/>
          </w:tcPr>
          <w:p w14:paraId="75A49F51">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主观</w:t>
            </w:r>
          </w:p>
        </w:tc>
      </w:tr>
      <w:tr w14:paraId="7678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3D1A91B7">
            <w:pPr>
              <w:spacing w:line="276" w:lineRule="auto"/>
              <w:ind w:firstLine="0" w:firstLineChars="0"/>
              <w:jc w:val="center"/>
              <w:rPr>
                <w:rFonts w:hint="eastAsia" w:ascii="微软雅黑" w:hAnsi="微软雅黑" w:eastAsia="微软雅黑" w:cs="微软雅黑"/>
                <w:color w:val="auto"/>
                <w:szCs w:val="21"/>
                <w:highlight w:val="none"/>
                <w:lang w:eastAsia="zh-CN"/>
              </w:rPr>
            </w:pPr>
            <w:r>
              <w:rPr>
                <w:rFonts w:hint="eastAsia" w:ascii="微软雅黑" w:hAnsi="微软雅黑" w:cs="微软雅黑"/>
                <w:color w:val="auto"/>
                <w:szCs w:val="21"/>
                <w:highlight w:val="none"/>
              </w:rPr>
              <w:t>1</w:t>
            </w:r>
            <w:r>
              <w:rPr>
                <w:rFonts w:hint="eastAsia" w:ascii="微软雅黑" w:hAnsi="微软雅黑" w:cs="微软雅黑"/>
                <w:color w:val="auto"/>
                <w:szCs w:val="21"/>
                <w:highlight w:val="none"/>
                <w:lang w:val="en-US" w:eastAsia="zh-CN"/>
              </w:rPr>
              <w:t>4</w:t>
            </w:r>
          </w:p>
        </w:tc>
        <w:tc>
          <w:tcPr>
            <w:tcW w:w="7026" w:type="dxa"/>
            <w:tcBorders>
              <w:bottom w:val="single" w:color="auto" w:sz="4" w:space="0"/>
            </w:tcBorders>
            <w:vAlign w:val="center"/>
          </w:tcPr>
          <w:p w14:paraId="2A71184D">
            <w:pPr>
              <w:autoSpaceDE w:val="0"/>
              <w:autoSpaceDN w:val="0"/>
              <w:ind w:firstLine="0" w:firstLineChars="0"/>
              <w:rPr>
                <w:rFonts w:hint="eastAsia" w:ascii="微软雅黑" w:hAnsi="微软雅黑"/>
                <w:color w:val="auto"/>
                <w:szCs w:val="21"/>
                <w:highlight w:val="none"/>
              </w:rPr>
            </w:pPr>
            <w:r>
              <w:rPr>
                <w:rFonts w:hint="eastAsia" w:ascii="微软雅黑" w:hAnsi="微软雅黑" w:cs="微软雅黑"/>
                <w:color w:val="auto"/>
                <w:szCs w:val="21"/>
                <w:highlight w:val="none"/>
              </w:rPr>
              <w:t>标识标牌及防汛物资</w:t>
            </w:r>
            <w:r>
              <w:rPr>
                <w:rFonts w:hint="eastAsia" w:ascii="宋体" w:hAnsi="宋体" w:cs="等线"/>
                <w:color w:val="auto"/>
                <w:szCs w:val="21"/>
                <w:highlight w:val="none"/>
              </w:rPr>
              <w:t>自采购人验收合格之日起2年的基础上，每增加半年得1分，本项最高得2分。</w:t>
            </w:r>
          </w:p>
        </w:tc>
        <w:tc>
          <w:tcPr>
            <w:tcW w:w="801" w:type="dxa"/>
            <w:tcBorders>
              <w:bottom w:val="single" w:color="auto" w:sz="4" w:space="0"/>
            </w:tcBorders>
            <w:vAlign w:val="center"/>
          </w:tcPr>
          <w:p w14:paraId="605C1C3C">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w:t>
            </w:r>
          </w:p>
        </w:tc>
        <w:tc>
          <w:tcPr>
            <w:tcW w:w="709" w:type="dxa"/>
            <w:tcBorders>
              <w:bottom w:val="single" w:color="auto" w:sz="4" w:space="0"/>
            </w:tcBorders>
            <w:vAlign w:val="center"/>
          </w:tcPr>
          <w:p w14:paraId="7BA3BB0C">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客观</w:t>
            </w:r>
          </w:p>
        </w:tc>
      </w:tr>
      <w:tr w14:paraId="5051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30" w:type="dxa"/>
            <w:tcBorders>
              <w:bottom w:val="single" w:color="auto" w:sz="4" w:space="0"/>
            </w:tcBorders>
            <w:vAlign w:val="center"/>
          </w:tcPr>
          <w:p w14:paraId="252ABE9A">
            <w:pPr>
              <w:spacing w:line="276" w:lineRule="auto"/>
              <w:ind w:firstLine="0" w:firstLineChars="0"/>
              <w:jc w:val="center"/>
              <w:rPr>
                <w:rFonts w:hint="default"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15</w:t>
            </w:r>
          </w:p>
        </w:tc>
        <w:tc>
          <w:tcPr>
            <w:tcW w:w="7026" w:type="dxa"/>
            <w:tcBorders>
              <w:bottom w:val="single" w:color="auto" w:sz="4" w:space="0"/>
            </w:tcBorders>
            <w:vAlign w:val="center"/>
          </w:tcPr>
          <w:p w14:paraId="619FA9D5">
            <w:pPr>
              <w:spacing w:line="240" w:lineRule="auto"/>
              <w:ind w:firstLine="0" w:firstLineChars="0"/>
              <w:rPr>
                <w:rFonts w:hint="eastAsia" w:ascii="微软雅黑" w:hAnsi="微软雅黑" w:cs="微软雅黑"/>
                <w:color w:val="auto"/>
                <w:szCs w:val="21"/>
                <w:highlight w:val="none"/>
              </w:rPr>
            </w:pPr>
            <w:r>
              <w:rPr>
                <w:rFonts w:hint="eastAsia" w:ascii="微软雅黑" w:hAnsi="微软雅黑" w:cs="Arial"/>
                <w:smallCaps/>
                <w:color w:val="auto"/>
                <w:szCs w:val="21"/>
                <w:highlight w:val="none"/>
              </w:rPr>
              <w:t>根据</w:t>
            </w:r>
            <w:r>
              <w:rPr>
                <w:rFonts w:hint="eastAsia" w:ascii="微软雅黑" w:hAnsi="微软雅黑" w:cs="微软雅黑"/>
                <w:b w:val="0"/>
                <w:bCs w:val="0"/>
                <w:color w:val="auto"/>
                <w:szCs w:val="21"/>
                <w:highlight w:val="none"/>
                <w:lang w:val="en-US" w:eastAsia="zh-CN"/>
              </w:rPr>
              <w:t>投标人</w:t>
            </w:r>
            <w:r>
              <w:rPr>
                <w:rFonts w:hint="eastAsia" w:ascii="微软雅黑" w:hAnsi="微软雅黑" w:cs="Arial"/>
                <w:smallCaps/>
                <w:color w:val="auto"/>
                <w:szCs w:val="21"/>
                <w:highlight w:val="none"/>
              </w:rPr>
              <w:t>对本项目建设需求的深入了解，能针对本项目提供实质性的有效的合理化建议，并提出解决方案，每有一条得1分，共</w:t>
            </w:r>
            <w:r>
              <w:rPr>
                <w:rFonts w:hint="eastAsia" w:ascii="微软雅黑" w:hAnsi="微软雅黑" w:cs="Arial"/>
                <w:smallCaps/>
                <w:color w:val="auto"/>
                <w:szCs w:val="21"/>
                <w:highlight w:val="none"/>
                <w:lang w:val="en-US" w:eastAsia="zh-CN"/>
              </w:rPr>
              <w:t>3</w:t>
            </w:r>
            <w:r>
              <w:rPr>
                <w:rFonts w:hint="eastAsia" w:ascii="微软雅黑" w:hAnsi="微软雅黑" w:cs="Arial"/>
                <w:smallCaps/>
                <w:color w:val="auto"/>
                <w:szCs w:val="21"/>
                <w:highlight w:val="none"/>
              </w:rPr>
              <w:t>分；</w:t>
            </w:r>
          </w:p>
        </w:tc>
        <w:tc>
          <w:tcPr>
            <w:tcW w:w="801" w:type="dxa"/>
            <w:tcBorders>
              <w:bottom w:val="single" w:color="auto" w:sz="4" w:space="0"/>
            </w:tcBorders>
            <w:vAlign w:val="center"/>
          </w:tcPr>
          <w:p w14:paraId="34913F4D">
            <w:pPr>
              <w:spacing w:line="240" w:lineRule="auto"/>
              <w:ind w:firstLine="0" w:firstLineChars="0"/>
              <w:jc w:val="center"/>
              <w:rPr>
                <w:rFonts w:hint="eastAsia" w:ascii="微软雅黑" w:hAnsi="微软雅黑" w:cs="微软雅黑"/>
                <w:color w:val="auto"/>
                <w:szCs w:val="21"/>
                <w:highlight w:val="none"/>
              </w:rPr>
            </w:pPr>
            <w:r>
              <w:rPr>
                <w:rFonts w:hint="eastAsia" w:ascii="微软雅黑" w:hAnsi="微软雅黑"/>
                <w:color w:val="auto"/>
                <w:szCs w:val="21"/>
                <w:highlight w:val="none"/>
                <w:lang w:val="en-US" w:eastAsia="zh-CN"/>
              </w:rPr>
              <w:t>3</w:t>
            </w:r>
          </w:p>
        </w:tc>
        <w:tc>
          <w:tcPr>
            <w:tcW w:w="709" w:type="dxa"/>
            <w:tcBorders>
              <w:bottom w:val="single" w:color="auto" w:sz="4" w:space="0"/>
            </w:tcBorders>
            <w:vAlign w:val="center"/>
          </w:tcPr>
          <w:p w14:paraId="624D0296">
            <w:pPr>
              <w:spacing w:line="240" w:lineRule="auto"/>
              <w:ind w:firstLine="0" w:firstLineChars="0"/>
              <w:jc w:val="center"/>
              <w:rPr>
                <w:rFonts w:hint="eastAsia" w:ascii="微软雅黑" w:hAnsi="微软雅黑" w:cs="微软雅黑"/>
                <w:color w:val="auto"/>
                <w:szCs w:val="21"/>
                <w:highlight w:val="none"/>
              </w:rPr>
            </w:pPr>
            <w:r>
              <w:rPr>
                <w:rFonts w:hint="eastAsia" w:ascii="微软雅黑" w:hAnsi="微软雅黑"/>
                <w:color w:val="auto"/>
                <w:szCs w:val="21"/>
                <w:highlight w:val="none"/>
              </w:rPr>
              <w:t>客观</w:t>
            </w:r>
          </w:p>
        </w:tc>
      </w:tr>
      <w:tr w14:paraId="206C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730" w:type="dxa"/>
            <w:vAlign w:val="center"/>
          </w:tcPr>
          <w:p w14:paraId="3ACD6085">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小计</w:t>
            </w:r>
          </w:p>
        </w:tc>
        <w:tc>
          <w:tcPr>
            <w:tcW w:w="7026" w:type="dxa"/>
            <w:vAlign w:val="center"/>
          </w:tcPr>
          <w:p w14:paraId="7EBFA731">
            <w:pPr>
              <w:spacing w:line="460" w:lineRule="exact"/>
              <w:ind w:firstLine="0" w:firstLineChars="0"/>
              <w:rPr>
                <w:rFonts w:hint="eastAsia" w:ascii="微软雅黑" w:hAnsi="微软雅黑" w:cs="微软雅黑"/>
                <w:color w:val="auto"/>
                <w:szCs w:val="21"/>
                <w:highlight w:val="none"/>
              </w:rPr>
            </w:pPr>
          </w:p>
        </w:tc>
        <w:tc>
          <w:tcPr>
            <w:tcW w:w="801" w:type="dxa"/>
            <w:vAlign w:val="center"/>
          </w:tcPr>
          <w:p w14:paraId="12F5C4B5">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fldChar w:fldCharType="begin"/>
            </w:r>
            <w:r>
              <w:rPr>
                <w:rFonts w:hint="eastAsia" w:ascii="微软雅黑" w:hAnsi="微软雅黑" w:cs="微软雅黑"/>
                <w:color w:val="auto"/>
                <w:szCs w:val="21"/>
                <w:highlight w:val="none"/>
              </w:rPr>
              <w:instrText xml:space="preserve"> = sum(C2:C16) \* MERGEFORMAT </w:instrText>
            </w:r>
            <w:r>
              <w:rPr>
                <w:rFonts w:hint="eastAsia" w:ascii="微软雅黑" w:hAnsi="微软雅黑" w:cs="微软雅黑"/>
                <w:color w:val="auto"/>
                <w:szCs w:val="21"/>
                <w:highlight w:val="none"/>
              </w:rPr>
              <w:fldChar w:fldCharType="separate"/>
            </w:r>
            <w:r>
              <w:rPr>
                <w:rFonts w:hint="eastAsia" w:ascii="微软雅黑" w:hAnsi="微软雅黑" w:cs="微软雅黑"/>
                <w:color w:val="auto"/>
                <w:szCs w:val="21"/>
                <w:highlight w:val="none"/>
              </w:rPr>
              <w:t>6</w:t>
            </w:r>
            <w:r>
              <w:rPr>
                <w:rFonts w:hint="eastAsia" w:ascii="微软雅黑" w:hAnsi="微软雅黑" w:cs="微软雅黑"/>
                <w:color w:val="auto"/>
                <w:szCs w:val="21"/>
                <w:highlight w:val="none"/>
                <w:lang w:val="en-US" w:eastAsia="zh-CN"/>
              </w:rPr>
              <w:t>6</w:t>
            </w:r>
            <w:r>
              <w:rPr>
                <w:rFonts w:hint="eastAsia" w:ascii="微软雅黑" w:hAnsi="微软雅黑" w:cs="微软雅黑"/>
                <w:color w:val="auto"/>
                <w:szCs w:val="21"/>
                <w:highlight w:val="none"/>
              </w:rPr>
              <w:fldChar w:fldCharType="end"/>
            </w:r>
          </w:p>
        </w:tc>
        <w:tc>
          <w:tcPr>
            <w:tcW w:w="709" w:type="dxa"/>
            <w:vAlign w:val="center"/>
          </w:tcPr>
          <w:p w14:paraId="52D2F3CB">
            <w:pPr>
              <w:spacing w:line="276" w:lineRule="auto"/>
              <w:ind w:firstLine="0" w:firstLineChars="0"/>
              <w:jc w:val="center"/>
              <w:rPr>
                <w:rFonts w:hint="eastAsia" w:ascii="微软雅黑" w:hAnsi="微软雅黑" w:cs="微软雅黑"/>
                <w:color w:val="auto"/>
                <w:szCs w:val="21"/>
                <w:highlight w:val="none"/>
              </w:rPr>
            </w:pPr>
          </w:p>
        </w:tc>
      </w:tr>
    </w:tbl>
    <w:p w14:paraId="181F9B7D">
      <w:pPr>
        <w:numPr>
          <w:ilvl w:val="0"/>
          <w:numId w:val="21"/>
        </w:numPr>
        <w:tabs>
          <w:tab w:val="left" w:pos="3870"/>
          <w:tab w:val="left" w:pos="4085"/>
        </w:tabs>
        <w:snapToGrid w:val="0"/>
        <w:spacing w:line="460" w:lineRule="exact"/>
        <w:ind w:firstLine="420"/>
        <w:outlineLvl w:val="1"/>
        <w:rPr>
          <w:rFonts w:hint="eastAsia" w:ascii="微软雅黑" w:hAnsi="微软雅黑"/>
          <w:b/>
          <w:bCs/>
          <w:color w:val="auto"/>
          <w:highlight w:val="none"/>
        </w:rPr>
      </w:pPr>
      <w:bookmarkStart w:id="172" w:name="_Toc14039"/>
      <w:r>
        <w:rPr>
          <w:rFonts w:hint="eastAsia"/>
          <w:b/>
          <w:bCs/>
          <w:color w:val="auto"/>
          <w:highlight w:val="none"/>
        </w:rPr>
        <w:t>资信及其他分</w:t>
      </w:r>
      <w:bookmarkEnd w:id="172"/>
    </w:p>
    <w:bookmarkEnd w:id="162"/>
    <w:bookmarkEnd w:id="163"/>
    <w:bookmarkEnd w:id="164"/>
    <w:tbl>
      <w:tblPr>
        <w:tblStyle w:val="53"/>
        <w:tblW w:w="94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7423"/>
        <w:gridCol w:w="664"/>
        <w:gridCol w:w="664"/>
      </w:tblGrid>
      <w:tr w14:paraId="12DEA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14:paraId="04A3654A">
            <w:pPr>
              <w:spacing w:line="276" w:lineRule="auto"/>
              <w:ind w:firstLine="0" w:firstLineChars="0"/>
              <w:jc w:val="center"/>
              <w:rPr>
                <w:rFonts w:hint="eastAsia" w:ascii="微软雅黑" w:hAnsi="微软雅黑" w:cs="微软雅黑"/>
                <w:b/>
                <w:color w:val="auto"/>
                <w:szCs w:val="21"/>
                <w:highlight w:val="none"/>
              </w:rPr>
            </w:pPr>
            <w:bookmarkStart w:id="173" w:name="OLE_LINK1"/>
            <w:r>
              <w:rPr>
                <w:rFonts w:hint="eastAsia" w:ascii="微软雅黑" w:hAnsi="微软雅黑" w:cs="微软雅黑"/>
                <w:b/>
                <w:color w:val="auto"/>
                <w:szCs w:val="21"/>
                <w:highlight w:val="none"/>
              </w:rPr>
              <w:t>序号</w:t>
            </w:r>
          </w:p>
        </w:tc>
        <w:tc>
          <w:tcPr>
            <w:tcW w:w="7423" w:type="dxa"/>
            <w:vAlign w:val="center"/>
          </w:tcPr>
          <w:p w14:paraId="52B55123">
            <w:pPr>
              <w:spacing w:line="276" w:lineRule="auto"/>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评分标准</w:t>
            </w:r>
          </w:p>
        </w:tc>
        <w:tc>
          <w:tcPr>
            <w:tcW w:w="664" w:type="dxa"/>
            <w:vAlign w:val="center"/>
          </w:tcPr>
          <w:p w14:paraId="4D36F6CE">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最高得分</w:t>
            </w:r>
          </w:p>
        </w:tc>
        <w:tc>
          <w:tcPr>
            <w:tcW w:w="664" w:type="dxa"/>
            <w:vAlign w:val="center"/>
          </w:tcPr>
          <w:p w14:paraId="4755A90F">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评分设置</w:t>
            </w:r>
          </w:p>
        </w:tc>
      </w:tr>
      <w:tr w14:paraId="05D24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14:paraId="1DB56539">
            <w:pPr>
              <w:spacing w:line="276" w:lineRule="auto"/>
              <w:ind w:firstLine="0" w:firstLineChars="0"/>
              <w:jc w:val="center"/>
              <w:rPr>
                <w:rFonts w:hint="eastAsia" w:ascii="微软雅黑" w:hAnsi="微软雅黑" w:eastAsia="微软雅黑" w:cs="微软雅黑"/>
                <w:b/>
                <w:color w:val="auto"/>
                <w:szCs w:val="21"/>
                <w:highlight w:val="none"/>
                <w:lang w:eastAsia="zh-CN"/>
              </w:rPr>
            </w:pPr>
            <w:r>
              <w:rPr>
                <w:rFonts w:hint="eastAsia" w:ascii="微软雅黑" w:hAnsi="微软雅黑" w:cs="微软雅黑"/>
                <w:b/>
                <w:color w:val="auto"/>
                <w:szCs w:val="21"/>
                <w:highlight w:val="none"/>
              </w:rPr>
              <w:t>1</w:t>
            </w:r>
            <w:r>
              <w:rPr>
                <w:rFonts w:hint="eastAsia" w:ascii="微软雅黑" w:hAnsi="微软雅黑" w:cs="微软雅黑"/>
                <w:b/>
                <w:color w:val="auto"/>
                <w:szCs w:val="21"/>
                <w:highlight w:val="none"/>
                <w:lang w:val="en-US" w:eastAsia="zh-CN"/>
              </w:rPr>
              <w:t>6</w:t>
            </w:r>
          </w:p>
        </w:tc>
        <w:tc>
          <w:tcPr>
            <w:tcW w:w="7423" w:type="dxa"/>
            <w:vAlign w:val="center"/>
          </w:tcPr>
          <w:p w14:paraId="48AD43CA">
            <w:pPr>
              <w:pStyle w:val="29"/>
              <w:keepNext w:val="0"/>
              <w:keepLines w:val="0"/>
              <w:pageBreakBefore w:val="0"/>
              <w:kinsoku/>
              <w:wordWrap/>
              <w:overflowPunct/>
              <w:topLinePunct w:val="0"/>
              <w:autoSpaceDE/>
              <w:autoSpaceDN/>
              <w:bidi w:val="0"/>
              <w:adjustRightInd w:val="0"/>
              <w:snapToGrid/>
              <w:spacing w:line="360" w:lineRule="exact"/>
              <w:ind w:left="0" w:leftChars="0" w:firstLine="0" w:firstLineChars="0"/>
              <w:jc w:val="left"/>
              <w:textAlignment w:val="auto"/>
              <w:rPr>
                <w:rFonts w:hint="eastAsia" w:ascii="微软雅黑" w:hAnsi="微软雅黑" w:cs="微软雅黑"/>
                <w:b/>
                <w:color w:val="auto"/>
                <w:szCs w:val="21"/>
                <w:highlight w:val="none"/>
              </w:rPr>
            </w:pPr>
            <w:r>
              <w:rPr>
                <w:rFonts w:hint="eastAsia" w:ascii="微软雅黑" w:hAnsi="微软雅黑" w:eastAsia="微软雅黑" w:cs="微软雅黑"/>
                <w:color w:val="auto"/>
                <w:szCs w:val="21"/>
                <w:highlight w:val="none"/>
                <w:lang w:val="en-US" w:eastAsia="zh-CN"/>
              </w:rPr>
              <w:t>拟投入项目负责人具有水利专业工程师及以上职称的得1分【注：提供相关证书及投标截止时间前三个月内任意一个月社保证明复印件并加盖公章，不提供不得分。】</w:t>
            </w:r>
          </w:p>
        </w:tc>
        <w:tc>
          <w:tcPr>
            <w:tcW w:w="664" w:type="dxa"/>
            <w:vAlign w:val="center"/>
          </w:tcPr>
          <w:p w14:paraId="25446267">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w:t>
            </w:r>
          </w:p>
        </w:tc>
        <w:tc>
          <w:tcPr>
            <w:tcW w:w="664" w:type="dxa"/>
            <w:vAlign w:val="center"/>
          </w:tcPr>
          <w:p w14:paraId="2F80A244">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客观</w:t>
            </w:r>
          </w:p>
        </w:tc>
      </w:tr>
      <w:tr w14:paraId="427CA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3" w:hRule="atLeast"/>
          <w:jc w:val="center"/>
        </w:trPr>
        <w:tc>
          <w:tcPr>
            <w:tcW w:w="709" w:type="dxa"/>
            <w:vAlign w:val="center"/>
          </w:tcPr>
          <w:p w14:paraId="08D94622">
            <w:pPr>
              <w:spacing w:line="276" w:lineRule="auto"/>
              <w:ind w:firstLine="0" w:firstLineChars="0"/>
              <w:jc w:val="center"/>
              <w:rPr>
                <w:rFonts w:hint="eastAsia" w:ascii="微软雅黑" w:hAnsi="微软雅黑" w:eastAsia="微软雅黑" w:cs="微软雅黑"/>
                <w:color w:val="auto"/>
                <w:szCs w:val="21"/>
                <w:highlight w:val="none"/>
                <w:lang w:eastAsia="zh-CN"/>
              </w:rPr>
            </w:pPr>
            <w:r>
              <w:rPr>
                <w:rFonts w:hint="eastAsia" w:ascii="微软雅黑" w:hAnsi="微软雅黑" w:cs="微软雅黑"/>
                <w:color w:val="auto"/>
                <w:szCs w:val="21"/>
                <w:highlight w:val="none"/>
              </w:rPr>
              <w:t>1</w:t>
            </w:r>
            <w:r>
              <w:rPr>
                <w:rFonts w:hint="eastAsia" w:ascii="微软雅黑" w:hAnsi="微软雅黑" w:cs="微软雅黑"/>
                <w:color w:val="auto"/>
                <w:szCs w:val="21"/>
                <w:highlight w:val="none"/>
                <w:lang w:val="en-US" w:eastAsia="zh-CN"/>
              </w:rPr>
              <w:t>7</w:t>
            </w:r>
          </w:p>
        </w:tc>
        <w:tc>
          <w:tcPr>
            <w:tcW w:w="7423" w:type="dxa"/>
            <w:vAlign w:val="center"/>
          </w:tcPr>
          <w:p w14:paraId="68AFEBAC">
            <w:pPr>
              <w:pStyle w:val="29"/>
              <w:keepNext w:val="0"/>
              <w:keepLines w:val="0"/>
              <w:pageBreakBefore w:val="0"/>
              <w:kinsoku/>
              <w:wordWrap/>
              <w:overflowPunct/>
              <w:topLinePunct w:val="0"/>
              <w:autoSpaceDE/>
              <w:autoSpaceDN/>
              <w:bidi w:val="0"/>
              <w:adjustRightInd w:val="0"/>
              <w:snapToGrid/>
              <w:spacing w:line="360" w:lineRule="exact"/>
              <w:ind w:left="0" w:leftChars="0" w:firstLine="0" w:firstLineChars="0"/>
              <w:jc w:val="left"/>
              <w:textAlignment w:val="auto"/>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en-US" w:eastAsia="zh-CN"/>
              </w:rPr>
              <w:t>投标人</w:t>
            </w:r>
            <w:r>
              <w:rPr>
                <w:rFonts w:hint="eastAsia" w:ascii="微软雅黑" w:hAnsi="微软雅黑" w:eastAsia="微软雅黑" w:cs="微软雅黑"/>
                <w:color w:val="auto"/>
                <w:szCs w:val="21"/>
                <w:highlight w:val="none"/>
                <w:lang w:val="en-US" w:eastAsia="zh-CN"/>
              </w:rPr>
              <w:t>自投标截止时间前三年以来（自投标截止日起往前追溯3年，以合同签订时间为准）承接过水利工程标准化管理创建项目的，有一个业绩得</w:t>
            </w:r>
            <w:r>
              <w:rPr>
                <w:rFonts w:hint="eastAsia" w:ascii="微软雅黑" w:hAnsi="微软雅黑" w:cs="微软雅黑"/>
                <w:color w:val="auto"/>
                <w:szCs w:val="21"/>
                <w:highlight w:val="none"/>
                <w:lang w:val="en-US" w:eastAsia="zh-CN"/>
              </w:rPr>
              <w:t>1</w:t>
            </w:r>
            <w:bookmarkStart w:id="355" w:name="_GoBack"/>
            <w:bookmarkEnd w:id="355"/>
            <w:r>
              <w:rPr>
                <w:rFonts w:hint="eastAsia" w:ascii="微软雅黑" w:hAnsi="微软雅黑" w:eastAsia="微软雅黑" w:cs="微软雅黑"/>
                <w:color w:val="auto"/>
                <w:szCs w:val="21"/>
                <w:highlight w:val="none"/>
                <w:lang w:val="en-US" w:eastAsia="zh-CN"/>
              </w:rPr>
              <w:t>分，最多得3分。【注：提供合同复印件</w:t>
            </w:r>
            <w:r>
              <w:rPr>
                <w:rFonts w:hint="eastAsia" w:ascii="微软雅黑" w:hAnsi="微软雅黑" w:cs="微软雅黑"/>
                <w:color w:val="auto"/>
                <w:szCs w:val="21"/>
                <w:highlight w:val="none"/>
                <w:lang w:val="en-US" w:eastAsia="zh-CN"/>
              </w:rPr>
              <w:t>做在投标文件中</w:t>
            </w:r>
            <w:r>
              <w:rPr>
                <w:rFonts w:hint="eastAsia" w:ascii="微软雅黑" w:hAnsi="微软雅黑" w:eastAsia="微软雅黑" w:cs="微软雅黑"/>
                <w:color w:val="auto"/>
                <w:szCs w:val="21"/>
                <w:highlight w:val="none"/>
                <w:lang w:val="en-US" w:eastAsia="zh-CN"/>
              </w:rPr>
              <w:t>】。</w:t>
            </w:r>
          </w:p>
        </w:tc>
        <w:tc>
          <w:tcPr>
            <w:tcW w:w="664" w:type="dxa"/>
            <w:vAlign w:val="center"/>
          </w:tcPr>
          <w:p w14:paraId="6FD415B2">
            <w:pPr>
              <w:pStyle w:val="29"/>
              <w:keepNext w:val="0"/>
              <w:keepLines w:val="0"/>
              <w:pageBreakBefore w:val="0"/>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微软雅黑" w:hAnsi="微软雅黑" w:cs="微软雅黑"/>
                <w:color w:val="auto"/>
                <w:szCs w:val="21"/>
                <w:highlight w:val="none"/>
              </w:rPr>
            </w:pPr>
            <w:r>
              <w:rPr>
                <w:rFonts w:hint="eastAsia" w:ascii="微软雅黑" w:hAnsi="微软雅黑" w:eastAsia="微软雅黑" w:cs="微软雅黑"/>
                <w:color w:val="auto"/>
                <w:szCs w:val="21"/>
                <w:highlight w:val="none"/>
                <w:lang w:val="en-US" w:eastAsia="zh-CN"/>
              </w:rPr>
              <w:t>3</w:t>
            </w:r>
          </w:p>
        </w:tc>
        <w:tc>
          <w:tcPr>
            <w:tcW w:w="664" w:type="dxa"/>
            <w:vAlign w:val="center"/>
          </w:tcPr>
          <w:p w14:paraId="1382FC13">
            <w:pPr>
              <w:spacing w:line="276" w:lineRule="auto"/>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客观</w:t>
            </w:r>
          </w:p>
        </w:tc>
      </w:tr>
      <w:tr w14:paraId="4C47C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14:paraId="2BC5FFC2">
            <w:pPr>
              <w:spacing w:line="276" w:lineRule="auto"/>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小计</w:t>
            </w:r>
          </w:p>
        </w:tc>
        <w:tc>
          <w:tcPr>
            <w:tcW w:w="7423" w:type="dxa"/>
            <w:vAlign w:val="center"/>
          </w:tcPr>
          <w:p w14:paraId="2CE7C118">
            <w:pPr>
              <w:spacing w:line="276" w:lineRule="auto"/>
              <w:ind w:firstLine="0" w:firstLineChars="0"/>
              <w:jc w:val="center"/>
              <w:rPr>
                <w:rFonts w:hint="eastAsia" w:ascii="微软雅黑" w:hAnsi="微软雅黑" w:cs="微软雅黑"/>
                <w:color w:val="auto"/>
                <w:szCs w:val="21"/>
                <w:highlight w:val="none"/>
              </w:rPr>
            </w:pPr>
          </w:p>
        </w:tc>
        <w:tc>
          <w:tcPr>
            <w:tcW w:w="664" w:type="dxa"/>
            <w:vAlign w:val="center"/>
          </w:tcPr>
          <w:p w14:paraId="44C4D760">
            <w:pPr>
              <w:spacing w:line="276" w:lineRule="auto"/>
              <w:ind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4</w:t>
            </w:r>
          </w:p>
        </w:tc>
        <w:tc>
          <w:tcPr>
            <w:tcW w:w="664" w:type="dxa"/>
            <w:vAlign w:val="center"/>
          </w:tcPr>
          <w:p w14:paraId="42ACD7BB">
            <w:pPr>
              <w:spacing w:line="276" w:lineRule="auto"/>
              <w:ind w:firstLine="0" w:firstLineChars="0"/>
              <w:jc w:val="center"/>
              <w:rPr>
                <w:rFonts w:hint="eastAsia" w:ascii="微软雅黑" w:hAnsi="微软雅黑" w:cs="微软雅黑"/>
                <w:color w:val="auto"/>
                <w:szCs w:val="21"/>
                <w:highlight w:val="none"/>
              </w:rPr>
            </w:pPr>
          </w:p>
        </w:tc>
      </w:tr>
      <w:bookmarkEnd w:id="173"/>
    </w:tbl>
    <w:p w14:paraId="628CFEAF">
      <w:pPr>
        <w:pStyle w:val="2"/>
        <w:keepNext w:val="0"/>
        <w:keepLines w:val="0"/>
        <w:numPr>
          <w:ilvl w:val="0"/>
          <w:numId w:val="22"/>
        </w:numPr>
        <w:rPr>
          <w:rStyle w:val="64"/>
          <w:rFonts w:hint="eastAsia" w:ascii="微软雅黑" w:hAnsi="微软雅黑"/>
          <w:b/>
          <w:bCs/>
          <w:color w:val="auto"/>
          <w:sz w:val="21"/>
          <w:szCs w:val="21"/>
          <w:highlight w:val="none"/>
        </w:rPr>
        <w:sectPr>
          <w:headerReference r:id="rId21" w:type="first"/>
          <w:footerReference r:id="rId22" w:type="default"/>
          <w:headerReference r:id="rId20" w:type="even"/>
          <w:pgSz w:w="11906" w:h="16838"/>
          <w:pgMar w:top="1474" w:right="1797" w:bottom="1247" w:left="1797" w:header="851" w:footer="851" w:gutter="0"/>
          <w:cols w:space="720" w:num="1"/>
          <w:docGrid w:linePitch="312" w:charSpace="0"/>
        </w:sectPr>
      </w:pPr>
    </w:p>
    <w:bookmarkEnd w:id="165"/>
    <w:p w14:paraId="13494BC9">
      <w:pPr>
        <w:pStyle w:val="2"/>
        <w:keepNext w:val="0"/>
        <w:keepLines w:val="0"/>
        <w:numPr>
          <w:ilvl w:val="0"/>
          <w:numId w:val="3"/>
        </w:numPr>
        <w:rPr>
          <w:rStyle w:val="64"/>
          <w:b/>
          <w:bCs/>
          <w:color w:val="auto"/>
          <w:highlight w:val="none"/>
        </w:rPr>
      </w:pPr>
      <w:bookmarkStart w:id="174" w:name="_Toc493511828"/>
      <w:bookmarkStart w:id="175" w:name="_Toc25864"/>
      <w:r>
        <w:rPr>
          <w:rStyle w:val="64"/>
          <w:rFonts w:hint="eastAsia"/>
          <w:b/>
          <w:bCs/>
          <w:color w:val="auto"/>
          <w:highlight w:val="none"/>
        </w:rPr>
        <w:t xml:space="preserve">  </w:t>
      </w:r>
      <w:bookmarkStart w:id="176" w:name="_Toc25258"/>
      <w:bookmarkStart w:id="177" w:name="_Toc164943217"/>
      <w:r>
        <w:rPr>
          <w:rStyle w:val="64"/>
          <w:rFonts w:hint="eastAsia"/>
          <w:b/>
          <w:bCs/>
          <w:color w:val="auto"/>
          <w:highlight w:val="none"/>
        </w:rPr>
        <w:t>采购合同（指引）</w:t>
      </w:r>
      <w:bookmarkEnd w:id="176"/>
      <w:bookmarkEnd w:id="177"/>
    </w:p>
    <w:p w14:paraId="2816C03E">
      <w:pPr>
        <w:pStyle w:val="3"/>
        <w:keepNext w:val="0"/>
        <w:keepLines w:val="0"/>
        <w:spacing w:line="460" w:lineRule="exact"/>
        <w:ind w:firstLine="420"/>
        <w:rPr>
          <w:rFonts w:hint="eastAsia" w:ascii="微软雅黑" w:hAnsi="微软雅黑" w:cs="微软雅黑"/>
          <w:color w:val="auto"/>
          <w:sz w:val="21"/>
          <w:szCs w:val="21"/>
          <w:highlight w:val="none"/>
        </w:rPr>
      </w:pPr>
      <w:bookmarkStart w:id="178" w:name="_Toc12695"/>
      <w:bookmarkStart w:id="179" w:name="_Toc164943218"/>
      <w:bookmarkStart w:id="180" w:name="_Toc7587"/>
      <w:r>
        <w:rPr>
          <w:rFonts w:hint="eastAsia" w:ascii="微软雅黑" w:hAnsi="微软雅黑" w:cs="微软雅黑"/>
          <w:color w:val="auto"/>
          <w:sz w:val="21"/>
          <w:szCs w:val="21"/>
          <w:highlight w:val="none"/>
        </w:rPr>
        <w:t>一、通用条款部分</w:t>
      </w:r>
      <w:bookmarkEnd w:id="178"/>
      <w:bookmarkEnd w:id="179"/>
      <w:bookmarkEnd w:id="180"/>
    </w:p>
    <w:p w14:paraId="2FEAE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bookmarkStart w:id="181" w:name="_Hlk111018671"/>
      <w:r>
        <w:rPr>
          <w:rFonts w:hint="eastAsia" w:ascii="微软雅黑" w:hAnsi="微软雅黑" w:cs="微软雅黑"/>
          <w:color w:val="auto"/>
          <w:szCs w:val="21"/>
          <w:highlight w:val="none"/>
        </w:rPr>
        <w:t xml:space="preserve">合同编号： </w:t>
      </w:r>
    </w:p>
    <w:p w14:paraId="3AB723FE">
      <w:pPr>
        <w:tabs>
          <w:tab w:val="left" w:pos="830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项目名称： </w:t>
      </w:r>
    </w:p>
    <w:p w14:paraId="4FE87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项目编号：</w:t>
      </w:r>
    </w:p>
    <w:p w14:paraId="2F8D7EE1">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政府采购计划（预算）确认书号：（如有，可填写）</w:t>
      </w:r>
    </w:p>
    <w:p w14:paraId="25E2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采购人（以下称甲方）： </w:t>
      </w:r>
    </w:p>
    <w:p w14:paraId="25512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（以下称乙方）：</w:t>
      </w:r>
    </w:p>
    <w:p w14:paraId="4ADCD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采购代理机构： （如有，须填写）</w:t>
      </w:r>
    </w:p>
    <w:p w14:paraId="5B65F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采购方式： 嘉兴市千秋工程咨询有限公司</w:t>
      </w:r>
    </w:p>
    <w:p w14:paraId="37D95C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xml:space="preserve">根据《中华人民共和国政府采购法》、《民法典》等法律法规的规定，甲乙双方按照 </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szCs w:val="21"/>
          <w:highlight w:val="none"/>
          <w:u w:val="single"/>
        </w:rPr>
        <w:t>项目（项目编号 ：           ）</w:t>
      </w:r>
      <w:r>
        <w:rPr>
          <w:rFonts w:hint="eastAsia" w:ascii="微软雅黑" w:hAnsi="微软雅黑" w:cs="微软雅黑"/>
          <w:color w:val="auto"/>
          <w:kern w:val="0"/>
          <w:szCs w:val="21"/>
          <w:highlight w:val="none"/>
        </w:rPr>
        <w:t>采购结果签订本合同。</w:t>
      </w:r>
    </w:p>
    <w:p w14:paraId="18733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outlineLvl w:val="1"/>
        <w:rPr>
          <w:rFonts w:hint="eastAsia" w:ascii="微软雅黑" w:hAnsi="微软雅黑" w:cs="微软雅黑"/>
          <w:b/>
          <w:color w:val="auto"/>
          <w:szCs w:val="21"/>
          <w:highlight w:val="none"/>
        </w:rPr>
      </w:pPr>
      <w:bookmarkStart w:id="182" w:name="_Toc26950"/>
      <w:bookmarkStart w:id="183" w:name="_Toc11184"/>
      <w:r>
        <w:rPr>
          <w:rFonts w:hint="eastAsia" w:ascii="微软雅黑" w:hAnsi="微软雅黑" w:cs="微软雅黑"/>
          <w:b/>
          <w:color w:val="auto"/>
          <w:szCs w:val="21"/>
          <w:highlight w:val="none"/>
        </w:rPr>
        <w:t>一、 合同组成</w:t>
      </w:r>
      <w:bookmarkEnd w:id="182"/>
      <w:bookmarkEnd w:id="183"/>
    </w:p>
    <w:p w14:paraId="7A1FD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本次采购活动的相关文件为本合同的组成部分，与本合同具有同等法律效力,这些文件包括但不限于：</w:t>
      </w:r>
    </w:p>
    <w:p w14:paraId="79DA6564">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1.甲方的采购文件与采购补充文件。</w:t>
      </w:r>
    </w:p>
    <w:p w14:paraId="40B9E0FB">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2.成交</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投标文件。</w:t>
      </w:r>
    </w:p>
    <w:p w14:paraId="1B2AE072">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3.答疑纪要和承诺书。</w:t>
      </w:r>
    </w:p>
    <w:p w14:paraId="3E75010D">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4.中标通知书。</w:t>
      </w:r>
    </w:p>
    <w:p w14:paraId="7DEE8300">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组成本合同的所有文件必须为书面形式。组成本合同的文件的优先顺序为：（1）本合同；（2）答疑纪要和承诺书；（3）甲方的采购文件与采购补充文件；（4）中标通知书；（5）成交</w:t>
      </w:r>
      <w:r>
        <w:rPr>
          <w:rFonts w:hint="eastAsia" w:ascii="微软雅黑" w:hAnsi="微软雅黑" w:cs="微软雅黑"/>
          <w:color w:val="auto"/>
          <w:szCs w:val="21"/>
          <w:highlight w:val="none"/>
          <w:lang w:eastAsia="zh-CN"/>
        </w:rPr>
        <w:t>投标人</w:t>
      </w:r>
      <w:r>
        <w:rPr>
          <w:rFonts w:hint="eastAsia" w:ascii="微软雅黑" w:hAnsi="微软雅黑" w:cs="微软雅黑"/>
          <w:color w:val="auto"/>
          <w:szCs w:val="21"/>
          <w:highlight w:val="none"/>
        </w:rPr>
        <w:t>投标文件。</w:t>
      </w:r>
    </w:p>
    <w:p w14:paraId="1C8EA575">
      <w:pPr>
        <w:pStyle w:val="29"/>
        <w:numPr>
          <w:ilvl w:val="0"/>
          <w:numId w:val="23"/>
        </w:numPr>
        <w:spacing w:line="460" w:lineRule="exact"/>
        <w:ind w:firstLineChars="0"/>
        <w:outlineLvl w:val="1"/>
        <w:rPr>
          <w:rFonts w:hint="eastAsia" w:ascii="微软雅黑" w:hAnsi="微软雅黑" w:cs="微软雅黑"/>
          <w:color w:val="auto"/>
          <w:szCs w:val="21"/>
          <w:highlight w:val="none"/>
        </w:rPr>
      </w:pPr>
      <w:bookmarkStart w:id="184" w:name="_Toc25714"/>
      <w:bookmarkStart w:id="185" w:name="_Toc5388"/>
      <w:r>
        <w:rPr>
          <w:rFonts w:hint="eastAsia" w:ascii="微软雅黑" w:hAnsi="微软雅黑" w:cs="微软雅黑"/>
          <w:color w:val="auto"/>
          <w:szCs w:val="21"/>
          <w:highlight w:val="none"/>
        </w:rPr>
        <w:t>合同标的</w:t>
      </w:r>
      <w:bookmarkEnd w:id="184"/>
      <w:bookmarkEnd w:id="185"/>
    </w:p>
    <w:p w14:paraId="5CC176ED">
      <w:pPr>
        <w:spacing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t>本次采购的是</w:t>
      </w:r>
      <w:r>
        <w:rPr>
          <w:rFonts w:hint="eastAsia" w:ascii="微软雅黑" w:hAnsi="微软雅黑" w:cs="微软雅黑"/>
          <w:color w:val="auto"/>
          <w:szCs w:val="21"/>
          <w:highlight w:val="none"/>
        </w:rPr>
        <w:t>秀洲区洪合镇圩区标准化创建及运维项目</w:t>
      </w:r>
    </w:p>
    <w:p w14:paraId="694F751A">
      <w:pPr>
        <w:pStyle w:val="3"/>
        <w:rPr>
          <w:rFonts w:hint="eastAsia"/>
          <w:color w:val="auto"/>
          <w:highlight w:val="none"/>
        </w:rPr>
      </w:pPr>
    </w:p>
    <w:p w14:paraId="3C5334F4">
      <w:pPr>
        <w:pStyle w:val="29"/>
        <w:spacing w:line="460" w:lineRule="exact"/>
        <w:ind w:firstLine="420"/>
        <w:outlineLvl w:val="1"/>
        <w:rPr>
          <w:rFonts w:hint="eastAsia" w:ascii="微软雅黑" w:hAnsi="微软雅黑" w:cs="微软雅黑"/>
          <w:color w:val="auto"/>
          <w:szCs w:val="21"/>
          <w:highlight w:val="none"/>
        </w:rPr>
      </w:pPr>
      <w:bookmarkStart w:id="186" w:name="_Toc2295"/>
      <w:bookmarkStart w:id="187" w:name="_Toc27933"/>
      <w:r>
        <w:rPr>
          <w:rFonts w:hint="eastAsia" w:ascii="微软雅黑" w:hAnsi="微软雅黑" w:cs="微软雅黑"/>
          <w:color w:val="auto"/>
          <w:szCs w:val="21"/>
          <w:highlight w:val="none"/>
        </w:rPr>
        <w:t>三、合同价款及付款方式</w:t>
      </w:r>
      <w:bookmarkEnd w:id="186"/>
      <w:bookmarkEnd w:id="187"/>
    </w:p>
    <w:p w14:paraId="04E5E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1、本合同项下总价款为（大写）人民币</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，小写：     万元。</w:t>
      </w:r>
    </w:p>
    <w:p w14:paraId="5D76E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2、服务期限：壹年，自</w:t>
      </w:r>
      <w:r>
        <w:rPr>
          <w:rFonts w:hint="eastAsia" w:ascii="微软雅黑" w:hAnsi="微软雅黑" w:cs="微软雅黑"/>
          <w:color w:val="auto"/>
          <w:kern w:val="0"/>
          <w:szCs w:val="21"/>
          <w:highlight w:val="none"/>
          <w:u w:val="single"/>
        </w:rPr>
        <w:t>20  年  月  日至20  年  月  日</w:t>
      </w:r>
      <w:r>
        <w:rPr>
          <w:rFonts w:hint="eastAsia" w:ascii="微软雅黑" w:hAnsi="微软雅黑" w:cs="微软雅黑"/>
          <w:color w:val="auto"/>
          <w:kern w:val="0"/>
          <w:szCs w:val="21"/>
          <w:highlight w:val="none"/>
        </w:rPr>
        <w:t>。（如合同期满考核满意，经双方协商一致，在经费不增加的情况下，可续签壹年）。</w:t>
      </w:r>
    </w:p>
    <w:p w14:paraId="16B85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3、本合同总价款包括所有服务、人员、货物设计、材料、制造、包装、运输、安装、调试、检测、售后服务、税费等全部费用。</w:t>
      </w:r>
    </w:p>
    <w:p w14:paraId="6787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4、本合同付款方式为以下第</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项：</w:t>
      </w:r>
    </w:p>
    <w:p w14:paraId="3558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（1）本合同项下的采购资金系甲方自行支付，付款程序为</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w:t>
      </w:r>
    </w:p>
    <w:p w14:paraId="43DC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（2）本合同项下的采购资金须财政直接支付，付款程序为</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w:t>
      </w:r>
    </w:p>
    <w:p w14:paraId="1AF8A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（3）其他方式：</w:t>
      </w:r>
    </w:p>
    <w:p w14:paraId="5F0E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5、本合同项下的采购资金付款进度按招投标文件规定，未规定时按以下第</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项支付：</w:t>
      </w:r>
    </w:p>
    <w:p w14:paraId="38007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（1）一次性付款：乙方合同履行达到</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（条件）时，一次性付款；</w:t>
      </w:r>
    </w:p>
    <w:p w14:paraId="2F840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（2）分期付款：乙方合同履行达到</w:t>
      </w:r>
      <w:r>
        <w:rPr>
          <w:rFonts w:hint="eastAsia" w:ascii="微软雅黑" w:hAnsi="微软雅黑" w:cs="微软雅黑"/>
          <w:color w:val="auto"/>
          <w:kern w:val="0"/>
          <w:szCs w:val="21"/>
          <w:highlight w:val="none"/>
          <w:u w:val="single"/>
        </w:rPr>
        <w:t xml:space="preserve"> 招标文件和甲方要求时，</w:t>
      </w:r>
      <w:r>
        <w:rPr>
          <w:rFonts w:hint="eastAsia" w:ascii="微软雅黑" w:hAnsi="微软雅黑" w:cs="微软雅黑"/>
          <w:color w:val="auto"/>
          <w:kern w:val="0"/>
          <w:szCs w:val="21"/>
          <w:highlight w:val="none"/>
        </w:rPr>
        <w:t>甲方</w:t>
      </w:r>
      <w:r>
        <w:rPr>
          <w:rFonts w:hint="eastAsia" w:ascii="微软雅黑" w:hAnsi="微软雅黑" w:cs="微软雅黑"/>
          <w:color w:val="auto"/>
          <w:kern w:val="0"/>
          <w:szCs w:val="21"/>
          <w:highlight w:val="none"/>
          <w:u w:val="single"/>
        </w:rPr>
        <w:t xml:space="preserve">按   </w:t>
      </w:r>
      <w:r>
        <w:rPr>
          <w:rFonts w:hint="eastAsia" w:ascii="微软雅黑" w:hAnsi="微软雅黑" w:cs="微软雅黑"/>
          <w:color w:val="auto"/>
          <w:kern w:val="0"/>
          <w:szCs w:val="21"/>
          <w:highlight w:val="none"/>
        </w:rPr>
        <w:t>进行支付，乙方凭有效发票、验收单等提交甲方进行支付流程。</w:t>
      </w:r>
    </w:p>
    <w:p w14:paraId="23EFE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若收取了履约保证金，则不应重复设置尾款支付条件。</w:t>
      </w:r>
    </w:p>
    <w:p w14:paraId="763D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outlineLvl w:val="1"/>
        <w:rPr>
          <w:rFonts w:hint="eastAsia" w:ascii="微软雅黑" w:hAnsi="微软雅黑" w:cs="微软雅黑"/>
          <w:b/>
          <w:color w:val="auto"/>
          <w:kern w:val="0"/>
          <w:szCs w:val="21"/>
          <w:highlight w:val="none"/>
        </w:rPr>
      </w:pPr>
      <w:bookmarkStart w:id="188" w:name="_Toc31854"/>
      <w:bookmarkStart w:id="189" w:name="_Toc9018"/>
      <w:r>
        <w:rPr>
          <w:rFonts w:hint="eastAsia" w:ascii="微软雅黑" w:hAnsi="微软雅黑" w:cs="微软雅黑"/>
          <w:b/>
          <w:color w:val="auto"/>
          <w:szCs w:val="21"/>
          <w:highlight w:val="none"/>
        </w:rPr>
        <w:t>四、</w:t>
      </w:r>
      <w:r>
        <w:rPr>
          <w:rFonts w:hint="eastAsia" w:ascii="微软雅黑" w:hAnsi="微软雅黑" w:cs="微软雅黑"/>
          <w:b/>
          <w:color w:val="auto"/>
          <w:kern w:val="0"/>
          <w:szCs w:val="21"/>
          <w:highlight w:val="none"/>
        </w:rPr>
        <w:t>履约保证金</w:t>
      </w:r>
      <w:bookmarkEnd w:id="188"/>
      <w:bookmarkEnd w:id="189"/>
    </w:p>
    <w:p w14:paraId="32682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b/>
          <w:color w:val="auto"/>
          <w:kern w:val="0"/>
          <w:szCs w:val="21"/>
          <w:highlight w:val="none"/>
        </w:rPr>
      </w:pPr>
      <w:r>
        <w:rPr>
          <w:rFonts w:hint="eastAsia" w:ascii="微软雅黑" w:hAnsi="微软雅黑" w:cs="微软雅黑"/>
          <w:color w:val="auto"/>
          <w:kern w:val="0"/>
          <w:szCs w:val="21"/>
          <w:highlight w:val="none"/>
        </w:rPr>
        <w:t>按以下第_________项处理：</w:t>
      </w:r>
    </w:p>
    <w:p w14:paraId="5CDD8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1、本项目设置履约保证金，乙方应于_________（时间）向甲方提交履约保证金_________元（不得高于本合同金额的1%）。履约保证金在_________（时间）退还乙方。</w:t>
      </w:r>
    </w:p>
    <w:p w14:paraId="64B46695">
      <w:pPr>
        <w:pStyle w:val="29"/>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2、本项目不设置履约保证金。</w:t>
      </w:r>
    </w:p>
    <w:p w14:paraId="53FEA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outlineLvl w:val="1"/>
        <w:rPr>
          <w:rFonts w:hint="eastAsia" w:ascii="微软雅黑" w:hAnsi="微软雅黑" w:cs="微软雅黑"/>
          <w:b/>
          <w:color w:val="auto"/>
          <w:kern w:val="0"/>
          <w:szCs w:val="21"/>
          <w:highlight w:val="none"/>
        </w:rPr>
      </w:pPr>
      <w:bookmarkStart w:id="190" w:name="_Toc19488"/>
      <w:bookmarkStart w:id="191" w:name="_Toc7978"/>
      <w:r>
        <w:rPr>
          <w:rFonts w:hint="eastAsia" w:ascii="微软雅黑" w:hAnsi="微软雅黑" w:cs="微软雅黑"/>
          <w:b/>
          <w:color w:val="auto"/>
          <w:szCs w:val="21"/>
          <w:highlight w:val="none"/>
        </w:rPr>
        <w:t>五、</w:t>
      </w:r>
      <w:r>
        <w:rPr>
          <w:rFonts w:hint="eastAsia" w:ascii="微软雅黑" w:hAnsi="微软雅黑" w:cs="微软雅黑"/>
          <w:b/>
          <w:color w:val="auto"/>
          <w:kern w:val="0"/>
          <w:szCs w:val="21"/>
          <w:highlight w:val="none"/>
        </w:rPr>
        <w:t>质量保证及售后服务</w:t>
      </w:r>
      <w:bookmarkEnd w:id="190"/>
      <w:bookmarkEnd w:id="191"/>
    </w:p>
    <w:p w14:paraId="5D77D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1、乙方按招标文件规定的时间和要求完成各项服务、考核。</w:t>
      </w:r>
    </w:p>
    <w:p w14:paraId="31FD9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b/>
          <w:color w:val="auto"/>
          <w:kern w:val="0"/>
          <w:szCs w:val="21"/>
          <w:highlight w:val="none"/>
        </w:rPr>
      </w:pPr>
      <w:r>
        <w:rPr>
          <w:rFonts w:hint="eastAsia" w:ascii="微软雅黑" w:hAnsi="微软雅黑" w:cs="微软雅黑"/>
          <w:color w:val="auto"/>
          <w:szCs w:val="21"/>
          <w:highlight w:val="none"/>
        </w:rPr>
        <w:t>2、甲方其他服务需求。</w:t>
      </w:r>
    </w:p>
    <w:p w14:paraId="34FD8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outlineLvl w:val="1"/>
        <w:rPr>
          <w:rFonts w:hint="eastAsia" w:ascii="微软雅黑" w:hAnsi="微软雅黑" w:cs="微软雅黑"/>
          <w:b/>
          <w:color w:val="auto"/>
          <w:kern w:val="0"/>
          <w:szCs w:val="21"/>
          <w:highlight w:val="none"/>
        </w:rPr>
      </w:pPr>
      <w:bookmarkStart w:id="192" w:name="_Toc22409"/>
      <w:bookmarkStart w:id="193" w:name="_Toc25764"/>
      <w:r>
        <w:rPr>
          <w:rFonts w:hint="eastAsia" w:ascii="微软雅黑" w:hAnsi="微软雅黑" w:cs="微软雅黑"/>
          <w:b/>
          <w:color w:val="auto"/>
          <w:szCs w:val="21"/>
          <w:highlight w:val="none"/>
        </w:rPr>
        <w:t>六、</w:t>
      </w:r>
      <w:r>
        <w:rPr>
          <w:rFonts w:hint="eastAsia" w:ascii="微软雅黑" w:hAnsi="微软雅黑" w:cs="微软雅黑"/>
          <w:b/>
          <w:color w:val="auto"/>
          <w:kern w:val="0"/>
          <w:szCs w:val="21"/>
          <w:highlight w:val="none"/>
        </w:rPr>
        <w:t>合同的变更和终止</w:t>
      </w:r>
      <w:bookmarkEnd w:id="192"/>
      <w:bookmarkEnd w:id="193"/>
    </w:p>
    <w:p w14:paraId="0BF59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除《政府采购法》第49条、第50条第二款规定的情形外，本合同一经签订，甲乙双方不得擅自终止合同或对合同实质性条款进行变更。确有特殊情况的，须经同级财政部门批准。</w:t>
      </w:r>
    </w:p>
    <w:p w14:paraId="1A8D2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outlineLvl w:val="1"/>
        <w:rPr>
          <w:rFonts w:hint="eastAsia" w:ascii="微软雅黑" w:hAnsi="微软雅黑" w:cs="微软雅黑"/>
          <w:b/>
          <w:color w:val="auto"/>
          <w:kern w:val="0"/>
          <w:szCs w:val="21"/>
          <w:highlight w:val="none"/>
        </w:rPr>
      </w:pPr>
      <w:bookmarkStart w:id="194" w:name="_Toc11139"/>
      <w:bookmarkStart w:id="195" w:name="_Toc23561"/>
      <w:r>
        <w:rPr>
          <w:rFonts w:hint="eastAsia" w:ascii="微软雅黑" w:hAnsi="微软雅黑" w:cs="微软雅黑"/>
          <w:b/>
          <w:color w:val="auto"/>
          <w:szCs w:val="21"/>
          <w:highlight w:val="none"/>
        </w:rPr>
        <w:t>七、</w:t>
      </w:r>
      <w:r>
        <w:rPr>
          <w:rFonts w:hint="eastAsia" w:ascii="微软雅黑" w:hAnsi="微软雅黑" w:cs="微软雅黑"/>
          <w:b/>
          <w:color w:val="auto"/>
          <w:kern w:val="0"/>
          <w:szCs w:val="21"/>
          <w:highlight w:val="none"/>
        </w:rPr>
        <w:t>合同的转让与分包</w:t>
      </w:r>
      <w:bookmarkEnd w:id="194"/>
      <w:bookmarkEnd w:id="195"/>
    </w:p>
    <w:p w14:paraId="5CADE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乙方不得擅自部分或全部转让其应履行的合同义务。乙方分包的，应经过甲方书面同意。</w:t>
      </w:r>
    </w:p>
    <w:p w14:paraId="4D2D0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outlineLvl w:val="1"/>
        <w:rPr>
          <w:rFonts w:hint="eastAsia" w:ascii="微软雅黑" w:hAnsi="微软雅黑" w:cs="微软雅黑"/>
          <w:b/>
          <w:color w:val="auto"/>
          <w:kern w:val="0"/>
          <w:szCs w:val="21"/>
          <w:highlight w:val="none"/>
        </w:rPr>
      </w:pPr>
      <w:bookmarkStart w:id="196" w:name="_Toc845"/>
      <w:bookmarkStart w:id="197" w:name="_Toc23521"/>
      <w:r>
        <w:rPr>
          <w:rFonts w:hint="eastAsia" w:ascii="微软雅黑" w:hAnsi="微软雅黑" w:cs="微软雅黑"/>
          <w:b/>
          <w:color w:val="auto"/>
          <w:szCs w:val="21"/>
          <w:highlight w:val="none"/>
        </w:rPr>
        <w:t>十、</w:t>
      </w:r>
      <w:r>
        <w:rPr>
          <w:rFonts w:hint="eastAsia" w:ascii="微软雅黑" w:hAnsi="微软雅黑" w:cs="微软雅黑"/>
          <w:b/>
          <w:color w:val="auto"/>
          <w:kern w:val="0"/>
          <w:szCs w:val="21"/>
          <w:highlight w:val="none"/>
        </w:rPr>
        <w:t>违约责任</w:t>
      </w:r>
      <w:bookmarkEnd w:id="196"/>
      <w:bookmarkEnd w:id="197"/>
    </w:p>
    <w:p w14:paraId="34C63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  除不可抗力外，如果乙方没有按照本合同约定的期限、地点和方式提供服务，那么甲方可要求乙方支付违约金，违约金按逾期提供服务总额每日 0.05  %计算，最高限额为本合同总价的 20  %；逾期提供服务的违约金计算数额达到前述最高限额之日起，甲方有权在要求乙方支付违约金的同时，书面通知乙方解除本合同；</w:t>
      </w:r>
    </w:p>
    <w:p w14:paraId="27CE6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2、除不可抗力外，如果甲方没有按照本合同约定的付款方式付款，那么乙方可要求甲方支付违约金，违约金按每迟延付款一日的应付而未付款的  0.05  %计算，最高限额为本合同总价的  20   %；迟延付款的违约金计算数额达到前述最高限额之日起，乙方有权在要求甲方支付违约金的同时，书面通知甲方解除本合同；</w:t>
      </w:r>
    </w:p>
    <w:p w14:paraId="6529E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0021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4F88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CEFB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szCs w:val="21"/>
          <w:highlight w:val="none"/>
        </w:rPr>
        <w:t>6、如果出现政府采购监督管理部门在处理投诉事项期间，书面通知甲方暂停采购活动的情形，或者询问或质疑事项可能影响中标结果的，导致甲方中止履行合同的情形，均不视为甲方违约。</w:t>
      </w:r>
    </w:p>
    <w:p w14:paraId="115DF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outlineLvl w:val="1"/>
        <w:rPr>
          <w:rFonts w:hint="eastAsia" w:ascii="微软雅黑" w:hAnsi="微软雅黑" w:cs="微软雅黑"/>
          <w:b/>
          <w:color w:val="auto"/>
          <w:kern w:val="0"/>
          <w:szCs w:val="21"/>
          <w:highlight w:val="none"/>
        </w:rPr>
      </w:pPr>
      <w:bookmarkStart w:id="198" w:name="_Toc30297"/>
      <w:bookmarkStart w:id="199" w:name="_Toc22805"/>
      <w:r>
        <w:rPr>
          <w:rFonts w:hint="eastAsia" w:ascii="微软雅黑" w:hAnsi="微软雅黑" w:cs="微软雅黑"/>
          <w:b/>
          <w:color w:val="auto"/>
          <w:szCs w:val="21"/>
          <w:highlight w:val="none"/>
        </w:rPr>
        <w:t>十一、</w:t>
      </w:r>
      <w:r>
        <w:rPr>
          <w:rFonts w:hint="eastAsia" w:ascii="微软雅黑" w:hAnsi="微软雅黑" w:cs="微软雅黑"/>
          <w:b/>
          <w:color w:val="auto"/>
          <w:kern w:val="0"/>
          <w:szCs w:val="21"/>
          <w:highlight w:val="none"/>
        </w:rPr>
        <w:t>不可抗力事件处理</w:t>
      </w:r>
      <w:bookmarkEnd w:id="198"/>
      <w:bookmarkEnd w:id="199"/>
    </w:p>
    <w:p w14:paraId="45BB4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1、在合同有效期内，任何一方因不可抗力事件导致不能履行合同的，合同履行期可延长，其延长期与不可抗力影响期相同。</w:t>
      </w:r>
    </w:p>
    <w:p w14:paraId="3ECAE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2、不可抗力事件发生后，应立即通知对方，并寄送有关权威机构出具的证明。</w:t>
      </w:r>
    </w:p>
    <w:p w14:paraId="540BF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3、不可抗力事件延续120天以上，双方应通过友好协商，确定是否继续履行合同。</w:t>
      </w:r>
    </w:p>
    <w:p w14:paraId="6D312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outlineLvl w:val="1"/>
        <w:rPr>
          <w:rFonts w:hint="eastAsia" w:ascii="微软雅黑" w:hAnsi="微软雅黑" w:cs="微软雅黑"/>
          <w:b/>
          <w:color w:val="auto"/>
          <w:kern w:val="0"/>
          <w:szCs w:val="21"/>
          <w:highlight w:val="none"/>
        </w:rPr>
      </w:pPr>
      <w:bookmarkStart w:id="200" w:name="_Toc28445"/>
      <w:bookmarkStart w:id="201" w:name="_Toc15612"/>
      <w:r>
        <w:rPr>
          <w:rFonts w:hint="eastAsia" w:ascii="微软雅黑" w:hAnsi="微软雅黑" w:cs="微软雅黑"/>
          <w:b/>
          <w:color w:val="auto"/>
          <w:szCs w:val="21"/>
          <w:highlight w:val="none"/>
        </w:rPr>
        <w:t>十二、</w:t>
      </w:r>
      <w:r>
        <w:rPr>
          <w:rFonts w:hint="eastAsia" w:ascii="微软雅黑" w:hAnsi="微软雅黑" w:cs="微软雅黑"/>
          <w:b/>
          <w:color w:val="auto"/>
          <w:kern w:val="0"/>
          <w:szCs w:val="21"/>
          <w:highlight w:val="none"/>
        </w:rPr>
        <w:t>争议的解决</w:t>
      </w:r>
      <w:bookmarkEnd w:id="200"/>
      <w:bookmarkEnd w:id="201"/>
    </w:p>
    <w:p w14:paraId="0D8E1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1、因履行本合同引起的或与本合同有关的争议，甲、乙双方应首先通过友好协商解决，如果协商不能解决争议，则采取以下第</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种方式解决争议：</w:t>
      </w:r>
    </w:p>
    <w:p w14:paraId="7E1F7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（1）向甲方所在地有管辖权的人民法院提起诉讼；</w:t>
      </w:r>
    </w:p>
    <w:p w14:paraId="18D73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（2）向</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仲裁委员申请仲裁。</w:t>
      </w:r>
    </w:p>
    <w:p w14:paraId="7A2955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outlineLvl w:val="1"/>
        <w:rPr>
          <w:rFonts w:hint="eastAsia" w:ascii="微软雅黑" w:hAnsi="微软雅黑" w:cs="微软雅黑"/>
          <w:b/>
          <w:color w:val="auto"/>
          <w:kern w:val="0"/>
          <w:szCs w:val="21"/>
          <w:highlight w:val="none"/>
        </w:rPr>
      </w:pPr>
      <w:bookmarkStart w:id="202" w:name="_Toc11118"/>
      <w:bookmarkStart w:id="203" w:name="_Toc10700"/>
      <w:r>
        <w:rPr>
          <w:rFonts w:hint="eastAsia" w:ascii="微软雅黑" w:hAnsi="微软雅黑" w:cs="微软雅黑"/>
          <w:b/>
          <w:color w:val="auto"/>
          <w:szCs w:val="21"/>
          <w:highlight w:val="none"/>
        </w:rPr>
        <w:t>十三、</w:t>
      </w:r>
      <w:r>
        <w:rPr>
          <w:rFonts w:hint="eastAsia" w:ascii="微软雅黑" w:hAnsi="微软雅黑" w:cs="微软雅黑"/>
          <w:b/>
          <w:color w:val="auto"/>
          <w:kern w:val="0"/>
          <w:szCs w:val="21"/>
          <w:highlight w:val="none"/>
        </w:rPr>
        <w:t>合同公告、合同生效及备案</w:t>
      </w:r>
      <w:bookmarkEnd w:id="202"/>
      <w:bookmarkEnd w:id="203"/>
    </w:p>
    <w:p w14:paraId="441EC0FC">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1、合同公告：本项目政府采购合同将于签订之日起2个工作日内发布于浙江政府采购网，但政府采购合同中涉及国家秘密、商业秘密的内容除外。</w:t>
      </w:r>
    </w:p>
    <w:p w14:paraId="4D5054BC">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2、合同经双方法定代表人或被授权人签字并加盖单位公章后生效。</w:t>
      </w:r>
    </w:p>
    <w:p w14:paraId="0487D83D">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3、合同执行中涉及采购资金和采购内容修改或补充的，须经财政部门审批，并签书面补充协议报政府部门备案，方可作为主合同不可分割的一部分。</w:t>
      </w:r>
    </w:p>
    <w:p w14:paraId="652FECA0">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4、本合同未尽事宜，遵照《民法典》有关条文执行。</w:t>
      </w:r>
    </w:p>
    <w:p w14:paraId="0546D20A">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5、本合同一式</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份，甲乙双方各执</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份。若执行政采贷，另加</w:t>
      </w:r>
      <w:r>
        <w:rPr>
          <w:rFonts w:hint="eastAsia" w:ascii="微软雅黑" w:hAnsi="微软雅黑" w:cs="微软雅黑"/>
          <w:color w:val="auto"/>
          <w:kern w:val="0"/>
          <w:szCs w:val="21"/>
          <w:highlight w:val="none"/>
          <w:u w:val="single"/>
        </w:rPr>
        <w:t xml:space="preserve"> 贰 </w:t>
      </w:r>
      <w:r>
        <w:rPr>
          <w:rFonts w:hint="eastAsia" w:ascii="微软雅黑" w:hAnsi="微软雅黑" w:cs="微软雅黑"/>
          <w:color w:val="auto"/>
          <w:kern w:val="0"/>
          <w:szCs w:val="21"/>
          <w:highlight w:val="none"/>
        </w:rPr>
        <w:t>份。</w:t>
      </w:r>
    </w:p>
    <w:p w14:paraId="4F834873">
      <w:pPr>
        <w:spacing w:line="460" w:lineRule="exact"/>
        <w:ind w:firstLine="420"/>
        <w:jc w:val="center"/>
        <w:rPr>
          <w:rFonts w:hint="eastAsia" w:ascii="微软雅黑" w:hAnsi="微软雅黑" w:cs="微软雅黑"/>
          <w:color w:val="auto"/>
          <w:szCs w:val="21"/>
          <w:highlight w:val="none"/>
        </w:rPr>
      </w:pPr>
    </w:p>
    <w:p w14:paraId="1D909C92">
      <w:pPr>
        <w:pStyle w:val="3"/>
        <w:keepNext w:val="0"/>
        <w:keepLines w:val="0"/>
        <w:spacing w:line="460" w:lineRule="exact"/>
        <w:ind w:firstLine="420"/>
        <w:rPr>
          <w:rFonts w:hint="eastAsia" w:ascii="微软雅黑" w:hAnsi="微软雅黑" w:cs="微软雅黑"/>
          <w:color w:val="auto"/>
          <w:sz w:val="21"/>
          <w:szCs w:val="21"/>
          <w:highlight w:val="none"/>
        </w:rPr>
      </w:pPr>
      <w:bookmarkStart w:id="204" w:name="_Toc31422"/>
      <w:bookmarkStart w:id="205" w:name="_Toc164943219"/>
      <w:bookmarkStart w:id="206" w:name="_Toc19350"/>
      <w:r>
        <w:rPr>
          <w:rFonts w:hint="eastAsia" w:ascii="微软雅黑" w:hAnsi="微软雅黑" w:cs="微软雅黑"/>
          <w:color w:val="auto"/>
          <w:sz w:val="21"/>
          <w:szCs w:val="21"/>
          <w:highlight w:val="none"/>
        </w:rPr>
        <w:t>二、特殊专用条款部分</w:t>
      </w:r>
      <w:bookmarkEnd w:id="204"/>
      <w:bookmarkEnd w:id="205"/>
      <w:bookmarkEnd w:id="206"/>
    </w:p>
    <w:p w14:paraId="72E92A24">
      <w:pPr>
        <w:pStyle w:val="29"/>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w:t>
      </w:r>
    </w:p>
    <w:p w14:paraId="5A863941">
      <w:pPr>
        <w:pStyle w:val="29"/>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甲方：                             乙方： </w:t>
      </w:r>
    </w:p>
    <w:p w14:paraId="774B1CF6">
      <w:pPr>
        <w:pStyle w:val="29"/>
        <w:spacing w:line="460" w:lineRule="exact"/>
        <w:ind w:firstLine="420"/>
        <w:rPr>
          <w:rFonts w:hint="eastAsia" w:ascii="微软雅黑" w:hAnsi="微软雅黑" w:cs="微软雅黑"/>
          <w:bCs/>
          <w:color w:val="auto"/>
          <w:szCs w:val="21"/>
          <w:highlight w:val="none"/>
        </w:rPr>
      </w:pPr>
      <w:r>
        <w:rPr>
          <w:rFonts w:hint="eastAsia" w:ascii="微软雅黑" w:hAnsi="微软雅黑" w:cs="微软雅黑"/>
          <w:color w:val="auto"/>
          <w:szCs w:val="21"/>
          <w:highlight w:val="none"/>
        </w:rPr>
        <w:t xml:space="preserve">地址：                             地址： </w:t>
      </w:r>
    </w:p>
    <w:p w14:paraId="65722064">
      <w:pPr>
        <w:pStyle w:val="29"/>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法定代表人或被授权人：             法定代表人或被授权人：</w:t>
      </w:r>
    </w:p>
    <w:p w14:paraId="18165E9C">
      <w:pPr>
        <w:pStyle w:val="29"/>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签订地点：                  </w:t>
      </w:r>
    </w:p>
    <w:p w14:paraId="25F2906E">
      <w:pPr>
        <w:pStyle w:val="29"/>
        <w:spacing w:line="460" w:lineRule="exact"/>
        <w:ind w:firstLine="420"/>
        <w:rPr>
          <w:rFonts w:hint="eastAsia" w:ascii="微软雅黑" w:hAnsi="微软雅黑" w:cs="微软雅黑"/>
          <w:color w:val="auto"/>
          <w:szCs w:val="21"/>
          <w:highlight w:val="none"/>
        </w:rPr>
        <w:sectPr>
          <w:headerReference r:id="rId24" w:type="first"/>
          <w:footerReference r:id="rId25" w:type="default"/>
          <w:headerReference r:id="rId23" w:type="even"/>
          <w:pgSz w:w="11906" w:h="16838"/>
          <w:pgMar w:top="1474" w:right="1797" w:bottom="1247" w:left="1797" w:header="851" w:footer="851" w:gutter="0"/>
          <w:cols w:space="720" w:num="1"/>
          <w:docGrid w:linePitch="312" w:charSpace="0"/>
        </w:sectPr>
      </w:pPr>
      <w:r>
        <w:rPr>
          <w:rFonts w:hint="eastAsia" w:ascii="微软雅黑" w:hAnsi="微软雅黑" w:cs="微软雅黑"/>
          <w:color w:val="auto"/>
          <w:szCs w:val="21"/>
          <w:highlight w:val="none"/>
        </w:rPr>
        <w:t>签订日期：      年  月  日</w:t>
      </w:r>
    </w:p>
    <w:tbl>
      <w:tblPr>
        <w:tblStyle w:val="53"/>
        <w:tblW w:w="8553" w:type="dxa"/>
        <w:tblInd w:w="250" w:type="dxa"/>
        <w:tblLayout w:type="fixed"/>
        <w:tblCellMar>
          <w:top w:w="0" w:type="dxa"/>
          <w:left w:w="108" w:type="dxa"/>
          <w:bottom w:w="0" w:type="dxa"/>
          <w:right w:w="108" w:type="dxa"/>
        </w:tblCellMar>
      </w:tblPr>
      <w:tblGrid>
        <w:gridCol w:w="2478"/>
        <w:gridCol w:w="2596"/>
        <w:gridCol w:w="686"/>
        <w:gridCol w:w="1186"/>
        <w:gridCol w:w="1607"/>
      </w:tblGrid>
      <w:tr w14:paraId="5FF27302">
        <w:tblPrEx>
          <w:tblCellMar>
            <w:top w:w="0" w:type="dxa"/>
            <w:left w:w="108" w:type="dxa"/>
            <w:bottom w:w="0" w:type="dxa"/>
            <w:right w:w="108" w:type="dxa"/>
          </w:tblCellMar>
        </w:tblPrEx>
        <w:trPr>
          <w:trHeight w:val="408" w:hRule="atLeast"/>
        </w:trPr>
        <w:tc>
          <w:tcPr>
            <w:tcW w:w="8553" w:type="dxa"/>
            <w:gridSpan w:val="5"/>
            <w:tcBorders>
              <w:top w:val="nil"/>
              <w:left w:val="nil"/>
              <w:bottom w:val="nil"/>
              <w:right w:val="nil"/>
            </w:tcBorders>
            <w:vAlign w:val="center"/>
          </w:tcPr>
          <w:p w14:paraId="59EAF6D6">
            <w:pPr>
              <w:pStyle w:val="3"/>
              <w:keepNext w:val="0"/>
              <w:keepLines w:val="0"/>
              <w:ind w:firstLine="420"/>
              <w:jc w:val="left"/>
              <w:rPr>
                <w:rFonts w:hint="eastAsia"/>
                <w:color w:val="auto"/>
                <w:szCs w:val="21"/>
                <w:highlight w:val="none"/>
              </w:rPr>
            </w:pPr>
            <w:bookmarkStart w:id="207" w:name="_Toc15058"/>
            <w:bookmarkStart w:id="208" w:name="_Toc29980"/>
            <w:bookmarkStart w:id="209" w:name="_Toc164943220"/>
            <w:r>
              <w:rPr>
                <w:rFonts w:hint="eastAsia"/>
                <w:color w:val="auto"/>
                <w:szCs w:val="21"/>
                <w:highlight w:val="none"/>
              </w:rPr>
              <w:t>合同附件</w:t>
            </w:r>
            <w:bookmarkEnd w:id="207"/>
            <w:bookmarkEnd w:id="208"/>
          </w:p>
          <w:p w14:paraId="77996BBB">
            <w:pPr>
              <w:pStyle w:val="3"/>
              <w:keepNext w:val="0"/>
              <w:keepLines w:val="0"/>
              <w:ind w:firstLine="420"/>
              <w:jc w:val="center"/>
              <w:rPr>
                <w:rFonts w:hint="eastAsia"/>
                <w:color w:val="auto"/>
                <w:szCs w:val="21"/>
                <w:highlight w:val="none"/>
              </w:rPr>
            </w:pPr>
            <w:bookmarkStart w:id="210" w:name="_Toc11729"/>
            <w:bookmarkStart w:id="211" w:name="_Toc1907"/>
            <w:r>
              <w:rPr>
                <w:color w:val="auto"/>
                <w:szCs w:val="21"/>
                <w:highlight w:val="none"/>
              </w:rPr>
              <w:t>政 府 采 购 项 目 验 收 单</w:t>
            </w:r>
            <w:bookmarkEnd w:id="209"/>
            <w:bookmarkEnd w:id="210"/>
            <w:bookmarkEnd w:id="211"/>
          </w:p>
        </w:tc>
      </w:tr>
      <w:tr w14:paraId="15F13668">
        <w:tblPrEx>
          <w:tblCellMar>
            <w:top w:w="0" w:type="dxa"/>
            <w:left w:w="108" w:type="dxa"/>
            <w:bottom w:w="0" w:type="dxa"/>
            <w:right w:w="108" w:type="dxa"/>
          </w:tblCellMar>
        </w:tblPrEx>
        <w:trPr>
          <w:trHeight w:val="316" w:hRule="atLeast"/>
        </w:trPr>
        <w:tc>
          <w:tcPr>
            <w:tcW w:w="8553" w:type="dxa"/>
            <w:gridSpan w:val="5"/>
            <w:tcBorders>
              <w:top w:val="nil"/>
              <w:left w:val="nil"/>
              <w:bottom w:val="nil"/>
              <w:right w:val="nil"/>
            </w:tcBorders>
            <w:vAlign w:val="center"/>
          </w:tcPr>
          <w:p w14:paraId="1CB4F319">
            <w:pPr>
              <w:spacing w:line="240" w:lineRule="auto"/>
              <w:ind w:firstLine="0" w:firstLineChars="0"/>
              <w:rPr>
                <w:color w:val="auto"/>
                <w:kern w:val="0"/>
                <w:szCs w:val="21"/>
                <w:highlight w:val="none"/>
              </w:rPr>
            </w:pPr>
            <w:r>
              <w:rPr>
                <w:color w:val="auto"/>
                <w:kern w:val="0"/>
                <w:szCs w:val="21"/>
                <w:highlight w:val="none"/>
              </w:rPr>
              <w:t>按照</w:t>
            </w:r>
            <w:r>
              <w:rPr>
                <w:rFonts w:hint="eastAsia"/>
                <w:color w:val="auto"/>
                <w:kern w:val="0"/>
                <w:szCs w:val="21"/>
                <w:highlight w:val="none"/>
              </w:rPr>
              <w:t>采购计划文号：</w:t>
            </w:r>
            <w:r>
              <w:rPr>
                <w:rFonts w:hint="eastAsia" w:ascii="宋体" w:hAnsi="宋体"/>
                <w:color w:val="auto"/>
                <w:kern w:val="0"/>
                <w:szCs w:val="21"/>
                <w:highlight w:val="none"/>
              </w:rPr>
              <w:t xml:space="preserve">      </w:t>
            </w:r>
            <w:r>
              <w:rPr>
                <w:color w:val="auto"/>
                <w:kern w:val="0"/>
                <w:szCs w:val="21"/>
                <w:highlight w:val="none"/>
              </w:rPr>
              <w:t>，</w:t>
            </w:r>
            <w:r>
              <w:rPr>
                <w:rFonts w:hint="eastAsia"/>
                <w:color w:val="auto"/>
                <w:kern w:val="0"/>
                <w:szCs w:val="21"/>
                <w:highlight w:val="none"/>
              </w:rPr>
              <w:t>项目编号</w:t>
            </w:r>
            <w:r>
              <w:rPr>
                <w:color w:val="auto"/>
                <w:kern w:val="0"/>
                <w:szCs w:val="21"/>
                <w:highlight w:val="none"/>
              </w:rPr>
              <w:t>：</w:t>
            </w:r>
            <w:r>
              <w:rPr>
                <w:rFonts w:hint="eastAsia"/>
                <w:color w:val="auto"/>
                <w:kern w:val="0"/>
                <w:szCs w:val="21"/>
                <w:highlight w:val="none"/>
              </w:rPr>
              <w:t xml:space="preserve">                                       </w:t>
            </w:r>
            <w:r>
              <w:rPr>
                <w:rFonts w:hint="eastAsia" w:ascii="宋体" w:hAnsi="宋体" w:eastAsia="宋体"/>
                <w:color w:val="auto"/>
                <w:kern w:val="0"/>
                <w:szCs w:val="21"/>
                <w:highlight w:val="none"/>
              </w:rPr>
              <w:t xml:space="preserve">,合同号：  </w:t>
            </w:r>
          </w:p>
        </w:tc>
      </w:tr>
      <w:tr w14:paraId="100358D5">
        <w:tblPrEx>
          <w:tblCellMar>
            <w:top w:w="0" w:type="dxa"/>
            <w:left w:w="108" w:type="dxa"/>
            <w:bottom w:w="0" w:type="dxa"/>
            <w:right w:w="108" w:type="dxa"/>
          </w:tblCellMar>
        </w:tblPrEx>
        <w:trPr>
          <w:trHeight w:val="316" w:hRule="atLeast"/>
        </w:trPr>
        <w:tc>
          <w:tcPr>
            <w:tcW w:w="8553" w:type="dxa"/>
            <w:gridSpan w:val="5"/>
            <w:tcBorders>
              <w:top w:val="nil"/>
              <w:left w:val="nil"/>
              <w:bottom w:val="nil"/>
              <w:right w:val="nil"/>
            </w:tcBorders>
            <w:vAlign w:val="center"/>
          </w:tcPr>
          <w:p w14:paraId="218F2C6C">
            <w:pPr>
              <w:spacing w:line="240" w:lineRule="auto"/>
              <w:ind w:firstLine="0" w:firstLineChars="0"/>
              <w:rPr>
                <w:color w:val="auto"/>
                <w:kern w:val="0"/>
                <w:szCs w:val="21"/>
                <w:highlight w:val="none"/>
              </w:rPr>
            </w:pPr>
            <w:r>
              <w:rPr>
                <w:color w:val="auto"/>
                <w:kern w:val="0"/>
                <w:szCs w:val="21"/>
                <w:highlight w:val="none"/>
              </w:rPr>
              <w:t>以下项目已采购到位并验收合格。</w:t>
            </w:r>
          </w:p>
        </w:tc>
      </w:tr>
      <w:tr w14:paraId="261DC03F">
        <w:tblPrEx>
          <w:tblCellMar>
            <w:top w:w="0" w:type="dxa"/>
            <w:left w:w="108" w:type="dxa"/>
            <w:bottom w:w="0" w:type="dxa"/>
            <w:right w:w="108" w:type="dxa"/>
          </w:tblCellMar>
        </w:tblPrEx>
        <w:trPr>
          <w:trHeight w:val="483" w:hRule="atLeast"/>
        </w:trPr>
        <w:tc>
          <w:tcPr>
            <w:tcW w:w="2478" w:type="dxa"/>
            <w:tcBorders>
              <w:top w:val="single" w:color="auto" w:sz="4" w:space="0"/>
              <w:left w:val="single" w:color="auto" w:sz="4" w:space="0"/>
              <w:bottom w:val="nil"/>
              <w:right w:val="single" w:color="auto" w:sz="4" w:space="0"/>
            </w:tcBorders>
            <w:vAlign w:val="center"/>
          </w:tcPr>
          <w:p w14:paraId="4DA0339E">
            <w:pPr>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服务名称</w:t>
            </w:r>
          </w:p>
        </w:tc>
        <w:tc>
          <w:tcPr>
            <w:tcW w:w="2596" w:type="dxa"/>
            <w:tcBorders>
              <w:top w:val="single" w:color="auto" w:sz="4" w:space="0"/>
              <w:left w:val="nil"/>
              <w:bottom w:val="nil"/>
              <w:right w:val="single" w:color="auto" w:sz="4" w:space="0"/>
            </w:tcBorders>
            <w:vAlign w:val="center"/>
          </w:tcPr>
          <w:p w14:paraId="734E76F6">
            <w:pPr>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服务内容</w:t>
            </w:r>
          </w:p>
        </w:tc>
        <w:tc>
          <w:tcPr>
            <w:tcW w:w="686" w:type="dxa"/>
            <w:tcBorders>
              <w:top w:val="single" w:color="auto" w:sz="4" w:space="0"/>
              <w:left w:val="nil"/>
              <w:bottom w:val="nil"/>
              <w:right w:val="single" w:color="auto" w:sz="4" w:space="0"/>
            </w:tcBorders>
            <w:vAlign w:val="center"/>
          </w:tcPr>
          <w:p w14:paraId="21EDE91F">
            <w:pPr>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数量</w:t>
            </w:r>
          </w:p>
        </w:tc>
        <w:tc>
          <w:tcPr>
            <w:tcW w:w="1186" w:type="dxa"/>
            <w:tcBorders>
              <w:top w:val="single" w:color="auto" w:sz="4" w:space="0"/>
              <w:left w:val="nil"/>
              <w:bottom w:val="nil"/>
              <w:right w:val="single" w:color="auto" w:sz="4" w:space="0"/>
            </w:tcBorders>
            <w:vAlign w:val="center"/>
          </w:tcPr>
          <w:p w14:paraId="3AD1270D">
            <w:pPr>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核定总价</w:t>
            </w:r>
          </w:p>
        </w:tc>
        <w:tc>
          <w:tcPr>
            <w:tcW w:w="1607" w:type="dxa"/>
            <w:tcBorders>
              <w:top w:val="single" w:color="auto" w:sz="4" w:space="0"/>
              <w:left w:val="nil"/>
              <w:bottom w:val="single" w:color="auto" w:sz="4" w:space="0"/>
              <w:right w:val="single" w:color="auto" w:sz="4" w:space="0"/>
            </w:tcBorders>
            <w:vAlign w:val="center"/>
          </w:tcPr>
          <w:p w14:paraId="487FEE0F">
            <w:pPr>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采购人</w:t>
            </w:r>
            <w:r>
              <w:rPr>
                <w:rFonts w:hint="eastAsia" w:ascii="微软雅黑" w:hAnsi="微软雅黑" w:cs="宋体"/>
                <w:color w:val="auto"/>
                <w:kern w:val="0"/>
                <w:szCs w:val="21"/>
                <w:highlight w:val="none"/>
              </w:rPr>
              <w:br w:type="textWrapping"/>
            </w:r>
            <w:r>
              <w:rPr>
                <w:rFonts w:hint="eastAsia" w:ascii="微软雅黑" w:hAnsi="微软雅黑" w:cs="宋体"/>
                <w:color w:val="auto"/>
                <w:kern w:val="0"/>
                <w:szCs w:val="21"/>
                <w:highlight w:val="none"/>
              </w:rPr>
              <w:t>验收意见</w:t>
            </w:r>
          </w:p>
        </w:tc>
      </w:tr>
      <w:tr w14:paraId="566D069D">
        <w:tblPrEx>
          <w:tblCellMar>
            <w:top w:w="0" w:type="dxa"/>
            <w:left w:w="108" w:type="dxa"/>
            <w:bottom w:w="0" w:type="dxa"/>
            <w:right w:w="108" w:type="dxa"/>
          </w:tblCellMar>
        </w:tblPrEx>
        <w:trPr>
          <w:trHeight w:val="393" w:hRule="atLeast"/>
        </w:trPr>
        <w:tc>
          <w:tcPr>
            <w:tcW w:w="2478" w:type="dxa"/>
            <w:tcBorders>
              <w:top w:val="single" w:color="auto" w:sz="4" w:space="0"/>
              <w:left w:val="single" w:color="auto" w:sz="4" w:space="0"/>
              <w:bottom w:val="single" w:color="auto" w:sz="4" w:space="0"/>
              <w:right w:val="single" w:color="auto" w:sz="4" w:space="0"/>
            </w:tcBorders>
            <w:vAlign w:val="center"/>
          </w:tcPr>
          <w:p w14:paraId="024877A6">
            <w:pPr>
              <w:spacing w:line="240" w:lineRule="auto"/>
              <w:ind w:firstLine="0" w:firstLineChars="0"/>
              <w:jc w:val="center"/>
              <w:rPr>
                <w:color w:val="auto"/>
                <w:kern w:val="0"/>
                <w:szCs w:val="21"/>
                <w:highlight w:val="none"/>
              </w:rPr>
            </w:pPr>
            <w:r>
              <w:rPr>
                <w:color w:val="auto"/>
                <w:kern w:val="0"/>
                <w:szCs w:val="21"/>
                <w:highlight w:val="none"/>
              </w:rPr>
              <w:t>　</w:t>
            </w:r>
          </w:p>
        </w:tc>
        <w:tc>
          <w:tcPr>
            <w:tcW w:w="2596" w:type="dxa"/>
            <w:tcBorders>
              <w:top w:val="single" w:color="auto" w:sz="4" w:space="0"/>
              <w:left w:val="nil"/>
              <w:bottom w:val="single" w:color="auto" w:sz="4" w:space="0"/>
              <w:right w:val="single" w:color="auto" w:sz="4" w:space="0"/>
            </w:tcBorders>
            <w:vAlign w:val="center"/>
          </w:tcPr>
          <w:p w14:paraId="62DAB9C4">
            <w:pPr>
              <w:spacing w:line="240" w:lineRule="auto"/>
              <w:ind w:firstLine="0" w:firstLineChars="0"/>
              <w:jc w:val="center"/>
              <w:rPr>
                <w:color w:val="auto"/>
                <w:kern w:val="0"/>
                <w:szCs w:val="21"/>
                <w:highlight w:val="none"/>
              </w:rPr>
            </w:pPr>
            <w:r>
              <w:rPr>
                <w:color w:val="auto"/>
                <w:kern w:val="0"/>
                <w:szCs w:val="21"/>
                <w:highlight w:val="none"/>
              </w:rPr>
              <w:t>　</w:t>
            </w:r>
          </w:p>
        </w:tc>
        <w:tc>
          <w:tcPr>
            <w:tcW w:w="686" w:type="dxa"/>
            <w:tcBorders>
              <w:top w:val="single" w:color="auto" w:sz="4" w:space="0"/>
              <w:left w:val="nil"/>
              <w:bottom w:val="single" w:color="auto" w:sz="4" w:space="0"/>
              <w:right w:val="single" w:color="auto" w:sz="4" w:space="0"/>
            </w:tcBorders>
            <w:vAlign w:val="center"/>
          </w:tcPr>
          <w:p w14:paraId="15482BF2">
            <w:pPr>
              <w:spacing w:line="240" w:lineRule="auto"/>
              <w:ind w:firstLine="0" w:firstLineChars="0"/>
              <w:jc w:val="center"/>
              <w:rPr>
                <w:color w:val="auto"/>
                <w:kern w:val="0"/>
                <w:szCs w:val="21"/>
                <w:highlight w:val="none"/>
              </w:rPr>
            </w:pPr>
            <w:r>
              <w:rPr>
                <w:color w:val="auto"/>
                <w:kern w:val="0"/>
                <w:szCs w:val="21"/>
                <w:highlight w:val="none"/>
              </w:rPr>
              <w:t>　</w:t>
            </w:r>
          </w:p>
        </w:tc>
        <w:tc>
          <w:tcPr>
            <w:tcW w:w="1186" w:type="dxa"/>
            <w:tcBorders>
              <w:top w:val="single" w:color="auto" w:sz="4" w:space="0"/>
              <w:left w:val="nil"/>
              <w:bottom w:val="single" w:color="auto" w:sz="4" w:space="0"/>
              <w:right w:val="single" w:color="auto" w:sz="4" w:space="0"/>
            </w:tcBorders>
            <w:vAlign w:val="center"/>
          </w:tcPr>
          <w:p w14:paraId="1DDF2955">
            <w:pPr>
              <w:spacing w:line="240" w:lineRule="auto"/>
              <w:ind w:firstLine="0" w:firstLineChars="0"/>
              <w:jc w:val="center"/>
              <w:rPr>
                <w:color w:val="auto"/>
                <w:kern w:val="0"/>
                <w:szCs w:val="21"/>
                <w:highlight w:val="none"/>
              </w:rPr>
            </w:pPr>
            <w:r>
              <w:rPr>
                <w:color w:val="auto"/>
                <w:kern w:val="0"/>
                <w:szCs w:val="21"/>
                <w:highlight w:val="none"/>
              </w:rPr>
              <w:t>　</w:t>
            </w:r>
          </w:p>
        </w:tc>
        <w:tc>
          <w:tcPr>
            <w:tcW w:w="1607" w:type="dxa"/>
            <w:tcBorders>
              <w:top w:val="nil"/>
              <w:left w:val="nil"/>
              <w:bottom w:val="single" w:color="auto" w:sz="4" w:space="0"/>
              <w:right w:val="single" w:color="auto" w:sz="4" w:space="0"/>
            </w:tcBorders>
            <w:vAlign w:val="bottom"/>
          </w:tcPr>
          <w:p w14:paraId="3C135E16">
            <w:pPr>
              <w:spacing w:line="240" w:lineRule="auto"/>
              <w:ind w:firstLine="0" w:firstLineChars="0"/>
              <w:rPr>
                <w:color w:val="auto"/>
                <w:kern w:val="0"/>
                <w:szCs w:val="21"/>
                <w:highlight w:val="none"/>
              </w:rPr>
            </w:pPr>
            <w:r>
              <w:rPr>
                <w:color w:val="auto"/>
                <w:kern w:val="0"/>
                <w:szCs w:val="21"/>
                <w:highlight w:val="none"/>
              </w:rPr>
              <w:t>　</w:t>
            </w:r>
          </w:p>
        </w:tc>
      </w:tr>
      <w:tr w14:paraId="16572E99">
        <w:tblPrEx>
          <w:tblCellMar>
            <w:top w:w="0" w:type="dxa"/>
            <w:left w:w="108" w:type="dxa"/>
            <w:bottom w:w="0" w:type="dxa"/>
            <w:right w:w="108" w:type="dxa"/>
          </w:tblCellMar>
        </w:tblPrEx>
        <w:trPr>
          <w:trHeight w:val="416" w:hRule="atLeast"/>
        </w:trPr>
        <w:tc>
          <w:tcPr>
            <w:tcW w:w="2478" w:type="dxa"/>
            <w:tcBorders>
              <w:top w:val="nil"/>
              <w:left w:val="single" w:color="auto" w:sz="4" w:space="0"/>
              <w:bottom w:val="single" w:color="auto" w:sz="4" w:space="0"/>
              <w:right w:val="single" w:color="auto" w:sz="4" w:space="0"/>
            </w:tcBorders>
            <w:vAlign w:val="center"/>
          </w:tcPr>
          <w:p w14:paraId="6945390F">
            <w:pPr>
              <w:spacing w:line="240" w:lineRule="auto"/>
              <w:ind w:firstLine="0" w:firstLineChars="0"/>
              <w:jc w:val="center"/>
              <w:rPr>
                <w:color w:val="auto"/>
                <w:kern w:val="0"/>
                <w:szCs w:val="21"/>
                <w:highlight w:val="none"/>
              </w:rPr>
            </w:pPr>
            <w:r>
              <w:rPr>
                <w:color w:val="auto"/>
                <w:kern w:val="0"/>
                <w:szCs w:val="21"/>
                <w:highlight w:val="none"/>
              </w:rPr>
              <w:t>合计总价款（人民币）</w:t>
            </w:r>
          </w:p>
        </w:tc>
        <w:tc>
          <w:tcPr>
            <w:tcW w:w="6075" w:type="dxa"/>
            <w:gridSpan w:val="4"/>
            <w:tcBorders>
              <w:top w:val="nil"/>
              <w:left w:val="nil"/>
              <w:bottom w:val="single" w:color="auto" w:sz="4" w:space="0"/>
              <w:right w:val="single" w:color="000000" w:sz="4" w:space="0"/>
            </w:tcBorders>
            <w:vAlign w:val="center"/>
          </w:tcPr>
          <w:p w14:paraId="490079E2">
            <w:pPr>
              <w:spacing w:line="240" w:lineRule="auto"/>
              <w:ind w:firstLine="0" w:firstLineChars="0"/>
              <w:rPr>
                <w:color w:val="auto"/>
                <w:kern w:val="0"/>
                <w:szCs w:val="21"/>
                <w:highlight w:val="none"/>
              </w:rPr>
            </w:pPr>
            <w:r>
              <w:rPr>
                <w:color w:val="auto"/>
                <w:kern w:val="0"/>
                <w:szCs w:val="21"/>
                <w:highlight w:val="none"/>
              </w:rPr>
              <w:t>人民币</w:t>
            </w:r>
            <w:r>
              <w:rPr>
                <w:color w:val="auto"/>
                <w:kern w:val="0"/>
                <w:szCs w:val="21"/>
                <w:highlight w:val="none"/>
                <w:u w:val="single"/>
              </w:rPr>
              <w:t xml:space="preserve">                 </w:t>
            </w:r>
            <w:r>
              <w:rPr>
                <w:color w:val="auto"/>
                <w:kern w:val="0"/>
                <w:szCs w:val="21"/>
                <w:highlight w:val="none"/>
              </w:rPr>
              <w:t xml:space="preserve">元整。       ￥: </w:t>
            </w:r>
            <w:r>
              <w:rPr>
                <w:color w:val="auto"/>
                <w:kern w:val="0"/>
                <w:szCs w:val="21"/>
                <w:highlight w:val="none"/>
                <w:u w:val="single"/>
              </w:rPr>
              <w:t xml:space="preserve">             </w:t>
            </w:r>
          </w:p>
        </w:tc>
      </w:tr>
      <w:tr w14:paraId="5A052E9C">
        <w:tblPrEx>
          <w:tblCellMar>
            <w:top w:w="0" w:type="dxa"/>
            <w:left w:w="108" w:type="dxa"/>
            <w:bottom w:w="0" w:type="dxa"/>
            <w:right w:w="108" w:type="dxa"/>
          </w:tblCellMar>
        </w:tblPrEx>
        <w:trPr>
          <w:trHeight w:val="383" w:hRule="atLeast"/>
        </w:trPr>
        <w:tc>
          <w:tcPr>
            <w:tcW w:w="2478" w:type="dxa"/>
            <w:tcBorders>
              <w:top w:val="nil"/>
              <w:left w:val="single" w:color="auto" w:sz="4" w:space="0"/>
              <w:bottom w:val="nil"/>
              <w:right w:val="nil"/>
            </w:tcBorders>
            <w:vAlign w:val="bottom"/>
          </w:tcPr>
          <w:p w14:paraId="1B59102C">
            <w:pPr>
              <w:spacing w:line="240" w:lineRule="auto"/>
              <w:ind w:firstLine="0" w:firstLineChars="0"/>
              <w:rPr>
                <w:color w:val="auto"/>
                <w:kern w:val="0"/>
                <w:szCs w:val="21"/>
                <w:highlight w:val="none"/>
              </w:rPr>
            </w:pPr>
            <w:r>
              <w:rPr>
                <w:color w:val="auto"/>
                <w:kern w:val="0"/>
                <w:szCs w:val="21"/>
                <w:highlight w:val="none"/>
              </w:rPr>
              <w:t xml:space="preserve">供货单位（盖章）：                     </w:t>
            </w:r>
          </w:p>
        </w:tc>
        <w:tc>
          <w:tcPr>
            <w:tcW w:w="2596" w:type="dxa"/>
            <w:tcBorders>
              <w:top w:val="nil"/>
              <w:left w:val="nil"/>
              <w:bottom w:val="nil"/>
              <w:right w:val="nil"/>
            </w:tcBorders>
            <w:vAlign w:val="center"/>
          </w:tcPr>
          <w:p w14:paraId="7C57917E">
            <w:pPr>
              <w:spacing w:line="240" w:lineRule="auto"/>
              <w:ind w:firstLine="0" w:firstLineChars="0"/>
              <w:jc w:val="right"/>
              <w:rPr>
                <w:color w:val="auto"/>
                <w:kern w:val="0"/>
                <w:szCs w:val="21"/>
                <w:highlight w:val="none"/>
              </w:rPr>
            </w:pPr>
            <w:r>
              <w:rPr>
                <w:color w:val="auto"/>
                <w:kern w:val="0"/>
                <w:szCs w:val="21"/>
                <w:highlight w:val="none"/>
              </w:rPr>
              <w:t>采购人（盖章）:</w:t>
            </w:r>
          </w:p>
        </w:tc>
        <w:tc>
          <w:tcPr>
            <w:tcW w:w="1872" w:type="dxa"/>
            <w:gridSpan w:val="2"/>
            <w:tcBorders>
              <w:top w:val="nil"/>
              <w:left w:val="nil"/>
              <w:bottom w:val="nil"/>
              <w:right w:val="nil"/>
            </w:tcBorders>
            <w:vAlign w:val="bottom"/>
          </w:tcPr>
          <w:p w14:paraId="0FBEFA5A">
            <w:pPr>
              <w:spacing w:line="240" w:lineRule="auto"/>
              <w:ind w:firstLine="0" w:firstLineChars="0"/>
              <w:rPr>
                <w:color w:val="auto"/>
                <w:kern w:val="0"/>
                <w:szCs w:val="21"/>
                <w:highlight w:val="none"/>
              </w:rPr>
            </w:pPr>
          </w:p>
        </w:tc>
        <w:tc>
          <w:tcPr>
            <w:tcW w:w="1607" w:type="dxa"/>
            <w:tcBorders>
              <w:top w:val="nil"/>
              <w:left w:val="nil"/>
              <w:bottom w:val="nil"/>
              <w:right w:val="single" w:color="auto" w:sz="4" w:space="0"/>
            </w:tcBorders>
            <w:vAlign w:val="bottom"/>
          </w:tcPr>
          <w:p w14:paraId="1510AD99">
            <w:pPr>
              <w:spacing w:line="240" w:lineRule="auto"/>
              <w:ind w:firstLine="0" w:firstLineChars="0"/>
              <w:rPr>
                <w:color w:val="auto"/>
                <w:kern w:val="0"/>
                <w:szCs w:val="21"/>
                <w:highlight w:val="none"/>
              </w:rPr>
            </w:pPr>
            <w:r>
              <w:rPr>
                <w:color w:val="auto"/>
                <w:kern w:val="0"/>
                <w:szCs w:val="21"/>
                <w:highlight w:val="none"/>
              </w:rPr>
              <w:t>　</w:t>
            </w:r>
          </w:p>
        </w:tc>
      </w:tr>
      <w:tr w14:paraId="6E8CA2E1">
        <w:tblPrEx>
          <w:tblCellMar>
            <w:top w:w="0" w:type="dxa"/>
            <w:left w:w="108" w:type="dxa"/>
            <w:bottom w:w="0" w:type="dxa"/>
            <w:right w:w="108" w:type="dxa"/>
          </w:tblCellMar>
        </w:tblPrEx>
        <w:trPr>
          <w:trHeight w:val="291" w:hRule="atLeast"/>
        </w:trPr>
        <w:tc>
          <w:tcPr>
            <w:tcW w:w="2478" w:type="dxa"/>
            <w:tcBorders>
              <w:top w:val="nil"/>
              <w:left w:val="single" w:color="auto" w:sz="4" w:space="0"/>
              <w:bottom w:val="nil"/>
              <w:right w:val="nil"/>
            </w:tcBorders>
            <w:vAlign w:val="bottom"/>
          </w:tcPr>
          <w:p w14:paraId="2D7ACCAB">
            <w:pPr>
              <w:spacing w:line="240" w:lineRule="auto"/>
              <w:ind w:firstLine="0" w:firstLineChars="0"/>
              <w:rPr>
                <w:color w:val="auto"/>
                <w:kern w:val="0"/>
                <w:szCs w:val="21"/>
                <w:highlight w:val="none"/>
              </w:rPr>
            </w:pPr>
            <w:r>
              <w:rPr>
                <w:color w:val="auto"/>
                <w:kern w:val="0"/>
                <w:szCs w:val="21"/>
                <w:highlight w:val="none"/>
              </w:rPr>
              <w:t>经办项目负责人：</w:t>
            </w:r>
          </w:p>
        </w:tc>
        <w:tc>
          <w:tcPr>
            <w:tcW w:w="2596" w:type="dxa"/>
            <w:tcBorders>
              <w:top w:val="nil"/>
              <w:left w:val="nil"/>
              <w:bottom w:val="nil"/>
              <w:right w:val="nil"/>
            </w:tcBorders>
            <w:vAlign w:val="center"/>
          </w:tcPr>
          <w:p w14:paraId="34F712DB">
            <w:pPr>
              <w:spacing w:line="240" w:lineRule="auto"/>
              <w:ind w:firstLine="0" w:firstLineChars="0"/>
              <w:jc w:val="right"/>
              <w:rPr>
                <w:color w:val="auto"/>
                <w:kern w:val="0"/>
                <w:szCs w:val="21"/>
                <w:highlight w:val="none"/>
              </w:rPr>
            </w:pPr>
            <w:r>
              <w:rPr>
                <w:color w:val="auto"/>
                <w:kern w:val="0"/>
                <w:szCs w:val="21"/>
                <w:highlight w:val="none"/>
              </w:rPr>
              <w:t>项目验收组组长：</w:t>
            </w:r>
          </w:p>
        </w:tc>
        <w:tc>
          <w:tcPr>
            <w:tcW w:w="1872" w:type="dxa"/>
            <w:gridSpan w:val="2"/>
            <w:tcBorders>
              <w:top w:val="nil"/>
              <w:left w:val="nil"/>
              <w:bottom w:val="nil"/>
              <w:right w:val="nil"/>
            </w:tcBorders>
            <w:vAlign w:val="bottom"/>
          </w:tcPr>
          <w:p w14:paraId="7854ADA6">
            <w:pPr>
              <w:spacing w:line="240" w:lineRule="auto"/>
              <w:ind w:firstLine="0" w:firstLineChars="0"/>
              <w:rPr>
                <w:color w:val="auto"/>
                <w:kern w:val="0"/>
                <w:szCs w:val="21"/>
                <w:highlight w:val="none"/>
              </w:rPr>
            </w:pPr>
          </w:p>
        </w:tc>
        <w:tc>
          <w:tcPr>
            <w:tcW w:w="1607" w:type="dxa"/>
            <w:tcBorders>
              <w:top w:val="nil"/>
              <w:left w:val="nil"/>
              <w:bottom w:val="nil"/>
              <w:right w:val="single" w:color="auto" w:sz="4" w:space="0"/>
            </w:tcBorders>
            <w:vAlign w:val="bottom"/>
          </w:tcPr>
          <w:p w14:paraId="75EF9716">
            <w:pPr>
              <w:spacing w:line="240" w:lineRule="auto"/>
              <w:ind w:firstLine="0" w:firstLineChars="0"/>
              <w:rPr>
                <w:color w:val="auto"/>
                <w:kern w:val="0"/>
                <w:szCs w:val="21"/>
                <w:highlight w:val="none"/>
              </w:rPr>
            </w:pPr>
            <w:r>
              <w:rPr>
                <w:color w:val="auto"/>
                <w:kern w:val="0"/>
                <w:szCs w:val="21"/>
                <w:highlight w:val="none"/>
              </w:rPr>
              <w:t>　</w:t>
            </w:r>
          </w:p>
        </w:tc>
      </w:tr>
      <w:tr w14:paraId="7EC6FF9C">
        <w:tblPrEx>
          <w:tblCellMar>
            <w:top w:w="0" w:type="dxa"/>
            <w:left w:w="108" w:type="dxa"/>
            <w:bottom w:w="0" w:type="dxa"/>
            <w:right w:w="108" w:type="dxa"/>
          </w:tblCellMar>
        </w:tblPrEx>
        <w:trPr>
          <w:trHeight w:val="291" w:hRule="atLeast"/>
        </w:trPr>
        <w:tc>
          <w:tcPr>
            <w:tcW w:w="2478" w:type="dxa"/>
            <w:tcBorders>
              <w:top w:val="nil"/>
              <w:left w:val="single" w:color="auto" w:sz="4" w:space="0"/>
              <w:bottom w:val="nil"/>
              <w:right w:val="nil"/>
            </w:tcBorders>
            <w:vAlign w:val="bottom"/>
          </w:tcPr>
          <w:p w14:paraId="4F2635A2">
            <w:pPr>
              <w:spacing w:line="240" w:lineRule="auto"/>
              <w:ind w:firstLine="0" w:firstLineChars="0"/>
              <w:rPr>
                <w:color w:val="auto"/>
                <w:kern w:val="0"/>
                <w:szCs w:val="21"/>
                <w:highlight w:val="none"/>
              </w:rPr>
            </w:pPr>
            <w:r>
              <w:rPr>
                <w:color w:val="auto"/>
                <w:kern w:val="0"/>
                <w:szCs w:val="21"/>
                <w:highlight w:val="none"/>
              </w:rPr>
              <w:t>联系电话：</w:t>
            </w:r>
          </w:p>
        </w:tc>
        <w:tc>
          <w:tcPr>
            <w:tcW w:w="2596" w:type="dxa"/>
            <w:tcBorders>
              <w:top w:val="nil"/>
              <w:left w:val="nil"/>
              <w:bottom w:val="nil"/>
              <w:right w:val="nil"/>
            </w:tcBorders>
            <w:vAlign w:val="center"/>
          </w:tcPr>
          <w:p w14:paraId="65815CDF">
            <w:pPr>
              <w:spacing w:line="240" w:lineRule="auto"/>
              <w:ind w:firstLine="0" w:firstLineChars="0"/>
              <w:jc w:val="right"/>
              <w:rPr>
                <w:color w:val="auto"/>
                <w:kern w:val="0"/>
                <w:szCs w:val="21"/>
                <w:highlight w:val="none"/>
              </w:rPr>
            </w:pPr>
            <w:r>
              <w:rPr>
                <w:color w:val="auto"/>
                <w:kern w:val="0"/>
                <w:szCs w:val="21"/>
                <w:highlight w:val="none"/>
              </w:rPr>
              <w:t>联系电话：</w:t>
            </w:r>
          </w:p>
        </w:tc>
        <w:tc>
          <w:tcPr>
            <w:tcW w:w="686" w:type="dxa"/>
            <w:tcBorders>
              <w:top w:val="nil"/>
              <w:left w:val="nil"/>
              <w:bottom w:val="nil"/>
              <w:right w:val="nil"/>
            </w:tcBorders>
            <w:vAlign w:val="bottom"/>
          </w:tcPr>
          <w:p w14:paraId="2FA4267C">
            <w:pPr>
              <w:spacing w:line="240" w:lineRule="auto"/>
              <w:ind w:firstLine="0" w:firstLineChars="0"/>
              <w:rPr>
                <w:color w:val="auto"/>
                <w:kern w:val="0"/>
                <w:szCs w:val="21"/>
                <w:highlight w:val="none"/>
              </w:rPr>
            </w:pPr>
          </w:p>
        </w:tc>
        <w:tc>
          <w:tcPr>
            <w:tcW w:w="1186" w:type="dxa"/>
            <w:tcBorders>
              <w:top w:val="nil"/>
              <w:left w:val="nil"/>
              <w:bottom w:val="nil"/>
              <w:right w:val="nil"/>
            </w:tcBorders>
            <w:vAlign w:val="bottom"/>
          </w:tcPr>
          <w:p w14:paraId="59E23B1C">
            <w:pPr>
              <w:spacing w:line="240" w:lineRule="auto"/>
              <w:ind w:firstLine="0" w:firstLineChars="0"/>
              <w:rPr>
                <w:color w:val="auto"/>
                <w:kern w:val="0"/>
                <w:szCs w:val="21"/>
                <w:highlight w:val="none"/>
              </w:rPr>
            </w:pPr>
          </w:p>
        </w:tc>
        <w:tc>
          <w:tcPr>
            <w:tcW w:w="1607" w:type="dxa"/>
            <w:tcBorders>
              <w:top w:val="nil"/>
              <w:left w:val="nil"/>
              <w:bottom w:val="nil"/>
              <w:right w:val="single" w:color="auto" w:sz="4" w:space="0"/>
            </w:tcBorders>
            <w:vAlign w:val="bottom"/>
          </w:tcPr>
          <w:p w14:paraId="49E35D52">
            <w:pPr>
              <w:spacing w:line="240" w:lineRule="auto"/>
              <w:ind w:firstLine="0" w:firstLineChars="0"/>
              <w:rPr>
                <w:color w:val="auto"/>
                <w:kern w:val="0"/>
                <w:szCs w:val="21"/>
                <w:highlight w:val="none"/>
              </w:rPr>
            </w:pPr>
            <w:r>
              <w:rPr>
                <w:color w:val="auto"/>
                <w:kern w:val="0"/>
                <w:szCs w:val="21"/>
                <w:highlight w:val="none"/>
              </w:rPr>
              <w:t>　</w:t>
            </w:r>
          </w:p>
        </w:tc>
      </w:tr>
      <w:tr w14:paraId="36952A61">
        <w:tblPrEx>
          <w:tblCellMar>
            <w:top w:w="0" w:type="dxa"/>
            <w:left w:w="108" w:type="dxa"/>
            <w:bottom w:w="0" w:type="dxa"/>
            <w:right w:w="108" w:type="dxa"/>
          </w:tblCellMar>
        </w:tblPrEx>
        <w:trPr>
          <w:trHeight w:val="299" w:hRule="atLeast"/>
        </w:trPr>
        <w:tc>
          <w:tcPr>
            <w:tcW w:w="2478" w:type="dxa"/>
            <w:tcBorders>
              <w:top w:val="nil"/>
              <w:left w:val="single" w:color="auto" w:sz="4" w:space="0"/>
              <w:bottom w:val="nil"/>
              <w:right w:val="nil"/>
            </w:tcBorders>
            <w:vAlign w:val="bottom"/>
          </w:tcPr>
          <w:p w14:paraId="13CE4E3A">
            <w:pPr>
              <w:spacing w:line="240" w:lineRule="auto"/>
              <w:ind w:firstLine="0" w:firstLineChars="0"/>
              <w:rPr>
                <w:color w:val="auto"/>
                <w:kern w:val="0"/>
                <w:szCs w:val="21"/>
                <w:highlight w:val="none"/>
              </w:rPr>
            </w:pPr>
            <w:r>
              <w:rPr>
                <w:color w:val="auto"/>
                <w:kern w:val="0"/>
                <w:szCs w:val="21"/>
                <w:highlight w:val="none"/>
              </w:rPr>
              <w:t>开户银行：</w:t>
            </w:r>
          </w:p>
        </w:tc>
        <w:tc>
          <w:tcPr>
            <w:tcW w:w="2596" w:type="dxa"/>
            <w:tcBorders>
              <w:top w:val="nil"/>
              <w:left w:val="nil"/>
              <w:bottom w:val="nil"/>
              <w:right w:val="nil"/>
            </w:tcBorders>
            <w:vAlign w:val="center"/>
          </w:tcPr>
          <w:p w14:paraId="1999A7FF">
            <w:pPr>
              <w:spacing w:line="240" w:lineRule="auto"/>
              <w:ind w:firstLine="0" w:firstLineChars="0"/>
              <w:jc w:val="right"/>
              <w:rPr>
                <w:color w:val="auto"/>
                <w:kern w:val="0"/>
                <w:szCs w:val="21"/>
                <w:highlight w:val="none"/>
              </w:rPr>
            </w:pPr>
            <w:r>
              <w:rPr>
                <w:color w:val="auto"/>
                <w:kern w:val="0"/>
                <w:szCs w:val="21"/>
                <w:highlight w:val="none"/>
              </w:rPr>
              <w:t>项目验收组成员（签名）：</w:t>
            </w:r>
          </w:p>
        </w:tc>
        <w:tc>
          <w:tcPr>
            <w:tcW w:w="686" w:type="dxa"/>
            <w:tcBorders>
              <w:top w:val="nil"/>
              <w:left w:val="nil"/>
              <w:bottom w:val="nil"/>
              <w:right w:val="nil"/>
            </w:tcBorders>
            <w:vAlign w:val="bottom"/>
          </w:tcPr>
          <w:p w14:paraId="155F0E60">
            <w:pPr>
              <w:spacing w:line="240" w:lineRule="auto"/>
              <w:ind w:firstLine="0" w:firstLineChars="0"/>
              <w:rPr>
                <w:color w:val="auto"/>
                <w:kern w:val="0"/>
                <w:szCs w:val="21"/>
                <w:highlight w:val="none"/>
              </w:rPr>
            </w:pPr>
          </w:p>
        </w:tc>
        <w:tc>
          <w:tcPr>
            <w:tcW w:w="1186" w:type="dxa"/>
            <w:tcBorders>
              <w:top w:val="nil"/>
              <w:left w:val="nil"/>
              <w:bottom w:val="nil"/>
              <w:right w:val="nil"/>
            </w:tcBorders>
            <w:vAlign w:val="bottom"/>
          </w:tcPr>
          <w:p w14:paraId="568324CC">
            <w:pPr>
              <w:spacing w:line="240" w:lineRule="auto"/>
              <w:ind w:firstLine="0" w:firstLineChars="0"/>
              <w:rPr>
                <w:color w:val="auto"/>
                <w:kern w:val="0"/>
                <w:szCs w:val="21"/>
                <w:highlight w:val="none"/>
              </w:rPr>
            </w:pPr>
          </w:p>
        </w:tc>
        <w:tc>
          <w:tcPr>
            <w:tcW w:w="1607" w:type="dxa"/>
            <w:tcBorders>
              <w:top w:val="nil"/>
              <w:left w:val="nil"/>
              <w:bottom w:val="nil"/>
              <w:right w:val="single" w:color="auto" w:sz="4" w:space="0"/>
            </w:tcBorders>
            <w:vAlign w:val="bottom"/>
          </w:tcPr>
          <w:p w14:paraId="2060036E">
            <w:pPr>
              <w:spacing w:line="240" w:lineRule="auto"/>
              <w:ind w:firstLine="0" w:firstLineChars="0"/>
              <w:rPr>
                <w:color w:val="auto"/>
                <w:kern w:val="0"/>
                <w:szCs w:val="21"/>
                <w:highlight w:val="none"/>
              </w:rPr>
            </w:pPr>
            <w:r>
              <w:rPr>
                <w:color w:val="auto"/>
                <w:kern w:val="0"/>
                <w:szCs w:val="21"/>
                <w:highlight w:val="none"/>
              </w:rPr>
              <w:t>　</w:t>
            </w:r>
          </w:p>
        </w:tc>
      </w:tr>
      <w:tr w14:paraId="6897661F">
        <w:tblPrEx>
          <w:tblCellMar>
            <w:top w:w="0" w:type="dxa"/>
            <w:left w:w="108" w:type="dxa"/>
            <w:bottom w:w="0" w:type="dxa"/>
            <w:right w:w="108" w:type="dxa"/>
          </w:tblCellMar>
        </w:tblPrEx>
        <w:trPr>
          <w:trHeight w:val="375" w:hRule="atLeast"/>
        </w:trPr>
        <w:tc>
          <w:tcPr>
            <w:tcW w:w="2478" w:type="dxa"/>
            <w:tcBorders>
              <w:top w:val="nil"/>
              <w:left w:val="single" w:color="auto" w:sz="4" w:space="0"/>
              <w:bottom w:val="single" w:color="auto" w:sz="4" w:space="0"/>
              <w:right w:val="nil"/>
            </w:tcBorders>
            <w:vAlign w:val="center"/>
          </w:tcPr>
          <w:p w14:paraId="48090426">
            <w:pPr>
              <w:spacing w:line="240" w:lineRule="auto"/>
              <w:ind w:firstLine="0" w:firstLineChars="0"/>
              <w:rPr>
                <w:color w:val="auto"/>
                <w:kern w:val="0"/>
                <w:szCs w:val="21"/>
                <w:highlight w:val="none"/>
              </w:rPr>
            </w:pPr>
            <w:r>
              <w:rPr>
                <w:color w:val="auto"/>
                <w:kern w:val="0"/>
                <w:szCs w:val="21"/>
                <w:highlight w:val="none"/>
              </w:rPr>
              <w:t>银行帐号：</w:t>
            </w:r>
          </w:p>
        </w:tc>
        <w:tc>
          <w:tcPr>
            <w:tcW w:w="2596" w:type="dxa"/>
            <w:tcBorders>
              <w:top w:val="nil"/>
              <w:left w:val="nil"/>
              <w:bottom w:val="single" w:color="auto" w:sz="4" w:space="0"/>
              <w:right w:val="nil"/>
            </w:tcBorders>
            <w:vAlign w:val="bottom"/>
          </w:tcPr>
          <w:p w14:paraId="5D6C6919">
            <w:pPr>
              <w:spacing w:line="240" w:lineRule="auto"/>
              <w:ind w:firstLine="0" w:firstLineChars="0"/>
              <w:rPr>
                <w:color w:val="auto"/>
                <w:kern w:val="0"/>
                <w:szCs w:val="21"/>
                <w:highlight w:val="none"/>
              </w:rPr>
            </w:pPr>
            <w:r>
              <w:rPr>
                <w:color w:val="auto"/>
                <w:kern w:val="0"/>
                <w:szCs w:val="21"/>
                <w:highlight w:val="none"/>
              </w:rPr>
              <w:t>　</w:t>
            </w:r>
          </w:p>
        </w:tc>
        <w:tc>
          <w:tcPr>
            <w:tcW w:w="3479" w:type="dxa"/>
            <w:gridSpan w:val="3"/>
            <w:tcBorders>
              <w:top w:val="nil"/>
              <w:left w:val="nil"/>
              <w:bottom w:val="single" w:color="auto" w:sz="4" w:space="0"/>
              <w:right w:val="single" w:color="000000" w:sz="4" w:space="0"/>
            </w:tcBorders>
            <w:vAlign w:val="center"/>
          </w:tcPr>
          <w:p w14:paraId="0CAA6D4C">
            <w:pPr>
              <w:spacing w:line="240" w:lineRule="auto"/>
              <w:ind w:firstLine="0" w:firstLineChars="0"/>
              <w:rPr>
                <w:color w:val="auto"/>
                <w:kern w:val="0"/>
                <w:szCs w:val="21"/>
                <w:highlight w:val="none"/>
              </w:rPr>
            </w:pPr>
            <w:r>
              <w:rPr>
                <w:color w:val="auto"/>
                <w:kern w:val="0"/>
                <w:szCs w:val="21"/>
                <w:highlight w:val="none"/>
              </w:rPr>
              <w:t>验收时间：       年     月     日</w:t>
            </w:r>
          </w:p>
        </w:tc>
      </w:tr>
      <w:tr w14:paraId="77491619">
        <w:tblPrEx>
          <w:tblCellMar>
            <w:top w:w="0" w:type="dxa"/>
            <w:left w:w="108" w:type="dxa"/>
            <w:bottom w:w="0" w:type="dxa"/>
            <w:right w:w="108" w:type="dxa"/>
          </w:tblCellMar>
        </w:tblPrEx>
        <w:trPr>
          <w:trHeight w:val="191" w:hRule="atLeast"/>
        </w:trPr>
        <w:tc>
          <w:tcPr>
            <w:tcW w:w="8553" w:type="dxa"/>
            <w:gridSpan w:val="5"/>
            <w:tcBorders>
              <w:top w:val="single" w:color="auto" w:sz="4" w:space="0"/>
              <w:left w:val="nil"/>
              <w:bottom w:val="nil"/>
              <w:right w:val="nil"/>
            </w:tcBorders>
            <w:vAlign w:val="center"/>
          </w:tcPr>
          <w:p w14:paraId="19C7A1CF">
            <w:pPr>
              <w:spacing w:line="240" w:lineRule="auto"/>
              <w:ind w:firstLine="0" w:firstLineChars="0"/>
              <w:rPr>
                <w:color w:val="auto"/>
                <w:kern w:val="0"/>
                <w:szCs w:val="21"/>
                <w:highlight w:val="none"/>
              </w:rPr>
            </w:pPr>
            <w:r>
              <w:rPr>
                <w:color w:val="auto"/>
                <w:kern w:val="0"/>
                <w:szCs w:val="21"/>
                <w:highlight w:val="none"/>
              </w:rPr>
              <w:t>本单一式四联：第一联采购人留存，第二联作为财政支付凭证，第三联供货单位留存。</w:t>
            </w:r>
          </w:p>
        </w:tc>
      </w:tr>
    </w:tbl>
    <w:p w14:paraId="7518C05C">
      <w:pPr>
        <w:pStyle w:val="29"/>
        <w:ind w:firstLine="420"/>
        <w:rPr>
          <w:color w:val="auto"/>
          <w:highlight w:val="none"/>
        </w:rPr>
      </w:pPr>
      <w:r>
        <w:rPr>
          <w:rFonts w:hint="eastAsia" w:hAnsi="宋体"/>
          <w:color w:val="auto"/>
          <w:highlight w:val="none"/>
        </w:rPr>
        <w:t xml:space="preserve"> </w:t>
      </w:r>
      <w:bookmarkEnd w:id="181"/>
      <w:r>
        <w:rPr>
          <w:color w:val="auto"/>
          <w:highlight w:val="none"/>
        </w:rPr>
        <w:br w:type="page"/>
      </w:r>
    </w:p>
    <w:p w14:paraId="00F6B5B9">
      <w:pPr>
        <w:pStyle w:val="2"/>
        <w:keepNext w:val="0"/>
        <w:keepLines w:val="0"/>
        <w:numPr>
          <w:ilvl w:val="0"/>
          <w:numId w:val="22"/>
        </w:numPr>
        <w:rPr>
          <w:rStyle w:val="64"/>
          <w:b/>
          <w:bCs/>
          <w:color w:val="auto"/>
          <w:highlight w:val="none"/>
        </w:rPr>
        <w:sectPr>
          <w:pgSz w:w="11906" w:h="16838"/>
          <w:pgMar w:top="1474" w:right="1797" w:bottom="1247" w:left="1797" w:header="851" w:footer="851" w:gutter="0"/>
          <w:cols w:space="720" w:num="1"/>
          <w:docGrid w:linePitch="312" w:charSpace="0"/>
        </w:sectPr>
      </w:pPr>
    </w:p>
    <w:p w14:paraId="0CB65D8F">
      <w:pPr>
        <w:pStyle w:val="2"/>
        <w:keepNext w:val="0"/>
        <w:keepLines w:val="0"/>
        <w:numPr>
          <w:ilvl w:val="0"/>
          <w:numId w:val="3"/>
        </w:numPr>
        <w:rPr>
          <w:rStyle w:val="64"/>
          <w:b/>
          <w:bCs/>
          <w:color w:val="auto"/>
          <w:highlight w:val="none"/>
        </w:rPr>
      </w:pPr>
      <w:bookmarkStart w:id="212" w:name="_Toc177"/>
      <w:r>
        <w:rPr>
          <w:rStyle w:val="64"/>
          <w:rFonts w:hint="eastAsia"/>
          <w:b/>
          <w:bCs/>
          <w:color w:val="auto"/>
          <w:highlight w:val="none"/>
        </w:rPr>
        <w:t>投标文件相关格式</w:t>
      </w:r>
      <w:bookmarkEnd w:id="174"/>
      <w:bookmarkEnd w:id="175"/>
      <w:bookmarkEnd w:id="212"/>
      <w:bookmarkStart w:id="213" w:name="_Toc430786287"/>
    </w:p>
    <w:bookmarkEnd w:id="213"/>
    <w:p w14:paraId="1689EB6F">
      <w:pPr>
        <w:pStyle w:val="3"/>
        <w:keepNext w:val="0"/>
        <w:keepLines w:val="0"/>
        <w:ind w:firstLine="420"/>
        <w:rPr>
          <w:rFonts w:hint="eastAsia" w:ascii="微软雅黑" w:hAnsi="微软雅黑" w:cs="仿宋_GB2312"/>
          <w:color w:val="auto"/>
          <w:szCs w:val="21"/>
          <w:highlight w:val="none"/>
        </w:rPr>
      </w:pPr>
      <w:bookmarkStart w:id="214" w:name="_Toc7675"/>
      <w:bookmarkStart w:id="215" w:name="_Toc28874"/>
      <w:bookmarkStart w:id="216" w:name="_Toc169015146"/>
      <w:r>
        <w:rPr>
          <w:rFonts w:hint="eastAsia" w:ascii="微软雅黑" w:hAnsi="微软雅黑" w:cs="仿宋_GB2312"/>
          <w:color w:val="auto"/>
          <w:szCs w:val="21"/>
          <w:highlight w:val="none"/>
        </w:rPr>
        <w:t>资格文件部分</w:t>
      </w:r>
      <w:bookmarkEnd w:id="214"/>
      <w:bookmarkEnd w:id="215"/>
      <w:bookmarkEnd w:id="216"/>
    </w:p>
    <w:p w14:paraId="02D8C84D">
      <w:pPr>
        <w:ind w:firstLine="420"/>
        <w:jc w:val="center"/>
        <w:outlineLvl w:val="0"/>
        <w:rPr>
          <w:rFonts w:hint="eastAsia" w:ascii="微软雅黑" w:hAnsi="微软雅黑" w:cs="仿宋_GB2312"/>
          <w:b/>
          <w:color w:val="auto"/>
          <w:kern w:val="0"/>
          <w:szCs w:val="21"/>
          <w:highlight w:val="none"/>
        </w:rPr>
      </w:pPr>
      <w:bookmarkStart w:id="217" w:name="_Toc24210"/>
      <w:bookmarkStart w:id="218" w:name="_Toc169015147"/>
      <w:bookmarkStart w:id="219" w:name="_Toc3279"/>
      <w:bookmarkStart w:id="220" w:name="_Toc164943223"/>
      <w:bookmarkStart w:id="221" w:name="_Toc2384"/>
      <w:r>
        <w:rPr>
          <w:rFonts w:hint="eastAsia" w:ascii="微软雅黑" w:hAnsi="微软雅黑" w:cs="仿宋_GB2312"/>
          <w:b/>
          <w:color w:val="auto"/>
          <w:kern w:val="0"/>
          <w:szCs w:val="21"/>
          <w:highlight w:val="none"/>
        </w:rPr>
        <w:t>目录</w:t>
      </w:r>
      <w:bookmarkEnd w:id="217"/>
      <w:bookmarkEnd w:id="218"/>
      <w:bookmarkEnd w:id="219"/>
      <w:bookmarkEnd w:id="220"/>
      <w:bookmarkEnd w:id="221"/>
    </w:p>
    <w:p w14:paraId="4CF8A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（1）符合参加政府采购活动应当具备的一般条件的承诺函……………（页码）</w:t>
      </w:r>
    </w:p>
    <w:p w14:paraId="34CFA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（2）落实政府采购政策需满足的资格要求………………………………（页码）</w:t>
      </w:r>
    </w:p>
    <w:p w14:paraId="25472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（3）企业法人营业执照副本复印件………………………………（页码）</w:t>
      </w:r>
    </w:p>
    <w:p w14:paraId="0F03E7AA">
      <w:pPr>
        <w:pStyle w:val="21"/>
        <w:ind w:firstLine="404"/>
        <w:rPr>
          <w:rFonts w:hint="eastAsia" w:ascii="微软雅黑" w:hAnsi="微软雅黑" w:cs="仿宋_GB2312"/>
          <w:color w:val="auto"/>
          <w:sz w:val="21"/>
          <w:szCs w:val="21"/>
          <w:highlight w:val="none"/>
        </w:rPr>
      </w:pPr>
    </w:p>
    <w:p w14:paraId="328ED224">
      <w:pPr>
        <w:snapToGrid w:val="0"/>
        <w:ind w:right="480" w:firstLine="420"/>
        <w:jc w:val="both"/>
        <w:outlineLvl w:val="1"/>
        <w:rPr>
          <w:rFonts w:hint="eastAsia" w:ascii="微软雅黑" w:hAnsi="微软雅黑" w:cs="仿宋_GB2312"/>
          <w:b/>
          <w:color w:val="auto"/>
          <w:kern w:val="0"/>
          <w:szCs w:val="21"/>
          <w:highlight w:val="none"/>
        </w:rPr>
      </w:pPr>
      <w:bookmarkStart w:id="222" w:name="_Toc14058"/>
      <w:bookmarkStart w:id="223" w:name="_Toc9621"/>
      <w:r>
        <w:rPr>
          <w:rFonts w:ascii="微软雅黑" w:hAnsi="微软雅黑" w:cs="仿宋_GB2312"/>
          <w:b/>
          <w:color w:val="auto"/>
          <w:kern w:val="0"/>
          <w:szCs w:val="21"/>
          <w:highlight w:val="none"/>
        </w:rPr>
        <w:t>一、 符合参加政府采购活动应当具备的一般条件的承诺函</w:t>
      </w:r>
      <w:bookmarkEnd w:id="222"/>
      <w:bookmarkEnd w:id="223"/>
    </w:p>
    <w:p w14:paraId="45804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（采购人）、（采购代理机构）：</w:t>
      </w:r>
    </w:p>
    <w:p w14:paraId="1F5DA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我方参与（项目名称）【项目编号】政府采购活动，郑重承诺：</w:t>
      </w:r>
    </w:p>
    <w:p w14:paraId="5FA69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（一）具备《中华人民共和国政府采购法》第二十二条第一款规定的条件：</w:t>
      </w:r>
    </w:p>
    <w:p w14:paraId="5207A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1、具有独立承担民事责任的能力；</w:t>
      </w:r>
    </w:p>
    <w:p w14:paraId="07DAA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 xml:space="preserve">2、具有良好的商业信誉和健全的财务会计制度； </w:t>
      </w:r>
    </w:p>
    <w:p w14:paraId="250C5D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3、具有履行合同所必需的设备和专业技术能力；</w:t>
      </w:r>
    </w:p>
    <w:p w14:paraId="28AA0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4、有依法缴纳税收和社会保障资金的良好记录；</w:t>
      </w:r>
    </w:p>
    <w:p w14:paraId="0C436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5、参加政府采购活动前三年内，在经营活动中没有重大违法记录；</w:t>
      </w:r>
    </w:p>
    <w:p w14:paraId="5CB84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6、具有法律、行政法规规定的其他条件。</w:t>
      </w:r>
    </w:p>
    <w:p w14:paraId="3852C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（二）未被信用中国（www.creditchina.gov.cn)、中国政府采购网（www.ccgp.gov.cn）列入失信被执行人、重大税收违法案件当事人名单、政府采购严重违法失信行为记录名单。</w:t>
      </w:r>
    </w:p>
    <w:p w14:paraId="44C7E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（三）不存在以下情况：</w:t>
      </w:r>
    </w:p>
    <w:p w14:paraId="33C03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1、单位负责人为同一人或者存在直接控股、管理关系的不同</w:t>
      </w:r>
      <w:r>
        <w:rPr>
          <w:rFonts w:hint="eastAsia" w:ascii="微软雅黑" w:hAnsi="微软雅黑" w:cs="宋体"/>
          <w:color w:val="auto"/>
          <w:kern w:val="0"/>
          <w:szCs w:val="21"/>
          <w:highlight w:val="none"/>
          <w:lang w:eastAsia="zh-CN"/>
        </w:rPr>
        <w:t>投标人</w:t>
      </w:r>
      <w:r>
        <w:rPr>
          <w:rFonts w:hint="eastAsia" w:ascii="微软雅黑" w:hAnsi="微软雅黑" w:cs="宋体"/>
          <w:color w:val="auto"/>
          <w:kern w:val="0"/>
          <w:szCs w:val="21"/>
          <w:highlight w:val="none"/>
        </w:rPr>
        <w:t>参加同一合同项下的政府采购活动的；</w:t>
      </w:r>
    </w:p>
    <w:p w14:paraId="5C7EC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2、为采购项目提供整体设计、规范编制或者项目管理、监理、检测等服务后再参加该采购项目的其他采购活动的。</w:t>
      </w:r>
    </w:p>
    <w:p w14:paraId="7F5C0E32">
      <w:pPr>
        <w:snapToGrid w:val="0"/>
        <w:spacing w:before="120" w:beforeLines="50"/>
        <w:ind w:firstLine="420"/>
        <w:jc w:val="both"/>
        <w:rPr>
          <w:rFonts w:hint="eastAsia" w:ascii="微软雅黑" w:hAnsi="微软雅黑" w:cs="Arial"/>
          <w:color w:val="auto"/>
          <w:kern w:val="0"/>
          <w:szCs w:val="21"/>
          <w:highlight w:val="none"/>
        </w:rPr>
      </w:pPr>
    </w:p>
    <w:p w14:paraId="0E99873A">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19836E56">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1514D3C8">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7F195054">
      <w:pPr>
        <w:snapToGrid w:val="0"/>
        <w:spacing w:line="440" w:lineRule="exact"/>
        <w:ind w:right="480" w:firstLine="420"/>
        <w:jc w:val="center"/>
        <w:outlineLvl w:val="1"/>
        <w:rPr>
          <w:rFonts w:hint="eastAsia" w:ascii="微软雅黑" w:hAnsi="微软雅黑"/>
          <w:color w:val="auto"/>
          <w:szCs w:val="21"/>
          <w:highlight w:val="none"/>
        </w:rPr>
        <w:sectPr>
          <w:pgSz w:w="11906" w:h="16838"/>
          <w:pgMar w:top="1247" w:right="1418" w:bottom="1276" w:left="1418" w:header="851" w:footer="992" w:gutter="0"/>
          <w:cols w:space="720" w:num="1"/>
          <w:titlePg/>
          <w:docGrid w:linePitch="312" w:charSpace="0"/>
        </w:sectPr>
      </w:pPr>
      <w:bookmarkStart w:id="224" w:name="_Toc30054"/>
    </w:p>
    <w:p w14:paraId="152D3B8E">
      <w:pPr>
        <w:snapToGrid w:val="0"/>
        <w:spacing w:line="440" w:lineRule="exact"/>
        <w:ind w:right="480" w:firstLine="420"/>
        <w:jc w:val="center"/>
        <w:outlineLvl w:val="1"/>
        <w:rPr>
          <w:rFonts w:hint="eastAsia" w:ascii="微软雅黑" w:hAnsi="微软雅黑" w:cs="仿宋_GB2312"/>
          <w:b/>
          <w:color w:val="auto"/>
          <w:kern w:val="0"/>
          <w:szCs w:val="21"/>
          <w:highlight w:val="none"/>
        </w:rPr>
      </w:pPr>
      <w:bookmarkStart w:id="225" w:name="_Toc13506"/>
      <w:r>
        <w:rPr>
          <w:rFonts w:hint="eastAsia" w:ascii="微软雅黑" w:hAnsi="微软雅黑"/>
          <w:color w:val="auto"/>
          <w:szCs w:val="21"/>
          <w:highlight w:val="none"/>
        </w:rPr>
        <w:t>二、</w:t>
      </w:r>
      <w:r>
        <w:rPr>
          <w:rFonts w:hint="eastAsia" w:ascii="微软雅黑" w:hAnsi="微软雅黑" w:cs="仿宋_GB2312"/>
          <w:b/>
          <w:color w:val="auto"/>
          <w:kern w:val="0"/>
          <w:szCs w:val="21"/>
          <w:highlight w:val="none"/>
        </w:rPr>
        <w:t>落实政府采购政策需满足的资格要求</w:t>
      </w:r>
      <w:bookmarkEnd w:id="224"/>
      <w:bookmarkEnd w:id="225"/>
    </w:p>
    <w:p w14:paraId="59AA8690">
      <w:pPr>
        <w:ind w:firstLine="105" w:firstLineChars="50"/>
        <w:rPr>
          <w:b/>
          <w:color w:val="auto"/>
          <w:highlight w:val="none"/>
        </w:rPr>
      </w:pPr>
    </w:p>
    <w:p w14:paraId="07A62EED">
      <w:pPr>
        <w:ind w:firstLine="525" w:firstLineChars="250"/>
        <w:rPr>
          <w:rFonts w:hint="eastAsia" w:ascii="宋体" w:hAnsi="宋体"/>
          <w:color w:val="auto"/>
          <w:kern w:val="0"/>
          <w:highlight w:val="none"/>
        </w:rPr>
      </w:pPr>
      <w:r>
        <w:rPr>
          <w:b/>
          <w:color w:val="auto"/>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w:t>
      </w:r>
      <w:r>
        <w:rPr>
          <w:rFonts w:ascii="宋体" w:hAnsi="宋体"/>
          <w:color w:val="auto"/>
          <w:kern w:val="0"/>
          <w:highlight w:val="none"/>
        </w:rPr>
        <w:t xml:space="preserve"> </w:t>
      </w:r>
    </w:p>
    <w:p w14:paraId="4AF394F5">
      <w:pPr>
        <w:snapToGrid w:val="0"/>
        <w:ind w:firstLine="420"/>
        <w:jc w:val="center"/>
        <w:rPr>
          <w:rFonts w:hint="eastAsia" w:ascii="微软雅黑" w:hAnsi="微软雅黑" w:cs="宋体"/>
          <w:b/>
          <w:bCs/>
          <w:color w:val="auto"/>
          <w:szCs w:val="21"/>
          <w:highlight w:val="none"/>
        </w:rPr>
      </w:pPr>
      <w:r>
        <w:rPr>
          <w:rFonts w:hint="eastAsia" w:ascii="微软雅黑" w:hAnsi="微软雅黑" w:cs="宋体"/>
          <w:b/>
          <w:bCs/>
          <w:color w:val="auto"/>
          <w:szCs w:val="21"/>
          <w:highlight w:val="none"/>
        </w:rPr>
        <w:t>中小企业声明函</w:t>
      </w:r>
      <w:r>
        <w:rPr>
          <w:rFonts w:hint="eastAsia" w:ascii="微软雅黑" w:hAnsi="微软雅黑" w:cs="微软雅黑"/>
          <w:b/>
          <w:color w:val="auto"/>
          <w:szCs w:val="21"/>
          <w:highlight w:val="none"/>
        </w:rPr>
        <w:t>（工程、服务）</w:t>
      </w:r>
    </w:p>
    <w:p w14:paraId="63A0AA12">
      <w:pPr>
        <w:pStyle w:val="131"/>
        <w:spacing w:after="120" w:line="360" w:lineRule="auto"/>
        <w:ind w:right="157" w:firstLine="424" w:firstLineChars="202"/>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本公司（联合体）郑重声明，根据《政府采购促进中小企业发展管理办法》（财库﹝2020﹞46 号）的规定，本公司（联合体）参加</w:t>
      </w:r>
      <w:r>
        <w:rPr>
          <w:rFonts w:ascii="微软雅黑" w:hAnsi="微软雅黑" w:eastAsia="微软雅黑"/>
          <w:color w:val="auto"/>
          <w:sz w:val="21"/>
          <w:szCs w:val="21"/>
          <w:highlight w:val="none"/>
          <w:u w:val="single"/>
        </w:rPr>
        <w:t>（单位名称）</w:t>
      </w:r>
      <w:r>
        <w:rPr>
          <w:rFonts w:ascii="微软雅黑" w:hAnsi="微软雅黑" w:eastAsia="微软雅黑"/>
          <w:color w:val="auto"/>
          <w:sz w:val="21"/>
          <w:szCs w:val="21"/>
          <w:highlight w:val="none"/>
        </w:rPr>
        <w:t>的</w:t>
      </w:r>
      <w:r>
        <w:rPr>
          <w:rFonts w:ascii="微软雅黑" w:hAnsi="微软雅黑" w:eastAsia="微软雅黑"/>
          <w:color w:val="auto"/>
          <w:sz w:val="21"/>
          <w:szCs w:val="21"/>
          <w:highlight w:val="none"/>
          <w:u w:val="single"/>
        </w:rPr>
        <w:t>（项目名称）</w:t>
      </w:r>
      <w:r>
        <w:rPr>
          <w:rFonts w:ascii="微软雅黑" w:hAnsi="微软雅黑" w:eastAsia="微软雅黑"/>
          <w:color w:val="auto"/>
          <w:sz w:val="21"/>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A33CFA2">
      <w:pPr>
        <w:pStyle w:val="131"/>
        <w:spacing w:after="120" w:line="360" w:lineRule="auto"/>
        <w:ind w:right="157" w:firstLine="424" w:firstLineChars="202"/>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 xml:space="preserve">1. </w:t>
      </w:r>
      <w:r>
        <w:rPr>
          <w:rFonts w:ascii="微软雅黑" w:hAnsi="微软雅黑" w:eastAsia="微软雅黑"/>
          <w:color w:val="auto"/>
          <w:sz w:val="21"/>
          <w:szCs w:val="21"/>
          <w:highlight w:val="none"/>
          <w:u w:val="single"/>
        </w:rPr>
        <w:t>（标的名称）</w:t>
      </w:r>
      <w:r>
        <w:rPr>
          <w:rFonts w:ascii="微软雅黑" w:hAnsi="微软雅黑" w:eastAsia="微软雅黑"/>
          <w:color w:val="auto"/>
          <w:sz w:val="21"/>
          <w:szCs w:val="21"/>
          <w:highlight w:val="none"/>
        </w:rPr>
        <w:t>，属于</w:t>
      </w:r>
      <w:r>
        <w:rPr>
          <w:rFonts w:ascii="微软雅黑" w:hAnsi="微软雅黑" w:eastAsia="微软雅黑"/>
          <w:color w:val="auto"/>
          <w:sz w:val="21"/>
          <w:szCs w:val="21"/>
          <w:highlight w:val="none"/>
          <w:u w:val="single"/>
        </w:rPr>
        <w:t>（采购文件中明确的所属行业）</w:t>
      </w:r>
      <w:r>
        <w:rPr>
          <w:rFonts w:ascii="微软雅黑" w:hAnsi="微软雅黑" w:eastAsia="微软雅黑"/>
          <w:color w:val="auto"/>
          <w:sz w:val="21"/>
          <w:szCs w:val="21"/>
          <w:highlight w:val="none"/>
        </w:rPr>
        <w:t>；承建（承接）企业为</w:t>
      </w:r>
      <w:r>
        <w:rPr>
          <w:rFonts w:ascii="微软雅黑" w:hAnsi="微软雅黑" w:eastAsia="微软雅黑"/>
          <w:color w:val="auto"/>
          <w:sz w:val="21"/>
          <w:szCs w:val="21"/>
          <w:highlight w:val="none"/>
          <w:u w:val="single"/>
        </w:rPr>
        <w:t>（企业名称）</w:t>
      </w:r>
      <w:r>
        <w:rPr>
          <w:rFonts w:ascii="微软雅黑" w:hAnsi="微软雅黑" w:eastAsia="微软雅黑"/>
          <w:color w:val="auto"/>
          <w:sz w:val="21"/>
          <w:szCs w:val="21"/>
          <w:highlight w:val="none"/>
        </w:rPr>
        <w:t>，从业人员人，营业收入为万元，资产总额为万元，属于（中型企业、小型企业、微型企业）；</w:t>
      </w:r>
    </w:p>
    <w:p w14:paraId="055E6CAE">
      <w:pPr>
        <w:pStyle w:val="131"/>
        <w:spacing w:after="120" w:line="360" w:lineRule="auto"/>
        <w:ind w:right="157" w:firstLine="424" w:firstLineChars="202"/>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 xml:space="preserve">2. </w:t>
      </w:r>
      <w:r>
        <w:rPr>
          <w:rFonts w:ascii="微软雅黑" w:hAnsi="微软雅黑" w:eastAsia="微软雅黑"/>
          <w:color w:val="auto"/>
          <w:sz w:val="21"/>
          <w:szCs w:val="21"/>
          <w:highlight w:val="none"/>
          <w:u w:val="single"/>
        </w:rPr>
        <w:t>（标的名称）</w:t>
      </w:r>
      <w:r>
        <w:rPr>
          <w:rFonts w:ascii="微软雅黑" w:hAnsi="微软雅黑" w:eastAsia="微软雅黑"/>
          <w:color w:val="auto"/>
          <w:sz w:val="21"/>
          <w:szCs w:val="21"/>
          <w:highlight w:val="none"/>
        </w:rPr>
        <w:t>，属于</w:t>
      </w:r>
      <w:r>
        <w:rPr>
          <w:rFonts w:ascii="微软雅黑" w:hAnsi="微软雅黑" w:eastAsia="微软雅黑"/>
          <w:color w:val="auto"/>
          <w:sz w:val="21"/>
          <w:szCs w:val="21"/>
          <w:highlight w:val="none"/>
          <w:u w:val="single"/>
        </w:rPr>
        <w:t>（采购文件中明确的所属行业）</w:t>
      </w:r>
      <w:r>
        <w:rPr>
          <w:rFonts w:ascii="微软雅黑" w:hAnsi="微软雅黑" w:eastAsia="微软雅黑"/>
          <w:color w:val="auto"/>
          <w:sz w:val="21"/>
          <w:szCs w:val="21"/>
          <w:highlight w:val="none"/>
        </w:rPr>
        <w:t>；承建（承接）企业为</w:t>
      </w:r>
      <w:r>
        <w:rPr>
          <w:rFonts w:ascii="微软雅黑" w:hAnsi="微软雅黑" w:eastAsia="微软雅黑"/>
          <w:color w:val="auto"/>
          <w:sz w:val="21"/>
          <w:szCs w:val="21"/>
          <w:highlight w:val="none"/>
          <w:u w:val="single"/>
        </w:rPr>
        <w:t>（企业名称）</w:t>
      </w:r>
      <w:r>
        <w:rPr>
          <w:rFonts w:ascii="微软雅黑" w:hAnsi="微软雅黑" w:eastAsia="微软雅黑"/>
          <w:color w:val="auto"/>
          <w:sz w:val="21"/>
          <w:szCs w:val="21"/>
          <w:highlight w:val="none"/>
        </w:rPr>
        <w:t>，从业人员人，营业收入为万元，资产总额为万元，属于</w:t>
      </w:r>
      <w:r>
        <w:rPr>
          <w:rFonts w:ascii="微软雅黑" w:hAnsi="微软雅黑" w:eastAsia="微软雅黑"/>
          <w:color w:val="auto"/>
          <w:sz w:val="21"/>
          <w:szCs w:val="21"/>
          <w:highlight w:val="none"/>
          <w:u w:val="single"/>
        </w:rPr>
        <w:t>（中型企业、小型企业、微型企业）</w:t>
      </w:r>
      <w:r>
        <w:rPr>
          <w:rFonts w:ascii="微软雅黑" w:hAnsi="微软雅黑" w:eastAsia="微软雅黑"/>
          <w:color w:val="auto"/>
          <w:sz w:val="21"/>
          <w:szCs w:val="21"/>
          <w:highlight w:val="none"/>
        </w:rPr>
        <w:t>；</w:t>
      </w:r>
    </w:p>
    <w:p w14:paraId="7AE472AC">
      <w:pPr>
        <w:pStyle w:val="131"/>
        <w:spacing w:after="120" w:line="360" w:lineRule="auto"/>
        <w:ind w:right="157" w:firstLine="875" w:firstLineChars="417"/>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w:t>
      </w:r>
    </w:p>
    <w:p w14:paraId="79B66D3A">
      <w:pPr>
        <w:pStyle w:val="131"/>
        <w:spacing w:after="120" w:line="360" w:lineRule="auto"/>
        <w:ind w:right="157" w:firstLine="420"/>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以上企业，不属于大企业的分支机构，不存在控股股东为大企业的情形，也不存在与大企业的负责人为同一人的情形。</w:t>
      </w:r>
    </w:p>
    <w:p w14:paraId="325237AF">
      <w:pPr>
        <w:pStyle w:val="131"/>
        <w:spacing w:after="120" w:line="360" w:lineRule="auto"/>
        <w:ind w:right="157" w:firstLine="420"/>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本企业对上述声明内容的真实性负责。如有虚假，将依法承担相应责任。</w:t>
      </w:r>
    </w:p>
    <w:p w14:paraId="28056AC3">
      <w:pPr>
        <w:pStyle w:val="117"/>
        <w:rPr>
          <w:rFonts w:ascii="微软雅黑" w:hAnsi="微软雅黑" w:eastAsia="微软雅黑"/>
          <w:color w:val="auto"/>
          <w:sz w:val="21"/>
          <w:szCs w:val="21"/>
          <w:highlight w:val="none"/>
        </w:rPr>
      </w:pPr>
    </w:p>
    <w:p w14:paraId="42674D19">
      <w:pPr>
        <w:pStyle w:val="117"/>
        <w:rPr>
          <w:rFonts w:ascii="微软雅黑" w:hAnsi="微软雅黑" w:eastAsia="微软雅黑"/>
          <w:color w:val="auto"/>
          <w:sz w:val="21"/>
          <w:szCs w:val="21"/>
          <w:highlight w:val="none"/>
        </w:rPr>
      </w:pPr>
    </w:p>
    <w:p w14:paraId="48BF3D80">
      <w:pPr>
        <w:pStyle w:val="131"/>
        <w:spacing w:after="120" w:line="360" w:lineRule="auto"/>
        <w:ind w:right="157" w:firstLine="500"/>
        <w:rPr>
          <w:rFonts w:ascii="微软雅黑" w:hAnsi="微软雅黑" w:eastAsia="微软雅黑"/>
          <w:color w:val="auto"/>
          <w:spacing w:val="20"/>
          <w:sz w:val="21"/>
          <w:szCs w:val="21"/>
          <w:highlight w:val="none"/>
          <w:u w:val="single"/>
        </w:rPr>
      </w:pPr>
      <w:r>
        <w:rPr>
          <w:rFonts w:hint="eastAsia" w:ascii="微软雅黑" w:hAnsi="微软雅黑" w:eastAsia="微软雅黑"/>
          <w:color w:val="auto"/>
          <w:spacing w:val="20"/>
          <w:sz w:val="21"/>
          <w:szCs w:val="21"/>
          <w:highlight w:val="none"/>
          <w:lang w:eastAsia="zh-CN"/>
        </w:rPr>
        <w:t>投标人</w:t>
      </w:r>
      <w:r>
        <w:rPr>
          <w:rFonts w:ascii="微软雅黑" w:hAnsi="微软雅黑" w:eastAsia="微软雅黑"/>
          <w:color w:val="auto"/>
          <w:spacing w:val="20"/>
          <w:sz w:val="21"/>
          <w:szCs w:val="21"/>
          <w:highlight w:val="none"/>
        </w:rPr>
        <w:t>名称：</w:t>
      </w:r>
      <w:r>
        <w:rPr>
          <w:rFonts w:ascii="微软雅黑" w:hAnsi="微软雅黑" w:eastAsia="微软雅黑"/>
          <w:color w:val="auto"/>
          <w:spacing w:val="20"/>
          <w:sz w:val="21"/>
          <w:szCs w:val="21"/>
          <w:highlight w:val="none"/>
          <w:u w:val="single"/>
        </w:rPr>
        <w:t>（盖章）</w:t>
      </w:r>
      <w:r>
        <w:rPr>
          <w:rFonts w:ascii="微软雅黑" w:hAnsi="微软雅黑" w:eastAsia="微软雅黑"/>
          <w:color w:val="auto"/>
          <w:spacing w:val="20"/>
          <w:sz w:val="21"/>
          <w:szCs w:val="21"/>
          <w:highlight w:val="none"/>
        </w:rPr>
        <w:t>日期：</w:t>
      </w:r>
    </w:p>
    <w:p w14:paraId="70C7E2C1">
      <w:pPr>
        <w:pStyle w:val="117"/>
        <w:ind w:firstLine="420"/>
        <w:rPr>
          <w:rFonts w:ascii="微软雅黑" w:hAnsi="微软雅黑" w:eastAsia="微软雅黑"/>
          <w:color w:val="auto"/>
          <w:sz w:val="21"/>
          <w:szCs w:val="21"/>
          <w:highlight w:val="none"/>
        </w:rPr>
      </w:pPr>
    </w:p>
    <w:p w14:paraId="05F72039">
      <w:pPr>
        <w:pStyle w:val="41"/>
        <w:ind w:firstLine="420"/>
        <w:rPr>
          <w:rFonts w:hint="eastAsia" w:ascii="微软雅黑" w:hAnsi="微软雅黑"/>
          <w:color w:val="auto"/>
          <w:sz w:val="21"/>
          <w:szCs w:val="21"/>
          <w:highlight w:val="none"/>
        </w:rPr>
      </w:pPr>
      <w:r>
        <w:rPr>
          <w:rFonts w:ascii="微软雅黑" w:hAnsi="微软雅黑"/>
          <w:color w:val="auto"/>
          <w:sz w:val="21"/>
          <w:szCs w:val="21"/>
          <w:highlight w:val="none"/>
        </w:rPr>
        <w:t>从业人员、营业收入、资产总额填报上一年度数据，无上一年度数据的新成立企业可不填报。</w:t>
      </w:r>
    </w:p>
    <w:p w14:paraId="4836828C">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注：</w:t>
      </w:r>
    </w:p>
    <w:p w14:paraId="184BC433">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0FBF5850">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2A2235C">
      <w:pPr>
        <w:snapToGrid w:val="0"/>
        <w:ind w:firstLine="420" w:firstLineChars="0"/>
        <w:rPr>
          <w:rFonts w:hint="eastAsia" w:ascii="微软雅黑" w:hAnsi="微软雅黑" w:cs="仿宋_GB2312"/>
          <w:color w:val="auto"/>
          <w:szCs w:val="21"/>
          <w:highlight w:val="none"/>
        </w:rPr>
        <w:sectPr>
          <w:pgSz w:w="11906" w:h="16838"/>
          <w:pgMar w:top="1247" w:right="1418" w:bottom="1276" w:left="1418" w:header="851" w:footer="992" w:gutter="0"/>
          <w:cols w:space="720" w:num="1"/>
          <w:titlePg/>
          <w:docGrid w:linePitch="312" w:charSpace="0"/>
        </w:sectPr>
      </w:pPr>
      <w:r>
        <w:rPr>
          <w:rFonts w:hint="eastAsia" w:ascii="微软雅黑" w:hAnsi="微软雅黑" w:cs="宋体"/>
          <w:b/>
          <w:bCs/>
          <w:color w:val="auto"/>
          <w:szCs w:val="21"/>
          <w:highlight w:val="none"/>
        </w:rPr>
        <w:t>3.根据实际情况，在（</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中型企业、</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小型企业、</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微型企业）处进行勾选。</w:t>
      </w:r>
    </w:p>
    <w:p w14:paraId="5168BE27">
      <w:pPr>
        <w:pStyle w:val="292"/>
        <w:keepNext w:val="0"/>
        <w:pageBreakBefore w:val="0"/>
        <w:tabs>
          <w:tab w:val="clear" w:pos="720"/>
        </w:tabs>
        <w:snapToGrid w:val="0"/>
        <w:spacing w:before="120" w:after="120"/>
        <w:ind w:firstLine="640"/>
        <w:outlineLvl w:val="1"/>
        <w:rPr>
          <w:rFonts w:hint="eastAsia" w:ascii="微软雅黑" w:hAnsi="微软雅黑" w:eastAsia="微软雅黑" w:cs="仿宋_GB2312"/>
          <w:color w:val="auto"/>
          <w:kern w:val="2"/>
          <w:sz w:val="21"/>
          <w:szCs w:val="21"/>
          <w:highlight w:val="none"/>
        </w:rPr>
      </w:pPr>
      <w:bookmarkStart w:id="226" w:name="_Toc26348"/>
      <w:bookmarkStart w:id="227" w:name="_Toc21910"/>
      <w:r>
        <w:rPr>
          <w:rFonts w:hint="eastAsia" w:ascii="微软雅黑" w:hAnsi="微软雅黑" w:eastAsia="微软雅黑" w:cs="仿宋_GB2312"/>
          <w:color w:val="auto"/>
          <w:kern w:val="2"/>
          <w:sz w:val="21"/>
          <w:szCs w:val="21"/>
          <w:highlight w:val="none"/>
        </w:rPr>
        <w:t>三、残疾人福利性单位声明函</w:t>
      </w:r>
      <w:bookmarkEnd w:id="226"/>
      <w:bookmarkEnd w:id="227"/>
    </w:p>
    <w:p w14:paraId="19FEE369">
      <w:pPr>
        <w:ind w:firstLine="420"/>
        <w:textAlignment w:val="top"/>
        <w:rPr>
          <w:rFonts w:hint="eastAsia" w:ascii="微软雅黑" w:hAnsi="微软雅黑"/>
          <w:color w:val="auto"/>
          <w:kern w:val="0"/>
          <w:szCs w:val="21"/>
          <w:highlight w:val="none"/>
        </w:rPr>
      </w:pPr>
      <w:r>
        <w:rPr>
          <w:rFonts w:hint="eastAsia" w:ascii="微软雅黑" w:hAnsi="微软雅黑"/>
          <w:color w:val="auto"/>
          <w:kern w:val="0"/>
          <w:szCs w:val="21"/>
          <w:highlight w:val="none"/>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E10DC77">
      <w:pPr>
        <w:ind w:firstLine="420"/>
        <w:textAlignment w:val="top"/>
        <w:rPr>
          <w:rFonts w:hint="eastAsia" w:ascii="微软雅黑" w:hAnsi="微软雅黑"/>
          <w:color w:val="auto"/>
          <w:kern w:val="0"/>
          <w:szCs w:val="21"/>
          <w:highlight w:val="none"/>
        </w:rPr>
      </w:pPr>
      <w:r>
        <w:rPr>
          <w:rFonts w:hint="eastAsia" w:ascii="微软雅黑" w:hAnsi="微软雅黑"/>
          <w:color w:val="auto"/>
          <w:kern w:val="0"/>
          <w:szCs w:val="21"/>
          <w:highlight w:val="none"/>
        </w:rPr>
        <w:t>      本单位对上述声明的真实性负责。如有虚假，将依法承担相应责任。</w:t>
      </w:r>
    </w:p>
    <w:p w14:paraId="022C61A7">
      <w:pPr>
        <w:snapToGrid w:val="0"/>
        <w:spacing w:before="120" w:beforeLines="50"/>
        <w:ind w:firstLine="420"/>
        <w:jc w:val="center"/>
        <w:rPr>
          <w:rFonts w:hint="eastAsia" w:ascii="微软雅黑" w:hAnsi="微软雅黑" w:cs="Arial"/>
          <w:color w:val="auto"/>
          <w:kern w:val="0"/>
          <w:szCs w:val="21"/>
          <w:highlight w:val="none"/>
        </w:rPr>
      </w:pPr>
    </w:p>
    <w:p w14:paraId="67F94ABD">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1B08B277">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26AD9FC8">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6EB91BD6">
      <w:pPr>
        <w:ind w:right="480" w:firstLine="6825" w:firstLineChars="3250"/>
        <w:textAlignment w:val="top"/>
        <w:rPr>
          <w:rFonts w:hint="eastAsia" w:ascii="宋体" w:hAnsi="宋体"/>
          <w:color w:val="auto"/>
          <w:kern w:val="0"/>
          <w:szCs w:val="21"/>
          <w:highlight w:val="none"/>
        </w:rPr>
      </w:pPr>
    </w:p>
    <w:p w14:paraId="38FC5E4F">
      <w:pPr>
        <w:pStyle w:val="19"/>
        <w:ind w:firstLine="420"/>
        <w:rPr>
          <w:color w:val="auto"/>
          <w:highlight w:val="none"/>
        </w:rPr>
      </w:pPr>
    </w:p>
    <w:p w14:paraId="500AF651">
      <w:pPr>
        <w:pStyle w:val="19"/>
        <w:ind w:firstLine="420"/>
        <w:rPr>
          <w:color w:val="auto"/>
          <w:highlight w:val="none"/>
        </w:rPr>
      </w:pPr>
    </w:p>
    <w:p w14:paraId="09ECB5C3">
      <w:pPr>
        <w:pStyle w:val="20"/>
        <w:ind w:firstLine="480"/>
        <w:rPr>
          <w:rFonts w:hint="eastAsia"/>
          <w:color w:val="auto"/>
          <w:highlight w:val="none"/>
        </w:rPr>
      </w:pPr>
    </w:p>
    <w:p w14:paraId="5615236E">
      <w:pPr>
        <w:pStyle w:val="20"/>
        <w:ind w:firstLine="480"/>
        <w:rPr>
          <w:rFonts w:hint="eastAsia"/>
          <w:color w:val="auto"/>
          <w:highlight w:val="none"/>
        </w:rPr>
      </w:pPr>
    </w:p>
    <w:p w14:paraId="2AF68000">
      <w:pPr>
        <w:pStyle w:val="20"/>
        <w:ind w:firstLine="480"/>
        <w:rPr>
          <w:rFonts w:hint="eastAsia"/>
          <w:color w:val="auto"/>
          <w:highlight w:val="none"/>
        </w:rPr>
      </w:pPr>
    </w:p>
    <w:p w14:paraId="66120C6C">
      <w:pPr>
        <w:pStyle w:val="20"/>
        <w:ind w:firstLine="480"/>
        <w:rPr>
          <w:rFonts w:hint="eastAsia"/>
          <w:color w:val="auto"/>
          <w:highlight w:val="none"/>
        </w:rPr>
      </w:pPr>
    </w:p>
    <w:p w14:paraId="7D64B957">
      <w:pPr>
        <w:pStyle w:val="19"/>
        <w:ind w:firstLine="420"/>
        <w:rPr>
          <w:color w:val="auto"/>
          <w:highlight w:val="none"/>
        </w:rPr>
      </w:pPr>
    </w:p>
    <w:p w14:paraId="013E0B52">
      <w:pPr>
        <w:pStyle w:val="20"/>
        <w:ind w:firstLine="480"/>
        <w:rPr>
          <w:rFonts w:hint="eastAsia"/>
          <w:color w:val="auto"/>
          <w:highlight w:val="none"/>
        </w:rPr>
      </w:pPr>
    </w:p>
    <w:p w14:paraId="16048D1A">
      <w:pPr>
        <w:spacing w:line="240" w:lineRule="auto"/>
        <w:ind w:firstLine="0" w:firstLineChars="0"/>
        <w:rPr>
          <w:color w:val="auto"/>
          <w:highlight w:val="none"/>
        </w:rPr>
      </w:pPr>
      <w:r>
        <w:rPr>
          <w:color w:val="auto"/>
          <w:highlight w:val="none"/>
        </w:rPr>
        <w:br w:type="page"/>
      </w:r>
    </w:p>
    <w:p w14:paraId="076316C3">
      <w:pPr>
        <w:ind w:firstLine="420"/>
        <w:outlineLvl w:val="1"/>
        <w:rPr>
          <w:b/>
          <w:bCs/>
          <w:color w:val="auto"/>
          <w:highlight w:val="none"/>
        </w:rPr>
      </w:pPr>
      <w:bookmarkStart w:id="228" w:name="_Toc11466"/>
      <w:bookmarkStart w:id="229" w:name="_Toc19343"/>
      <w:r>
        <w:rPr>
          <w:rFonts w:hint="eastAsia"/>
          <w:b/>
          <w:bCs/>
          <w:color w:val="auto"/>
          <w:highlight w:val="none"/>
        </w:rPr>
        <w:t>四、监狱企业证明文件</w:t>
      </w:r>
      <w:bookmarkEnd w:id="228"/>
      <w:bookmarkEnd w:id="229"/>
    </w:p>
    <w:p w14:paraId="72D75394">
      <w:pPr>
        <w:ind w:firstLine="420"/>
        <w:jc w:val="center"/>
        <w:rPr>
          <w:rFonts w:hint="eastAsia" w:ascii="微软雅黑" w:hAnsi="微软雅黑"/>
          <w:b/>
          <w:color w:val="auto"/>
          <w:szCs w:val="21"/>
          <w:highlight w:val="none"/>
        </w:rPr>
      </w:pPr>
      <w:bookmarkStart w:id="230" w:name="_Toc164943234"/>
      <w:bookmarkStart w:id="231" w:name="_Toc12078"/>
      <w:r>
        <w:rPr>
          <w:rFonts w:hint="eastAsia" w:ascii="微软雅黑" w:hAnsi="微软雅黑"/>
          <w:b/>
          <w:color w:val="auto"/>
          <w:szCs w:val="21"/>
          <w:highlight w:val="none"/>
        </w:rPr>
        <w:t>监狱企业证明文件</w:t>
      </w:r>
      <w:bookmarkEnd w:id="230"/>
      <w:bookmarkEnd w:id="231"/>
    </w:p>
    <w:tbl>
      <w:tblPr>
        <w:tblStyle w:val="53"/>
        <w:tblW w:w="8820"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8820"/>
      </w:tblGrid>
      <w:tr w14:paraId="769E6767">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6516" w:hRule="atLeast"/>
        </w:trPr>
        <w:tc>
          <w:tcPr>
            <w:tcW w:w="8820" w:type="dxa"/>
            <w:vAlign w:val="center"/>
          </w:tcPr>
          <w:p w14:paraId="1C518DEB">
            <w:pPr>
              <w:ind w:firstLine="420"/>
              <w:jc w:val="center"/>
              <w:rPr>
                <w:rFonts w:hint="eastAsia" w:ascii="微软雅黑" w:hAnsi="微软雅黑"/>
                <w:b/>
                <w:color w:val="auto"/>
                <w:szCs w:val="21"/>
                <w:highlight w:val="none"/>
              </w:rPr>
            </w:pPr>
            <w:r>
              <w:rPr>
                <w:rFonts w:hint="eastAsia" w:ascii="微软雅黑" w:hAnsi="微软雅黑"/>
                <w:b/>
                <w:color w:val="auto"/>
                <w:szCs w:val="21"/>
                <w:highlight w:val="none"/>
              </w:rPr>
              <w:t>相关部门出具的监狱企业证明文件</w:t>
            </w:r>
          </w:p>
          <w:p w14:paraId="21E28197">
            <w:pPr>
              <w:ind w:firstLine="420"/>
              <w:jc w:val="center"/>
              <w:rPr>
                <w:rFonts w:hint="eastAsia" w:ascii="微软雅黑" w:hAnsi="微软雅黑" w:cs="Arial"/>
                <w:b/>
                <w:i/>
                <w:color w:val="auto"/>
                <w:kern w:val="0"/>
                <w:szCs w:val="21"/>
                <w:highlight w:val="none"/>
              </w:rPr>
            </w:pPr>
            <w:r>
              <w:rPr>
                <w:rFonts w:hint="eastAsia" w:ascii="微软雅黑" w:hAnsi="微软雅黑"/>
                <w:color w:val="auto"/>
                <w:szCs w:val="21"/>
                <w:highlight w:val="none"/>
              </w:rPr>
              <w:t>（如是，提供</w:t>
            </w:r>
            <w:r>
              <w:rPr>
                <w:rFonts w:hint="eastAsia" w:ascii="微软雅黑" w:hAnsi="微软雅黑" w:cs="Arial"/>
                <w:color w:val="auto"/>
                <w:kern w:val="0"/>
                <w:szCs w:val="21"/>
                <w:highlight w:val="none"/>
              </w:rPr>
              <w:t>复印件加盖投标</w:t>
            </w:r>
            <w:r>
              <w:rPr>
                <w:rFonts w:hint="eastAsia" w:ascii="微软雅黑" w:hAnsi="微软雅黑" w:cs="Arial"/>
                <w:color w:val="auto"/>
                <w:kern w:val="0"/>
                <w:szCs w:val="21"/>
                <w:highlight w:val="none"/>
                <w:lang w:eastAsia="zh-CN"/>
              </w:rPr>
              <w:t>投标人</w:t>
            </w:r>
            <w:r>
              <w:rPr>
                <w:rFonts w:hint="eastAsia" w:ascii="微软雅黑" w:hAnsi="微软雅黑" w:cs="Arial"/>
                <w:color w:val="auto"/>
                <w:kern w:val="0"/>
                <w:szCs w:val="21"/>
                <w:highlight w:val="none"/>
              </w:rPr>
              <w:t>公章）</w:t>
            </w:r>
          </w:p>
        </w:tc>
      </w:tr>
    </w:tbl>
    <w:p w14:paraId="50239F01">
      <w:pPr>
        <w:ind w:firstLine="420"/>
        <w:rPr>
          <w:rFonts w:hint="eastAsia" w:ascii="微软雅黑" w:hAnsi="微软雅黑" w:cs="Arial"/>
          <w:i/>
          <w:color w:val="auto"/>
          <w:szCs w:val="21"/>
          <w:highlight w:val="none"/>
        </w:rPr>
      </w:pPr>
    </w:p>
    <w:p w14:paraId="6BCD76EC">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3723B73B">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0EBD3F86">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23C9338E">
      <w:pPr>
        <w:ind w:firstLine="420"/>
        <w:rPr>
          <w:rFonts w:hint="eastAsia" w:ascii="微软雅黑" w:hAnsi="微软雅黑" w:cs="仿宋_GB2312"/>
          <w:color w:val="auto"/>
          <w:szCs w:val="21"/>
          <w:highlight w:val="none"/>
        </w:rPr>
        <w:sectPr>
          <w:footerReference r:id="rId26" w:type="default"/>
          <w:pgSz w:w="11906" w:h="16838"/>
          <w:pgMar w:top="1276" w:right="1418" w:bottom="1247" w:left="1418" w:header="851" w:footer="992" w:gutter="0"/>
          <w:cols w:space="720" w:num="1"/>
          <w:titlePg/>
          <w:docGrid w:linePitch="312" w:charSpace="0"/>
        </w:sectPr>
      </w:pPr>
    </w:p>
    <w:p w14:paraId="10E56787">
      <w:pPr>
        <w:ind w:firstLine="42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商务技术文件部分</w:t>
      </w:r>
    </w:p>
    <w:p w14:paraId="640F6A9C">
      <w:pPr>
        <w:ind w:firstLine="420"/>
        <w:jc w:val="center"/>
        <w:outlineLvl w:val="0"/>
        <w:rPr>
          <w:rFonts w:hint="eastAsia" w:ascii="微软雅黑" w:hAnsi="微软雅黑" w:cs="宋体"/>
          <w:b/>
          <w:color w:val="auto"/>
          <w:kern w:val="0"/>
          <w:szCs w:val="21"/>
          <w:highlight w:val="none"/>
        </w:rPr>
      </w:pPr>
      <w:bookmarkStart w:id="232" w:name="_Toc16145"/>
      <w:bookmarkStart w:id="233" w:name="_Toc21948"/>
      <w:bookmarkStart w:id="234" w:name="_Toc26570"/>
      <w:bookmarkStart w:id="235" w:name="_Toc164943225"/>
      <w:bookmarkStart w:id="236" w:name="_Toc169015148"/>
      <w:r>
        <w:rPr>
          <w:rFonts w:hint="eastAsia" w:ascii="微软雅黑" w:hAnsi="微软雅黑" w:cs="宋体"/>
          <w:b/>
          <w:color w:val="auto"/>
          <w:kern w:val="0"/>
          <w:szCs w:val="21"/>
          <w:highlight w:val="none"/>
        </w:rPr>
        <w:t>目录</w:t>
      </w:r>
      <w:bookmarkEnd w:id="232"/>
      <w:bookmarkEnd w:id="233"/>
      <w:bookmarkEnd w:id="234"/>
      <w:bookmarkEnd w:id="235"/>
      <w:bookmarkEnd w:id="236"/>
    </w:p>
    <w:p w14:paraId="606FDEFF">
      <w:pPr>
        <w:numPr>
          <w:ilvl w:val="0"/>
          <w:numId w:val="24"/>
        </w:numPr>
        <w:ind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投标函……………………………………………………………………（页码）</w:t>
      </w:r>
    </w:p>
    <w:p w14:paraId="70351FA8">
      <w:pPr>
        <w:numPr>
          <w:ilvl w:val="0"/>
          <w:numId w:val="24"/>
        </w:numPr>
        <w:ind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法定代表人授权委托书…………………………………………………（页码）</w:t>
      </w:r>
    </w:p>
    <w:p w14:paraId="5C9636F9">
      <w:pPr>
        <w:ind w:firstLine="420"/>
        <w:jc w:val="both"/>
        <w:rPr>
          <w:rFonts w:hint="eastAsia" w:ascii="微软雅黑" w:hAnsi="微软雅黑"/>
          <w:color w:val="auto"/>
          <w:szCs w:val="21"/>
          <w:highlight w:val="none"/>
        </w:rPr>
      </w:pPr>
      <w:r>
        <w:rPr>
          <w:rFonts w:hint="eastAsia" w:ascii="微软雅黑" w:hAnsi="微软雅黑" w:cs="宋体"/>
          <w:color w:val="auto"/>
          <w:szCs w:val="21"/>
          <w:highlight w:val="none"/>
        </w:rPr>
        <w:t>（3）政府采购活动现场确认声明书…………………………………………（页码）</w:t>
      </w:r>
    </w:p>
    <w:p w14:paraId="2E3788A3">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（4）符合性审查资料…………………………………………………………（页码）</w:t>
      </w:r>
    </w:p>
    <w:p w14:paraId="0A4AF70B">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（5）评分对应表………………………………………………………………（页码）</w:t>
      </w:r>
    </w:p>
    <w:p w14:paraId="571DEFCC">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（6）商务响应表………………………………………………………………（页码）</w:t>
      </w:r>
    </w:p>
    <w:p w14:paraId="0D7A6513">
      <w:pPr>
        <w:ind w:firstLine="420"/>
        <w:jc w:val="both"/>
        <w:rPr>
          <w:rFonts w:hint="eastAsia" w:ascii="微软雅黑" w:hAnsi="微软雅黑" w:cs="仿宋_GB2312"/>
          <w:b/>
          <w:color w:val="auto"/>
          <w:kern w:val="0"/>
          <w:szCs w:val="21"/>
          <w:highlight w:val="none"/>
        </w:rPr>
      </w:pP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7</w:t>
      </w:r>
      <w:r>
        <w:rPr>
          <w:rFonts w:hint="eastAsia" w:ascii="微软雅黑" w:hAnsi="微软雅黑" w:cs="宋体"/>
          <w:color w:val="auto"/>
          <w:szCs w:val="21"/>
          <w:highlight w:val="none"/>
          <w:lang w:val="zh-CN"/>
        </w:rPr>
        <w:t>）评标标准相应的商务技术资料</w:t>
      </w:r>
      <w:r>
        <w:rPr>
          <w:rFonts w:hint="eastAsia" w:ascii="微软雅黑" w:hAnsi="微软雅黑" w:cs="宋体"/>
          <w:color w:val="auto"/>
          <w:szCs w:val="21"/>
          <w:highlight w:val="none"/>
        </w:rPr>
        <w:t>…………………………………………（页码）</w:t>
      </w:r>
    </w:p>
    <w:p w14:paraId="19C693B8">
      <w:pPr>
        <w:snapToGrid w:val="0"/>
        <w:spacing w:before="120" w:beforeLines="50" w:after="50"/>
        <w:ind w:firstLine="420"/>
        <w:jc w:val="center"/>
        <w:rPr>
          <w:rFonts w:hint="eastAsia" w:ascii="宋体" w:hAnsi="宋体"/>
          <w:b/>
          <w:color w:val="auto"/>
          <w:szCs w:val="21"/>
          <w:highlight w:val="none"/>
        </w:rPr>
        <w:sectPr>
          <w:pgSz w:w="11906" w:h="16838"/>
          <w:pgMar w:top="1276" w:right="1418" w:bottom="1247" w:left="1418" w:header="851" w:footer="992" w:gutter="0"/>
          <w:cols w:space="720" w:num="1"/>
          <w:titlePg/>
          <w:docGrid w:linePitch="312" w:charSpace="0"/>
        </w:sectPr>
      </w:pPr>
    </w:p>
    <w:p w14:paraId="6B4F265B">
      <w:pPr>
        <w:snapToGrid w:val="0"/>
        <w:spacing w:before="120" w:beforeLines="50" w:after="50"/>
        <w:ind w:firstLine="420"/>
        <w:jc w:val="center"/>
        <w:outlineLvl w:val="1"/>
        <w:rPr>
          <w:rFonts w:hint="eastAsia" w:ascii="宋体" w:hAnsi="宋体"/>
          <w:b/>
          <w:color w:val="auto"/>
          <w:szCs w:val="21"/>
          <w:highlight w:val="none"/>
        </w:rPr>
      </w:pPr>
      <w:bookmarkStart w:id="237" w:name="_Toc9182"/>
      <w:bookmarkStart w:id="238" w:name="_Toc27629"/>
      <w:r>
        <w:rPr>
          <w:rFonts w:hint="eastAsia" w:ascii="宋体" w:hAnsi="宋体"/>
          <w:b/>
          <w:color w:val="auto"/>
          <w:szCs w:val="21"/>
          <w:highlight w:val="none"/>
        </w:rPr>
        <w:t>一、投标函</w:t>
      </w:r>
      <w:bookmarkEnd w:id="237"/>
      <w:bookmarkEnd w:id="238"/>
    </w:p>
    <w:p w14:paraId="6918296A">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u w:val="single"/>
        </w:rPr>
        <w:t>（采购人）、（采购代理机构）</w:t>
      </w:r>
      <w:r>
        <w:rPr>
          <w:rFonts w:hint="eastAsia" w:ascii="微软雅黑" w:hAnsi="微软雅黑" w:cs="宋体"/>
          <w:color w:val="auto"/>
          <w:szCs w:val="21"/>
          <w:highlight w:val="none"/>
        </w:rPr>
        <w:t>：</w:t>
      </w:r>
    </w:p>
    <w:p w14:paraId="7BCAA7D8">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我方参加你方组织的（项目名称）【项目编号】招标的有关活动，并对此项目进行投标。为此：</w:t>
      </w:r>
    </w:p>
    <w:p w14:paraId="10F3077F">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1、我方承诺投标有效期从提交投标文件的截止之日起</w:t>
      </w:r>
      <w:r>
        <w:rPr>
          <w:rFonts w:hint="eastAsia" w:ascii="微软雅黑" w:hAnsi="微软雅黑" w:cs="宋体"/>
          <w:color w:val="auto"/>
          <w:szCs w:val="21"/>
          <w:highlight w:val="none"/>
          <w:u w:val="single"/>
        </w:rPr>
        <w:t xml:space="preserve">       </w:t>
      </w:r>
      <w:r>
        <w:rPr>
          <w:rFonts w:hint="eastAsia" w:ascii="微软雅黑" w:hAnsi="微软雅黑" w:cs="宋体"/>
          <w:color w:val="auto"/>
          <w:szCs w:val="21"/>
          <w:highlight w:val="none"/>
        </w:rPr>
        <w:t>天（不少于90天），本投标文件在投标有效期满之前均具有约束力。</w:t>
      </w:r>
    </w:p>
    <w:p w14:paraId="6DD49600">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2、我方的投标文件包括以下内容：</w:t>
      </w:r>
    </w:p>
    <w:p w14:paraId="13904E0F">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2.1资格文件：</w:t>
      </w:r>
    </w:p>
    <w:p w14:paraId="7C28C0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567" w:firstLineChars="270"/>
        <w:rPr>
          <w:rFonts w:hint="eastAsia" w:ascii="微软雅黑" w:hAnsi="微软雅黑" w:cs="宋体"/>
          <w:color w:val="auto"/>
          <w:kern w:val="0"/>
          <w:szCs w:val="21"/>
          <w:highlight w:val="none"/>
        </w:rPr>
      </w:pPr>
      <w:r>
        <w:rPr>
          <w:rFonts w:hint="eastAsia" w:ascii="微软雅黑" w:hAnsi="微软雅黑" w:cs="宋体"/>
          <w:color w:val="auto"/>
          <w:szCs w:val="21"/>
          <w:highlight w:val="none"/>
        </w:rPr>
        <w:t>2.1.1</w:t>
      </w:r>
      <w:r>
        <w:rPr>
          <w:rFonts w:hint="eastAsia" w:ascii="微软雅黑" w:hAnsi="微软雅黑" w:cs="宋体"/>
          <w:color w:val="auto"/>
          <w:kern w:val="0"/>
          <w:szCs w:val="21"/>
          <w:highlight w:val="none"/>
        </w:rPr>
        <w:t>符合参加政府采购活动应当具备的一般条件的承诺函……………（页码）</w:t>
      </w:r>
    </w:p>
    <w:p w14:paraId="35DFA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567" w:firstLineChars="270"/>
        <w:rPr>
          <w:rFonts w:hint="eastAsia" w:ascii="微软雅黑" w:hAnsi="微软雅黑" w:cs="宋体"/>
          <w:color w:val="auto"/>
          <w:kern w:val="0"/>
          <w:szCs w:val="21"/>
          <w:highlight w:val="none"/>
        </w:rPr>
      </w:pPr>
      <w:r>
        <w:rPr>
          <w:rFonts w:hint="eastAsia" w:ascii="微软雅黑" w:hAnsi="微软雅黑" w:cs="宋体"/>
          <w:color w:val="auto"/>
          <w:szCs w:val="21"/>
          <w:highlight w:val="none"/>
        </w:rPr>
        <w:t>2.1.2</w:t>
      </w:r>
      <w:r>
        <w:rPr>
          <w:rFonts w:hint="eastAsia" w:ascii="微软雅黑" w:hAnsi="微软雅黑" w:cs="宋体"/>
          <w:color w:val="auto"/>
          <w:kern w:val="0"/>
          <w:szCs w:val="21"/>
          <w:highlight w:val="none"/>
        </w:rPr>
        <w:t>落实政府采购政策需满足的资格要求………………………………（页码）</w:t>
      </w:r>
    </w:p>
    <w:p w14:paraId="64EDD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567" w:firstLineChars="270"/>
        <w:rPr>
          <w:rFonts w:hint="eastAsia" w:ascii="微软雅黑" w:hAnsi="微软雅黑" w:cs="宋体"/>
          <w:color w:val="auto"/>
          <w:kern w:val="0"/>
          <w:szCs w:val="21"/>
          <w:highlight w:val="none"/>
        </w:rPr>
      </w:pPr>
      <w:r>
        <w:rPr>
          <w:rFonts w:hint="eastAsia" w:ascii="微软雅黑" w:hAnsi="微软雅黑" w:cs="宋体"/>
          <w:color w:val="auto"/>
          <w:szCs w:val="21"/>
          <w:highlight w:val="none"/>
        </w:rPr>
        <w:t>2.1.3</w:t>
      </w:r>
      <w:r>
        <w:rPr>
          <w:rFonts w:hint="eastAsia" w:ascii="微软雅黑" w:hAnsi="微软雅黑" w:cs="宋体"/>
          <w:color w:val="auto"/>
          <w:kern w:val="0"/>
          <w:szCs w:val="21"/>
          <w:highlight w:val="none"/>
        </w:rPr>
        <w:t>企业法人营业执照副本复印件………………………………（页码）</w:t>
      </w:r>
    </w:p>
    <w:p w14:paraId="3914882B">
      <w:pPr>
        <w:snapToGrid w:val="0"/>
        <w:ind w:left="210" w:leftChars="100" w:firstLine="420"/>
        <w:rPr>
          <w:rFonts w:hint="eastAsia" w:ascii="微软雅黑" w:hAnsi="微软雅黑" w:cs="宋体"/>
          <w:color w:val="auto"/>
          <w:szCs w:val="21"/>
          <w:highlight w:val="none"/>
          <w:lang w:val="zh-CN"/>
        </w:rPr>
      </w:pP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 xml:space="preserve"> </w:t>
      </w:r>
      <w:r>
        <w:rPr>
          <w:rFonts w:hint="eastAsia" w:ascii="微软雅黑" w:hAnsi="微软雅黑" w:cs="宋体"/>
          <w:color w:val="auto"/>
          <w:szCs w:val="21"/>
          <w:highlight w:val="none"/>
        </w:rPr>
        <w:t>商务技术</w:t>
      </w:r>
      <w:r>
        <w:rPr>
          <w:rFonts w:hint="eastAsia" w:ascii="微软雅黑" w:hAnsi="微软雅黑" w:cs="宋体"/>
          <w:color w:val="auto"/>
          <w:szCs w:val="21"/>
          <w:highlight w:val="none"/>
          <w:lang w:val="zh-CN"/>
        </w:rPr>
        <w:t>文件：</w:t>
      </w:r>
    </w:p>
    <w:p w14:paraId="7A8A4E52">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2.2.1投标函；</w:t>
      </w:r>
      <w:r>
        <w:rPr>
          <w:rFonts w:hint="eastAsia" w:ascii="微软雅黑" w:hAnsi="微软雅黑" w:cs="宋体"/>
          <w:color w:val="auto"/>
          <w:szCs w:val="21"/>
          <w:highlight w:val="none"/>
          <w:lang w:val="zh-CN"/>
        </w:rPr>
        <w:t xml:space="preserve"> </w:t>
      </w:r>
    </w:p>
    <w:p w14:paraId="670ED714">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2.2.2授权委托书或法定代表人（单位负责人）身份证明；</w:t>
      </w:r>
    </w:p>
    <w:p w14:paraId="319F6CE5">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2.2.3政府采购活动现场确认声明书；</w:t>
      </w:r>
    </w:p>
    <w:p w14:paraId="0B89FF46">
      <w:pPr>
        <w:snapToGrid w:val="0"/>
        <w:ind w:firstLine="840" w:firstLineChars="400"/>
        <w:rPr>
          <w:rFonts w:hint="eastAsia" w:ascii="微软雅黑" w:hAnsi="微软雅黑" w:cs="宋体"/>
          <w:color w:val="auto"/>
          <w:szCs w:val="21"/>
          <w:highlight w:val="none"/>
        </w:rPr>
      </w:pPr>
      <w:r>
        <w:rPr>
          <w:rFonts w:hint="eastAsia" w:ascii="微软雅黑" w:hAnsi="微软雅黑" w:cs="宋体"/>
          <w:color w:val="auto"/>
          <w:szCs w:val="21"/>
          <w:highlight w:val="none"/>
        </w:rPr>
        <w:t>2.2.4符合性审查资料；</w:t>
      </w:r>
    </w:p>
    <w:p w14:paraId="30D72631">
      <w:pPr>
        <w:snapToGrid w:val="0"/>
        <w:ind w:firstLine="840" w:firstLineChars="400"/>
        <w:rPr>
          <w:rFonts w:hint="eastAsia" w:ascii="微软雅黑" w:hAnsi="微软雅黑" w:cs="仿宋_GB2312"/>
          <w:color w:val="auto"/>
          <w:szCs w:val="21"/>
          <w:highlight w:val="none"/>
        </w:rPr>
      </w:pPr>
      <w:r>
        <w:rPr>
          <w:rFonts w:hint="eastAsia" w:ascii="微软雅黑" w:hAnsi="微软雅黑" w:cs="宋体"/>
          <w:color w:val="auto"/>
          <w:szCs w:val="21"/>
          <w:highlight w:val="none"/>
        </w:rPr>
        <w:t>2.2.5商</w:t>
      </w:r>
      <w:r>
        <w:rPr>
          <w:rFonts w:hint="eastAsia" w:ascii="微软雅黑" w:hAnsi="微软雅黑"/>
          <w:color w:val="auto"/>
          <w:szCs w:val="21"/>
          <w:highlight w:val="none"/>
        </w:rPr>
        <w:t>务响应表</w:t>
      </w:r>
      <w:r>
        <w:rPr>
          <w:rFonts w:ascii="微软雅黑" w:hAnsi="微软雅黑" w:cs="仿宋_GB2312"/>
          <w:color w:val="auto"/>
          <w:szCs w:val="21"/>
          <w:highlight w:val="none"/>
        </w:rPr>
        <w:t>；</w:t>
      </w:r>
    </w:p>
    <w:p w14:paraId="38C3814F">
      <w:pPr>
        <w:snapToGrid w:val="0"/>
        <w:ind w:firstLine="840" w:firstLineChars="400"/>
        <w:rPr>
          <w:rFonts w:hint="eastAsia" w:ascii="微软雅黑" w:hAnsi="微软雅黑" w:cs="宋体"/>
          <w:color w:val="auto"/>
          <w:szCs w:val="21"/>
          <w:highlight w:val="none"/>
        </w:rPr>
      </w:pPr>
      <w:r>
        <w:rPr>
          <w:rFonts w:hint="eastAsia" w:ascii="微软雅黑" w:hAnsi="微软雅黑" w:cs="宋体"/>
          <w:color w:val="auto"/>
          <w:szCs w:val="21"/>
          <w:highlight w:val="none"/>
        </w:rPr>
        <w:t>2.2.6技术响应表；</w:t>
      </w:r>
    </w:p>
    <w:p w14:paraId="41418349">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2.2.7评标标准相应的商务技术资料；</w:t>
      </w:r>
    </w:p>
    <w:p w14:paraId="02221B05">
      <w:pPr>
        <w:snapToGrid w:val="0"/>
        <w:ind w:firstLine="840" w:firstLineChars="400"/>
        <w:rPr>
          <w:rFonts w:hint="eastAsia" w:ascii="微软雅黑" w:hAnsi="微软雅黑" w:cs="宋体"/>
          <w:color w:val="auto"/>
          <w:szCs w:val="21"/>
          <w:highlight w:val="none"/>
          <w:lang w:val="en"/>
        </w:rPr>
      </w:pPr>
      <w:r>
        <w:rPr>
          <w:rFonts w:hint="eastAsia" w:ascii="微软雅黑" w:hAnsi="微软雅黑" w:cs="宋体"/>
          <w:color w:val="auto"/>
          <w:szCs w:val="21"/>
          <w:highlight w:val="none"/>
        </w:rPr>
        <w:t>2.2.8评分对应表</w:t>
      </w:r>
      <w:r>
        <w:rPr>
          <w:rFonts w:hint="eastAsia" w:ascii="微软雅黑" w:hAnsi="微软雅黑" w:cs="宋体"/>
          <w:color w:val="auto"/>
          <w:szCs w:val="21"/>
          <w:highlight w:val="none"/>
          <w:lang w:val="en"/>
        </w:rPr>
        <w:t>；</w:t>
      </w:r>
    </w:p>
    <w:p w14:paraId="61BE6F83">
      <w:pPr>
        <w:snapToGrid w:val="0"/>
        <w:ind w:firstLine="840" w:firstLineChars="400"/>
        <w:rPr>
          <w:rFonts w:hint="eastAsia" w:ascii="微软雅黑" w:hAnsi="微软雅黑" w:cs="宋体"/>
          <w:color w:val="auto"/>
          <w:szCs w:val="21"/>
          <w:highlight w:val="none"/>
        </w:rPr>
      </w:pPr>
      <w:r>
        <w:rPr>
          <w:rFonts w:ascii="微软雅黑" w:hAnsi="微软雅黑" w:cs="宋体"/>
          <w:color w:val="auto"/>
          <w:szCs w:val="21"/>
          <w:highlight w:val="none"/>
          <w:lang w:val="en"/>
        </w:rPr>
        <w:t>2.2.</w:t>
      </w:r>
      <w:r>
        <w:rPr>
          <w:rFonts w:hint="eastAsia" w:ascii="微软雅黑" w:hAnsi="微软雅黑" w:cs="宋体"/>
          <w:color w:val="auto"/>
          <w:szCs w:val="21"/>
          <w:highlight w:val="none"/>
        </w:rPr>
        <w:t>9</w:t>
      </w:r>
      <w:r>
        <w:rPr>
          <w:rFonts w:hint="eastAsia" w:ascii="微软雅黑" w:hAnsi="微软雅黑" w:cs="宋体"/>
          <w:color w:val="auto"/>
          <w:szCs w:val="21"/>
          <w:highlight w:val="none"/>
          <w:lang w:eastAsia="zh-CN"/>
        </w:rPr>
        <w:t>投标人</w:t>
      </w:r>
      <w:r>
        <w:rPr>
          <w:rFonts w:hint="eastAsia" w:ascii="微软雅黑" w:hAnsi="微软雅黑" w:cs="宋体"/>
          <w:color w:val="auto"/>
          <w:szCs w:val="21"/>
          <w:highlight w:val="none"/>
        </w:rPr>
        <w:t>认为需要提供的其他文件及资料（格式自拟）。</w:t>
      </w:r>
    </w:p>
    <w:p w14:paraId="1FBB0660">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3报价文件</w:t>
      </w:r>
    </w:p>
    <w:p w14:paraId="122D8A41">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2.3.1开标一览表（报价表）；</w:t>
      </w:r>
    </w:p>
    <w:p w14:paraId="738B8AE0">
      <w:pPr>
        <w:ind w:firstLine="840" w:firstLineChars="400"/>
        <w:rPr>
          <w:rFonts w:hint="eastAsia" w:ascii="微软雅黑" w:hAnsi="微软雅黑"/>
          <w:color w:val="auto"/>
          <w:szCs w:val="21"/>
          <w:highlight w:val="none"/>
        </w:rPr>
      </w:pPr>
      <w:r>
        <w:rPr>
          <w:rFonts w:hint="eastAsia" w:ascii="微软雅黑" w:hAnsi="微软雅黑"/>
          <w:color w:val="auto"/>
          <w:szCs w:val="21"/>
          <w:highlight w:val="none"/>
        </w:rPr>
        <w:t>2.3.2投标</w:t>
      </w:r>
      <w:r>
        <w:rPr>
          <w:rFonts w:hint="eastAsia" w:ascii="微软雅黑" w:hAnsi="微软雅黑"/>
          <w:color w:val="auto"/>
          <w:szCs w:val="21"/>
          <w:highlight w:val="none"/>
          <w:lang w:eastAsia="zh-CN"/>
        </w:rPr>
        <w:t>投标人</w:t>
      </w:r>
      <w:r>
        <w:rPr>
          <w:rFonts w:hint="eastAsia" w:ascii="微软雅黑" w:hAnsi="微软雅黑"/>
          <w:color w:val="auto"/>
          <w:szCs w:val="21"/>
          <w:highlight w:val="none"/>
        </w:rPr>
        <w:t>针对报价需要说明的其他文件和说明。</w:t>
      </w:r>
    </w:p>
    <w:p w14:paraId="124C105F">
      <w:pPr>
        <w:snapToGrid w:val="0"/>
        <w:ind w:left="420" w:leftChars="200" w:firstLine="420"/>
        <w:rPr>
          <w:rFonts w:hint="eastAsia" w:ascii="微软雅黑" w:hAnsi="微软雅黑" w:cs="宋体"/>
          <w:color w:val="auto"/>
          <w:szCs w:val="21"/>
          <w:highlight w:val="none"/>
        </w:rPr>
      </w:pPr>
      <w:r>
        <w:rPr>
          <w:rFonts w:hint="eastAsia" w:ascii="微软雅黑" w:hAnsi="微软雅黑"/>
          <w:b/>
          <w:bCs/>
          <w:color w:val="auto"/>
          <w:szCs w:val="21"/>
          <w:highlight w:val="none"/>
        </w:rPr>
        <w:t>法定代表人授权委托书、投标函、开标一览表必须有法定代表人或被</w:t>
      </w:r>
      <w:r>
        <w:rPr>
          <w:rFonts w:hint="eastAsia" w:ascii="微软雅黑" w:hAnsi="微软雅黑"/>
          <w:b/>
          <w:color w:val="auto"/>
          <w:szCs w:val="21"/>
          <w:highlight w:val="none"/>
        </w:rPr>
        <w:t>授权</w:t>
      </w:r>
      <w:r>
        <w:rPr>
          <w:rFonts w:hint="eastAsia" w:ascii="微软雅黑" w:hAnsi="微软雅黑"/>
          <w:b/>
          <w:bCs/>
          <w:color w:val="auto"/>
          <w:szCs w:val="21"/>
          <w:highlight w:val="none"/>
        </w:rPr>
        <w:t>人签字（或签章）并加盖单位公章。</w:t>
      </w:r>
    </w:p>
    <w:p w14:paraId="76479FB9">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3、我方承诺除商务技术响应表列出的偏离外，我方响应招标文件的全部要求。</w:t>
      </w:r>
    </w:p>
    <w:p w14:paraId="58E2A7ED">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4、如我方中标，我方承诺：</w:t>
      </w:r>
    </w:p>
    <w:p w14:paraId="170A1529">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4.1在收到中标通知书后，在中标通知书规定的期限内与你方签订合同； </w:t>
      </w:r>
    </w:p>
    <w:p w14:paraId="74B4629B">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4.2在签订合同时不向你方提出附加条件； </w:t>
      </w:r>
    </w:p>
    <w:p w14:paraId="735E7008">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4.3按照招标文件要求提交履约保证金； </w:t>
      </w:r>
    </w:p>
    <w:p w14:paraId="1D6A491A">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4.4在合同约定的期限内完成合同规定的全部义务。 </w:t>
      </w:r>
    </w:p>
    <w:p w14:paraId="42CD00FC">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5、其他补充说明:</w:t>
      </w:r>
      <w:r>
        <w:rPr>
          <w:rFonts w:hint="eastAsia" w:ascii="微软雅黑" w:hAnsi="微软雅黑" w:cs="宋体"/>
          <w:color w:val="auto"/>
          <w:szCs w:val="21"/>
          <w:highlight w:val="none"/>
          <w:u w:val="single"/>
        </w:rPr>
        <w:t xml:space="preserve">                                        </w:t>
      </w:r>
      <w:r>
        <w:rPr>
          <w:rFonts w:hint="eastAsia" w:ascii="微软雅黑" w:hAnsi="微软雅黑" w:cs="宋体"/>
          <w:color w:val="auto"/>
          <w:szCs w:val="21"/>
          <w:highlight w:val="none"/>
        </w:rPr>
        <w:t>。</w:t>
      </w:r>
    </w:p>
    <w:p w14:paraId="382E1B73">
      <w:pPr>
        <w:snapToGrid w:val="0"/>
        <w:spacing w:before="120" w:beforeLines="50"/>
        <w:ind w:firstLine="420"/>
        <w:jc w:val="both"/>
        <w:rPr>
          <w:rFonts w:hint="eastAsia" w:ascii="微软雅黑" w:hAnsi="微软雅黑" w:cs="Arial"/>
          <w:color w:val="auto"/>
          <w:kern w:val="0"/>
          <w:szCs w:val="21"/>
          <w:highlight w:val="none"/>
        </w:rPr>
      </w:pPr>
    </w:p>
    <w:p w14:paraId="60AF5CDE">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4346B989">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1229BFB2">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43153821">
      <w:pPr>
        <w:snapToGrid w:val="0"/>
        <w:spacing w:before="120" w:beforeLines="50" w:after="50"/>
        <w:ind w:firstLine="640"/>
        <w:jc w:val="center"/>
        <w:rPr>
          <w:rFonts w:hint="eastAsia" w:ascii="宋体" w:hAnsi="宋体"/>
          <w:b/>
          <w:color w:val="auto"/>
          <w:sz w:val="32"/>
          <w:szCs w:val="32"/>
          <w:highlight w:val="none"/>
        </w:rPr>
      </w:pPr>
    </w:p>
    <w:p w14:paraId="505875FE">
      <w:pPr>
        <w:snapToGrid w:val="0"/>
        <w:spacing w:before="120" w:beforeLines="50" w:after="50"/>
        <w:ind w:firstLine="640"/>
        <w:jc w:val="center"/>
        <w:rPr>
          <w:rFonts w:hint="eastAsia" w:ascii="宋体" w:hAnsi="宋体"/>
          <w:b/>
          <w:color w:val="auto"/>
          <w:sz w:val="32"/>
          <w:szCs w:val="32"/>
          <w:highlight w:val="none"/>
        </w:rPr>
        <w:sectPr>
          <w:pgSz w:w="11906" w:h="16838"/>
          <w:pgMar w:top="1276" w:right="1418" w:bottom="1247" w:left="1418" w:header="851" w:footer="992" w:gutter="0"/>
          <w:cols w:space="720" w:num="1"/>
          <w:titlePg/>
          <w:docGrid w:linePitch="312" w:charSpace="0"/>
        </w:sectPr>
      </w:pPr>
    </w:p>
    <w:p w14:paraId="6630FB20">
      <w:pPr>
        <w:snapToGrid w:val="0"/>
        <w:spacing w:before="120" w:beforeLines="50" w:after="50"/>
        <w:ind w:firstLine="420"/>
        <w:jc w:val="center"/>
        <w:outlineLvl w:val="1"/>
        <w:rPr>
          <w:rFonts w:hint="eastAsia" w:ascii="微软雅黑" w:hAnsi="微软雅黑"/>
          <w:b/>
          <w:color w:val="auto"/>
          <w:szCs w:val="21"/>
          <w:highlight w:val="none"/>
        </w:rPr>
      </w:pPr>
      <w:bookmarkStart w:id="239" w:name="_Toc8363"/>
      <w:bookmarkStart w:id="240" w:name="_Toc28495"/>
      <w:r>
        <w:rPr>
          <w:rFonts w:hint="eastAsia" w:ascii="微软雅黑" w:hAnsi="微软雅黑"/>
          <w:b/>
          <w:color w:val="auto"/>
          <w:szCs w:val="21"/>
          <w:highlight w:val="none"/>
        </w:rPr>
        <w:t>二、法定代表人授权委托书</w:t>
      </w:r>
      <w:bookmarkEnd w:id="239"/>
      <w:bookmarkEnd w:id="240"/>
    </w:p>
    <w:p w14:paraId="413DC6C6">
      <w:pPr>
        <w:snapToGrid w:val="0"/>
        <w:ind w:firstLine="420"/>
        <w:rPr>
          <w:rFonts w:hint="eastAsia" w:ascii="微软雅黑" w:hAnsi="微软雅黑" w:cs="宋体"/>
          <w:color w:val="auto"/>
          <w:szCs w:val="21"/>
          <w:highlight w:val="none"/>
          <w:u w:val="single"/>
        </w:rPr>
      </w:pPr>
      <w:r>
        <w:rPr>
          <w:rFonts w:hint="eastAsia" w:ascii="微软雅黑" w:hAnsi="微软雅黑" w:cs="宋体"/>
          <w:color w:val="auto"/>
          <w:szCs w:val="21"/>
          <w:highlight w:val="none"/>
          <w:u w:val="single"/>
        </w:rPr>
        <w:t>（采购人）、（采购代理机构）：</w:t>
      </w:r>
    </w:p>
    <w:p w14:paraId="77427BAE">
      <w:pPr>
        <w:snapToGrid w:val="0"/>
        <w:spacing w:before="120" w:beforeLines="50" w:after="50"/>
        <w:ind w:firstLine="630" w:firstLineChars="300"/>
        <w:rPr>
          <w:rFonts w:hint="eastAsia" w:ascii="宋体" w:hAnsi="宋体"/>
          <w:color w:val="auto"/>
          <w:szCs w:val="20"/>
          <w:highlight w:val="none"/>
        </w:rPr>
      </w:pPr>
      <w:r>
        <w:rPr>
          <w:rFonts w:hint="eastAsia" w:ascii="宋体" w:hAnsi="宋体"/>
          <w:color w:val="auto"/>
          <w:highlight w:val="none"/>
        </w:rPr>
        <w:t>我</w:t>
      </w:r>
      <w:r>
        <w:rPr>
          <w:rFonts w:hint="eastAsia" w:ascii="宋体" w:hAnsi="宋体"/>
          <w:color w:val="auto"/>
          <w:highlight w:val="none"/>
          <w:u w:val="single"/>
        </w:rPr>
        <w:t xml:space="preserve">              </w:t>
      </w:r>
      <w:r>
        <w:rPr>
          <w:rFonts w:hint="eastAsia" w:ascii="宋体" w:hAnsi="宋体"/>
          <w:color w:val="auto"/>
          <w:highlight w:val="none"/>
        </w:rPr>
        <w:t>（姓名）系</w:t>
      </w:r>
      <w:r>
        <w:rPr>
          <w:rFonts w:hint="eastAsia" w:ascii="宋体" w:hAnsi="宋体"/>
          <w:color w:val="auto"/>
          <w:highlight w:val="none"/>
          <w:u w:val="single"/>
        </w:rPr>
        <w:t xml:space="preserve">              </w:t>
      </w:r>
      <w:r>
        <w:rPr>
          <w:rFonts w:hint="eastAsia" w:ascii="宋体" w:hAnsi="宋体"/>
          <w:color w:val="auto"/>
          <w:highlight w:val="none"/>
        </w:rPr>
        <w:t>（投标</w:t>
      </w:r>
      <w:r>
        <w:rPr>
          <w:rFonts w:hint="eastAsia" w:ascii="宋体" w:hAnsi="宋体"/>
          <w:color w:val="auto"/>
          <w:highlight w:val="none"/>
          <w:lang w:eastAsia="zh-CN"/>
        </w:rPr>
        <w:t>投标人</w:t>
      </w:r>
      <w:r>
        <w:rPr>
          <w:rFonts w:hint="eastAsia" w:ascii="宋体" w:hAnsi="宋体"/>
          <w:color w:val="auto"/>
          <w:highlight w:val="none"/>
        </w:rPr>
        <w:t>名称）的法定代表人，现授权委托（姓名）以我方的名义参加</w:t>
      </w:r>
      <w:r>
        <w:rPr>
          <w:rFonts w:hint="eastAsia" w:ascii="宋体" w:hAnsi="宋体"/>
          <w:color w:val="auto"/>
          <w:highlight w:val="none"/>
          <w:u w:val="single"/>
        </w:rPr>
        <w:t xml:space="preserve">                项目</w:t>
      </w:r>
      <w:r>
        <w:rPr>
          <w:rFonts w:hint="eastAsia" w:ascii="宋体" w:hAnsi="宋体"/>
          <w:color w:val="auto"/>
          <w:highlight w:val="none"/>
        </w:rPr>
        <w:t>的投标活动，并代表我方全权办理针对上述项目的投标、开标、评标、签约等具体事务和签署相关文件。</w:t>
      </w:r>
    </w:p>
    <w:p w14:paraId="135612ED">
      <w:pPr>
        <w:snapToGrid w:val="0"/>
        <w:spacing w:before="120" w:beforeLines="50" w:after="50"/>
        <w:ind w:firstLine="420"/>
        <w:rPr>
          <w:rFonts w:hint="eastAsia" w:ascii="宋体" w:hAnsi="宋体"/>
          <w:color w:val="auto"/>
          <w:szCs w:val="20"/>
          <w:highlight w:val="none"/>
        </w:rPr>
      </w:pPr>
      <w:r>
        <w:rPr>
          <w:rFonts w:hint="eastAsia" w:ascii="宋体" w:hAnsi="宋体"/>
          <w:color w:val="auto"/>
          <w:highlight w:val="none"/>
        </w:rPr>
        <w:t>我方对被授权人的签字事项负全部责任。</w:t>
      </w:r>
    </w:p>
    <w:p w14:paraId="446F3DE0">
      <w:pPr>
        <w:snapToGrid w:val="0"/>
        <w:spacing w:before="120" w:beforeLines="50" w:after="50"/>
        <w:ind w:firstLine="420"/>
        <w:rPr>
          <w:rFonts w:hint="eastAsia" w:ascii="宋体" w:hAnsi="宋体"/>
          <w:color w:val="auto"/>
          <w:szCs w:val="20"/>
          <w:highlight w:val="none"/>
        </w:rPr>
      </w:pPr>
      <w:r>
        <w:rPr>
          <w:rFonts w:hint="eastAsia" w:ascii="宋体" w:hAnsi="宋体"/>
          <w:color w:val="auto"/>
          <w:highlight w:val="none"/>
          <w:u w:val="single"/>
        </w:rPr>
        <w:t>在撤销授权的书面通知以前，本授权书一直有效。</w:t>
      </w:r>
      <w:r>
        <w:rPr>
          <w:rFonts w:hint="eastAsia" w:ascii="宋体" w:hAnsi="宋体"/>
          <w:color w:val="auto"/>
          <w:highlight w:val="none"/>
        </w:rPr>
        <w:t>被授权人在授权书有效期内签署的所有文件不因授权的撤销而失效。</w:t>
      </w:r>
    </w:p>
    <w:p w14:paraId="4A8AEC7C">
      <w:pPr>
        <w:snapToGrid w:val="0"/>
        <w:spacing w:before="120" w:beforeLines="50" w:after="50"/>
        <w:ind w:firstLine="420"/>
        <w:rPr>
          <w:rFonts w:hint="eastAsia" w:ascii="宋体" w:hAnsi="宋体"/>
          <w:color w:val="auto"/>
          <w:highlight w:val="none"/>
        </w:rPr>
      </w:pPr>
      <w:r>
        <w:rPr>
          <w:rFonts w:hint="eastAsia" w:ascii="宋体" w:hAnsi="宋体"/>
          <w:color w:val="auto"/>
          <w:highlight w:val="none"/>
        </w:rPr>
        <w:t>被授权人无转委托权，特此委托。</w:t>
      </w:r>
    </w:p>
    <w:p w14:paraId="0581587A">
      <w:pPr>
        <w:snapToGrid w:val="0"/>
        <w:spacing w:before="120" w:beforeLines="50" w:after="50"/>
        <w:ind w:firstLine="420"/>
        <w:rPr>
          <w:rFonts w:hint="eastAsia" w:ascii="宋体" w:hAnsi="宋体"/>
          <w:color w:val="auto"/>
          <w:highlight w:val="none"/>
        </w:rPr>
      </w:pPr>
      <w:r>
        <w:rPr>
          <w:rFonts w:hint="eastAsia" w:ascii="宋体" w:hAnsi="宋体"/>
          <w:color w:val="auto"/>
          <w:highlight w:val="none"/>
        </w:rPr>
        <w:t>　身份证粘贴处：                   身份证粘贴处：</w:t>
      </w:r>
    </w:p>
    <w:p w14:paraId="532F12B9">
      <w:pPr>
        <w:snapToGrid w:val="0"/>
        <w:spacing w:before="120" w:beforeLines="50" w:after="50"/>
        <w:ind w:firstLine="420"/>
        <w:rPr>
          <w:rFonts w:hint="eastAsia" w:ascii="宋体" w:hAnsi="宋体"/>
          <w:color w:val="auto"/>
          <w:highlight w:val="none"/>
        </w:rPr>
      </w:pPr>
    </w:p>
    <w:p w14:paraId="238FB1B4">
      <w:pPr>
        <w:snapToGrid w:val="0"/>
        <w:spacing w:before="120" w:beforeLines="50" w:after="50"/>
        <w:ind w:firstLine="420"/>
        <w:rPr>
          <w:rFonts w:hint="eastAsia" w:ascii="宋体" w:hAnsi="宋体"/>
          <w:color w:val="auto"/>
          <w:szCs w:val="21"/>
          <w:highlight w:val="none"/>
          <w:u w:val="single"/>
        </w:rPr>
      </w:pPr>
      <w:r>
        <w:rPr>
          <w:rFonts w:hint="eastAsia" w:ascii="宋体" w:hAnsi="宋体"/>
          <w:color w:val="auto"/>
          <w:szCs w:val="21"/>
          <w:highlight w:val="none"/>
        </w:rPr>
        <w:t>法定代表人签字（或盖章）：          被授权人签字（或盖章）：</w:t>
      </w:r>
    </w:p>
    <w:p w14:paraId="3AC22426">
      <w:pPr>
        <w:snapToGrid w:val="0"/>
        <w:spacing w:before="120" w:beforeLines="50" w:after="50"/>
        <w:ind w:firstLine="420"/>
        <w:rPr>
          <w:rFonts w:hint="eastAsia" w:ascii="宋体" w:hAnsi="宋体"/>
          <w:color w:val="auto"/>
          <w:szCs w:val="21"/>
          <w:highlight w:val="none"/>
          <w:u w:val="single"/>
        </w:rPr>
      </w:pPr>
      <w:r>
        <w:rPr>
          <w:rFonts w:hint="eastAsia" w:ascii="宋体" w:hAnsi="宋体"/>
          <w:color w:val="auto"/>
          <w:szCs w:val="21"/>
          <w:highlight w:val="none"/>
        </w:rPr>
        <w:t>职务：                              职务：</w:t>
      </w:r>
    </w:p>
    <w:p w14:paraId="022E454A">
      <w:pPr>
        <w:snapToGrid w:val="0"/>
        <w:spacing w:before="120" w:beforeLines="50" w:after="50"/>
        <w:ind w:firstLine="420"/>
        <w:rPr>
          <w:rFonts w:hint="eastAsia" w:ascii="宋体" w:hAnsi="宋体"/>
          <w:color w:val="auto"/>
          <w:szCs w:val="21"/>
          <w:highlight w:val="none"/>
        </w:rPr>
      </w:pP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名称（公章）</w:t>
      </w:r>
      <w:r>
        <w:rPr>
          <w:rFonts w:hint="eastAsia" w:ascii="宋体" w:hAnsi="宋体"/>
          <w:color w:val="auto"/>
          <w:szCs w:val="21"/>
          <w:highlight w:val="none"/>
        </w:rPr>
        <w:t>：               年  月  日</w:t>
      </w:r>
    </w:p>
    <w:p w14:paraId="10989D35">
      <w:pPr>
        <w:ind w:firstLine="643"/>
        <w:jc w:val="center"/>
        <w:rPr>
          <w:rFonts w:hint="eastAsia" w:ascii="仿宋_GB2312" w:hAnsi="仿宋" w:eastAsia="仿宋_GB2312" w:cs="仿宋_GB2312"/>
          <w:b/>
          <w:color w:val="auto"/>
          <w:kern w:val="0"/>
          <w:sz w:val="32"/>
          <w:szCs w:val="32"/>
          <w:highlight w:val="none"/>
        </w:rPr>
      </w:pPr>
    </w:p>
    <w:p w14:paraId="471651ED">
      <w:pPr>
        <w:snapToGrid w:val="0"/>
        <w:spacing w:before="120" w:beforeLines="50" w:after="50"/>
        <w:ind w:firstLine="643"/>
        <w:jc w:val="center"/>
        <w:rPr>
          <w:rFonts w:hint="eastAsia" w:ascii="宋体" w:hAnsi="宋体" w:eastAsia="宋体"/>
          <w:b/>
          <w:color w:val="auto"/>
          <w:sz w:val="32"/>
          <w:szCs w:val="32"/>
          <w:highlight w:val="none"/>
        </w:rPr>
        <w:sectPr>
          <w:pgSz w:w="11906" w:h="16838"/>
          <w:pgMar w:top="1276" w:right="1418" w:bottom="1247" w:left="1418" w:header="851" w:footer="992" w:gutter="0"/>
          <w:cols w:space="720" w:num="1"/>
          <w:titlePg/>
          <w:docGrid w:linePitch="312" w:charSpace="0"/>
        </w:sectPr>
      </w:pPr>
    </w:p>
    <w:p w14:paraId="08595950">
      <w:pPr>
        <w:snapToGrid w:val="0"/>
        <w:spacing w:before="120" w:beforeLines="50" w:after="50"/>
        <w:ind w:firstLine="420"/>
        <w:jc w:val="center"/>
        <w:outlineLvl w:val="1"/>
        <w:rPr>
          <w:rFonts w:hint="eastAsia" w:ascii="微软雅黑" w:hAnsi="微软雅黑"/>
          <w:b/>
          <w:color w:val="auto"/>
          <w:szCs w:val="21"/>
          <w:highlight w:val="none"/>
        </w:rPr>
      </w:pPr>
      <w:bookmarkStart w:id="241" w:name="_Toc26681"/>
      <w:bookmarkStart w:id="242" w:name="_Toc11546"/>
      <w:r>
        <w:rPr>
          <w:rFonts w:hint="eastAsia" w:ascii="微软雅黑" w:hAnsi="微软雅黑"/>
          <w:b/>
          <w:color w:val="auto"/>
          <w:szCs w:val="21"/>
          <w:highlight w:val="none"/>
        </w:rPr>
        <w:t>三、政府采购活动现场确认声明书</w:t>
      </w:r>
      <w:bookmarkEnd w:id="241"/>
      <w:bookmarkEnd w:id="242"/>
    </w:p>
    <w:p w14:paraId="46961129">
      <w:pPr>
        <w:snapToGrid w:val="0"/>
        <w:spacing w:before="120" w:beforeLines="50" w:after="50"/>
        <w:ind w:firstLine="420"/>
        <w:rPr>
          <w:rFonts w:hint="eastAsia" w:ascii="微软雅黑" w:hAnsi="微软雅黑"/>
          <w:color w:val="auto"/>
          <w:szCs w:val="21"/>
          <w:highlight w:val="none"/>
        </w:rPr>
      </w:pPr>
      <w:r>
        <w:rPr>
          <w:rFonts w:hint="eastAsia" w:ascii="微软雅黑" w:hAnsi="微软雅黑" w:cs="宋体"/>
          <w:color w:val="auto"/>
          <w:szCs w:val="21"/>
          <w:highlight w:val="none"/>
          <w:u w:val="single"/>
        </w:rPr>
        <w:t>（采购人）、（采购代理机构）：</w:t>
      </w:r>
      <w:r>
        <w:rPr>
          <w:rFonts w:hint="eastAsia" w:ascii="微软雅黑" w:hAnsi="微软雅黑"/>
          <w:color w:val="auto"/>
          <w:szCs w:val="21"/>
          <w:highlight w:val="none"/>
        </w:rPr>
        <w:t>:</w:t>
      </w:r>
    </w:p>
    <w:p w14:paraId="65131601">
      <w:pPr>
        <w:snapToGrid w:val="0"/>
        <w:spacing w:before="120" w:beforeLines="50" w:after="50"/>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本人 ____________（授权代表姓名），经由______________________________（单位） ____________ （法定代表人姓名）合法授权参加 </w:t>
      </w:r>
      <w:r>
        <w:rPr>
          <w:rFonts w:hint="eastAsia" w:ascii="微软雅黑" w:hAnsi="微软雅黑"/>
          <w:color w:val="auto"/>
          <w:szCs w:val="21"/>
          <w:highlight w:val="none"/>
          <w:u w:val="single"/>
        </w:rPr>
        <w:t>嘉兴市秀洲区洪合镇人民政府实验室设备采购项目（编号：       ）</w:t>
      </w:r>
      <w:r>
        <w:rPr>
          <w:rFonts w:hint="eastAsia" w:ascii="微软雅黑" w:hAnsi="微软雅黑"/>
          <w:color w:val="auto"/>
          <w:szCs w:val="21"/>
          <w:highlight w:val="none"/>
        </w:rPr>
        <w:t>政府采购活动．经与本单位法人代表（负责人）联系确认，现就有关公平竞争事项郑重声明如下:</w:t>
      </w:r>
    </w:p>
    <w:p w14:paraId="762AA965">
      <w:pPr>
        <w:snapToGrid w:val="0"/>
        <w:spacing w:before="120" w:beforeLines="50" w:after="50"/>
        <w:ind w:firstLine="420"/>
        <w:outlineLvl w:val="1"/>
        <w:rPr>
          <w:rFonts w:hint="eastAsia" w:ascii="微软雅黑" w:hAnsi="微软雅黑"/>
          <w:color w:val="auto"/>
          <w:szCs w:val="21"/>
          <w:highlight w:val="none"/>
        </w:rPr>
      </w:pPr>
      <w:bookmarkStart w:id="243" w:name="_Toc7413"/>
      <w:bookmarkStart w:id="244" w:name="_Toc5627"/>
      <w:r>
        <w:rPr>
          <w:rFonts w:hint="eastAsia" w:ascii="微软雅黑" w:hAnsi="微软雅黑"/>
          <w:color w:val="auto"/>
          <w:szCs w:val="21"/>
          <w:highlight w:val="none"/>
        </w:rPr>
        <w:t>一、本单位与采购人之间口不存在利害关系口存在下列利害关系：</w:t>
      </w:r>
      <w:bookmarkEnd w:id="243"/>
      <w:bookmarkEnd w:id="244"/>
    </w:p>
    <w:p w14:paraId="751748AB">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A．投资关系 B．行政隶属关系 C．业务指导关系D．其他可能影响采购公正的利害关系（如有，请如实说明）。</w:t>
      </w:r>
    </w:p>
    <w:p w14:paraId="29CF6ADB">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二、现己清楚知道参加本项目采购活动的其他所有</w:t>
      </w:r>
      <w:r>
        <w:rPr>
          <w:rFonts w:hint="eastAsia" w:ascii="微软雅黑" w:hAnsi="微软雅黑"/>
          <w:color w:val="auto"/>
          <w:szCs w:val="21"/>
          <w:highlight w:val="none"/>
          <w:lang w:eastAsia="zh-CN"/>
        </w:rPr>
        <w:t>投标人</w:t>
      </w:r>
      <w:r>
        <w:rPr>
          <w:rFonts w:hint="eastAsia" w:ascii="微软雅黑" w:hAnsi="微软雅黑"/>
          <w:color w:val="auto"/>
          <w:szCs w:val="21"/>
          <w:highlight w:val="none"/>
        </w:rPr>
        <w:t>名称，本单位 口与其他所有</w:t>
      </w:r>
      <w:r>
        <w:rPr>
          <w:rFonts w:hint="eastAsia" w:ascii="微软雅黑" w:hAnsi="微软雅黑"/>
          <w:color w:val="auto"/>
          <w:szCs w:val="21"/>
          <w:highlight w:val="none"/>
          <w:lang w:eastAsia="zh-CN"/>
        </w:rPr>
        <w:t>投标人</w:t>
      </w:r>
      <w:r>
        <w:rPr>
          <w:rFonts w:hint="eastAsia" w:ascii="微软雅黑" w:hAnsi="微软雅黑"/>
          <w:color w:val="auto"/>
          <w:szCs w:val="21"/>
          <w:highlight w:val="none"/>
        </w:rPr>
        <w:t>之间均不存在利害关系 口与______________（</w:t>
      </w:r>
      <w:r>
        <w:rPr>
          <w:rFonts w:hint="eastAsia" w:ascii="微软雅黑" w:hAnsi="微软雅黑"/>
          <w:color w:val="auto"/>
          <w:szCs w:val="21"/>
          <w:highlight w:val="none"/>
          <w:lang w:eastAsia="zh-CN"/>
        </w:rPr>
        <w:t>投标人</w:t>
      </w:r>
      <w:r>
        <w:rPr>
          <w:rFonts w:hint="eastAsia" w:ascii="微软雅黑" w:hAnsi="微软雅黑"/>
          <w:color w:val="auto"/>
          <w:szCs w:val="21"/>
          <w:highlight w:val="none"/>
        </w:rPr>
        <w:t>名称）之间存在下列利害关系:</w:t>
      </w:r>
    </w:p>
    <w:p w14:paraId="490F3348">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A．法定代表人或负责人或实际控制人是同一人</w:t>
      </w:r>
    </w:p>
    <w:p w14:paraId="2D6D388F">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B．法定代表人或负责人或实际控制人是夫妻关系</w:t>
      </w:r>
    </w:p>
    <w:p w14:paraId="4B8058BA">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C．法定代表人或负责人或实际控制人是直系血亲关系</w:t>
      </w:r>
    </w:p>
    <w:p w14:paraId="1468B6A7">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D．法定代表人或负责人或实际控制人存在三代以内旁系血亲关系</w:t>
      </w:r>
    </w:p>
    <w:p w14:paraId="1D98C339">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E．法定代表人或负责人或实际控制人存在近姻亲关系</w:t>
      </w:r>
    </w:p>
    <w:p w14:paraId="797CE5CB">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F．法定代表人或负责人或实际控制人存在股份控制或实际控制关系</w:t>
      </w:r>
    </w:p>
    <w:p w14:paraId="66871B51">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G．存在共同直接或间接投资设立子公司、联营企业和合营企业情况</w:t>
      </w:r>
    </w:p>
    <w:p w14:paraId="2E170630">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H．存在分级代理或代销关系、同一生产制造商关系、管理关系、重要业务（占主营业务收入 50 ％以上）或重要财务往来关系（如融资）等其他实质性控制关系</w:t>
      </w:r>
    </w:p>
    <w:p w14:paraId="56BC5711">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I．其他利害关系情况 ________________________________________。</w:t>
      </w:r>
    </w:p>
    <w:p w14:paraId="2C5DEDFF">
      <w:pPr>
        <w:snapToGrid w:val="0"/>
        <w:spacing w:before="120" w:beforeLines="50" w:after="50"/>
        <w:ind w:firstLine="420"/>
        <w:outlineLvl w:val="1"/>
        <w:rPr>
          <w:rFonts w:hint="eastAsia" w:ascii="微软雅黑" w:hAnsi="微软雅黑"/>
          <w:color w:val="auto"/>
          <w:szCs w:val="21"/>
          <w:highlight w:val="none"/>
        </w:rPr>
      </w:pPr>
      <w:bookmarkStart w:id="245" w:name="_Toc11452"/>
      <w:bookmarkStart w:id="246" w:name="_Toc26184"/>
      <w:r>
        <w:rPr>
          <w:rFonts w:hint="eastAsia" w:ascii="微软雅黑" w:hAnsi="微软雅黑"/>
          <w:color w:val="auto"/>
          <w:szCs w:val="21"/>
          <w:highlight w:val="none"/>
        </w:rPr>
        <w:t>三、现己清楚知道并严格遵守政府采购法律法规和现场纪律。</w:t>
      </w:r>
      <w:bookmarkEnd w:id="245"/>
      <w:bookmarkEnd w:id="246"/>
    </w:p>
    <w:p w14:paraId="358C6A6E">
      <w:pPr>
        <w:snapToGrid w:val="0"/>
        <w:spacing w:before="120" w:beforeLines="50" w:after="50"/>
        <w:ind w:firstLine="420"/>
        <w:rPr>
          <w:rFonts w:hint="eastAsia" w:ascii="微软雅黑" w:hAnsi="微软雅黑"/>
          <w:color w:val="auto"/>
          <w:szCs w:val="21"/>
          <w:highlight w:val="none"/>
        </w:rPr>
      </w:pPr>
      <w:r>
        <w:rPr>
          <w:rFonts w:hint="eastAsia" w:ascii="微软雅黑" w:hAnsi="微软雅黑"/>
          <w:color w:val="auto"/>
          <w:szCs w:val="21"/>
          <w:highlight w:val="none"/>
        </w:rPr>
        <w:t>四、我发现 ____________________</w:t>
      </w:r>
      <w:r>
        <w:rPr>
          <w:rFonts w:hint="eastAsia" w:ascii="微软雅黑" w:hAnsi="微软雅黑"/>
          <w:color w:val="auto"/>
          <w:szCs w:val="21"/>
          <w:highlight w:val="none"/>
          <w:lang w:eastAsia="zh-CN"/>
        </w:rPr>
        <w:t>投标人</w:t>
      </w:r>
      <w:r>
        <w:rPr>
          <w:rFonts w:hint="eastAsia" w:ascii="微软雅黑" w:hAnsi="微软雅黑"/>
          <w:color w:val="auto"/>
          <w:szCs w:val="21"/>
          <w:highlight w:val="none"/>
        </w:rPr>
        <w:t>之间存在或可能存在上述第二条第 ____________项利害关系。</w:t>
      </w:r>
    </w:p>
    <w:p w14:paraId="0D19D3AF">
      <w:pPr>
        <w:snapToGrid w:val="0"/>
        <w:spacing w:before="120" w:beforeLines="50" w:after="50"/>
        <w:ind w:firstLine="420"/>
        <w:jc w:val="right"/>
        <w:rPr>
          <w:rFonts w:hint="eastAsia" w:ascii="微软雅黑" w:hAnsi="微软雅黑"/>
          <w:color w:val="auto"/>
          <w:szCs w:val="21"/>
          <w:highlight w:val="none"/>
        </w:rPr>
      </w:pPr>
      <w:r>
        <w:rPr>
          <w:rFonts w:hint="eastAsia" w:ascii="微软雅黑" w:hAnsi="微软雅黑"/>
          <w:color w:val="auto"/>
          <w:szCs w:val="21"/>
          <w:highlight w:val="none"/>
        </w:rPr>
        <w:t>（</w:t>
      </w:r>
      <w:r>
        <w:rPr>
          <w:rFonts w:hint="eastAsia" w:ascii="微软雅黑" w:hAnsi="微软雅黑"/>
          <w:color w:val="auto"/>
          <w:szCs w:val="21"/>
          <w:highlight w:val="none"/>
          <w:lang w:eastAsia="zh-CN"/>
        </w:rPr>
        <w:t>投标人</w:t>
      </w:r>
      <w:r>
        <w:rPr>
          <w:rFonts w:hint="eastAsia" w:ascii="微软雅黑" w:hAnsi="微软雅黑"/>
          <w:color w:val="auto"/>
          <w:szCs w:val="21"/>
          <w:highlight w:val="none"/>
        </w:rPr>
        <w:t>代表签名）:</w:t>
      </w:r>
    </w:p>
    <w:p w14:paraId="0C729168">
      <w:pPr>
        <w:snapToGrid w:val="0"/>
        <w:spacing w:before="120" w:beforeLines="50" w:after="50"/>
        <w:ind w:firstLine="420"/>
        <w:jc w:val="right"/>
        <w:rPr>
          <w:rFonts w:hint="eastAsia" w:ascii="微软雅黑" w:hAnsi="微软雅黑" w:cs="仿宋_GB2312"/>
          <w:b/>
          <w:color w:val="auto"/>
          <w:kern w:val="0"/>
          <w:szCs w:val="21"/>
          <w:highlight w:val="none"/>
        </w:rPr>
      </w:pPr>
      <w:r>
        <w:rPr>
          <w:rFonts w:hint="eastAsia" w:ascii="微软雅黑" w:hAnsi="微软雅黑"/>
          <w:color w:val="auto"/>
          <w:szCs w:val="21"/>
          <w:highlight w:val="none"/>
        </w:rPr>
        <w:t xml:space="preserve">    年  月  日</w:t>
      </w:r>
    </w:p>
    <w:p w14:paraId="455E9350">
      <w:pPr>
        <w:pStyle w:val="3"/>
        <w:keepNext w:val="0"/>
        <w:keepLines w:val="0"/>
        <w:ind w:firstLine="420"/>
        <w:rPr>
          <w:rFonts w:hint="eastAsia" w:ascii="微软雅黑" w:hAnsi="微软雅黑"/>
          <w:color w:val="auto"/>
          <w:szCs w:val="21"/>
          <w:highlight w:val="none"/>
          <w:lang w:val="zh-CN"/>
        </w:rPr>
      </w:pPr>
    </w:p>
    <w:p w14:paraId="21EDE183">
      <w:pPr>
        <w:ind w:firstLine="420"/>
        <w:jc w:val="center"/>
        <w:outlineLvl w:val="1"/>
        <w:rPr>
          <w:rFonts w:hint="eastAsia" w:ascii="微软雅黑" w:hAnsi="微软雅黑" w:cs="仿宋_GB2312"/>
          <w:b/>
          <w:color w:val="auto"/>
          <w:kern w:val="0"/>
          <w:szCs w:val="21"/>
          <w:highlight w:val="none"/>
        </w:rPr>
      </w:pPr>
      <w:bookmarkStart w:id="247" w:name="_Toc16878"/>
      <w:bookmarkStart w:id="248" w:name="_Toc16507"/>
      <w:r>
        <w:rPr>
          <w:rFonts w:hint="eastAsia" w:ascii="微软雅黑" w:hAnsi="微软雅黑" w:cs="仿宋_GB2312"/>
          <w:b/>
          <w:color w:val="auto"/>
          <w:kern w:val="0"/>
          <w:szCs w:val="21"/>
          <w:highlight w:val="none"/>
        </w:rPr>
        <w:t>四、符合性审查资料</w:t>
      </w:r>
      <w:bookmarkEnd w:id="247"/>
      <w:bookmarkEnd w:id="248"/>
    </w:p>
    <w:tbl>
      <w:tblPr>
        <w:tblStyle w:val="5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715"/>
        <w:gridCol w:w="2939"/>
        <w:gridCol w:w="1880"/>
      </w:tblGrid>
      <w:tr w14:paraId="5B32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08548D3B">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序号</w:t>
            </w:r>
          </w:p>
        </w:tc>
        <w:tc>
          <w:tcPr>
            <w:tcW w:w="3715" w:type="dxa"/>
            <w:vAlign w:val="center"/>
          </w:tcPr>
          <w:p w14:paraId="6895C416">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实质性要求</w:t>
            </w:r>
          </w:p>
        </w:tc>
        <w:tc>
          <w:tcPr>
            <w:tcW w:w="2939" w:type="dxa"/>
            <w:vAlign w:val="center"/>
          </w:tcPr>
          <w:p w14:paraId="0910EC95">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需要提供的符合性审查资料</w:t>
            </w:r>
          </w:p>
        </w:tc>
        <w:tc>
          <w:tcPr>
            <w:tcW w:w="1880" w:type="dxa"/>
            <w:vAlign w:val="center"/>
          </w:tcPr>
          <w:p w14:paraId="679CBEC1">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投标文件中的</w:t>
            </w:r>
          </w:p>
          <w:p w14:paraId="27575676">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页码位置</w:t>
            </w:r>
          </w:p>
        </w:tc>
      </w:tr>
      <w:tr w14:paraId="3FA1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3D32370">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1</w:t>
            </w:r>
          </w:p>
        </w:tc>
        <w:tc>
          <w:tcPr>
            <w:tcW w:w="3715" w:type="dxa"/>
          </w:tcPr>
          <w:p w14:paraId="1883DF08">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投标文件按照招标文件要求签署、盖章。</w:t>
            </w:r>
          </w:p>
        </w:tc>
        <w:tc>
          <w:tcPr>
            <w:tcW w:w="2939" w:type="dxa"/>
            <w:vAlign w:val="center"/>
          </w:tcPr>
          <w:p w14:paraId="0447F2E1">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需要使用电子签名或者签字盖章的投标文件的组成部分</w:t>
            </w:r>
          </w:p>
        </w:tc>
        <w:tc>
          <w:tcPr>
            <w:tcW w:w="1880" w:type="dxa"/>
          </w:tcPr>
          <w:p w14:paraId="30E0F889">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见投标文件</w:t>
            </w:r>
          </w:p>
          <w:p w14:paraId="02B22BB9">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r w14:paraId="0911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B8A61E">
            <w:pPr>
              <w:spacing w:line="240" w:lineRule="auto"/>
              <w:ind w:firstLine="0" w:firstLineChars="0"/>
              <w:rPr>
                <w:rFonts w:hint="eastAsia" w:ascii="微软雅黑" w:hAnsi="微软雅黑" w:eastAsia="微软雅黑"/>
                <w:color w:val="auto"/>
                <w:szCs w:val="21"/>
                <w:highlight w:val="none"/>
                <w:lang w:eastAsia="zh-CN"/>
              </w:rPr>
            </w:pPr>
            <w:r>
              <w:rPr>
                <w:rFonts w:hint="eastAsia" w:ascii="微软雅黑" w:hAnsi="微软雅黑"/>
                <w:color w:val="auto"/>
                <w:szCs w:val="21"/>
                <w:highlight w:val="none"/>
                <w:lang w:val="en-US" w:eastAsia="zh-CN"/>
              </w:rPr>
              <w:t>2</w:t>
            </w:r>
          </w:p>
        </w:tc>
        <w:tc>
          <w:tcPr>
            <w:tcW w:w="3715" w:type="dxa"/>
          </w:tcPr>
          <w:p w14:paraId="047EB03B">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olor w:val="auto"/>
                <w:szCs w:val="21"/>
                <w:highlight w:val="none"/>
              </w:rPr>
              <w:t>投标文件中承诺的投标有效期不少于招标文件中载明的投标有效期。</w:t>
            </w:r>
          </w:p>
        </w:tc>
        <w:tc>
          <w:tcPr>
            <w:tcW w:w="2939" w:type="dxa"/>
            <w:vAlign w:val="center"/>
          </w:tcPr>
          <w:p w14:paraId="4965D92B">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投标函</w:t>
            </w:r>
          </w:p>
        </w:tc>
        <w:tc>
          <w:tcPr>
            <w:tcW w:w="1880" w:type="dxa"/>
          </w:tcPr>
          <w:p w14:paraId="3E13B822">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见投标文件第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r w14:paraId="0EB7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8F7BF4">
            <w:pPr>
              <w:spacing w:line="240" w:lineRule="auto"/>
              <w:ind w:firstLine="0" w:firstLineChars="0"/>
              <w:rPr>
                <w:rFonts w:hint="eastAsia" w:ascii="微软雅黑" w:hAnsi="微软雅黑" w:eastAsia="微软雅黑"/>
                <w:color w:val="auto"/>
                <w:szCs w:val="21"/>
                <w:highlight w:val="none"/>
                <w:lang w:eastAsia="zh-CN"/>
              </w:rPr>
            </w:pPr>
            <w:r>
              <w:rPr>
                <w:rFonts w:hint="eastAsia" w:ascii="微软雅黑" w:hAnsi="微软雅黑"/>
                <w:color w:val="auto"/>
                <w:szCs w:val="21"/>
                <w:highlight w:val="none"/>
                <w:lang w:val="en-US" w:eastAsia="zh-CN"/>
              </w:rPr>
              <w:t>3</w:t>
            </w:r>
          </w:p>
        </w:tc>
        <w:tc>
          <w:tcPr>
            <w:tcW w:w="3715" w:type="dxa"/>
          </w:tcPr>
          <w:p w14:paraId="2D4B2D56">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投标文件满足招标文件的其它实质性要求。</w:t>
            </w:r>
          </w:p>
        </w:tc>
        <w:tc>
          <w:tcPr>
            <w:tcW w:w="2939" w:type="dxa"/>
            <w:vAlign w:val="center"/>
          </w:tcPr>
          <w:p w14:paraId="43769C1E">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kern w:val="0"/>
                <w:szCs w:val="21"/>
                <w:highlight w:val="none"/>
              </w:rPr>
              <w:t>招标文件其它实质性要求相应的材料（“▲”</w:t>
            </w:r>
            <w:r>
              <w:rPr>
                <w:rFonts w:ascii="微软雅黑" w:hAnsi="微软雅黑" w:cs="仿宋_GB2312"/>
                <w:color w:val="auto"/>
                <w:kern w:val="0"/>
                <w:szCs w:val="21"/>
                <w:highlight w:val="none"/>
              </w:rPr>
              <w:t xml:space="preserve"> </w:t>
            </w:r>
            <w:r>
              <w:rPr>
                <w:rFonts w:hint="eastAsia" w:ascii="微软雅黑" w:hAnsi="微软雅黑" w:cs="仿宋_GB2312"/>
                <w:color w:val="auto"/>
                <w:kern w:val="0"/>
                <w:szCs w:val="21"/>
                <w:highlight w:val="none"/>
              </w:rPr>
              <w:t>系指实质性要求条款，招标文件无其它实质性要求的，无需提供）</w:t>
            </w:r>
          </w:p>
        </w:tc>
        <w:tc>
          <w:tcPr>
            <w:tcW w:w="1880" w:type="dxa"/>
          </w:tcPr>
          <w:p w14:paraId="198A4A76">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见投标文件第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bl>
    <w:p w14:paraId="099B77D0">
      <w:pPr>
        <w:snapToGrid w:val="0"/>
        <w:spacing w:before="120" w:beforeLines="50"/>
        <w:ind w:firstLine="420"/>
        <w:jc w:val="both"/>
        <w:rPr>
          <w:rFonts w:hint="eastAsia" w:ascii="微软雅黑" w:hAnsi="微软雅黑" w:cs="Arial"/>
          <w:color w:val="auto"/>
          <w:kern w:val="0"/>
          <w:szCs w:val="21"/>
          <w:highlight w:val="none"/>
        </w:rPr>
      </w:pPr>
    </w:p>
    <w:p w14:paraId="06028ADF">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6A07F401">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0A4B2AB9">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6AB430C5">
      <w:pPr>
        <w:pStyle w:val="119"/>
        <w:ind w:firstLine="420"/>
        <w:jc w:val="center"/>
        <w:rPr>
          <w:rFonts w:hint="eastAsia" w:ascii="微软雅黑" w:hAnsi="微软雅黑" w:eastAsia="微软雅黑"/>
          <w:color w:val="auto"/>
          <w:sz w:val="21"/>
          <w:szCs w:val="21"/>
          <w:highlight w:val="none"/>
        </w:rPr>
      </w:pPr>
    </w:p>
    <w:p w14:paraId="7789A8CD">
      <w:pPr>
        <w:ind w:firstLine="643"/>
        <w:jc w:val="both"/>
        <w:rPr>
          <w:rFonts w:hint="eastAsia" w:ascii="仿宋_GB2312" w:hAnsi="仿宋" w:eastAsia="仿宋_GB2312" w:cs="仿宋_GB2312"/>
          <w:b/>
          <w:color w:val="auto"/>
          <w:kern w:val="0"/>
          <w:sz w:val="32"/>
          <w:szCs w:val="32"/>
          <w:highlight w:val="none"/>
        </w:rPr>
      </w:pPr>
      <w:r>
        <w:rPr>
          <w:rFonts w:ascii="仿宋_GB2312" w:hAnsi="仿宋" w:eastAsia="仿宋_GB2312" w:cs="仿宋_GB2312"/>
          <w:b/>
          <w:color w:val="auto"/>
          <w:kern w:val="0"/>
          <w:sz w:val="32"/>
          <w:szCs w:val="32"/>
          <w:highlight w:val="none"/>
        </w:rPr>
        <w:t xml:space="preserve">            </w:t>
      </w:r>
    </w:p>
    <w:p w14:paraId="3024CDCE">
      <w:pPr>
        <w:ind w:firstLine="643"/>
        <w:jc w:val="center"/>
        <w:rPr>
          <w:rFonts w:hint="eastAsia" w:ascii="仿宋_GB2312" w:hAnsi="仿宋" w:eastAsia="仿宋_GB2312" w:cs="仿宋_GB2312"/>
          <w:b/>
          <w:color w:val="auto"/>
          <w:kern w:val="0"/>
          <w:sz w:val="32"/>
          <w:szCs w:val="32"/>
          <w:highlight w:val="none"/>
        </w:rPr>
        <w:sectPr>
          <w:pgSz w:w="11906" w:h="16838"/>
          <w:pgMar w:top="1276" w:right="1418" w:bottom="1247" w:left="1418" w:header="851" w:footer="992" w:gutter="0"/>
          <w:cols w:space="720" w:num="1"/>
          <w:titlePg/>
          <w:docGrid w:linePitch="312" w:charSpace="0"/>
        </w:sectPr>
      </w:pPr>
    </w:p>
    <w:p w14:paraId="03628874">
      <w:pPr>
        <w:ind w:firstLine="420"/>
        <w:jc w:val="center"/>
        <w:outlineLvl w:val="1"/>
        <w:rPr>
          <w:rFonts w:hint="eastAsia" w:ascii="微软雅黑" w:hAnsi="微软雅黑" w:cs="仿宋_GB2312"/>
          <w:b/>
          <w:color w:val="auto"/>
          <w:kern w:val="0"/>
          <w:szCs w:val="21"/>
          <w:highlight w:val="none"/>
        </w:rPr>
      </w:pPr>
      <w:bookmarkStart w:id="249" w:name="_Toc17270"/>
      <w:bookmarkStart w:id="250" w:name="_Toc16031"/>
      <w:r>
        <w:rPr>
          <w:rFonts w:hint="eastAsia" w:ascii="微软雅黑" w:hAnsi="微软雅黑" w:cs="仿宋_GB2312"/>
          <w:b/>
          <w:color w:val="auto"/>
          <w:kern w:val="0"/>
          <w:szCs w:val="21"/>
          <w:highlight w:val="none"/>
        </w:rPr>
        <w:t>五、评分对应表</w:t>
      </w:r>
      <w:bookmarkEnd w:id="249"/>
      <w:bookmarkEnd w:id="250"/>
    </w:p>
    <w:tbl>
      <w:tblPr>
        <w:tblStyle w:val="53"/>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14:paraId="78A3BE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6E2BF8B8">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620818B6">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14:paraId="0466927A">
            <w:pPr>
              <w:snapToGrid w:val="0"/>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投标文件中的页码位置</w:t>
            </w:r>
          </w:p>
        </w:tc>
      </w:tr>
      <w:tr w14:paraId="08B0A8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54D706B">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对应第四章评分办法及评分标准（报价除外）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7FA0EBD9">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68A926A1">
            <w:pPr>
              <w:snapToGrid w:val="0"/>
              <w:spacing w:line="240" w:lineRule="auto"/>
              <w:ind w:firstLine="0" w:firstLineChars="0"/>
              <w:rPr>
                <w:rFonts w:hint="eastAsia" w:ascii="微软雅黑" w:hAnsi="微软雅黑"/>
                <w:color w:val="auto"/>
                <w:szCs w:val="21"/>
                <w:highlight w:val="none"/>
              </w:rPr>
            </w:pPr>
          </w:p>
        </w:tc>
      </w:tr>
      <w:tr w14:paraId="7942E1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C98D2C5">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w:t>
            </w:r>
          </w:p>
        </w:tc>
        <w:tc>
          <w:tcPr>
            <w:tcW w:w="3060" w:type="dxa"/>
            <w:tcBorders>
              <w:top w:val="single" w:color="auto" w:sz="4" w:space="0"/>
              <w:left w:val="single" w:color="auto" w:sz="4" w:space="0"/>
              <w:bottom w:val="single" w:color="auto" w:sz="4" w:space="0"/>
              <w:right w:val="single" w:color="auto" w:sz="4" w:space="0"/>
            </w:tcBorders>
          </w:tcPr>
          <w:p w14:paraId="53E2A1B1">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AAC3831">
            <w:pPr>
              <w:snapToGrid w:val="0"/>
              <w:spacing w:line="240" w:lineRule="auto"/>
              <w:ind w:firstLine="0" w:firstLineChars="0"/>
              <w:rPr>
                <w:rFonts w:hint="eastAsia" w:ascii="微软雅黑" w:hAnsi="微软雅黑"/>
                <w:color w:val="auto"/>
                <w:szCs w:val="21"/>
                <w:highlight w:val="none"/>
              </w:rPr>
            </w:pPr>
          </w:p>
        </w:tc>
      </w:tr>
      <w:tr w14:paraId="5017D4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D7D51A9">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60EAD16F">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38AABE3E">
            <w:pPr>
              <w:snapToGrid w:val="0"/>
              <w:spacing w:line="240" w:lineRule="auto"/>
              <w:ind w:firstLine="0" w:firstLineChars="0"/>
              <w:rPr>
                <w:rFonts w:hint="eastAsia" w:ascii="微软雅黑" w:hAnsi="微软雅黑"/>
                <w:color w:val="auto"/>
                <w:szCs w:val="21"/>
                <w:highlight w:val="none"/>
              </w:rPr>
            </w:pPr>
          </w:p>
        </w:tc>
      </w:tr>
      <w:tr w14:paraId="086F6F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5887F8A5">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5B38A73D">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779FB83A">
            <w:pPr>
              <w:snapToGrid w:val="0"/>
              <w:spacing w:line="240" w:lineRule="auto"/>
              <w:ind w:firstLine="0" w:firstLineChars="0"/>
              <w:rPr>
                <w:rFonts w:hint="eastAsia" w:ascii="微软雅黑" w:hAnsi="微软雅黑"/>
                <w:color w:val="auto"/>
                <w:szCs w:val="21"/>
                <w:highlight w:val="none"/>
              </w:rPr>
            </w:pPr>
          </w:p>
        </w:tc>
      </w:tr>
      <w:tr w14:paraId="5DF2FC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C21AAA1">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7E166F4E">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3B49F06C">
            <w:pPr>
              <w:snapToGrid w:val="0"/>
              <w:spacing w:line="240" w:lineRule="auto"/>
              <w:ind w:firstLine="0" w:firstLineChars="0"/>
              <w:rPr>
                <w:rFonts w:hint="eastAsia" w:ascii="微软雅黑" w:hAnsi="微软雅黑"/>
                <w:color w:val="auto"/>
                <w:szCs w:val="21"/>
                <w:highlight w:val="none"/>
              </w:rPr>
            </w:pPr>
          </w:p>
        </w:tc>
      </w:tr>
      <w:tr w14:paraId="1BE4A6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01DCAA4">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5BAD7E89">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0CF05C50">
            <w:pPr>
              <w:snapToGrid w:val="0"/>
              <w:spacing w:line="240" w:lineRule="auto"/>
              <w:ind w:firstLine="0" w:firstLineChars="0"/>
              <w:rPr>
                <w:rFonts w:hint="eastAsia" w:ascii="微软雅黑" w:hAnsi="微软雅黑"/>
                <w:color w:val="auto"/>
                <w:szCs w:val="21"/>
                <w:highlight w:val="none"/>
              </w:rPr>
            </w:pPr>
          </w:p>
        </w:tc>
      </w:tr>
      <w:tr w14:paraId="5200E2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332FF1E">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513002E9">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9C4F7AE">
            <w:pPr>
              <w:snapToGrid w:val="0"/>
              <w:spacing w:line="240" w:lineRule="auto"/>
              <w:ind w:firstLine="0" w:firstLineChars="0"/>
              <w:rPr>
                <w:rFonts w:hint="eastAsia" w:ascii="微软雅黑" w:hAnsi="微软雅黑"/>
                <w:color w:val="auto"/>
                <w:szCs w:val="21"/>
                <w:highlight w:val="none"/>
              </w:rPr>
            </w:pPr>
          </w:p>
        </w:tc>
      </w:tr>
      <w:tr w14:paraId="4CEA40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981278A">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46611E0B">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56FAC93F">
            <w:pPr>
              <w:snapToGrid w:val="0"/>
              <w:spacing w:line="240" w:lineRule="auto"/>
              <w:ind w:firstLine="0" w:firstLineChars="0"/>
              <w:rPr>
                <w:rFonts w:hint="eastAsia" w:ascii="微软雅黑" w:hAnsi="微软雅黑"/>
                <w:color w:val="auto"/>
                <w:szCs w:val="21"/>
                <w:highlight w:val="none"/>
              </w:rPr>
            </w:pPr>
          </w:p>
        </w:tc>
      </w:tr>
      <w:tr w14:paraId="65CEAE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A3B4F29">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5BECD4EE">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0691C50B">
            <w:pPr>
              <w:snapToGrid w:val="0"/>
              <w:spacing w:line="240" w:lineRule="auto"/>
              <w:ind w:firstLine="0" w:firstLineChars="0"/>
              <w:rPr>
                <w:rFonts w:hint="eastAsia" w:ascii="微软雅黑" w:hAnsi="微软雅黑"/>
                <w:color w:val="auto"/>
                <w:szCs w:val="21"/>
                <w:highlight w:val="none"/>
              </w:rPr>
            </w:pPr>
          </w:p>
        </w:tc>
      </w:tr>
    </w:tbl>
    <w:p w14:paraId="4A0BDC47">
      <w:pPr>
        <w:snapToGrid w:val="0"/>
        <w:spacing w:before="120" w:beforeLines="50"/>
        <w:ind w:firstLine="420"/>
        <w:jc w:val="both"/>
        <w:rPr>
          <w:rFonts w:hint="eastAsia" w:ascii="微软雅黑" w:hAnsi="微软雅黑" w:cs="Arial"/>
          <w:color w:val="auto"/>
          <w:kern w:val="0"/>
          <w:szCs w:val="21"/>
          <w:highlight w:val="none"/>
        </w:rPr>
      </w:pPr>
    </w:p>
    <w:p w14:paraId="12497FBF">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342621DF">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5F35618A">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38562030">
      <w:pPr>
        <w:ind w:firstLine="420"/>
        <w:jc w:val="center"/>
        <w:rPr>
          <w:rFonts w:hint="eastAsia" w:ascii="微软雅黑" w:hAnsi="微软雅黑" w:cs="仿宋_GB2312"/>
          <w:b/>
          <w:color w:val="auto"/>
          <w:kern w:val="0"/>
          <w:szCs w:val="21"/>
          <w:highlight w:val="none"/>
        </w:rPr>
      </w:pPr>
    </w:p>
    <w:p w14:paraId="24040D91">
      <w:pPr>
        <w:ind w:firstLine="420"/>
        <w:jc w:val="center"/>
        <w:rPr>
          <w:rFonts w:hint="eastAsia" w:ascii="微软雅黑" w:hAnsi="微软雅黑" w:cs="仿宋_GB2312"/>
          <w:b/>
          <w:color w:val="auto"/>
          <w:kern w:val="0"/>
          <w:szCs w:val="21"/>
          <w:highlight w:val="none"/>
        </w:rPr>
        <w:sectPr>
          <w:pgSz w:w="11906" w:h="16838"/>
          <w:pgMar w:top="1276" w:right="1418" w:bottom="1247" w:left="1418" w:header="851" w:footer="992" w:gutter="0"/>
          <w:cols w:space="720" w:num="1"/>
          <w:titlePg/>
          <w:docGrid w:linePitch="312" w:charSpace="0"/>
        </w:sectPr>
      </w:pPr>
    </w:p>
    <w:p w14:paraId="4EEF9B2D">
      <w:pPr>
        <w:ind w:firstLine="420"/>
        <w:jc w:val="center"/>
        <w:outlineLvl w:val="1"/>
        <w:rPr>
          <w:rFonts w:hint="eastAsia" w:ascii="微软雅黑" w:hAnsi="微软雅黑"/>
          <w:color w:val="auto"/>
          <w:szCs w:val="21"/>
          <w:highlight w:val="none"/>
        </w:rPr>
      </w:pPr>
      <w:bookmarkStart w:id="251" w:name="_Toc16516"/>
      <w:bookmarkStart w:id="252" w:name="_Toc8171"/>
      <w:r>
        <w:rPr>
          <w:rFonts w:hint="eastAsia" w:ascii="微软雅黑" w:hAnsi="微软雅黑" w:cs="仿宋_GB2312"/>
          <w:b/>
          <w:color w:val="auto"/>
          <w:kern w:val="0"/>
          <w:szCs w:val="21"/>
          <w:highlight w:val="none"/>
        </w:rPr>
        <w:t>六、评标标准相应的商务技术资料</w:t>
      </w:r>
      <w:bookmarkEnd w:id="251"/>
      <w:bookmarkEnd w:id="252"/>
    </w:p>
    <w:p w14:paraId="3815F671">
      <w:pPr>
        <w:ind w:firstLine="425" w:firstLineChars="152"/>
        <w:rPr>
          <w:rFonts w:hint="eastAsia" w:ascii="微软雅黑" w:hAnsi="微软雅黑"/>
          <w:color w:val="auto"/>
          <w:sz w:val="28"/>
          <w:szCs w:val="28"/>
          <w:highlight w:val="none"/>
          <w:shd w:val="pct10" w:color="auto" w:fill="FFFFFF"/>
        </w:rPr>
      </w:pPr>
      <w:r>
        <w:rPr>
          <w:rFonts w:ascii="微软雅黑" w:hAnsi="微软雅黑" w:cs="sans-serif"/>
          <w:color w:val="auto"/>
          <w:kern w:val="0"/>
          <w:sz w:val="28"/>
          <w:szCs w:val="28"/>
          <w:highlight w:val="none"/>
          <w:shd w:val="pct10" w:color="auto" w:fill="FFFFFF"/>
          <w:lang w:bidi="ar"/>
        </w:rPr>
        <w:t>（</w:t>
      </w:r>
      <w:r>
        <w:rPr>
          <w:rFonts w:hint="eastAsia" w:ascii="微软雅黑" w:hAnsi="微软雅黑" w:cs="sans-serif"/>
          <w:b/>
          <w:bCs/>
          <w:color w:val="auto"/>
          <w:kern w:val="0"/>
          <w:sz w:val="28"/>
          <w:szCs w:val="28"/>
          <w:highlight w:val="none"/>
          <w:shd w:val="pct10" w:color="auto" w:fill="FFFFFF"/>
          <w:lang w:bidi="ar"/>
        </w:rPr>
        <w:t>各投标单位</w:t>
      </w:r>
      <w:r>
        <w:rPr>
          <w:rFonts w:ascii="微软雅黑" w:hAnsi="微软雅黑" w:cs="sans-serif"/>
          <w:b/>
          <w:bCs/>
          <w:color w:val="auto"/>
          <w:kern w:val="0"/>
          <w:sz w:val="28"/>
          <w:szCs w:val="28"/>
          <w:highlight w:val="none"/>
          <w:shd w:val="pct10" w:color="auto" w:fill="FFFFFF"/>
          <w:lang w:bidi="ar"/>
        </w:rPr>
        <w:t>根据采购需求、评标办法及标准</w:t>
      </w:r>
      <w:r>
        <w:rPr>
          <w:rFonts w:hint="eastAsia" w:ascii="微软雅黑" w:hAnsi="微软雅黑" w:cs="sans-serif"/>
          <w:b/>
          <w:bCs/>
          <w:color w:val="auto"/>
          <w:kern w:val="0"/>
          <w:sz w:val="28"/>
          <w:szCs w:val="28"/>
          <w:highlight w:val="none"/>
          <w:shd w:val="pct10" w:color="auto" w:fill="FFFFFF"/>
          <w:lang w:bidi="ar"/>
        </w:rPr>
        <w:t>的</w:t>
      </w:r>
      <w:r>
        <w:rPr>
          <w:rFonts w:ascii="微软雅黑" w:hAnsi="微软雅黑" w:cs="sans-serif"/>
          <w:b/>
          <w:bCs/>
          <w:color w:val="auto"/>
          <w:kern w:val="0"/>
          <w:sz w:val="28"/>
          <w:szCs w:val="28"/>
          <w:highlight w:val="none"/>
          <w:shd w:val="pct10" w:color="auto" w:fill="FFFFFF"/>
          <w:lang w:bidi="ar"/>
        </w:rPr>
        <w:t>要求</w:t>
      </w:r>
      <w:r>
        <w:rPr>
          <w:rFonts w:hint="eastAsia" w:ascii="微软雅黑" w:hAnsi="微软雅黑" w:cs="sans-serif"/>
          <w:b/>
          <w:bCs/>
          <w:color w:val="auto"/>
          <w:kern w:val="0"/>
          <w:sz w:val="28"/>
          <w:szCs w:val="28"/>
          <w:highlight w:val="none"/>
          <w:shd w:val="pct10" w:color="auto" w:fill="FFFFFF"/>
          <w:lang w:bidi="ar"/>
        </w:rPr>
        <w:t>，自行选取</w:t>
      </w:r>
      <w:r>
        <w:rPr>
          <w:rFonts w:ascii="微软雅黑" w:hAnsi="微软雅黑" w:cs="sans-serif"/>
          <w:b/>
          <w:bCs/>
          <w:color w:val="auto"/>
          <w:kern w:val="0"/>
          <w:sz w:val="28"/>
          <w:szCs w:val="28"/>
          <w:highlight w:val="none"/>
          <w:shd w:val="pct10" w:color="auto" w:fill="FFFFFF"/>
          <w:lang w:bidi="ar"/>
        </w:rPr>
        <w:t>提供，</w:t>
      </w:r>
      <w:r>
        <w:rPr>
          <w:rFonts w:hint="eastAsia" w:ascii="微软雅黑" w:hAnsi="微软雅黑" w:cs="sans-serif"/>
          <w:b/>
          <w:bCs/>
          <w:color w:val="auto"/>
          <w:kern w:val="0"/>
          <w:sz w:val="28"/>
          <w:szCs w:val="28"/>
          <w:highlight w:val="none"/>
          <w:shd w:val="pct10" w:color="auto" w:fill="FFFFFF"/>
          <w:lang w:bidi="ar"/>
        </w:rPr>
        <w:t>以下仅为参考格式，</w:t>
      </w:r>
      <w:r>
        <w:rPr>
          <w:rFonts w:ascii="微软雅黑" w:hAnsi="微软雅黑" w:cs="sans-serif"/>
          <w:b/>
          <w:bCs/>
          <w:color w:val="auto"/>
          <w:kern w:val="0"/>
          <w:sz w:val="28"/>
          <w:szCs w:val="28"/>
          <w:highlight w:val="none"/>
          <w:shd w:val="pct10" w:color="auto" w:fill="FFFFFF"/>
          <w:lang w:bidi="ar"/>
        </w:rPr>
        <w:t>除以下投标文件格式外相关资料由</w:t>
      </w:r>
      <w:r>
        <w:rPr>
          <w:rFonts w:hint="eastAsia" w:ascii="微软雅黑" w:hAnsi="微软雅黑" w:cs="sans-serif"/>
          <w:b/>
          <w:bCs/>
          <w:color w:val="auto"/>
          <w:kern w:val="0"/>
          <w:sz w:val="28"/>
          <w:szCs w:val="28"/>
          <w:highlight w:val="none"/>
          <w:shd w:val="pct10" w:color="auto" w:fill="FFFFFF"/>
          <w:lang w:eastAsia="zh-CN" w:bidi="ar"/>
        </w:rPr>
        <w:t>投标人</w:t>
      </w:r>
      <w:r>
        <w:rPr>
          <w:rFonts w:ascii="微软雅黑" w:hAnsi="微软雅黑" w:cs="sans-serif"/>
          <w:b/>
          <w:bCs/>
          <w:color w:val="auto"/>
          <w:kern w:val="0"/>
          <w:sz w:val="28"/>
          <w:szCs w:val="28"/>
          <w:highlight w:val="none"/>
          <w:shd w:val="pct10" w:color="auto" w:fill="FFFFFF"/>
          <w:lang w:bidi="ar"/>
        </w:rPr>
        <w:t>自拟。</w:t>
      </w:r>
      <w:r>
        <w:rPr>
          <w:rFonts w:ascii="微软雅黑" w:hAnsi="微软雅黑" w:cs="sans-serif"/>
          <w:color w:val="auto"/>
          <w:kern w:val="0"/>
          <w:sz w:val="28"/>
          <w:szCs w:val="28"/>
          <w:highlight w:val="none"/>
          <w:shd w:val="pct10" w:color="auto" w:fill="FFFFFF"/>
          <w:lang w:bidi="ar"/>
        </w:rPr>
        <w:t>）</w:t>
      </w:r>
    </w:p>
    <w:p w14:paraId="1D7EB055">
      <w:pPr>
        <w:pStyle w:val="119"/>
        <w:ind w:firstLine="482"/>
        <w:jc w:val="both"/>
        <w:rPr>
          <w:rFonts w:ascii="Times New Roman" w:hAnsi="Times New Roman" w:eastAsia="宋体"/>
          <w:b/>
          <w:color w:val="auto"/>
          <w:sz w:val="24"/>
          <w:szCs w:val="24"/>
          <w:highlight w:val="none"/>
        </w:rPr>
      </w:pPr>
    </w:p>
    <w:p w14:paraId="72C61A89">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b/>
          <w:color w:val="auto"/>
          <w:sz w:val="21"/>
          <w:szCs w:val="21"/>
          <w:highlight w:val="none"/>
        </w:rPr>
        <w:t>1.同类项目业绩一览表</w:t>
      </w:r>
    </w:p>
    <w:p w14:paraId="2021A672">
      <w:pPr>
        <w:pStyle w:val="119"/>
        <w:ind w:firstLine="420"/>
        <w:jc w:val="center"/>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同类项目业绩一览表</w:t>
      </w:r>
    </w:p>
    <w:tbl>
      <w:tblPr>
        <w:tblStyle w:val="53"/>
        <w:tblW w:w="9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578"/>
        <w:gridCol w:w="2003"/>
        <w:gridCol w:w="1798"/>
        <w:gridCol w:w="1291"/>
        <w:gridCol w:w="2193"/>
      </w:tblGrid>
      <w:tr w14:paraId="7E73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33" w:type="dxa"/>
            <w:vAlign w:val="center"/>
          </w:tcPr>
          <w:p w14:paraId="661A3904">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序号</w:t>
            </w:r>
          </w:p>
        </w:tc>
        <w:tc>
          <w:tcPr>
            <w:tcW w:w="1578" w:type="dxa"/>
            <w:vAlign w:val="center"/>
          </w:tcPr>
          <w:p w14:paraId="59A05523">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采购人</w:t>
            </w:r>
          </w:p>
          <w:p w14:paraId="0F72E951">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名  称</w:t>
            </w:r>
          </w:p>
        </w:tc>
        <w:tc>
          <w:tcPr>
            <w:tcW w:w="2003" w:type="dxa"/>
            <w:vAlign w:val="center"/>
          </w:tcPr>
          <w:p w14:paraId="45E7FD36">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项目名称</w:t>
            </w:r>
          </w:p>
        </w:tc>
        <w:tc>
          <w:tcPr>
            <w:tcW w:w="1798" w:type="dxa"/>
            <w:vAlign w:val="center"/>
          </w:tcPr>
          <w:p w14:paraId="0F488326">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项目起止时间</w:t>
            </w:r>
          </w:p>
        </w:tc>
        <w:tc>
          <w:tcPr>
            <w:tcW w:w="1291" w:type="dxa"/>
            <w:vAlign w:val="center"/>
          </w:tcPr>
          <w:p w14:paraId="44CEE7CB">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合同金额</w:t>
            </w:r>
          </w:p>
          <w:p w14:paraId="7407E659">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（万元）</w:t>
            </w:r>
          </w:p>
        </w:tc>
        <w:tc>
          <w:tcPr>
            <w:tcW w:w="2193" w:type="dxa"/>
            <w:vAlign w:val="center"/>
          </w:tcPr>
          <w:p w14:paraId="420C079A">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采购人联系人及联系电话</w:t>
            </w:r>
          </w:p>
        </w:tc>
      </w:tr>
      <w:tr w14:paraId="4206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3" w:type="dxa"/>
            <w:vAlign w:val="center"/>
          </w:tcPr>
          <w:p w14:paraId="7FEB09E9">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1</w:t>
            </w:r>
          </w:p>
        </w:tc>
        <w:tc>
          <w:tcPr>
            <w:tcW w:w="1578" w:type="dxa"/>
            <w:vAlign w:val="center"/>
          </w:tcPr>
          <w:p w14:paraId="5640BD53">
            <w:pPr>
              <w:spacing w:line="240" w:lineRule="auto"/>
              <w:ind w:firstLine="0" w:firstLineChars="0"/>
              <w:jc w:val="center"/>
              <w:rPr>
                <w:rFonts w:hint="eastAsia" w:ascii="微软雅黑" w:hAnsi="微软雅黑"/>
                <w:color w:val="auto"/>
                <w:szCs w:val="21"/>
                <w:highlight w:val="none"/>
              </w:rPr>
            </w:pPr>
          </w:p>
        </w:tc>
        <w:tc>
          <w:tcPr>
            <w:tcW w:w="2003" w:type="dxa"/>
          </w:tcPr>
          <w:p w14:paraId="750C0B23">
            <w:pPr>
              <w:spacing w:line="240" w:lineRule="auto"/>
              <w:ind w:firstLine="0" w:firstLineChars="0"/>
              <w:jc w:val="center"/>
              <w:rPr>
                <w:rFonts w:hint="eastAsia" w:ascii="微软雅黑" w:hAnsi="微软雅黑"/>
                <w:color w:val="auto"/>
                <w:szCs w:val="21"/>
                <w:highlight w:val="none"/>
              </w:rPr>
            </w:pPr>
          </w:p>
        </w:tc>
        <w:tc>
          <w:tcPr>
            <w:tcW w:w="1798" w:type="dxa"/>
          </w:tcPr>
          <w:p w14:paraId="753658F7">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77E7E3CC">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77580173">
            <w:pPr>
              <w:spacing w:line="240" w:lineRule="auto"/>
              <w:ind w:firstLine="0" w:firstLineChars="0"/>
              <w:jc w:val="center"/>
              <w:rPr>
                <w:rFonts w:hint="eastAsia" w:ascii="微软雅黑" w:hAnsi="微软雅黑"/>
                <w:color w:val="auto"/>
                <w:szCs w:val="21"/>
                <w:highlight w:val="none"/>
              </w:rPr>
            </w:pPr>
          </w:p>
        </w:tc>
      </w:tr>
      <w:tr w14:paraId="5239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3" w:type="dxa"/>
            <w:vAlign w:val="center"/>
          </w:tcPr>
          <w:p w14:paraId="1A8E023E">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2</w:t>
            </w:r>
          </w:p>
        </w:tc>
        <w:tc>
          <w:tcPr>
            <w:tcW w:w="1578" w:type="dxa"/>
            <w:vAlign w:val="center"/>
          </w:tcPr>
          <w:p w14:paraId="2AFDD6B3">
            <w:pPr>
              <w:spacing w:line="240" w:lineRule="auto"/>
              <w:ind w:firstLine="0" w:firstLineChars="0"/>
              <w:jc w:val="center"/>
              <w:rPr>
                <w:rFonts w:hint="eastAsia" w:ascii="微软雅黑" w:hAnsi="微软雅黑"/>
                <w:color w:val="auto"/>
                <w:szCs w:val="21"/>
                <w:highlight w:val="none"/>
              </w:rPr>
            </w:pPr>
          </w:p>
        </w:tc>
        <w:tc>
          <w:tcPr>
            <w:tcW w:w="2003" w:type="dxa"/>
          </w:tcPr>
          <w:p w14:paraId="5B5DFF66">
            <w:pPr>
              <w:spacing w:line="240" w:lineRule="auto"/>
              <w:ind w:firstLine="0" w:firstLineChars="0"/>
              <w:jc w:val="center"/>
              <w:rPr>
                <w:rFonts w:hint="eastAsia" w:ascii="微软雅黑" w:hAnsi="微软雅黑"/>
                <w:color w:val="auto"/>
                <w:szCs w:val="21"/>
                <w:highlight w:val="none"/>
              </w:rPr>
            </w:pPr>
          </w:p>
        </w:tc>
        <w:tc>
          <w:tcPr>
            <w:tcW w:w="1798" w:type="dxa"/>
          </w:tcPr>
          <w:p w14:paraId="05E0C844">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42CFB2B3">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579E392D">
            <w:pPr>
              <w:spacing w:line="240" w:lineRule="auto"/>
              <w:ind w:firstLine="0" w:firstLineChars="0"/>
              <w:jc w:val="center"/>
              <w:rPr>
                <w:rFonts w:hint="eastAsia" w:ascii="微软雅黑" w:hAnsi="微软雅黑"/>
                <w:color w:val="auto"/>
                <w:szCs w:val="21"/>
                <w:highlight w:val="none"/>
              </w:rPr>
            </w:pPr>
          </w:p>
        </w:tc>
      </w:tr>
      <w:tr w14:paraId="2226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33" w:type="dxa"/>
            <w:vAlign w:val="center"/>
          </w:tcPr>
          <w:p w14:paraId="5FB69378">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w:t>
            </w:r>
          </w:p>
        </w:tc>
        <w:tc>
          <w:tcPr>
            <w:tcW w:w="1578" w:type="dxa"/>
            <w:vAlign w:val="center"/>
          </w:tcPr>
          <w:p w14:paraId="678C4F12">
            <w:pPr>
              <w:spacing w:line="240" w:lineRule="auto"/>
              <w:ind w:firstLine="0" w:firstLineChars="0"/>
              <w:jc w:val="center"/>
              <w:rPr>
                <w:rFonts w:hint="eastAsia" w:ascii="微软雅黑" w:hAnsi="微软雅黑"/>
                <w:color w:val="auto"/>
                <w:szCs w:val="21"/>
                <w:highlight w:val="none"/>
              </w:rPr>
            </w:pPr>
          </w:p>
        </w:tc>
        <w:tc>
          <w:tcPr>
            <w:tcW w:w="2003" w:type="dxa"/>
          </w:tcPr>
          <w:p w14:paraId="3D021AA7">
            <w:pPr>
              <w:spacing w:line="240" w:lineRule="auto"/>
              <w:ind w:firstLine="0" w:firstLineChars="0"/>
              <w:jc w:val="center"/>
              <w:rPr>
                <w:rFonts w:hint="eastAsia" w:ascii="微软雅黑" w:hAnsi="微软雅黑"/>
                <w:color w:val="auto"/>
                <w:szCs w:val="21"/>
                <w:highlight w:val="none"/>
              </w:rPr>
            </w:pPr>
          </w:p>
        </w:tc>
        <w:tc>
          <w:tcPr>
            <w:tcW w:w="1798" w:type="dxa"/>
          </w:tcPr>
          <w:p w14:paraId="7B8BCF60">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24265214">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1A0BA9D5">
            <w:pPr>
              <w:spacing w:line="240" w:lineRule="auto"/>
              <w:ind w:firstLine="0" w:firstLineChars="0"/>
              <w:jc w:val="center"/>
              <w:rPr>
                <w:rFonts w:hint="eastAsia" w:ascii="微软雅黑" w:hAnsi="微软雅黑"/>
                <w:color w:val="auto"/>
                <w:szCs w:val="21"/>
                <w:highlight w:val="none"/>
              </w:rPr>
            </w:pPr>
          </w:p>
        </w:tc>
      </w:tr>
    </w:tbl>
    <w:p w14:paraId="3AF7DACF">
      <w:pPr>
        <w:pStyle w:val="119"/>
        <w:ind w:firstLine="420"/>
        <w:jc w:val="center"/>
        <w:rPr>
          <w:rFonts w:hint="eastAsia" w:ascii="微软雅黑" w:hAnsi="微软雅黑" w:eastAsia="微软雅黑"/>
          <w:b/>
          <w:color w:val="auto"/>
          <w:sz w:val="21"/>
          <w:szCs w:val="21"/>
          <w:highlight w:val="none"/>
        </w:rPr>
      </w:pPr>
    </w:p>
    <w:p w14:paraId="0E7180CA">
      <w:pPr>
        <w:snapToGrid w:val="0"/>
        <w:spacing w:before="120" w:beforeLines="50" w:line="400" w:lineRule="exact"/>
        <w:ind w:firstLine="420"/>
        <w:rPr>
          <w:rFonts w:hint="eastAsia" w:ascii="微软雅黑" w:hAnsi="微软雅黑"/>
          <w:b/>
          <w:color w:val="auto"/>
          <w:szCs w:val="21"/>
          <w:highlight w:val="none"/>
        </w:rPr>
      </w:pPr>
      <w:r>
        <w:rPr>
          <w:rFonts w:hint="eastAsia" w:ascii="微软雅黑" w:hAnsi="微软雅黑"/>
          <w:b/>
          <w:color w:val="auto"/>
          <w:szCs w:val="21"/>
          <w:highlight w:val="none"/>
        </w:rPr>
        <w:t>注：</w:t>
      </w:r>
      <w:r>
        <w:rPr>
          <w:rFonts w:hint="eastAsia" w:ascii="微软雅黑" w:hAnsi="微软雅黑"/>
          <w:color w:val="auto"/>
          <w:szCs w:val="21"/>
          <w:highlight w:val="none"/>
        </w:rPr>
        <w:t>须同时合同复印件证明材料加盖公章</w:t>
      </w:r>
    </w:p>
    <w:p w14:paraId="1E322AE3">
      <w:pPr>
        <w:snapToGrid w:val="0"/>
        <w:spacing w:before="120" w:beforeLines="50"/>
        <w:ind w:firstLine="420"/>
        <w:jc w:val="both"/>
        <w:rPr>
          <w:rFonts w:hint="eastAsia" w:ascii="微软雅黑" w:hAnsi="微软雅黑" w:cs="Arial"/>
          <w:color w:val="auto"/>
          <w:kern w:val="0"/>
          <w:szCs w:val="21"/>
          <w:highlight w:val="none"/>
        </w:rPr>
      </w:pPr>
    </w:p>
    <w:p w14:paraId="120FBD64">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3D377F41">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642A1FE6">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6374EE5D">
      <w:pPr>
        <w:pStyle w:val="119"/>
        <w:ind w:firstLine="420"/>
        <w:jc w:val="center"/>
        <w:rPr>
          <w:rFonts w:hint="eastAsia" w:ascii="微软雅黑" w:hAnsi="微软雅黑" w:eastAsia="微软雅黑"/>
          <w:color w:val="auto"/>
          <w:sz w:val="21"/>
          <w:szCs w:val="21"/>
          <w:highlight w:val="none"/>
        </w:rPr>
      </w:pPr>
    </w:p>
    <w:p w14:paraId="72A09705">
      <w:pPr>
        <w:snapToGrid w:val="0"/>
        <w:spacing w:before="120" w:beforeLines="50" w:after="50" w:line="400" w:lineRule="exact"/>
        <w:ind w:firstLine="240" w:firstLineChars="100"/>
        <w:rPr>
          <w:color w:val="auto"/>
          <w:sz w:val="24"/>
          <w:highlight w:val="none"/>
        </w:rPr>
      </w:pPr>
    </w:p>
    <w:p w14:paraId="4FB23DEE">
      <w:pPr>
        <w:rPr>
          <w:b/>
          <w:color w:val="auto"/>
          <w:sz w:val="24"/>
          <w:highlight w:val="none"/>
        </w:rPr>
        <w:sectPr>
          <w:pgSz w:w="11906" w:h="16838"/>
          <w:pgMar w:top="1276" w:right="1418" w:bottom="1247" w:left="1418" w:header="851" w:footer="992" w:gutter="0"/>
          <w:cols w:space="720" w:num="1"/>
          <w:titlePg/>
          <w:docGrid w:linePitch="312" w:charSpace="0"/>
        </w:sectPr>
      </w:pPr>
    </w:p>
    <w:p w14:paraId="38618126">
      <w:pPr>
        <w:ind w:firstLine="420"/>
        <w:rPr>
          <w:b/>
          <w:color w:val="auto"/>
          <w:szCs w:val="21"/>
          <w:highlight w:val="none"/>
        </w:rPr>
      </w:pPr>
      <w:r>
        <w:rPr>
          <w:rFonts w:hint="eastAsia"/>
          <w:b/>
          <w:color w:val="auto"/>
          <w:szCs w:val="21"/>
          <w:highlight w:val="none"/>
        </w:rPr>
        <w:t>2.</w:t>
      </w:r>
      <w:r>
        <w:rPr>
          <w:b/>
          <w:color w:val="auto"/>
          <w:szCs w:val="21"/>
          <w:highlight w:val="none"/>
        </w:rPr>
        <w:t>提供服务的设备详细清单（不含报价）</w:t>
      </w:r>
    </w:p>
    <w:p w14:paraId="0BA6706F">
      <w:pPr>
        <w:spacing w:line="240" w:lineRule="auto"/>
        <w:ind w:firstLine="0" w:firstLineChars="0"/>
        <w:jc w:val="center"/>
        <w:rPr>
          <w:rFonts w:hint="eastAsia" w:ascii="微软雅黑" w:hAnsi="微软雅黑"/>
          <w:b/>
          <w:color w:val="auto"/>
          <w:szCs w:val="21"/>
          <w:highlight w:val="none"/>
        </w:rPr>
      </w:pPr>
      <w:r>
        <w:rPr>
          <w:rFonts w:ascii="微软雅黑" w:hAnsi="微软雅黑"/>
          <w:b/>
          <w:color w:val="auto"/>
          <w:szCs w:val="21"/>
          <w:highlight w:val="none"/>
        </w:rPr>
        <w:t>设备详细清单</w:t>
      </w:r>
    </w:p>
    <w:p w14:paraId="35518728">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填表说明：详细列明所投项目主要设备清单，完整配置方案及技术指标，项目的核心产品必须明确所投品牌、规格型号及具体技术指标。任何含糊不清的表述对评标结果的影响将是</w:t>
      </w:r>
      <w:r>
        <w:rPr>
          <w:rFonts w:hint="eastAsia" w:ascii="微软雅黑" w:hAnsi="微软雅黑"/>
          <w:color w:val="auto"/>
          <w:szCs w:val="21"/>
          <w:highlight w:val="none"/>
          <w:lang w:eastAsia="zh-CN"/>
        </w:rPr>
        <w:t>投标人</w:t>
      </w:r>
      <w:r>
        <w:rPr>
          <w:rFonts w:ascii="微软雅黑" w:hAnsi="微软雅黑"/>
          <w:color w:val="auto"/>
          <w:szCs w:val="21"/>
          <w:highlight w:val="none"/>
        </w:rPr>
        <w:t>的责任，可附具体的介绍图文资料。▲以下内容不得含有报价。</w:t>
      </w:r>
    </w:p>
    <w:tbl>
      <w:tblPr>
        <w:tblStyle w:val="53"/>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277"/>
        <w:gridCol w:w="708"/>
        <w:gridCol w:w="851"/>
        <w:gridCol w:w="1276"/>
        <w:gridCol w:w="992"/>
        <w:gridCol w:w="2714"/>
      </w:tblGrid>
      <w:tr w14:paraId="6CF2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jc w:val="center"/>
        </w:trPr>
        <w:tc>
          <w:tcPr>
            <w:tcW w:w="498" w:type="dxa"/>
            <w:vAlign w:val="center"/>
          </w:tcPr>
          <w:p w14:paraId="073FCF7D">
            <w:pPr>
              <w:spacing w:line="240" w:lineRule="auto"/>
              <w:ind w:firstLine="0" w:firstLineChars="0"/>
              <w:jc w:val="center"/>
              <w:rPr>
                <w:rFonts w:hint="eastAsia" w:ascii="微软雅黑" w:hAnsi="微软雅黑"/>
                <w:color w:val="auto"/>
                <w:szCs w:val="21"/>
                <w:highlight w:val="none"/>
              </w:rPr>
            </w:pPr>
            <w:r>
              <w:rPr>
                <w:rFonts w:ascii="微软雅黑" w:hAnsi="微软雅黑"/>
                <w:color w:val="auto"/>
                <w:szCs w:val="21"/>
                <w:highlight w:val="none"/>
              </w:rPr>
              <w:t>序号</w:t>
            </w:r>
          </w:p>
        </w:tc>
        <w:tc>
          <w:tcPr>
            <w:tcW w:w="1277" w:type="dxa"/>
            <w:vAlign w:val="center"/>
          </w:tcPr>
          <w:p w14:paraId="4B6FCB48">
            <w:pPr>
              <w:spacing w:line="240" w:lineRule="auto"/>
              <w:ind w:firstLine="0" w:firstLineChars="0"/>
              <w:jc w:val="center"/>
              <w:rPr>
                <w:rFonts w:hint="eastAsia" w:ascii="微软雅黑" w:hAnsi="微软雅黑"/>
                <w:color w:val="auto"/>
                <w:szCs w:val="21"/>
                <w:highlight w:val="none"/>
              </w:rPr>
            </w:pPr>
            <w:r>
              <w:rPr>
                <w:rFonts w:ascii="微软雅黑" w:hAnsi="微软雅黑"/>
                <w:color w:val="auto"/>
                <w:szCs w:val="21"/>
                <w:highlight w:val="none"/>
              </w:rPr>
              <w:t>设备名称</w:t>
            </w:r>
          </w:p>
        </w:tc>
        <w:tc>
          <w:tcPr>
            <w:tcW w:w="708" w:type="dxa"/>
            <w:vAlign w:val="center"/>
          </w:tcPr>
          <w:p w14:paraId="786AF90A">
            <w:pPr>
              <w:spacing w:line="240" w:lineRule="auto"/>
              <w:ind w:firstLine="0" w:firstLineChars="0"/>
              <w:jc w:val="center"/>
              <w:rPr>
                <w:rFonts w:hint="eastAsia" w:ascii="微软雅黑" w:hAnsi="微软雅黑"/>
                <w:color w:val="auto"/>
                <w:szCs w:val="21"/>
                <w:highlight w:val="none"/>
              </w:rPr>
            </w:pPr>
            <w:r>
              <w:rPr>
                <w:rFonts w:ascii="微软雅黑" w:hAnsi="微软雅黑"/>
                <w:color w:val="auto"/>
                <w:szCs w:val="21"/>
                <w:highlight w:val="none"/>
              </w:rPr>
              <w:t>数量</w:t>
            </w:r>
          </w:p>
        </w:tc>
        <w:tc>
          <w:tcPr>
            <w:tcW w:w="851" w:type="dxa"/>
            <w:vAlign w:val="center"/>
          </w:tcPr>
          <w:p w14:paraId="1B111DFF">
            <w:pPr>
              <w:spacing w:line="240" w:lineRule="auto"/>
              <w:ind w:firstLine="0" w:firstLineChars="0"/>
              <w:jc w:val="center"/>
              <w:rPr>
                <w:rFonts w:hint="eastAsia" w:ascii="微软雅黑" w:hAnsi="微软雅黑"/>
                <w:color w:val="auto"/>
                <w:szCs w:val="21"/>
                <w:highlight w:val="none"/>
              </w:rPr>
            </w:pPr>
            <w:r>
              <w:rPr>
                <w:rFonts w:ascii="微软雅黑" w:hAnsi="微软雅黑"/>
                <w:color w:val="auto"/>
                <w:szCs w:val="21"/>
                <w:highlight w:val="none"/>
              </w:rPr>
              <w:t>品牌</w:t>
            </w:r>
          </w:p>
        </w:tc>
        <w:tc>
          <w:tcPr>
            <w:tcW w:w="1276" w:type="dxa"/>
            <w:vAlign w:val="center"/>
          </w:tcPr>
          <w:p w14:paraId="55BB1740">
            <w:pPr>
              <w:spacing w:line="240" w:lineRule="auto"/>
              <w:ind w:firstLine="0" w:firstLineChars="0"/>
              <w:jc w:val="center"/>
              <w:rPr>
                <w:rFonts w:hint="eastAsia" w:ascii="微软雅黑" w:hAnsi="微软雅黑"/>
                <w:color w:val="auto"/>
                <w:szCs w:val="21"/>
                <w:highlight w:val="none"/>
              </w:rPr>
            </w:pPr>
            <w:r>
              <w:rPr>
                <w:rFonts w:ascii="微软雅黑" w:hAnsi="微软雅黑"/>
                <w:color w:val="auto"/>
                <w:szCs w:val="21"/>
                <w:highlight w:val="none"/>
              </w:rPr>
              <w:t>规格型号</w:t>
            </w:r>
          </w:p>
        </w:tc>
        <w:tc>
          <w:tcPr>
            <w:tcW w:w="992" w:type="dxa"/>
            <w:vAlign w:val="center"/>
          </w:tcPr>
          <w:p w14:paraId="182DD871">
            <w:pPr>
              <w:spacing w:line="240" w:lineRule="auto"/>
              <w:ind w:firstLine="0" w:firstLineChars="0"/>
              <w:jc w:val="center"/>
              <w:rPr>
                <w:rFonts w:hint="eastAsia" w:ascii="微软雅黑" w:hAnsi="微软雅黑"/>
                <w:color w:val="auto"/>
                <w:szCs w:val="21"/>
                <w:highlight w:val="none"/>
              </w:rPr>
            </w:pPr>
            <w:r>
              <w:rPr>
                <w:rFonts w:ascii="微软雅黑" w:hAnsi="微软雅黑"/>
                <w:color w:val="auto"/>
                <w:szCs w:val="21"/>
                <w:highlight w:val="none"/>
              </w:rPr>
              <w:t>制造商</w:t>
            </w:r>
          </w:p>
        </w:tc>
        <w:tc>
          <w:tcPr>
            <w:tcW w:w="2714" w:type="dxa"/>
          </w:tcPr>
          <w:p w14:paraId="6E2890C0">
            <w:pPr>
              <w:spacing w:line="240" w:lineRule="auto"/>
              <w:ind w:firstLine="0" w:firstLineChars="0"/>
              <w:jc w:val="center"/>
              <w:rPr>
                <w:rFonts w:hint="eastAsia" w:ascii="微软雅黑" w:hAnsi="微软雅黑"/>
                <w:color w:val="auto"/>
                <w:szCs w:val="21"/>
                <w:highlight w:val="none"/>
              </w:rPr>
            </w:pPr>
            <w:r>
              <w:rPr>
                <w:rFonts w:ascii="微软雅黑" w:hAnsi="微软雅黑"/>
                <w:color w:val="auto"/>
                <w:szCs w:val="21"/>
                <w:highlight w:val="none"/>
              </w:rPr>
              <w:t>制造商是否属于小型企业、微型企业</w:t>
            </w:r>
          </w:p>
        </w:tc>
      </w:tr>
      <w:tr w14:paraId="3F82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0A348289">
            <w:pPr>
              <w:spacing w:line="240" w:lineRule="auto"/>
              <w:ind w:firstLine="0" w:firstLineChars="0"/>
              <w:jc w:val="center"/>
              <w:rPr>
                <w:rFonts w:hint="eastAsia" w:ascii="微软雅黑" w:hAnsi="微软雅黑"/>
                <w:color w:val="auto"/>
                <w:szCs w:val="21"/>
                <w:highlight w:val="none"/>
              </w:rPr>
            </w:pPr>
            <w:r>
              <w:rPr>
                <w:rFonts w:ascii="微软雅黑" w:hAnsi="微软雅黑"/>
                <w:color w:val="auto"/>
                <w:szCs w:val="21"/>
                <w:highlight w:val="none"/>
              </w:rPr>
              <w:t>1</w:t>
            </w:r>
          </w:p>
        </w:tc>
        <w:tc>
          <w:tcPr>
            <w:tcW w:w="1277" w:type="dxa"/>
            <w:vAlign w:val="center"/>
          </w:tcPr>
          <w:p w14:paraId="6CD06EAB">
            <w:pPr>
              <w:spacing w:line="240" w:lineRule="auto"/>
              <w:ind w:firstLine="0" w:firstLineChars="0"/>
              <w:jc w:val="center"/>
              <w:rPr>
                <w:rFonts w:hint="eastAsia" w:ascii="微软雅黑" w:hAnsi="微软雅黑"/>
                <w:color w:val="auto"/>
                <w:szCs w:val="21"/>
                <w:highlight w:val="none"/>
              </w:rPr>
            </w:pPr>
          </w:p>
        </w:tc>
        <w:tc>
          <w:tcPr>
            <w:tcW w:w="708" w:type="dxa"/>
            <w:vAlign w:val="center"/>
          </w:tcPr>
          <w:p w14:paraId="05FEC636">
            <w:pPr>
              <w:spacing w:line="240" w:lineRule="auto"/>
              <w:ind w:firstLine="0" w:firstLineChars="0"/>
              <w:jc w:val="center"/>
              <w:rPr>
                <w:rFonts w:hint="eastAsia" w:ascii="微软雅黑" w:hAnsi="微软雅黑"/>
                <w:color w:val="auto"/>
                <w:szCs w:val="21"/>
                <w:highlight w:val="none"/>
              </w:rPr>
            </w:pPr>
          </w:p>
        </w:tc>
        <w:tc>
          <w:tcPr>
            <w:tcW w:w="851" w:type="dxa"/>
            <w:vAlign w:val="center"/>
          </w:tcPr>
          <w:p w14:paraId="576A79C4">
            <w:pPr>
              <w:spacing w:line="240" w:lineRule="auto"/>
              <w:ind w:firstLine="0" w:firstLineChars="0"/>
              <w:jc w:val="center"/>
              <w:rPr>
                <w:rFonts w:hint="eastAsia" w:ascii="微软雅黑" w:hAnsi="微软雅黑"/>
                <w:color w:val="auto"/>
                <w:szCs w:val="21"/>
                <w:highlight w:val="none"/>
              </w:rPr>
            </w:pPr>
          </w:p>
        </w:tc>
        <w:tc>
          <w:tcPr>
            <w:tcW w:w="1276" w:type="dxa"/>
            <w:vAlign w:val="center"/>
          </w:tcPr>
          <w:p w14:paraId="760FFECD">
            <w:pPr>
              <w:spacing w:line="240" w:lineRule="auto"/>
              <w:ind w:firstLine="0" w:firstLineChars="0"/>
              <w:jc w:val="center"/>
              <w:rPr>
                <w:rFonts w:hint="eastAsia" w:ascii="微软雅黑" w:hAnsi="微软雅黑"/>
                <w:color w:val="auto"/>
                <w:szCs w:val="21"/>
                <w:highlight w:val="none"/>
              </w:rPr>
            </w:pPr>
          </w:p>
        </w:tc>
        <w:tc>
          <w:tcPr>
            <w:tcW w:w="992" w:type="dxa"/>
            <w:vAlign w:val="center"/>
          </w:tcPr>
          <w:p w14:paraId="087F19E0">
            <w:pPr>
              <w:spacing w:line="240" w:lineRule="auto"/>
              <w:ind w:firstLine="0" w:firstLineChars="0"/>
              <w:jc w:val="center"/>
              <w:rPr>
                <w:rFonts w:hint="eastAsia" w:ascii="微软雅黑" w:hAnsi="微软雅黑"/>
                <w:color w:val="auto"/>
                <w:szCs w:val="21"/>
                <w:highlight w:val="none"/>
              </w:rPr>
            </w:pPr>
          </w:p>
        </w:tc>
        <w:tc>
          <w:tcPr>
            <w:tcW w:w="2714" w:type="dxa"/>
          </w:tcPr>
          <w:p w14:paraId="525740A9">
            <w:pPr>
              <w:spacing w:line="240" w:lineRule="auto"/>
              <w:ind w:firstLine="0" w:firstLineChars="0"/>
              <w:jc w:val="center"/>
              <w:rPr>
                <w:rFonts w:hint="eastAsia" w:ascii="微软雅黑" w:hAnsi="微软雅黑"/>
                <w:color w:val="auto"/>
                <w:szCs w:val="21"/>
                <w:highlight w:val="none"/>
              </w:rPr>
            </w:pPr>
          </w:p>
        </w:tc>
      </w:tr>
      <w:tr w14:paraId="5FA1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98" w:type="dxa"/>
            <w:vAlign w:val="center"/>
          </w:tcPr>
          <w:p w14:paraId="5092D0F3">
            <w:pPr>
              <w:spacing w:line="240" w:lineRule="auto"/>
              <w:ind w:firstLine="0" w:firstLineChars="0"/>
              <w:jc w:val="center"/>
              <w:rPr>
                <w:rFonts w:hint="eastAsia" w:ascii="微软雅黑" w:hAnsi="微软雅黑"/>
                <w:color w:val="auto"/>
                <w:szCs w:val="21"/>
                <w:highlight w:val="none"/>
              </w:rPr>
            </w:pPr>
            <w:r>
              <w:rPr>
                <w:rFonts w:ascii="微软雅黑" w:hAnsi="微软雅黑"/>
                <w:color w:val="auto"/>
                <w:szCs w:val="21"/>
                <w:highlight w:val="none"/>
              </w:rPr>
              <w:t>2</w:t>
            </w:r>
          </w:p>
        </w:tc>
        <w:tc>
          <w:tcPr>
            <w:tcW w:w="1277" w:type="dxa"/>
            <w:vAlign w:val="center"/>
          </w:tcPr>
          <w:p w14:paraId="23F34A60">
            <w:pPr>
              <w:spacing w:line="240" w:lineRule="auto"/>
              <w:ind w:firstLine="0" w:firstLineChars="0"/>
              <w:jc w:val="center"/>
              <w:rPr>
                <w:rFonts w:hint="eastAsia" w:ascii="微软雅黑" w:hAnsi="微软雅黑"/>
                <w:color w:val="auto"/>
                <w:szCs w:val="21"/>
                <w:highlight w:val="none"/>
              </w:rPr>
            </w:pPr>
          </w:p>
        </w:tc>
        <w:tc>
          <w:tcPr>
            <w:tcW w:w="708" w:type="dxa"/>
            <w:vAlign w:val="center"/>
          </w:tcPr>
          <w:p w14:paraId="1247C13E">
            <w:pPr>
              <w:spacing w:line="240" w:lineRule="auto"/>
              <w:ind w:firstLine="0" w:firstLineChars="0"/>
              <w:jc w:val="center"/>
              <w:rPr>
                <w:rFonts w:hint="eastAsia" w:ascii="微软雅黑" w:hAnsi="微软雅黑"/>
                <w:color w:val="auto"/>
                <w:szCs w:val="21"/>
                <w:highlight w:val="none"/>
              </w:rPr>
            </w:pPr>
          </w:p>
        </w:tc>
        <w:tc>
          <w:tcPr>
            <w:tcW w:w="851" w:type="dxa"/>
            <w:vAlign w:val="center"/>
          </w:tcPr>
          <w:p w14:paraId="2323CF96">
            <w:pPr>
              <w:spacing w:line="240" w:lineRule="auto"/>
              <w:ind w:firstLine="0" w:firstLineChars="0"/>
              <w:jc w:val="center"/>
              <w:rPr>
                <w:rFonts w:hint="eastAsia" w:ascii="微软雅黑" w:hAnsi="微软雅黑"/>
                <w:color w:val="auto"/>
                <w:szCs w:val="21"/>
                <w:highlight w:val="none"/>
              </w:rPr>
            </w:pPr>
          </w:p>
        </w:tc>
        <w:tc>
          <w:tcPr>
            <w:tcW w:w="1276" w:type="dxa"/>
            <w:vAlign w:val="center"/>
          </w:tcPr>
          <w:p w14:paraId="05DF2C41">
            <w:pPr>
              <w:spacing w:line="240" w:lineRule="auto"/>
              <w:ind w:firstLine="0" w:firstLineChars="0"/>
              <w:jc w:val="center"/>
              <w:rPr>
                <w:rFonts w:hint="eastAsia" w:ascii="微软雅黑" w:hAnsi="微软雅黑"/>
                <w:color w:val="auto"/>
                <w:szCs w:val="21"/>
                <w:highlight w:val="none"/>
              </w:rPr>
            </w:pPr>
          </w:p>
        </w:tc>
        <w:tc>
          <w:tcPr>
            <w:tcW w:w="992" w:type="dxa"/>
            <w:vAlign w:val="center"/>
          </w:tcPr>
          <w:p w14:paraId="08351A31">
            <w:pPr>
              <w:spacing w:line="240" w:lineRule="auto"/>
              <w:ind w:firstLine="0" w:firstLineChars="0"/>
              <w:jc w:val="center"/>
              <w:rPr>
                <w:rFonts w:hint="eastAsia" w:ascii="微软雅黑" w:hAnsi="微软雅黑"/>
                <w:color w:val="auto"/>
                <w:szCs w:val="21"/>
                <w:highlight w:val="none"/>
              </w:rPr>
            </w:pPr>
          </w:p>
        </w:tc>
        <w:tc>
          <w:tcPr>
            <w:tcW w:w="2714" w:type="dxa"/>
          </w:tcPr>
          <w:p w14:paraId="05271474">
            <w:pPr>
              <w:spacing w:line="240" w:lineRule="auto"/>
              <w:ind w:firstLine="0" w:firstLineChars="0"/>
              <w:jc w:val="center"/>
              <w:rPr>
                <w:rFonts w:hint="eastAsia" w:ascii="微软雅黑" w:hAnsi="微软雅黑"/>
                <w:color w:val="auto"/>
                <w:szCs w:val="21"/>
                <w:highlight w:val="none"/>
              </w:rPr>
            </w:pPr>
          </w:p>
        </w:tc>
      </w:tr>
      <w:tr w14:paraId="51C4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20965341">
            <w:pPr>
              <w:spacing w:line="240" w:lineRule="auto"/>
              <w:ind w:firstLine="0" w:firstLineChars="0"/>
              <w:jc w:val="center"/>
              <w:rPr>
                <w:rFonts w:hint="eastAsia" w:ascii="微软雅黑" w:hAnsi="微软雅黑"/>
                <w:color w:val="auto"/>
                <w:szCs w:val="21"/>
                <w:highlight w:val="none"/>
              </w:rPr>
            </w:pPr>
            <w:r>
              <w:rPr>
                <w:rFonts w:ascii="微软雅黑" w:hAnsi="微软雅黑"/>
                <w:color w:val="auto"/>
                <w:szCs w:val="21"/>
                <w:highlight w:val="none"/>
              </w:rPr>
              <w:t>3</w:t>
            </w:r>
          </w:p>
        </w:tc>
        <w:tc>
          <w:tcPr>
            <w:tcW w:w="1277" w:type="dxa"/>
            <w:vAlign w:val="center"/>
          </w:tcPr>
          <w:p w14:paraId="1C31D6A7">
            <w:pPr>
              <w:spacing w:line="240" w:lineRule="auto"/>
              <w:ind w:firstLine="0" w:firstLineChars="0"/>
              <w:jc w:val="center"/>
              <w:rPr>
                <w:rFonts w:hint="eastAsia" w:ascii="微软雅黑" w:hAnsi="微软雅黑"/>
                <w:color w:val="auto"/>
                <w:szCs w:val="21"/>
                <w:highlight w:val="none"/>
              </w:rPr>
            </w:pPr>
          </w:p>
        </w:tc>
        <w:tc>
          <w:tcPr>
            <w:tcW w:w="708" w:type="dxa"/>
            <w:vAlign w:val="center"/>
          </w:tcPr>
          <w:p w14:paraId="100E0256">
            <w:pPr>
              <w:spacing w:line="240" w:lineRule="auto"/>
              <w:ind w:firstLine="0" w:firstLineChars="0"/>
              <w:jc w:val="center"/>
              <w:rPr>
                <w:rFonts w:hint="eastAsia" w:ascii="微软雅黑" w:hAnsi="微软雅黑"/>
                <w:color w:val="auto"/>
                <w:szCs w:val="21"/>
                <w:highlight w:val="none"/>
              </w:rPr>
            </w:pPr>
          </w:p>
        </w:tc>
        <w:tc>
          <w:tcPr>
            <w:tcW w:w="851" w:type="dxa"/>
            <w:vAlign w:val="center"/>
          </w:tcPr>
          <w:p w14:paraId="1E4C9C76">
            <w:pPr>
              <w:spacing w:line="240" w:lineRule="auto"/>
              <w:ind w:firstLine="0" w:firstLineChars="0"/>
              <w:jc w:val="center"/>
              <w:rPr>
                <w:rFonts w:hint="eastAsia" w:ascii="微软雅黑" w:hAnsi="微软雅黑"/>
                <w:color w:val="auto"/>
                <w:szCs w:val="21"/>
                <w:highlight w:val="none"/>
              </w:rPr>
            </w:pPr>
          </w:p>
        </w:tc>
        <w:tc>
          <w:tcPr>
            <w:tcW w:w="1276" w:type="dxa"/>
            <w:vAlign w:val="center"/>
          </w:tcPr>
          <w:p w14:paraId="4293A96E">
            <w:pPr>
              <w:spacing w:line="240" w:lineRule="auto"/>
              <w:ind w:firstLine="0" w:firstLineChars="0"/>
              <w:jc w:val="center"/>
              <w:rPr>
                <w:rFonts w:hint="eastAsia" w:ascii="微软雅黑" w:hAnsi="微软雅黑"/>
                <w:color w:val="auto"/>
                <w:szCs w:val="21"/>
                <w:highlight w:val="none"/>
              </w:rPr>
            </w:pPr>
          </w:p>
        </w:tc>
        <w:tc>
          <w:tcPr>
            <w:tcW w:w="992" w:type="dxa"/>
            <w:vAlign w:val="center"/>
          </w:tcPr>
          <w:p w14:paraId="5ECFA3F0">
            <w:pPr>
              <w:spacing w:line="240" w:lineRule="auto"/>
              <w:ind w:firstLine="0" w:firstLineChars="0"/>
              <w:jc w:val="center"/>
              <w:rPr>
                <w:rFonts w:hint="eastAsia" w:ascii="微软雅黑" w:hAnsi="微软雅黑"/>
                <w:color w:val="auto"/>
                <w:szCs w:val="21"/>
                <w:highlight w:val="none"/>
              </w:rPr>
            </w:pPr>
          </w:p>
        </w:tc>
        <w:tc>
          <w:tcPr>
            <w:tcW w:w="2714" w:type="dxa"/>
          </w:tcPr>
          <w:p w14:paraId="661BCD14">
            <w:pPr>
              <w:spacing w:line="240" w:lineRule="auto"/>
              <w:ind w:firstLine="0" w:firstLineChars="0"/>
              <w:jc w:val="center"/>
              <w:rPr>
                <w:rFonts w:hint="eastAsia" w:ascii="微软雅黑" w:hAnsi="微软雅黑"/>
                <w:color w:val="auto"/>
                <w:szCs w:val="21"/>
                <w:highlight w:val="none"/>
              </w:rPr>
            </w:pPr>
          </w:p>
        </w:tc>
      </w:tr>
      <w:tr w14:paraId="3B3E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35807060">
            <w:pPr>
              <w:spacing w:line="240" w:lineRule="auto"/>
              <w:ind w:firstLine="0" w:firstLineChars="0"/>
              <w:jc w:val="center"/>
              <w:rPr>
                <w:rFonts w:hint="eastAsia" w:ascii="微软雅黑" w:hAnsi="微软雅黑"/>
                <w:color w:val="auto"/>
                <w:szCs w:val="21"/>
                <w:highlight w:val="none"/>
              </w:rPr>
            </w:pPr>
            <w:r>
              <w:rPr>
                <w:rFonts w:ascii="微软雅黑" w:hAnsi="微软雅黑"/>
                <w:color w:val="auto"/>
                <w:szCs w:val="21"/>
                <w:highlight w:val="none"/>
              </w:rPr>
              <w:t>4</w:t>
            </w:r>
          </w:p>
        </w:tc>
        <w:tc>
          <w:tcPr>
            <w:tcW w:w="1277" w:type="dxa"/>
            <w:vAlign w:val="center"/>
          </w:tcPr>
          <w:p w14:paraId="01FB8E31">
            <w:pPr>
              <w:spacing w:line="240" w:lineRule="auto"/>
              <w:ind w:firstLine="0" w:firstLineChars="0"/>
              <w:jc w:val="center"/>
              <w:rPr>
                <w:rFonts w:hint="eastAsia" w:ascii="微软雅黑" w:hAnsi="微软雅黑"/>
                <w:color w:val="auto"/>
                <w:szCs w:val="21"/>
                <w:highlight w:val="none"/>
              </w:rPr>
            </w:pPr>
          </w:p>
        </w:tc>
        <w:tc>
          <w:tcPr>
            <w:tcW w:w="708" w:type="dxa"/>
            <w:vAlign w:val="center"/>
          </w:tcPr>
          <w:p w14:paraId="37603400">
            <w:pPr>
              <w:spacing w:line="240" w:lineRule="auto"/>
              <w:ind w:firstLine="0" w:firstLineChars="0"/>
              <w:jc w:val="center"/>
              <w:rPr>
                <w:rFonts w:hint="eastAsia" w:ascii="微软雅黑" w:hAnsi="微软雅黑"/>
                <w:color w:val="auto"/>
                <w:szCs w:val="21"/>
                <w:highlight w:val="none"/>
              </w:rPr>
            </w:pPr>
          </w:p>
        </w:tc>
        <w:tc>
          <w:tcPr>
            <w:tcW w:w="851" w:type="dxa"/>
            <w:vAlign w:val="center"/>
          </w:tcPr>
          <w:p w14:paraId="51A4EAD7">
            <w:pPr>
              <w:spacing w:line="240" w:lineRule="auto"/>
              <w:ind w:firstLine="0" w:firstLineChars="0"/>
              <w:jc w:val="center"/>
              <w:rPr>
                <w:rFonts w:hint="eastAsia" w:ascii="微软雅黑" w:hAnsi="微软雅黑"/>
                <w:color w:val="auto"/>
                <w:szCs w:val="21"/>
                <w:highlight w:val="none"/>
              </w:rPr>
            </w:pPr>
          </w:p>
        </w:tc>
        <w:tc>
          <w:tcPr>
            <w:tcW w:w="1276" w:type="dxa"/>
            <w:vAlign w:val="center"/>
          </w:tcPr>
          <w:p w14:paraId="10DDBF18">
            <w:pPr>
              <w:spacing w:line="240" w:lineRule="auto"/>
              <w:ind w:firstLine="0" w:firstLineChars="0"/>
              <w:jc w:val="center"/>
              <w:rPr>
                <w:rFonts w:hint="eastAsia" w:ascii="微软雅黑" w:hAnsi="微软雅黑"/>
                <w:color w:val="auto"/>
                <w:szCs w:val="21"/>
                <w:highlight w:val="none"/>
              </w:rPr>
            </w:pPr>
          </w:p>
        </w:tc>
        <w:tc>
          <w:tcPr>
            <w:tcW w:w="992" w:type="dxa"/>
            <w:vAlign w:val="center"/>
          </w:tcPr>
          <w:p w14:paraId="3FA06F91">
            <w:pPr>
              <w:spacing w:line="240" w:lineRule="auto"/>
              <w:ind w:firstLine="0" w:firstLineChars="0"/>
              <w:jc w:val="center"/>
              <w:rPr>
                <w:rFonts w:hint="eastAsia" w:ascii="微软雅黑" w:hAnsi="微软雅黑"/>
                <w:color w:val="auto"/>
                <w:szCs w:val="21"/>
                <w:highlight w:val="none"/>
              </w:rPr>
            </w:pPr>
          </w:p>
        </w:tc>
        <w:tc>
          <w:tcPr>
            <w:tcW w:w="2714" w:type="dxa"/>
          </w:tcPr>
          <w:p w14:paraId="240C909B">
            <w:pPr>
              <w:spacing w:line="240" w:lineRule="auto"/>
              <w:ind w:firstLine="0" w:firstLineChars="0"/>
              <w:jc w:val="center"/>
              <w:rPr>
                <w:rFonts w:hint="eastAsia" w:ascii="微软雅黑" w:hAnsi="微软雅黑"/>
                <w:color w:val="auto"/>
                <w:szCs w:val="21"/>
                <w:highlight w:val="none"/>
              </w:rPr>
            </w:pPr>
          </w:p>
        </w:tc>
      </w:tr>
      <w:tr w14:paraId="00C2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98" w:type="dxa"/>
            <w:vAlign w:val="center"/>
          </w:tcPr>
          <w:p w14:paraId="0E813121">
            <w:pPr>
              <w:spacing w:line="240" w:lineRule="auto"/>
              <w:ind w:firstLine="0" w:firstLineChars="0"/>
              <w:jc w:val="center"/>
              <w:rPr>
                <w:rFonts w:hint="eastAsia" w:ascii="微软雅黑" w:hAnsi="微软雅黑"/>
                <w:color w:val="auto"/>
                <w:szCs w:val="21"/>
                <w:highlight w:val="none"/>
              </w:rPr>
            </w:pPr>
            <w:r>
              <w:rPr>
                <w:rFonts w:ascii="微软雅黑" w:hAnsi="微软雅黑"/>
                <w:color w:val="auto"/>
                <w:szCs w:val="21"/>
                <w:highlight w:val="none"/>
              </w:rPr>
              <w:t>…</w:t>
            </w:r>
          </w:p>
        </w:tc>
        <w:tc>
          <w:tcPr>
            <w:tcW w:w="1277" w:type="dxa"/>
            <w:vAlign w:val="center"/>
          </w:tcPr>
          <w:p w14:paraId="3AC2D74D">
            <w:pPr>
              <w:spacing w:line="240" w:lineRule="auto"/>
              <w:ind w:firstLine="0" w:firstLineChars="0"/>
              <w:jc w:val="center"/>
              <w:rPr>
                <w:rFonts w:hint="eastAsia" w:ascii="微软雅黑" w:hAnsi="微软雅黑"/>
                <w:color w:val="auto"/>
                <w:szCs w:val="21"/>
                <w:highlight w:val="none"/>
              </w:rPr>
            </w:pPr>
          </w:p>
        </w:tc>
        <w:tc>
          <w:tcPr>
            <w:tcW w:w="708" w:type="dxa"/>
            <w:vAlign w:val="center"/>
          </w:tcPr>
          <w:p w14:paraId="5FB8C46D">
            <w:pPr>
              <w:spacing w:line="240" w:lineRule="auto"/>
              <w:ind w:firstLine="0" w:firstLineChars="0"/>
              <w:jc w:val="center"/>
              <w:rPr>
                <w:rFonts w:hint="eastAsia" w:ascii="微软雅黑" w:hAnsi="微软雅黑"/>
                <w:color w:val="auto"/>
                <w:szCs w:val="21"/>
                <w:highlight w:val="none"/>
              </w:rPr>
            </w:pPr>
          </w:p>
        </w:tc>
        <w:tc>
          <w:tcPr>
            <w:tcW w:w="851" w:type="dxa"/>
            <w:vAlign w:val="center"/>
          </w:tcPr>
          <w:p w14:paraId="19F68918">
            <w:pPr>
              <w:spacing w:line="240" w:lineRule="auto"/>
              <w:ind w:firstLine="0" w:firstLineChars="0"/>
              <w:jc w:val="center"/>
              <w:rPr>
                <w:rFonts w:hint="eastAsia" w:ascii="微软雅黑" w:hAnsi="微软雅黑"/>
                <w:color w:val="auto"/>
                <w:szCs w:val="21"/>
                <w:highlight w:val="none"/>
              </w:rPr>
            </w:pPr>
          </w:p>
        </w:tc>
        <w:tc>
          <w:tcPr>
            <w:tcW w:w="1276" w:type="dxa"/>
            <w:vAlign w:val="center"/>
          </w:tcPr>
          <w:p w14:paraId="097FDCE6">
            <w:pPr>
              <w:spacing w:line="240" w:lineRule="auto"/>
              <w:ind w:firstLine="0" w:firstLineChars="0"/>
              <w:jc w:val="center"/>
              <w:rPr>
                <w:rFonts w:hint="eastAsia" w:ascii="微软雅黑" w:hAnsi="微软雅黑"/>
                <w:color w:val="auto"/>
                <w:szCs w:val="21"/>
                <w:highlight w:val="none"/>
              </w:rPr>
            </w:pPr>
          </w:p>
        </w:tc>
        <w:tc>
          <w:tcPr>
            <w:tcW w:w="992" w:type="dxa"/>
            <w:vAlign w:val="center"/>
          </w:tcPr>
          <w:p w14:paraId="5E40F414">
            <w:pPr>
              <w:spacing w:line="240" w:lineRule="auto"/>
              <w:ind w:firstLine="0" w:firstLineChars="0"/>
              <w:jc w:val="center"/>
              <w:rPr>
                <w:rFonts w:hint="eastAsia" w:ascii="微软雅黑" w:hAnsi="微软雅黑"/>
                <w:color w:val="auto"/>
                <w:szCs w:val="21"/>
                <w:highlight w:val="none"/>
              </w:rPr>
            </w:pPr>
            <w:r>
              <w:rPr>
                <w:rFonts w:ascii="微软雅黑" w:hAnsi="微软雅黑"/>
                <w:color w:val="auto"/>
                <w:szCs w:val="21"/>
                <w:highlight w:val="none"/>
              </w:rPr>
              <w:t>…</w:t>
            </w:r>
          </w:p>
        </w:tc>
        <w:tc>
          <w:tcPr>
            <w:tcW w:w="2714" w:type="dxa"/>
          </w:tcPr>
          <w:p w14:paraId="59E5D50B">
            <w:pPr>
              <w:spacing w:line="240" w:lineRule="auto"/>
              <w:ind w:firstLine="0" w:firstLineChars="0"/>
              <w:jc w:val="center"/>
              <w:rPr>
                <w:rFonts w:hint="eastAsia" w:ascii="微软雅黑" w:hAnsi="微软雅黑"/>
                <w:color w:val="auto"/>
                <w:szCs w:val="21"/>
                <w:highlight w:val="none"/>
              </w:rPr>
            </w:pPr>
          </w:p>
        </w:tc>
      </w:tr>
    </w:tbl>
    <w:p w14:paraId="2D5A637B">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注：1.请对照采购清单序列编制上表，表格行数不够可自行添加。</w:t>
      </w:r>
    </w:p>
    <w:p w14:paraId="0464264E">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 xml:space="preserve">     2.若有一项设备制造商为大型企业</w:t>
      </w:r>
      <w:r>
        <w:rPr>
          <w:rFonts w:hint="eastAsia" w:ascii="微软雅黑" w:hAnsi="微软雅黑"/>
          <w:color w:val="auto"/>
          <w:szCs w:val="21"/>
          <w:highlight w:val="none"/>
        </w:rPr>
        <w:t>、中型企业</w:t>
      </w:r>
      <w:r>
        <w:rPr>
          <w:rFonts w:ascii="微软雅黑" w:hAnsi="微软雅黑"/>
          <w:color w:val="auto"/>
          <w:szCs w:val="21"/>
          <w:highlight w:val="none"/>
        </w:rPr>
        <w:t>，则无须提供《</w:t>
      </w:r>
      <w:r>
        <w:rPr>
          <w:rFonts w:hint="eastAsia" w:ascii="微软雅黑" w:hAnsi="微软雅黑"/>
          <w:color w:val="auto"/>
          <w:szCs w:val="21"/>
          <w:highlight w:val="none"/>
        </w:rPr>
        <w:t>中小企业</w:t>
      </w:r>
      <w:r>
        <w:rPr>
          <w:rFonts w:ascii="微软雅黑" w:hAnsi="微软雅黑"/>
          <w:color w:val="auto"/>
          <w:szCs w:val="21"/>
          <w:highlight w:val="none"/>
        </w:rPr>
        <w:t>声明函》。</w:t>
      </w:r>
    </w:p>
    <w:p w14:paraId="00BB6929">
      <w:pPr>
        <w:snapToGrid w:val="0"/>
        <w:spacing w:before="120" w:beforeLines="50"/>
        <w:ind w:firstLine="420"/>
        <w:jc w:val="both"/>
        <w:rPr>
          <w:rFonts w:hint="eastAsia" w:ascii="微软雅黑" w:hAnsi="微软雅黑" w:cs="Arial"/>
          <w:color w:val="auto"/>
          <w:kern w:val="0"/>
          <w:szCs w:val="21"/>
          <w:highlight w:val="none"/>
        </w:rPr>
      </w:pPr>
    </w:p>
    <w:p w14:paraId="5D6F1982">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28C130B7">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0310F8DE">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14923816">
      <w:pPr>
        <w:ind w:firstLine="5160" w:firstLineChars="2150"/>
        <w:rPr>
          <w:color w:val="auto"/>
          <w:sz w:val="24"/>
          <w:highlight w:val="none"/>
        </w:rPr>
      </w:pPr>
    </w:p>
    <w:p w14:paraId="4E22A424">
      <w:pPr>
        <w:ind w:firstLine="482"/>
        <w:rPr>
          <w:rFonts w:eastAsia="宋体"/>
          <w:b/>
          <w:color w:val="auto"/>
          <w:sz w:val="24"/>
          <w:highlight w:val="none"/>
        </w:rPr>
        <w:sectPr>
          <w:pgSz w:w="11906" w:h="16838"/>
          <w:pgMar w:top="1276" w:right="1418" w:bottom="1247" w:left="1418" w:header="851" w:footer="992" w:gutter="0"/>
          <w:cols w:space="720" w:num="1"/>
          <w:titlePg/>
          <w:docGrid w:linePitch="312" w:charSpace="0"/>
        </w:sectPr>
      </w:pPr>
    </w:p>
    <w:p w14:paraId="4B3FBD9B">
      <w:pPr>
        <w:ind w:firstLine="482"/>
        <w:rPr>
          <w:rFonts w:hint="eastAsia" w:ascii="微软雅黑" w:hAnsi="微软雅黑" w:cs="仿宋_GB2312"/>
          <w:b/>
          <w:color w:val="auto"/>
          <w:kern w:val="0"/>
          <w:szCs w:val="21"/>
          <w:highlight w:val="none"/>
        </w:rPr>
      </w:pPr>
      <w:r>
        <w:rPr>
          <w:rFonts w:hint="eastAsia" w:eastAsia="宋体"/>
          <w:b/>
          <w:color w:val="auto"/>
          <w:sz w:val="24"/>
          <w:highlight w:val="none"/>
        </w:rPr>
        <w:t>3.</w:t>
      </w:r>
      <w:r>
        <w:rPr>
          <w:rFonts w:hint="eastAsia" w:ascii="微软雅黑" w:hAnsi="微软雅黑"/>
          <w:b/>
          <w:color w:val="auto"/>
          <w:szCs w:val="21"/>
          <w:highlight w:val="none"/>
        </w:rPr>
        <w:t>商务响应表格式：</w:t>
      </w:r>
    </w:p>
    <w:p w14:paraId="4F669B3A">
      <w:pPr>
        <w:ind w:firstLine="420"/>
        <w:jc w:val="center"/>
        <w:rPr>
          <w:rFonts w:hint="eastAsia" w:ascii="微软雅黑" w:hAnsi="微软雅黑" w:cs="仿宋_GB2312"/>
          <w:b/>
          <w:color w:val="auto"/>
          <w:kern w:val="0"/>
          <w:szCs w:val="21"/>
          <w:highlight w:val="none"/>
        </w:rPr>
      </w:pPr>
      <w:r>
        <w:rPr>
          <w:rFonts w:hint="eastAsia" w:ascii="微软雅黑" w:hAnsi="微软雅黑" w:cs="仿宋_GB2312"/>
          <w:b/>
          <w:color w:val="auto"/>
          <w:kern w:val="0"/>
          <w:szCs w:val="21"/>
          <w:highlight w:val="none"/>
        </w:rPr>
        <w:t>商务响应表</w:t>
      </w:r>
    </w:p>
    <w:tbl>
      <w:tblPr>
        <w:tblStyle w:val="53"/>
        <w:tblW w:w="9026" w:type="dxa"/>
        <w:tblInd w:w="2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710"/>
        <w:gridCol w:w="1320"/>
      </w:tblGrid>
      <w:tr w14:paraId="52BF1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43D4B825">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序号</w:t>
            </w:r>
          </w:p>
        </w:tc>
        <w:tc>
          <w:tcPr>
            <w:tcW w:w="3086" w:type="dxa"/>
          </w:tcPr>
          <w:p w14:paraId="758D84DB">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招标文件的规定</w:t>
            </w:r>
          </w:p>
        </w:tc>
        <w:tc>
          <w:tcPr>
            <w:tcW w:w="3710" w:type="dxa"/>
          </w:tcPr>
          <w:p w14:paraId="383C010C">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投标文件的响应</w:t>
            </w:r>
          </w:p>
        </w:tc>
        <w:tc>
          <w:tcPr>
            <w:tcW w:w="1320" w:type="dxa"/>
          </w:tcPr>
          <w:p w14:paraId="059367CE">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偏离说明</w:t>
            </w:r>
          </w:p>
        </w:tc>
      </w:tr>
      <w:tr w14:paraId="5E02B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15FEFF42">
            <w:pPr>
              <w:spacing w:line="240" w:lineRule="auto"/>
              <w:ind w:firstLine="0" w:firstLineChars="0"/>
              <w:rPr>
                <w:rFonts w:hint="eastAsia" w:ascii="微软雅黑" w:hAnsi="微软雅黑"/>
                <w:color w:val="auto"/>
                <w:szCs w:val="21"/>
                <w:highlight w:val="none"/>
              </w:rPr>
            </w:pPr>
          </w:p>
        </w:tc>
        <w:tc>
          <w:tcPr>
            <w:tcW w:w="3086" w:type="dxa"/>
          </w:tcPr>
          <w:p w14:paraId="18E1D15F">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 xml:space="preserve">服务期限 </w:t>
            </w:r>
          </w:p>
        </w:tc>
        <w:tc>
          <w:tcPr>
            <w:tcW w:w="3710" w:type="dxa"/>
          </w:tcPr>
          <w:p w14:paraId="367AD606">
            <w:pPr>
              <w:spacing w:line="240" w:lineRule="auto"/>
              <w:ind w:firstLine="0" w:firstLineChars="0"/>
              <w:rPr>
                <w:rFonts w:hint="eastAsia" w:ascii="微软雅黑" w:hAnsi="微软雅黑"/>
                <w:color w:val="auto"/>
                <w:szCs w:val="21"/>
                <w:highlight w:val="none"/>
              </w:rPr>
            </w:pPr>
          </w:p>
        </w:tc>
        <w:tc>
          <w:tcPr>
            <w:tcW w:w="1320" w:type="dxa"/>
          </w:tcPr>
          <w:p w14:paraId="63BD0CEA">
            <w:pPr>
              <w:spacing w:line="240" w:lineRule="auto"/>
              <w:ind w:firstLine="0" w:firstLineChars="0"/>
              <w:rPr>
                <w:rFonts w:hint="eastAsia" w:ascii="微软雅黑" w:hAnsi="微软雅黑"/>
                <w:color w:val="auto"/>
                <w:szCs w:val="21"/>
                <w:highlight w:val="none"/>
              </w:rPr>
            </w:pPr>
          </w:p>
        </w:tc>
      </w:tr>
      <w:tr w14:paraId="667A2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10" w:type="dxa"/>
          </w:tcPr>
          <w:p w14:paraId="346A25DC">
            <w:pPr>
              <w:spacing w:line="240" w:lineRule="auto"/>
              <w:ind w:firstLine="0" w:firstLineChars="0"/>
              <w:rPr>
                <w:rFonts w:hint="eastAsia" w:ascii="微软雅黑" w:hAnsi="微软雅黑"/>
                <w:color w:val="auto"/>
                <w:szCs w:val="21"/>
                <w:highlight w:val="none"/>
              </w:rPr>
            </w:pPr>
          </w:p>
        </w:tc>
        <w:tc>
          <w:tcPr>
            <w:tcW w:w="3086" w:type="dxa"/>
          </w:tcPr>
          <w:p w14:paraId="45431DDD">
            <w:pPr>
              <w:spacing w:line="240" w:lineRule="auto"/>
              <w:ind w:firstLine="0" w:firstLineChars="0"/>
              <w:rPr>
                <w:rFonts w:hint="default" w:ascii="微软雅黑" w:hAnsi="微软雅黑" w:eastAsia="微软雅黑"/>
                <w:color w:val="auto"/>
                <w:szCs w:val="21"/>
                <w:highlight w:val="none"/>
                <w:lang w:val="en-US" w:eastAsia="zh-CN"/>
              </w:rPr>
            </w:pPr>
            <w:r>
              <w:rPr>
                <w:rFonts w:hint="eastAsia" w:ascii="微软雅黑" w:hAnsi="微软雅黑"/>
                <w:color w:val="auto"/>
                <w:szCs w:val="21"/>
                <w:highlight w:val="none"/>
                <w:lang w:val="en-US" w:eastAsia="zh-CN"/>
              </w:rPr>
              <w:t>质保期</w:t>
            </w:r>
          </w:p>
        </w:tc>
        <w:tc>
          <w:tcPr>
            <w:tcW w:w="3710" w:type="dxa"/>
          </w:tcPr>
          <w:p w14:paraId="30E031A7">
            <w:pPr>
              <w:spacing w:line="240" w:lineRule="auto"/>
              <w:ind w:firstLine="0" w:firstLineChars="0"/>
              <w:rPr>
                <w:rFonts w:hint="eastAsia" w:ascii="微软雅黑" w:hAnsi="微软雅黑"/>
                <w:color w:val="auto"/>
                <w:szCs w:val="21"/>
                <w:highlight w:val="none"/>
              </w:rPr>
            </w:pPr>
          </w:p>
        </w:tc>
        <w:tc>
          <w:tcPr>
            <w:tcW w:w="1320" w:type="dxa"/>
          </w:tcPr>
          <w:p w14:paraId="4DF4CD24">
            <w:pPr>
              <w:spacing w:line="240" w:lineRule="auto"/>
              <w:ind w:firstLine="0" w:firstLineChars="0"/>
              <w:rPr>
                <w:rFonts w:hint="eastAsia" w:ascii="微软雅黑" w:hAnsi="微软雅黑"/>
                <w:color w:val="auto"/>
                <w:szCs w:val="21"/>
                <w:highlight w:val="none"/>
              </w:rPr>
            </w:pPr>
          </w:p>
        </w:tc>
      </w:tr>
      <w:tr w14:paraId="1C78F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7F88B748">
            <w:pPr>
              <w:spacing w:line="240" w:lineRule="auto"/>
              <w:ind w:firstLine="0" w:firstLineChars="0"/>
              <w:rPr>
                <w:rFonts w:hint="eastAsia" w:ascii="微软雅黑" w:hAnsi="微软雅黑"/>
                <w:color w:val="auto"/>
                <w:szCs w:val="21"/>
                <w:highlight w:val="none"/>
              </w:rPr>
            </w:pPr>
          </w:p>
        </w:tc>
        <w:tc>
          <w:tcPr>
            <w:tcW w:w="3086" w:type="dxa"/>
          </w:tcPr>
          <w:p w14:paraId="5E0982F3">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付款方式</w:t>
            </w:r>
          </w:p>
        </w:tc>
        <w:tc>
          <w:tcPr>
            <w:tcW w:w="3710" w:type="dxa"/>
          </w:tcPr>
          <w:p w14:paraId="57322227">
            <w:pPr>
              <w:spacing w:line="240" w:lineRule="auto"/>
              <w:ind w:firstLine="0" w:firstLineChars="0"/>
              <w:rPr>
                <w:rFonts w:hint="eastAsia" w:ascii="微软雅黑" w:hAnsi="微软雅黑"/>
                <w:color w:val="auto"/>
                <w:szCs w:val="21"/>
                <w:highlight w:val="none"/>
              </w:rPr>
            </w:pPr>
          </w:p>
        </w:tc>
        <w:tc>
          <w:tcPr>
            <w:tcW w:w="1320" w:type="dxa"/>
          </w:tcPr>
          <w:p w14:paraId="2B72EC80">
            <w:pPr>
              <w:spacing w:line="240" w:lineRule="auto"/>
              <w:ind w:firstLine="0" w:firstLineChars="0"/>
              <w:rPr>
                <w:rFonts w:hint="eastAsia" w:ascii="微软雅黑" w:hAnsi="微软雅黑"/>
                <w:color w:val="auto"/>
                <w:szCs w:val="21"/>
                <w:highlight w:val="none"/>
              </w:rPr>
            </w:pPr>
          </w:p>
        </w:tc>
      </w:tr>
    </w:tbl>
    <w:p w14:paraId="327A80BE">
      <w:pPr>
        <w:ind w:firstLine="420"/>
        <w:rPr>
          <w:rFonts w:hint="eastAsia" w:ascii="微软雅黑" w:hAnsi="微软雅黑"/>
          <w:b/>
          <w:color w:val="auto"/>
          <w:szCs w:val="21"/>
          <w:highlight w:val="none"/>
        </w:rPr>
      </w:pPr>
      <w:r>
        <w:rPr>
          <w:rFonts w:hint="eastAsia" w:ascii="微软雅黑" w:hAnsi="微软雅黑"/>
          <w:b/>
          <w:color w:val="auto"/>
          <w:szCs w:val="21"/>
          <w:highlight w:val="none"/>
        </w:rPr>
        <w:t>注：投标</w:t>
      </w:r>
      <w:r>
        <w:rPr>
          <w:rFonts w:hint="eastAsia" w:ascii="微软雅黑" w:hAnsi="微软雅黑"/>
          <w:b/>
          <w:color w:val="auto"/>
          <w:szCs w:val="21"/>
          <w:highlight w:val="none"/>
          <w:lang w:eastAsia="zh-CN"/>
        </w:rPr>
        <w:t>投标人</w:t>
      </w:r>
      <w:r>
        <w:rPr>
          <w:rFonts w:hint="eastAsia" w:ascii="微软雅黑" w:hAnsi="微软雅黑"/>
          <w:b/>
          <w:color w:val="auto"/>
          <w:szCs w:val="21"/>
          <w:highlight w:val="none"/>
        </w:rPr>
        <w:t>的投标文件（除技术规格部分）与招标文件之规定存在偏离的，应在此表中如实说明。未在上表中说明的，将被认为完全响应招标文件的规定。</w:t>
      </w:r>
    </w:p>
    <w:p w14:paraId="77CC5B18">
      <w:pPr>
        <w:snapToGrid w:val="0"/>
        <w:spacing w:before="120" w:beforeLines="50"/>
        <w:ind w:firstLine="420"/>
        <w:jc w:val="both"/>
        <w:rPr>
          <w:rFonts w:hint="eastAsia" w:ascii="微软雅黑" w:hAnsi="微软雅黑" w:cs="Arial"/>
          <w:color w:val="auto"/>
          <w:kern w:val="0"/>
          <w:szCs w:val="21"/>
          <w:highlight w:val="none"/>
        </w:rPr>
      </w:pPr>
    </w:p>
    <w:p w14:paraId="7A1BA141">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2A9DB998">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65B7AD65">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6E75256E">
      <w:pPr>
        <w:ind w:firstLine="643"/>
        <w:jc w:val="center"/>
        <w:rPr>
          <w:rFonts w:hint="eastAsia" w:ascii="仿宋_GB2312" w:hAnsi="仿宋" w:eastAsia="仿宋_GB2312" w:cs="仿宋_GB2312"/>
          <w:b/>
          <w:color w:val="auto"/>
          <w:kern w:val="0"/>
          <w:sz w:val="32"/>
          <w:szCs w:val="32"/>
          <w:highlight w:val="none"/>
        </w:rPr>
      </w:pPr>
    </w:p>
    <w:p w14:paraId="3AE8D675">
      <w:pPr>
        <w:ind w:firstLine="643"/>
        <w:jc w:val="center"/>
        <w:rPr>
          <w:rFonts w:hint="eastAsia" w:ascii="仿宋_GB2312" w:hAnsi="仿宋" w:eastAsia="仿宋_GB2312" w:cs="仿宋_GB2312"/>
          <w:b/>
          <w:color w:val="auto"/>
          <w:kern w:val="0"/>
          <w:sz w:val="32"/>
          <w:szCs w:val="32"/>
          <w:highlight w:val="none"/>
        </w:rPr>
      </w:pPr>
    </w:p>
    <w:p w14:paraId="4518D7FE">
      <w:pPr>
        <w:snapToGrid w:val="0"/>
        <w:spacing w:before="50" w:after="120" w:afterLines="50"/>
        <w:rPr>
          <w:b/>
          <w:color w:val="auto"/>
          <w:sz w:val="24"/>
          <w:highlight w:val="none"/>
        </w:rPr>
        <w:sectPr>
          <w:pgSz w:w="11906" w:h="16838"/>
          <w:pgMar w:top="1276" w:right="1418" w:bottom="1247" w:left="1418" w:header="851" w:footer="992" w:gutter="0"/>
          <w:cols w:space="720" w:num="1"/>
          <w:titlePg/>
          <w:docGrid w:linePitch="312" w:charSpace="0"/>
        </w:sectPr>
      </w:pPr>
    </w:p>
    <w:p w14:paraId="1F703A05">
      <w:pPr>
        <w:snapToGrid w:val="0"/>
        <w:spacing w:before="50" w:after="120" w:afterLines="50"/>
        <w:ind w:firstLine="420"/>
        <w:rPr>
          <w:rFonts w:hint="eastAsia" w:ascii="微软雅黑" w:hAnsi="微软雅黑"/>
          <w:b/>
          <w:color w:val="auto"/>
          <w:szCs w:val="21"/>
          <w:highlight w:val="none"/>
        </w:rPr>
      </w:pPr>
      <w:r>
        <w:rPr>
          <w:rFonts w:hint="eastAsia" w:ascii="微软雅黑" w:hAnsi="微软雅黑"/>
          <w:b/>
          <w:color w:val="auto"/>
          <w:szCs w:val="21"/>
          <w:highlight w:val="none"/>
        </w:rPr>
        <w:t>4</w:t>
      </w:r>
      <w:r>
        <w:rPr>
          <w:rFonts w:ascii="微软雅黑" w:hAnsi="微软雅黑"/>
          <w:b/>
          <w:color w:val="auto"/>
          <w:szCs w:val="21"/>
          <w:highlight w:val="none"/>
        </w:rPr>
        <w:t>.技术响应表格式：</w:t>
      </w:r>
    </w:p>
    <w:p w14:paraId="3F8B9454">
      <w:pPr>
        <w:snapToGrid w:val="0"/>
        <w:spacing w:before="50" w:after="120" w:afterLines="50"/>
        <w:ind w:firstLine="420"/>
        <w:jc w:val="center"/>
        <w:rPr>
          <w:rFonts w:hint="eastAsia" w:ascii="微软雅黑" w:hAnsi="微软雅黑"/>
          <w:color w:val="auto"/>
          <w:szCs w:val="21"/>
          <w:highlight w:val="none"/>
          <w:u w:val="single"/>
        </w:rPr>
      </w:pPr>
      <w:r>
        <w:rPr>
          <w:rFonts w:ascii="微软雅黑" w:hAnsi="微软雅黑"/>
          <w:b/>
          <w:color w:val="auto"/>
          <w:szCs w:val="21"/>
          <w:highlight w:val="none"/>
        </w:rPr>
        <w:t>技术响应表</w:t>
      </w:r>
    </w:p>
    <w:tbl>
      <w:tblPr>
        <w:tblStyle w:val="53"/>
        <w:tblW w:w="82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6"/>
        <w:gridCol w:w="1056"/>
        <w:gridCol w:w="1896"/>
        <w:gridCol w:w="1896"/>
        <w:gridCol w:w="2106"/>
        <w:gridCol w:w="636"/>
      </w:tblGrid>
      <w:tr w14:paraId="49016E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0" w:hRule="atLeast"/>
        </w:trPr>
        <w:tc>
          <w:tcPr>
            <w:tcW w:w="636" w:type="dxa"/>
            <w:tcBorders>
              <w:top w:val="single" w:color="auto" w:sz="4" w:space="0"/>
              <w:left w:val="single" w:color="auto" w:sz="4" w:space="0"/>
              <w:bottom w:val="single" w:color="auto" w:sz="4" w:space="0"/>
              <w:right w:val="single" w:color="auto" w:sz="4" w:space="0"/>
            </w:tcBorders>
          </w:tcPr>
          <w:p w14:paraId="42D70B32">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53" w:name="_Toc17952"/>
            <w:bookmarkStart w:id="254" w:name="_Toc164943227"/>
            <w:bookmarkStart w:id="255" w:name="_Toc465368115"/>
            <w:bookmarkStart w:id="256" w:name="_Toc169015150"/>
            <w:bookmarkStart w:id="257" w:name="_Toc20307"/>
            <w:bookmarkStart w:id="258" w:name="_Toc18629"/>
            <w:r>
              <w:rPr>
                <w:rFonts w:ascii="微软雅黑" w:hAnsi="微软雅黑"/>
                <w:color w:val="auto"/>
                <w:szCs w:val="21"/>
                <w:highlight w:val="none"/>
              </w:rPr>
              <w:t>序号</w:t>
            </w:r>
            <w:bookmarkEnd w:id="253"/>
            <w:bookmarkEnd w:id="254"/>
            <w:bookmarkEnd w:id="255"/>
            <w:bookmarkEnd w:id="256"/>
            <w:bookmarkEnd w:id="257"/>
            <w:bookmarkEnd w:id="258"/>
          </w:p>
        </w:tc>
        <w:tc>
          <w:tcPr>
            <w:tcW w:w="1056" w:type="dxa"/>
            <w:tcBorders>
              <w:top w:val="single" w:color="auto" w:sz="4" w:space="0"/>
              <w:left w:val="single" w:color="auto" w:sz="4" w:space="0"/>
              <w:bottom w:val="single" w:color="auto" w:sz="4" w:space="0"/>
              <w:right w:val="single" w:color="auto" w:sz="4" w:space="0"/>
            </w:tcBorders>
          </w:tcPr>
          <w:p w14:paraId="75F7625D">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59" w:name="_Toc3313"/>
            <w:bookmarkStart w:id="260" w:name="_Toc24880"/>
            <w:bookmarkStart w:id="261" w:name="_Toc702241305"/>
            <w:bookmarkStart w:id="262" w:name="_Toc169015151"/>
            <w:bookmarkStart w:id="263" w:name="_Toc164943228"/>
            <w:bookmarkStart w:id="264" w:name="_Toc11939"/>
            <w:r>
              <w:rPr>
                <w:rFonts w:ascii="微软雅黑" w:hAnsi="微软雅黑"/>
                <w:color w:val="auto"/>
                <w:szCs w:val="21"/>
                <w:highlight w:val="none"/>
              </w:rPr>
              <w:t>设备名称</w:t>
            </w:r>
            <w:bookmarkEnd w:id="259"/>
            <w:bookmarkEnd w:id="260"/>
            <w:bookmarkEnd w:id="261"/>
            <w:bookmarkEnd w:id="262"/>
            <w:bookmarkEnd w:id="263"/>
            <w:bookmarkEnd w:id="264"/>
          </w:p>
        </w:tc>
        <w:tc>
          <w:tcPr>
            <w:tcW w:w="1896" w:type="dxa"/>
            <w:tcBorders>
              <w:top w:val="single" w:color="auto" w:sz="4" w:space="0"/>
              <w:left w:val="single" w:color="auto" w:sz="4" w:space="0"/>
              <w:bottom w:val="single" w:color="auto" w:sz="4" w:space="0"/>
              <w:right w:val="single" w:color="auto" w:sz="4" w:space="0"/>
            </w:tcBorders>
          </w:tcPr>
          <w:p w14:paraId="484005DF">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65" w:name="_Toc377028119"/>
            <w:bookmarkStart w:id="266" w:name="_Toc406403001"/>
            <w:bookmarkStart w:id="267" w:name="_Toc406402957"/>
            <w:bookmarkStart w:id="268" w:name="_Toc385854110"/>
            <w:bookmarkStart w:id="269" w:name="_Toc401570290"/>
            <w:bookmarkStart w:id="270" w:name="_Toc381081903"/>
            <w:bookmarkStart w:id="271" w:name="_Toc377028057"/>
            <w:bookmarkStart w:id="272" w:name="_Toc401570314"/>
            <w:bookmarkStart w:id="273" w:name="_Toc377653976"/>
            <w:bookmarkStart w:id="274" w:name="_Toc402963128"/>
            <w:bookmarkStart w:id="275" w:name="_Toc385854156"/>
            <w:bookmarkStart w:id="276" w:name="_Toc402963095"/>
            <w:bookmarkStart w:id="277" w:name="_Toc382928236"/>
            <w:bookmarkStart w:id="278" w:name="_Toc382928118"/>
            <w:bookmarkStart w:id="279" w:name="_Toc382928122"/>
            <w:bookmarkStart w:id="280" w:name="_Toc734611807"/>
            <w:bookmarkStart w:id="281" w:name="_Toc402963099"/>
            <w:bookmarkStart w:id="282" w:name="_Toc377028123"/>
            <w:bookmarkStart w:id="283" w:name="_Toc401570294"/>
            <w:bookmarkStart w:id="284" w:name="_Toc377028061"/>
            <w:bookmarkStart w:id="285" w:name="_Toc406402961"/>
            <w:bookmarkStart w:id="286" w:name="_Toc377653980"/>
            <w:bookmarkStart w:id="287" w:name="_Toc402963132"/>
            <w:bookmarkStart w:id="288" w:name="_Toc26033"/>
            <w:bookmarkStart w:id="289" w:name="_Toc16394"/>
            <w:bookmarkStart w:id="290" w:name="_Toc18389"/>
            <w:bookmarkStart w:id="291" w:name="_Toc381081907"/>
            <w:bookmarkStart w:id="292" w:name="_Toc385854114"/>
            <w:bookmarkStart w:id="293" w:name="_Toc401570318"/>
            <w:bookmarkStart w:id="294" w:name="_Toc164943229"/>
            <w:bookmarkStart w:id="295" w:name="_Toc406403005"/>
            <w:bookmarkStart w:id="296" w:name="_Toc169015152"/>
            <w:bookmarkStart w:id="297" w:name="_Toc385854160"/>
            <w:bookmarkStart w:id="298" w:name="_Toc382928240"/>
            <w:r>
              <w:rPr>
                <w:rFonts w:ascii="微软雅黑" w:hAnsi="微软雅黑"/>
                <w:color w:val="auto"/>
                <w:szCs w:val="21"/>
                <w:highlight w:val="none"/>
              </w:rPr>
              <w:t>招标文件要求</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Pr>
                <w:rFonts w:ascii="微软雅黑" w:hAnsi="微软雅黑"/>
                <w:color w:val="auto"/>
                <w:szCs w:val="21"/>
                <w:highlight w:val="none"/>
              </w:rPr>
              <w:t>要求</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tc>
        <w:tc>
          <w:tcPr>
            <w:tcW w:w="1896" w:type="dxa"/>
            <w:tcBorders>
              <w:top w:val="single" w:color="auto" w:sz="4" w:space="0"/>
              <w:left w:val="single" w:color="auto" w:sz="4" w:space="0"/>
              <w:bottom w:val="single" w:color="auto" w:sz="4" w:space="0"/>
              <w:right w:val="single" w:color="auto" w:sz="4" w:space="0"/>
            </w:tcBorders>
          </w:tcPr>
          <w:p w14:paraId="3C34EBA6">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99" w:name="_Toc377028058"/>
            <w:bookmarkStart w:id="300" w:name="_Toc385854157"/>
            <w:bookmarkStart w:id="301" w:name="_Toc401570315"/>
            <w:bookmarkStart w:id="302" w:name="_Toc377028120"/>
            <w:bookmarkStart w:id="303" w:name="_Toc385854111"/>
            <w:bookmarkStart w:id="304" w:name="_Toc382928119"/>
            <w:bookmarkStart w:id="305" w:name="_Toc382928237"/>
            <w:bookmarkStart w:id="306" w:name="_Toc377653977"/>
            <w:bookmarkStart w:id="307" w:name="_Toc402963129"/>
            <w:bookmarkStart w:id="308" w:name="_Toc406402958"/>
            <w:bookmarkStart w:id="309" w:name="_Toc401570291"/>
            <w:bookmarkStart w:id="310" w:name="_Toc381081904"/>
            <w:bookmarkStart w:id="311" w:name="_Toc402963096"/>
            <w:bookmarkStart w:id="312" w:name="_Toc406403002"/>
            <w:bookmarkStart w:id="313" w:name="_Toc929162729"/>
            <w:bookmarkStart w:id="314" w:name="_Toc169015153"/>
            <w:bookmarkStart w:id="315" w:name="_Toc2000"/>
            <w:bookmarkStart w:id="316" w:name="_Toc164943230"/>
            <w:bookmarkStart w:id="317" w:name="_Toc18460"/>
            <w:bookmarkStart w:id="318" w:name="_Toc20550"/>
            <w:r>
              <w:rPr>
                <w:rFonts w:ascii="微软雅黑" w:hAnsi="微软雅黑"/>
                <w:color w:val="auto"/>
                <w:szCs w:val="21"/>
                <w:highlight w:val="none"/>
              </w:rPr>
              <w:t>投标文件</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Pr>
                <w:rFonts w:ascii="微软雅黑" w:hAnsi="微软雅黑"/>
                <w:color w:val="auto"/>
                <w:szCs w:val="21"/>
                <w:highlight w:val="none"/>
              </w:rPr>
              <w:t>性能指标</w:t>
            </w:r>
            <w:bookmarkEnd w:id="313"/>
            <w:bookmarkEnd w:id="314"/>
            <w:bookmarkEnd w:id="315"/>
            <w:bookmarkEnd w:id="316"/>
            <w:bookmarkEnd w:id="317"/>
            <w:bookmarkEnd w:id="318"/>
          </w:p>
        </w:tc>
        <w:tc>
          <w:tcPr>
            <w:tcW w:w="2106" w:type="dxa"/>
            <w:tcBorders>
              <w:top w:val="single" w:color="auto" w:sz="4" w:space="0"/>
              <w:left w:val="single" w:color="auto" w:sz="4" w:space="0"/>
              <w:bottom w:val="single" w:color="auto" w:sz="4" w:space="0"/>
              <w:right w:val="single" w:color="auto" w:sz="4" w:space="0"/>
            </w:tcBorders>
          </w:tcPr>
          <w:p w14:paraId="339C151B">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319" w:name="_Toc377653978"/>
            <w:bookmarkStart w:id="320" w:name="_Toc402963097"/>
            <w:bookmarkStart w:id="321" w:name="_Toc402963130"/>
            <w:bookmarkStart w:id="322" w:name="_Toc382928120"/>
            <w:bookmarkStart w:id="323" w:name="_Toc401570316"/>
            <w:bookmarkStart w:id="324" w:name="_Toc377028121"/>
            <w:bookmarkStart w:id="325" w:name="_Toc401570292"/>
            <w:bookmarkStart w:id="326" w:name="_Toc381081905"/>
            <w:bookmarkStart w:id="327" w:name="_Toc377028059"/>
            <w:bookmarkStart w:id="328" w:name="_Toc385854158"/>
            <w:bookmarkStart w:id="329" w:name="_Toc406402959"/>
            <w:bookmarkStart w:id="330" w:name="_Toc385854112"/>
            <w:bookmarkStart w:id="331" w:name="_Toc406403003"/>
            <w:bookmarkStart w:id="332" w:name="_Toc382928238"/>
            <w:bookmarkStart w:id="333" w:name="_Toc8540"/>
            <w:bookmarkStart w:id="334" w:name="_Toc961276098"/>
            <w:bookmarkStart w:id="335" w:name="_Toc31934"/>
            <w:bookmarkStart w:id="336" w:name="_Toc23603"/>
            <w:bookmarkStart w:id="337" w:name="_Toc169015154"/>
            <w:bookmarkStart w:id="338" w:name="_Toc164943231"/>
            <w:r>
              <w:rPr>
                <w:rFonts w:ascii="微软雅黑" w:hAnsi="微软雅黑"/>
                <w:color w:val="auto"/>
                <w:szCs w:val="21"/>
                <w:highlight w:val="none"/>
              </w:rPr>
              <w:t>偏离情况</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Pr>
                <w:rFonts w:ascii="微软雅黑" w:hAnsi="微软雅黑"/>
                <w:color w:val="auto"/>
                <w:szCs w:val="21"/>
                <w:highlight w:val="none"/>
              </w:rPr>
              <w:t>及证明材料</w:t>
            </w:r>
            <w:bookmarkEnd w:id="333"/>
            <w:bookmarkEnd w:id="334"/>
            <w:bookmarkEnd w:id="335"/>
            <w:bookmarkEnd w:id="336"/>
            <w:bookmarkEnd w:id="337"/>
            <w:bookmarkEnd w:id="338"/>
          </w:p>
        </w:tc>
        <w:tc>
          <w:tcPr>
            <w:tcW w:w="636" w:type="dxa"/>
            <w:tcBorders>
              <w:top w:val="single" w:color="auto" w:sz="4" w:space="0"/>
              <w:left w:val="single" w:color="auto" w:sz="4" w:space="0"/>
              <w:bottom w:val="single" w:color="auto" w:sz="4" w:space="0"/>
              <w:right w:val="single" w:color="auto" w:sz="4" w:space="0"/>
            </w:tcBorders>
            <w:vAlign w:val="center"/>
          </w:tcPr>
          <w:p w14:paraId="0E8A4F44">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备注</w:t>
            </w:r>
          </w:p>
        </w:tc>
      </w:tr>
      <w:tr w14:paraId="153CB0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2AA62F55">
            <w:pPr>
              <w:pStyle w:val="29"/>
              <w:snapToGrid w:val="0"/>
              <w:spacing w:line="240" w:lineRule="auto"/>
              <w:ind w:firstLine="0" w:firstLineChars="0"/>
              <w:rPr>
                <w:rFonts w:hint="eastAsia" w:ascii="微软雅黑" w:hAnsi="微软雅黑"/>
                <w:color w:val="auto"/>
                <w:szCs w:val="21"/>
                <w:highlight w:val="none"/>
              </w:rPr>
            </w:pPr>
          </w:p>
        </w:tc>
        <w:tc>
          <w:tcPr>
            <w:tcW w:w="1056" w:type="dxa"/>
            <w:tcBorders>
              <w:top w:val="single" w:color="auto" w:sz="4" w:space="0"/>
              <w:left w:val="single" w:color="auto" w:sz="4" w:space="0"/>
              <w:bottom w:val="single" w:color="auto" w:sz="4" w:space="0"/>
              <w:right w:val="single" w:color="auto" w:sz="4" w:space="0"/>
            </w:tcBorders>
          </w:tcPr>
          <w:p w14:paraId="2BA155D2">
            <w:pPr>
              <w:pStyle w:val="29"/>
              <w:snapToGrid w:val="0"/>
              <w:spacing w:line="240" w:lineRule="auto"/>
              <w:ind w:firstLine="0" w:firstLineChars="0"/>
              <w:rPr>
                <w:rFonts w:hint="eastAsia"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vAlign w:val="center"/>
          </w:tcPr>
          <w:p w14:paraId="1EE7F128">
            <w:pPr>
              <w:pStyle w:val="29"/>
              <w:snapToGrid w:val="0"/>
              <w:spacing w:line="240" w:lineRule="auto"/>
              <w:ind w:firstLine="0" w:firstLineChars="0"/>
              <w:rPr>
                <w:rFonts w:hint="eastAsia"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tcPr>
          <w:p w14:paraId="4B1CC8FA">
            <w:pPr>
              <w:pStyle w:val="29"/>
              <w:snapToGrid w:val="0"/>
              <w:spacing w:line="240" w:lineRule="auto"/>
              <w:ind w:firstLine="0" w:firstLineChars="0"/>
              <w:rPr>
                <w:rFonts w:hint="eastAsia" w:ascii="微软雅黑" w:hAnsi="微软雅黑"/>
                <w:color w:val="auto"/>
                <w:szCs w:val="21"/>
                <w:highlight w:val="none"/>
              </w:rPr>
            </w:pPr>
          </w:p>
        </w:tc>
        <w:tc>
          <w:tcPr>
            <w:tcW w:w="2106" w:type="dxa"/>
            <w:tcBorders>
              <w:top w:val="single" w:color="auto" w:sz="4" w:space="0"/>
              <w:left w:val="single" w:color="auto" w:sz="4" w:space="0"/>
              <w:bottom w:val="single" w:color="auto" w:sz="4" w:space="0"/>
              <w:right w:val="single" w:color="auto" w:sz="4" w:space="0"/>
            </w:tcBorders>
          </w:tcPr>
          <w:p w14:paraId="5F94EF9A">
            <w:pPr>
              <w:pStyle w:val="29"/>
              <w:snapToGrid w:val="0"/>
              <w:spacing w:line="240" w:lineRule="auto"/>
              <w:ind w:firstLine="0" w:firstLineChars="0"/>
              <w:rPr>
                <w:rFonts w:hint="eastAsia" w:ascii="微软雅黑" w:hAnsi="微软雅黑"/>
                <w:color w:val="auto"/>
                <w:szCs w:val="21"/>
                <w:highlight w:val="none"/>
              </w:rPr>
            </w:pPr>
          </w:p>
        </w:tc>
        <w:tc>
          <w:tcPr>
            <w:tcW w:w="636" w:type="dxa"/>
            <w:tcBorders>
              <w:top w:val="single" w:color="auto" w:sz="4" w:space="0"/>
              <w:left w:val="single" w:color="auto" w:sz="4" w:space="0"/>
              <w:bottom w:val="single" w:color="auto" w:sz="4" w:space="0"/>
              <w:right w:val="single" w:color="auto" w:sz="4" w:space="0"/>
            </w:tcBorders>
          </w:tcPr>
          <w:p w14:paraId="2EF156EE">
            <w:pPr>
              <w:pStyle w:val="29"/>
              <w:snapToGrid w:val="0"/>
              <w:spacing w:line="240" w:lineRule="auto"/>
              <w:ind w:firstLine="0" w:firstLineChars="0"/>
              <w:rPr>
                <w:rFonts w:hint="eastAsia" w:ascii="微软雅黑" w:hAnsi="微软雅黑"/>
                <w:color w:val="auto"/>
                <w:szCs w:val="21"/>
                <w:highlight w:val="none"/>
              </w:rPr>
            </w:pPr>
          </w:p>
        </w:tc>
      </w:tr>
      <w:tr w14:paraId="79649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0A1BC91D">
            <w:pPr>
              <w:spacing w:line="240" w:lineRule="auto"/>
              <w:ind w:firstLine="0" w:firstLineChars="0"/>
              <w:rPr>
                <w:rFonts w:hint="eastAsia" w:ascii="微软雅黑" w:hAnsi="微软雅黑"/>
                <w:color w:val="auto"/>
                <w:szCs w:val="21"/>
                <w:highlight w:val="none"/>
              </w:rPr>
            </w:pPr>
          </w:p>
        </w:tc>
        <w:tc>
          <w:tcPr>
            <w:tcW w:w="1056" w:type="dxa"/>
            <w:tcBorders>
              <w:top w:val="single" w:color="auto" w:sz="4" w:space="0"/>
              <w:left w:val="single" w:color="auto" w:sz="4" w:space="0"/>
              <w:bottom w:val="single" w:color="auto" w:sz="4" w:space="0"/>
              <w:right w:val="single" w:color="auto" w:sz="4" w:space="0"/>
            </w:tcBorders>
          </w:tcPr>
          <w:p w14:paraId="7D197B33">
            <w:pPr>
              <w:pStyle w:val="29"/>
              <w:snapToGrid w:val="0"/>
              <w:spacing w:line="240" w:lineRule="auto"/>
              <w:ind w:firstLine="0" w:firstLineChars="0"/>
              <w:rPr>
                <w:rFonts w:hint="eastAsia"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vAlign w:val="center"/>
          </w:tcPr>
          <w:p w14:paraId="47A80538">
            <w:pPr>
              <w:pStyle w:val="29"/>
              <w:snapToGrid w:val="0"/>
              <w:spacing w:line="240" w:lineRule="auto"/>
              <w:ind w:firstLine="0" w:firstLineChars="0"/>
              <w:rPr>
                <w:rFonts w:hint="eastAsia"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tcPr>
          <w:p w14:paraId="4484D7DF">
            <w:pPr>
              <w:pStyle w:val="29"/>
              <w:snapToGrid w:val="0"/>
              <w:spacing w:line="240" w:lineRule="auto"/>
              <w:ind w:firstLine="0" w:firstLineChars="0"/>
              <w:rPr>
                <w:rFonts w:hint="eastAsia" w:ascii="微软雅黑" w:hAnsi="微软雅黑"/>
                <w:color w:val="auto"/>
                <w:szCs w:val="21"/>
                <w:highlight w:val="none"/>
              </w:rPr>
            </w:pPr>
          </w:p>
        </w:tc>
        <w:tc>
          <w:tcPr>
            <w:tcW w:w="2106" w:type="dxa"/>
            <w:tcBorders>
              <w:top w:val="single" w:color="auto" w:sz="4" w:space="0"/>
              <w:left w:val="single" w:color="auto" w:sz="4" w:space="0"/>
              <w:bottom w:val="single" w:color="auto" w:sz="4" w:space="0"/>
              <w:right w:val="single" w:color="auto" w:sz="4" w:space="0"/>
            </w:tcBorders>
          </w:tcPr>
          <w:p w14:paraId="760A06D4">
            <w:pPr>
              <w:pStyle w:val="29"/>
              <w:snapToGrid w:val="0"/>
              <w:spacing w:line="240" w:lineRule="auto"/>
              <w:ind w:firstLine="0" w:firstLineChars="0"/>
              <w:rPr>
                <w:rFonts w:hint="eastAsia" w:ascii="微软雅黑" w:hAnsi="微软雅黑"/>
                <w:color w:val="auto"/>
                <w:szCs w:val="21"/>
                <w:highlight w:val="none"/>
              </w:rPr>
            </w:pPr>
          </w:p>
        </w:tc>
        <w:tc>
          <w:tcPr>
            <w:tcW w:w="636" w:type="dxa"/>
            <w:tcBorders>
              <w:top w:val="single" w:color="auto" w:sz="4" w:space="0"/>
              <w:left w:val="single" w:color="auto" w:sz="4" w:space="0"/>
              <w:bottom w:val="single" w:color="auto" w:sz="4" w:space="0"/>
              <w:right w:val="single" w:color="auto" w:sz="4" w:space="0"/>
            </w:tcBorders>
          </w:tcPr>
          <w:p w14:paraId="506B8612">
            <w:pPr>
              <w:pStyle w:val="29"/>
              <w:snapToGrid w:val="0"/>
              <w:spacing w:line="240" w:lineRule="auto"/>
              <w:ind w:firstLine="0" w:firstLineChars="0"/>
              <w:rPr>
                <w:rFonts w:hint="eastAsia" w:ascii="微软雅黑" w:hAnsi="微软雅黑"/>
                <w:color w:val="auto"/>
                <w:szCs w:val="21"/>
                <w:highlight w:val="none"/>
              </w:rPr>
            </w:pPr>
          </w:p>
        </w:tc>
      </w:tr>
      <w:tr w14:paraId="549397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41A62DC4">
            <w:pPr>
              <w:pStyle w:val="29"/>
              <w:snapToGrid w:val="0"/>
              <w:spacing w:line="240" w:lineRule="auto"/>
              <w:ind w:firstLine="0" w:firstLineChars="0"/>
              <w:rPr>
                <w:rFonts w:hint="eastAsia" w:ascii="微软雅黑" w:hAnsi="微软雅黑"/>
                <w:color w:val="auto"/>
                <w:szCs w:val="21"/>
                <w:highlight w:val="none"/>
              </w:rPr>
            </w:pPr>
          </w:p>
        </w:tc>
        <w:tc>
          <w:tcPr>
            <w:tcW w:w="1056" w:type="dxa"/>
            <w:tcBorders>
              <w:top w:val="single" w:color="auto" w:sz="4" w:space="0"/>
              <w:left w:val="single" w:color="auto" w:sz="4" w:space="0"/>
              <w:bottom w:val="single" w:color="auto" w:sz="4" w:space="0"/>
              <w:right w:val="single" w:color="auto" w:sz="4" w:space="0"/>
            </w:tcBorders>
          </w:tcPr>
          <w:p w14:paraId="0D89C167">
            <w:pPr>
              <w:pStyle w:val="29"/>
              <w:snapToGrid w:val="0"/>
              <w:spacing w:line="240" w:lineRule="auto"/>
              <w:ind w:firstLine="0" w:firstLineChars="0"/>
              <w:rPr>
                <w:rFonts w:hint="eastAsia"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vAlign w:val="center"/>
          </w:tcPr>
          <w:p w14:paraId="219E02AF">
            <w:pPr>
              <w:pStyle w:val="29"/>
              <w:snapToGrid w:val="0"/>
              <w:spacing w:line="240" w:lineRule="auto"/>
              <w:ind w:firstLine="0" w:firstLineChars="0"/>
              <w:rPr>
                <w:rFonts w:hint="eastAsia"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tcPr>
          <w:p w14:paraId="41744D48">
            <w:pPr>
              <w:pStyle w:val="29"/>
              <w:snapToGrid w:val="0"/>
              <w:spacing w:line="240" w:lineRule="auto"/>
              <w:ind w:firstLine="0" w:firstLineChars="0"/>
              <w:rPr>
                <w:rFonts w:hint="eastAsia" w:ascii="微软雅黑" w:hAnsi="微软雅黑"/>
                <w:color w:val="auto"/>
                <w:szCs w:val="21"/>
                <w:highlight w:val="none"/>
              </w:rPr>
            </w:pPr>
          </w:p>
        </w:tc>
        <w:tc>
          <w:tcPr>
            <w:tcW w:w="2106" w:type="dxa"/>
            <w:tcBorders>
              <w:top w:val="single" w:color="auto" w:sz="4" w:space="0"/>
              <w:left w:val="single" w:color="auto" w:sz="4" w:space="0"/>
              <w:bottom w:val="single" w:color="auto" w:sz="4" w:space="0"/>
              <w:right w:val="single" w:color="auto" w:sz="4" w:space="0"/>
            </w:tcBorders>
          </w:tcPr>
          <w:p w14:paraId="5068780B">
            <w:pPr>
              <w:pStyle w:val="29"/>
              <w:snapToGrid w:val="0"/>
              <w:spacing w:line="240" w:lineRule="auto"/>
              <w:ind w:firstLine="0" w:firstLineChars="0"/>
              <w:rPr>
                <w:rFonts w:hint="eastAsia" w:ascii="微软雅黑" w:hAnsi="微软雅黑"/>
                <w:color w:val="auto"/>
                <w:szCs w:val="21"/>
                <w:highlight w:val="none"/>
              </w:rPr>
            </w:pPr>
          </w:p>
        </w:tc>
        <w:tc>
          <w:tcPr>
            <w:tcW w:w="636" w:type="dxa"/>
            <w:tcBorders>
              <w:top w:val="single" w:color="auto" w:sz="4" w:space="0"/>
              <w:left w:val="single" w:color="auto" w:sz="4" w:space="0"/>
              <w:bottom w:val="single" w:color="auto" w:sz="4" w:space="0"/>
              <w:right w:val="single" w:color="auto" w:sz="4" w:space="0"/>
            </w:tcBorders>
          </w:tcPr>
          <w:p w14:paraId="027280DC">
            <w:pPr>
              <w:pStyle w:val="29"/>
              <w:snapToGrid w:val="0"/>
              <w:spacing w:line="240" w:lineRule="auto"/>
              <w:ind w:firstLine="0" w:firstLineChars="0"/>
              <w:rPr>
                <w:rFonts w:hint="eastAsia" w:ascii="微软雅黑" w:hAnsi="微软雅黑"/>
                <w:color w:val="auto"/>
                <w:szCs w:val="21"/>
                <w:highlight w:val="none"/>
              </w:rPr>
            </w:pPr>
          </w:p>
        </w:tc>
      </w:tr>
      <w:tr w14:paraId="0BD601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5D48E7E0">
            <w:pPr>
              <w:pStyle w:val="29"/>
              <w:snapToGrid w:val="0"/>
              <w:spacing w:line="240" w:lineRule="auto"/>
              <w:ind w:firstLine="0" w:firstLineChars="0"/>
              <w:rPr>
                <w:rFonts w:hint="eastAsia" w:ascii="微软雅黑" w:hAnsi="微软雅黑"/>
                <w:color w:val="auto"/>
                <w:szCs w:val="21"/>
                <w:highlight w:val="none"/>
              </w:rPr>
            </w:pPr>
          </w:p>
        </w:tc>
        <w:tc>
          <w:tcPr>
            <w:tcW w:w="1056" w:type="dxa"/>
            <w:tcBorders>
              <w:top w:val="single" w:color="auto" w:sz="4" w:space="0"/>
              <w:left w:val="single" w:color="auto" w:sz="4" w:space="0"/>
              <w:bottom w:val="single" w:color="auto" w:sz="4" w:space="0"/>
              <w:right w:val="single" w:color="auto" w:sz="4" w:space="0"/>
            </w:tcBorders>
          </w:tcPr>
          <w:p w14:paraId="5D4271B6">
            <w:pPr>
              <w:pStyle w:val="29"/>
              <w:snapToGrid w:val="0"/>
              <w:spacing w:line="240" w:lineRule="auto"/>
              <w:ind w:firstLine="0" w:firstLineChars="0"/>
              <w:rPr>
                <w:rFonts w:hint="eastAsia"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vAlign w:val="center"/>
          </w:tcPr>
          <w:p w14:paraId="5E8EDD13">
            <w:pPr>
              <w:pStyle w:val="29"/>
              <w:snapToGrid w:val="0"/>
              <w:spacing w:line="240" w:lineRule="auto"/>
              <w:ind w:firstLine="0" w:firstLineChars="0"/>
              <w:rPr>
                <w:rFonts w:hint="eastAsia"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tcPr>
          <w:p w14:paraId="7D074BFB">
            <w:pPr>
              <w:pStyle w:val="29"/>
              <w:snapToGrid w:val="0"/>
              <w:spacing w:line="240" w:lineRule="auto"/>
              <w:ind w:firstLine="0" w:firstLineChars="0"/>
              <w:rPr>
                <w:rFonts w:hint="eastAsia" w:ascii="微软雅黑" w:hAnsi="微软雅黑"/>
                <w:color w:val="auto"/>
                <w:szCs w:val="21"/>
                <w:highlight w:val="none"/>
              </w:rPr>
            </w:pPr>
          </w:p>
        </w:tc>
        <w:tc>
          <w:tcPr>
            <w:tcW w:w="2106" w:type="dxa"/>
            <w:tcBorders>
              <w:top w:val="single" w:color="auto" w:sz="4" w:space="0"/>
              <w:left w:val="single" w:color="auto" w:sz="4" w:space="0"/>
              <w:bottom w:val="single" w:color="auto" w:sz="4" w:space="0"/>
              <w:right w:val="single" w:color="auto" w:sz="4" w:space="0"/>
            </w:tcBorders>
          </w:tcPr>
          <w:p w14:paraId="0167FDEE">
            <w:pPr>
              <w:pStyle w:val="29"/>
              <w:snapToGrid w:val="0"/>
              <w:spacing w:line="240" w:lineRule="auto"/>
              <w:ind w:firstLine="0" w:firstLineChars="0"/>
              <w:rPr>
                <w:rFonts w:hint="eastAsia" w:ascii="微软雅黑" w:hAnsi="微软雅黑"/>
                <w:color w:val="auto"/>
                <w:szCs w:val="21"/>
                <w:highlight w:val="none"/>
              </w:rPr>
            </w:pPr>
          </w:p>
        </w:tc>
        <w:tc>
          <w:tcPr>
            <w:tcW w:w="636" w:type="dxa"/>
            <w:tcBorders>
              <w:top w:val="single" w:color="auto" w:sz="4" w:space="0"/>
              <w:left w:val="single" w:color="auto" w:sz="4" w:space="0"/>
              <w:bottom w:val="single" w:color="auto" w:sz="4" w:space="0"/>
              <w:right w:val="single" w:color="auto" w:sz="4" w:space="0"/>
            </w:tcBorders>
          </w:tcPr>
          <w:p w14:paraId="3CA6ADD2">
            <w:pPr>
              <w:pStyle w:val="29"/>
              <w:snapToGrid w:val="0"/>
              <w:spacing w:line="240" w:lineRule="auto"/>
              <w:ind w:firstLine="0" w:firstLineChars="0"/>
              <w:rPr>
                <w:rFonts w:hint="eastAsia" w:ascii="微软雅黑" w:hAnsi="微软雅黑"/>
                <w:color w:val="auto"/>
                <w:szCs w:val="21"/>
                <w:highlight w:val="none"/>
              </w:rPr>
            </w:pPr>
          </w:p>
        </w:tc>
      </w:tr>
    </w:tbl>
    <w:p w14:paraId="1695E34C">
      <w:pPr>
        <w:pStyle w:val="18"/>
        <w:ind w:firstLine="420"/>
        <w:rPr>
          <w:rFonts w:hint="eastAsia" w:ascii="微软雅黑" w:hAnsi="微软雅黑"/>
          <w:color w:val="auto"/>
          <w:sz w:val="21"/>
          <w:szCs w:val="21"/>
          <w:highlight w:val="none"/>
        </w:rPr>
      </w:pPr>
      <w:r>
        <w:rPr>
          <w:rFonts w:ascii="微软雅黑" w:hAnsi="微软雅黑"/>
          <w:color w:val="auto"/>
          <w:sz w:val="21"/>
          <w:szCs w:val="21"/>
          <w:highlight w:val="none"/>
        </w:rPr>
        <w:t>注：</w:t>
      </w:r>
      <w:r>
        <w:rPr>
          <w:rFonts w:hint="eastAsia" w:ascii="微软雅黑" w:hAnsi="微软雅黑"/>
          <w:color w:val="auto"/>
          <w:sz w:val="21"/>
          <w:szCs w:val="21"/>
          <w:highlight w:val="none"/>
          <w:lang w:eastAsia="zh-CN"/>
        </w:rPr>
        <w:t>投标人</w:t>
      </w:r>
      <w:r>
        <w:rPr>
          <w:rFonts w:ascii="微软雅黑" w:hAnsi="微软雅黑"/>
          <w:color w:val="auto"/>
          <w:sz w:val="21"/>
          <w:szCs w:val="21"/>
          <w:highlight w:val="none"/>
        </w:rPr>
        <w:t>应根据投标产品的性能指标、对照招标文件要求注明“正偏离”、“负偏离”或“无偏离”。</w:t>
      </w:r>
    </w:p>
    <w:p w14:paraId="67ABAB5C">
      <w:pPr>
        <w:snapToGrid w:val="0"/>
        <w:spacing w:before="120" w:beforeLines="50"/>
        <w:ind w:firstLine="420"/>
        <w:jc w:val="both"/>
        <w:rPr>
          <w:rFonts w:hint="eastAsia" w:ascii="微软雅黑" w:hAnsi="微软雅黑" w:cs="Arial"/>
          <w:color w:val="auto"/>
          <w:kern w:val="0"/>
          <w:szCs w:val="21"/>
          <w:highlight w:val="none"/>
        </w:rPr>
      </w:pPr>
    </w:p>
    <w:p w14:paraId="36E9B0B7">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6A1A2369">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1018BFE3">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17660E5B">
      <w:pPr>
        <w:pStyle w:val="291"/>
        <w:spacing w:line="360" w:lineRule="auto"/>
        <w:ind w:firstLine="482"/>
        <w:rPr>
          <w:rFonts w:ascii="Times New Roman" w:hAnsi="Times New Roman" w:eastAsia="宋体"/>
          <w:b/>
          <w:color w:val="auto"/>
          <w:sz w:val="24"/>
          <w:szCs w:val="24"/>
          <w:highlight w:val="none"/>
        </w:rPr>
      </w:pPr>
    </w:p>
    <w:p w14:paraId="23C9D914">
      <w:pPr>
        <w:pStyle w:val="291"/>
        <w:spacing w:line="360" w:lineRule="auto"/>
        <w:ind w:firstLine="482"/>
        <w:rPr>
          <w:rFonts w:ascii="Times New Roman" w:hAnsi="Times New Roman" w:eastAsia="宋体"/>
          <w:b/>
          <w:color w:val="auto"/>
          <w:sz w:val="24"/>
          <w:szCs w:val="24"/>
          <w:highlight w:val="none"/>
        </w:rPr>
        <w:sectPr>
          <w:pgSz w:w="11906" w:h="16838"/>
          <w:pgMar w:top="1276" w:right="1418" w:bottom="1247" w:left="1418" w:header="851" w:footer="992" w:gutter="0"/>
          <w:cols w:space="720" w:num="1"/>
          <w:titlePg/>
          <w:docGrid w:linePitch="312" w:charSpace="0"/>
        </w:sectPr>
      </w:pPr>
    </w:p>
    <w:p w14:paraId="2BC2D6D5">
      <w:pPr>
        <w:pStyle w:val="291"/>
        <w:spacing w:line="360" w:lineRule="auto"/>
        <w:ind w:firstLine="482"/>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5</w:t>
      </w:r>
      <w:r>
        <w:rPr>
          <w:rFonts w:ascii="微软雅黑" w:hAnsi="微软雅黑" w:eastAsia="微软雅黑"/>
          <w:b/>
          <w:color w:val="auto"/>
          <w:sz w:val="21"/>
          <w:szCs w:val="21"/>
          <w:highlight w:val="none"/>
        </w:rPr>
        <w:t>. 项目实施人员一览表</w:t>
      </w:r>
    </w:p>
    <w:p w14:paraId="63ED38FB">
      <w:pPr>
        <w:pStyle w:val="29"/>
        <w:adjustRightInd w:val="0"/>
        <w:spacing w:before="120" w:after="120"/>
        <w:ind w:firstLine="420"/>
        <w:jc w:val="center"/>
        <w:textAlignment w:val="baseline"/>
        <w:rPr>
          <w:rFonts w:hint="eastAsia" w:ascii="微软雅黑" w:hAnsi="微软雅黑"/>
          <w:color w:val="auto"/>
          <w:szCs w:val="21"/>
          <w:highlight w:val="none"/>
        </w:rPr>
      </w:pPr>
      <w:r>
        <w:rPr>
          <w:rFonts w:ascii="微软雅黑" w:hAnsi="微软雅黑"/>
          <w:b/>
          <w:color w:val="auto"/>
          <w:szCs w:val="21"/>
          <w:highlight w:val="none"/>
        </w:rPr>
        <w:t>项目实施人员一览表</w:t>
      </w:r>
    </w:p>
    <w:tbl>
      <w:tblPr>
        <w:tblStyle w:val="53"/>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074"/>
        <w:gridCol w:w="970"/>
        <w:gridCol w:w="709"/>
        <w:gridCol w:w="1254"/>
        <w:gridCol w:w="1454"/>
        <w:gridCol w:w="1134"/>
        <w:gridCol w:w="1348"/>
      </w:tblGrid>
      <w:tr w14:paraId="187F16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85" w:type="dxa"/>
            <w:tcBorders>
              <w:top w:val="single" w:color="auto" w:sz="4" w:space="0"/>
              <w:left w:val="single" w:color="auto" w:sz="4" w:space="0"/>
              <w:bottom w:val="single" w:color="auto" w:sz="4" w:space="0"/>
              <w:right w:val="single" w:color="auto" w:sz="4" w:space="0"/>
            </w:tcBorders>
            <w:vAlign w:val="center"/>
          </w:tcPr>
          <w:p w14:paraId="24D9906D">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序号</w:t>
            </w:r>
          </w:p>
        </w:tc>
        <w:tc>
          <w:tcPr>
            <w:tcW w:w="1074" w:type="dxa"/>
            <w:tcBorders>
              <w:top w:val="single" w:color="auto" w:sz="4" w:space="0"/>
              <w:left w:val="single" w:color="auto" w:sz="4" w:space="0"/>
              <w:bottom w:val="single" w:color="auto" w:sz="4" w:space="0"/>
              <w:right w:val="single" w:color="auto" w:sz="4" w:space="0"/>
            </w:tcBorders>
            <w:vAlign w:val="center"/>
          </w:tcPr>
          <w:p w14:paraId="16510923">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项目组所任职务</w:t>
            </w:r>
          </w:p>
        </w:tc>
        <w:tc>
          <w:tcPr>
            <w:tcW w:w="970" w:type="dxa"/>
            <w:tcBorders>
              <w:top w:val="single" w:color="auto" w:sz="4" w:space="0"/>
              <w:left w:val="single" w:color="auto" w:sz="4" w:space="0"/>
              <w:bottom w:val="single" w:color="auto" w:sz="4" w:space="0"/>
              <w:right w:val="single" w:color="auto" w:sz="4" w:space="0"/>
            </w:tcBorders>
            <w:vAlign w:val="center"/>
          </w:tcPr>
          <w:p w14:paraId="78C36558">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姓名</w:t>
            </w:r>
          </w:p>
        </w:tc>
        <w:tc>
          <w:tcPr>
            <w:tcW w:w="709" w:type="dxa"/>
            <w:tcBorders>
              <w:top w:val="single" w:color="auto" w:sz="4" w:space="0"/>
              <w:left w:val="single" w:color="auto" w:sz="4" w:space="0"/>
              <w:bottom w:val="single" w:color="auto" w:sz="4" w:space="0"/>
              <w:right w:val="single" w:color="auto" w:sz="4" w:space="0"/>
            </w:tcBorders>
            <w:vAlign w:val="center"/>
          </w:tcPr>
          <w:p w14:paraId="09B6923E">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职称</w:t>
            </w:r>
          </w:p>
        </w:tc>
        <w:tc>
          <w:tcPr>
            <w:tcW w:w="1254" w:type="dxa"/>
            <w:tcBorders>
              <w:top w:val="single" w:color="auto" w:sz="4" w:space="0"/>
              <w:left w:val="single" w:color="auto" w:sz="4" w:space="0"/>
              <w:bottom w:val="single" w:color="auto" w:sz="4" w:space="0"/>
              <w:right w:val="single" w:color="auto" w:sz="4" w:space="0"/>
            </w:tcBorders>
            <w:vAlign w:val="center"/>
          </w:tcPr>
          <w:p w14:paraId="28B1D7C9">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专业技术资格</w:t>
            </w:r>
          </w:p>
        </w:tc>
        <w:tc>
          <w:tcPr>
            <w:tcW w:w="1454" w:type="dxa"/>
            <w:tcBorders>
              <w:top w:val="single" w:color="auto" w:sz="4" w:space="0"/>
              <w:left w:val="single" w:color="auto" w:sz="4" w:space="0"/>
              <w:bottom w:val="single" w:color="auto" w:sz="4" w:space="0"/>
              <w:right w:val="single" w:color="auto" w:sz="4" w:space="0"/>
            </w:tcBorders>
            <w:vAlign w:val="center"/>
          </w:tcPr>
          <w:p w14:paraId="6399E814">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专业技术资格证书编号</w:t>
            </w:r>
          </w:p>
        </w:tc>
        <w:tc>
          <w:tcPr>
            <w:tcW w:w="1134" w:type="dxa"/>
            <w:tcBorders>
              <w:top w:val="single" w:color="auto" w:sz="4" w:space="0"/>
              <w:left w:val="single" w:color="auto" w:sz="4" w:space="0"/>
              <w:bottom w:val="single" w:color="auto" w:sz="4" w:space="0"/>
              <w:right w:val="single" w:color="auto" w:sz="4" w:space="0"/>
            </w:tcBorders>
            <w:vAlign w:val="center"/>
          </w:tcPr>
          <w:p w14:paraId="5B13D83C">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从事本工作时间</w:t>
            </w:r>
          </w:p>
        </w:tc>
        <w:tc>
          <w:tcPr>
            <w:tcW w:w="1348" w:type="dxa"/>
            <w:tcBorders>
              <w:top w:val="single" w:color="auto" w:sz="4" w:space="0"/>
              <w:left w:val="single" w:color="auto" w:sz="4" w:space="0"/>
              <w:bottom w:val="single" w:color="auto" w:sz="4" w:space="0"/>
              <w:right w:val="single" w:color="auto" w:sz="4" w:space="0"/>
            </w:tcBorders>
            <w:vAlign w:val="center"/>
          </w:tcPr>
          <w:p w14:paraId="561A826E">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典型业务</w:t>
            </w:r>
          </w:p>
          <w:p w14:paraId="712A755C">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与技术专长</w:t>
            </w:r>
          </w:p>
        </w:tc>
      </w:tr>
      <w:tr w14:paraId="31221D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00BC1CE3">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1</w:t>
            </w:r>
          </w:p>
        </w:tc>
        <w:tc>
          <w:tcPr>
            <w:tcW w:w="1074" w:type="dxa"/>
            <w:tcBorders>
              <w:top w:val="single" w:color="auto" w:sz="4" w:space="0"/>
              <w:left w:val="single" w:color="auto" w:sz="4" w:space="0"/>
              <w:bottom w:val="single" w:color="auto" w:sz="4" w:space="0"/>
              <w:right w:val="single" w:color="auto" w:sz="4" w:space="0"/>
            </w:tcBorders>
            <w:vAlign w:val="center"/>
          </w:tcPr>
          <w:p w14:paraId="2478B9C4">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7860918B">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F67E753">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5741D216">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6F475F97">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FAFCC70">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05569768">
            <w:pPr>
              <w:pStyle w:val="34"/>
              <w:spacing w:line="240" w:lineRule="auto"/>
              <w:ind w:firstLine="0" w:firstLineChars="0"/>
              <w:jc w:val="center"/>
              <w:rPr>
                <w:rFonts w:hint="eastAsia" w:ascii="微软雅黑" w:hAnsi="微软雅黑"/>
                <w:color w:val="auto"/>
                <w:sz w:val="21"/>
                <w:szCs w:val="21"/>
                <w:highlight w:val="none"/>
              </w:rPr>
            </w:pPr>
          </w:p>
        </w:tc>
      </w:tr>
      <w:tr w14:paraId="2D218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7FF1BA35">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2</w:t>
            </w:r>
          </w:p>
        </w:tc>
        <w:tc>
          <w:tcPr>
            <w:tcW w:w="1074" w:type="dxa"/>
            <w:tcBorders>
              <w:top w:val="single" w:color="auto" w:sz="4" w:space="0"/>
              <w:left w:val="single" w:color="auto" w:sz="4" w:space="0"/>
              <w:bottom w:val="single" w:color="auto" w:sz="4" w:space="0"/>
              <w:right w:val="single" w:color="auto" w:sz="4" w:space="0"/>
            </w:tcBorders>
            <w:vAlign w:val="center"/>
          </w:tcPr>
          <w:p w14:paraId="644295BB">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65728227">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26AE79F">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72ABAC82">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161B025B">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5E66239">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303B1EE8">
            <w:pPr>
              <w:pStyle w:val="34"/>
              <w:spacing w:line="240" w:lineRule="auto"/>
              <w:ind w:firstLine="0" w:firstLineChars="0"/>
              <w:jc w:val="center"/>
              <w:rPr>
                <w:rFonts w:hint="eastAsia" w:ascii="微软雅黑" w:hAnsi="微软雅黑"/>
                <w:color w:val="auto"/>
                <w:sz w:val="21"/>
                <w:szCs w:val="21"/>
                <w:highlight w:val="none"/>
              </w:rPr>
            </w:pPr>
          </w:p>
        </w:tc>
      </w:tr>
      <w:tr w14:paraId="7AC0B3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5EF6154B">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3</w:t>
            </w:r>
          </w:p>
        </w:tc>
        <w:tc>
          <w:tcPr>
            <w:tcW w:w="1074" w:type="dxa"/>
            <w:tcBorders>
              <w:top w:val="single" w:color="auto" w:sz="4" w:space="0"/>
              <w:left w:val="single" w:color="auto" w:sz="4" w:space="0"/>
              <w:bottom w:val="single" w:color="auto" w:sz="4" w:space="0"/>
              <w:right w:val="single" w:color="auto" w:sz="4" w:space="0"/>
            </w:tcBorders>
            <w:vAlign w:val="center"/>
          </w:tcPr>
          <w:p w14:paraId="73BFCB53">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70C12292">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9B0B497">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72BE5702">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7B7BF754">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76B9811">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4A5E64AD">
            <w:pPr>
              <w:pStyle w:val="34"/>
              <w:spacing w:line="240" w:lineRule="auto"/>
              <w:ind w:firstLine="0" w:firstLineChars="0"/>
              <w:jc w:val="center"/>
              <w:rPr>
                <w:rFonts w:hint="eastAsia" w:ascii="微软雅黑" w:hAnsi="微软雅黑"/>
                <w:color w:val="auto"/>
                <w:sz w:val="21"/>
                <w:szCs w:val="21"/>
                <w:highlight w:val="none"/>
              </w:rPr>
            </w:pPr>
          </w:p>
        </w:tc>
      </w:tr>
      <w:tr w14:paraId="12E81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7FB83D8D">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4</w:t>
            </w:r>
          </w:p>
        </w:tc>
        <w:tc>
          <w:tcPr>
            <w:tcW w:w="1074" w:type="dxa"/>
            <w:tcBorders>
              <w:top w:val="single" w:color="auto" w:sz="4" w:space="0"/>
              <w:left w:val="single" w:color="auto" w:sz="4" w:space="0"/>
              <w:bottom w:val="single" w:color="auto" w:sz="4" w:space="0"/>
              <w:right w:val="single" w:color="auto" w:sz="4" w:space="0"/>
            </w:tcBorders>
            <w:vAlign w:val="center"/>
          </w:tcPr>
          <w:p w14:paraId="03E1106F">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54668CD0">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BBCBA81">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2B09D835">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094F1BE1">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B48968F">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287F1663">
            <w:pPr>
              <w:pStyle w:val="34"/>
              <w:spacing w:line="240" w:lineRule="auto"/>
              <w:ind w:firstLine="0" w:firstLineChars="0"/>
              <w:jc w:val="center"/>
              <w:rPr>
                <w:rFonts w:hint="eastAsia" w:ascii="微软雅黑" w:hAnsi="微软雅黑"/>
                <w:color w:val="auto"/>
                <w:sz w:val="21"/>
                <w:szCs w:val="21"/>
                <w:highlight w:val="none"/>
              </w:rPr>
            </w:pPr>
          </w:p>
        </w:tc>
      </w:tr>
      <w:tr w14:paraId="121BFE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24358D9D">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5</w:t>
            </w:r>
          </w:p>
        </w:tc>
        <w:tc>
          <w:tcPr>
            <w:tcW w:w="1074" w:type="dxa"/>
            <w:tcBorders>
              <w:top w:val="single" w:color="auto" w:sz="4" w:space="0"/>
              <w:left w:val="single" w:color="auto" w:sz="4" w:space="0"/>
              <w:bottom w:val="single" w:color="auto" w:sz="4" w:space="0"/>
              <w:right w:val="single" w:color="auto" w:sz="4" w:space="0"/>
            </w:tcBorders>
            <w:vAlign w:val="center"/>
          </w:tcPr>
          <w:p w14:paraId="77742C65">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7265E770">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1385D61">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10C72847">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78FBBBB0">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E66783D">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2D4BC7E2">
            <w:pPr>
              <w:pStyle w:val="34"/>
              <w:spacing w:line="240" w:lineRule="auto"/>
              <w:ind w:firstLine="0" w:firstLineChars="0"/>
              <w:jc w:val="center"/>
              <w:rPr>
                <w:rFonts w:hint="eastAsia" w:ascii="微软雅黑" w:hAnsi="微软雅黑"/>
                <w:color w:val="auto"/>
                <w:sz w:val="21"/>
                <w:szCs w:val="21"/>
                <w:highlight w:val="none"/>
              </w:rPr>
            </w:pPr>
          </w:p>
        </w:tc>
      </w:tr>
      <w:tr w14:paraId="55E29B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0D772489">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w:t>
            </w:r>
          </w:p>
        </w:tc>
        <w:tc>
          <w:tcPr>
            <w:tcW w:w="1074" w:type="dxa"/>
            <w:tcBorders>
              <w:top w:val="single" w:color="auto" w:sz="4" w:space="0"/>
              <w:left w:val="single" w:color="auto" w:sz="4" w:space="0"/>
              <w:bottom w:val="single" w:color="auto" w:sz="4" w:space="0"/>
              <w:right w:val="single" w:color="auto" w:sz="4" w:space="0"/>
            </w:tcBorders>
            <w:vAlign w:val="center"/>
          </w:tcPr>
          <w:p w14:paraId="48674B50">
            <w:pPr>
              <w:spacing w:line="240" w:lineRule="auto"/>
              <w:ind w:firstLine="0" w:firstLineChars="0"/>
              <w:rPr>
                <w:rFonts w:hint="eastAsia" w:ascii="微软雅黑" w:hAnsi="微软雅黑"/>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1EF0174F">
            <w:pPr>
              <w:spacing w:line="240" w:lineRule="auto"/>
              <w:ind w:firstLine="0" w:firstLineChars="0"/>
              <w:rPr>
                <w:rFonts w:hint="eastAsia" w:ascii="微软雅黑" w:hAnsi="微软雅黑"/>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8E559E5">
            <w:pPr>
              <w:spacing w:line="240" w:lineRule="auto"/>
              <w:ind w:firstLine="0" w:firstLineChars="0"/>
              <w:rPr>
                <w:rFonts w:hint="eastAsia" w:ascii="微软雅黑" w:hAnsi="微软雅黑"/>
                <w:color w:val="auto"/>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06DDE105">
            <w:pPr>
              <w:spacing w:line="240" w:lineRule="auto"/>
              <w:ind w:firstLine="0" w:firstLineChars="0"/>
              <w:rPr>
                <w:rFonts w:hint="eastAsia" w:ascii="微软雅黑" w:hAnsi="微软雅黑"/>
                <w:color w:val="auto"/>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3888914A">
            <w:pPr>
              <w:spacing w:line="240" w:lineRule="auto"/>
              <w:ind w:firstLine="0" w:firstLineChars="0"/>
              <w:rPr>
                <w:rFonts w:hint="eastAsia" w:ascii="微软雅黑" w:hAnsi="微软雅黑"/>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0E3BFFB">
            <w:pPr>
              <w:spacing w:line="240" w:lineRule="auto"/>
              <w:ind w:firstLine="0" w:firstLineChars="0"/>
              <w:rPr>
                <w:rFonts w:hint="eastAsia" w:ascii="微软雅黑" w:hAnsi="微软雅黑"/>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797ED64D">
            <w:pPr>
              <w:spacing w:line="240" w:lineRule="auto"/>
              <w:ind w:firstLine="0" w:firstLineChars="0"/>
              <w:rPr>
                <w:rFonts w:hint="eastAsia" w:ascii="微软雅黑" w:hAnsi="微软雅黑"/>
                <w:color w:val="auto"/>
                <w:szCs w:val="21"/>
                <w:highlight w:val="none"/>
              </w:rPr>
            </w:pPr>
          </w:p>
        </w:tc>
      </w:tr>
    </w:tbl>
    <w:p w14:paraId="12FA3263">
      <w:pPr>
        <w:ind w:firstLine="420"/>
        <w:rPr>
          <w:rFonts w:hint="eastAsia" w:ascii="微软雅黑" w:hAnsi="微软雅黑"/>
          <w:b/>
          <w:color w:val="auto"/>
          <w:szCs w:val="21"/>
          <w:highlight w:val="none"/>
        </w:rPr>
      </w:pPr>
      <w:r>
        <w:rPr>
          <w:rFonts w:ascii="微软雅黑" w:hAnsi="微软雅黑"/>
          <w:b/>
          <w:color w:val="auto"/>
          <w:szCs w:val="21"/>
          <w:highlight w:val="none"/>
        </w:rPr>
        <w:t>注：1、“项目实施人员”指投标单位针对该项目的销售、培训、售后服务等完成本项目所配备的人员。</w:t>
      </w:r>
    </w:p>
    <w:p w14:paraId="176C2A8B">
      <w:pPr>
        <w:ind w:firstLine="840" w:firstLineChars="400"/>
        <w:rPr>
          <w:rFonts w:hint="eastAsia" w:ascii="微软雅黑" w:hAnsi="微软雅黑"/>
          <w:b/>
          <w:color w:val="auto"/>
          <w:szCs w:val="21"/>
          <w:highlight w:val="none"/>
        </w:rPr>
      </w:pPr>
      <w:r>
        <w:rPr>
          <w:rFonts w:ascii="微软雅黑" w:hAnsi="微软雅黑"/>
          <w:b/>
          <w:color w:val="auto"/>
          <w:szCs w:val="21"/>
          <w:highlight w:val="none"/>
        </w:rPr>
        <w:t>2、附各专业人员简历及相关证明材料复印件；</w:t>
      </w:r>
    </w:p>
    <w:p w14:paraId="15B8B03C">
      <w:pPr>
        <w:ind w:firstLine="840" w:firstLineChars="400"/>
        <w:rPr>
          <w:rFonts w:hint="eastAsia" w:ascii="微软雅黑" w:hAnsi="微软雅黑"/>
          <w:b/>
          <w:color w:val="auto"/>
          <w:szCs w:val="21"/>
          <w:highlight w:val="none"/>
        </w:rPr>
      </w:pPr>
      <w:r>
        <w:rPr>
          <w:rFonts w:ascii="微软雅黑" w:hAnsi="微软雅黑"/>
          <w:b/>
          <w:color w:val="auto"/>
          <w:szCs w:val="21"/>
          <w:highlight w:val="none"/>
        </w:rPr>
        <w:t>3、表格不够填写可添加。</w:t>
      </w:r>
    </w:p>
    <w:p w14:paraId="3402D07A">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71085276">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19CD38FA">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5F377872">
      <w:pPr>
        <w:ind w:firstLine="482"/>
        <w:rPr>
          <w:rFonts w:eastAsia="宋体"/>
          <w:b/>
          <w:color w:val="auto"/>
          <w:sz w:val="24"/>
          <w:highlight w:val="none"/>
        </w:rPr>
      </w:pPr>
      <w:r>
        <w:rPr>
          <w:rFonts w:hint="eastAsia" w:eastAsia="宋体"/>
          <w:b/>
          <w:color w:val="auto"/>
          <w:sz w:val="24"/>
          <w:highlight w:val="none"/>
        </w:rPr>
        <w:br w:type="page"/>
      </w:r>
    </w:p>
    <w:p w14:paraId="33ED500A">
      <w:pPr>
        <w:pStyle w:val="291"/>
        <w:rPr>
          <w:rFonts w:hint="eastAsia" w:ascii="微软雅黑" w:hAnsi="微软雅黑" w:eastAsia="微软雅黑"/>
          <w:b/>
          <w:color w:val="auto"/>
          <w:sz w:val="21"/>
          <w:szCs w:val="21"/>
          <w:highlight w:val="none"/>
        </w:rPr>
      </w:pPr>
      <w:r>
        <w:rPr>
          <w:rFonts w:hint="eastAsia" w:ascii="Times New Roman" w:hAnsi="Times New Roman" w:eastAsia="宋体"/>
          <w:b/>
          <w:color w:val="auto"/>
          <w:sz w:val="24"/>
          <w:szCs w:val="24"/>
          <w:highlight w:val="none"/>
        </w:rPr>
        <w:t>6</w:t>
      </w:r>
      <w:r>
        <w:rPr>
          <w:rFonts w:ascii="Times New Roman" w:hAnsi="Times New Roman" w:eastAsia="宋体"/>
          <w:b/>
          <w:color w:val="auto"/>
          <w:sz w:val="24"/>
          <w:szCs w:val="24"/>
          <w:highlight w:val="none"/>
        </w:rPr>
        <w:t>.</w:t>
      </w:r>
      <w:r>
        <w:rPr>
          <w:rFonts w:ascii="微软雅黑" w:hAnsi="微软雅黑" w:eastAsia="微软雅黑"/>
          <w:b/>
          <w:color w:val="auto"/>
          <w:sz w:val="21"/>
          <w:szCs w:val="21"/>
          <w:highlight w:val="none"/>
        </w:rPr>
        <w:t>投入设备一览表</w:t>
      </w:r>
    </w:p>
    <w:p w14:paraId="681F533C">
      <w:pPr>
        <w:pStyle w:val="6"/>
        <w:overflowPunct w:val="0"/>
        <w:spacing w:line="240" w:lineRule="auto"/>
        <w:ind w:firstLine="0" w:firstLineChars="0"/>
        <w:jc w:val="center"/>
        <w:rPr>
          <w:rFonts w:hint="eastAsia" w:ascii="微软雅黑" w:hAnsi="微软雅黑"/>
          <w:b/>
          <w:color w:val="auto"/>
          <w:szCs w:val="21"/>
          <w:highlight w:val="none"/>
        </w:rPr>
      </w:pPr>
      <w:r>
        <w:rPr>
          <w:rFonts w:ascii="微软雅黑" w:hAnsi="微软雅黑"/>
          <w:b/>
          <w:color w:val="auto"/>
          <w:szCs w:val="21"/>
          <w:highlight w:val="none"/>
        </w:rPr>
        <w:t>投入设备一览表</w:t>
      </w:r>
    </w:p>
    <w:p w14:paraId="511842FC">
      <w:pPr>
        <w:pStyle w:val="6"/>
        <w:overflowPunct w:val="0"/>
        <w:spacing w:line="240" w:lineRule="auto"/>
        <w:ind w:firstLine="0" w:firstLineChars="0"/>
        <w:rPr>
          <w:rFonts w:hint="eastAsia" w:ascii="微软雅黑" w:hAnsi="微软雅黑"/>
          <w:b/>
          <w:color w:val="auto"/>
          <w:szCs w:val="21"/>
          <w:highlight w:val="none"/>
        </w:rPr>
      </w:pPr>
    </w:p>
    <w:tbl>
      <w:tblPr>
        <w:tblStyle w:val="53"/>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816"/>
        <w:gridCol w:w="1211"/>
        <w:gridCol w:w="1211"/>
        <w:gridCol w:w="679"/>
        <w:gridCol w:w="679"/>
        <w:gridCol w:w="2400"/>
      </w:tblGrid>
      <w:tr w14:paraId="67CA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52" w:type="dxa"/>
            <w:vAlign w:val="center"/>
          </w:tcPr>
          <w:p w14:paraId="038681ED">
            <w:pPr>
              <w:pStyle w:val="291"/>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序号</w:t>
            </w:r>
          </w:p>
        </w:tc>
        <w:tc>
          <w:tcPr>
            <w:tcW w:w="1816" w:type="dxa"/>
            <w:vAlign w:val="center"/>
          </w:tcPr>
          <w:p w14:paraId="64BDA2B1">
            <w:pPr>
              <w:pStyle w:val="291"/>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名称</w:t>
            </w:r>
          </w:p>
        </w:tc>
        <w:tc>
          <w:tcPr>
            <w:tcW w:w="1211" w:type="dxa"/>
            <w:vAlign w:val="center"/>
          </w:tcPr>
          <w:p w14:paraId="61EAC0C8">
            <w:pPr>
              <w:pStyle w:val="291"/>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品牌</w:t>
            </w:r>
          </w:p>
        </w:tc>
        <w:tc>
          <w:tcPr>
            <w:tcW w:w="1211" w:type="dxa"/>
            <w:vAlign w:val="center"/>
          </w:tcPr>
          <w:p w14:paraId="59B4FD63">
            <w:pPr>
              <w:pStyle w:val="291"/>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型号、规格</w:t>
            </w:r>
          </w:p>
        </w:tc>
        <w:tc>
          <w:tcPr>
            <w:tcW w:w="679" w:type="dxa"/>
            <w:vAlign w:val="center"/>
          </w:tcPr>
          <w:p w14:paraId="7272E935">
            <w:pPr>
              <w:pStyle w:val="291"/>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单位</w:t>
            </w:r>
          </w:p>
        </w:tc>
        <w:tc>
          <w:tcPr>
            <w:tcW w:w="679" w:type="dxa"/>
            <w:vAlign w:val="center"/>
          </w:tcPr>
          <w:p w14:paraId="5870F9C0">
            <w:pPr>
              <w:pStyle w:val="291"/>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数量</w:t>
            </w:r>
          </w:p>
        </w:tc>
        <w:tc>
          <w:tcPr>
            <w:tcW w:w="2400" w:type="dxa"/>
            <w:vAlign w:val="center"/>
          </w:tcPr>
          <w:p w14:paraId="38CF9E75">
            <w:pPr>
              <w:pStyle w:val="291"/>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设备性质（自有/租赁）</w:t>
            </w:r>
          </w:p>
        </w:tc>
      </w:tr>
      <w:tr w14:paraId="69D7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52" w:type="dxa"/>
            <w:vAlign w:val="center"/>
          </w:tcPr>
          <w:p w14:paraId="10FCEC11">
            <w:pPr>
              <w:pStyle w:val="291"/>
              <w:jc w:val="center"/>
              <w:rPr>
                <w:rFonts w:hint="eastAsia" w:ascii="微软雅黑" w:hAnsi="微软雅黑" w:eastAsia="微软雅黑"/>
                <w:color w:val="auto"/>
                <w:sz w:val="21"/>
                <w:szCs w:val="21"/>
                <w:highlight w:val="none"/>
              </w:rPr>
            </w:pPr>
          </w:p>
        </w:tc>
        <w:tc>
          <w:tcPr>
            <w:tcW w:w="1816" w:type="dxa"/>
            <w:vAlign w:val="center"/>
          </w:tcPr>
          <w:p w14:paraId="42E9E80A">
            <w:pPr>
              <w:pStyle w:val="291"/>
              <w:jc w:val="center"/>
              <w:rPr>
                <w:rFonts w:hint="eastAsia" w:ascii="微软雅黑" w:hAnsi="微软雅黑" w:eastAsia="微软雅黑"/>
                <w:color w:val="auto"/>
                <w:sz w:val="21"/>
                <w:szCs w:val="21"/>
                <w:highlight w:val="none"/>
              </w:rPr>
            </w:pPr>
          </w:p>
        </w:tc>
        <w:tc>
          <w:tcPr>
            <w:tcW w:w="1211" w:type="dxa"/>
          </w:tcPr>
          <w:p w14:paraId="336DEBFD">
            <w:pPr>
              <w:pStyle w:val="291"/>
              <w:jc w:val="center"/>
              <w:rPr>
                <w:rFonts w:hint="eastAsia" w:ascii="微软雅黑" w:hAnsi="微软雅黑" w:eastAsia="微软雅黑"/>
                <w:color w:val="auto"/>
                <w:sz w:val="21"/>
                <w:szCs w:val="21"/>
                <w:highlight w:val="none"/>
              </w:rPr>
            </w:pPr>
          </w:p>
        </w:tc>
        <w:tc>
          <w:tcPr>
            <w:tcW w:w="1211" w:type="dxa"/>
            <w:vAlign w:val="center"/>
          </w:tcPr>
          <w:p w14:paraId="2FFB9EB3">
            <w:pPr>
              <w:pStyle w:val="291"/>
              <w:jc w:val="center"/>
              <w:rPr>
                <w:rFonts w:hint="eastAsia" w:ascii="微软雅黑" w:hAnsi="微软雅黑" w:eastAsia="微软雅黑"/>
                <w:color w:val="auto"/>
                <w:sz w:val="21"/>
                <w:szCs w:val="21"/>
                <w:highlight w:val="none"/>
              </w:rPr>
            </w:pPr>
          </w:p>
        </w:tc>
        <w:tc>
          <w:tcPr>
            <w:tcW w:w="679" w:type="dxa"/>
            <w:vAlign w:val="center"/>
          </w:tcPr>
          <w:p w14:paraId="16CAB934">
            <w:pPr>
              <w:pStyle w:val="291"/>
              <w:jc w:val="center"/>
              <w:rPr>
                <w:rFonts w:hint="eastAsia" w:ascii="微软雅黑" w:hAnsi="微软雅黑" w:eastAsia="微软雅黑"/>
                <w:color w:val="auto"/>
                <w:sz w:val="21"/>
                <w:szCs w:val="21"/>
                <w:highlight w:val="none"/>
              </w:rPr>
            </w:pPr>
          </w:p>
        </w:tc>
        <w:tc>
          <w:tcPr>
            <w:tcW w:w="679" w:type="dxa"/>
            <w:vAlign w:val="center"/>
          </w:tcPr>
          <w:p w14:paraId="7647DF09">
            <w:pPr>
              <w:pStyle w:val="291"/>
              <w:jc w:val="center"/>
              <w:rPr>
                <w:rFonts w:hint="eastAsia" w:ascii="微软雅黑" w:hAnsi="微软雅黑" w:eastAsia="微软雅黑"/>
                <w:color w:val="auto"/>
                <w:sz w:val="21"/>
                <w:szCs w:val="21"/>
                <w:highlight w:val="none"/>
              </w:rPr>
            </w:pPr>
          </w:p>
        </w:tc>
        <w:tc>
          <w:tcPr>
            <w:tcW w:w="2400" w:type="dxa"/>
            <w:vAlign w:val="center"/>
          </w:tcPr>
          <w:p w14:paraId="4F28A67F">
            <w:pPr>
              <w:pStyle w:val="291"/>
              <w:jc w:val="center"/>
              <w:rPr>
                <w:rFonts w:hint="eastAsia" w:ascii="微软雅黑" w:hAnsi="微软雅黑" w:eastAsia="微软雅黑"/>
                <w:color w:val="auto"/>
                <w:sz w:val="21"/>
                <w:szCs w:val="21"/>
                <w:highlight w:val="none"/>
              </w:rPr>
            </w:pPr>
          </w:p>
        </w:tc>
      </w:tr>
      <w:tr w14:paraId="1FDE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52" w:type="dxa"/>
            <w:vAlign w:val="center"/>
          </w:tcPr>
          <w:p w14:paraId="4652CA5E">
            <w:pPr>
              <w:pStyle w:val="291"/>
              <w:jc w:val="center"/>
              <w:rPr>
                <w:rFonts w:hint="eastAsia" w:ascii="微软雅黑" w:hAnsi="微软雅黑" w:eastAsia="微软雅黑"/>
                <w:color w:val="auto"/>
                <w:sz w:val="21"/>
                <w:szCs w:val="21"/>
                <w:highlight w:val="none"/>
              </w:rPr>
            </w:pPr>
          </w:p>
        </w:tc>
        <w:tc>
          <w:tcPr>
            <w:tcW w:w="1816" w:type="dxa"/>
            <w:vAlign w:val="center"/>
          </w:tcPr>
          <w:p w14:paraId="4267F710">
            <w:pPr>
              <w:pStyle w:val="291"/>
              <w:jc w:val="center"/>
              <w:rPr>
                <w:rFonts w:hint="eastAsia" w:ascii="微软雅黑" w:hAnsi="微软雅黑" w:eastAsia="微软雅黑"/>
                <w:color w:val="auto"/>
                <w:sz w:val="21"/>
                <w:szCs w:val="21"/>
                <w:highlight w:val="none"/>
              </w:rPr>
            </w:pPr>
          </w:p>
        </w:tc>
        <w:tc>
          <w:tcPr>
            <w:tcW w:w="1211" w:type="dxa"/>
          </w:tcPr>
          <w:p w14:paraId="6EDB5028">
            <w:pPr>
              <w:pStyle w:val="291"/>
              <w:jc w:val="center"/>
              <w:rPr>
                <w:rFonts w:hint="eastAsia" w:ascii="微软雅黑" w:hAnsi="微软雅黑" w:eastAsia="微软雅黑"/>
                <w:color w:val="auto"/>
                <w:sz w:val="21"/>
                <w:szCs w:val="21"/>
                <w:highlight w:val="none"/>
              </w:rPr>
            </w:pPr>
          </w:p>
        </w:tc>
        <w:tc>
          <w:tcPr>
            <w:tcW w:w="1211" w:type="dxa"/>
            <w:vAlign w:val="center"/>
          </w:tcPr>
          <w:p w14:paraId="6F5A2B3B">
            <w:pPr>
              <w:pStyle w:val="291"/>
              <w:jc w:val="center"/>
              <w:rPr>
                <w:rFonts w:hint="eastAsia" w:ascii="微软雅黑" w:hAnsi="微软雅黑" w:eastAsia="微软雅黑"/>
                <w:color w:val="auto"/>
                <w:sz w:val="21"/>
                <w:szCs w:val="21"/>
                <w:highlight w:val="none"/>
              </w:rPr>
            </w:pPr>
          </w:p>
        </w:tc>
        <w:tc>
          <w:tcPr>
            <w:tcW w:w="679" w:type="dxa"/>
            <w:vAlign w:val="center"/>
          </w:tcPr>
          <w:p w14:paraId="0243D7A4">
            <w:pPr>
              <w:pStyle w:val="291"/>
              <w:jc w:val="center"/>
              <w:rPr>
                <w:rFonts w:hint="eastAsia" w:ascii="微软雅黑" w:hAnsi="微软雅黑" w:eastAsia="微软雅黑"/>
                <w:color w:val="auto"/>
                <w:sz w:val="21"/>
                <w:szCs w:val="21"/>
                <w:highlight w:val="none"/>
              </w:rPr>
            </w:pPr>
          </w:p>
        </w:tc>
        <w:tc>
          <w:tcPr>
            <w:tcW w:w="679" w:type="dxa"/>
            <w:vAlign w:val="center"/>
          </w:tcPr>
          <w:p w14:paraId="0B7B5BC4">
            <w:pPr>
              <w:pStyle w:val="291"/>
              <w:jc w:val="center"/>
              <w:rPr>
                <w:rFonts w:hint="eastAsia" w:ascii="微软雅黑" w:hAnsi="微软雅黑" w:eastAsia="微软雅黑"/>
                <w:color w:val="auto"/>
                <w:sz w:val="21"/>
                <w:szCs w:val="21"/>
                <w:highlight w:val="none"/>
              </w:rPr>
            </w:pPr>
          </w:p>
        </w:tc>
        <w:tc>
          <w:tcPr>
            <w:tcW w:w="2400" w:type="dxa"/>
            <w:vAlign w:val="center"/>
          </w:tcPr>
          <w:p w14:paraId="1D786EBA">
            <w:pPr>
              <w:pStyle w:val="291"/>
              <w:jc w:val="center"/>
              <w:rPr>
                <w:rFonts w:hint="eastAsia" w:ascii="微软雅黑" w:hAnsi="微软雅黑" w:eastAsia="微软雅黑"/>
                <w:color w:val="auto"/>
                <w:sz w:val="21"/>
                <w:szCs w:val="21"/>
                <w:highlight w:val="none"/>
              </w:rPr>
            </w:pPr>
          </w:p>
        </w:tc>
      </w:tr>
      <w:tr w14:paraId="68AB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52" w:type="dxa"/>
            <w:vAlign w:val="center"/>
          </w:tcPr>
          <w:p w14:paraId="7FCBED54">
            <w:pPr>
              <w:pStyle w:val="291"/>
              <w:jc w:val="center"/>
              <w:rPr>
                <w:rFonts w:hint="eastAsia" w:ascii="微软雅黑" w:hAnsi="微软雅黑" w:eastAsia="微软雅黑"/>
                <w:color w:val="auto"/>
                <w:sz w:val="21"/>
                <w:szCs w:val="21"/>
                <w:highlight w:val="none"/>
              </w:rPr>
            </w:pPr>
          </w:p>
        </w:tc>
        <w:tc>
          <w:tcPr>
            <w:tcW w:w="1816" w:type="dxa"/>
            <w:vAlign w:val="center"/>
          </w:tcPr>
          <w:p w14:paraId="16EA904F">
            <w:pPr>
              <w:pStyle w:val="291"/>
              <w:jc w:val="center"/>
              <w:rPr>
                <w:rFonts w:hint="eastAsia" w:ascii="微软雅黑" w:hAnsi="微软雅黑" w:eastAsia="微软雅黑"/>
                <w:color w:val="auto"/>
                <w:sz w:val="21"/>
                <w:szCs w:val="21"/>
                <w:highlight w:val="none"/>
              </w:rPr>
            </w:pPr>
          </w:p>
        </w:tc>
        <w:tc>
          <w:tcPr>
            <w:tcW w:w="1211" w:type="dxa"/>
          </w:tcPr>
          <w:p w14:paraId="70143273">
            <w:pPr>
              <w:pStyle w:val="291"/>
              <w:jc w:val="center"/>
              <w:rPr>
                <w:rFonts w:hint="eastAsia" w:ascii="微软雅黑" w:hAnsi="微软雅黑" w:eastAsia="微软雅黑"/>
                <w:color w:val="auto"/>
                <w:sz w:val="21"/>
                <w:szCs w:val="21"/>
                <w:highlight w:val="none"/>
              </w:rPr>
            </w:pPr>
          </w:p>
        </w:tc>
        <w:tc>
          <w:tcPr>
            <w:tcW w:w="1211" w:type="dxa"/>
            <w:vAlign w:val="center"/>
          </w:tcPr>
          <w:p w14:paraId="438794CC">
            <w:pPr>
              <w:pStyle w:val="291"/>
              <w:jc w:val="center"/>
              <w:rPr>
                <w:rFonts w:hint="eastAsia" w:ascii="微软雅黑" w:hAnsi="微软雅黑" w:eastAsia="微软雅黑"/>
                <w:color w:val="auto"/>
                <w:sz w:val="21"/>
                <w:szCs w:val="21"/>
                <w:highlight w:val="none"/>
              </w:rPr>
            </w:pPr>
          </w:p>
        </w:tc>
        <w:tc>
          <w:tcPr>
            <w:tcW w:w="679" w:type="dxa"/>
            <w:vAlign w:val="center"/>
          </w:tcPr>
          <w:p w14:paraId="1023AC99">
            <w:pPr>
              <w:pStyle w:val="291"/>
              <w:jc w:val="center"/>
              <w:rPr>
                <w:rFonts w:hint="eastAsia" w:ascii="微软雅黑" w:hAnsi="微软雅黑" w:eastAsia="微软雅黑"/>
                <w:color w:val="auto"/>
                <w:sz w:val="21"/>
                <w:szCs w:val="21"/>
                <w:highlight w:val="none"/>
              </w:rPr>
            </w:pPr>
          </w:p>
        </w:tc>
        <w:tc>
          <w:tcPr>
            <w:tcW w:w="679" w:type="dxa"/>
            <w:vAlign w:val="center"/>
          </w:tcPr>
          <w:p w14:paraId="7845FB1B">
            <w:pPr>
              <w:pStyle w:val="291"/>
              <w:jc w:val="center"/>
              <w:rPr>
                <w:rFonts w:hint="eastAsia" w:ascii="微软雅黑" w:hAnsi="微软雅黑" w:eastAsia="微软雅黑"/>
                <w:color w:val="auto"/>
                <w:sz w:val="21"/>
                <w:szCs w:val="21"/>
                <w:highlight w:val="none"/>
              </w:rPr>
            </w:pPr>
          </w:p>
        </w:tc>
        <w:tc>
          <w:tcPr>
            <w:tcW w:w="2400" w:type="dxa"/>
            <w:vAlign w:val="center"/>
          </w:tcPr>
          <w:p w14:paraId="399C5F8D">
            <w:pPr>
              <w:pStyle w:val="291"/>
              <w:jc w:val="center"/>
              <w:rPr>
                <w:rFonts w:hint="eastAsia" w:ascii="微软雅黑" w:hAnsi="微软雅黑" w:eastAsia="微软雅黑"/>
                <w:color w:val="auto"/>
                <w:sz w:val="21"/>
                <w:szCs w:val="21"/>
                <w:highlight w:val="none"/>
              </w:rPr>
            </w:pPr>
          </w:p>
        </w:tc>
      </w:tr>
    </w:tbl>
    <w:p w14:paraId="0845285D">
      <w:pPr>
        <w:snapToGrid w:val="0"/>
        <w:spacing w:before="120" w:beforeLines="50"/>
        <w:ind w:firstLine="420"/>
        <w:jc w:val="both"/>
        <w:rPr>
          <w:rFonts w:hint="eastAsia" w:ascii="微软雅黑" w:hAnsi="微软雅黑" w:cs="Arial"/>
          <w:color w:val="auto"/>
          <w:kern w:val="0"/>
          <w:szCs w:val="21"/>
          <w:highlight w:val="none"/>
        </w:rPr>
      </w:pPr>
    </w:p>
    <w:p w14:paraId="703F3C1F">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61DF222C">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14916004">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35C00FBD">
      <w:pPr>
        <w:pStyle w:val="119"/>
        <w:spacing w:line="240" w:lineRule="auto"/>
        <w:ind w:firstLine="0" w:firstLineChars="0"/>
        <w:jc w:val="center"/>
        <w:rPr>
          <w:rFonts w:hint="eastAsia" w:ascii="微软雅黑" w:hAnsi="微软雅黑" w:eastAsia="微软雅黑"/>
          <w:color w:val="auto"/>
          <w:sz w:val="21"/>
          <w:szCs w:val="21"/>
          <w:highlight w:val="none"/>
        </w:rPr>
      </w:pPr>
    </w:p>
    <w:p w14:paraId="5B778F50">
      <w:pPr>
        <w:pStyle w:val="291"/>
        <w:spacing w:line="360" w:lineRule="auto"/>
        <w:ind w:firstLine="482"/>
        <w:rPr>
          <w:rFonts w:ascii="Times New Roman" w:hAnsi="Times New Roman" w:eastAsia="宋体"/>
          <w:b/>
          <w:color w:val="auto"/>
          <w:sz w:val="24"/>
          <w:szCs w:val="24"/>
          <w:highlight w:val="none"/>
        </w:rPr>
        <w:sectPr>
          <w:pgSz w:w="11906" w:h="16838"/>
          <w:pgMar w:top="1276" w:right="1418" w:bottom="1247" w:left="1418" w:header="851" w:footer="992" w:gutter="0"/>
          <w:cols w:space="720" w:num="1"/>
          <w:titlePg/>
          <w:docGrid w:linePitch="312" w:charSpace="0"/>
        </w:sectPr>
      </w:pPr>
    </w:p>
    <w:p w14:paraId="2B8EEEBF">
      <w:pPr>
        <w:pStyle w:val="291"/>
        <w:spacing w:line="360" w:lineRule="auto"/>
        <w:ind w:firstLine="482"/>
        <w:rPr>
          <w:rFonts w:hint="eastAsia" w:ascii="微软雅黑" w:hAnsi="微软雅黑" w:eastAsia="微软雅黑"/>
          <w:b/>
          <w:color w:val="auto"/>
          <w:sz w:val="21"/>
          <w:szCs w:val="21"/>
          <w:highlight w:val="none"/>
        </w:rPr>
      </w:pPr>
      <w:r>
        <w:rPr>
          <w:rFonts w:hint="eastAsia" w:ascii="Times New Roman" w:hAnsi="Times New Roman" w:eastAsia="宋体"/>
          <w:b/>
          <w:color w:val="auto"/>
          <w:sz w:val="24"/>
          <w:szCs w:val="24"/>
          <w:highlight w:val="none"/>
        </w:rPr>
        <w:t>7</w:t>
      </w:r>
      <w:r>
        <w:rPr>
          <w:rFonts w:ascii="Times New Roman" w:hAnsi="Times New Roman" w:eastAsia="宋体"/>
          <w:b/>
          <w:color w:val="auto"/>
          <w:sz w:val="24"/>
          <w:szCs w:val="24"/>
          <w:highlight w:val="none"/>
        </w:rPr>
        <w:t>.选</w:t>
      </w:r>
      <w:r>
        <w:rPr>
          <w:rFonts w:ascii="微软雅黑" w:hAnsi="微软雅黑" w:eastAsia="微软雅黑"/>
          <w:b/>
          <w:color w:val="auto"/>
          <w:sz w:val="21"/>
          <w:szCs w:val="21"/>
          <w:highlight w:val="none"/>
        </w:rPr>
        <w:t>配件、专用耗材、售后服务优惠表</w:t>
      </w:r>
    </w:p>
    <w:p w14:paraId="374AA1A5">
      <w:pPr>
        <w:pStyle w:val="6"/>
        <w:overflowPunct w:val="0"/>
        <w:jc w:val="center"/>
        <w:rPr>
          <w:rFonts w:hint="eastAsia" w:ascii="微软雅黑" w:hAnsi="微软雅黑"/>
          <w:b/>
          <w:color w:val="auto"/>
          <w:szCs w:val="21"/>
          <w:highlight w:val="none"/>
        </w:rPr>
      </w:pPr>
      <w:r>
        <w:rPr>
          <w:rFonts w:ascii="微软雅黑" w:hAnsi="微软雅黑"/>
          <w:b/>
          <w:color w:val="auto"/>
          <w:szCs w:val="21"/>
          <w:highlight w:val="none"/>
        </w:rPr>
        <w:t>选配件、专用耗材、售后服务优惠表</w:t>
      </w:r>
    </w:p>
    <w:p w14:paraId="5FD43E93">
      <w:pPr>
        <w:pStyle w:val="6"/>
        <w:overflowPunct w:val="0"/>
        <w:rPr>
          <w:rFonts w:hint="eastAsia" w:ascii="微软雅黑" w:hAnsi="微软雅黑"/>
          <w:b/>
          <w:color w:val="auto"/>
          <w:szCs w:val="21"/>
          <w:highlight w:val="none"/>
        </w:rPr>
      </w:pPr>
    </w:p>
    <w:tbl>
      <w:tblPr>
        <w:tblStyle w:val="53"/>
        <w:tblW w:w="852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9"/>
        <w:gridCol w:w="2506"/>
        <w:gridCol w:w="1671"/>
        <w:gridCol w:w="3312"/>
      </w:tblGrid>
      <w:tr w14:paraId="5EB70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250FD058">
            <w:pPr>
              <w:pStyle w:val="291"/>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序号</w:t>
            </w:r>
          </w:p>
        </w:tc>
        <w:tc>
          <w:tcPr>
            <w:tcW w:w="2506" w:type="dxa"/>
            <w:vAlign w:val="center"/>
          </w:tcPr>
          <w:p w14:paraId="5B3F43B6">
            <w:pPr>
              <w:pStyle w:val="291"/>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优惠内容</w:t>
            </w:r>
          </w:p>
        </w:tc>
        <w:tc>
          <w:tcPr>
            <w:tcW w:w="1671" w:type="dxa"/>
            <w:vAlign w:val="center"/>
          </w:tcPr>
          <w:p w14:paraId="7E9AC04A">
            <w:pPr>
              <w:pStyle w:val="291"/>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单价</w:t>
            </w:r>
          </w:p>
        </w:tc>
        <w:tc>
          <w:tcPr>
            <w:tcW w:w="3312" w:type="dxa"/>
            <w:vAlign w:val="center"/>
          </w:tcPr>
          <w:p w14:paraId="2AA344C6">
            <w:pPr>
              <w:pStyle w:val="291"/>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比投标报价优惠率</w:t>
            </w:r>
          </w:p>
        </w:tc>
      </w:tr>
      <w:tr w14:paraId="26CFD6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62610259">
            <w:pPr>
              <w:pStyle w:val="291"/>
              <w:jc w:val="center"/>
              <w:rPr>
                <w:rFonts w:hint="eastAsia" w:ascii="微软雅黑" w:hAnsi="微软雅黑" w:eastAsia="微软雅黑"/>
                <w:color w:val="auto"/>
                <w:sz w:val="21"/>
                <w:szCs w:val="21"/>
                <w:highlight w:val="none"/>
              </w:rPr>
            </w:pPr>
          </w:p>
        </w:tc>
        <w:tc>
          <w:tcPr>
            <w:tcW w:w="2506" w:type="dxa"/>
            <w:vAlign w:val="center"/>
          </w:tcPr>
          <w:p w14:paraId="54454B5C">
            <w:pPr>
              <w:pStyle w:val="291"/>
              <w:jc w:val="center"/>
              <w:rPr>
                <w:rFonts w:hint="eastAsia" w:ascii="微软雅黑" w:hAnsi="微软雅黑" w:eastAsia="微软雅黑"/>
                <w:color w:val="auto"/>
                <w:sz w:val="21"/>
                <w:szCs w:val="21"/>
                <w:highlight w:val="none"/>
              </w:rPr>
            </w:pPr>
          </w:p>
        </w:tc>
        <w:tc>
          <w:tcPr>
            <w:tcW w:w="1671" w:type="dxa"/>
          </w:tcPr>
          <w:p w14:paraId="0DA604BC">
            <w:pPr>
              <w:pStyle w:val="291"/>
              <w:jc w:val="center"/>
              <w:rPr>
                <w:rFonts w:hint="eastAsia" w:ascii="微软雅黑" w:hAnsi="微软雅黑" w:eastAsia="微软雅黑"/>
                <w:color w:val="auto"/>
                <w:sz w:val="21"/>
                <w:szCs w:val="21"/>
                <w:highlight w:val="none"/>
              </w:rPr>
            </w:pPr>
          </w:p>
        </w:tc>
        <w:tc>
          <w:tcPr>
            <w:tcW w:w="3312" w:type="dxa"/>
            <w:vAlign w:val="center"/>
          </w:tcPr>
          <w:p w14:paraId="3DE09F68">
            <w:pPr>
              <w:pStyle w:val="291"/>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u w:val="single"/>
              </w:rPr>
              <w:t xml:space="preserve">          </w:t>
            </w:r>
            <w:r>
              <w:rPr>
                <w:rFonts w:ascii="微软雅黑" w:hAnsi="微软雅黑" w:eastAsia="微软雅黑"/>
                <w:color w:val="auto"/>
                <w:sz w:val="21"/>
                <w:szCs w:val="21"/>
                <w:highlight w:val="none"/>
              </w:rPr>
              <w:t xml:space="preserve"> %</w:t>
            </w:r>
          </w:p>
        </w:tc>
      </w:tr>
      <w:tr w14:paraId="7DFF4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145A647E">
            <w:pPr>
              <w:pStyle w:val="291"/>
              <w:jc w:val="center"/>
              <w:rPr>
                <w:rFonts w:hint="eastAsia" w:ascii="微软雅黑" w:hAnsi="微软雅黑" w:eastAsia="微软雅黑"/>
                <w:color w:val="auto"/>
                <w:sz w:val="21"/>
                <w:szCs w:val="21"/>
                <w:highlight w:val="none"/>
              </w:rPr>
            </w:pPr>
          </w:p>
        </w:tc>
        <w:tc>
          <w:tcPr>
            <w:tcW w:w="2506" w:type="dxa"/>
            <w:vAlign w:val="center"/>
          </w:tcPr>
          <w:p w14:paraId="014491C7">
            <w:pPr>
              <w:pStyle w:val="291"/>
              <w:jc w:val="center"/>
              <w:rPr>
                <w:rFonts w:hint="eastAsia" w:ascii="微软雅黑" w:hAnsi="微软雅黑" w:eastAsia="微软雅黑"/>
                <w:color w:val="auto"/>
                <w:sz w:val="21"/>
                <w:szCs w:val="21"/>
                <w:highlight w:val="none"/>
              </w:rPr>
            </w:pPr>
          </w:p>
        </w:tc>
        <w:tc>
          <w:tcPr>
            <w:tcW w:w="1671" w:type="dxa"/>
          </w:tcPr>
          <w:p w14:paraId="281D369E">
            <w:pPr>
              <w:pStyle w:val="291"/>
              <w:jc w:val="center"/>
              <w:rPr>
                <w:rFonts w:hint="eastAsia" w:ascii="微软雅黑" w:hAnsi="微软雅黑" w:eastAsia="微软雅黑"/>
                <w:color w:val="auto"/>
                <w:sz w:val="21"/>
                <w:szCs w:val="21"/>
                <w:highlight w:val="none"/>
              </w:rPr>
            </w:pPr>
          </w:p>
        </w:tc>
        <w:tc>
          <w:tcPr>
            <w:tcW w:w="3312" w:type="dxa"/>
            <w:vAlign w:val="center"/>
          </w:tcPr>
          <w:p w14:paraId="4A017986">
            <w:pPr>
              <w:pStyle w:val="291"/>
              <w:jc w:val="center"/>
              <w:rPr>
                <w:rFonts w:hint="eastAsia" w:ascii="微软雅黑" w:hAnsi="微软雅黑" w:eastAsia="微软雅黑"/>
                <w:color w:val="auto"/>
                <w:sz w:val="21"/>
                <w:szCs w:val="21"/>
                <w:highlight w:val="none"/>
              </w:rPr>
            </w:pPr>
          </w:p>
        </w:tc>
      </w:tr>
      <w:tr w14:paraId="02366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1F73F1B1">
            <w:pPr>
              <w:pStyle w:val="291"/>
              <w:jc w:val="center"/>
              <w:rPr>
                <w:rFonts w:hint="eastAsia" w:ascii="微软雅黑" w:hAnsi="微软雅黑" w:eastAsia="微软雅黑"/>
                <w:color w:val="auto"/>
                <w:sz w:val="21"/>
                <w:szCs w:val="21"/>
                <w:highlight w:val="none"/>
              </w:rPr>
            </w:pPr>
          </w:p>
        </w:tc>
        <w:tc>
          <w:tcPr>
            <w:tcW w:w="2506" w:type="dxa"/>
            <w:vAlign w:val="center"/>
          </w:tcPr>
          <w:p w14:paraId="1A6469B3">
            <w:pPr>
              <w:pStyle w:val="291"/>
              <w:jc w:val="center"/>
              <w:rPr>
                <w:rFonts w:hint="eastAsia" w:ascii="微软雅黑" w:hAnsi="微软雅黑" w:eastAsia="微软雅黑"/>
                <w:color w:val="auto"/>
                <w:sz w:val="21"/>
                <w:szCs w:val="21"/>
                <w:highlight w:val="none"/>
              </w:rPr>
            </w:pPr>
          </w:p>
        </w:tc>
        <w:tc>
          <w:tcPr>
            <w:tcW w:w="1671" w:type="dxa"/>
          </w:tcPr>
          <w:p w14:paraId="6ADC28FB">
            <w:pPr>
              <w:pStyle w:val="291"/>
              <w:jc w:val="center"/>
              <w:rPr>
                <w:rFonts w:hint="eastAsia" w:ascii="微软雅黑" w:hAnsi="微软雅黑" w:eastAsia="微软雅黑"/>
                <w:color w:val="auto"/>
                <w:sz w:val="21"/>
                <w:szCs w:val="21"/>
                <w:highlight w:val="none"/>
              </w:rPr>
            </w:pPr>
          </w:p>
        </w:tc>
        <w:tc>
          <w:tcPr>
            <w:tcW w:w="3312" w:type="dxa"/>
            <w:vAlign w:val="center"/>
          </w:tcPr>
          <w:p w14:paraId="2FEE02E4">
            <w:pPr>
              <w:pStyle w:val="291"/>
              <w:jc w:val="center"/>
              <w:rPr>
                <w:rFonts w:hint="eastAsia" w:ascii="微软雅黑" w:hAnsi="微软雅黑" w:eastAsia="微软雅黑"/>
                <w:color w:val="auto"/>
                <w:sz w:val="21"/>
                <w:szCs w:val="21"/>
                <w:highlight w:val="none"/>
              </w:rPr>
            </w:pPr>
          </w:p>
        </w:tc>
      </w:tr>
      <w:tr w14:paraId="170C8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455CB03F">
            <w:pPr>
              <w:pStyle w:val="291"/>
              <w:jc w:val="center"/>
              <w:rPr>
                <w:rFonts w:hint="eastAsia" w:ascii="微软雅黑" w:hAnsi="微软雅黑" w:eastAsia="微软雅黑"/>
                <w:color w:val="auto"/>
                <w:sz w:val="21"/>
                <w:szCs w:val="21"/>
                <w:highlight w:val="none"/>
              </w:rPr>
            </w:pPr>
          </w:p>
        </w:tc>
        <w:tc>
          <w:tcPr>
            <w:tcW w:w="2506" w:type="dxa"/>
            <w:vAlign w:val="center"/>
          </w:tcPr>
          <w:p w14:paraId="098721AA">
            <w:pPr>
              <w:pStyle w:val="291"/>
              <w:jc w:val="center"/>
              <w:rPr>
                <w:rFonts w:hint="eastAsia" w:ascii="微软雅黑" w:hAnsi="微软雅黑" w:eastAsia="微软雅黑"/>
                <w:color w:val="auto"/>
                <w:sz w:val="21"/>
                <w:szCs w:val="21"/>
                <w:highlight w:val="none"/>
              </w:rPr>
            </w:pPr>
          </w:p>
        </w:tc>
        <w:tc>
          <w:tcPr>
            <w:tcW w:w="1671" w:type="dxa"/>
          </w:tcPr>
          <w:p w14:paraId="356CEF39">
            <w:pPr>
              <w:pStyle w:val="291"/>
              <w:jc w:val="center"/>
              <w:rPr>
                <w:rFonts w:hint="eastAsia" w:ascii="微软雅黑" w:hAnsi="微软雅黑" w:eastAsia="微软雅黑"/>
                <w:color w:val="auto"/>
                <w:sz w:val="21"/>
                <w:szCs w:val="21"/>
                <w:highlight w:val="none"/>
              </w:rPr>
            </w:pPr>
          </w:p>
        </w:tc>
        <w:tc>
          <w:tcPr>
            <w:tcW w:w="3312" w:type="dxa"/>
            <w:vAlign w:val="center"/>
          </w:tcPr>
          <w:p w14:paraId="10E84C8C">
            <w:pPr>
              <w:pStyle w:val="291"/>
              <w:jc w:val="center"/>
              <w:rPr>
                <w:rFonts w:hint="eastAsia" w:ascii="微软雅黑" w:hAnsi="微软雅黑" w:eastAsia="微软雅黑"/>
                <w:color w:val="auto"/>
                <w:sz w:val="21"/>
                <w:szCs w:val="21"/>
                <w:highlight w:val="none"/>
              </w:rPr>
            </w:pPr>
          </w:p>
        </w:tc>
      </w:tr>
    </w:tbl>
    <w:p w14:paraId="6DCA1E07">
      <w:pPr>
        <w:snapToGrid w:val="0"/>
        <w:spacing w:before="120" w:beforeLines="50"/>
        <w:ind w:firstLine="420"/>
        <w:jc w:val="both"/>
        <w:rPr>
          <w:rFonts w:hint="eastAsia" w:ascii="微软雅黑" w:hAnsi="微软雅黑" w:cs="Arial"/>
          <w:color w:val="auto"/>
          <w:kern w:val="0"/>
          <w:szCs w:val="21"/>
          <w:highlight w:val="none"/>
        </w:rPr>
      </w:pPr>
    </w:p>
    <w:p w14:paraId="2A879953">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4727F09A">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05357625">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6CEBCC24">
      <w:pPr>
        <w:pStyle w:val="119"/>
        <w:ind w:firstLine="420"/>
        <w:jc w:val="center"/>
        <w:rPr>
          <w:rFonts w:hint="eastAsia" w:ascii="微软雅黑" w:hAnsi="微软雅黑" w:eastAsia="微软雅黑"/>
          <w:color w:val="auto"/>
          <w:sz w:val="21"/>
          <w:szCs w:val="21"/>
          <w:highlight w:val="none"/>
        </w:rPr>
      </w:pPr>
    </w:p>
    <w:p w14:paraId="486EAC5A">
      <w:pPr>
        <w:pStyle w:val="119"/>
        <w:jc w:val="center"/>
        <w:rPr>
          <w:rFonts w:hint="eastAsia" w:hAnsi="宋体" w:eastAsia="宋体"/>
          <w:color w:val="auto"/>
          <w:sz w:val="24"/>
          <w:szCs w:val="24"/>
          <w:highlight w:val="none"/>
        </w:rPr>
      </w:pPr>
    </w:p>
    <w:p w14:paraId="6D00F683">
      <w:pPr>
        <w:pStyle w:val="291"/>
        <w:spacing w:line="360" w:lineRule="auto"/>
        <w:ind w:firstLine="482"/>
        <w:rPr>
          <w:rFonts w:ascii="Times New Roman" w:hAnsi="Times New Roman" w:eastAsia="宋体"/>
          <w:b/>
          <w:color w:val="auto"/>
          <w:sz w:val="24"/>
          <w:szCs w:val="24"/>
          <w:highlight w:val="none"/>
        </w:rPr>
        <w:sectPr>
          <w:pgSz w:w="11906" w:h="16838"/>
          <w:pgMar w:top="1276" w:right="1418" w:bottom="1247" w:left="1418" w:header="851" w:footer="992" w:gutter="0"/>
          <w:cols w:space="720" w:num="1"/>
          <w:titlePg/>
          <w:docGrid w:linePitch="312" w:charSpace="0"/>
        </w:sectPr>
      </w:pPr>
    </w:p>
    <w:p w14:paraId="7FD8D71E">
      <w:pPr>
        <w:pStyle w:val="291"/>
        <w:spacing w:line="360" w:lineRule="auto"/>
        <w:ind w:firstLine="482"/>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8.诚信承诺函</w:t>
      </w:r>
    </w:p>
    <w:p w14:paraId="20350F14">
      <w:pPr>
        <w:pStyle w:val="6"/>
        <w:overflowPunct w:val="0"/>
        <w:jc w:val="center"/>
        <w:rPr>
          <w:rFonts w:hint="eastAsia" w:ascii="微软雅黑" w:hAnsi="微软雅黑"/>
          <w:b/>
          <w:color w:val="auto"/>
          <w:szCs w:val="21"/>
          <w:highlight w:val="none"/>
        </w:rPr>
      </w:pPr>
      <w:r>
        <w:rPr>
          <w:rFonts w:hint="eastAsia" w:ascii="微软雅黑" w:hAnsi="微软雅黑"/>
          <w:b/>
          <w:color w:val="auto"/>
          <w:szCs w:val="21"/>
          <w:highlight w:val="none"/>
        </w:rPr>
        <w:t>诚信承诺函</w:t>
      </w:r>
    </w:p>
    <w:p w14:paraId="41844981">
      <w:pPr>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致 </w:t>
      </w:r>
      <w:r>
        <w:rPr>
          <w:rFonts w:hint="eastAsia" w:ascii="微软雅黑" w:hAnsi="微软雅黑"/>
          <w:color w:val="auto"/>
          <w:szCs w:val="21"/>
          <w:highlight w:val="none"/>
          <w:u w:val="single"/>
        </w:rPr>
        <w:t xml:space="preserve">     </w:t>
      </w:r>
      <w:r>
        <w:rPr>
          <w:rFonts w:hint="eastAsia" w:ascii="微软雅黑" w:hAnsi="微软雅黑"/>
          <w:b/>
          <w:color w:val="auto"/>
          <w:szCs w:val="21"/>
          <w:highlight w:val="none"/>
          <w:u w:val="single"/>
        </w:rPr>
        <w:t xml:space="preserve">（采购人）       </w:t>
      </w:r>
      <w:r>
        <w:rPr>
          <w:rFonts w:hint="eastAsia" w:ascii="微软雅黑" w:hAnsi="微软雅黑"/>
          <w:color w:val="auto"/>
          <w:szCs w:val="21"/>
          <w:highlight w:val="none"/>
        </w:rPr>
        <w:t>：</w:t>
      </w:r>
    </w:p>
    <w:p w14:paraId="7B15F61A">
      <w:pPr>
        <w:ind w:firstLine="420"/>
        <w:rPr>
          <w:rFonts w:hint="eastAsia" w:ascii="微软雅黑" w:hAnsi="微软雅黑"/>
          <w:color w:val="auto"/>
          <w:szCs w:val="21"/>
          <w:highlight w:val="none"/>
        </w:rPr>
      </w:pPr>
      <w:r>
        <w:rPr>
          <w:rFonts w:hint="eastAsia" w:ascii="微软雅黑" w:hAnsi="微软雅黑"/>
          <w:color w:val="auto"/>
          <w:szCs w:val="21"/>
          <w:highlight w:val="none"/>
        </w:rPr>
        <w:t>我方在参加贵单位的</w:t>
      </w:r>
      <w:r>
        <w:rPr>
          <w:rFonts w:hint="eastAsia" w:ascii="微软雅黑" w:hAnsi="微软雅黑"/>
          <w:color w:val="auto"/>
          <w:szCs w:val="21"/>
          <w:highlight w:val="none"/>
          <w:u w:val="single"/>
        </w:rPr>
        <w:t xml:space="preserve">           政府采购项目</w:t>
      </w:r>
      <w:r>
        <w:rPr>
          <w:rFonts w:hint="eastAsia" w:ascii="微软雅黑" w:hAnsi="微软雅黑"/>
          <w:color w:val="auto"/>
          <w:szCs w:val="21"/>
          <w:highlight w:val="none"/>
        </w:rPr>
        <w:t>的招投标活动中，郑重承诺如下：</w:t>
      </w:r>
    </w:p>
    <w:p w14:paraId="30ECC797">
      <w:pPr>
        <w:ind w:firstLine="420"/>
        <w:rPr>
          <w:rFonts w:hint="eastAsia" w:ascii="微软雅黑" w:hAnsi="微软雅黑"/>
          <w:color w:val="auto"/>
          <w:szCs w:val="21"/>
          <w:highlight w:val="none"/>
        </w:rPr>
      </w:pPr>
      <w:r>
        <w:rPr>
          <w:rFonts w:hint="eastAsia" w:ascii="微软雅黑" w:hAnsi="微软雅黑"/>
          <w:color w:val="auto"/>
          <w:szCs w:val="21"/>
          <w:highlight w:val="none"/>
        </w:rPr>
        <w:t>1.我方申报的所有资料都是真实、准确、完整的；</w:t>
      </w:r>
    </w:p>
    <w:p w14:paraId="36B09BB6">
      <w:pPr>
        <w:ind w:firstLine="420"/>
        <w:rPr>
          <w:rFonts w:hint="eastAsia" w:ascii="微软雅黑" w:hAnsi="微软雅黑"/>
          <w:color w:val="auto"/>
          <w:szCs w:val="21"/>
          <w:highlight w:val="none"/>
        </w:rPr>
      </w:pPr>
      <w:r>
        <w:rPr>
          <w:rFonts w:hint="eastAsia" w:ascii="微软雅黑" w:hAnsi="微软雅黑"/>
          <w:color w:val="auto"/>
          <w:szCs w:val="21"/>
          <w:highlight w:val="none"/>
        </w:rPr>
        <w:t>2.我方无资质挂靠情形，保证不参与串标、围标及抬标；</w:t>
      </w:r>
    </w:p>
    <w:p w14:paraId="5C523BB1">
      <w:pPr>
        <w:ind w:firstLine="420"/>
        <w:rPr>
          <w:rFonts w:hint="eastAsia" w:ascii="微软雅黑" w:hAnsi="微软雅黑"/>
          <w:color w:val="auto"/>
          <w:szCs w:val="21"/>
          <w:highlight w:val="none"/>
        </w:rPr>
      </w:pPr>
      <w:r>
        <w:rPr>
          <w:rFonts w:hint="eastAsia" w:ascii="微软雅黑" w:hAnsi="微软雅黑"/>
          <w:color w:val="auto"/>
          <w:szCs w:val="21"/>
          <w:highlight w:val="none"/>
        </w:rPr>
        <w:t>3.我方未处于被各级行政主管部门做出停止市场行为处罚的期限内；</w:t>
      </w:r>
    </w:p>
    <w:p w14:paraId="42D8748F">
      <w:pPr>
        <w:ind w:firstLine="420"/>
        <w:rPr>
          <w:rFonts w:hint="eastAsia" w:ascii="微软雅黑" w:hAnsi="微软雅黑"/>
          <w:color w:val="auto"/>
          <w:szCs w:val="21"/>
          <w:highlight w:val="none"/>
        </w:rPr>
      </w:pPr>
      <w:r>
        <w:rPr>
          <w:rFonts w:hint="eastAsia" w:ascii="微软雅黑" w:hAnsi="微软雅黑"/>
          <w:color w:val="auto"/>
          <w:szCs w:val="21"/>
          <w:highlight w:val="none"/>
        </w:rPr>
        <w:t>4.我方参加本项目政府采购活动前3年内在经营活动中没有受到行政处罚、行政处理(含通报)，未被记入不良行为，没有重大违法记录；</w:t>
      </w:r>
    </w:p>
    <w:p w14:paraId="30DB5711">
      <w:pPr>
        <w:ind w:firstLine="420"/>
        <w:rPr>
          <w:rFonts w:hint="eastAsia" w:ascii="微软雅黑" w:hAnsi="微软雅黑"/>
          <w:color w:val="auto"/>
          <w:szCs w:val="21"/>
          <w:highlight w:val="none"/>
        </w:rPr>
      </w:pPr>
      <w:r>
        <w:rPr>
          <w:rFonts w:hint="eastAsia" w:ascii="微软雅黑" w:hAnsi="微软雅黑"/>
          <w:color w:val="auto"/>
          <w:szCs w:val="21"/>
          <w:highlight w:val="none"/>
        </w:rPr>
        <w:t>5.若我方中标，将严格按照规定及时与采购人签订合同；</w:t>
      </w:r>
    </w:p>
    <w:p w14:paraId="620B9863">
      <w:pPr>
        <w:ind w:firstLine="420"/>
        <w:rPr>
          <w:rFonts w:hint="eastAsia" w:ascii="微软雅黑" w:hAnsi="微软雅黑"/>
          <w:color w:val="auto"/>
          <w:szCs w:val="21"/>
          <w:highlight w:val="none"/>
        </w:rPr>
      </w:pPr>
      <w:r>
        <w:rPr>
          <w:rFonts w:hint="eastAsia" w:ascii="微软雅黑" w:hAnsi="微软雅黑"/>
          <w:color w:val="auto"/>
          <w:szCs w:val="21"/>
          <w:highlight w:val="none"/>
        </w:rPr>
        <w:t>6.若我方中标，将严格按照招标文件要求及投标文件承诺的报价、质量、工期、投标方案、项目负责人等内容组织实施；</w:t>
      </w:r>
    </w:p>
    <w:p w14:paraId="4DA4ABB4">
      <w:pPr>
        <w:ind w:firstLine="420"/>
        <w:rPr>
          <w:rFonts w:hint="eastAsia" w:ascii="微软雅黑" w:hAnsi="微软雅黑"/>
          <w:color w:val="auto"/>
          <w:szCs w:val="21"/>
          <w:highlight w:val="none"/>
        </w:rPr>
      </w:pPr>
      <w:r>
        <w:rPr>
          <w:rFonts w:hint="eastAsia" w:ascii="微软雅黑" w:hAnsi="微软雅黑"/>
          <w:color w:val="auto"/>
          <w:szCs w:val="21"/>
          <w:highlight w:val="none"/>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4478B3BB">
      <w:pPr>
        <w:ind w:firstLine="420"/>
        <w:rPr>
          <w:rFonts w:hint="eastAsia" w:ascii="微软雅黑" w:hAnsi="微软雅黑"/>
          <w:color w:val="auto"/>
          <w:szCs w:val="21"/>
          <w:highlight w:val="none"/>
        </w:rPr>
      </w:pPr>
      <w:r>
        <w:rPr>
          <w:rFonts w:hint="eastAsia" w:ascii="微软雅黑" w:hAnsi="微软雅黑"/>
          <w:color w:val="auto"/>
          <w:szCs w:val="21"/>
          <w:highlight w:val="none"/>
        </w:rPr>
        <w:t>特此承诺。</w:t>
      </w:r>
    </w:p>
    <w:p w14:paraId="277661D7">
      <w:pPr>
        <w:snapToGrid w:val="0"/>
        <w:spacing w:before="120" w:beforeLines="50"/>
        <w:ind w:firstLine="420"/>
        <w:jc w:val="both"/>
        <w:rPr>
          <w:rFonts w:hint="eastAsia" w:ascii="微软雅黑" w:hAnsi="微软雅黑" w:cs="Arial"/>
          <w:color w:val="auto"/>
          <w:kern w:val="0"/>
          <w:szCs w:val="21"/>
          <w:highlight w:val="none"/>
        </w:rPr>
      </w:pPr>
    </w:p>
    <w:p w14:paraId="3FB5318C">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0330821E">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2A5A0E68">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7BEACA2F">
      <w:pPr>
        <w:spacing w:before="108" w:after="120" w:line="304" w:lineRule="auto"/>
        <w:ind w:right="417" w:firstLine="420"/>
        <w:jc w:val="center"/>
        <w:rPr>
          <w:rFonts w:hint="eastAsia" w:ascii="微软雅黑" w:hAnsi="微软雅黑"/>
          <w:color w:val="auto"/>
          <w:szCs w:val="21"/>
          <w:highlight w:val="none"/>
        </w:rPr>
      </w:pPr>
    </w:p>
    <w:p w14:paraId="79EDAFFA">
      <w:pPr>
        <w:pStyle w:val="3"/>
        <w:keepNext w:val="0"/>
        <w:keepLines w:val="0"/>
        <w:ind w:firstLine="420"/>
        <w:rPr>
          <w:rFonts w:hint="eastAsia" w:ascii="宋体" w:hAnsi="宋体"/>
          <w:color w:val="auto"/>
          <w:highlight w:val="none"/>
        </w:rPr>
      </w:pPr>
    </w:p>
    <w:p w14:paraId="4BF1555B">
      <w:pPr>
        <w:ind w:firstLine="420"/>
        <w:rPr>
          <w:rFonts w:hint="eastAsia" w:ascii="宋体" w:hAnsi="宋体"/>
          <w:color w:val="auto"/>
          <w:highlight w:val="none"/>
        </w:rPr>
      </w:pPr>
    </w:p>
    <w:p w14:paraId="677795C8">
      <w:pPr>
        <w:pStyle w:val="3"/>
        <w:keepNext w:val="0"/>
        <w:keepLines w:val="0"/>
        <w:ind w:firstLine="420"/>
        <w:rPr>
          <w:rFonts w:hint="eastAsia"/>
          <w:color w:val="auto"/>
          <w:highlight w:val="none"/>
        </w:rPr>
      </w:pPr>
    </w:p>
    <w:p w14:paraId="6B72CA21">
      <w:pPr>
        <w:snapToGrid w:val="0"/>
        <w:ind w:firstLine="640"/>
        <w:jc w:val="center"/>
        <w:rPr>
          <w:rFonts w:hint="eastAsia" w:ascii="宋体" w:hAnsi="宋体"/>
          <w:b/>
          <w:color w:val="auto"/>
          <w:sz w:val="32"/>
          <w:szCs w:val="32"/>
          <w:highlight w:val="none"/>
        </w:rPr>
        <w:sectPr>
          <w:pgSz w:w="11906" w:h="16838"/>
          <w:pgMar w:top="1276" w:right="1418" w:bottom="1247" w:left="1418" w:header="851" w:footer="992" w:gutter="0"/>
          <w:cols w:space="720" w:num="1"/>
          <w:titlePg/>
          <w:docGrid w:linePitch="312" w:charSpace="0"/>
        </w:sectPr>
      </w:pPr>
    </w:p>
    <w:p w14:paraId="0D8FCA49">
      <w:pPr>
        <w:snapToGrid w:val="0"/>
        <w:ind w:firstLine="420"/>
        <w:jc w:val="center"/>
        <w:rPr>
          <w:rFonts w:hint="eastAsia" w:ascii="宋体" w:hAnsi="宋体"/>
          <w:b/>
          <w:color w:val="auto"/>
          <w:szCs w:val="21"/>
          <w:highlight w:val="none"/>
        </w:rPr>
      </w:pPr>
    </w:p>
    <w:p w14:paraId="27DBB7C9">
      <w:pPr>
        <w:snapToGrid w:val="0"/>
        <w:ind w:firstLine="420"/>
        <w:rPr>
          <w:rFonts w:hint="eastAsia" w:ascii="宋体" w:hAnsi="宋体"/>
          <w:b/>
          <w:color w:val="auto"/>
          <w:szCs w:val="21"/>
          <w:highlight w:val="none"/>
        </w:rPr>
      </w:pPr>
      <w:r>
        <w:rPr>
          <w:rFonts w:hint="eastAsia" w:ascii="微软雅黑" w:hAnsi="微软雅黑" w:cs="微软雅黑"/>
          <w:b/>
          <w:color w:val="auto"/>
          <w:szCs w:val="21"/>
          <w:highlight w:val="none"/>
        </w:rPr>
        <w:t>9.劳</w:t>
      </w:r>
      <w:r>
        <w:rPr>
          <w:rFonts w:hint="eastAsia" w:ascii="宋体" w:hAnsi="宋体"/>
          <w:b/>
          <w:color w:val="auto"/>
          <w:szCs w:val="21"/>
          <w:highlight w:val="none"/>
        </w:rPr>
        <w:t>动用工书面承诺</w:t>
      </w:r>
    </w:p>
    <w:p w14:paraId="40447B70">
      <w:pPr>
        <w:snapToGrid w:val="0"/>
        <w:ind w:firstLine="420"/>
        <w:jc w:val="center"/>
        <w:rPr>
          <w:rFonts w:hint="eastAsia" w:ascii="宋体" w:hAnsi="宋体"/>
          <w:b/>
          <w:color w:val="auto"/>
          <w:szCs w:val="21"/>
          <w:highlight w:val="none"/>
        </w:rPr>
      </w:pPr>
      <w:r>
        <w:rPr>
          <w:rFonts w:hint="eastAsia" w:ascii="宋体" w:hAnsi="宋体"/>
          <w:b/>
          <w:color w:val="auto"/>
          <w:szCs w:val="21"/>
          <w:highlight w:val="none"/>
        </w:rPr>
        <w:t>劳动用工书面承诺</w:t>
      </w:r>
    </w:p>
    <w:p w14:paraId="7EB98770">
      <w:pPr>
        <w:snapToGrid w:val="0"/>
        <w:ind w:firstLine="420"/>
        <w:rPr>
          <w:rFonts w:hint="eastAsia" w:ascii="宋体" w:hAnsi="宋体"/>
          <w:color w:val="auto"/>
          <w:highlight w:val="none"/>
        </w:rPr>
      </w:pPr>
      <w:r>
        <w:rPr>
          <w:rFonts w:hint="eastAsia" w:ascii="宋体" w:hAnsi="宋体"/>
          <w:color w:val="auto"/>
          <w:highlight w:val="none"/>
        </w:rPr>
        <w:t>如我公司在本次招投标中标后成为中标</w:t>
      </w:r>
      <w:r>
        <w:rPr>
          <w:rFonts w:hint="eastAsia" w:ascii="宋体" w:hAnsi="宋体"/>
          <w:color w:val="auto"/>
          <w:highlight w:val="none"/>
          <w:lang w:eastAsia="zh-CN"/>
        </w:rPr>
        <w:t>投标人</w:t>
      </w:r>
      <w:r>
        <w:rPr>
          <w:rFonts w:hint="eastAsia" w:ascii="宋体" w:hAnsi="宋体"/>
          <w:color w:val="auto"/>
          <w:highlight w:val="none"/>
        </w:rPr>
        <w:t>，我公司将严格遵守《民法典》及《劳动合同法》的相关规定，按招标文件的要求及我公司投标文件配置服务人员，按国家规定为员工缴纳社会保险，员工的工资标准不低于嘉兴市最低工资标准，并将所有条款写入劳动用工合同。</w:t>
      </w:r>
    </w:p>
    <w:p w14:paraId="0F661F1A">
      <w:pPr>
        <w:snapToGrid w:val="0"/>
        <w:ind w:firstLine="420"/>
        <w:rPr>
          <w:rFonts w:hint="eastAsia" w:ascii="宋体" w:hAnsi="宋体"/>
          <w:color w:val="auto"/>
          <w:highlight w:val="none"/>
        </w:rPr>
      </w:pPr>
      <w:r>
        <w:rPr>
          <w:rFonts w:hint="eastAsia" w:ascii="宋体" w:hAnsi="宋体"/>
          <w:color w:val="auto"/>
          <w:highlight w:val="none"/>
        </w:rPr>
        <w:t>特此承诺。</w:t>
      </w:r>
    </w:p>
    <w:p w14:paraId="2E3AC080">
      <w:pPr>
        <w:snapToGrid w:val="0"/>
        <w:spacing w:before="120" w:beforeLines="50"/>
        <w:ind w:firstLine="420"/>
        <w:jc w:val="both"/>
        <w:rPr>
          <w:rFonts w:hint="eastAsia" w:ascii="微软雅黑" w:hAnsi="微软雅黑" w:cs="Arial"/>
          <w:color w:val="auto"/>
          <w:kern w:val="0"/>
          <w:szCs w:val="21"/>
          <w:highlight w:val="none"/>
        </w:rPr>
      </w:pPr>
    </w:p>
    <w:p w14:paraId="7AB9C893">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0CA54AC6">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5966C290">
      <w:pPr>
        <w:pStyle w:val="119"/>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日期： 年 月 日</w:t>
      </w:r>
    </w:p>
    <w:p w14:paraId="79A6514E">
      <w:pPr>
        <w:snapToGrid w:val="0"/>
        <w:ind w:left="630" w:leftChars="100" w:hanging="420" w:hangingChars="200"/>
        <w:jc w:val="center"/>
        <w:rPr>
          <w:rFonts w:hint="eastAsia" w:ascii="宋体" w:hAnsi="宋体"/>
          <w:color w:val="auto"/>
          <w:highlight w:val="none"/>
        </w:rPr>
      </w:pPr>
    </w:p>
    <w:p w14:paraId="5499D9F5">
      <w:pPr>
        <w:pStyle w:val="24"/>
        <w:ind w:left="0" w:firstLine="420"/>
        <w:rPr>
          <w:rFonts w:hint="eastAsia" w:hAnsi="宋体"/>
          <w:b/>
          <w:color w:val="auto"/>
          <w:kern w:val="0"/>
          <w:highlight w:val="none"/>
        </w:rPr>
      </w:pPr>
    </w:p>
    <w:p w14:paraId="3D35E6CA">
      <w:pPr>
        <w:ind w:firstLine="420"/>
        <w:rPr>
          <w:color w:val="auto"/>
          <w:highlight w:val="none"/>
        </w:rPr>
      </w:pPr>
    </w:p>
    <w:p w14:paraId="23FBAE6E">
      <w:pPr>
        <w:ind w:firstLine="643"/>
        <w:jc w:val="center"/>
        <w:rPr>
          <w:rFonts w:hint="eastAsia" w:ascii="仿宋_GB2312" w:hAnsi="仿宋" w:eastAsia="仿宋_GB2312" w:cs="仿宋_GB2312"/>
          <w:b/>
          <w:color w:val="auto"/>
          <w:kern w:val="0"/>
          <w:sz w:val="32"/>
          <w:szCs w:val="32"/>
          <w:highlight w:val="none"/>
        </w:rPr>
      </w:pPr>
    </w:p>
    <w:p w14:paraId="7624456E">
      <w:pPr>
        <w:ind w:firstLine="643"/>
        <w:jc w:val="center"/>
        <w:rPr>
          <w:rFonts w:hint="eastAsia" w:ascii="仿宋_GB2312" w:hAnsi="仿宋" w:eastAsia="仿宋_GB2312" w:cs="仿宋_GB2312"/>
          <w:b/>
          <w:color w:val="auto"/>
          <w:kern w:val="0"/>
          <w:sz w:val="32"/>
          <w:szCs w:val="32"/>
          <w:highlight w:val="none"/>
        </w:rPr>
      </w:pPr>
    </w:p>
    <w:p w14:paraId="4EDBD3F9">
      <w:pPr>
        <w:ind w:firstLine="643"/>
        <w:jc w:val="center"/>
        <w:rPr>
          <w:rFonts w:hint="eastAsia" w:ascii="仿宋_GB2312" w:hAnsi="仿宋" w:eastAsia="仿宋_GB2312" w:cs="仿宋_GB2312"/>
          <w:b/>
          <w:color w:val="auto"/>
          <w:kern w:val="0"/>
          <w:sz w:val="32"/>
          <w:szCs w:val="32"/>
          <w:highlight w:val="none"/>
        </w:rPr>
      </w:pPr>
    </w:p>
    <w:p w14:paraId="2BE7229D">
      <w:pPr>
        <w:ind w:firstLine="643"/>
        <w:jc w:val="both"/>
        <w:rPr>
          <w:rFonts w:hint="eastAsia" w:ascii="仿宋_GB2312" w:hAnsi="仿宋" w:eastAsia="仿宋_GB2312" w:cs="仿宋_GB2312"/>
          <w:b/>
          <w:color w:val="auto"/>
          <w:kern w:val="0"/>
          <w:sz w:val="32"/>
          <w:szCs w:val="32"/>
          <w:highlight w:val="none"/>
        </w:rPr>
      </w:pPr>
    </w:p>
    <w:p w14:paraId="287B2D62">
      <w:pPr>
        <w:ind w:firstLine="643"/>
        <w:jc w:val="center"/>
        <w:rPr>
          <w:rFonts w:hint="eastAsia" w:ascii="仿宋_GB2312" w:hAnsi="仿宋" w:eastAsia="仿宋_GB2312" w:cs="仿宋_GB2312"/>
          <w:b/>
          <w:color w:val="auto"/>
          <w:kern w:val="0"/>
          <w:sz w:val="32"/>
          <w:szCs w:val="32"/>
          <w:highlight w:val="none"/>
        </w:rPr>
      </w:pPr>
    </w:p>
    <w:p w14:paraId="20F21A8B">
      <w:pPr>
        <w:ind w:firstLine="482"/>
        <w:jc w:val="both"/>
        <w:rPr>
          <w:rFonts w:hint="eastAsia" w:ascii="仿宋_GB2312" w:hAnsi="仿宋" w:eastAsia="仿宋_GB2312" w:cs="仿宋_GB2312"/>
          <w:b/>
          <w:bCs/>
          <w:color w:val="auto"/>
          <w:sz w:val="24"/>
          <w:highlight w:val="none"/>
        </w:rPr>
        <w:sectPr>
          <w:pgSz w:w="11906" w:h="16838"/>
          <w:pgMar w:top="1276" w:right="1418" w:bottom="1247" w:left="1418" w:header="851" w:footer="992" w:gutter="0"/>
          <w:cols w:space="720" w:num="1"/>
          <w:titlePg/>
          <w:docGrid w:linePitch="312" w:charSpace="0"/>
        </w:sectPr>
      </w:pPr>
    </w:p>
    <w:p w14:paraId="2B1EEF0F">
      <w:pPr>
        <w:pStyle w:val="3"/>
        <w:keepNext w:val="0"/>
        <w:keepLines w:val="0"/>
        <w:ind w:firstLine="420"/>
        <w:rPr>
          <w:rFonts w:hint="eastAsia" w:ascii="微软雅黑" w:hAnsi="微软雅黑" w:cs="仿宋_GB2312"/>
          <w:color w:val="auto"/>
          <w:szCs w:val="21"/>
          <w:highlight w:val="none"/>
        </w:rPr>
      </w:pPr>
      <w:bookmarkStart w:id="339" w:name="_Toc3189"/>
      <w:bookmarkStart w:id="340" w:name="_Toc169015155"/>
      <w:bookmarkStart w:id="341" w:name="_Toc5043"/>
      <w:r>
        <w:rPr>
          <w:rFonts w:hint="eastAsia" w:ascii="微软雅黑" w:hAnsi="微软雅黑" w:cs="仿宋_GB2312"/>
          <w:color w:val="auto"/>
          <w:szCs w:val="21"/>
          <w:highlight w:val="none"/>
        </w:rPr>
        <w:t>报价文件部分</w:t>
      </w:r>
      <w:bookmarkEnd w:id="339"/>
      <w:bookmarkEnd w:id="340"/>
      <w:bookmarkEnd w:id="341"/>
    </w:p>
    <w:p w14:paraId="2CBDF9A4">
      <w:pPr>
        <w:ind w:firstLine="420"/>
        <w:jc w:val="center"/>
        <w:outlineLvl w:val="0"/>
        <w:rPr>
          <w:rFonts w:hint="eastAsia" w:ascii="微软雅黑" w:hAnsi="微软雅黑" w:cs="仿宋_GB2312"/>
          <w:b/>
          <w:color w:val="auto"/>
          <w:kern w:val="0"/>
          <w:szCs w:val="21"/>
          <w:highlight w:val="none"/>
        </w:rPr>
      </w:pPr>
      <w:bookmarkStart w:id="342" w:name="_Toc169015156"/>
      <w:bookmarkStart w:id="343" w:name="_Toc23916"/>
      <w:bookmarkStart w:id="344" w:name="_Toc164943233"/>
      <w:bookmarkStart w:id="345" w:name="_Toc8651"/>
      <w:bookmarkStart w:id="346" w:name="_Toc4766"/>
      <w:r>
        <w:rPr>
          <w:rFonts w:hint="eastAsia" w:ascii="微软雅黑" w:hAnsi="微软雅黑" w:cs="仿宋_GB2312"/>
          <w:b/>
          <w:color w:val="auto"/>
          <w:kern w:val="0"/>
          <w:szCs w:val="21"/>
          <w:highlight w:val="none"/>
        </w:rPr>
        <w:t>目录</w:t>
      </w:r>
      <w:bookmarkEnd w:id="342"/>
      <w:bookmarkEnd w:id="343"/>
      <w:bookmarkEnd w:id="344"/>
      <w:bookmarkEnd w:id="345"/>
      <w:bookmarkEnd w:id="346"/>
    </w:p>
    <w:p w14:paraId="6D663141">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（1）报价明细表（请按采购清单附件进行报价）…………………………（页码）</w:t>
      </w:r>
    </w:p>
    <w:p w14:paraId="3AE9F57C">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（1）开标一览表（报价表）………………………………………………………（页码）</w:t>
      </w:r>
    </w:p>
    <w:p w14:paraId="18582F83">
      <w:pPr>
        <w:snapToGrid w:val="0"/>
        <w:ind w:right="480" w:firstLine="643"/>
        <w:jc w:val="center"/>
        <w:rPr>
          <w:rFonts w:hint="eastAsia" w:ascii="仿宋_GB2312" w:hAnsi="仿宋" w:eastAsia="仿宋_GB2312" w:cs="仿宋_GB2312"/>
          <w:b/>
          <w:color w:val="auto"/>
          <w:kern w:val="0"/>
          <w:sz w:val="32"/>
          <w:szCs w:val="32"/>
          <w:highlight w:val="none"/>
        </w:rPr>
      </w:pPr>
    </w:p>
    <w:p w14:paraId="6E9363AB">
      <w:pPr>
        <w:snapToGrid w:val="0"/>
        <w:ind w:right="480" w:firstLine="643"/>
        <w:jc w:val="center"/>
        <w:rPr>
          <w:rFonts w:hint="eastAsia" w:ascii="仿宋_GB2312" w:hAnsi="仿宋" w:eastAsia="仿宋_GB2312" w:cs="仿宋_GB2312"/>
          <w:b/>
          <w:color w:val="auto"/>
          <w:kern w:val="0"/>
          <w:sz w:val="32"/>
          <w:szCs w:val="32"/>
          <w:highlight w:val="none"/>
        </w:rPr>
      </w:pPr>
    </w:p>
    <w:p w14:paraId="2B329258">
      <w:pPr>
        <w:snapToGrid w:val="0"/>
        <w:ind w:right="480" w:firstLine="643"/>
        <w:jc w:val="center"/>
        <w:rPr>
          <w:rFonts w:hint="eastAsia" w:ascii="仿宋_GB2312" w:hAnsi="仿宋" w:eastAsia="仿宋_GB2312" w:cs="仿宋_GB2312"/>
          <w:b/>
          <w:color w:val="auto"/>
          <w:kern w:val="0"/>
          <w:sz w:val="32"/>
          <w:szCs w:val="32"/>
          <w:highlight w:val="none"/>
        </w:rPr>
      </w:pPr>
    </w:p>
    <w:p w14:paraId="5C03237D">
      <w:pPr>
        <w:snapToGrid w:val="0"/>
        <w:ind w:right="480" w:firstLine="643"/>
        <w:jc w:val="center"/>
        <w:rPr>
          <w:rFonts w:hint="eastAsia" w:ascii="仿宋_GB2312" w:hAnsi="仿宋" w:eastAsia="仿宋_GB2312" w:cs="仿宋_GB2312"/>
          <w:b/>
          <w:color w:val="auto"/>
          <w:kern w:val="0"/>
          <w:sz w:val="32"/>
          <w:szCs w:val="32"/>
          <w:highlight w:val="none"/>
        </w:rPr>
      </w:pPr>
    </w:p>
    <w:p w14:paraId="601331B7">
      <w:pPr>
        <w:snapToGrid w:val="0"/>
        <w:ind w:right="480" w:firstLine="643"/>
        <w:jc w:val="center"/>
        <w:rPr>
          <w:rFonts w:hint="eastAsia" w:ascii="仿宋_GB2312" w:hAnsi="仿宋" w:eastAsia="仿宋_GB2312" w:cs="仿宋_GB2312"/>
          <w:b/>
          <w:color w:val="auto"/>
          <w:kern w:val="0"/>
          <w:sz w:val="32"/>
          <w:szCs w:val="32"/>
          <w:highlight w:val="none"/>
        </w:rPr>
      </w:pPr>
    </w:p>
    <w:p w14:paraId="7AA99640">
      <w:pPr>
        <w:snapToGrid w:val="0"/>
        <w:ind w:right="480" w:firstLine="643"/>
        <w:jc w:val="center"/>
        <w:rPr>
          <w:rFonts w:hint="eastAsia" w:ascii="仿宋_GB2312" w:hAnsi="仿宋" w:eastAsia="仿宋_GB2312" w:cs="仿宋_GB2312"/>
          <w:b/>
          <w:color w:val="auto"/>
          <w:kern w:val="0"/>
          <w:sz w:val="32"/>
          <w:szCs w:val="32"/>
          <w:highlight w:val="none"/>
        </w:rPr>
      </w:pPr>
    </w:p>
    <w:p w14:paraId="38786C0B">
      <w:pPr>
        <w:snapToGrid w:val="0"/>
        <w:ind w:right="480" w:firstLine="643"/>
        <w:jc w:val="center"/>
        <w:rPr>
          <w:rFonts w:hint="eastAsia" w:ascii="仿宋_GB2312" w:hAnsi="仿宋" w:eastAsia="仿宋_GB2312" w:cs="仿宋_GB2312"/>
          <w:b/>
          <w:color w:val="auto"/>
          <w:kern w:val="0"/>
          <w:sz w:val="32"/>
          <w:szCs w:val="32"/>
          <w:highlight w:val="none"/>
        </w:rPr>
      </w:pPr>
    </w:p>
    <w:p w14:paraId="46BCE2B2">
      <w:pPr>
        <w:snapToGrid w:val="0"/>
        <w:ind w:right="480" w:firstLine="643"/>
        <w:jc w:val="center"/>
        <w:rPr>
          <w:rFonts w:hint="eastAsia" w:ascii="仿宋_GB2312" w:hAnsi="仿宋" w:eastAsia="仿宋_GB2312" w:cs="仿宋_GB2312"/>
          <w:b/>
          <w:color w:val="auto"/>
          <w:kern w:val="0"/>
          <w:sz w:val="32"/>
          <w:szCs w:val="32"/>
          <w:highlight w:val="none"/>
        </w:rPr>
      </w:pPr>
    </w:p>
    <w:p w14:paraId="08BA9A3D">
      <w:pPr>
        <w:snapToGrid w:val="0"/>
        <w:ind w:right="480" w:firstLine="643"/>
        <w:jc w:val="center"/>
        <w:rPr>
          <w:rFonts w:hint="eastAsia" w:ascii="仿宋_GB2312" w:hAnsi="仿宋" w:eastAsia="仿宋_GB2312" w:cs="仿宋_GB2312"/>
          <w:b/>
          <w:color w:val="auto"/>
          <w:kern w:val="0"/>
          <w:sz w:val="32"/>
          <w:szCs w:val="32"/>
          <w:highlight w:val="none"/>
        </w:rPr>
      </w:pPr>
    </w:p>
    <w:p w14:paraId="235673B1">
      <w:pPr>
        <w:snapToGrid w:val="0"/>
        <w:ind w:right="480" w:firstLine="643"/>
        <w:jc w:val="center"/>
        <w:rPr>
          <w:rFonts w:hint="eastAsia" w:ascii="仿宋_GB2312" w:hAnsi="仿宋" w:eastAsia="仿宋_GB2312" w:cs="仿宋_GB2312"/>
          <w:b/>
          <w:color w:val="auto"/>
          <w:kern w:val="0"/>
          <w:sz w:val="32"/>
          <w:szCs w:val="32"/>
          <w:highlight w:val="none"/>
        </w:rPr>
      </w:pPr>
    </w:p>
    <w:p w14:paraId="3319F940">
      <w:pPr>
        <w:snapToGrid w:val="0"/>
        <w:ind w:right="480" w:firstLine="643"/>
        <w:jc w:val="center"/>
        <w:rPr>
          <w:rFonts w:hint="eastAsia" w:ascii="仿宋_GB2312" w:hAnsi="仿宋" w:eastAsia="仿宋_GB2312" w:cs="仿宋_GB2312"/>
          <w:b/>
          <w:color w:val="auto"/>
          <w:kern w:val="0"/>
          <w:sz w:val="32"/>
          <w:szCs w:val="32"/>
          <w:highlight w:val="none"/>
        </w:rPr>
      </w:pPr>
    </w:p>
    <w:p w14:paraId="1448606B">
      <w:pPr>
        <w:ind w:firstLine="420"/>
        <w:rPr>
          <w:color w:val="auto"/>
          <w:highlight w:val="none"/>
        </w:rPr>
        <w:sectPr>
          <w:headerReference r:id="rId27" w:type="default"/>
          <w:footerReference r:id="rId28" w:type="default"/>
          <w:pgSz w:w="11906" w:h="16838"/>
          <w:pgMar w:top="1276" w:right="1418" w:bottom="1247" w:left="1418" w:header="851" w:footer="992" w:gutter="0"/>
          <w:cols w:space="720" w:num="1"/>
          <w:titlePg/>
          <w:docGrid w:linePitch="312" w:charSpace="0"/>
        </w:sectPr>
      </w:pPr>
    </w:p>
    <w:p w14:paraId="6147B418">
      <w:pPr>
        <w:pStyle w:val="292"/>
        <w:keepNext w:val="0"/>
        <w:pageBreakBefore w:val="0"/>
        <w:tabs>
          <w:tab w:val="clear" w:pos="720"/>
        </w:tabs>
        <w:snapToGrid w:val="0"/>
        <w:spacing w:before="120" w:after="120"/>
        <w:ind w:firstLine="640"/>
        <w:jc w:val="left"/>
        <w:outlineLvl w:val="1"/>
        <w:rPr>
          <w:rFonts w:hint="eastAsia" w:ascii="微软雅黑" w:hAnsi="微软雅黑" w:eastAsia="微软雅黑" w:cs="仿宋_GB2312"/>
          <w:color w:val="auto"/>
          <w:kern w:val="2"/>
          <w:sz w:val="21"/>
          <w:szCs w:val="21"/>
          <w:highlight w:val="none"/>
        </w:rPr>
      </w:pPr>
      <w:bookmarkStart w:id="347" w:name="_Toc17658"/>
      <w:bookmarkStart w:id="348" w:name="_Toc27753"/>
      <w:r>
        <w:rPr>
          <w:rFonts w:hint="eastAsia" w:ascii="微软雅黑" w:hAnsi="微软雅黑" w:eastAsia="微软雅黑" w:cs="仿宋_GB2312"/>
          <w:color w:val="auto"/>
          <w:kern w:val="2"/>
          <w:sz w:val="21"/>
          <w:szCs w:val="21"/>
          <w:highlight w:val="none"/>
          <w:lang w:val="en-US" w:eastAsia="zh-CN"/>
        </w:rPr>
        <w:t>一、</w:t>
      </w:r>
      <w:r>
        <w:rPr>
          <w:rFonts w:hint="eastAsia" w:ascii="微软雅黑" w:hAnsi="微软雅黑" w:eastAsia="微软雅黑" w:cs="仿宋_GB2312"/>
          <w:color w:val="auto"/>
          <w:kern w:val="2"/>
          <w:sz w:val="21"/>
          <w:szCs w:val="21"/>
          <w:highlight w:val="none"/>
        </w:rPr>
        <w:t>报价明细表（请按采购清单附件进行报价）</w:t>
      </w:r>
    </w:p>
    <w:p w14:paraId="24A340D4">
      <w:pPr>
        <w:pStyle w:val="292"/>
        <w:keepNext w:val="0"/>
        <w:pageBreakBefore w:val="0"/>
        <w:tabs>
          <w:tab w:val="clear" w:pos="720"/>
        </w:tabs>
        <w:snapToGrid w:val="0"/>
        <w:spacing w:before="120" w:after="120"/>
        <w:ind w:firstLine="640"/>
        <w:jc w:val="left"/>
        <w:outlineLvl w:val="1"/>
        <w:rPr>
          <w:rFonts w:hint="eastAsia" w:ascii="微软雅黑" w:hAnsi="微软雅黑" w:eastAsia="微软雅黑" w:cs="仿宋_GB2312"/>
          <w:color w:val="auto"/>
          <w:kern w:val="2"/>
          <w:sz w:val="21"/>
          <w:szCs w:val="21"/>
          <w:highlight w:val="none"/>
          <w:lang w:val="en-US" w:eastAsia="zh-CN"/>
        </w:rPr>
      </w:pPr>
    </w:p>
    <w:p w14:paraId="2F96EAF9">
      <w:pPr>
        <w:pStyle w:val="292"/>
        <w:keepNext w:val="0"/>
        <w:pageBreakBefore w:val="0"/>
        <w:tabs>
          <w:tab w:val="clear" w:pos="720"/>
        </w:tabs>
        <w:snapToGrid w:val="0"/>
        <w:spacing w:before="120" w:after="120"/>
        <w:ind w:firstLine="640"/>
        <w:jc w:val="left"/>
        <w:outlineLvl w:val="1"/>
        <w:rPr>
          <w:rFonts w:hint="eastAsia" w:ascii="微软雅黑" w:hAnsi="微软雅黑" w:eastAsia="微软雅黑" w:cs="仿宋_GB2312"/>
          <w:color w:val="auto"/>
          <w:kern w:val="2"/>
          <w:sz w:val="21"/>
          <w:szCs w:val="21"/>
          <w:highlight w:val="none"/>
        </w:rPr>
      </w:pPr>
      <w:r>
        <w:rPr>
          <w:rFonts w:hint="eastAsia" w:ascii="微软雅黑" w:hAnsi="微软雅黑" w:eastAsia="微软雅黑" w:cs="仿宋_GB2312"/>
          <w:color w:val="auto"/>
          <w:kern w:val="2"/>
          <w:sz w:val="21"/>
          <w:szCs w:val="21"/>
          <w:highlight w:val="none"/>
          <w:lang w:val="en-US" w:eastAsia="zh-CN"/>
        </w:rPr>
        <w:t>二</w:t>
      </w:r>
      <w:r>
        <w:rPr>
          <w:rFonts w:hint="eastAsia" w:ascii="微软雅黑" w:hAnsi="微软雅黑" w:eastAsia="微软雅黑" w:cs="仿宋_GB2312"/>
          <w:color w:val="auto"/>
          <w:kern w:val="2"/>
          <w:sz w:val="21"/>
          <w:szCs w:val="21"/>
          <w:highlight w:val="none"/>
        </w:rPr>
        <w:t>、开标一览表</w:t>
      </w:r>
      <w:bookmarkEnd w:id="347"/>
      <w:bookmarkEnd w:id="348"/>
    </w:p>
    <w:p w14:paraId="20081431">
      <w:pPr>
        <w:snapToGrid w:val="0"/>
        <w:ind w:firstLine="420"/>
        <w:jc w:val="center"/>
        <w:rPr>
          <w:rFonts w:hint="eastAsia" w:ascii="微软雅黑" w:hAnsi="微软雅黑"/>
          <w:color w:val="auto"/>
          <w:szCs w:val="21"/>
          <w:highlight w:val="none"/>
        </w:rPr>
      </w:pPr>
    </w:p>
    <w:p w14:paraId="791AD157">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招标编号： </w:t>
      </w:r>
    </w:p>
    <w:p w14:paraId="47FEBA7E">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投标人名称：</w:t>
      </w:r>
    </w:p>
    <w:tbl>
      <w:tblPr>
        <w:tblStyle w:val="53"/>
        <w:tblW w:w="87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36"/>
        <w:gridCol w:w="908"/>
        <w:gridCol w:w="1040"/>
        <w:gridCol w:w="2871"/>
      </w:tblGrid>
      <w:tr w14:paraId="520054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3936" w:type="dxa"/>
            <w:tcBorders>
              <w:top w:val="single" w:color="auto" w:sz="4" w:space="0"/>
              <w:left w:val="single" w:color="auto" w:sz="4" w:space="0"/>
              <w:bottom w:val="single" w:color="auto" w:sz="4" w:space="0"/>
              <w:right w:val="single" w:color="auto" w:sz="4" w:space="0"/>
            </w:tcBorders>
            <w:vAlign w:val="center"/>
          </w:tcPr>
          <w:p w14:paraId="2CE2BB8D">
            <w:pPr>
              <w:snapToGrid w:val="0"/>
              <w:ind w:firstLine="420"/>
              <w:jc w:val="center"/>
              <w:rPr>
                <w:rFonts w:hint="eastAsia" w:ascii="微软雅黑" w:hAnsi="微软雅黑"/>
                <w:color w:val="auto"/>
                <w:szCs w:val="21"/>
                <w:highlight w:val="none"/>
              </w:rPr>
            </w:pPr>
            <w:r>
              <w:rPr>
                <w:rFonts w:hint="eastAsia" w:ascii="微软雅黑" w:hAnsi="微软雅黑"/>
                <w:color w:val="auto"/>
                <w:szCs w:val="21"/>
                <w:highlight w:val="none"/>
              </w:rPr>
              <w:t>名称</w:t>
            </w:r>
          </w:p>
        </w:tc>
        <w:tc>
          <w:tcPr>
            <w:tcW w:w="908" w:type="dxa"/>
            <w:tcBorders>
              <w:top w:val="single" w:color="auto" w:sz="4" w:space="0"/>
              <w:left w:val="single" w:color="auto" w:sz="4" w:space="0"/>
              <w:bottom w:val="single" w:color="auto" w:sz="4" w:space="0"/>
              <w:right w:val="single" w:color="auto" w:sz="4" w:space="0"/>
            </w:tcBorders>
            <w:vAlign w:val="center"/>
          </w:tcPr>
          <w:p w14:paraId="16B6ACE6">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数量</w:t>
            </w:r>
          </w:p>
        </w:tc>
        <w:tc>
          <w:tcPr>
            <w:tcW w:w="1040" w:type="dxa"/>
            <w:tcBorders>
              <w:top w:val="single" w:color="auto" w:sz="4" w:space="0"/>
              <w:left w:val="single" w:color="auto" w:sz="4" w:space="0"/>
              <w:bottom w:val="single" w:color="auto" w:sz="4" w:space="0"/>
              <w:right w:val="single" w:color="auto" w:sz="4" w:space="0"/>
            </w:tcBorders>
            <w:vAlign w:val="center"/>
          </w:tcPr>
          <w:p w14:paraId="23078266">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单位</w:t>
            </w:r>
          </w:p>
        </w:tc>
        <w:tc>
          <w:tcPr>
            <w:tcW w:w="2871" w:type="dxa"/>
            <w:tcBorders>
              <w:top w:val="single" w:color="auto" w:sz="4" w:space="0"/>
              <w:left w:val="single" w:color="auto" w:sz="4" w:space="0"/>
              <w:bottom w:val="single" w:color="auto" w:sz="4" w:space="0"/>
              <w:right w:val="single" w:color="auto" w:sz="4" w:space="0"/>
            </w:tcBorders>
            <w:vAlign w:val="center"/>
          </w:tcPr>
          <w:p w14:paraId="5BFD0447">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投标报价（元）</w:t>
            </w:r>
          </w:p>
        </w:tc>
      </w:tr>
      <w:tr w14:paraId="6716D6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0" w:hRule="atLeast"/>
        </w:trPr>
        <w:tc>
          <w:tcPr>
            <w:tcW w:w="3936" w:type="dxa"/>
            <w:tcBorders>
              <w:top w:val="single" w:color="auto" w:sz="4" w:space="0"/>
              <w:left w:val="single" w:color="auto" w:sz="4" w:space="0"/>
              <w:bottom w:val="single" w:color="auto" w:sz="4" w:space="0"/>
              <w:right w:val="single" w:color="auto" w:sz="4" w:space="0"/>
            </w:tcBorders>
            <w:vAlign w:val="center"/>
          </w:tcPr>
          <w:p w14:paraId="67EB0EA8">
            <w:pPr>
              <w:spacing w:line="276" w:lineRule="auto"/>
              <w:ind w:firstLine="0" w:firstLineChars="0"/>
              <w:jc w:val="both"/>
              <w:rPr>
                <w:rFonts w:hint="eastAsia" w:ascii="微软雅黑" w:hAnsi="微软雅黑"/>
                <w:color w:val="auto"/>
                <w:szCs w:val="21"/>
                <w:highlight w:val="none"/>
              </w:rPr>
            </w:pPr>
            <w:r>
              <w:rPr>
                <w:rFonts w:hint="eastAsia"/>
                <w:color w:val="auto"/>
                <w:highlight w:val="none"/>
              </w:rPr>
              <w:t>秀洲区洪合镇圩区标准化创建及运维项目</w:t>
            </w:r>
          </w:p>
        </w:tc>
        <w:tc>
          <w:tcPr>
            <w:tcW w:w="908" w:type="dxa"/>
            <w:tcBorders>
              <w:top w:val="single" w:color="auto" w:sz="4" w:space="0"/>
              <w:left w:val="single" w:color="auto" w:sz="4" w:space="0"/>
              <w:bottom w:val="single" w:color="auto" w:sz="4" w:space="0"/>
              <w:right w:val="single" w:color="auto" w:sz="4" w:space="0"/>
            </w:tcBorders>
            <w:vAlign w:val="center"/>
          </w:tcPr>
          <w:p w14:paraId="6E6869E6">
            <w:pPr>
              <w:snapToGrid w:val="0"/>
              <w:ind w:firstLine="420"/>
              <w:jc w:val="both"/>
              <w:rPr>
                <w:rFonts w:hint="eastAsia" w:ascii="微软雅黑" w:hAnsi="微软雅黑"/>
                <w:color w:val="auto"/>
                <w:szCs w:val="21"/>
                <w:highlight w:val="none"/>
              </w:rPr>
            </w:pPr>
            <w:r>
              <w:rPr>
                <w:rFonts w:hint="eastAsia" w:ascii="微软雅黑" w:hAnsi="微软雅黑"/>
                <w:color w:val="auto"/>
                <w:szCs w:val="21"/>
                <w:highlight w:val="none"/>
              </w:rPr>
              <w:t>1</w:t>
            </w:r>
          </w:p>
        </w:tc>
        <w:tc>
          <w:tcPr>
            <w:tcW w:w="1040" w:type="dxa"/>
            <w:tcBorders>
              <w:top w:val="single" w:color="auto" w:sz="4" w:space="0"/>
              <w:left w:val="single" w:color="auto" w:sz="4" w:space="0"/>
              <w:bottom w:val="single" w:color="auto" w:sz="4" w:space="0"/>
              <w:right w:val="single" w:color="auto" w:sz="4" w:space="0"/>
            </w:tcBorders>
            <w:vAlign w:val="center"/>
          </w:tcPr>
          <w:p w14:paraId="07B4783E">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项</w:t>
            </w:r>
          </w:p>
        </w:tc>
        <w:tc>
          <w:tcPr>
            <w:tcW w:w="2871" w:type="dxa"/>
            <w:tcBorders>
              <w:top w:val="single" w:color="auto" w:sz="4" w:space="0"/>
              <w:left w:val="single" w:color="auto" w:sz="4" w:space="0"/>
              <w:bottom w:val="single" w:color="auto" w:sz="4" w:space="0"/>
              <w:right w:val="single" w:color="auto" w:sz="4" w:space="0"/>
            </w:tcBorders>
            <w:vAlign w:val="center"/>
          </w:tcPr>
          <w:p w14:paraId="6FE6FCC9">
            <w:pPr>
              <w:snapToGrid w:val="0"/>
              <w:ind w:firstLine="420"/>
              <w:jc w:val="center"/>
              <w:rPr>
                <w:rFonts w:hint="eastAsia" w:ascii="微软雅黑" w:hAnsi="微软雅黑"/>
                <w:color w:val="auto"/>
                <w:szCs w:val="21"/>
                <w:highlight w:val="none"/>
              </w:rPr>
            </w:pPr>
          </w:p>
        </w:tc>
      </w:tr>
      <w:tr w14:paraId="2DFD8E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8755" w:type="dxa"/>
            <w:gridSpan w:val="4"/>
            <w:tcBorders>
              <w:top w:val="single" w:color="auto" w:sz="4" w:space="0"/>
              <w:left w:val="single" w:color="auto" w:sz="4" w:space="0"/>
              <w:bottom w:val="single" w:color="auto" w:sz="4" w:space="0"/>
              <w:right w:val="single" w:color="auto" w:sz="4" w:space="0"/>
            </w:tcBorders>
            <w:vAlign w:val="center"/>
          </w:tcPr>
          <w:p w14:paraId="4EFE0159">
            <w:pPr>
              <w:snapToGrid w:val="0"/>
              <w:ind w:firstLine="0" w:firstLineChars="0"/>
              <w:rPr>
                <w:rFonts w:hint="eastAsia" w:ascii="微软雅黑" w:hAnsi="微软雅黑"/>
                <w:color w:val="auto"/>
                <w:szCs w:val="21"/>
                <w:highlight w:val="none"/>
                <w:u w:val="single"/>
              </w:rPr>
            </w:pPr>
            <w:r>
              <w:rPr>
                <w:rFonts w:ascii="微软雅黑" w:hAnsi="微软雅黑"/>
                <w:color w:val="auto"/>
                <w:szCs w:val="21"/>
                <w:highlight w:val="none"/>
              </w:rPr>
              <w:t>合计：大写：                                                  小写：</w:t>
            </w:r>
          </w:p>
        </w:tc>
      </w:tr>
    </w:tbl>
    <w:p w14:paraId="4B5FDE76">
      <w:pPr>
        <w:snapToGrid w:val="0"/>
        <w:ind w:firstLine="420"/>
        <w:rPr>
          <w:rFonts w:hint="eastAsia" w:ascii="微软雅黑" w:hAnsi="微软雅黑"/>
          <w:color w:val="auto"/>
          <w:szCs w:val="21"/>
          <w:highlight w:val="none"/>
        </w:rPr>
      </w:pPr>
    </w:p>
    <w:p w14:paraId="14AEAA20">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注</w:t>
      </w:r>
      <w:r>
        <w:rPr>
          <w:rFonts w:ascii="微软雅黑" w:hAnsi="微软雅黑"/>
          <w:color w:val="auto"/>
          <w:szCs w:val="21"/>
          <w:highlight w:val="none"/>
        </w:rPr>
        <w:t xml:space="preserve">: </w:t>
      </w:r>
    </w:p>
    <w:p w14:paraId="5CA7F93B">
      <w:pPr>
        <w:pStyle w:val="101"/>
        <w:numPr>
          <w:ilvl w:val="1"/>
          <w:numId w:val="25"/>
        </w:numPr>
        <w:snapToGrid w:val="0"/>
        <w:ind w:left="0" w:firstLine="426"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报价一经涂改，应在涂改处加盖单位公章或者由法定代表人或授权委托人签字或盖章，否则其投标作无效标处理。</w:t>
      </w:r>
    </w:p>
    <w:p w14:paraId="22615C13">
      <w:pPr>
        <w:pStyle w:val="101"/>
        <w:numPr>
          <w:ilvl w:val="1"/>
          <w:numId w:val="25"/>
        </w:numPr>
        <w:snapToGrid w:val="0"/>
        <w:ind w:left="0" w:firstLine="426"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投标费用包括项目实施所需的人工费、服务费、运输费、安装调试费、购买及制作标书费、税费及其他一切费用。</w:t>
      </w:r>
    </w:p>
    <w:p w14:paraId="5D020C94">
      <w:pPr>
        <w:pStyle w:val="101"/>
        <w:numPr>
          <w:ilvl w:val="1"/>
          <w:numId w:val="25"/>
        </w:numPr>
        <w:snapToGrid w:val="0"/>
        <w:ind w:left="0" w:firstLine="426"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▲以上报价不得超过上限价，任何超过上限价的报价均导致投标被否决。</w:t>
      </w:r>
    </w:p>
    <w:p w14:paraId="4B1704DF">
      <w:pPr>
        <w:pStyle w:val="29"/>
        <w:snapToGrid w:val="0"/>
        <w:ind w:firstLine="420"/>
        <w:rPr>
          <w:rFonts w:hint="eastAsia" w:ascii="微软雅黑" w:hAnsi="微软雅黑"/>
          <w:color w:val="auto"/>
          <w:szCs w:val="21"/>
          <w:highlight w:val="none"/>
        </w:rPr>
      </w:pPr>
    </w:p>
    <w:p w14:paraId="4A7D90C5">
      <w:pPr>
        <w:snapToGrid w:val="0"/>
        <w:ind w:firstLine="420"/>
        <w:rPr>
          <w:rFonts w:hint="eastAsia" w:ascii="微软雅黑" w:hAnsi="微软雅黑"/>
          <w:color w:val="auto"/>
          <w:szCs w:val="21"/>
          <w:highlight w:val="none"/>
        </w:rPr>
      </w:pPr>
    </w:p>
    <w:p w14:paraId="61A7FB6C">
      <w:pPr>
        <w:snapToGrid w:val="0"/>
        <w:spacing w:before="120" w:beforeLines="50"/>
        <w:ind w:firstLine="420"/>
        <w:jc w:val="both"/>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法定代表人或</w:t>
      </w:r>
      <w:r>
        <w:rPr>
          <w:rFonts w:hint="eastAsia" w:ascii="微软雅黑" w:hAnsi="微软雅黑"/>
          <w:color w:val="auto"/>
          <w:szCs w:val="21"/>
          <w:highlight w:val="none"/>
        </w:rPr>
        <w:t>被授权人签字（或盖章）：</w:t>
      </w:r>
    </w:p>
    <w:p w14:paraId="7A08AC61">
      <w:pPr>
        <w:pStyle w:val="119"/>
        <w:ind w:firstLine="420"/>
        <w:jc w:val="both"/>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投标人</w:t>
      </w:r>
      <w:r>
        <w:rPr>
          <w:rFonts w:hint="eastAsia" w:ascii="微软雅黑" w:hAnsi="微软雅黑" w:eastAsia="微软雅黑" w:cs="宋体"/>
          <w:color w:val="auto"/>
          <w:sz w:val="21"/>
          <w:szCs w:val="21"/>
          <w:highlight w:val="none"/>
        </w:rPr>
        <w:t>名称（公章）：</w:t>
      </w:r>
    </w:p>
    <w:p w14:paraId="1333E068">
      <w:pPr>
        <w:ind w:firstLine="420"/>
        <w:rPr>
          <w:rFonts w:hint="eastAsia" w:ascii="微软雅黑" w:hAnsi="微软雅黑"/>
          <w:color w:val="auto"/>
          <w:szCs w:val="21"/>
          <w:highlight w:val="none"/>
        </w:rPr>
      </w:pPr>
      <w:r>
        <w:rPr>
          <w:rFonts w:hint="eastAsia" w:ascii="微软雅黑" w:hAnsi="微软雅黑"/>
          <w:color w:val="auto"/>
          <w:szCs w:val="21"/>
          <w:highlight w:val="none"/>
        </w:rPr>
        <w:t>日期： 年 月 日</w:t>
      </w:r>
    </w:p>
    <w:p w14:paraId="537E6556">
      <w:pPr>
        <w:pStyle w:val="29"/>
        <w:snapToGrid w:val="0"/>
        <w:ind w:firstLine="420"/>
        <w:rPr>
          <w:rFonts w:hint="eastAsia" w:ascii="微软雅黑" w:hAnsi="微软雅黑"/>
          <w:b/>
          <w:color w:val="auto"/>
          <w:szCs w:val="21"/>
          <w:highlight w:val="none"/>
        </w:rPr>
      </w:pPr>
    </w:p>
    <w:p w14:paraId="08ECF7DC">
      <w:pPr>
        <w:shd w:val="clear" w:color="auto" w:fill="FFFFFF"/>
        <w:spacing w:line="400" w:lineRule="atLeast"/>
        <w:ind w:firstLine="420"/>
        <w:rPr>
          <w:rFonts w:hint="eastAsia" w:ascii="微软雅黑" w:hAnsi="微软雅黑" w:cs="宋体"/>
          <w:b/>
          <w:color w:val="auto"/>
          <w:szCs w:val="21"/>
          <w:highlight w:val="none"/>
        </w:rPr>
        <w:sectPr>
          <w:footerReference r:id="rId29" w:type="default"/>
          <w:pgSz w:w="11906" w:h="16838"/>
          <w:pgMar w:top="1474" w:right="1797" w:bottom="1247" w:left="1797" w:header="851" w:footer="992" w:gutter="0"/>
          <w:cols w:space="720" w:num="1"/>
          <w:docGrid w:linePitch="312" w:charSpace="0"/>
        </w:sectPr>
      </w:pPr>
    </w:p>
    <w:p w14:paraId="2E3021FA">
      <w:pPr>
        <w:shd w:val="clear" w:color="auto" w:fill="FFFFFF"/>
        <w:spacing w:line="400" w:lineRule="atLeas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附</w:t>
      </w:r>
      <w:r>
        <w:rPr>
          <w:rFonts w:ascii="微软雅黑" w:hAnsi="微软雅黑" w:cs="宋体"/>
          <w:b/>
          <w:color w:val="auto"/>
          <w:szCs w:val="21"/>
          <w:highlight w:val="none"/>
        </w:rPr>
        <w:t>件：</w:t>
      </w:r>
    </w:p>
    <w:p w14:paraId="51524A8B">
      <w:pPr>
        <w:shd w:val="clear" w:color="auto" w:fill="FFFFFF"/>
        <w:spacing w:line="400" w:lineRule="atLeast"/>
        <w:ind w:firstLine="420"/>
        <w:jc w:val="center"/>
        <w:rPr>
          <w:rFonts w:hint="eastAsia" w:ascii="微软雅黑" w:hAnsi="微软雅黑" w:cs="宋体"/>
          <w:b/>
          <w:color w:val="auto"/>
          <w:szCs w:val="21"/>
          <w:highlight w:val="none"/>
        </w:rPr>
      </w:pPr>
    </w:p>
    <w:p w14:paraId="48015EA1">
      <w:pPr>
        <w:shd w:val="clear" w:color="auto" w:fill="FFFFFF"/>
        <w:spacing w:line="400" w:lineRule="atLeast"/>
        <w:ind w:firstLine="420"/>
        <w:jc w:val="center"/>
        <w:rPr>
          <w:rFonts w:hint="eastAsia" w:ascii="微软雅黑" w:hAnsi="微软雅黑" w:cs="宋体"/>
          <w:b/>
          <w:color w:val="auto"/>
          <w:szCs w:val="21"/>
          <w:highlight w:val="none"/>
        </w:rPr>
      </w:pPr>
      <w:bookmarkStart w:id="349" w:name="_Toc23088"/>
      <w:bookmarkStart w:id="350" w:name="_Toc164943235"/>
      <w:r>
        <w:rPr>
          <w:rFonts w:hint="eastAsia" w:ascii="微软雅黑" w:hAnsi="微软雅黑" w:cs="宋体"/>
          <w:b/>
          <w:color w:val="auto"/>
          <w:szCs w:val="21"/>
          <w:highlight w:val="none"/>
        </w:rPr>
        <w:t>国家统计局关于印发统计上大中小微型企业划分办法的通知</w:t>
      </w:r>
      <w:bookmarkEnd w:id="349"/>
      <w:bookmarkEnd w:id="350"/>
    </w:p>
    <w:p w14:paraId="235EF3A1">
      <w:pPr>
        <w:shd w:val="clear" w:color="auto" w:fill="FFFFFF"/>
        <w:spacing w:line="400" w:lineRule="atLeast"/>
        <w:ind w:firstLine="420"/>
        <w:jc w:val="center"/>
        <w:rPr>
          <w:rFonts w:hint="eastAsia" w:ascii="微软雅黑" w:hAnsi="微软雅黑" w:cs="宋体"/>
          <w:bCs/>
          <w:color w:val="auto"/>
          <w:szCs w:val="21"/>
          <w:highlight w:val="none"/>
        </w:rPr>
      </w:pPr>
      <w:r>
        <w:rPr>
          <w:rFonts w:hint="eastAsia" w:ascii="微软雅黑" w:hAnsi="微软雅黑" w:cs="宋体"/>
          <w:color w:val="auto"/>
          <w:szCs w:val="21"/>
          <w:highlight w:val="none"/>
        </w:rPr>
        <w:t>国统字〔</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75</w:t>
      </w:r>
      <w:r>
        <w:rPr>
          <w:rFonts w:hint="eastAsia" w:ascii="微软雅黑" w:hAnsi="微软雅黑" w:cs="宋体"/>
          <w:color w:val="auto"/>
          <w:szCs w:val="21"/>
          <w:highlight w:val="none"/>
        </w:rPr>
        <w:t>号</w:t>
      </w:r>
    </w:p>
    <w:p w14:paraId="5C0451BC">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7F1B4C5A">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各省、自治区、直辖市统计局，新疆生产建设兵团统计局，国家统计局各调查总队，国务院有关部门：</w:t>
      </w:r>
    </w:p>
    <w:p w14:paraId="22BC979B">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7B7E6811">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　　为贯彻落实工业和信息化部、国家统计局、国家发展改革委、财政部《关于印发中小企业划型标准规定的通知》（工信部联企业〔</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300</w:t>
      </w:r>
      <w:r>
        <w:rPr>
          <w:rFonts w:hint="eastAsia" w:ascii="微软雅黑" w:hAnsi="微软雅黑" w:cs="宋体"/>
          <w:color w:val="auto"/>
          <w:szCs w:val="21"/>
          <w:highlight w:val="none"/>
        </w:rPr>
        <w:t>号），结合统计工作的实际情况，我们制定了《统计上大中小微型企业划分办法》。现印发给你们，请遵照执行。</w:t>
      </w:r>
    </w:p>
    <w:p w14:paraId="1230F246">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03E1AC1F">
      <w:pPr>
        <w:shd w:val="clear" w:color="auto" w:fill="FFFFFF"/>
        <w:spacing w:line="400" w:lineRule="atLeast"/>
        <w:ind w:firstLine="420"/>
        <w:jc w:val="right"/>
        <w:rPr>
          <w:rFonts w:hint="eastAsia" w:ascii="微软雅黑" w:hAnsi="微软雅黑" w:cs="宋体"/>
          <w:bCs/>
          <w:color w:val="auto"/>
          <w:szCs w:val="21"/>
          <w:highlight w:val="none"/>
        </w:rPr>
      </w:pPr>
      <w:r>
        <w:rPr>
          <w:rFonts w:hint="eastAsia" w:ascii="微软雅黑" w:hAnsi="微软雅黑" w:cs="宋体"/>
          <w:color w:val="auto"/>
          <w:szCs w:val="21"/>
          <w:highlight w:val="none"/>
        </w:rPr>
        <w:t>　　国家统计局</w:t>
      </w:r>
      <w:r>
        <w:rPr>
          <w:rFonts w:ascii="微软雅黑" w:hAnsi="微软雅黑"/>
          <w:color w:val="auto"/>
          <w:szCs w:val="21"/>
          <w:highlight w:val="none"/>
        </w:rPr>
        <w:t> </w:t>
      </w:r>
    </w:p>
    <w:p w14:paraId="6AC7ECEE">
      <w:pPr>
        <w:shd w:val="clear" w:color="auto" w:fill="FFFFFF"/>
        <w:spacing w:line="400" w:lineRule="atLeast"/>
        <w:ind w:firstLine="420"/>
        <w:jc w:val="right"/>
        <w:rPr>
          <w:rFonts w:hint="eastAsia" w:ascii="微软雅黑" w:hAnsi="微软雅黑" w:cs="宋体"/>
          <w:bCs/>
          <w:color w:val="auto"/>
          <w:szCs w:val="21"/>
          <w:highlight w:val="none"/>
        </w:rPr>
      </w:pPr>
      <w:r>
        <w:rPr>
          <w:rFonts w:hint="eastAsia" w:ascii="微软雅黑" w:hAnsi="微软雅黑" w:cs="宋体"/>
          <w:color w:val="auto"/>
          <w:szCs w:val="21"/>
          <w:highlight w:val="none"/>
        </w:rPr>
        <w:t>　　二〇一一年九月二日</w:t>
      </w:r>
    </w:p>
    <w:p w14:paraId="5F102310">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3A33E095">
      <w:pPr>
        <w:shd w:val="clear" w:color="auto" w:fill="FFFFFF"/>
        <w:spacing w:line="400" w:lineRule="atLeast"/>
        <w:ind w:firstLine="420"/>
        <w:jc w:val="center"/>
        <w:outlineLvl w:val="0"/>
        <w:rPr>
          <w:rFonts w:hint="eastAsia" w:ascii="微软雅黑" w:hAnsi="微软雅黑" w:cs="宋体"/>
          <w:bCs/>
          <w:color w:val="auto"/>
          <w:szCs w:val="21"/>
          <w:highlight w:val="none"/>
        </w:rPr>
      </w:pPr>
      <w:bookmarkStart w:id="351" w:name="_Toc2900"/>
      <w:bookmarkStart w:id="352" w:name="_Toc164943236"/>
      <w:bookmarkStart w:id="353" w:name="_Toc16901"/>
      <w:bookmarkStart w:id="354" w:name="_Toc23951"/>
      <w:r>
        <w:rPr>
          <w:rFonts w:hint="eastAsia" w:ascii="微软雅黑" w:hAnsi="微软雅黑" w:cs="宋体"/>
          <w:b/>
          <w:color w:val="auto"/>
          <w:szCs w:val="21"/>
          <w:highlight w:val="none"/>
        </w:rPr>
        <w:t>统计上大中小微型企业划分办法</w:t>
      </w:r>
      <w:bookmarkEnd w:id="351"/>
      <w:bookmarkEnd w:id="352"/>
      <w:bookmarkEnd w:id="353"/>
      <w:bookmarkEnd w:id="354"/>
    </w:p>
    <w:p w14:paraId="7DF65E83">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 </w:t>
      </w:r>
    </w:p>
    <w:p w14:paraId="12D2AA2F">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一、根据工业和信息化部、国家统计局、国家发展改革委、财政部《关于印发中小企业划型标准规定的通知》（工信部联企业〔</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300</w:t>
      </w:r>
      <w:r>
        <w:rPr>
          <w:rFonts w:hint="eastAsia" w:ascii="微软雅黑" w:hAnsi="微软雅黑" w:cs="宋体"/>
          <w:color w:val="auto"/>
          <w:szCs w:val="21"/>
          <w:highlight w:val="none"/>
        </w:rPr>
        <w:t>号），结合统计工作的实际情况，特制定本办法。</w:t>
      </w:r>
    </w:p>
    <w:p w14:paraId="4D782C59">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5441AFE8">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二、本办法适用对象为在中华人民共和国境内依法设立的各种组织形式的法人企业或单位。个体工商户参照本办法进行划分。</w:t>
      </w:r>
    </w:p>
    <w:p w14:paraId="0BCAEA44">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color w:val="auto"/>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微软雅黑" w:hAnsi="微软雅黑"/>
          <w:color w:val="auto"/>
          <w:szCs w:val="21"/>
          <w:highlight w:val="none"/>
        </w:rPr>
        <w:t>15</w:t>
      </w:r>
      <w:r>
        <w:rPr>
          <w:rFonts w:hint="eastAsia" w:ascii="微软雅黑" w:hAnsi="微软雅黑" w:cs="宋体"/>
          <w:color w:val="auto"/>
          <w:szCs w:val="21"/>
          <w:highlight w:val="none"/>
        </w:rPr>
        <w:t>个行业门类以及社会工作行业大类。</w:t>
      </w:r>
    </w:p>
    <w:p w14:paraId="2BE0BF58">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四、本办法按照行业门类、大类、中类和组合类别，依据从业人员、营业收入、资产总额等指标或替代指标，将我国的企业划分为大型、中型、小型、微型等四种类型。具体划分标准见附表。</w:t>
      </w:r>
    </w:p>
    <w:p w14:paraId="022B12C0">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color w:val="auto"/>
          <w:szCs w:val="21"/>
          <w:highlight w:val="none"/>
        </w:rPr>
        <w:t>五、企业划分由政府综合统计部门根据统计年报每年确定一次，定报统计原则上不进行调整。</w:t>
      </w:r>
    </w:p>
    <w:p w14:paraId="573880E5">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六、本办法自印发之日起执行，国家统计局</w:t>
      </w:r>
      <w:r>
        <w:rPr>
          <w:rFonts w:ascii="微软雅黑" w:hAnsi="微软雅黑"/>
          <w:color w:val="auto"/>
          <w:szCs w:val="21"/>
          <w:highlight w:val="none"/>
        </w:rPr>
        <w:t>2003</w:t>
      </w:r>
      <w:r>
        <w:rPr>
          <w:rFonts w:hint="eastAsia" w:ascii="微软雅黑" w:hAnsi="微软雅黑" w:cs="宋体"/>
          <w:color w:val="auto"/>
          <w:szCs w:val="21"/>
          <w:highlight w:val="none"/>
        </w:rPr>
        <w:t>年印发的《统计上大中小型企业划分办法（暂行）》（国统字〔</w:t>
      </w:r>
      <w:r>
        <w:rPr>
          <w:rFonts w:ascii="微软雅黑" w:hAnsi="微软雅黑"/>
          <w:color w:val="auto"/>
          <w:szCs w:val="21"/>
          <w:highlight w:val="none"/>
        </w:rPr>
        <w:t>2003</w:t>
      </w:r>
      <w:r>
        <w:rPr>
          <w:rFonts w:hint="eastAsia" w:ascii="微软雅黑" w:hAnsi="微软雅黑" w:cs="宋体"/>
          <w:color w:val="auto"/>
          <w:szCs w:val="21"/>
          <w:highlight w:val="none"/>
        </w:rPr>
        <w:t>〕</w:t>
      </w:r>
      <w:r>
        <w:rPr>
          <w:rFonts w:ascii="微软雅黑" w:hAnsi="微软雅黑"/>
          <w:color w:val="auto"/>
          <w:szCs w:val="21"/>
          <w:highlight w:val="none"/>
        </w:rPr>
        <w:t>17</w:t>
      </w:r>
      <w:r>
        <w:rPr>
          <w:rFonts w:hint="eastAsia" w:ascii="微软雅黑" w:hAnsi="微软雅黑" w:cs="宋体"/>
          <w:color w:val="auto"/>
          <w:szCs w:val="21"/>
          <w:highlight w:val="none"/>
        </w:rPr>
        <w:t>号）同时废止。</w:t>
      </w:r>
    </w:p>
    <w:p w14:paraId="264E75F4">
      <w:pPr>
        <w:shd w:val="clear" w:color="auto" w:fill="FFFFFF"/>
        <w:spacing w:line="400" w:lineRule="atLeast"/>
        <w:ind w:firstLine="482"/>
        <w:rPr>
          <w:rFonts w:hint="eastAsia" w:ascii="微软雅黑" w:hAnsi="微软雅黑" w:cs="宋体"/>
          <w:bCs/>
          <w:color w:val="auto"/>
          <w:szCs w:val="21"/>
          <w:highlight w:val="none"/>
        </w:rPr>
      </w:pPr>
      <w:r>
        <w:rPr>
          <w:rFonts w:eastAsia="宋体"/>
          <w:b/>
          <w:color w:val="auto"/>
          <w:sz w:val="24"/>
          <w:highlight w:val="none"/>
        </w:rPr>
        <w:t> </w:t>
      </w:r>
      <w:r>
        <w:rPr>
          <w:rFonts w:hint="eastAsia" w:ascii="微软雅黑" w:hAnsi="微软雅黑" w:cs="宋体"/>
          <w:color w:val="auto"/>
          <w:szCs w:val="21"/>
          <w:highlight w:val="none"/>
        </w:rPr>
        <w:t>　　附表：</w:t>
      </w:r>
    </w:p>
    <w:p w14:paraId="775DF6FB">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b/>
          <w:color w:val="auto"/>
          <w:szCs w:val="21"/>
          <w:highlight w:val="none"/>
        </w:rPr>
        <w:t>统计上大中小微型企业划分标准</w:t>
      </w:r>
    </w:p>
    <w:tbl>
      <w:tblPr>
        <w:tblStyle w:val="53"/>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281"/>
        <w:gridCol w:w="758"/>
        <w:gridCol w:w="993"/>
        <w:gridCol w:w="1491"/>
        <w:gridCol w:w="1315"/>
        <w:gridCol w:w="908"/>
      </w:tblGrid>
      <w:tr w14:paraId="2F63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0" w:type="dxa"/>
            <w:shd w:val="clear" w:color="auto" w:fill="auto"/>
            <w:tcMar>
              <w:top w:w="0" w:type="dxa"/>
              <w:left w:w="108" w:type="dxa"/>
              <w:bottom w:w="0" w:type="dxa"/>
              <w:right w:w="108" w:type="dxa"/>
            </w:tcMar>
            <w:vAlign w:val="center"/>
          </w:tcPr>
          <w:p w14:paraId="613408E4">
            <w:pPr>
              <w:spacing w:line="240" w:lineRule="auto"/>
              <w:ind w:firstLine="0" w:firstLineChars="0"/>
              <w:jc w:val="center"/>
              <w:rPr>
                <w:rFonts w:hint="eastAsia" w:ascii="宋体" w:hAnsi="宋体" w:eastAsia="宋体" w:cs="宋体"/>
                <w:bCs/>
                <w:color w:val="auto"/>
                <w:sz w:val="24"/>
                <w:highlight w:val="none"/>
              </w:rPr>
            </w:pPr>
            <w:r>
              <w:rPr>
                <w:rFonts w:eastAsia="宋体"/>
                <w:color w:val="auto"/>
                <w:sz w:val="24"/>
                <w:highlight w:val="none"/>
              </w:rPr>
              <w:t> </w:t>
            </w:r>
            <w:r>
              <w:rPr>
                <w:rFonts w:hint="eastAsia" w:ascii="宋体" w:hAnsi="宋体" w:eastAsia="宋体" w:cs="宋体"/>
                <w:b/>
                <w:color w:val="auto"/>
                <w:sz w:val="18"/>
                <w:szCs w:val="18"/>
                <w:highlight w:val="none"/>
              </w:rPr>
              <w:t>行业名称</w:t>
            </w:r>
          </w:p>
        </w:tc>
        <w:tc>
          <w:tcPr>
            <w:tcW w:w="1281" w:type="dxa"/>
            <w:shd w:val="clear" w:color="auto" w:fill="auto"/>
            <w:tcMar>
              <w:top w:w="0" w:type="dxa"/>
              <w:left w:w="108" w:type="dxa"/>
              <w:bottom w:w="0" w:type="dxa"/>
              <w:right w:w="108" w:type="dxa"/>
            </w:tcMar>
            <w:vAlign w:val="center"/>
          </w:tcPr>
          <w:p w14:paraId="58DAF3EB">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指标名称</w:t>
            </w:r>
          </w:p>
        </w:tc>
        <w:tc>
          <w:tcPr>
            <w:tcW w:w="758" w:type="dxa"/>
            <w:shd w:val="clear" w:color="auto" w:fill="auto"/>
            <w:tcMar>
              <w:top w:w="0" w:type="dxa"/>
              <w:left w:w="108" w:type="dxa"/>
              <w:bottom w:w="0" w:type="dxa"/>
              <w:right w:w="108" w:type="dxa"/>
            </w:tcMar>
            <w:vAlign w:val="center"/>
          </w:tcPr>
          <w:p w14:paraId="78CB5DBC">
            <w:pPr>
              <w:spacing w:line="240" w:lineRule="auto"/>
              <w:ind w:firstLine="0" w:firstLineChars="0"/>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计量</w:t>
            </w:r>
          </w:p>
          <w:p w14:paraId="22B14364">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单位</w:t>
            </w:r>
          </w:p>
        </w:tc>
        <w:tc>
          <w:tcPr>
            <w:tcW w:w="993" w:type="dxa"/>
            <w:shd w:val="clear" w:color="auto" w:fill="auto"/>
            <w:tcMar>
              <w:top w:w="0" w:type="dxa"/>
              <w:left w:w="108" w:type="dxa"/>
              <w:bottom w:w="0" w:type="dxa"/>
              <w:right w:w="108" w:type="dxa"/>
            </w:tcMar>
            <w:vAlign w:val="center"/>
          </w:tcPr>
          <w:p w14:paraId="5267E31A">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大型</w:t>
            </w:r>
          </w:p>
        </w:tc>
        <w:tc>
          <w:tcPr>
            <w:tcW w:w="1491" w:type="dxa"/>
            <w:shd w:val="clear" w:color="auto" w:fill="auto"/>
            <w:tcMar>
              <w:top w:w="0" w:type="dxa"/>
              <w:left w:w="108" w:type="dxa"/>
              <w:bottom w:w="0" w:type="dxa"/>
              <w:right w:w="108" w:type="dxa"/>
            </w:tcMar>
            <w:vAlign w:val="center"/>
          </w:tcPr>
          <w:p w14:paraId="071E4143">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中型</w:t>
            </w:r>
          </w:p>
        </w:tc>
        <w:tc>
          <w:tcPr>
            <w:tcW w:w="1315" w:type="dxa"/>
            <w:shd w:val="clear" w:color="auto" w:fill="auto"/>
            <w:tcMar>
              <w:top w:w="0" w:type="dxa"/>
              <w:left w:w="108" w:type="dxa"/>
              <w:bottom w:w="0" w:type="dxa"/>
              <w:right w:w="108" w:type="dxa"/>
            </w:tcMar>
            <w:vAlign w:val="center"/>
          </w:tcPr>
          <w:p w14:paraId="6B4518EB">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小型</w:t>
            </w:r>
          </w:p>
        </w:tc>
        <w:tc>
          <w:tcPr>
            <w:tcW w:w="908" w:type="dxa"/>
            <w:shd w:val="clear" w:color="auto" w:fill="auto"/>
            <w:tcMar>
              <w:top w:w="0" w:type="dxa"/>
              <w:left w:w="108" w:type="dxa"/>
              <w:bottom w:w="0" w:type="dxa"/>
              <w:right w:w="108" w:type="dxa"/>
            </w:tcMar>
            <w:vAlign w:val="center"/>
          </w:tcPr>
          <w:p w14:paraId="183DA04A">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微型</w:t>
            </w:r>
          </w:p>
        </w:tc>
      </w:tr>
      <w:tr w14:paraId="4805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305939D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农、林、牧、渔业</w:t>
            </w:r>
          </w:p>
        </w:tc>
        <w:tc>
          <w:tcPr>
            <w:tcW w:w="1281" w:type="dxa"/>
            <w:shd w:val="clear" w:color="auto" w:fill="auto"/>
            <w:tcMar>
              <w:top w:w="0" w:type="dxa"/>
              <w:left w:w="108" w:type="dxa"/>
              <w:bottom w:w="0" w:type="dxa"/>
              <w:right w:w="108" w:type="dxa"/>
            </w:tcMar>
            <w:vAlign w:val="center"/>
          </w:tcPr>
          <w:p w14:paraId="3658652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B4F88B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1E376C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w:t>
            </w:r>
          </w:p>
        </w:tc>
        <w:tc>
          <w:tcPr>
            <w:tcW w:w="1491" w:type="dxa"/>
            <w:shd w:val="clear" w:color="auto" w:fill="auto"/>
            <w:tcMar>
              <w:top w:w="0" w:type="dxa"/>
              <w:left w:w="108" w:type="dxa"/>
              <w:bottom w:w="0" w:type="dxa"/>
              <w:right w:w="108" w:type="dxa"/>
            </w:tcMar>
            <w:vAlign w:val="center"/>
          </w:tcPr>
          <w:p w14:paraId="064275A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500≤Y＜20000</w:t>
            </w:r>
          </w:p>
        </w:tc>
        <w:tc>
          <w:tcPr>
            <w:tcW w:w="1315" w:type="dxa"/>
            <w:shd w:val="clear" w:color="auto" w:fill="auto"/>
            <w:tcMar>
              <w:top w:w="0" w:type="dxa"/>
              <w:left w:w="108" w:type="dxa"/>
              <w:bottom w:w="0" w:type="dxa"/>
              <w:right w:w="108" w:type="dxa"/>
            </w:tcMar>
            <w:vAlign w:val="center"/>
          </w:tcPr>
          <w:p w14:paraId="02F76DC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50≤Y＜500</w:t>
            </w:r>
          </w:p>
        </w:tc>
        <w:tc>
          <w:tcPr>
            <w:tcW w:w="908" w:type="dxa"/>
            <w:shd w:val="clear" w:color="auto" w:fill="auto"/>
            <w:tcMar>
              <w:top w:w="0" w:type="dxa"/>
              <w:left w:w="108" w:type="dxa"/>
              <w:bottom w:w="0" w:type="dxa"/>
              <w:right w:w="108" w:type="dxa"/>
            </w:tcMar>
            <w:vAlign w:val="center"/>
          </w:tcPr>
          <w:p w14:paraId="1C58DD3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w:t>
            </w:r>
          </w:p>
        </w:tc>
      </w:tr>
      <w:tr w14:paraId="03A9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824645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工业 *</w:t>
            </w:r>
          </w:p>
        </w:tc>
        <w:tc>
          <w:tcPr>
            <w:tcW w:w="1281" w:type="dxa"/>
            <w:shd w:val="clear" w:color="auto" w:fill="auto"/>
            <w:tcMar>
              <w:top w:w="0" w:type="dxa"/>
              <w:left w:w="108" w:type="dxa"/>
              <w:bottom w:w="0" w:type="dxa"/>
              <w:right w:w="108" w:type="dxa"/>
            </w:tcMar>
            <w:vAlign w:val="center"/>
          </w:tcPr>
          <w:p w14:paraId="6943801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5B8E2B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6B2EF8C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2668217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74361B5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76F9FD1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2D71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3A48DB3">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77506D4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0F5FA4F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68F34A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Y≥40000</w:t>
            </w:r>
          </w:p>
        </w:tc>
        <w:tc>
          <w:tcPr>
            <w:tcW w:w="1491" w:type="dxa"/>
            <w:shd w:val="clear" w:color="auto" w:fill="auto"/>
            <w:tcMar>
              <w:top w:w="0" w:type="dxa"/>
              <w:left w:w="108" w:type="dxa"/>
              <w:bottom w:w="0" w:type="dxa"/>
              <w:right w:w="108" w:type="dxa"/>
            </w:tcMar>
            <w:vAlign w:val="center"/>
          </w:tcPr>
          <w:p w14:paraId="5A0F8E0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2000≤Y＜40000</w:t>
            </w:r>
          </w:p>
        </w:tc>
        <w:tc>
          <w:tcPr>
            <w:tcW w:w="1315" w:type="dxa"/>
            <w:shd w:val="clear" w:color="auto" w:fill="auto"/>
            <w:tcMar>
              <w:top w:w="0" w:type="dxa"/>
              <w:left w:w="108" w:type="dxa"/>
              <w:bottom w:w="0" w:type="dxa"/>
              <w:right w:w="108" w:type="dxa"/>
            </w:tcMar>
            <w:vAlign w:val="center"/>
          </w:tcPr>
          <w:p w14:paraId="2D03D05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300≤Y＜2000</w:t>
            </w:r>
          </w:p>
        </w:tc>
        <w:tc>
          <w:tcPr>
            <w:tcW w:w="908" w:type="dxa"/>
            <w:shd w:val="clear" w:color="auto" w:fill="auto"/>
            <w:tcMar>
              <w:top w:w="0" w:type="dxa"/>
              <w:left w:w="108" w:type="dxa"/>
              <w:bottom w:w="0" w:type="dxa"/>
              <w:right w:w="108" w:type="dxa"/>
            </w:tcMar>
            <w:vAlign w:val="center"/>
          </w:tcPr>
          <w:p w14:paraId="78B47CD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w:t>
            </w:r>
          </w:p>
        </w:tc>
      </w:tr>
      <w:tr w14:paraId="63C8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F53380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建筑业</w:t>
            </w:r>
          </w:p>
        </w:tc>
        <w:tc>
          <w:tcPr>
            <w:tcW w:w="1281" w:type="dxa"/>
            <w:shd w:val="clear" w:color="auto" w:fill="auto"/>
            <w:tcMar>
              <w:top w:w="0" w:type="dxa"/>
              <w:left w:w="108" w:type="dxa"/>
              <w:bottom w:w="0" w:type="dxa"/>
              <w:right w:w="108" w:type="dxa"/>
            </w:tcMar>
            <w:vAlign w:val="center"/>
          </w:tcPr>
          <w:p w14:paraId="76E6DF9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6C92600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5BB0CD8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Y≥80000</w:t>
            </w:r>
          </w:p>
        </w:tc>
        <w:tc>
          <w:tcPr>
            <w:tcW w:w="1491" w:type="dxa"/>
            <w:shd w:val="clear" w:color="auto" w:fill="auto"/>
            <w:tcMar>
              <w:top w:w="0" w:type="dxa"/>
              <w:left w:w="108" w:type="dxa"/>
              <w:bottom w:w="0" w:type="dxa"/>
              <w:right w:w="108" w:type="dxa"/>
            </w:tcMar>
            <w:vAlign w:val="center"/>
          </w:tcPr>
          <w:p w14:paraId="3B37528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6000≤Y＜80000</w:t>
            </w:r>
          </w:p>
        </w:tc>
        <w:tc>
          <w:tcPr>
            <w:tcW w:w="1315" w:type="dxa"/>
            <w:shd w:val="clear" w:color="auto" w:fill="auto"/>
            <w:tcMar>
              <w:top w:w="0" w:type="dxa"/>
              <w:left w:w="108" w:type="dxa"/>
              <w:bottom w:w="0" w:type="dxa"/>
              <w:right w:w="108" w:type="dxa"/>
            </w:tcMar>
            <w:vAlign w:val="center"/>
          </w:tcPr>
          <w:p w14:paraId="3C01FF7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300≤Y＜6000</w:t>
            </w:r>
          </w:p>
        </w:tc>
        <w:tc>
          <w:tcPr>
            <w:tcW w:w="908" w:type="dxa"/>
            <w:shd w:val="clear" w:color="auto" w:fill="auto"/>
            <w:tcMar>
              <w:top w:w="0" w:type="dxa"/>
              <w:left w:w="108" w:type="dxa"/>
              <w:bottom w:w="0" w:type="dxa"/>
              <w:right w:w="108" w:type="dxa"/>
            </w:tcMar>
            <w:vAlign w:val="center"/>
          </w:tcPr>
          <w:p w14:paraId="186AB4D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w:t>
            </w:r>
          </w:p>
        </w:tc>
      </w:tr>
      <w:tr w14:paraId="7845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1D32110">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52931D2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0D6A18D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997161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Z≥80000</w:t>
            </w:r>
          </w:p>
        </w:tc>
        <w:tc>
          <w:tcPr>
            <w:tcW w:w="1491" w:type="dxa"/>
            <w:shd w:val="clear" w:color="auto" w:fill="auto"/>
            <w:tcMar>
              <w:top w:w="0" w:type="dxa"/>
              <w:left w:w="108" w:type="dxa"/>
              <w:bottom w:w="0" w:type="dxa"/>
              <w:right w:w="108" w:type="dxa"/>
            </w:tcMar>
            <w:vAlign w:val="center"/>
          </w:tcPr>
          <w:p w14:paraId="13F69A8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5000≤Z＜80000</w:t>
            </w:r>
          </w:p>
        </w:tc>
        <w:tc>
          <w:tcPr>
            <w:tcW w:w="1315" w:type="dxa"/>
            <w:shd w:val="clear" w:color="auto" w:fill="auto"/>
            <w:tcMar>
              <w:top w:w="0" w:type="dxa"/>
              <w:left w:w="108" w:type="dxa"/>
              <w:bottom w:w="0" w:type="dxa"/>
              <w:right w:w="108" w:type="dxa"/>
            </w:tcMar>
            <w:vAlign w:val="center"/>
          </w:tcPr>
          <w:p w14:paraId="2329B11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300≤Z＜5000</w:t>
            </w:r>
          </w:p>
        </w:tc>
        <w:tc>
          <w:tcPr>
            <w:tcW w:w="908" w:type="dxa"/>
            <w:shd w:val="clear" w:color="auto" w:fill="auto"/>
            <w:tcMar>
              <w:top w:w="0" w:type="dxa"/>
              <w:left w:w="108" w:type="dxa"/>
              <w:bottom w:w="0" w:type="dxa"/>
              <w:right w:w="108" w:type="dxa"/>
            </w:tcMar>
            <w:vAlign w:val="center"/>
          </w:tcPr>
          <w:p w14:paraId="308142B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Z＜300</w:t>
            </w:r>
          </w:p>
        </w:tc>
      </w:tr>
      <w:tr w14:paraId="0555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A0B029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批发业</w:t>
            </w:r>
          </w:p>
        </w:tc>
        <w:tc>
          <w:tcPr>
            <w:tcW w:w="1281" w:type="dxa"/>
            <w:shd w:val="clear" w:color="auto" w:fill="auto"/>
            <w:tcMar>
              <w:top w:w="0" w:type="dxa"/>
              <w:left w:w="108" w:type="dxa"/>
              <w:bottom w:w="0" w:type="dxa"/>
              <w:right w:w="108" w:type="dxa"/>
            </w:tcMar>
            <w:vAlign w:val="center"/>
          </w:tcPr>
          <w:p w14:paraId="7391DDC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FB6D5D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249E4FD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w:t>
            </w:r>
          </w:p>
        </w:tc>
        <w:tc>
          <w:tcPr>
            <w:tcW w:w="1491" w:type="dxa"/>
            <w:shd w:val="clear" w:color="auto" w:fill="auto"/>
            <w:tcMar>
              <w:top w:w="0" w:type="dxa"/>
              <w:left w:w="108" w:type="dxa"/>
              <w:bottom w:w="0" w:type="dxa"/>
              <w:right w:w="108" w:type="dxa"/>
            </w:tcMar>
            <w:vAlign w:val="center"/>
          </w:tcPr>
          <w:p w14:paraId="38D01B0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20≤X＜200</w:t>
            </w:r>
          </w:p>
        </w:tc>
        <w:tc>
          <w:tcPr>
            <w:tcW w:w="1315" w:type="dxa"/>
            <w:shd w:val="clear" w:color="auto" w:fill="auto"/>
            <w:tcMar>
              <w:top w:w="0" w:type="dxa"/>
              <w:left w:w="108" w:type="dxa"/>
              <w:bottom w:w="0" w:type="dxa"/>
              <w:right w:w="108" w:type="dxa"/>
            </w:tcMar>
            <w:vAlign w:val="center"/>
          </w:tcPr>
          <w:p w14:paraId="6B2B5DB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5≤X＜20</w:t>
            </w:r>
          </w:p>
        </w:tc>
        <w:tc>
          <w:tcPr>
            <w:tcW w:w="908" w:type="dxa"/>
            <w:shd w:val="clear" w:color="auto" w:fill="auto"/>
            <w:tcMar>
              <w:top w:w="0" w:type="dxa"/>
              <w:left w:w="108" w:type="dxa"/>
              <w:bottom w:w="0" w:type="dxa"/>
              <w:right w:w="108" w:type="dxa"/>
            </w:tcMar>
            <w:vAlign w:val="center"/>
          </w:tcPr>
          <w:p w14:paraId="1218BCE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X＜5</w:t>
            </w:r>
          </w:p>
        </w:tc>
      </w:tr>
      <w:tr w14:paraId="7B42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B100C92">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492F57E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1A45D2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E168A1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Y≥40000</w:t>
            </w:r>
          </w:p>
        </w:tc>
        <w:tc>
          <w:tcPr>
            <w:tcW w:w="1491" w:type="dxa"/>
            <w:shd w:val="clear" w:color="auto" w:fill="auto"/>
            <w:tcMar>
              <w:top w:w="0" w:type="dxa"/>
              <w:left w:w="108" w:type="dxa"/>
              <w:bottom w:w="0" w:type="dxa"/>
              <w:right w:w="108" w:type="dxa"/>
            </w:tcMar>
            <w:vAlign w:val="center"/>
          </w:tcPr>
          <w:p w14:paraId="738E605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5000≤Y＜40000</w:t>
            </w:r>
          </w:p>
        </w:tc>
        <w:tc>
          <w:tcPr>
            <w:tcW w:w="1315" w:type="dxa"/>
            <w:shd w:val="clear" w:color="auto" w:fill="auto"/>
            <w:tcMar>
              <w:top w:w="0" w:type="dxa"/>
              <w:left w:w="108" w:type="dxa"/>
              <w:bottom w:w="0" w:type="dxa"/>
              <w:right w:w="108" w:type="dxa"/>
            </w:tcMar>
            <w:vAlign w:val="center"/>
          </w:tcPr>
          <w:p w14:paraId="6E20604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1000≤Y＜5000</w:t>
            </w:r>
          </w:p>
        </w:tc>
        <w:tc>
          <w:tcPr>
            <w:tcW w:w="908" w:type="dxa"/>
            <w:shd w:val="clear" w:color="auto" w:fill="auto"/>
            <w:tcMar>
              <w:top w:w="0" w:type="dxa"/>
              <w:left w:w="108" w:type="dxa"/>
              <w:bottom w:w="0" w:type="dxa"/>
              <w:right w:w="108" w:type="dxa"/>
            </w:tcMar>
            <w:vAlign w:val="center"/>
          </w:tcPr>
          <w:p w14:paraId="77026E0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w:t>
            </w:r>
          </w:p>
        </w:tc>
      </w:tr>
      <w:tr w14:paraId="3628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5353361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零售业</w:t>
            </w:r>
          </w:p>
        </w:tc>
        <w:tc>
          <w:tcPr>
            <w:tcW w:w="1281" w:type="dxa"/>
            <w:shd w:val="clear" w:color="auto" w:fill="auto"/>
            <w:tcMar>
              <w:top w:w="0" w:type="dxa"/>
              <w:left w:w="108" w:type="dxa"/>
              <w:bottom w:w="0" w:type="dxa"/>
              <w:right w:w="108" w:type="dxa"/>
            </w:tcMar>
            <w:vAlign w:val="center"/>
          </w:tcPr>
          <w:p w14:paraId="51DF46C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679B08A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7952575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7021CAB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50≤X＜300</w:t>
            </w:r>
          </w:p>
        </w:tc>
        <w:tc>
          <w:tcPr>
            <w:tcW w:w="1315" w:type="dxa"/>
            <w:shd w:val="clear" w:color="auto" w:fill="auto"/>
            <w:tcMar>
              <w:top w:w="0" w:type="dxa"/>
              <w:left w:w="108" w:type="dxa"/>
              <w:bottom w:w="0" w:type="dxa"/>
              <w:right w:w="108" w:type="dxa"/>
            </w:tcMar>
            <w:vAlign w:val="center"/>
          </w:tcPr>
          <w:p w14:paraId="54CFE21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10≤X＜50</w:t>
            </w:r>
          </w:p>
        </w:tc>
        <w:tc>
          <w:tcPr>
            <w:tcW w:w="908" w:type="dxa"/>
            <w:shd w:val="clear" w:color="auto" w:fill="auto"/>
            <w:tcMar>
              <w:top w:w="0" w:type="dxa"/>
              <w:left w:w="108" w:type="dxa"/>
              <w:bottom w:w="0" w:type="dxa"/>
              <w:right w:w="108" w:type="dxa"/>
            </w:tcMar>
            <w:vAlign w:val="center"/>
          </w:tcPr>
          <w:p w14:paraId="170085D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1093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B9D6B68">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673BD6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2D1457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87B4E9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w:t>
            </w:r>
          </w:p>
        </w:tc>
        <w:tc>
          <w:tcPr>
            <w:tcW w:w="1491" w:type="dxa"/>
            <w:shd w:val="clear" w:color="auto" w:fill="auto"/>
            <w:tcMar>
              <w:top w:w="0" w:type="dxa"/>
              <w:left w:w="108" w:type="dxa"/>
              <w:bottom w:w="0" w:type="dxa"/>
              <w:right w:w="108" w:type="dxa"/>
            </w:tcMar>
            <w:vAlign w:val="center"/>
          </w:tcPr>
          <w:p w14:paraId="31CB61D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500≤Y＜20000</w:t>
            </w:r>
          </w:p>
        </w:tc>
        <w:tc>
          <w:tcPr>
            <w:tcW w:w="1315" w:type="dxa"/>
            <w:shd w:val="clear" w:color="auto" w:fill="auto"/>
            <w:tcMar>
              <w:top w:w="0" w:type="dxa"/>
              <w:left w:w="108" w:type="dxa"/>
              <w:bottom w:w="0" w:type="dxa"/>
              <w:right w:w="108" w:type="dxa"/>
            </w:tcMar>
            <w:vAlign w:val="center"/>
          </w:tcPr>
          <w:p w14:paraId="6760D62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100≤Y＜500</w:t>
            </w:r>
          </w:p>
        </w:tc>
        <w:tc>
          <w:tcPr>
            <w:tcW w:w="908" w:type="dxa"/>
            <w:shd w:val="clear" w:color="auto" w:fill="auto"/>
            <w:tcMar>
              <w:top w:w="0" w:type="dxa"/>
              <w:left w:w="108" w:type="dxa"/>
              <w:bottom w:w="0" w:type="dxa"/>
              <w:right w:w="108" w:type="dxa"/>
            </w:tcMar>
            <w:vAlign w:val="center"/>
          </w:tcPr>
          <w:p w14:paraId="2F22A63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2E43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5E5FC4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交通运输业 *</w:t>
            </w:r>
          </w:p>
        </w:tc>
        <w:tc>
          <w:tcPr>
            <w:tcW w:w="1281" w:type="dxa"/>
            <w:shd w:val="clear" w:color="auto" w:fill="auto"/>
            <w:tcMar>
              <w:top w:w="0" w:type="dxa"/>
              <w:left w:w="108" w:type="dxa"/>
              <w:bottom w:w="0" w:type="dxa"/>
              <w:right w:w="108" w:type="dxa"/>
            </w:tcMar>
            <w:vAlign w:val="center"/>
          </w:tcPr>
          <w:p w14:paraId="746DF55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C68CAC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7999ACD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2656DA1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5481715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4119035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0BCC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4A1BA78">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358FA98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64CFDF1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4E57BB1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216ED94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3000≤Y＜30000</w:t>
            </w:r>
          </w:p>
        </w:tc>
        <w:tc>
          <w:tcPr>
            <w:tcW w:w="1315" w:type="dxa"/>
            <w:shd w:val="clear" w:color="auto" w:fill="auto"/>
            <w:tcMar>
              <w:top w:w="0" w:type="dxa"/>
              <w:left w:w="108" w:type="dxa"/>
              <w:bottom w:w="0" w:type="dxa"/>
              <w:right w:w="108" w:type="dxa"/>
            </w:tcMar>
            <w:vAlign w:val="center"/>
          </w:tcPr>
          <w:p w14:paraId="7CDE342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200≤Y＜3000</w:t>
            </w:r>
          </w:p>
        </w:tc>
        <w:tc>
          <w:tcPr>
            <w:tcW w:w="908" w:type="dxa"/>
            <w:shd w:val="clear" w:color="auto" w:fill="auto"/>
            <w:tcMar>
              <w:top w:w="0" w:type="dxa"/>
              <w:left w:w="108" w:type="dxa"/>
              <w:bottom w:w="0" w:type="dxa"/>
              <w:right w:w="108" w:type="dxa"/>
            </w:tcMar>
            <w:vAlign w:val="center"/>
          </w:tcPr>
          <w:p w14:paraId="58C6336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w:t>
            </w:r>
          </w:p>
        </w:tc>
      </w:tr>
      <w:tr w14:paraId="6BEC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44B0688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仓储业</w:t>
            </w:r>
          </w:p>
        </w:tc>
        <w:tc>
          <w:tcPr>
            <w:tcW w:w="1281" w:type="dxa"/>
            <w:shd w:val="clear" w:color="auto" w:fill="auto"/>
            <w:tcMar>
              <w:top w:w="0" w:type="dxa"/>
              <w:left w:w="108" w:type="dxa"/>
              <w:bottom w:w="0" w:type="dxa"/>
              <w:right w:w="108" w:type="dxa"/>
            </w:tcMar>
            <w:vAlign w:val="center"/>
          </w:tcPr>
          <w:p w14:paraId="2F283EE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609A9FA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7DAE60F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w:t>
            </w:r>
          </w:p>
        </w:tc>
        <w:tc>
          <w:tcPr>
            <w:tcW w:w="1491" w:type="dxa"/>
            <w:shd w:val="clear" w:color="auto" w:fill="auto"/>
            <w:tcMar>
              <w:top w:w="0" w:type="dxa"/>
              <w:left w:w="108" w:type="dxa"/>
              <w:bottom w:w="0" w:type="dxa"/>
              <w:right w:w="108" w:type="dxa"/>
            </w:tcMar>
            <w:vAlign w:val="center"/>
          </w:tcPr>
          <w:p w14:paraId="0CE1482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100≤X＜200</w:t>
            </w:r>
          </w:p>
        </w:tc>
        <w:tc>
          <w:tcPr>
            <w:tcW w:w="1315" w:type="dxa"/>
            <w:shd w:val="clear" w:color="auto" w:fill="auto"/>
            <w:tcMar>
              <w:top w:w="0" w:type="dxa"/>
              <w:left w:w="108" w:type="dxa"/>
              <w:bottom w:w="0" w:type="dxa"/>
              <w:right w:w="108" w:type="dxa"/>
            </w:tcMar>
            <w:vAlign w:val="center"/>
          </w:tcPr>
          <w:p w14:paraId="3A89624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20≤X＜100</w:t>
            </w:r>
          </w:p>
        </w:tc>
        <w:tc>
          <w:tcPr>
            <w:tcW w:w="908" w:type="dxa"/>
            <w:shd w:val="clear" w:color="auto" w:fill="auto"/>
            <w:tcMar>
              <w:top w:w="0" w:type="dxa"/>
              <w:left w:w="108" w:type="dxa"/>
              <w:bottom w:w="0" w:type="dxa"/>
              <w:right w:w="108" w:type="dxa"/>
            </w:tcMar>
            <w:vAlign w:val="center"/>
          </w:tcPr>
          <w:p w14:paraId="4E6CAE4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4D8D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1403239">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5EED94B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FE0ADE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3221DB2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761FEC1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1000≤Y＜30000</w:t>
            </w:r>
          </w:p>
        </w:tc>
        <w:tc>
          <w:tcPr>
            <w:tcW w:w="1315" w:type="dxa"/>
            <w:shd w:val="clear" w:color="auto" w:fill="auto"/>
            <w:tcMar>
              <w:top w:w="0" w:type="dxa"/>
              <w:left w:w="108" w:type="dxa"/>
              <w:bottom w:w="0" w:type="dxa"/>
              <w:right w:w="108" w:type="dxa"/>
            </w:tcMar>
            <w:vAlign w:val="center"/>
          </w:tcPr>
          <w:p w14:paraId="13A069F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0F074EE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33CA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EBCC3E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邮政业</w:t>
            </w:r>
          </w:p>
        </w:tc>
        <w:tc>
          <w:tcPr>
            <w:tcW w:w="1281" w:type="dxa"/>
            <w:shd w:val="clear" w:color="auto" w:fill="auto"/>
            <w:tcMar>
              <w:top w:w="0" w:type="dxa"/>
              <w:left w:w="108" w:type="dxa"/>
              <w:bottom w:w="0" w:type="dxa"/>
              <w:right w:w="108" w:type="dxa"/>
            </w:tcMar>
            <w:vAlign w:val="center"/>
          </w:tcPr>
          <w:p w14:paraId="0B09909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66082D1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66753D6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5357533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5876BBC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1D48CC1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2D09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BF6D195">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18724C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509B1B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D11C7B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57FA580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2000≤Y＜30000</w:t>
            </w:r>
          </w:p>
        </w:tc>
        <w:tc>
          <w:tcPr>
            <w:tcW w:w="1315" w:type="dxa"/>
            <w:shd w:val="clear" w:color="auto" w:fill="auto"/>
            <w:tcMar>
              <w:top w:w="0" w:type="dxa"/>
              <w:left w:w="108" w:type="dxa"/>
              <w:bottom w:w="0" w:type="dxa"/>
              <w:right w:w="108" w:type="dxa"/>
            </w:tcMar>
            <w:vAlign w:val="center"/>
          </w:tcPr>
          <w:p w14:paraId="7B1793B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100≤Y＜2000</w:t>
            </w:r>
          </w:p>
        </w:tc>
        <w:tc>
          <w:tcPr>
            <w:tcW w:w="908" w:type="dxa"/>
            <w:shd w:val="clear" w:color="auto" w:fill="auto"/>
            <w:tcMar>
              <w:top w:w="0" w:type="dxa"/>
              <w:left w:w="108" w:type="dxa"/>
              <w:bottom w:w="0" w:type="dxa"/>
              <w:right w:w="108" w:type="dxa"/>
            </w:tcMar>
            <w:vAlign w:val="center"/>
          </w:tcPr>
          <w:p w14:paraId="761AE60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4195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78FDC81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住宿业</w:t>
            </w:r>
          </w:p>
        </w:tc>
        <w:tc>
          <w:tcPr>
            <w:tcW w:w="1281" w:type="dxa"/>
            <w:shd w:val="clear" w:color="auto" w:fill="auto"/>
            <w:tcMar>
              <w:top w:w="0" w:type="dxa"/>
              <w:left w:w="108" w:type="dxa"/>
              <w:bottom w:w="0" w:type="dxa"/>
              <w:right w:w="108" w:type="dxa"/>
            </w:tcMar>
            <w:vAlign w:val="center"/>
          </w:tcPr>
          <w:p w14:paraId="398C09E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54FFAA6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6EEF07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7302E6C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05AACB6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3EA4805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0FED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B6B212B">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3819C22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7E1D4D7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104669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579D7D2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2000≤Y＜10000</w:t>
            </w:r>
          </w:p>
        </w:tc>
        <w:tc>
          <w:tcPr>
            <w:tcW w:w="1315" w:type="dxa"/>
            <w:shd w:val="clear" w:color="auto" w:fill="auto"/>
            <w:tcMar>
              <w:top w:w="0" w:type="dxa"/>
              <w:left w:w="108" w:type="dxa"/>
              <w:bottom w:w="0" w:type="dxa"/>
              <w:right w:w="108" w:type="dxa"/>
            </w:tcMar>
            <w:vAlign w:val="center"/>
          </w:tcPr>
          <w:p w14:paraId="03D7417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100≤Y＜2000</w:t>
            </w:r>
          </w:p>
        </w:tc>
        <w:tc>
          <w:tcPr>
            <w:tcW w:w="908" w:type="dxa"/>
            <w:shd w:val="clear" w:color="auto" w:fill="auto"/>
            <w:tcMar>
              <w:top w:w="0" w:type="dxa"/>
              <w:left w:w="108" w:type="dxa"/>
              <w:bottom w:w="0" w:type="dxa"/>
              <w:right w:w="108" w:type="dxa"/>
            </w:tcMar>
            <w:vAlign w:val="center"/>
          </w:tcPr>
          <w:p w14:paraId="0509F8B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4B47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10B589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餐饮业</w:t>
            </w:r>
          </w:p>
        </w:tc>
        <w:tc>
          <w:tcPr>
            <w:tcW w:w="1281" w:type="dxa"/>
            <w:shd w:val="clear" w:color="auto" w:fill="auto"/>
            <w:tcMar>
              <w:top w:w="0" w:type="dxa"/>
              <w:left w:w="108" w:type="dxa"/>
              <w:bottom w:w="0" w:type="dxa"/>
              <w:right w:w="108" w:type="dxa"/>
            </w:tcMar>
            <w:vAlign w:val="center"/>
          </w:tcPr>
          <w:p w14:paraId="5793BCA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5257B61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71FEDC1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74EB6CC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166CB50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60DB29F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7554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549FFFC">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7DC1097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2E77F4C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6EAFFC0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44E332C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2000≤Y＜10000</w:t>
            </w:r>
          </w:p>
        </w:tc>
        <w:tc>
          <w:tcPr>
            <w:tcW w:w="1315" w:type="dxa"/>
            <w:shd w:val="clear" w:color="auto" w:fill="auto"/>
            <w:tcMar>
              <w:top w:w="0" w:type="dxa"/>
              <w:left w:w="108" w:type="dxa"/>
              <w:bottom w:w="0" w:type="dxa"/>
              <w:right w:w="108" w:type="dxa"/>
            </w:tcMar>
            <w:vAlign w:val="center"/>
          </w:tcPr>
          <w:p w14:paraId="4880072B">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 100≤Y＜2000</w:t>
            </w:r>
          </w:p>
        </w:tc>
        <w:tc>
          <w:tcPr>
            <w:tcW w:w="908" w:type="dxa"/>
            <w:shd w:val="clear" w:color="auto" w:fill="auto"/>
            <w:tcMar>
              <w:top w:w="0" w:type="dxa"/>
              <w:left w:w="108" w:type="dxa"/>
              <w:bottom w:w="0" w:type="dxa"/>
              <w:right w:w="108" w:type="dxa"/>
            </w:tcMar>
            <w:vAlign w:val="center"/>
          </w:tcPr>
          <w:p w14:paraId="0ADAD93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6E21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2789662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信息传输业 *</w:t>
            </w:r>
          </w:p>
        </w:tc>
        <w:tc>
          <w:tcPr>
            <w:tcW w:w="1281" w:type="dxa"/>
            <w:shd w:val="clear" w:color="auto" w:fill="auto"/>
            <w:tcMar>
              <w:top w:w="0" w:type="dxa"/>
              <w:left w:w="108" w:type="dxa"/>
              <w:bottom w:w="0" w:type="dxa"/>
              <w:right w:w="108" w:type="dxa"/>
            </w:tcMar>
            <w:vAlign w:val="center"/>
          </w:tcPr>
          <w:p w14:paraId="1C414AB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60E285F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10C45E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X≥2000</w:t>
            </w:r>
          </w:p>
        </w:tc>
        <w:tc>
          <w:tcPr>
            <w:tcW w:w="1491" w:type="dxa"/>
            <w:shd w:val="clear" w:color="auto" w:fill="auto"/>
            <w:tcMar>
              <w:top w:w="0" w:type="dxa"/>
              <w:left w:w="108" w:type="dxa"/>
              <w:bottom w:w="0" w:type="dxa"/>
              <w:right w:w="108" w:type="dxa"/>
            </w:tcMar>
            <w:vAlign w:val="center"/>
          </w:tcPr>
          <w:p w14:paraId="1CC6130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100≤X＜2000</w:t>
            </w:r>
          </w:p>
        </w:tc>
        <w:tc>
          <w:tcPr>
            <w:tcW w:w="1315" w:type="dxa"/>
            <w:shd w:val="clear" w:color="auto" w:fill="auto"/>
            <w:tcMar>
              <w:top w:w="0" w:type="dxa"/>
              <w:left w:w="108" w:type="dxa"/>
              <w:bottom w:w="0" w:type="dxa"/>
              <w:right w:w="108" w:type="dxa"/>
            </w:tcMar>
            <w:vAlign w:val="center"/>
          </w:tcPr>
          <w:p w14:paraId="2E87ECC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261DA79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09A6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0608120">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E7D15B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7B6C1D8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76FEC7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Y≥100000</w:t>
            </w:r>
          </w:p>
        </w:tc>
        <w:tc>
          <w:tcPr>
            <w:tcW w:w="1491" w:type="dxa"/>
            <w:shd w:val="clear" w:color="auto" w:fill="auto"/>
            <w:tcMar>
              <w:top w:w="0" w:type="dxa"/>
              <w:left w:w="108" w:type="dxa"/>
              <w:bottom w:w="0" w:type="dxa"/>
              <w:right w:w="108" w:type="dxa"/>
            </w:tcMar>
            <w:vAlign w:val="center"/>
          </w:tcPr>
          <w:p w14:paraId="2B2C091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1000≤Y＜100000</w:t>
            </w:r>
          </w:p>
        </w:tc>
        <w:tc>
          <w:tcPr>
            <w:tcW w:w="1315" w:type="dxa"/>
            <w:shd w:val="clear" w:color="auto" w:fill="auto"/>
            <w:tcMar>
              <w:top w:w="0" w:type="dxa"/>
              <w:left w:w="108" w:type="dxa"/>
              <w:bottom w:w="0" w:type="dxa"/>
              <w:right w:w="108" w:type="dxa"/>
            </w:tcMar>
            <w:vAlign w:val="center"/>
          </w:tcPr>
          <w:p w14:paraId="42C6A5D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65D9A4E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6AC2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09D1423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pacing w:val="-12"/>
                <w:sz w:val="18"/>
                <w:szCs w:val="18"/>
                <w:highlight w:val="none"/>
              </w:rPr>
              <w:t>软件和信息技术服</w:t>
            </w:r>
            <w:r>
              <w:rPr>
                <w:rFonts w:hint="eastAsia" w:ascii="宋体" w:hAnsi="宋体" w:eastAsia="宋体" w:cs="宋体"/>
                <w:color w:val="auto"/>
                <w:sz w:val="18"/>
                <w:szCs w:val="18"/>
                <w:highlight w:val="none"/>
              </w:rPr>
              <w:t>务业</w:t>
            </w:r>
          </w:p>
        </w:tc>
        <w:tc>
          <w:tcPr>
            <w:tcW w:w="1281" w:type="dxa"/>
            <w:shd w:val="clear" w:color="auto" w:fill="auto"/>
            <w:tcMar>
              <w:top w:w="0" w:type="dxa"/>
              <w:left w:w="108" w:type="dxa"/>
              <w:bottom w:w="0" w:type="dxa"/>
              <w:right w:w="108" w:type="dxa"/>
            </w:tcMar>
            <w:vAlign w:val="center"/>
          </w:tcPr>
          <w:p w14:paraId="495EBFA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54E9F4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25CAAA34">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4FC7DA64">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3E712ED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350E7D8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61AB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2854252B">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5CC8F5B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7240D92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E89B3EB">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164D477D">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1000≤Y＜10000</w:t>
            </w:r>
          </w:p>
        </w:tc>
        <w:tc>
          <w:tcPr>
            <w:tcW w:w="1315" w:type="dxa"/>
            <w:shd w:val="clear" w:color="auto" w:fill="auto"/>
            <w:tcMar>
              <w:top w:w="0" w:type="dxa"/>
              <w:left w:w="108" w:type="dxa"/>
              <w:bottom w:w="0" w:type="dxa"/>
              <w:right w:w="108" w:type="dxa"/>
            </w:tcMar>
            <w:vAlign w:val="center"/>
          </w:tcPr>
          <w:p w14:paraId="0391BD6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50≤Y＜1000</w:t>
            </w:r>
          </w:p>
        </w:tc>
        <w:tc>
          <w:tcPr>
            <w:tcW w:w="908" w:type="dxa"/>
            <w:shd w:val="clear" w:color="auto" w:fill="auto"/>
            <w:tcMar>
              <w:top w:w="0" w:type="dxa"/>
              <w:left w:w="108" w:type="dxa"/>
              <w:bottom w:w="0" w:type="dxa"/>
              <w:right w:w="108" w:type="dxa"/>
            </w:tcMar>
            <w:vAlign w:val="center"/>
          </w:tcPr>
          <w:p w14:paraId="065CA58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w:t>
            </w:r>
          </w:p>
        </w:tc>
      </w:tr>
      <w:tr w14:paraId="69D6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5F8C4FD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房地产开发经营</w:t>
            </w:r>
          </w:p>
        </w:tc>
        <w:tc>
          <w:tcPr>
            <w:tcW w:w="1281" w:type="dxa"/>
            <w:shd w:val="clear" w:color="auto" w:fill="auto"/>
            <w:tcMar>
              <w:top w:w="0" w:type="dxa"/>
              <w:left w:w="108" w:type="dxa"/>
              <w:bottom w:w="0" w:type="dxa"/>
              <w:right w:w="108" w:type="dxa"/>
            </w:tcMar>
            <w:vAlign w:val="center"/>
          </w:tcPr>
          <w:p w14:paraId="5B3454C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70909A5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5E848C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Y≥200000</w:t>
            </w:r>
          </w:p>
        </w:tc>
        <w:tc>
          <w:tcPr>
            <w:tcW w:w="1491" w:type="dxa"/>
            <w:shd w:val="clear" w:color="auto" w:fill="auto"/>
            <w:tcMar>
              <w:top w:w="0" w:type="dxa"/>
              <w:left w:w="108" w:type="dxa"/>
              <w:bottom w:w="0" w:type="dxa"/>
              <w:right w:w="108" w:type="dxa"/>
            </w:tcMar>
            <w:vAlign w:val="center"/>
          </w:tcPr>
          <w:p w14:paraId="05A6AAA6">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 1000≤Y＜200000</w:t>
            </w:r>
          </w:p>
        </w:tc>
        <w:tc>
          <w:tcPr>
            <w:tcW w:w="1315" w:type="dxa"/>
            <w:shd w:val="clear" w:color="auto" w:fill="auto"/>
            <w:tcMar>
              <w:top w:w="0" w:type="dxa"/>
              <w:left w:w="108" w:type="dxa"/>
              <w:bottom w:w="0" w:type="dxa"/>
              <w:right w:w="108" w:type="dxa"/>
            </w:tcMar>
            <w:vAlign w:val="center"/>
          </w:tcPr>
          <w:p w14:paraId="465D9A1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7A21AAB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5D8A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628815F5">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75B39FD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12E5A9B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30654CD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Z≥10000</w:t>
            </w:r>
          </w:p>
        </w:tc>
        <w:tc>
          <w:tcPr>
            <w:tcW w:w="1491" w:type="dxa"/>
            <w:shd w:val="clear" w:color="auto" w:fill="auto"/>
            <w:tcMar>
              <w:top w:w="0" w:type="dxa"/>
              <w:left w:w="108" w:type="dxa"/>
              <w:bottom w:w="0" w:type="dxa"/>
              <w:right w:w="108" w:type="dxa"/>
            </w:tcMar>
            <w:vAlign w:val="center"/>
          </w:tcPr>
          <w:p w14:paraId="1C13E5A4">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5000≤Z＜10000</w:t>
            </w:r>
          </w:p>
        </w:tc>
        <w:tc>
          <w:tcPr>
            <w:tcW w:w="1315" w:type="dxa"/>
            <w:shd w:val="clear" w:color="auto" w:fill="auto"/>
            <w:tcMar>
              <w:top w:w="0" w:type="dxa"/>
              <w:left w:w="108" w:type="dxa"/>
              <w:bottom w:w="0" w:type="dxa"/>
              <w:right w:w="108" w:type="dxa"/>
            </w:tcMar>
            <w:vAlign w:val="center"/>
          </w:tcPr>
          <w:p w14:paraId="6F70154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2000≤Z＜5000  </w:t>
            </w:r>
          </w:p>
        </w:tc>
        <w:tc>
          <w:tcPr>
            <w:tcW w:w="908" w:type="dxa"/>
            <w:shd w:val="clear" w:color="auto" w:fill="auto"/>
            <w:tcMar>
              <w:top w:w="0" w:type="dxa"/>
              <w:left w:w="108" w:type="dxa"/>
              <w:bottom w:w="0" w:type="dxa"/>
              <w:right w:w="108" w:type="dxa"/>
            </w:tcMar>
            <w:vAlign w:val="center"/>
          </w:tcPr>
          <w:p w14:paraId="0C74B80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Z＜2000</w:t>
            </w:r>
          </w:p>
        </w:tc>
      </w:tr>
      <w:tr w14:paraId="581A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22C87D9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物业管理</w:t>
            </w:r>
          </w:p>
        </w:tc>
        <w:tc>
          <w:tcPr>
            <w:tcW w:w="1281" w:type="dxa"/>
            <w:shd w:val="clear" w:color="auto" w:fill="auto"/>
            <w:tcMar>
              <w:top w:w="0" w:type="dxa"/>
              <w:left w:w="108" w:type="dxa"/>
              <w:bottom w:w="0" w:type="dxa"/>
              <w:right w:w="108" w:type="dxa"/>
            </w:tcMar>
            <w:vAlign w:val="center"/>
          </w:tcPr>
          <w:p w14:paraId="3A542A0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74FB91F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135E9F0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4A05848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221209C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908" w:type="dxa"/>
            <w:shd w:val="clear" w:color="auto" w:fill="auto"/>
            <w:tcMar>
              <w:top w:w="0" w:type="dxa"/>
              <w:left w:w="108" w:type="dxa"/>
              <w:bottom w:w="0" w:type="dxa"/>
              <w:right w:w="108" w:type="dxa"/>
            </w:tcMar>
            <w:vAlign w:val="center"/>
          </w:tcPr>
          <w:p w14:paraId="08F9386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w:t>
            </w:r>
          </w:p>
        </w:tc>
      </w:tr>
      <w:tr w14:paraId="62DF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7797A3DE">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211B9CE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3C4509F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348D4F8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Y≥5000</w:t>
            </w:r>
          </w:p>
        </w:tc>
        <w:tc>
          <w:tcPr>
            <w:tcW w:w="1491" w:type="dxa"/>
            <w:shd w:val="clear" w:color="auto" w:fill="auto"/>
            <w:tcMar>
              <w:top w:w="0" w:type="dxa"/>
              <w:left w:w="108" w:type="dxa"/>
              <w:bottom w:w="0" w:type="dxa"/>
              <w:right w:w="108" w:type="dxa"/>
            </w:tcMar>
            <w:vAlign w:val="center"/>
          </w:tcPr>
          <w:p w14:paraId="313836B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1000≤Y＜5000</w:t>
            </w:r>
          </w:p>
        </w:tc>
        <w:tc>
          <w:tcPr>
            <w:tcW w:w="1315" w:type="dxa"/>
            <w:shd w:val="clear" w:color="auto" w:fill="auto"/>
            <w:tcMar>
              <w:top w:w="0" w:type="dxa"/>
              <w:left w:w="108" w:type="dxa"/>
              <w:bottom w:w="0" w:type="dxa"/>
              <w:right w:w="108" w:type="dxa"/>
            </w:tcMar>
            <w:vAlign w:val="center"/>
          </w:tcPr>
          <w:p w14:paraId="24FAE18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500≤Y＜1000</w:t>
            </w:r>
          </w:p>
        </w:tc>
        <w:tc>
          <w:tcPr>
            <w:tcW w:w="908" w:type="dxa"/>
            <w:shd w:val="clear" w:color="auto" w:fill="auto"/>
            <w:tcMar>
              <w:top w:w="0" w:type="dxa"/>
              <w:left w:w="108" w:type="dxa"/>
              <w:bottom w:w="0" w:type="dxa"/>
              <w:right w:w="108" w:type="dxa"/>
            </w:tcMar>
            <w:vAlign w:val="center"/>
          </w:tcPr>
          <w:p w14:paraId="2DB9C0D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Y＜500</w:t>
            </w:r>
          </w:p>
        </w:tc>
      </w:tr>
      <w:tr w14:paraId="5567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74046BA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租赁和商务服务业</w:t>
            </w:r>
          </w:p>
        </w:tc>
        <w:tc>
          <w:tcPr>
            <w:tcW w:w="1281" w:type="dxa"/>
            <w:shd w:val="clear" w:color="auto" w:fill="auto"/>
            <w:tcMar>
              <w:top w:w="0" w:type="dxa"/>
              <w:left w:w="108" w:type="dxa"/>
              <w:bottom w:w="0" w:type="dxa"/>
              <w:right w:w="108" w:type="dxa"/>
            </w:tcMar>
            <w:vAlign w:val="center"/>
          </w:tcPr>
          <w:p w14:paraId="4C621F0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16AA05E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0D46097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74E52DD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222ABBD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00B3A3D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70AA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5078DAEB">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51AADC1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324267F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B706E5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Z≥120000</w:t>
            </w:r>
          </w:p>
        </w:tc>
        <w:tc>
          <w:tcPr>
            <w:tcW w:w="1491" w:type="dxa"/>
            <w:shd w:val="clear" w:color="auto" w:fill="auto"/>
            <w:tcMar>
              <w:top w:w="0" w:type="dxa"/>
              <w:left w:w="108" w:type="dxa"/>
              <w:bottom w:w="0" w:type="dxa"/>
              <w:right w:w="108" w:type="dxa"/>
            </w:tcMar>
            <w:vAlign w:val="center"/>
          </w:tcPr>
          <w:p w14:paraId="29B34B1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8000≤Z＜120000</w:t>
            </w:r>
          </w:p>
        </w:tc>
        <w:tc>
          <w:tcPr>
            <w:tcW w:w="1315" w:type="dxa"/>
            <w:shd w:val="clear" w:color="auto" w:fill="auto"/>
            <w:tcMar>
              <w:top w:w="0" w:type="dxa"/>
              <w:left w:w="108" w:type="dxa"/>
              <w:bottom w:w="0" w:type="dxa"/>
              <w:right w:w="108" w:type="dxa"/>
            </w:tcMar>
            <w:vAlign w:val="center"/>
          </w:tcPr>
          <w:p w14:paraId="678287B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100≤Z＜8000</w:t>
            </w:r>
          </w:p>
        </w:tc>
        <w:tc>
          <w:tcPr>
            <w:tcW w:w="908" w:type="dxa"/>
            <w:shd w:val="clear" w:color="auto" w:fill="auto"/>
            <w:tcMar>
              <w:top w:w="0" w:type="dxa"/>
              <w:left w:w="108" w:type="dxa"/>
              <w:bottom w:w="0" w:type="dxa"/>
              <w:right w:w="108" w:type="dxa"/>
            </w:tcMar>
            <w:vAlign w:val="center"/>
          </w:tcPr>
          <w:p w14:paraId="54EF53C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Z＜100</w:t>
            </w:r>
          </w:p>
        </w:tc>
      </w:tr>
      <w:tr w14:paraId="13BF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79E3546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其他未列明行业 *</w:t>
            </w:r>
          </w:p>
        </w:tc>
        <w:tc>
          <w:tcPr>
            <w:tcW w:w="1281" w:type="dxa"/>
            <w:shd w:val="clear" w:color="auto" w:fill="auto"/>
            <w:tcMar>
              <w:top w:w="0" w:type="dxa"/>
              <w:left w:w="108" w:type="dxa"/>
              <w:bottom w:w="0" w:type="dxa"/>
              <w:right w:w="108" w:type="dxa"/>
            </w:tcMar>
            <w:vAlign w:val="center"/>
          </w:tcPr>
          <w:p w14:paraId="6F96DBE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A2419E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297E98D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6CA85FC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53F7F20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382C428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bl>
    <w:p w14:paraId="568508C0">
      <w:pPr>
        <w:shd w:val="clear" w:color="auto" w:fill="FFFFFF"/>
        <w:spacing w:line="400" w:lineRule="exact"/>
        <w:ind w:firstLine="0" w:firstLineChars="0"/>
        <w:rPr>
          <w:rFonts w:hint="eastAsia" w:ascii="微软雅黑" w:hAnsi="微软雅黑" w:cs="宋体"/>
          <w:bCs/>
          <w:color w:val="auto"/>
          <w:szCs w:val="21"/>
          <w:highlight w:val="none"/>
        </w:rPr>
      </w:pPr>
      <w:r>
        <w:rPr>
          <w:rFonts w:hint="eastAsia" w:ascii="宋体" w:hAnsi="宋体" w:eastAsia="宋体" w:cs="宋体"/>
          <w:color w:val="auto"/>
          <w:sz w:val="18"/>
          <w:szCs w:val="18"/>
          <w:highlight w:val="none"/>
        </w:rPr>
        <w:t> </w:t>
      </w:r>
      <w:r>
        <w:rPr>
          <w:rFonts w:hint="eastAsia" w:ascii="宋体" w:hAnsi="宋体" w:eastAsia="宋体" w:cs="宋体"/>
          <w:color w:val="auto"/>
          <w:spacing w:val="8"/>
          <w:sz w:val="24"/>
          <w:highlight w:val="none"/>
        </w:rPr>
        <w:t>　</w:t>
      </w:r>
      <w:r>
        <w:rPr>
          <w:rFonts w:hint="eastAsia" w:ascii="微软雅黑" w:hAnsi="微软雅黑" w:cs="宋体"/>
          <w:color w:val="auto"/>
          <w:spacing w:val="8"/>
          <w:szCs w:val="21"/>
          <w:highlight w:val="none"/>
        </w:rPr>
        <w:t>　说明：</w:t>
      </w:r>
    </w:p>
    <w:p w14:paraId="08086B39">
      <w:pPr>
        <w:shd w:val="clear" w:color="auto" w:fill="FFFFFF"/>
        <w:spacing w:line="400" w:lineRule="exact"/>
        <w:ind w:firstLine="0" w:firstLineChars="0"/>
        <w:rPr>
          <w:rFonts w:hint="eastAsia" w:ascii="微软雅黑" w:hAnsi="微软雅黑" w:cs="宋体"/>
          <w:bCs/>
          <w:color w:val="auto"/>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1.</w:t>
      </w:r>
      <w:r>
        <w:rPr>
          <w:rFonts w:hint="eastAsia" w:ascii="微软雅黑" w:hAnsi="微软雅黑" w:cs="宋体"/>
          <w:color w:val="auto"/>
          <w:spacing w:val="8"/>
          <w:szCs w:val="21"/>
          <w:highlight w:val="none"/>
        </w:rPr>
        <w:t>大型、中型和小型企业须同时满足所列指标的下限，否则下划一档；微型企业只须满足所列指标中的一项即可。</w:t>
      </w:r>
    </w:p>
    <w:p w14:paraId="67CE5892">
      <w:pPr>
        <w:shd w:val="clear" w:color="auto" w:fill="FFFFFF"/>
        <w:spacing w:line="400" w:lineRule="exact"/>
        <w:ind w:firstLine="0" w:firstLineChars="0"/>
        <w:rPr>
          <w:rFonts w:hint="eastAsia" w:ascii="微软雅黑" w:hAnsi="微软雅黑" w:cs="宋体"/>
          <w:bCs/>
          <w:color w:val="auto"/>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2.</w:t>
      </w:r>
      <w:r>
        <w:rPr>
          <w:rFonts w:hint="eastAsia" w:ascii="微软雅黑" w:hAnsi="微软雅黑" w:cs="宋体"/>
          <w:color w:val="auto"/>
          <w:spacing w:val="8"/>
          <w:szCs w:val="21"/>
          <w:highlight w:val="none"/>
        </w:rPr>
        <w:t>附表中各行业的范围以《国民经济行业分类》（</w:t>
      </w:r>
      <w:r>
        <w:rPr>
          <w:rFonts w:ascii="微软雅黑" w:hAnsi="微软雅黑"/>
          <w:color w:val="auto"/>
          <w:spacing w:val="8"/>
          <w:szCs w:val="21"/>
          <w:highlight w:val="none"/>
        </w:rPr>
        <w:t>GB/T4754-2011</w:t>
      </w:r>
      <w:r>
        <w:rPr>
          <w:rFonts w:hint="eastAsia" w:ascii="微软雅黑" w:hAnsi="微软雅黑" w:cs="宋体"/>
          <w:color w:val="auto"/>
          <w:spacing w:val="8"/>
          <w:szCs w:val="21"/>
          <w:highlight w:val="none"/>
        </w:rPr>
        <w:t>）为准。带</w:t>
      </w:r>
      <w:r>
        <w:rPr>
          <w:rFonts w:ascii="微软雅黑" w:hAnsi="微软雅黑"/>
          <w:color w:val="auto"/>
          <w:spacing w:val="8"/>
          <w:szCs w:val="21"/>
          <w:highlight w:val="none"/>
        </w:rPr>
        <w:t>*</w:t>
      </w:r>
      <w:r>
        <w:rPr>
          <w:rFonts w:hint="eastAsia" w:ascii="微软雅黑" w:hAnsi="微软雅黑" w:cs="宋体"/>
          <w:color w:val="auto"/>
          <w:spacing w:val="8"/>
          <w:szCs w:val="21"/>
          <w:highlight w:val="none"/>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1BF6DF4">
      <w:pPr>
        <w:shd w:val="clear" w:color="auto" w:fill="FFFFFF"/>
        <w:spacing w:line="400" w:lineRule="exact"/>
        <w:ind w:firstLine="0" w:firstLineChars="0"/>
        <w:rPr>
          <w:color w:val="auto"/>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3.</w:t>
      </w:r>
      <w:r>
        <w:rPr>
          <w:rFonts w:hint="eastAsia" w:ascii="微软雅黑" w:hAnsi="微软雅黑" w:cs="宋体"/>
          <w:color w:val="auto"/>
          <w:spacing w:val="8"/>
          <w:szCs w:val="21"/>
          <w:highlight w:val="none"/>
        </w:rPr>
        <w:t>企业划分指标以现行统计制度为准。（</w:t>
      </w:r>
      <w:r>
        <w:rPr>
          <w:rFonts w:ascii="微软雅黑" w:hAnsi="微软雅黑"/>
          <w:color w:val="auto"/>
          <w:spacing w:val="8"/>
          <w:szCs w:val="21"/>
          <w:highlight w:val="none"/>
        </w:rPr>
        <w:t>1</w:t>
      </w:r>
      <w:r>
        <w:rPr>
          <w:rFonts w:hint="eastAsia" w:ascii="微软雅黑" w:hAnsi="微软雅黑" w:cs="宋体"/>
          <w:color w:val="auto"/>
          <w:spacing w:val="8"/>
          <w:szCs w:val="21"/>
          <w:highlight w:val="none"/>
        </w:rPr>
        <w:t>）从业人员，是指期末从业人员数，没有期末从业人员数的，采用全年平均人员数代替。（</w:t>
      </w:r>
      <w:r>
        <w:rPr>
          <w:rFonts w:ascii="微软雅黑" w:hAnsi="微软雅黑"/>
          <w:color w:val="auto"/>
          <w:spacing w:val="8"/>
          <w:szCs w:val="21"/>
          <w:highlight w:val="none"/>
        </w:rPr>
        <w:t>2</w:t>
      </w:r>
      <w:r>
        <w:rPr>
          <w:rFonts w:hint="eastAsia" w:ascii="微软雅黑" w:hAnsi="微软雅黑" w:cs="宋体"/>
          <w:color w:val="auto"/>
          <w:spacing w:val="8"/>
          <w:szCs w:val="21"/>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微软雅黑" w:hAnsi="微软雅黑"/>
          <w:color w:val="auto"/>
          <w:spacing w:val="8"/>
          <w:szCs w:val="21"/>
          <w:highlight w:val="none"/>
        </w:rPr>
        <w:t>3</w:t>
      </w:r>
      <w:r>
        <w:rPr>
          <w:rFonts w:hint="eastAsia" w:ascii="微软雅黑" w:hAnsi="微软雅黑" w:cs="宋体"/>
          <w:color w:val="auto"/>
          <w:spacing w:val="8"/>
          <w:szCs w:val="21"/>
          <w:highlight w:val="none"/>
        </w:rPr>
        <w:t>）资产总额，采用资产总计代替。</w:t>
      </w:r>
    </w:p>
    <w:sectPr>
      <w:headerReference r:id="rId30" w:type="first"/>
      <w:footerReference r:id="rId33" w:type="first"/>
      <w:footerReference r:id="rId31" w:type="default"/>
      <w:footerReference r:id="rId32" w:type="even"/>
      <w:pgSz w:w="11906" w:h="16838"/>
      <w:pgMar w:top="1440" w:right="1797" w:bottom="1440" w:left="1797"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F2E4560-4156-4CEF-A9E1-347758E98046}"/>
  </w:font>
  <w:font w:name="Arial">
    <w:panose1 w:val="020B0604020202020204"/>
    <w:charset w:val="01"/>
    <w:family w:val="swiss"/>
    <w:pitch w:val="default"/>
    <w:sig w:usb0="E0002EFF" w:usb1="C000785B" w:usb2="00000009" w:usb3="00000000" w:csb0="400001FF" w:csb1="FFFF0000"/>
    <w:embedRegular r:id="rId2" w:fontKey="{2639F127-740C-481D-A6C3-F462E768CB1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221CE1B-CE79-438E-958D-12DCBC9DCDB7}"/>
  </w:font>
  <w:font w:name="微软雅黑">
    <w:panose1 w:val="020B0503020204020204"/>
    <w:charset w:val="86"/>
    <w:family w:val="swiss"/>
    <w:pitch w:val="default"/>
    <w:sig w:usb0="80000287" w:usb1="2ACF3C50" w:usb2="00000016" w:usb3="00000000" w:csb0="0004001F" w:csb1="00000000"/>
    <w:embedRegular r:id="rId4" w:fontKey="{BF178D77-91D9-4B20-B0B2-C74EF0C9A645}"/>
  </w:font>
  <w:font w:name="仿宋_GB2312">
    <w:panose1 w:val="02010609030101010101"/>
    <w:charset w:val="86"/>
    <w:family w:val="modern"/>
    <w:pitch w:val="default"/>
    <w:sig w:usb0="00000001" w:usb1="080E0000" w:usb2="00000000" w:usb3="00000000" w:csb0="00040000" w:csb1="00000000"/>
    <w:embedRegular r:id="rId5" w:fontKey="{72778326-964F-4491-A0DB-22AA58271817}"/>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6" w:fontKey="{492E0FF8-8E98-4F8D-BB63-C29981CE6DE6}"/>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7" w:fontKey="{A618E581-6281-4ACC-9E0A-E54DE916C29C}"/>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modern"/>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方正粗黑宋简体">
    <w:panose1 w:val="02000000000000000000"/>
    <w:charset w:val="86"/>
    <w:family w:val="auto"/>
    <w:pitch w:val="default"/>
    <w:sig w:usb0="A00002BF" w:usb1="184F6CFA" w:usb2="00000012" w:usb3="00000000" w:csb0="00040001" w:csb1="00000000"/>
    <w:embedRegular r:id="rId8" w:fontKey="{61F9D32F-6EB7-4E3F-9999-D62EBBE42506}"/>
  </w:font>
  <w:font w:name="sans-serif">
    <w:altName w:val="微软雅黑"/>
    <w:panose1 w:val="00000000000000000000"/>
    <w:charset w:val="00"/>
    <w:family w:val="auto"/>
    <w:pitch w:val="default"/>
    <w:sig w:usb0="00000000" w:usb1="00000000" w:usb2="00000000" w:usb3="00000000" w:csb0="00040001" w:csb1="00000000"/>
    <w:embedRegular r:id="rId9" w:fontKey="{4C6DA843-751D-404F-A4DB-2C0E63048A1E}"/>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FC0E9">
    <w:pPr>
      <w:pStyle w:val="3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6387220"/>
    </w:sdtPr>
    <w:sdtContent>
      <w:p w14:paraId="4630DCC4">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2E84C169">
    <w:pPr>
      <w:ind w:firstLine="420"/>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8C66D">
    <w:pPr>
      <w:pStyle w:val="35"/>
      <w:ind w:left="360" w:firstLine="36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972185" cy="147955"/>
              <wp:effectExtent l="0" t="0" r="0" b="0"/>
              <wp:wrapNone/>
              <wp:docPr id="16967667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19ED8934">
                          <w:pPr>
                            <w:pStyle w:val="35"/>
                            <w:ind w:firstLine="360"/>
                            <w:jc w:val="center"/>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65408;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naTQ0gAAAAQBAAAPAAAAAAAAAAEAIAAA&#10;ACIAAABkcnMvZG93bnJldi54bWxQSwECFAAUAAAACACHTuJAyN309BICAAALBAAADgAAAAAAAAAB&#10;ACAAAAAhAQAAZHJzL2Uyb0RvYy54bWxQSwUGAAAAAAYABgBZAQAApQUAAAAA&#10;">
              <v:fill on="f" focussize="0,0"/>
              <v:stroke on="f"/>
              <v:imagedata o:title=""/>
              <o:lock v:ext="edit" aspectratio="f"/>
              <v:textbox inset="0mm,0mm,0mm,0mm" style="mso-fit-shape-to-text:t;">
                <w:txbxContent>
                  <w:p w14:paraId="19ED8934">
                    <w:pPr>
                      <w:pStyle w:val="35"/>
                      <w:ind w:firstLine="360"/>
                      <w:jc w:val="center"/>
                    </w:pPr>
                  </w:p>
                </w:txbxContent>
              </v:textbox>
            </v:shape>
          </w:pict>
        </mc:Fallback>
      </mc:AlternateContent>
    </w:r>
  </w:p>
  <w:p w14:paraId="2D791EC8">
    <w:pPr>
      <w:ind w:firstLine="420"/>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864471"/>
    </w:sdtPr>
    <w:sdtContent>
      <w:p w14:paraId="3F59C0CB">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26A73E6D">
    <w:pPr>
      <w:ind w:firstLine="420"/>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15757"/>
    </w:sdtPr>
    <w:sdtContent>
      <w:p w14:paraId="215FE93D">
        <w:pPr>
          <w:pStyle w:val="35"/>
          <w:spacing w:after="120"/>
          <w:ind w:firstLine="360"/>
          <w:jc w:val="center"/>
        </w:pPr>
        <w:r>
          <w:fldChar w:fldCharType="begin"/>
        </w:r>
        <w:r>
          <w:instrText xml:space="preserve"> PAGE   \* MERGEFORMAT </w:instrText>
        </w:r>
        <w:r>
          <w:fldChar w:fldCharType="separate"/>
        </w:r>
        <w:r>
          <w:rPr>
            <w:lang w:val="zh-CN"/>
          </w:rPr>
          <w:t>78</w:t>
        </w:r>
        <w:r>
          <w:rPr>
            <w:lang w:val="zh-CN"/>
          </w:rPr>
          <w:fldChar w:fldCharType="end"/>
        </w:r>
      </w:p>
    </w:sdtContent>
  </w:sdt>
  <w:p w14:paraId="7CD64C57">
    <w:pPr>
      <w:pStyle w:val="35"/>
      <w:spacing w:after="120"/>
      <w:ind w:right="720" w:firstLine="180" w:firstLineChars="100"/>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4946D">
    <w:pPr>
      <w:pStyle w:val="35"/>
      <w:framePr w:wrap="around" w:vAnchor="text" w:hAnchor="margin" w:xAlign="outside" w:y="1"/>
      <w:spacing w:after="120"/>
      <w:ind w:firstLine="360"/>
      <w:rPr>
        <w:rStyle w:val="59"/>
      </w:rPr>
    </w:pPr>
    <w:r>
      <w:fldChar w:fldCharType="begin"/>
    </w:r>
    <w:r>
      <w:rPr>
        <w:rStyle w:val="59"/>
      </w:rPr>
      <w:instrText xml:space="preserve">PAGE  </w:instrText>
    </w:r>
    <w:r>
      <w:fldChar w:fldCharType="separate"/>
    </w:r>
    <w:r>
      <w:rPr>
        <w:rStyle w:val="59"/>
      </w:rPr>
      <w:t>75</w:t>
    </w:r>
    <w:r>
      <w:fldChar w:fldCharType="end"/>
    </w:r>
  </w:p>
  <w:p w14:paraId="50A2C961">
    <w:pPr>
      <w:pStyle w:val="35"/>
      <w:spacing w:after="120"/>
      <w:ind w:right="360"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27C08">
    <w:pPr>
      <w:pStyle w:val="35"/>
      <w:spacing w:after="120"/>
      <w:ind w:firstLine="360"/>
      <w:jc w:val="cente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BCBE9">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3E701">
    <w:pPr>
      <w:pStyle w:val="3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3229E">
    <w:pPr>
      <w:pStyle w:val="35"/>
      <w:ind w:firstLine="360"/>
      <w:jc w:val="right"/>
    </w:pPr>
    <w:r>
      <w:fldChar w:fldCharType="begin"/>
    </w:r>
    <w:r>
      <w:instrText xml:space="preserve"> PAGE   \* MERGEFORMAT </w:instrText>
    </w:r>
    <w:r>
      <w:fldChar w:fldCharType="separate"/>
    </w:r>
    <w:r>
      <w:rPr>
        <w:lang w:val="zh-CN"/>
      </w:rPr>
      <w:t>1</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D9635">
    <w:pPr>
      <w:pStyle w:val="35"/>
      <w:ind w:firstLine="360"/>
      <w:jc w:val="center"/>
    </w:pPr>
    <w:r>
      <w:fldChar w:fldCharType="begin"/>
    </w:r>
    <w:r>
      <w:instrText xml:space="preserve">PAGE   \* MERGEFORMAT</w:instrText>
    </w:r>
    <w:r>
      <w:fldChar w:fldCharType="separate"/>
    </w:r>
    <w:r>
      <w:rPr>
        <w:lang w:val="zh-CN"/>
      </w:rPr>
      <w:t>41</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1855884"/>
    </w:sdtPr>
    <w:sdtContent>
      <w:p w14:paraId="67C03ADF">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46C5BE00">
    <w:pPr>
      <w:pStyle w:val="35"/>
      <w:ind w:right="720" w:firstLine="210" w:firstLineChars="100"/>
      <w:jc w:val="center"/>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17675"/>
    </w:sdtPr>
    <w:sdtContent>
      <w:p w14:paraId="5B1B9D91">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1362B271">
    <w:pPr>
      <w:pStyle w:val="35"/>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F9199">
    <w:pPr>
      <w:pStyle w:val="35"/>
      <w:framePr w:wrap="around" w:vAnchor="text" w:hAnchor="margin" w:xAlign="center" w:y="1"/>
      <w:ind w:right="360" w:firstLine="360"/>
      <w:rPr>
        <w:rStyle w:val="59"/>
      </w:rPr>
    </w:pPr>
  </w:p>
  <w:p w14:paraId="16E5FBDB">
    <w:pPr>
      <w:pStyle w:val="35"/>
      <w:ind w:firstLine="7920" w:firstLineChars="440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144135" cy="131445"/>
              <wp:effectExtent l="0" t="0" r="0" b="0"/>
              <wp:wrapNone/>
              <wp:docPr id="15"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43291953">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60288;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BMT38H1AEAAKo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S1uwoISywy++PHnj+OvP8ff&#10;38m8XGSJeg81Vj54rI3DBzdgeZIuxQGDifkgg0lf5EQwjwIfzgKLIRKOwUV1fV1dYSOOueoKvUWC&#10;KS63fYB4J5whyWhowAfMurL9R4hj6akkNbPuVmmdH1HbJwHEHCMib8F0+zJwsuKwGSYWG9cekFyP&#10;m9BQi4tPib63KHRampMRTsbmZOx8UNsOB63ylODf7yKOlCdNHUZYZJgcfMLMdVq3tCOP/Vx1+cV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TE9/B9QBAACqAwAADgAAAAAAAAABACAAAAAg&#10;AQAAZHJzL2Uyb0RvYy54bWxQSwUGAAAAAAYABgBZAQAAZgUAAAAA&#10;">
              <v:fill on="f" focussize="0,0"/>
              <v:stroke on="f"/>
              <v:imagedata o:title=""/>
              <o:lock v:ext="edit" aspectratio="f"/>
              <v:textbox inset="0mm,0mm,0mm,0mm" style="mso-fit-shape-to-text:t;">
                <w:txbxContent>
                  <w:p w14:paraId="43291953">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A0BEB">
    <w:pPr>
      <w:pStyle w:val="35"/>
      <w:framePr w:wrap="around" w:vAnchor="text" w:hAnchor="margin" w:xAlign="center" w:y="1"/>
      <w:ind w:right="360" w:firstLine="360"/>
      <w:rPr>
        <w:rStyle w:val="59"/>
      </w:rPr>
    </w:pPr>
  </w:p>
  <w:p w14:paraId="40DCA654">
    <w:pPr>
      <w:pStyle w:val="35"/>
      <w:ind w:firstLine="7920" w:firstLineChars="440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144135" cy="131445"/>
              <wp:effectExtent l="0" t="0" r="0" b="0"/>
              <wp:wrapNone/>
              <wp:docPr id="2"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08598C2B">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59264;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MIUeY1AEAAKk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W1D55RYZvDBjz9/HH/9Of7+&#10;TublIivUe6ix8MFjaRw+uAH3JimX4oDBRHyQwaQvUiKYR30PZ33FEAnH4KK6vq6uFpRwzFVX6C0S&#10;THG57QPEO+EMSUZDA75flpXtP0IcS08lqZl1t0rr/IbaPgkg5hgReQmm25eBkxWHzTCx2Lj2gOR6&#10;XISGWtx7SvS9RZ3TzpyMcDI2J2Png9p2OGiVpwT/fhdxpDxp6jDCIsPk4AtmrtO2pRV57Oeqyx+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jCFHmNQBAACpAwAADgAAAAAAAAABACAAAAAg&#10;AQAAZHJzL2Uyb0RvYy54bWxQSwUGAAAAAAYABgBZAQAAZgUAAAAA&#10;">
              <v:fill on="f" focussize="0,0"/>
              <v:stroke on="f"/>
              <v:imagedata o:title=""/>
              <o:lock v:ext="edit" aspectratio="f"/>
              <v:textbox inset="0mm,0mm,0mm,0mm" style="mso-fit-shape-to-text:t;">
                <w:txbxContent>
                  <w:p w14:paraId="08598C2B">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22D18">
    <w:pPr>
      <w:pStyle w:val="36"/>
      <w:rPr>
        <w:rFonts w:hint="eastAsia" w:ascii="微软雅黑" w:hAnsi="微软雅黑"/>
      </w:rPr>
    </w:pPr>
    <w:r>
      <w:rPr>
        <w:rFonts w:hint="eastAsia"/>
      </w:rPr>
      <w:pict>
        <v:shape id="PowerPlusWaterMarkObject13360720" o:spid="_x0000_s3074" o:spt="136" type="#_x0000_t136" style="position:absolute;left:0pt;height:41.85pt;width:544.0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68847">
    <w:pPr>
      <w:pStyle w:val="36"/>
    </w:pPr>
    <w: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1766268507" name="图片 1766268507"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68507" name="图片 1766268507"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嘉兴市秀洲区洪合镇人民政府实验室设备采购项目</w:t>
    </w:r>
    <w:r>
      <w:rPr>
        <w:rFonts w:hint="eastAsia" w:ascii="微软雅黑" w:hAnsi="微软雅黑"/>
      </w:rPr>
      <w:t>招标文件</w:t>
    </w:r>
    <w:r>
      <w:pict>
        <v:shape id="PowerPlusWaterMarkObject13360727" o:spid="_x0000_s3081" o:spt="136" type="#_x0000_t136" style="position:absolute;left:0pt;height:41.85pt;width:544.05pt;mso-position-horizontal:center;mso-position-horizontal-relative:margin;mso-position-vertical:center;mso-position-vertical-relative:margin;rotation:20643840f;z-index:-25163980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9EBD3">
    <w:pPr>
      <w:pStyle w:val="36"/>
    </w:pPr>
    <w:r>
      <w:pict>
        <v:shape id="_x0000_s3084" o:spid="_x0000_s3084" o:spt="136" type="#_x0000_t136" style="position:absolute;left:0pt;height:41.85pt;width:544.05pt;mso-position-horizontal:center;mso-position-horizontal-relative:margin;mso-position-vertical:center;mso-position-vertical-relative:margin;rotation:20643840f;z-index:-25164083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83DD3">
    <w:pPr>
      <w:pStyle w:val="36"/>
      <w:spacing w:line="460" w:lineRule="exact"/>
    </w:pPr>
    <w: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90525" cy="371475"/>
          <wp:effectExtent l="0" t="0" r="9525" b="9525"/>
          <wp:wrapNone/>
          <wp:docPr id="847356751" name="图片 84735675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56751" name="图片 84735675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秀洲区洪合镇圩区标准化创建及运维项目</w:t>
    </w:r>
    <w:r>
      <w:rPr>
        <w:rFonts w:hint="eastAsia" w:ascii="微软雅黑" w:hAnsi="微软雅黑" w:cs="微软雅黑"/>
      </w:rPr>
      <w:t>·</w:t>
    </w:r>
    <w:r>
      <w:rPr>
        <w:rFonts w:hint="eastAsia" w:ascii="微软雅黑" w:hAnsi="微软雅黑"/>
      </w:rPr>
      <w:t>招标文件</w:t>
    </w:r>
    <w:r>
      <w:pict>
        <v:shape id="_x0000_s3083" o:spid="_x0000_s3083" o:spt="136" type="#_x0000_t136" style="position:absolute;left:0pt;height:41.85pt;width:544.05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06A9F">
    <w:pPr>
      <w:pStyle w:val="36"/>
      <w:spacing w:line="400" w:lineRule="exact"/>
    </w:pPr>
    <w: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1073838202" name="图片 107383820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202" name="图片 107383820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秀洲区洪合镇圩区标准化创建及运维项目</w:t>
    </w:r>
    <w:r>
      <w:rPr>
        <w:rFonts w:hint="eastAsia" w:ascii="微软雅黑" w:hAnsi="微软雅黑"/>
      </w:rPr>
      <w:t>・招标文件</w:t>
    </w:r>
  </w:p>
  <w:p w14:paraId="7B728289">
    <w:pPr>
      <w:ind w:firstLine="361"/>
      <w:rPr>
        <w:rFonts w:ascii="仿宋_GB2312" w:eastAsia="仿宋_GB2312"/>
        <w:b/>
        <w:i/>
        <w:sz w:val="18"/>
        <w:u w:val="singl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B312C">
    <w:pPr>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1F5BC">
    <w:pPr>
      <w:pStyle w:val="36"/>
    </w:pPr>
    <w:r>
      <w:pict>
        <v:shape id="PowerPlusWaterMarkObject13360719" o:spid="_x0000_s3075" o:spt="136" type="#_x0000_t136" style="position:absolute;left:0pt;height:41.85pt;width:544.0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3C248">
    <w:pPr>
      <w:pStyle w:val="36"/>
    </w:pPr>
    <w:r>
      <w:pict>
        <v:shape id="PowerPlusWaterMarkObject13360718" o:spid="_x0000_s3073" o:spt="136" type="#_x0000_t136" style="position:absolute;left:0pt;height:41.85pt;width:544.0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F7551">
    <w:pPr>
      <w:pStyle w:val="36"/>
      <w:spacing w:line="400" w:lineRule="exact"/>
      <w:rPr>
        <w:rFonts w:hint="eastAsia" w:ascii="微软雅黑" w:hAnsi="微软雅黑"/>
      </w:rPr>
    </w:pPr>
    <w:r>
      <w:drawing>
        <wp:anchor distT="0" distB="0" distL="114300" distR="114300" simplePos="0" relativeHeight="251662336" behindDoc="0" locked="0" layoutInCell="1" allowOverlap="1">
          <wp:simplePos x="0" y="0"/>
          <wp:positionH relativeFrom="column">
            <wp:posOffset>1905</wp:posOffset>
          </wp:positionH>
          <wp:positionV relativeFrom="paragraph">
            <wp:posOffset>-130810</wp:posOffset>
          </wp:positionV>
          <wp:extent cx="390525" cy="371475"/>
          <wp:effectExtent l="19050" t="0" r="9525" b="0"/>
          <wp:wrapNone/>
          <wp:docPr id="1033682942" name="图片 103368294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2942" name="图片 103368294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pict>
        <v:shape id="PowerPlusWaterMarkObject13360723" o:spid="_x0000_s3077" o:spt="136" type="#_x0000_t136" style="position:absolute;left:0pt;height:41.85pt;width:544.0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r>
      <w:rPr>
        <w:rFonts w:hint="eastAsia"/>
      </w:rPr>
      <w:t xml:space="preserve"> 秀洲区洪合镇圩区标准化创建及运维项目</w:t>
    </w:r>
    <w:r>
      <w:rPr>
        <w:rFonts w:hint="eastAsia" w:ascii="微软雅黑" w:hAnsi="微软雅黑" w:cs="微软雅黑"/>
      </w:rPr>
      <w:t>·</w:t>
    </w:r>
    <w:r>
      <w:rPr>
        <w:rFonts w:hint="eastAsia" w:ascii="微软雅黑" w:hAnsi="微软雅黑"/>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FAB01">
    <w:pPr>
      <w:pStyle w:val="36"/>
    </w:pPr>
    <w:r>
      <w:pict>
        <v:shape id="PowerPlusWaterMarkObject13360722" o:spid="_x0000_s3078" o:spt="136" type="#_x0000_t136" style="position:absolute;left:0pt;height:41.85pt;width:544.0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D710B">
    <w:pPr>
      <w:pStyle w:val="36"/>
    </w:pPr>
    <w:r>
      <w:pict>
        <v:shape id="PowerPlusWaterMarkObject13360721" o:spid="_x0000_s3076" o:spt="136" type="#_x0000_t136" style="position:absolute;left:0pt;height:41.85pt;width:544.0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69665">
    <w:pPr>
      <w:pStyle w:val="36"/>
    </w:pPr>
    <w:r>
      <w:pict>
        <v:shape id="PowerPlusWaterMarkObject13360725" o:spid="_x0000_s3080" o:spt="136" type="#_x0000_t136" style="position:absolute;left:0pt;height:41.85pt;width:544.05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A5C16">
    <w:pPr>
      <w:pStyle w:val="36"/>
    </w:pPr>
    <w:r>
      <w:pict>
        <v:shape id="PowerPlusWaterMarkObject13360724" o:spid="_x0000_s3079" o:spt="136" type="#_x0000_t136" style="position:absolute;left:0pt;height:41.85pt;width:544.05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A95F5">
    <w:pPr>
      <w:pStyle w:val="36"/>
    </w:pPr>
    <w:r>
      <w:pict>
        <v:shape id="PowerPlusWaterMarkObject13360728" o:spid="_x0000_s3082" o:spt="136" type="#_x0000_t136" style="position:absolute;left:0pt;height:41.85pt;width:544.05pt;mso-position-horizontal:center;mso-position-horizontal-relative:margin;mso-position-vertical:center;mso-position-vertical-relative:margin;rotation:20643840f;z-index:-25163878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B8ADD4"/>
    <w:multiLevelType w:val="multilevel"/>
    <w:tmpl w:val="ADB8ADD4"/>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2">
    <w:nsid w:val="00167223"/>
    <w:multiLevelType w:val="multilevel"/>
    <w:tmpl w:val="00167223"/>
    <w:lvl w:ilvl="0" w:tentative="0">
      <w:start w:val="1"/>
      <w:numFmt w:val="chineseCountingThousand"/>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
    <w:nsid w:val="00C241E1"/>
    <w:multiLevelType w:val="multilevel"/>
    <w:tmpl w:val="00C241E1"/>
    <w:lvl w:ilvl="0" w:tentative="0">
      <w:start w:val="1"/>
      <w:numFmt w:val="decimal"/>
      <w:lvlText w:val="%1."/>
      <w:lvlJc w:val="left"/>
      <w:pPr>
        <w:ind w:left="1300" w:hanging="440"/>
      </w:pPr>
    </w:lvl>
    <w:lvl w:ilvl="1" w:tentative="0">
      <w:start w:val="1"/>
      <w:numFmt w:val="lowerLetter"/>
      <w:lvlText w:val="%2)"/>
      <w:lvlJc w:val="left"/>
      <w:pPr>
        <w:ind w:left="1740" w:hanging="440"/>
      </w:pPr>
    </w:lvl>
    <w:lvl w:ilvl="2" w:tentative="0">
      <w:start w:val="1"/>
      <w:numFmt w:val="lowerRoman"/>
      <w:lvlText w:val="%3."/>
      <w:lvlJc w:val="right"/>
      <w:pPr>
        <w:ind w:left="2180" w:hanging="440"/>
      </w:pPr>
    </w:lvl>
    <w:lvl w:ilvl="3" w:tentative="0">
      <w:start w:val="1"/>
      <w:numFmt w:val="decimal"/>
      <w:lvlText w:val="%4."/>
      <w:lvlJc w:val="left"/>
      <w:pPr>
        <w:ind w:left="2620" w:hanging="440"/>
      </w:pPr>
    </w:lvl>
    <w:lvl w:ilvl="4" w:tentative="0">
      <w:start w:val="1"/>
      <w:numFmt w:val="lowerLetter"/>
      <w:lvlText w:val="%5)"/>
      <w:lvlJc w:val="left"/>
      <w:pPr>
        <w:ind w:left="3060" w:hanging="440"/>
      </w:pPr>
    </w:lvl>
    <w:lvl w:ilvl="5" w:tentative="0">
      <w:start w:val="1"/>
      <w:numFmt w:val="lowerRoman"/>
      <w:lvlText w:val="%6."/>
      <w:lvlJc w:val="right"/>
      <w:pPr>
        <w:ind w:left="3500" w:hanging="440"/>
      </w:pPr>
    </w:lvl>
    <w:lvl w:ilvl="6" w:tentative="0">
      <w:start w:val="1"/>
      <w:numFmt w:val="decimal"/>
      <w:lvlText w:val="%7."/>
      <w:lvlJc w:val="left"/>
      <w:pPr>
        <w:ind w:left="3940" w:hanging="440"/>
      </w:pPr>
    </w:lvl>
    <w:lvl w:ilvl="7" w:tentative="0">
      <w:start w:val="1"/>
      <w:numFmt w:val="lowerLetter"/>
      <w:lvlText w:val="%8)"/>
      <w:lvlJc w:val="left"/>
      <w:pPr>
        <w:ind w:left="4380" w:hanging="440"/>
      </w:pPr>
    </w:lvl>
    <w:lvl w:ilvl="8" w:tentative="0">
      <w:start w:val="1"/>
      <w:numFmt w:val="lowerRoman"/>
      <w:lvlText w:val="%9."/>
      <w:lvlJc w:val="right"/>
      <w:pPr>
        <w:ind w:left="4820" w:hanging="440"/>
      </w:pPr>
    </w:lvl>
  </w:abstractNum>
  <w:abstractNum w:abstractNumId="4">
    <w:nsid w:val="0AFB7D85"/>
    <w:multiLevelType w:val="multilevel"/>
    <w:tmpl w:val="0AFB7D85"/>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0F8F9CC7"/>
    <w:multiLevelType w:val="singleLevel"/>
    <w:tmpl w:val="0F8F9CC7"/>
    <w:lvl w:ilvl="0" w:tentative="0">
      <w:start w:val="2"/>
      <w:numFmt w:val="chineseCounting"/>
      <w:suff w:val="nothing"/>
      <w:lvlText w:val="（%1）"/>
      <w:lvlJc w:val="left"/>
      <w:rPr>
        <w:rFonts w:hint="eastAsia"/>
      </w:rPr>
    </w:lvl>
  </w:abstractNum>
  <w:abstractNum w:abstractNumId="6">
    <w:nsid w:val="1133764E"/>
    <w:multiLevelType w:val="multilevel"/>
    <w:tmpl w:val="1133764E"/>
    <w:lvl w:ilvl="0" w:tentative="0">
      <w:start w:val="1"/>
      <w:numFmt w:val="decimal"/>
      <w:lvlText w:val="%1."/>
      <w:lvlJc w:val="left"/>
      <w:pPr>
        <w:ind w:left="1300" w:hanging="440"/>
      </w:pPr>
    </w:lvl>
    <w:lvl w:ilvl="1" w:tentative="0">
      <w:start w:val="1"/>
      <w:numFmt w:val="lowerLetter"/>
      <w:lvlText w:val="%2)"/>
      <w:lvlJc w:val="left"/>
      <w:pPr>
        <w:ind w:left="1740" w:hanging="440"/>
      </w:pPr>
    </w:lvl>
    <w:lvl w:ilvl="2" w:tentative="0">
      <w:start w:val="1"/>
      <w:numFmt w:val="lowerRoman"/>
      <w:lvlText w:val="%3."/>
      <w:lvlJc w:val="right"/>
      <w:pPr>
        <w:ind w:left="2180" w:hanging="440"/>
      </w:pPr>
    </w:lvl>
    <w:lvl w:ilvl="3" w:tentative="0">
      <w:start w:val="1"/>
      <w:numFmt w:val="decimal"/>
      <w:lvlText w:val="%4."/>
      <w:lvlJc w:val="left"/>
      <w:pPr>
        <w:ind w:left="2620" w:hanging="440"/>
      </w:pPr>
    </w:lvl>
    <w:lvl w:ilvl="4" w:tentative="0">
      <w:start w:val="1"/>
      <w:numFmt w:val="lowerLetter"/>
      <w:lvlText w:val="%5)"/>
      <w:lvlJc w:val="left"/>
      <w:pPr>
        <w:ind w:left="3060" w:hanging="440"/>
      </w:pPr>
    </w:lvl>
    <w:lvl w:ilvl="5" w:tentative="0">
      <w:start w:val="1"/>
      <w:numFmt w:val="lowerRoman"/>
      <w:lvlText w:val="%6."/>
      <w:lvlJc w:val="right"/>
      <w:pPr>
        <w:ind w:left="3500" w:hanging="440"/>
      </w:pPr>
    </w:lvl>
    <w:lvl w:ilvl="6" w:tentative="0">
      <w:start w:val="1"/>
      <w:numFmt w:val="decimal"/>
      <w:lvlText w:val="%7."/>
      <w:lvlJc w:val="left"/>
      <w:pPr>
        <w:ind w:left="3940" w:hanging="440"/>
      </w:pPr>
    </w:lvl>
    <w:lvl w:ilvl="7" w:tentative="0">
      <w:start w:val="1"/>
      <w:numFmt w:val="lowerLetter"/>
      <w:lvlText w:val="%8)"/>
      <w:lvlJc w:val="left"/>
      <w:pPr>
        <w:ind w:left="4380" w:hanging="440"/>
      </w:pPr>
    </w:lvl>
    <w:lvl w:ilvl="8" w:tentative="0">
      <w:start w:val="1"/>
      <w:numFmt w:val="lowerRoman"/>
      <w:lvlText w:val="%9."/>
      <w:lvlJc w:val="right"/>
      <w:pPr>
        <w:ind w:left="4820" w:hanging="440"/>
      </w:pPr>
    </w:lvl>
  </w:abstractNum>
  <w:abstractNum w:abstractNumId="7">
    <w:nsid w:val="3146194C"/>
    <w:multiLevelType w:val="multilevel"/>
    <w:tmpl w:val="3146194C"/>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
    <w:nsid w:val="330165C5"/>
    <w:multiLevelType w:val="multilevel"/>
    <w:tmpl w:val="330165C5"/>
    <w:lvl w:ilvl="0" w:tentative="0">
      <w:start w:val="1"/>
      <w:numFmt w:val="chineseCountingThousand"/>
      <w:suff w:val="nothing"/>
      <w:lvlText w:val="%1、"/>
      <w:lvlJc w:val="left"/>
      <w:pPr>
        <w:ind w:left="860" w:hanging="440"/>
      </w:pPr>
      <w:rPr>
        <w:rFonts w:hint="eastAsia"/>
      </w:rPr>
    </w:lvl>
    <w:lvl w:ilvl="1" w:tentative="0">
      <w:start w:val="1"/>
      <w:numFmt w:val="decimal"/>
      <w:lvlText w:val="%2."/>
      <w:lvlJc w:val="left"/>
      <w:pPr>
        <w:ind w:left="44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9">
    <w:nsid w:val="36E35AFC"/>
    <w:multiLevelType w:val="multilevel"/>
    <w:tmpl w:val="36E35AFC"/>
    <w:lvl w:ilvl="0" w:tentative="0">
      <w:start w:val="1"/>
      <w:numFmt w:val="decimal"/>
      <w:suff w:val="nothing"/>
      <w:lvlText w:val="（%1）"/>
      <w:lvlJc w:val="left"/>
      <w:pPr>
        <w:ind w:left="860" w:hanging="440"/>
      </w:pPr>
      <w:rPr>
        <w:rFonts w:hint="eastAsia"/>
      </w:rPr>
    </w:lvl>
    <w:lvl w:ilvl="1" w:tentative="0">
      <w:start w:val="1"/>
      <w:numFmt w:val="lowerLetter"/>
      <w:lvlText w:val="%2)"/>
      <w:lvlJc w:val="left"/>
      <w:pPr>
        <w:ind w:left="1300" w:hanging="440"/>
      </w:pPr>
      <w:rPr>
        <w:rFonts w:hint="eastAsia"/>
      </w:rPr>
    </w:lvl>
    <w:lvl w:ilvl="2" w:tentative="0">
      <w:start w:val="1"/>
      <w:numFmt w:val="lowerRoman"/>
      <w:lvlText w:val="%3."/>
      <w:lvlJc w:val="right"/>
      <w:pPr>
        <w:ind w:left="1740" w:hanging="440"/>
      </w:pPr>
      <w:rPr>
        <w:rFonts w:hint="eastAsia"/>
      </w:rPr>
    </w:lvl>
    <w:lvl w:ilvl="3" w:tentative="0">
      <w:start w:val="1"/>
      <w:numFmt w:val="decimal"/>
      <w:lvlText w:val="%4."/>
      <w:lvlJc w:val="left"/>
      <w:pPr>
        <w:ind w:left="2180" w:hanging="440"/>
      </w:pPr>
      <w:rPr>
        <w:rFonts w:hint="eastAsia"/>
      </w:rPr>
    </w:lvl>
    <w:lvl w:ilvl="4" w:tentative="0">
      <w:start w:val="1"/>
      <w:numFmt w:val="lowerLetter"/>
      <w:lvlText w:val="%5)"/>
      <w:lvlJc w:val="left"/>
      <w:pPr>
        <w:ind w:left="2620" w:hanging="440"/>
      </w:pPr>
      <w:rPr>
        <w:rFonts w:hint="eastAsia"/>
      </w:rPr>
    </w:lvl>
    <w:lvl w:ilvl="5" w:tentative="0">
      <w:start w:val="1"/>
      <w:numFmt w:val="lowerRoman"/>
      <w:lvlText w:val="%6."/>
      <w:lvlJc w:val="right"/>
      <w:pPr>
        <w:ind w:left="3060" w:hanging="440"/>
      </w:pPr>
      <w:rPr>
        <w:rFonts w:hint="eastAsia"/>
      </w:rPr>
    </w:lvl>
    <w:lvl w:ilvl="6" w:tentative="0">
      <w:start w:val="1"/>
      <w:numFmt w:val="decimal"/>
      <w:lvlText w:val="%7."/>
      <w:lvlJc w:val="left"/>
      <w:pPr>
        <w:ind w:left="3500" w:hanging="440"/>
      </w:pPr>
      <w:rPr>
        <w:rFonts w:hint="eastAsia"/>
      </w:rPr>
    </w:lvl>
    <w:lvl w:ilvl="7" w:tentative="0">
      <w:start w:val="1"/>
      <w:numFmt w:val="lowerLetter"/>
      <w:lvlText w:val="%8)"/>
      <w:lvlJc w:val="left"/>
      <w:pPr>
        <w:ind w:left="3940" w:hanging="440"/>
      </w:pPr>
      <w:rPr>
        <w:rFonts w:hint="eastAsia"/>
      </w:rPr>
    </w:lvl>
    <w:lvl w:ilvl="8" w:tentative="0">
      <w:start w:val="1"/>
      <w:numFmt w:val="lowerRoman"/>
      <w:lvlText w:val="%9."/>
      <w:lvlJc w:val="right"/>
      <w:pPr>
        <w:ind w:left="4380" w:hanging="440"/>
      </w:pPr>
      <w:rPr>
        <w:rFonts w:hint="eastAsia"/>
      </w:rPr>
    </w:lvl>
  </w:abstractNum>
  <w:abstractNum w:abstractNumId="10">
    <w:nsid w:val="4034AC53"/>
    <w:multiLevelType w:val="singleLevel"/>
    <w:tmpl w:val="4034AC53"/>
    <w:lvl w:ilvl="0" w:tentative="0">
      <w:start w:val="1"/>
      <w:numFmt w:val="chineseCountingThousand"/>
      <w:suff w:val="space"/>
      <w:lvlText w:val="第%1章"/>
      <w:lvlJc w:val="left"/>
      <w:pPr>
        <w:ind w:left="0" w:firstLine="0"/>
      </w:pPr>
      <w:rPr>
        <w:rFonts w:hint="eastAsia"/>
      </w:rPr>
    </w:lvl>
  </w:abstractNum>
  <w:abstractNum w:abstractNumId="11">
    <w:nsid w:val="431D695A"/>
    <w:multiLevelType w:val="multilevel"/>
    <w:tmpl w:val="431D695A"/>
    <w:lvl w:ilvl="0" w:tentative="0">
      <w:start w:val="1"/>
      <w:numFmt w:val="bullet"/>
      <w:lvlText w:val=""/>
      <w:lvlJc w:val="left"/>
      <w:pPr>
        <w:ind w:left="864" w:hanging="440"/>
      </w:pPr>
      <w:rPr>
        <w:rFonts w:hint="default" w:ascii="Wingdings" w:hAnsi="Wingdings"/>
      </w:rPr>
    </w:lvl>
    <w:lvl w:ilvl="1" w:tentative="0">
      <w:start w:val="1"/>
      <w:numFmt w:val="bullet"/>
      <w:lvlText w:val=""/>
      <w:lvlJc w:val="left"/>
      <w:pPr>
        <w:ind w:left="1304" w:hanging="440"/>
      </w:pPr>
      <w:rPr>
        <w:rFonts w:hint="default" w:ascii="Wingdings" w:hAnsi="Wingdings"/>
      </w:rPr>
    </w:lvl>
    <w:lvl w:ilvl="2" w:tentative="0">
      <w:start w:val="1"/>
      <w:numFmt w:val="bullet"/>
      <w:lvlText w:val=""/>
      <w:lvlJc w:val="left"/>
      <w:pPr>
        <w:ind w:left="1744" w:hanging="440"/>
      </w:pPr>
      <w:rPr>
        <w:rFonts w:hint="default" w:ascii="Wingdings" w:hAnsi="Wingdings"/>
      </w:rPr>
    </w:lvl>
    <w:lvl w:ilvl="3" w:tentative="0">
      <w:start w:val="1"/>
      <w:numFmt w:val="bullet"/>
      <w:lvlText w:val=""/>
      <w:lvlJc w:val="left"/>
      <w:pPr>
        <w:ind w:left="2184" w:hanging="440"/>
      </w:pPr>
      <w:rPr>
        <w:rFonts w:hint="default" w:ascii="Wingdings" w:hAnsi="Wingdings"/>
      </w:rPr>
    </w:lvl>
    <w:lvl w:ilvl="4" w:tentative="0">
      <w:start w:val="1"/>
      <w:numFmt w:val="bullet"/>
      <w:lvlText w:val=""/>
      <w:lvlJc w:val="left"/>
      <w:pPr>
        <w:ind w:left="2624" w:hanging="440"/>
      </w:pPr>
      <w:rPr>
        <w:rFonts w:hint="default" w:ascii="Wingdings" w:hAnsi="Wingdings"/>
      </w:rPr>
    </w:lvl>
    <w:lvl w:ilvl="5" w:tentative="0">
      <w:start w:val="1"/>
      <w:numFmt w:val="bullet"/>
      <w:lvlText w:val=""/>
      <w:lvlJc w:val="left"/>
      <w:pPr>
        <w:ind w:left="3064" w:hanging="440"/>
      </w:pPr>
      <w:rPr>
        <w:rFonts w:hint="default" w:ascii="Wingdings" w:hAnsi="Wingdings"/>
      </w:rPr>
    </w:lvl>
    <w:lvl w:ilvl="6" w:tentative="0">
      <w:start w:val="1"/>
      <w:numFmt w:val="bullet"/>
      <w:lvlText w:val=""/>
      <w:lvlJc w:val="left"/>
      <w:pPr>
        <w:ind w:left="3504" w:hanging="440"/>
      </w:pPr>
      <w:rPr>
        <w:rFonts w:hint="default" w:ascii="Wingdings" w:hAnsi="Wingdings"/>
      </w:rPr>
    </w:lvl>
    <w:lvl w:ilvl="7" w:tentative="0">
      <w:start w:val="1"/>
      <w:numFmt w:val="bullet"/>
      <w:lvlText w:val=""/>
      <w:lvlJc w:val="left"/>
      <w:pPr>
        <w:ind w:left="3944" w:hanging="440"/>
      </w:pPr>
      <w:rPr>
        <w:rFonts w:hint="default" w:ascii="Wingdings" w:hAnsi="Wingdings"/>
      </w:rPr>
    </w:lvl>
    <w:lvl w:ilvl="8" w:tentative="0">
      <w:start w:val="1"/>
      <w:numFmt w:val="bullet"/>
      <w:lvlText w:val=""/>
      <w:lvlJc w:val="left"/>
      <w:pPr>
        <w:ind w:left="4384" w:hanging="440"/>
      </w:pPr>
      <w:rPr>
        <w:rFonts w:hint="default" w:ascii="Wingdings" w:hAnsi="Wingdings"/>
      </w:rPr>
    </w:lvl>
  </w:abstractNum>
  <w:abstractNum w:abstractNumId="12">
    <w:nsid w:val="481E6AFE"/>
    <w:multiLevelType w:val="multilevel"/>
    <w:tmpl w:val="481E6AFE"/>
    <w:lvl w:ilvl="0" w:tentative="0">
      <w:start w:val="1"/>
      <w:numFmt w:val="decimal"/>
      <w:lvlText w:val="%1."/>
      <w:lvlJc w:val="left"/>
      <w:pPr>
        <w:ind w:left="860" w:hanging="440"/>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3">
    <w:nsid w:val="49EB72E2"/>
    <w:multiLevelType w:val="multilevel"/>
    <w:tmpl w:val="49EB72E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2851"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4">
    <w:nsid w:val="51FA1A31"/>
    <w:multiLevelType w:val="multilevel"/>
    <w:tmpl w:val="51FA1A31"/>
    <w:lvl w:ilvl="0" w:tentative="0">
      <w:start w:val="1"/>
      <w:numFmt w:val="japaneseCounting"/>
      <w:pStyle w:val="13"/>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528201DB"/>
    <w:multiLevelType w:val="multilevel"/>
    <w:tmpl w:val="528201DB"/>
    <w:lvl w:ilvl="0" w:tentative="0">
      <w:start w:val="1"/>
      <w:numFmt w:val="chineseCountingThousand"/>
      <w:lvlText w:val="第%1章"/>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5D1B2F18"/>
    <w:multiLevelType w:val="multilevel"/>
    <w:tmpl w:val="5D1B2F18"/>
    <w:lvl w:ilvl="0" w:tentative="0">
      <w:start w:val="1"/>
      <w:numFmt w:val="decimal"/>
      <w:lvlText w:val="%1."/>
      <w:lvlJc w:val="left"/>
      <w:pPr>
        <w:ind w:left="425" w:hanging="425"/>
      </w:pPr>
    </w:lvl>
    <w:lvl w:ilvl="1" w:tentative="0">
      <w:start w:val="1"/>
      <w:numFmt w:val="decimal"/>
      <w:lvlText w:val="%1.%2."/>
      <w:lvlJc w:val="left"/>
      <w:pPr>
        <w:ind w:left="127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7">
    <w:nsid w:val="5F225ACA"/>
    <w:multiLevelType w:val="multilevel"/>
    <w:tmpl w:val="5F225ACA"/>
    <w:lvl w:ilvl="0" w:tentative="0">
      <w:start w:val="1"/>
      <w:numFmt w:val="bullet"/>
      <w:lvlText w:val=""/>
      <w:lvlJc w:val="left"/>
      <w:pPr>
        <w:ind w:left="866" w:hanging="440"/>
      </w:pPr>
      <w:rPr>
        <w:rFonts w:hint="default" w:ascii="Wingdings" w:hAnsi="Wingdings"/>
      </w:rPr>
    </w:lvl>
    <w:lvl w:ilvl="1" w:tentative="0">
      <w:start w:val="1"/>
      <w:numFmt w:val="bullet"/>
      <w:lvlText w:val=""/>
      <w:lvlJc w:val="left"/>
      <w:pPr>
        <w:ind w:left="1306" w:hanging="440"/>
      </w:pPr>
      <w:rPr>
        <w:rFonts w:hint="default" w:ascii="Wingdings" w:hAnsi="Wingdings"/>
      </w:rPr>
    </w:lvl>
    <w:lvl w:ilvl="2" w:tentative="0">
      <w:start w:val="1"/>
      <w:numFmt w:val="bullet"/>
      <w:lvlText w:val=""/>
      <w:lvlJc w:val="left"/>
      <w:pPr>
        <w:ind w:left="1746" w:hanging="440"/>
      </w:pPr>
      <w:rPr>
        <w:rFonts w:hint="default" w:ascii="Wingdings" w:hAnsi="Wingdings"/>
      </w:rPr>
    </w:lvl>
    <w:lvl w:ilvl="3" w:tentative="0">
      <w:start w:val="1"/>
      <w:numFmt w:val="bullet"/>
      <w:lvlText w:val=""/>
      <w:lvlJc w:val="left"/>
      <w:pPr>
        <w:ind w:left="2186" w:hanging="440"/>
      </w:pPr>
      <w:rPr>
        <w:rFonts w:hint="default" w:ascii="Wingdings" w:hAnsi="Wingdings"/>
      </w:rPr>
    </w:lvl>
    <w:lvl w:ilvl="4" w:tentative="0">
      <w:start w:val="1"/>
      <w:numFmt w:val="bullet"/>
      <w:lvlText w:val=""/>
      <w:lvlJc w:val="left"/>
      <w:pPr>
        <w:ind w:left="2626" w:hanging="440"/>
      </w:pPr>
      <w:rPr>
        <w:rFonts w:hint="default" w:ascii="Wingdings" w:hAnsi="Wingdings"/>
      </w:rPr>
    </w:lvl>
    <w:lvl w:ilvl="5" w:tentative="0">
      <w:start w:val="1"/>
      <w:numFmt w:val="bullet"/>
      <w:lvlText w:val=""/>
      <w:lvlJc w:val="left"/>
      <w:pPr>
        <w:ind w:left="3066" w:hanging="440"/>
      </w:pPr>
      <w:rPr>
        <w:rFonts w:hint="default" w:ascii="Wingdings" w:hAnsi="Wingdings"/>
      </w:rPr>
    </w:lvl>
    <w:lvl w:ilvl="6" w:tentative="0">
      <w:start w:val="1"/>
      <w:numFmt w:val="bullet"/>
      <w:lvlText w:val=""/>
      <w:lvlJc w:val="left"/>
      <w:pPr>
        <w:ind w:left="3506" w:hanging="440"/>
      </w:pPr>
      <w:rPr>
        <w:rFonts w:hint="default" w:ascii="Wingdings" w:hAnsi="Wingdings"/>
      </w:rPr>
    </w:lvl>
    <w:lvl w:ilvl="7" w:tentative="0">
      <w:start w:val="1"/>
      <w:numFmt w:val="bullet"/>
      <w:lvlText w:val=""/>
      <w:lvlJc w:val="left"/>
      <w:pPr>
        <w:ind w:left="3946" w:hanging="440"/>
      </w:pPr>
      <w:rPr>
        <w:rFonts w:hint="default" w:ascii="Wingdings" w:hAnsi="Wingdings"/>
      </w:rPr>
    </w:lvl>
    <w:lvl w:ilvl="8" w:tentative="0">
      <w:start w:val="1"/>
      <w:numFmt w:val="bullet"/>
      <w:lvlText w:val=""/>
      <w:lvlJc w:val="left"/>
      <w:pPr>
        <w:ind w:left="4386" w:hanging="440"/>
      </w:pPr>
      <w:rPr>
        <w:rFonts w:hint="default" w:ascii="Wingdings" w:hAnsi="Wingdings"/>
      </w:rPr>
    </w:lvl>
  </w:abstractNum>
  <w:abstractNum w:abstractNumId="18">
    <w:nsid w:val="5F7181FD"/>
    <w:multiLevelType w:val="singleLevel"/>
    <w:tmpl w:val="5F7181FD"/>
    <w:lvl w:ilvl="0" w:tentative="0">
      <w:start w:val="2"/>
      <w:numFmt w:val="chineseCounting"/>
      <w:suff w:val="nothing"/>
      <w:lvlText w:val="%1、"/>
      <w:lvlJc w:val="left"/>
      <w:rPr>
        <w:rFonts w:hint="eastAsia"/>
      </w:rPr>
    </w:lvl>
  </w:abstractNum>
  <w:abstractNum w:abstractNumId="19">
    <w:nsid w:val="65815418"/>
    <w:multiLevelType w:val="multilevel"/>
    <w:tmpl w:val="65815418"/>
    <w:lvl w:ilvl="0" w:tentative="0">
      <w:start w:val="1"/>
      <w:numFmt w:val="decimal"/>
      <w:lvlText w:val="%1."/>
      <w:lvlJc w:val="left"/>
      <w:pPr>
        <w:ind w:left="864" w:hanging="440"/>
      </w:pPr>
    </w:lvl>
    <w:lvl w:ilvl="1" w:tentative="0">
      <w:start w:val="1"/>
      <w:numFmt w:val="decimal"/>
      <w:lvlText w:val="%2."/>
      <w:lvlJc w:val="left"/>
      <w:pPr>
        <w:ind w:left="864" w:hanging="440"/>
      </w:pPr>
    </w:lvl>
    <w:lvl w:ilvl="2" w:tentative="0">
      <w:start w:val="1"/>
      <w:numFmt w:val="lowerRoman"/>
      <w:lvlText w:val="%3."/>
      <w:lvlJc w:val="right"/>
      <w:pPr>
        <w:ind w:left="1744" w:hanging="440"/>
      </w:pPr>
    </w:lvl>
    <w:lvl w:ilvl="3" w:tentative="0">
      <w:start w:val="1"/>
      <w:numFmt w:val="decimal"/>
      <w:lvlText w:val="%4."/>
      <w:lvlJc w:val="left"/>
      <w:pPr>
        <w:ind w:left="2184" w:hanging="440"/>
      </w:pPr>
    </w:lvl>
    <w:lvl w:ilvl="4" w:tentative="0">
      <w:start w:val="1"/>
      <w:numFmt w:val="lowerLetter"/>
      <w:lvlText w:val="%5)"/>
      <w:lvlJc w:val="left"/>
      <w:pPr>
        <w:ind w:left="2624" w:hanging="440"/>
      </w:pPr>
    </w:lvl>
    <w:lvl w:ilvl="5" w:tentative="0">
      <w:start w:val="1"/>
      <w:numFmt w:val="lowerRoman"/>
      <w:lvlText w:val="%6."/>
      <w:lvlJc w:val="right"/>
      <w:pPr>
        <w:ind w:left="3064" w:hanging="440"/>
      </w:pPr>
    </w:lvl>
    <w:lvl w:ilvl="6" w:tentative="0">
      <w:start w:val="1"/>
      <w:numFmt w:val="decimal"/>
      <w:lvlText w:val="%7."/>
      <w:lvlJc w:val="left"/>
      <w:pPr>
        <w:ind w:left="3504" w:hanging="440"/>
      </w:pPr>
    </w:lvl>
    <w:lvl w:ilvl="7" w:tentative="0">
      <w:start w:val="1"/>
      <w:numFmt w:val="lowerLetter"/>
      <w:lvlText w:val="%8)"/>
      <w:lvlJc w:val="left"/>
      <w:pPr>
        <w:ind w:left="3944" w:hanging="440"/>
      </w:pPr>
    </w:lvl>
    <w:lvl w:ilvl="8" w:tentative="0">
      <w:start w:val="1"/>
      <w:numFmt w:val="lowerRoman"/>
      <w:lvlText w:val="%9."/>
      <w:lvlJc w:val="right"/>
      <w:pPr>
        <w:ind w:left="4384" w:hanging="440"/>
      </w:pPr>
    </w:lvl>
  </w:abstractNum>
  <w:abstractNum w:abstractNumId="20">
    <w:nsid w:val="66F063E3"/>
    <w:multiLevelType w:val="multilevel"/>
    <w:tmpl w:val="66F063E3"/>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1">
    <w:nsid w:val="6A7B8EC6"/>
    <w:multiLevelType w:val="singleLevel"/>
    <w:tmpl w:val="6A7B8EC6"/>
    <w:lvl w:ilvl="0" w:tentative="0">
      <w:start w:val="1"/>
      <w:numFmt w:val="decimal"/>
      <w:lvlText w:val="%1."/>
      <w:lvlJc w:val="left"/>
      <w:pPr>
        <w:ind w:left="425" w:hanging="425"/>
      </w:pPr>
      <w:rPr>
        <w:rFonts w:hint="default"/>
      </w:rPr>
    </w:lvl>
  </w:abstractNum>
  <w:abstractNum w:abstractNumId="22">
    <w:nsid w:val="6AB019D5"/>
    <w:multiLevelType w:val="singleLevel"/>
    <w:tmpl w:val="6AB019D5"/>
    <w:lvl w:ilvl="0" w:tentative="0">
      <w:start w:val="4"/>
      <w:numFmt w:val="decimal"/>
      <w:lvlText w:val="%1."/>
      <w:lvlJc w:val="left"/>
      <w:pPr>
        <w:tabs>
          <w:tab w:val="left" w:pos="312"/>
        </w:tabs>
      </w:pPr>
    </w:lvl>
  </w:abstractNum>
  <w:abstractNum w:abstractNumId="23">
    <w:nsid w:val="75CA221D"/>
    <w:multiLevelType w:val="multilevel"/>
    <w:tmpl w:val="75CA221D"/>
    <w:lvl w:ilvl="0" w:tentative="0">
      <w:start w:val="1"/>
      <w:numFmt w:val="chineseCountingThousand"/>
      <w:suff w:val="nothing"/>
      <w:lvlText w:val="%1、"/>
      <w:lvlJc w:val="left"/>
      <w:pPr>
        <w:ind w:left="860" w:hanging="440"/>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4">
    <w:nsid w:val="7EEEC8A2"/>
    <w:multiLevelType w:val="singleLevel"/>
    <w:tmpl w:val="7EEEC8A2"/>
    <w:lvl w:ilvl="0" w:tentative="0">
      <w:start w:val="1"/>
      <w:numFmt w:val="decimal"/>
      <w:suff w:val="nothing"/>
      <w:lvlText w:val="（%1）"/>
      <w:lvlJc w:val="left"/>
    </w:lvl>
  </w:abstractNum>
  <w:num w:numId="1">
    <w:abstractNumId w:val="14"/>
  </w:num>
  <w:num w:numId="2">
    <w:abstractNumId w:val="1"/>
  </w:num>
  <w:num w:numId="3">
    <w:abstractNumId w:val="15"/>
  </w:num>
  <w:num w:numId="4">
    <w:abstractNumId w:val="23"/>
  </w:num>
  <w:num w:numId="5">
    <w:abstractNumId w:val="2"/>
  </w:num>
  <w:num w:numId="6">
    <w:abstractNumId w:val="6"/>
  </w:num>
  <w:num w:numId="7">
    <w:abstractNumId w:val="16"/>
  </w:num>
  <w:num w:numId="8">
    <w:abstractNumId w:val="13"/>
  </w:num>
  <w:num w:numId="9">
    <w:abstractNumId w:val="11"/>
  </w:num>
  <w:num w:numId="10">
    <w:abstractNumId w:val="17"/>
  </w:num>
  <w:num w:numId="11">
    <w:abstractNumId w:val="20"/>
  </w:num>
  <w:num w:numId="12">
    <w:abstractNumId w:val="4"/>
  </w:num>
  <w:num w:numId="13">
    <w:abstractNumId w:val="7"/>
  </w:num>
  <w:num w:numId="14">
    <w:abstractNumId w:val="9"/>
  </w:num>
  <w:num w:numId="15">
    <w:abstractNumId w:val="3"/>
  </w:num>
  <w:num w:numId="16">
    <w:abstractNumId w:val="12"/>
  </w:num>
  <w:num w:numId="17">
    <w:abstractNumId w:val="0"/>
  </w:num>
  <w:num w:numId="18">
    <w:abstractNumId w:val="8"/>
  </w:num>
  <w:num w:numId="19">
    <w:abstractNumId w:val="22"/>
  </w:num>
  <w:num w:numId="20">
    <w:abstractNumId w:val="21"/>
  </w:num>
  <w:num w:numId="21">
    <w:abstractNumId w:val="5"/>
  </w:num>
  <w:num w:numId="22">
    <w:abstractNumId w:val="10"/>
  </w:num>
  <w:num w:numId="23">
    <w:abstractNumId w:val="18"/>
  </w:num>
  <w:num w:numId="24">
    <w:abstractNumId w:val="2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NotTrackMoves/>
  <w:documentProtection w:enforcement="0"/>
  <w:defaultTabStop w:val="21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lMTYyNTAxYWM3MWI0NzliODIyODNmMjdmN2NhNGEifQ=="/>
  </w:docVars>
  <w:rsids>
    <w:rsidRoot w:val="00172A27"/>
    <w:rsid w:val="00000868"/>
    <w:rsid w:val="0000151C"/>
    <w:rsid w:val="00002FF3"/>
    <w:rsid w:val="00003701"/>
    <w:rsid w:val="00003C3C"/>
    <w:rsid w:val="000044F4"/>
    <w:rsid w:val="00005826"/>
    <w:rsid w:val="000058A3"/>
    <w:rsid w:val="00005B6A"/>
    <w:rsid w:val="0000613F"/>
    <w:rsid w:val="00006676"/>
    <w:rsid w:val="00007472"/>
    <w:rsid w:val="00010B34"/>
    <w:rsid w:val="00010C33"/>
    <w:rsid w:val="00010C43"/>
    <w:rsid w:val="00011214"/>
    <w:rsid w:val="000112E4"/>
    <w:rsid w:val="00011499"/>
    <w:rsid w:val="000119C5"/>
    <w:rsid w:val="00011B6C"/>
    <w:rsid w:val="00011EDD"/>
    <w:rsid w:val="00012135"/>
    <w:rsid w:val="00012EA4"/>
    <w:rsid w:val="00014435"/>
    <w:rsid w:val="00015C8C"/>
    <w:rsid w:val="00016F84"/>
    <w:rsid w:val="000170F5"/>
    <w:rsid w:val="00017123"/>
    <w:rsid w:val="0001712E"/>
    <w:rsid w:val="0001791B"/>
    <w:rsid w:val="00020A3B"/>
    <w:rsid w:val="00023664"/>
    <w:rsid w:val="00023F05"/>
    <w:rsid w:val="0002437A"/>
    <w:rsid w:val="000248E6"/>
    <w:rsid w:val="00024B81"/>
    <w:rsid w:val="00025EE2"/>
    <w:rsid w:val="0003103E"/>
    <w:rsid w:val="0003149E"/>
    <w:rsid w:val="000314ED"/>
    <w:rsid w:val="00031953"/>
    <w:rsid w:val="00033451"/>
    <w:rsid w:val="00034D4D"/>
    <w:rsid w:val="00034FEF"/>
    <w:rsid w:val="00037CD8"/>
    <w:rsid w:val="0004008C"/>
    <w:rsid w:val="000401D5"/>
    <w:rsid w:val="000417EE"/>
    <w:rsid w:val="00042977"/>
    <w:rsid w:val="00042AFD"/>
    <w:rsid w:val="00042CE5"/>
    <w:rsid w:val="00043120"/>
    <w:rsid w:val="00043142"/>
    <w:rsid w:val="000445D4"/>
    <w:rsid w:val="00044AF0"/>
    <w:rsid w:val="00044CDD"/>
    <w:rsid w:val="000462B4"/>
    <w:rsid w:val="0004692F"/>
    <w:rsid w:val="0005070C"/>
    <w:rsid w:val="00050ADC"/>
    <w:rsid w:val="000518B8"/>
    <w:rsid w:val="00051FC1"/>
    <w:rsid w:val="00052F01"/>
    <w:rsid w:val="00054E1D"/>
    <w:rsid w:val="00055D20"/>
    <w:rsid w:val="00060047"/>
    <w:rsid w:val="00061917"/>
    <w:rsid w:val="000623FD"/>
    <w:rsid w:val="00062852"/>
    <w:rsid w:val="0006298F"/>
    <w:rsid w:val="00062AF1"/>
    <w:rsid w:val="000631C3"/>
    <w:rsid w:val="00063364"/>
    <w:rsid w:val="000636F8"/>
    <w:rsid w:val="000637C7"/>
    <w:rsid w:val="00063F1A"/>
    <w:rsid w:val="00064222"/>
    <w:rsid w:val="00065016"/>
    <w:rsid w:val="0006534E"/>
    <w:rsid w:val="00065769"/>
    <w:rsid w:val="000658A9"/>
    <w:rsid w:val="00066093"/>
    <w:rsid w:val="000662AD"/>
    <w:rsid w:val="00066842"/>
    <w:rsid w:val="000678B6"/>
    <w:rsid w:val="0007024A"/>
    <w:rsid w:val="00070975"/>
    <w:rsid w:val="000709B0"/>
    <w:rsid w:val="000718A7"/>
    <w:rsid w:val="00072638"/>
    <w:rsid w:val="0007340F"/>
    <w:rsid w:val="000736C9"/>
    <w:rsid w:val="00073C4C"/>
    <w:rsid w:val="00074B98"/>
    <w:rsid w:val="00074E55"/>
    <w:rsid w:val="00074FC4"/>
    <w:rsid w:val="00076500"/>
    <w:rsid w:val="0007718F"/>
    <w:rsid w:val="0007759B"/>
    <w:rsid w:val="0008057D"/>
    <w:rsid w:val="0008113B"/>
    <w:rsid w:val="000856F4"/>
    <w:rsid w:val="00085D08"/>
    <w:rsid w:val="0008643D"/>
    <w:rsid w:val="00086AAA"/>
    <w:rsid w:val="000871CB"/>
    <w:rsid w:val="00087869"/>
    <w:rsid w:val="00087F2C"/>
    <w:rsid w:val="00090411"/>
    <w:rsid w:val="00090857"/>
    <w:rsid w:val="000910FD"/>
    <w:rsid w:val="00091BB2"/>
    <w:rsid w:val="000928F0"/>
    <w:rsid w:val="00092DE6"/>
    <w:rsid w:val="00093731"/>
    <w:rsid w:val="00093B7D"/>
    <w:rsid w:val="00093EB5"/>
    <w:rsid w:val="000941A5"/>
    <w:rsid w:val="000943B9"/>
    <w:rsid w:val="000945E3"/>
    <w:rsid w:val="000958CC"/>
    <w:rsid w:val="00097DEE"/>
    <w:rsid w:val="000A0027"/>
    <w:rsid w:val="000A00E3"/>
    <w:rsid w:val="000A137F"/>
    <w:rsid w:val="000A24D3"/>
    <w:rsid w:val="000A4B2A"/>
    <w:rsid w:val="000A4FF5"/>
    <w:rsid w:val="000A50C0"/>
    <w:rsid w:val="000A5FDE"/>
    <w:rsid w:val="000A6697"/>
    <w:rsid w:val="000A69C1"/>
    <w:rsid w:val="000A7F08"/>
    <w:rsid w:val="000B0797"/>
    <w:rsid w:val="000B0A2D"/>
    <w:rsid w:val="000B26F5"/>
    <w:rsid w:val="000B2E80"/>
    <w:rsid w:val="000B3A48"/>
    <w:rsid w:val="000B4EDA"/>
    <w:rsid w:val="000B55B1"/>
    <w:rsid w:val="000B60F2"/>
    <w:rsid w:val="000B64D7"/>
    <w:rsid w:val="000C0619"/>
    <w:rsid w:val="000C0E36"/>
    <w:rsid w:val="000C1788"/>
    <w:rsid w:val="000C1952"/>
    <w:rsid w:val="000C2B7E"/>
    <w:rsid w:val="000C3154"/>
    <w:rsid w:val="000C3CB6"/>
    <w:rsid w:val="000C400E"/>
    <w:rsid w:val="000C4E12"/>
    <w:rsid w:val="000C4F94"/>
    <w:rsid w:val="000C519E"/>
    <w:rsid w:val="000C51E1"/>
    <w:rsid w:val="000C52F4"/>
    <w:rsid w:val="000C6A2F"/>
    <w:rsid w:val="000C6A53"/>
    <w:rsid w:val="000C743A"/>
    <w:rsid w:val="000D0A89"/>
    <w:rsid w:val="000D0CCE"/>
    <w:rsid w:val="000D1BEF"/>
    <w:rsid w:val="000D20F0"/>
    <w:rsid w:val="000D270C"/>
    <w:rsid w:val="000D27DF"/>
    <w:rsid w:val="000D3375"/>
    <w:rsid w:val="000D3BD8"/>
    <w:rsid w:val="000D3DBC"/>
    <w:rsid w:val="000D3E83"/>
    <w:rsid w:val="000D4E06"/>
    <w:rsid w:val="000D5879"/>
    <w:rsid w:val="000D5BF2"/>
    <w:rsid w:val="000E0758"/>
    <w:rsid w:val="000E1631"/>
    <w:rsid w:val="000E1EB6"/>
    <w:rsid w:val="000E2A99"/>
    <w:rsid w:val="000E2D4A"/>
    <w:rsid w:val="000E43D9"/>
    <w:rsid w:val="000E4833"/>
    <w:rsid w:val="000E5BED"/>
    <w:rsid w:val="000E66F1"/>
    <w:rsid w:val="000E6EF0"/>
    <w:rsid w:val="000F00C6"/>
    <w:rsid w:val="000F200A"/>
    <w:rsid w:val="000F2A44"/>
    <w:rsid w:val="000F2E02"/>
    <w:rsid w:val="000F41DC"/>
    <w:rsid w:val="000F6D7F"/>
    <w:rsid w:val="000F79F2"/>
    <w:rsid w:val="000F7AE1"/>
    <w:rsid w:val="000F7E5B"/>
    <w:rsid w:val="001013E6"/>
    <w:rsid w:val="00101540"/>
    <w:rsid w:val="001029B5"/>
    <w:rsid w:val="001033A9"/>
    <w:rsid w:val="00103BD1"/>
    <w:rsid w:val="00104A23"/>
    <w:rsid w:val="00104CF2"/>
    <w:rsid w:val="00104E7B"/>
    <w:rsid w:val="0010514D"/>
    <w:rsid w:val="001056B0"/>
    <w:rsid w:val="00106C43"/>
    <w:rsid w:val="00106CA0"/>
    <w:rsid w:val="00110BFA"/>
    <w:rsid w:val="00110D71"/>
    <w:rsid w:val="00111AC6"/>
    <w:rsid w:val="00111C03"/>
    <w:rsid w:val="00111E50"/>
    <w:rsid w:val="00112556"/>
    <w:rsid w:val="00112C9C"/>
    <w:rsid w:val="001132F9"/>
    <w:rsid w:val="001136F2"/>
    <w:rsid w:val="0011455A"/>
    <w:rsid w:val="00114F25"/>
    <w:rsid w:val="001156CC"/>
    <w:rsid w:val="00116E66"/>
    <w:rsid w:val="00117042"/>
    <w:rsid w:val="00124174"/>
    <w:rsid w:val="00124E28"/>
    <w:rsid w:val="00124F3C"/>
    <w:rsid w:val="0012571C"/>
    <w:rsid w:val="001263C6"/>
    <w:rsid w:val="00130A08"/>
    <w:rsid w:val="00131164"/>
    <w:rsid w:val="0013190C"/>
    <w:rsid w:val="00131EB3"/>
    <w:rsid w:val="0013283F"/>
    <w:rsid w:val="00132F13"/>
    <w:rsid w:val="0013300D"/>
    <w:rsid w:val="001346DB"/>
    <w:rsid w:val="00134816"/>
    <w:rsid w:val="001351F1"/>
    <w:rsid w:val="0013572E"/>
    <w:rsid w:val="00136E52"/>
    <w:rsid w:val="0014019B"/>
    <w:rsid w:val="001411A8"/>
    <w:rsid w:val="00143347"/>
    <w:rsid w:val="001450B3"/>
    <w:rsid w:val="00145999"/>
    <w:rsid w:val="00146142"/>
    <w:rsid w:val="00146849"/>
    <w:rsid w:val="001476FF"/>
    <w:rsid w:val="00147E8D"/>
    <w:rsid w:val="00150C59"/>
    <w:rsid w:val="001512EB"/>
    <w:rsid w:val="00152CF7"/>
    <w:rsid w:val="00153259"/>
    <w:rsid w:val="00155885"/>
    <w:rsid w:val="00155A67"/>
    <w:rsid w:val="0015610D"/>
    <w:rsid w:val="0015639E"/>
    <w:rsid w:val="00156BB0"/>
    <w:rsid w:val="00157136"/>
    <w:rsid w:val="00160124"/>
    <w:rsid w:val="001608DD"/>
    <w:rsid w:val="00160CB6"/>
    <w:rsid w:val="00161C47"/>
    <w:rsid w:val="001632A7"/>
    <w:rsid w:val="0016384D"/>
    <w:rsid w:val="00165C8C"/>
    <w:rsid w:val="001663C1"/>
    <w:rsid w:val="00171130"/>
    <w:rsid w:val="001714F0"/>
    <w:rsid w:val="00171705"/>
    <w:rsid w:val="00171B2C"/>
    <w:rsid w:val="00172A27"/>
    <w:rsid w:val="0017300F"/>
    <w:rsid w:val="001733E6"/>
    <w:rsid w:val="0017424B"/>
    <w:rsid w:val="001749EA"/>
    <w:rsid w:val="00174FD2"/>
    <w:rsid w:val="00175441"/>
    <w:rsid w:val="00175B12"/>
    <w:rsid w:val="00175FF0"/>
    <w:rsid w:val="00176AF1"/>
    <w:rsid w:val="001773D9"/>
    <w:rsid w:val="00177BA4"/>
    <w:rsid w:val="00180135"/>
    <w:rsid w:val="001807AC"/>
    <w:rsid w:val="00180943"/>
    <w:rsid w:val="0018285A"/>
    <w:rsid w:val="00183E56"/>
    <w:rsid w:val="00184955"/>
    <w:rsid w:val="00185BE6"/>
    <w:rsid w:val="00185E3C"/>
    <w:rsid w:val="001862F8"/>
    <w:rsid w:val="00186C73"/>
    <w:rsid w:val="00187CA1"/>
    <w:rsid w:val="001902C8"/>
    <w:rsid w:val="00190A51"/>
    <w:rsid w:val="00191BFD"/>
    <w:rsid w:val="00191C4B"/>
    <w:rsid w:val="001931D5"/>
    <w:rsid w:val="001942A1"/>
    <w:rsid w:val="00194E79"/>
    <w:rsid w:val="00195029"/>
    <w:rsid w:val="00195EE5"/>
    <w:rsid w:val="001961BA"/>
    <w:rsid w:val="001963C7"/>
    <w:rsid w:val="00196E8A"/>
    <w:rsid w:val="001A2361"/>
    <w:rsid w:val="001A3799"/>
    <w:rsid w:val="001A385B"/>
    <w:rsid w:val="001A45C5"/>
    <w:rsid w:val="001A5907"/>
    <w:rsid w:val="001A78E7"/>
    <w:rsid w:val="001B024B"/>
    <w:rsid w:val="001B1462"/>
    <w:rsid w:val="001B1FFE"/>
    <w:rsid w:val="001B31E0"/>
    <w:rsid w:val="001B333B"/>
    <w:rsid w:val="001B3FD9"/>
    <w:rsid w:val="001B4755"/>
    <w:rsid w:val="001B4756"/>
    <w:rsid w:val="001B598A"/>
    <w:rsid w:val="001B6161"/>
    <w:rsid w:val="001B74CC"/>
    <w:rsid w:val="001C01C4"/>
    <w:rsid w:val="001C084B"/>
    <w:rsid w:val="001C1EF5"/>
    <w:rsid w:val="001C25E7"/>
    <w:rsid w:val="001C2AE0"/>
    <w:rsid w:val="001C2C06"/>
    <w:rsid w:val="001C2E1A"/>
    <w:rsid w:val="001C2F33"/>
    <w:rsid w:val="001C3D07"/>
    <w:rsid w:val="001C585A"/>
    <w:rsid w:val="001C5F4C"/>
    <w:rsid w:val="001C6AA7"/>
    <w:rsid w:val="001C73FE"/>
    <w:rsid w:val="001D15FA"/>
    <w:rsid w:val="001D1869"/>
    <w:rsid w:val="001D3D2D"/>
    <w:rsid w:val="001D544B"/>
    <w:rsid w:val="001D60F8"/>
    <w:rsid w:val="001D6432"/>
    <w:rsid w:val="001D6C3A"/>
    <w:rsid w:val="001D7E86"/>
    <w:rsid w:val="001E0DAD"/>
    <w:rsid w:val="001E0EB3"/>
    <w:rsid w:val="001E14EA"/>
    <w:rsid w:val="001E1800"/>
    <w:rsid w:val="001E2F45"/>
    <w:rsid w:val="001E31F8"/>
    <w:rsid w:val="001E3F99"/>
    <w:rsid w:val="001E3FCE"/>
    <w:rsid w:val="001E4D69"/>
    <w:rsid w:val="001E69F0"/>
    <w:rsid w:val="001E7E5E"/>
    <w:rsid w:val="001F02A5"/>
    <w:rsid w:val="001F2692"/>
    <w:rsid w:val="001F32E4"/>
    <w:rsid w:val="001F5A4E"/>
    <w:rsid w:val="001F6A15"/>
    <w:rsid w:val="001F6F1B"/>
    <w:rsid w:val="001F7336"/>
    <w:rsid w:val="001F7780"/>
    <w:rsid w:val="001F7997"/>
    <w:rsid w:val="002001BC"/>
    <w:rsid w:val="002004C0"/>
    <w:rsid w:val="00200E8E"/>
    <w:rsid w:val="002012BC"/>
    <w:rsid w:val="002033CF"/>
    <w:rsid w:val="00203AEA"/>
    <w:rsid w:val="00203D55"/>
    <w:rsid w:val="00204712"/>
    <w:rsid w:val="00205048"/>
    <w:rsid w:val="00205C2A"/>
    <w:rsid w:val="00205E7B"/>
    <w:rsid w:val="00206B06"/>
    <w:rsid w:val="00210F56"/>
    <w:rsid w:val="00211484"/>
    <w:rsid w:val="002116AA"/>
    <w:rsid w:val="00211B35"/>
    <w:rsid w:val="00211F5E"/>
    <w:rsid w:val="00212194"/>
    <w:rsid w:val="002124CB"/>
    <w:rsid w:val="00214014"/>
    <w:rsid w:val="0021426B"/>
    <w:rsid w:val="00214F3B"/>
    <w:rsid w:val="00215023"/>
    <w:rsid w:val="00215167"/>
    <w:rsid w:val="00215261"/>
    <w:rsid w:val="0021582A"/>
    <w:rsid w:val="002160F0"/>
    <w:rsid w:val="00216784"/>
    <w:rsid w:val="00216A4B"/>
    <w:rsid w:val="00216AF8"/>
    <w:rsid w:val="002172A3"/>
    <w:rsid w:val="00220675"/>
    <w:rsid w:val="00221007"/>
    <w:rsid w:val="002214C3"/>
    <w:rsid w:val="00221609"/>
    <w:rsid w:val="00221DE0"/>
    <w:rsid w:val="002237F5"/>
    <w:rsid w:val="00225B70"/>
    <w:rsid w:val="0022638E"/>
    <w:rsid w:val="002266AF"/>
    <w:rsid w:val="0022764B"/>
    <w:rsid w:val="002310E4"/>
    <w:rsid w:val="00231165"/>
    <w:rsid w:val="002320E5"/>
    <w:rsid w:val="002321B2"/>
    <w:rsid w:val="00232EC1"/>
    <w:rsid w:val="002331D8"/>
    <w:rsid w:val="0023367C"/>
    <w:rsid w:val="0023556C"/>
    <w:rsid w:val="0023594C"/>
    <w:rsid w:val="0023705C"/>
    <w:rsid w:val="0023766E"/>
    <w:rsid w:val="002376CA"/>
    <w:rsid w:val="002402E9"/>
    <w:rsid w:val="00240907"/>
    <w:rsid w:val="002437FB"/>
    <w:rsid w:val="00245739"/>
    <w:rsid w:val="002460E2"/>
    <w:rsid w:val="0024712C"/>
    <w:rsid w:val="00250561"/>
    <w:rsid w:val="00251501"/>
    <w:rsid w:val="00251DDD"/>
    <w:rsid w:val="00254D47"/>
    <w:rsid w:val="00255D0F"/>
    <w:rsid w:val="00257251"/>
    <w:rsid w:val="00260DF2"/>
    <w:rsid w:val="00261255"/>
    <w:rsid w:val="00261E62"/>
    <w:rsid w:val="0026292E"/>
    <w:rsid w:val="00263176"/>
    <w:rsid w:val="0026386E"/>
    <w:rsid w:val="00265959"/>
    <w:rsid w:val="00266055"/>
    <w:rsid w:val="00266D9C"/>
    <w:rsid w:val="0026746C"/>
    <w:rsid w:val="0027035B"/>
    <w:rsid w:val="002705BE"/>
    <w:rsid w:val="00270CF7"/>
    <w:rsid w:val="00270F20"/>
    <w:rsid w:val="00271A16"/>
    <w:rsid w:val="00272EC3"/>
    <w:rsid w:val="00273015"/>
    <w:rsid w:val="0027337F"/>
    <w:rsid w:val="00274258"/>
    <w:rsid w:val="00274F22"/>
    <w:rsid w:val="002752CD"/>
    <w:rsid w:val="002754FB"/>
    <w:rsid w:val="00276170"/>
    <w:rsid w:val="00276513"/>
    <w:rsid w:val="00277087"/>
    <w:rsid w:val="002800F9"/>
    <w:rsid w:val="00281184"/>
    <w:rsid w:val="00281E16"/>
    <w:rsid w:val="00284DDF"/>
    <w:rsid w:val="0028553D"/>
    <w:rsid w:val="0028590F"/>
    <w:rsid w:val="00285C6B"/>
    <w:rsid w:val="0028632D"/>
    <w:rsid w:val="002864B8"/>
    <w:rsid w:val="002877AA"/>
    <w:rsid w:val="0029034A"/>
    <w:rsid w:val="00290975"/>
    <w:rsid w:val="00291CAD"/>
    <w:rsid w:val="00291F8C"/>
    <w:rsid w:val="00292D2B"/>
    <w:rsid w:val="00292EB5"/>
    <w:rsid w:val="00293A0B"/>
    <w:rsid w:val="0029485F"/>
    <w:rsid w:val="002969BB"/>
    <w:rsid w:val="002975DF"/>
    <w:rsid w:val="002A0BA9"/>
    <w:rsid w:val="002A0E86"/>
    <w:rsid w:val="002A43F8"/>
    <w:rsid w:val="002A49EB"/>
    <w:rsid w:val="002A50EB"/>
    <w:rsid w:val="002A521B"/>
    <w:rsid w:val="002A5FDC"/>
    <w:rsid w:val="002A607A"/>
    <w:rsid w:val="002A62CD"/>
    <w:rsid w:val="002A6348"/>
    <w:rsid w:val="002A673A"/>
    <w:rsid w:val="002B0D8A"/>
    <w:rsid w:val="002B1FD9"/>
    <w:rsid w:val="002B42DB"/>
    <w:rsid w:val="002B463C"/>
    <w:rsid w:val="002B5094"/>
    <w:rsid w:val="002B5C0A"/>
    <w:rsid w:val="002B60E8"/>
    <w:rsid w:val="002B7121"/>
    <w:rsid w:val="002B73C5"/>
    <w:rsid w:val="002B7CC9"/>
    <w:rsid w:val="002C1C27"/>
    <w:rsid w:val="002C201B"/>
    <w:rsid w:val="002C2BFF"/>
    <w:rsid w:val="002C2C79"/>
    <w:rsid w:val="002C2D68"/>
    <w:rsid w:val="002C3195"/>
    <w:rsid w:val="002C3490"/>
    <w:rsid w:val="002C4048"/>
    <w:rsid w:val="002C4195"/>
    <w:rsid w:val="002C4CA1"/>
    <w:rsid w:val="002C5362"/>
    <w:rsid w:val="002C5920"/>
    <w:rsid w:val="002C6433"/>
    <w:rsid w:val="002C7739"/>
    <w:rsid w:val="002D0334"/>
    <w:rsid w:val="002D08C1"/>
    <w:rsid w:val="002D1096"/>
    <w:rsid w:val="002D30D0"/>
    <w:rsid w:val="002D3A29"/>
    <w:rsid w:val="002D3DE7"/>
    <w:rsid w:val="002D3F86"/>
    <w:rsid w:val="002D40B4"/>
    <w:rsid w:val="002D4599"/>
    <w:rsid w:val="002D4C6E"/>
    <w:rsid w:val="002D50CE"/>
    <w:rsid w:val="002D62B8"/>
    <w:rsid w:val="002D6ED5"/>
    <w:rsid w:val="002D7E08"/>
    <w:rsid w:val="002E3DB0"/>
    <w:rsid w:val="002E4582"/>
    <w:rsid w:val="002E49D7"/>
    <w:rsid w:val="002E608E"/>
    <w:rsid w:val="002E6D2B"/>
    <w:rsid w:val="002E77A8"/>
    <w:rsid w:val="002E7AFC"/>
    <w:rsid w:val="002E7E1D"/>
    <w:rsid w:val="002F0A31"/>
    <w:rsid w:val="002F0B10"/>
    <w:rsid w:val="002F0B85"/>
    <w:rsid w:val="002F0E92"/>
    <w:rsid w:val="002F22D6"/>
    <w:rsid w:val="002F46AD"/>
    <w:rsid w:val="002F6D21"/>
    <w:rsid w:val="003023D9"/>
    <w:rsid w:val="00302A82"/>
    <w:rsid w:val="003034C4"/>
    <w:rsid w:val="00303B30"/>
    <w:rsid w:val="00306065"/>
    <w:rsid w:val="003070E6"/>
    <w:rsid w:val="00307F23"/>
    <w:rsid w:val="00311907"/>
    <w:rsid w:val="00311A5D"/>
    <w:rsid w:val="00312FB3"/>
    <w:rsid w:val="003146C2"/>
    <w:rsid w:val="00314A13"/>
    <w:rsid w:val="00314F8A"/>
    <w:rsid w:val="003158C1"/>
    <w:rsid w:val="00315A4D"/>
    <w:rsid w:val="00316028"/>
    <w:rsid w:val="003163D4"/>
    <w:rsid w:val="00316CBA"/>
    <w:rsid w:val="00320024"/>
    <w:rsid w:val="0032517A"/>
    <w:rsid w:val="00326214"/>
    <w:rsid w:val="0032659B"/>
    <w:rsid w:val="00326C39"/>
    <w:rsid w:val="00326F34"/>
    <w:rsid w:val="00327B44"/>
    <w:rsid w:val="00330637"/>
    <w:rsid w:val="00331439"/>
    <w:rsid w:val="00331A53"/>
    <w:rsid w:val="0033382F"/>
    <w:rsid w:val="003344FD"/>
    <w:rsid w:val="0033557B"/>
    <w:rsid w:val="00335C7B"/>
    <w:rsid w:val="00336995"/>
    <w:rsid w:val="003374A1"/>
    <w:rsid w:val="0033750D"/>
    <w:rsid w:val="003375B0"/>
    <w:rsid w:val="00340753"/>
    <w:rsid w:val="00340EF0"/>
    <w:rsid w:val="00341BA6"/>
    <w:rsid w:val="00341BAB"/>
    <w:rsid w:val="0034299D"/>
    <w:rsid w:val="003446A7"/>
    <w:rsid w:val="00344D19"/>
    <w:rsid w:val="0034565D"/>
    <w:rsid w:val="003462B2"/>
    <w:rsid w:val="003471ED"/>
    <w:rsid w:val="003476F2"/>
    <w:rsid w:val="003506C4"/>
    <w:rsid w:val="00350FAA"/>
    <w:rsid w:val="00351FA7"/>
    <w:rsid w:val="0035270E"/>
    <w:rsid w:val="00353D48"/>
    <w:rsid w:val="00353D4B"/>
    <w:rsid w:val="00354333"/>
    <w:rsid w:val="00357213"/>
    <w:rsid w:val="00360259"/>
    <w:rsid w:val="00360275"/>
    <w:rsid w:val="00361B16"/>
    <w:rsid w:val="00361F22"/>
    <w:rsid w:val="00362B9B"/>
    <w:rsid w:val="00364868"/>
    <w:rsid w:val="00364900"/>
    <w:rsid w:val="00367043"/>
    <w:rsid w:val="00367868"/>
    <w:rsid w:val="00367B84"/>
    <w:rsid w:val="003705EE"/>
    <w:rsid w:val="003726C9"/>
    <w:rsid w:val="00373C7B"/>
    <w:rsid w:val="00374661"/>
    <w:rsid w:val="00374AFA"/>
    <w:rsid w:val="0037688E"/>
    <w:rsid w:val="00376CC4"/>
    <w:rsid w:val="00377F2B"/>
    <w:rsid w:val="003809B7"/>
    <w:rsid w:val="00381803"/>
    <w:rsid w:val="00381AD9"/>
    <w:rsid w:val="00382685"/>
    <w:rsid w:val="00382D2E"/>
    <w:rsid w:val="003831B5"/>
    <w:rsid w:val="003833E2"/>
    <w:rsid w:val="00383CBF"/>
    <w:rsid w:val="00384211"/>
    <w:rsid w:val="003857B1"/>
    <w:rsid w:val="003859CB"/>
    <w:rsid w:val="0038631D"/>
    <w:rsid w:val="00387D98"/>
    <w:rsid w:val="00391146"/>
    <w:rsid w:val="0039180D"/>
    <w:rsid w:val="00391E5A"/>
    <w:rsid w:val="00391F0C"/>
    <w:rsid w:val="00393726"/>
    <w:rsid w:val="00393A7B"/>
    <w:rsid w:val="00393B51"/>
    <w:rsid w:val="003940A9"/>
    <w:rsid w:val="003945FE"/>
    <w:rsid w:val="00394AE3"/>
    <w:rsid w:val="00394C27"/>
    <w:rsid w:val="00395629"/>
    <w:rsid w:val="00397632"/>
    <w:rsid w:val="00397A22"/>
    <w:rsid w:val="003A35DE"/>
    <w:rsid w:val="003A368B"/>
    <w:rsid w:val="003A3D0C"/>
    <w:rsid w:val="003A55E2"/>
    <w:rsid w:val="003A65FE"/>
    <w:rsid w:val="003A7D8E"/>
    <w:rsid w:val="003B0C2A"/>
    <w:rsid w:val="003B0C39"/>
    <w:rsid w:val="003B130E"/>
    <w:rsid w:val="003B1832"/>
    <w:rsid w:val="003B1D8D"/>
    <w:rsid w:val="003B296C"/>
    <w:rsid w:val="003B5D4E"/>
    <w:rsid w:val="003B679F"/>
    <w:rsid w:val="003C0FC0"/>
    <w:rsid w:val="003C2E82"/>
    <w:rsid w:val="003C38D2"/>
    <w:rsid w:val="003C3D88"/>
    <w:rsid w:val="003C4C6A"/>
    <w:rsid w:val="003C542B"/>
    <w:rsid w:val="003C6088"/>
    <w:rsid w:val="003C6925"/>
    <w:rsid w:val="003C6F5B"/>
    <w:rsid w:val="003C704B"/>
    <w:rsid w:val="003C7C88"/>
    <w:rsid w:val="003C7DC6"/>
    <w:rsid w:val="003D1D29"/>
    <w:rsid w:val="003D1E74"/>
    <w:rsid w:val="003D28FF"/>
    <w:rsid w:val="003D38BD"/>
    <w:rsid w:val="003D3F8F"/>
    <w:rsid w:val="003D44ED"/>
    <w:rsid w:val="003D4CBC"/>
    <w:rsid w:val="003D5D5C"/>
    <w:rsid w:val="003D7B96"/>
    <w:rsid w:val="003E223C"/>
    <w:rsid w:val="003E25C9"/>
    <w:rsid w:val="003E3291"/>
    <w:rsid w:val="003E4A05"/>
    <w:rsid w:val="003E5218"/>
    <w:rsid w:val="003E62A6"/>
    <w:rsid w:val="003E6BD1"/>
    <w:rsid w:val="003F00F1"/>
    <w:rsid w:val="003F0752"/>
    <w:rsid w:val="003F08DD"/>
    <w:rsid w:val="003F095C"/>
    <w:rsid w:val="003F32EA"/>
    <w:rsid w:val="003F3578"/>
    <w:rsid w:val="003F361B"/>
    <w:rsid w:val="003F47CC"/>
    <w:rsid w:val="003F4E9D"/>
    <w:rsid w:val="003F6C99"/>
    <w:rsid w:val="003F7B60"/>
    <w:rsid w:val="00401095"/>
    <w:rsid w:val="00401627"/>
    <w:rsid w:val="00401A1A"/>
    <w:rsid w:val="00403750"/>
    <w:rsid w:val="00404445"/>
    <w:rsid w:val="00404C20"/>
    <w:rsid w:val="00405C98"/>
    <w:rsid w:val="004101FC"/>
    <w:rsid w:val="00410F2A"/>
    <w:rsid w:val="00410FAF"/>
    <w:rsid w:val="004114AA"/>
    <w:rsid w:val="00412095"/>
    <w:rsid w:val="0041237D"/>
    <w:rsid w:val="00412CD1"/>
    <w:rsid w:val="00412DD5"/>
    <w:rsid w:val="004132A9"/>
    <w:rsid w:val="00413F4C"/>
    <w:rsid w:val="00414935"/>
    <w:rsid w:val="00414BA7"/>
    <w:rsid w:val="00415013"/>
    <w:rsid w:val="00415698"/>
    <w:rsid w:val="004156B5"/>
    <w:rsid w:val="00417BE9"/>
    <w:rsid w:val="00420F8D"/>
    <w:rsid w:val="004214B5"/>
    <w:rsid w:val="004222FB"/>
    <w:rsid w:val="004225B5"/>
    <w:rsid w:val="00423ECD"/>
    <w:rsid w:val="004250BA"/>
    <w:rsid w:val="00425389"/>
    <w:rsid w:val="004256E8"/>
    <w:rsid w:val="004267A0"/>
    <w:rsid w:val="00430674"/>
    <w:rsid w:val="00430924"/>
    <w:rsid w:val="004313B2"/>
    <w:rsid w:val="004317DD"/>
    <w:rsid w:val="00431CF0"/>
    <w:rsid w:val="0043214E"/>
    <w:rsid w:val="00433FD5"/>
    <w:rsid w:val="00437762"/>
    <w:rsid w:val="00437DEC"/>
    <w:rsid w:val="004400E1"/>
    <w:rsid w:val="00440709"/>
    <w:rsid w:val="004409B0"/>
    <w:rsid w:val="004410F2"/>
    <w:rsid w:val="0044176C"/>
    <w:rsid w:val="004426D3"/>
    <w:rsid w:val="004432C4"/>
    <w:rsid w:val="00443E49"/>
    <w:rsid w:val="00444E81"/>
    <w:rsid w:val="004453B9"/>
    <w:rsid w:val="004461E1"/>
    <w:rsid w:val="0044646A"/>
    <w:rsid w:val="004466ED"/>
    <w:rsid w:val="00446898"/>
    <w:rsid w:val="00451372"/>
    <w:rsid w:val="004513E9"/>
    <w:rsid w:val="00451D14"/>
    <w:rsid w:val="00451DDB"/>
    <w:rsid w:val="004527FC"/>
    <w:rsid w:val="00453177"/>
    <w:rsid w:val="0045398A"/>
    <w:rsid w:val="00453E27"/>
    <w:rsid w:val="00454225"/>
    <w:rsid w:val="004548E3"/>
    <w:rsid w:val="00455FB6"/>
    <w:rsid w:val="00456855"/>
    <w:rsid w:val="00456AB9"/>
    <w:rsid w:val="00456ABD"/>
    <w:rsid w:val="00457046"/>
    <w:rsid w:val="00457252"/>
    <w:rsid w:val="00457A35"/>
    <w:rsid w:val="004600A5"/>
    <w:rsid w:val="00461435"/>
    <w:rsid w:val="004619CE"/>
    <w:rsid w:val="0046481C"/>
    <w:rsid w:val="004658A1"/>
    <w:rsid w:val="0046601C"/>
    <w:rsid w:val="0047000B"/>
    <w:rsid w:val="00470411"/>
    <w:rsid w:val="00470989"/>
    <w:rsid w:val="00472A6B"/>
    <w:rsid w:val="004730CD"/>
    <w:rsid w:val="00473925"/>
    <w:rsid w:val="00474734"/>
    <w:rsid w:val="00474BD6"/>
    <w:rsid w:val="004753EA"/>
    <w:rsid w:val="00477067"/>
    <w:rsid w:val="0047764D"/>
    <w:rsid w:val="00477B0A"/>
    <w:rsid w:val="00482362"/>
    <w:rsid w:val="00483AF6"/>
    <w:rsid w:val="004845BA"/>
    <w:rsid w:val="004851B1"/>
    <w:rsid w:val="00487C38"/>
    <w:rsid w:val="00487EA8"/>
    <w:rsid w:val="00490F49"/>
    <w:rsid w:val="00491467"/>
    <w:rsid w:val="00491686"/>
    <w:rsid w:val="00492AE8"/>
    <w:rsid w:val="00492C3D"/>
    <w:rsid w:val="004935F5"/>
    <w:rsid w:val="00493D52"/>
    <w:rsid w:val="004945C0"/>
    <w:rsid w:val="00495508"/>
    <w:rsid w:val="00495988"/>
    <w:rsid w:val="00496347"/>
    <w:rsid w:val="00497042"/>
    <w:rsid w:val="0049757D"/>
    <w:rsid w:val="004A193D"/>
    <w:rsid w:val="004A29C6"/>
    <w:rsid w:val="004A2E72"/>
    <w:rsid w:val="004A339A"/>
    <w:rsid w:val="004A33C5"/>
    <w:rsid w:val="004A3408"/>
    <w:rsid w:val="004A3427"/>
    <w:rsid w:val="004A3597"/>
    <w:rsid w:val="004A35EC"/>
    <w:rsid w:val="004A55CE"/>
    <w:rsid w:val="004A63AD"/>
    <w:rsid w:val="004A6CD4"/>
    <w:rsid w:val="004A763F"/>
    <w:rsid w:val="004B1146"/>
    <w:rsid w:val="004B4304"/>
    <w:rsid w:val="004B5BDD"/>
    <w:rsid w:val="004B5C56"/>
    <w:rsid w:val="004B662A"/>
    <w:rsid w:val="004B79C2"/>
    <w:rsid w:val="004C024F"/>
    <w:rsid w:val="004C19B1"/>
    <w:rsid w:val="004C1A50"/>
    <w:rsid w:val="004C1B3D"/>
    <w:rsid w:val="004C3C1F"/>
    <w:rsid w:val="004C4220"/>
    <w:rsid w:val="004C423E"/>
    <w:rsid w:val="004C5DA6"/>
    <w:rsid w:val="004C69DC"/>
    <w:rsid w:val="004C6B79"/>
    <w:rsid w:val="004D07AC"/>
    <w:rsid w:val="004D3047"/>
    <w:rsid w:val="004D3105"/>
    <w:rsid w:val="004D4F09"/>
    <w:rsid w:val="004D5556"/>
    <w:rsid w:val="004D688A"/>
    <w:rsid w:val="004D7812"/>
    <w:rsid w:val="004D7E27"/>
    <w:rsid w:val="004E0E37"/>
    <w:rsid w:val="004E15CA"/>
    <w:rsid w:val="004E180E"/>
    <w:rsid w:val="004E3AAC"/>
    <w:rsid w:val="004E3F53"/>
    <w:rsid w:val="004E443A"/>
    <w:rsid w:val="004E44BE"/>
    <w:rsid w:val="004E49CF"/>
    <w:rsid w:val="004E7026"/>
    <w:rsid w:val="004E7946"/>
    <w:rsid w:val="004E7B58"/>
    <w:rsid w:val="004F054E"/>
    <w:rsid w:val="004F4D33"/>
    <w:rsid w:val="004F5EEB"/>
    <w:rsid w:val="004F666F"/>
    <w:rsid w:val="004F69A4"/>
    <w:rsid w:val="004F6AAA"/>
    <w:rsid w:val="004F7309"/>
    <w:rsid w:val="004F75A8"/>
    <w:rsid w:val="004F77AC"/>
    <w:rsid w:val="004F7EA8"/>
    <w:rsid w:val="0050140C"/>
    <w:rsid w:val="00501FF8"/>
    <w:rsid w:val="00502215"/>
    <w:rsid w:val="00502E02"/>
    <w:rsid w:val="00504332"/>
    <w:rsid w:val="00504E3A"/>
    <w:rsid w:val="00505328"/>
    <w:rsid w:val="005067D2"/>
    <w:rsid w:val="00507566"/>
    <w:rsid w:val="005100C2"/>
    <w:rsid w:val="005101D0"/>
    <w:rsid w:val="005101F0"/>
    <w:rsid w:val="0051205B"/>
    <w:rsid w:val="00512076"/>
    <w:rsid w:val="00512C76"/>
    <w:rsid w:val="00512DE6"/>
    <w:rsid w:val="005135C9"/>
    <w:rsid w:val="00513791"/>
    <w:rsid w:val="00513EE1"/>
    <w:rsid w:val="00514286"/>
    <w:rsid w:val="0051455D"/>
    <w:rsid w:val="005145C1"/>
    <w:rsid w:val="005167B7"/>
    <w:rsid w:val="00520BD0"/>
    <w:rsid w:val="00521558"/>
    <w:rsid w:val="00521C1B"/>
    <w:rsid w:val="00521FA8"/>
    <w:rsid w:val="00521FF6"/>
    <w:rsid w:val="00523056"/>
    <w:rsid w:val="005232C5"/>
    <w:rsid w:val="0052346E"/>
    <w:rsid w:val="005235A4"/>
    <w:rsid w:val="00523B43"/>
    <w:rsid w:val="0052607A"/>
    <w:rsid w:val="0052684A"/>
    <w:rsid w:val="00526FB9"/>
    <w:rsid w:val="005277AA"/>
    <w:rsid w:val="005309B4"/>
    <w:rsid w:val="005312BB"/>
    <w:rsid w:val="00531DB4"/>
    <w:rsid w:val="00532778"/>
    <w:rsid w:val="00532B2C"/>
    <w:rsid w:val="0053361C"/>
    <w:rsid w:val="00533812"/>
    <w:rsid w:val="005340B2"/>
    <w:rsid w:val="00534B78"/>
    <w:rsid w:val="0053506B"/>
    <w:rsid w:val="00535AFE"/>
    <w:rsid w:val="00536684"/>
    <w:rsid w:val="00536B9E"/>
    <w:rsid w:val="00536FC0"/>
    <w:rsid w:val="00537303"/>
    <w:rsid w:val="00537646"/>
    <w:rsid w:val="00541677"/>
    <w:rsid w:val="005432E2"/>
    <w:rsid w:val="00543984"/>
    <w:rsid w:val="005450F7"/>
    <w:rsid w:val="00545D29"/>
    <w:rsid w:val="0054671E"/>
    <w:rsid w:val="0054707A"/>
    <w:rsid w:val="005471EA"/>
    <w:rsid w:val="00547248"/>
    <w:rsid w:val="005474F2"/>
    <w:rsid w:val="00551A9F"/>
    <w:rsid w:val="00551FAE"/>
    <w:rsid w:val="005520FF"/>
    <w:rsid w:val="00552BFE"/>
    <w:rsid w:val="00552CD3"/>
    <w:rsid w:val="0055338C"/>
    <w:rsid w:val="00553EF5"/>
    <w:rsid w:val="00554537"/>
    <w:rsid w:val="00555250"/>
    <w:rsid w:val="00555E98"/>
    <w:rsid w:val="005567CC"/>
    <w:rsid w:val="005577EC"/>
    <w:rsid w:val="005579A1"/>
    <w:rsid w:val="00557DD1"/>
    <w:rsid w:val="00560272"/>
    <w:rsid w:val="00562FE2"/>
    <w:rsid w:val="00563D15"/>
    <w:rsid w:val="00564533"/>
    <w:rsid w:val="00566FF8"/>
    <w:rsid w:val="0056771B"/>
    <w:rsid w:val="00567FD0"/>
    <w:rsid w:val="00571414"/>
    <w:rsid w:val="005719F3"/>
    <w:rsid w:val="00571C2F"/>
    <w:rsid w:val="00572072"/>
    <w:rsid w:val="00572649"/>
    <w:rsid w:val="005727E0"/>
    <w:rsid w:val="00572C44"/>
    <w:rsid w:val="00573C6F"/>
    <w:rsid w:val="005767CF"/>
    <w:rsid w:val="00576E0E"/>
    <w:rsid w:val="00577099"/>
    <w:rsid w:val="005774DA"/>
    <w:rsid w:val="00583887"/>
    <w:rsid w:val="00583E2C"/>
    <w:rsid w:val="005844A7"/>
    <w:rsid w:val="00584C25"/>
    <w:rsid w:val="005853A4"/>
    <w:rsid w:val="00585418"/>
    <w:rsid w:val="0058575C"/>
    <w:rsid w:val="005857E0"/>
    <w:rsid w:val="00585FD8"/>
    <w:rsid w:val="00586993"/>
    <w:rsid w:val="00586C75"/>
    <w:rsid w:val="0058700F"/>
    <w:rsid w:val="005906D6"/>
    <w:rsid w:val="00591922"/>
    <w:rsid w:val="00593229"/>
    <w:rsid w:val="00594791"/>
    <w:rsid w:val="0059493A"/>
    <w:rsid w:val="005955B8"/>
    <w:rsid w:val="00595B50"/>
    <w:rsid w:val="0059630A"/>
    <w:rsid w:val="00596EB2"/>
    <w:rsid w:val="00597102"/>
    <w:rsid w:val="00597843"/>
    <w:rsid w:val="005979E9"/>
    <w:rsid w:val="00597A7A"/>
    <w:rsid w:val="005A0314"/>
    <w:rsid w:val="005A102D"/>
    <w:rsid w:val="005A17D4"/>
    <w:rsid w:val="005A23B9"/>
    <w:rsid w:val="005A2A02"/>
    <w:rsid w:val="005A422B"/>
    <w:rsid w:val="005A4EA4"/>
    <w:rsid w:val="005A76B0"/>
    <w:rsid w:val="005A77DF"/>
    <w:rsid w:val="005A7EAB"/>
    <w:rsid w:val="005B05FC"/>
    <w:rsid w:val="005B0DAB"/>
    <w:rsid w:val="005B26C5"/>
    <w:rsid w:val="005B432B"/>
    <w:rsid w:val="005B4A70"/>
    <w:rsid w:val="005B530E"/>
    <w:rsid w:val="005B5A68"/>
    <w:rsid w:val="005B6616"/>
    <w:rsid w:val="005B67AE"/>
    <w:rsid w:val="005B7659"/>
    <w:rsid w:val="005B7C00"/>
    <w:rsid w:val="005B7E52"/>
    <w:rsid w:val="005B7EB7"/>
    <w:rsid w:val="005B7F47"/>
    <w:rsid w:val="005C020F"/>
    <w:rsid w:val="005C0E52"/>
    <w:rsid w:val="005C1C87"/>
    <w:rsid w:val="005C25DD"/>
    <w:rsid w:val="005C34B9"/>
    <w:rsid w:val="005C3A36"/>
    <w:rsid w:val="005C4729"/>
    <w:rsid w:val="005C5EF0"/>
    <w:rsid w:val="005C6DB7"/>
    <w:rsid w:val="005C75FA"/>
    <w:rsid w:val="005D02B3"/>
    <w:rsid w:val="005D0B4F"/>
    <w:rsid w:val="005D19DC"/>
    <w:rsid w:val="005D2A4D"/>
    <w:rsid w:val="005D3740"/>
    <w:rsid w:val="005D3A36"/>
    <w:rsid w:val="005D3D54"/>
    <w:rsid w:val="005D46E1"/>
    <w:rsid w:val="005D4DE6"/>
    <w:rsid w:val="005D5F44"/>
    <w:rsid w:val="005D6F33"/>
    <w:rsid w:val="005D799D"/>
    <w:rsid w:val="005E1036"/>
    <w:rsid w:val="005E143F"/>
    <w:rsid w:val="005E250B"/>
    <w:rsid w:val="005E30E2"/>
    <w:rsid w:val="005E3B8F"/>
    <w:rsid w:val="005E3FAF"/>
    <w:rsid w:val="005E4590"/>
    <w:rsid w:val="005E5615"/>
    <w:rsid w:val="005E60BB"/>
    <w:rsid w:val="005E7161"/>
    <w:rsid w:val="005F05EE"/>
    <w:rsid w:val="005F20C7"/>
    <w:rsid w:val="005F21C5"/>
    <w:rsid w:val="005F22D0"/>
    <w:rsid w:val="005F27D0"/>
    <w:rsid w:val="005F2CAA"/>
    <w:rsid w:val="005F3F1A"/>
    <w:rsid w:val="005F51B4"/>
    <w:rsid w:val="005F5253"/>
    <w:rsid w:val="005F55D0"/>
    <w:rsid w:val="005F5AC8"/>
    <w:rsid w:val="005F6215"/>
    <w:rsid w:val="005F6C9E"/>
    <w:rsid w:val="005F6CC1"/>
    <w:rsid w:val="005F6F6C"/>
    <w:rsid w:val="005F75FA"/>
    <w:rsid w:val="005F7B25"/>
    <w:rsid w:val="006003BB"/>
    <w:rsid w:val="006003FA"/>
    <w:rsid w:val="00600451"/>
    <w:rsid w:val="006016E9"/>
    <w:rsid w:val="006018C4"/>
    <w:rsid w:val="00602918"/>
    <w:rsid w:val="0060344C"/>
    <w:rsid w:val="006034EC"/>
    <w:rsid w:val="0060465A"/>
    <w:rsid w:val="006061EE"/>
    <w:rsid w:val="00606717"/>
    <w:rsid w:val="00606CD0"/>
    <w:rsid w:val="0060733C"/>
    <w:rsid w:val="00607886"/>
    <w:rsid w:val="00610BBA"/>
    <w:rsid w:val="00610F42"/>
    <w:rsid w:val="00612183"/>
    <w:rsid w:val="006122BB"/>
    <w:rsid w:val="0061389F"/>
    <w:rsid w:val="00613CE4"/>
    <w:rsid w:val="006170A3"/>
    <w:rsid w:val="00617BF8"/>
    <w:rsid w:val="00617CB5"/>
    <w:rsid w:val="00617E39"/>
    <w:rsid w:val="006212FF"/>
    <w:rsid w:val="006216C7"/>
    <w:rsid w:val="00622315"/>
    <w:rsid w:val="00622DA0"/>
    <w:rsid w:val="006239D2"/>
    <w:rsid w:val="0062434B"/>
    <w:rsid w:val="0062447E"/>
    <w:rsid w:val="00625169"/>
    <w:rsid w:val="00625664"/>
    <w:rsid w:val="006257D2"/>
    <w:rsid w:val="00626086"/>
    <w:rsid w:val="006261B7"/>
    <w:rsid w:val="006264D7"/>
    <w:rsid w:val="00626FFC"/>
    <w:rsid w:val="00627091"/>
    <w:rsid w:val="00627BB3"/>
    <w:rsid w:val="006306BD"/>
    <w:rsid w:val="0063192E"/>
    <w:rsid w:val="00633C39"/>
    <w:rsid w:val="0063463C"/>
    <w:rsid w:val="00634C16"/>
    <w:rsid w:val="00634CF6"/>
    <w:rsid w:val="00635154"/>
    <w:rsid w:val="006361F8"/>
    <w:rsid w:val="006365E5"/>
    <w:rsid w:val="00636968"/>
    <w:rsid w:val="00636BB2"/>
    <w:rsid w:val="00637470"/>
    <w:rsid w:val="006374F5"/>
    <w:rsid w:val="00640D1D"/>
    <w:rsid w:val="006415CF"/>
    <w:rsid w:val="00642E63"/>
    <w:rsid w:val="00643083"/>
    <w:rsid w:val="00643B12"/>
    <w:rsid w:val="0064538B"/>
    <w:rsid w:val="00645823"/>
    <w:rsid w:val="00645EF4"/>
    <w:rsid w:val="00647897"/>
    <w:rsid w:val="0065028A"/>
    <w:rsid w:val="00650D71"/>
    <w:rsid w:val="00652459"/>
    <w:rsid w:val="0065246B"/>
    <w:rsid w:val="006526B4"/>
    <w:rsid w:val="0065314B"/>
    <w:rsid w:val="0065347C"/>
    <w:rsid w:val="00653D5E"/>
    <w:rsid w:val="00656181"/>
    <w:rsid w:val="0065790A"/>
    <w:rsid w:val="00660207"/>
    <w:rsid w:val="0066034E"/>
    <w:rsid w:val="00660A09"/>
    <w:rsid w:val="006613BF"/>
    <w:rsid w:val="00661A0B"/>
    <w:rsid w:val="00662379"/>
    <w:rsid w:val="006625F1"/>
    <w:rsid w:val="006626E8"/>
    <w:rsid w:val="00662D47"/>
    <w:rsid w:val="00663202"/>
    <w:rsid w:val="006638E5"/>
    <w:rsid w:val="0066420F"/>
    <w:rsid w:val="006653E7"/>
    <w:rsid w:val="00665EA4"/>
    <w:rsid w:val="00666A09"/>
    <w:rsid w:val="00670985"/>
    <w:rsid w:val="00670FB1"/>
    <w:rsid w:val="00672FAE"/>
    <w:rsid w:val="0067304C"/>
    <w:rsid w:val="006731F3"/>
    <w:rsid w:val="0067332C"/>
    <w:rsid w:val="006733E5"/>
    <w:rsid w:val="00673758"/>
    <w:rsid w:val="00675241"/>
    <w:rsid w:val="006756B6"/>
    <w:rsid w:val="006761CE"/>
    <w:rsid w:val="00676B76"/>
    <w:rsid w:val="006771BD"/>
    <w:rsid w:val="00677579"/>
    <w:rsid w:val="00680805"/>
    <w:rsid w:val="00680D84"/>
    <w:rsid w:val="00681F1D"/>
    <w:rsid w:val="00683471"/>
    <w:rsid w:val="00685F3B"/>
    <w:rsid w:val="006867FE"/>
    <w:rsid w:val="00686DEF"/>
    <w:rsid w:val="00687D03"/>
    <w:rsid w:val="0069003B"/>
    <w:rsid w:val="006939FB"/>
    <w:rsid w:val="00694C0D"/>
    <w:rsid w:val="00695242"/>
    <w:rsid w:val="00696035"/>
    <w:rsid w:val="00696549"/>
    <w:rsid w:val="0069692F"/>
    <w:rsid w:val="00696D40"/>
    <w:rsid w:val="00696E22"/>
    <w:rsid w:val="0069719C"/>
    <w:rsid w:val="00697724"/>
    <w:rsid w:val="00697D3A"/>
    <w:rsid w:val="006A0193"/>
    <w:rsid w:val="006A0516"/>
    <w:rsid w:val="006A09E2"/>
    <w:rsid w:val="006A112D"/>
    <w:rsid w:val="006A297A"/>
    <w:rsid w:val="006A4F65"/>
    <w:rsid w:val="006A5034"/>
    <w:rsid w:val="006A506E"/>
    <w:rsid w:val="006A6139"/>
    <w:rsid w:val="006B18DF"/>
    <w:rsid w:val="006B3051"/>
    <w:rsid w:val="006B3536"/>
    <w:rsid w:val="006B429A"/>
    <w:rsid w:val="006B45F5"/>
    <w:rsid w:val="006B526A"/>
    <w:rsid w:val="006B721F"/>
    <w:rsid w:val="006B7A97"/>
    <w:rsid w:val="006C0ED1"/>
    <w:rsid w:val="006C119A"/>
    <w:rsid w:val="006C1BA2"/>
    <w:rsid w:val="006C2D6E"/>
    <w:rsid w:val="006C2E01"/>
    <w:rsid w:val="006C3040"/>
    <w:rsid w:val="006C4081"/>
    <w:rsid w:val="006C51AB"/>
    <w:rsid w:val="006C5812"/>
    <w:rsid w:val="006C69B4"/>
    <w:rsid w:val="006C6DEC"/>
    <w:rsid w:val="006C7114"/>
    <w:rsid w:val="006C7366"/>
    <w:rsid w:val="006C769A"/>
    <w:rsid w:val="006C7F22"/>
    <w:rsid w:val="006D0625"/>
    <w:rsid w:val="006D0E7E"/>
    <w:rsid w:val="006D1AB5"/>
    <w:rsid w:val="006D1C10"/>
    <w:rsid w:val="006D2CEF"/>
    <w:rsid w:val="006D3EC2"/>
    <w:rsid w:val="006D41C9"/>
    <w:rsid w:val="006D43F1"/>
    <w:rsid w:val="006D48EB"/>
    <w:rsid w:val="006D4D8B"/>
    <w:rsid w:val="006D6571"/>
    <w:rsid w:val="006D7AA7"/>
    <w:rsid w:val="006E0134"/>
    <w:rsid w:val="006E0DFA"/>
    <w:rsid w:val="006E1C93"/>
    <w:rsid w:val="006E1D94"/>
    <w:rsid w:val="006E20B4"/>
    <w:rsid w:val="006E23C2"/>
    <w:rsid w:val="006E2473"/>
    <w:rsid w:val="006E3669"/>
    <w:rsid w:val="006E3C08"/>
    <w:rsid w:val="006E46D1"/>
    <w:rsid w:val="006E4C23"/>
    <w:rsid w:val="006E4DA5"/>
    <w:rsid w:val="006E4E37"/>
    <w:rsid w:val="006E5545"/>
    <w:rsid w:val="006F1882"/>
    <w:rsid w:val="006F4200"/>
    <w:rsid w:val="006F49A2"/>
    <w:rsid w:val="006F4BE4"/>
    <w:rsid w:val="006F5954"/>
    <w:rsid w:val="006F5957"/>
    <w:rsid w:val="006F6C91"/>
    <w:rsid w:val="00700127"/>
    <w:rsid w:val="007003DE"/>
    <w:rsid w:val="00702498"/>
    <w:rsid w:val="00702A38"/>
    <w:rsid w:val="007047D4"/>
    <w:rsid w:val="00704857"/>
    <w:rsid w:val="00704DB1"/>
    <w:rsid w:val="00704DED"/>
    <w:rsid w:val="0070665D"/>
    <w:rsid w:val="007075E5"/>
    <w:rsid w:val="00707AF4"/>
    <w:rsid w:val="00710338"/>
    <w:rsid w:val="007104E1"/>
    <w:rsid w:val="00711632"/>
    <w:rsid w:val="007122C6"/>
    <w:rsid w:val="007128CB"/>
    <w:rsid w:val="007132F7"/>
    <w:rsid w:val="00714040"/>
    <w:rsid w:val="00714D00"/>
    <w:rsid w:val="0071596C"/>
    <w:rsid w:val="00717E81"/>
    <w:rsid w:val="0072013C"/>
    <w:rsid w:val="00720330"/>
    <w:rsid w:val="00721233"/>
    <w:rsid w:val="0072126B"/>
    <w:rsid w:val="00721428"/>
    <w:rsid w:val="00721560"/>
    <w:rsid w:val="0072159D"/>
    <w:rsid w:val="007224ED"/>
    <w:rsid w:val="00723CCF"/>
    <w:rsid w:val="00724171"/>
    <w:rsid w:val="00724429"/>
    <w:rsid w:val="007255B1"/>
    <w:rsid w:val="007267BA"/>
    <w:rsid w:val="00726FB9"/>
    <w:rsid w:val="00727D8A"/>
    <w:rsid w:val="00731A35"/>
    <w:rsid w:val="007325C3"/>
    <w:rsid w:val="0073287D"/>
    <w:rsid w:val="00732A99"/>
    <w:rsid w:val="00732BBD"/>
    <w:rsid w:val="00733274"/>
    <w:rsid w:val="00734A72"/>
    <w:rsid w:val="00734C56"/>
    <w:rsid w:val="00734F91"/>
    <w:rsid w:val="007354DB"/>
    <w:rsid w:val="007355FD"/>
    <w:rsid w:val="007365F1"/>
    <w:rsid w:val="00737E26"/>
    <w:rsid w:val="00740E34"/>
    <w:rsid w:val="00740FDC"/>
    <w:rsid w:val="00741C98"/>
    <w:rsid w:val="00743F42"/>
    <w:rsid w:val="007444CB"/>
    <w:rsid w:val="0074472E"/>
    <w:rsid w:val="00744C5B"/>
    <w:rsid w:val="0074599C"/>
    <w:rsid w:val="00746702"/>
    <w:rsid w:val="00746D26"/>
    <w:rsid w:val="00747A6F"/>
    <w:rsid w:val="0075030B"/>
    <w:rsid w:val="0075085C"/>
    <w:rsid w:val="0075200D"/>
    <w:rsid w:val="00752CCF"/>
    <w:rsid w:val="00753417"/>
    <w:rsid w:val="00753B59"/>
    <w:rsid w:val="00754240"/>
    <w:rsid w:val="00754302"/>
    <w:rsid w:val="007555B4"/>
    <w:rsid w:val="007556A3"/>
    <w:rsid w:val="00755C10"/>
    <w:rsid w:val="00755EDC"/>
    <w:rsid w:val="0075681F"/>
    <w:rsid w:val="007569DC"/>
    <w:rsid w:val="007602DE"/>
    <w:rsid w:val="00760AE5"/>
    <w:rsid w:val="00760F08"/>
    <w:rsid w:val="0076214C"/>
    <w:rsid w:val="00762450"/>
    <w:rsid w:val="0076277F"/>
    <w:rsid w:val="00762FD9"/>
    <w:rsid w:val="00764DD1"/>
    <w:rsid w:val="00765390"/>
    <w:rsid w:val="0076539C"/>
    <w:rsid w:val="0076602C"/>
    <w:rsid w:val="007674A5"/>
    <w:rsid w:val="00770364"/>
    <w:rsid w:val="00770795"/>
    <w:rsid w:val="00771333"/>
    <w:rsid w:val="0077177C"/>
    <w:rsid w:val="007723D5"/>
    <w:rsid w:val="00773806"/>
    <w:rsid w:val="007769B3"/>
    <w:rsid w:val="007776CA"/>
    <w:rsid w:val="00780177"/>
    <w:rsid w:val="0078038B"/>
    <w:rsid w:val="00780B79"/>
    <w:rsid w:val="00781AAB"/>
    <w:rsid w:val="00781C39"/>
    <w:rsid w:val="0078203B"/>
    <w:rsid w:val="00782FEF"/>
    <w:rsid w:val="00783049"/>
    <w:rsid w:val="007836CD"/>
    <w:rsid w:val="00783A8A"/>
    <w:rsid w:val="0078417B"/>
    <w:rsid w:val="00786222"/>
    <w:rsid w:val="007862D9"/>
    <w:rsid w:val="00786753"/>
    <w:rsid w:val="00787045"/>
    <w:rsid w:val="0079078D"/>
    <w:rsid w:val="00790AFD"/>
    <w:rsid w:val="00790F1A"/>
    <w:rsid w:val="007918EB"/>
    <w:rsid w:val="00792C96"/>
    <w:rsid w:val="00792D5E"/>
    <w:rsid w:val="0079454D"/>
    <w:rsid w:val="00794ABF"/>
    <w:rsid w:val="00796572"/>
    <w:rsid w:val="007972D9"/>
    <w:rsid w:val="00797AFA"/>
    <w:rsid w:val="00797F4B"/>
    <w:rsid w:val="007A0048"/>
    <w:rsid w:val="007A1211"/>
    <w:rsid w:val="007A126B"/>
    <w:rsid w:val="007A166C"/>
    <w:rsid w:val="007A1F35"/>
    <w:rsid w:val="007A29E6"/>
    <w:rsid w:val="007A2DF8"/>
    <w:rsid w:val="007A2FD5"/>
    <w:rsid w:val="007A3FF8"/>
    <w:rsid w:val="007A48D7"/>
    <w:rsid w:val="007A68F9"/>
    <w:rsid w:val="007A7440"/>
    <w:rsid w:val="007A7604"/>
    <w:rsid w:val="007A7CFB"/>
    <w:rsid w:val="007B125D"/>
    <w:rsid w:val="007B158D"/>
    <w:rsid w:val="007B2033"/>
    <w:rsid w:val="007B2975"/>
    <w:rsid w:val="007B31F7"/>
    <w:rsid w:val="007B3253"/>
    <w:rsid w:val="007B33D2"/>
    <w:rsid w:val="007B3A1C"/>
    <w:rsid w:val="007B4DC3"/>
    <w:rsid w:val="007B6AE9"/>
    <w:rsid w:val="007B6DE8"/>
    <w:rsid w:val="007C0C43"/>
    <w:rsid w:val="007C17C6"/>
    <w:rsid w:val="007C3D13"/>
    <w:rsid w:val="007C4E06"/>
    <w:rsid w:val="007C779D"/>
    <w:rsid w:val="007D04E8"/>
    <w:rsid w:val="007D0FC4"/>
    <w:rsid w:val="007D119B"/>
    <w:rsid w:val="007D128A"/>
    <w:rsid w:val="007D17C7"/>
    <w:rsid w:val="007D196E"/>
    <w:rsid w:val="007D2C20"/>
    <w:rsid w:val="007D41A5"/>
    <w:rsid w:val="007D51DD"/>
    <w:rsid w:val="007D62CF"/>
    <w:rsid w:val="007D6377"/>
    <w:rsid w:val="007D7120"/>
    <w:rsid w:val="007D72DD"/>
    <w:rsid w:val="007D7997"/>
    <w:rsid w:val="007D799A"/>
    <w:rsid w:val="007E130A"/>
    <w:rsid w:val="007E218A"/>
    <w:rsid w:val="007E59D4"/>
    <w:rsid w:val="007E6EAB"/>
    <w:rsid w:val="007E7296"/>
    <w:rsid w:val="007F12CD"/>
    <w:rsid w:val="007F1C24"/>
    <w:rsid w:val="007F2282"/>
    <w:rsid w:val="007F3333"/>
    <w:rsid w:val="007F3706"/>
    <w:rsid w:val="007F3C74"/>
    <w:rsid w:val="007F49DD"/>
    <w:rsid w:val="007F4A8B"/>
    <w:rsid w:val="007F707D"/>
    <w:rsid w:val="007F716B"/>
    <w:rsid w:val="007F757C"/>
    <w:rsid w:val="007F75BA"/>
    <w:rsid w:val="007F7D48"/>
    <w:rsid w:val="008009B7"/>
    <w:rsid w:val="00801661"/>
    <w:rsid w:val="0080173B"/>
    <w:rsid w:val="008017DC"/>
    <w:rsid w:val="0080259A"/>
    <w:rsid w:val="00803D5B"/>
    <w:rsid w:val="008042BC"/>
    <w:rsid w:val="00805DB5"/>
    <w:rsid w:val="008062BD"/>
    <w:rsid w:val="00807935"/>
    <w:rsid w:val="00807F93"/>
    <w:rsid w:val="008108E2"/>
    <w:rsid w:val="008109A1"/>
    <w:rsid w:val="00810E0F"/>
    <w:rsid w:val="00811089"/>
    <w:rsid w:val="00812DA6"/>
    <w:rsid w:val="00814674"/>
    <w:rsid w:val="00814678"/>
    <w:rsid w:val="0081505A"/>
    <w:rsid w:val="008159B4"/>
    <w:rsid w:val="00815B82"/>
    <w:rsid w:val="00817841"/>
    <w:rsid w:val="008202DE"/>
    <w:rsid w:val="00820F54"/>
    <w:rsid w:val="0082153C"/>
    <w:rsid w:val="00821CA7"/>
    <w:rsid w:val="00821D23"/>
    <w:rsid w:val="008233B0"/>
    <w:rsid w:val="00824D8F"/>
    <w:rsid w:val="00824F31"/>
    <w:rsid w:val="00826B63"/>
    <w:rsid w:val="00826E1D"/>
    <w:rsid w:val="00826EDE"/>
    <w:rsid w:val="00826F90"/>
    <w:rsid w:val="008275CA"/>
    <w:rsid w:val="008300BD"/>
    <w:rsid w:val="00830872"/>
    <w:rsid w:val="00831355"/>
    <w:rsid w:val="008326ED"/>
    <w:rsid w:val="00832A0B"/>
    <w:rsid w:val="00832E3A"/>
    <w:rsid w:val="0083477D"/>
    <w:rsid w:val="00837442"/>
    <w:rsid w:val="008400FE"/>
    <w:rsid w:val="008403BC"/>
    <w:rsid w:val="008410DC"/>
    <w:rsid w:val="00841358"/>
    <w:rsid w:val="0084161D"/>
    <w:rsid w:val="00842C36"/>
    <w:rsid w:val="008432ED"/>
    <w:rsid w:val="008435BC"/>
    <w:rsid w:val="00844133"/>
    <w:rsid w:val="00847462"/>
    <w:rsid w:val="008506A3"/>
    <w:rsid w:val="00850FCD"/>
    <w:rsid w:val="00851033"/>
    <w:rsid w:val="0085251A"/>
    <w:rsid w:val="00852726"/>
    <w:rsid w:val="008529C4"/>
    <w:rsid w:val="00852AD5"/>
    <w:rsid w:val="00852BEA"/>
    <w:rsid w:val="00852D3F"/>
    <w:rsid w:val="00853144"/>
    <w:rsid w:val="00854F0F"/>
    <w:rsid w:val="00855211"/>
    <w:rsid w:val="0085678E"/>
    <w:rsid w:val="00860CBA"/>
    <w:rsid w:val="00861FE8"/>
    <w:rsid w:val="008626E3"/>
    <w:rsid w:val="008632BE"/>
    <w:rsid w:val="00863C21"/>
    <w:rsid w:val="00863EA8"/>
    <w:rsid w:val="00863FF2"/>
    <w:rsid w:val="00864017"/>
    <w:rsid w:val="00864368"/>
    <w:rsid w:val="00865BD0"/>
    <w:rsid w:val="008660BF"/>
    <w:rsid w:val="00866A0C"/>
    <w:rsid w:val="0086763B"/>
    <w:rsid w:val="00867695"/>
    <w:rsid w:val="00867DB1"/>
    <w:rsid w:val="0087228F"/>
    <w:rsid w:val="00874F52"/>
    <w:rsid w:val="00875860"/>
    <w:rsid w:val="0087768F"/>
    <w:rsid w:val="0088024B"/>
    <w:rsid w:val="008802C1"/>
    <w:rsid w:val="008814BE"/>
    <w:rsid w:val="00882E0F"/>
    <w:rsid w:val="0088545C"/>
    <w:rsid w:val="008855F7"/>
    <w:rsid w:val="00885B7C"/>
    <w:rsid w:val="00885F21"/>
    <w:rsid w:val="00886208"/>
    <w:rsid w:val="00886678"/>
    <w:rsid w:val="008874B0"/>
    <w:rsid w:val="008879CF"/>
    <w:rsid w:val="0089028E"/>
    <w:rsid w:val="00890374"/>
    <w:rsid w:val="00890836"/>
    <w:rsid w:val="008908B3"/>
    <w:rsid w:val="00890A34"/>
    <w:rsid w:val="008911FC"/>
    <w:rsid w:val="008913CF"/>
    <w:rsid w:val="00891708"/>
    <w:rsid w:val="00891AA7"/>
    <w:rsid w:val="00892213"/>
    <w:rsid w:val="008934C7"/>
    <w:rsid w:val="008935EF"/>
    <w:rsid w:val="008951D6"/>
    <w:rsid w:val="0089600B"/>
    <w:rsid w:val="008963F5"/>
    <w:rsid w:val="008976B5"/>
    <w:rsid w:val="008A02B1"/>
    <w:rsid w:val="008A1501"/>
    <w:rsid w:val="008A36DD"/>
    <w:rsid w:val="008A3F5A"/>
    <w:rsid w:val="008A7414"/>
    <w:rsid w:val="008B0984"/>
    <w:rsid w:val="008B1F00"/>
    <w:rsid w:val="008B21DE"/>
    <w:rsid w:val="008B2239"/>
    <w:rsid w:val="008B22E7"/>
    <w:rsid w:val="008B333D"/>
    <w:rsid w:val="008B47ED"/>
    <w:rsid w:val="008B5AFD"/>
    <w:rsid w:val="008B6323"/>
    <w:rsid w:val="008B6399"/>
    <w:rsid w:val="008B6EDB"/>
    <w:rsid w:val="008C110B"/>
    <w:rsid w:val="008C1F09"/>
    <w:rsid w:val="008C22CA"/>
    <w:rsid w:val="008C2733"/>
    <w:rsid w:val="008C2E7B"/>
    <w:rsid w:val="008C3389"/>
    <w:rsid w:val="008C35F5"/>
    <w:rsid w:val="008C462C"/>
    <w:rsid w:val="008C4831"/>
    <w:rsid w:val="008C6718"/>
    <w:rsid w:val="008D1519"/>
    <w:rsid w:val="008D3C76"/>
    <w:rsid w:val="008D40FE"/>
    <w:rsid w:val="008D429D"/>
    <w:rsid w:val="008D44A6"/>
    <w:rsid w:val="008D5502"/>
    <w:rsid w:val="008D5B86"/>
    <w:rsid w:val="008D6AE9"/>
    <w:rsid w:val="008D6C1D"/>
    <w:rsid w:val="008D6EC7"/>
    <w:rsid w:val="008D792D"/>
    <w:rsid w:val="008D7FEA"/>
    <w:rsid w:val="008E0015"/>
    <w:rsid w:val="008E2CC5"/>
    <w:rsid w:val="008E2E66"/>
    <w:rsid w:val="008E31D4"/>
    <w:rsid w:val="008E3343"/>
    <w:rsid w:val="008E3C9E"/>
    <w:rsid w:val="008E41E4"/>
    <w:rsid w:val="008E440F"/>
    <w:rsid w:val="008E459D"/>
    <w:rsid w:val="008E7754"/>
    <w:rsid w:val="008F019A"/>
    <w:rsid w:val="008F13F7"/>
    <w:rsid w:val="008F1994"/>
    <w:rsid w:val="008F2266"/>
    <w:rsid w:val="008F2B6F"/>
    <w:rsid w:val="008F2B87"/>
    <w:rsid w:val="008F2D70"/>
    <w:rsid w:val="008F3F27"/>
    <w:rsid w:val="008F516C"/>
    <w:rsid w:val="008F6541"/>
    <w:rsid w:val="008F669A"/>
    <w:rsid w:val="008F66AD"/>
    <w:rsid w:val="008F6AFA"/>
    <w:rsid w:val="008F778B"/>
    <w:rsid w:val="008F7C92"/>
    <w:rsid w:val="008F7D1A"/>
    <w:rsid w:val="008F7D52"/>
    <w:rsid w:val="00902097"/>
    <w:rsid w:val="00902279"/>
    <w:rsid w:val="00903445"/>
    <w:rsid w:val="009035A2"/>
    <w:rsid w:val="00903CAD"/>
    <w:rsid w:val="00905489"/>
    <w:rsid w:val="009063E7"/>
    <w:rsid w:val="00906A2C"/>
    <w:rsid w:val="00907B36"/>
    <w:rsid w:val="00907BD0"/>
    <w:rsid w:val="00911D00"/>
    <w:rsid w:val="00911E6D"/>
    <w:rsid w:val="009148B5"/>
    <w:rsid w:val="00914DCE"/>
    <w:rsid w:val="00914E44"/>
    <w:rsid w:val="009172A2"/>
    <w:rsid w:val="00917F98"/>
    <w:rsid w:val="009232BB"/>
    <w:rsid w:val="00923DFD"/>
    <w:rsid w:val="00924527"/>
    <w:rsid w:val="00924CD1"/>
    <w:rsid w:val="00924DC6"/>
    <w:rsid w:val="0092562D"/>
    <w:rsid w:val="00925D50"/>
    <w:rsid w:val="00926352"/>
    <w:rsid w:val="00926BC7"/>
    <w:rsid w:val="00927375"/>
    <w:rsid w:val="009301C6"/>
    <w:rsid w:val="00931291"/>
    <w:rsid w:val="00931961"/>
    <w:rsid w:val="00931AE8"/>
    <w:rsid w:val="00933119"/>
    <w:rsid w:val="009331D5"/>
    <w:rsid w:val="00933D0C"/>
    <w:rsid w:val="00934086"/>
    <w:rsid w:val="009356E6"/>
    <w:rsid w:val="00935F7B"/>
    <w:rsid w:val="00940860"/>
    <w:rsid w:val="0094096B"/>
    <w:rsid w:val="00942355"/>
    <w:rsid w:val="00942A32"/>
    <w:rsid w:val="00942E66"/>
    <w:rsid w:val="009436DD"/>
    <w:rsid w:val="00944743"/>
    <w:rsid w:val="00944E03"/>
    <w:rsid w:val="009455C7"/>
    <w:rsid w:val="00945A5A"/>
    <w:rsid w:val="00945D37"/>
    <w:rsid w:val="0094601A"/>
    <w:rsid w:val="009476E6"/>
    <w:rsid w:val="00947914"/>
    <w:rsid w:val="00952C3A"/>
    <w:rsid w:val="0095401B"/>
    <w:rsid w:val="009546FA"/>
    <w:rsid w:val="00954CC7"/>
    <w:rsid w:val="009550FB"/>
    <w:rsid w:val="00957C23"/>
    <w:rsid w:val="009601CF"/>
    <w:rsid w:val="00960C5A"/>
    <w:rsid w:val="00960E78"/>
    <w:rsid w:val="00960F09"/>
    <w:rsid w:val="00961025"/>
    <w:rsid w:val="00961DC5"/>
    <w:rsid w:val="009621A3"/>
    <w:rsid w:val="00962534"/>
    <w:rsid w:val="00962CC9"/>
    <w:rsid w:val="00963606"/>
    <w:rsid w:val="00963E8A"/>
    <w:rsid w:val="0096523F"/>
    <w:rsid w:val="0096577A"/>
    <w:rsid w:val="0096577B"/>
    <w:rsid w:val="009664EC"/>
    <w:rsid w:val="0096732F"/>
    <w:rsid w:val="0096772B"/>
    <w:rsid w:val="009707D3"/>
    <w:rsid w:val="00971956"/>
    <w:rsid w:val="00971AB6"/>
    <w:rsid w:val="00971C84"/>
    <w:rsid w:val="009722EC"/>
    <w:rsid w:val="00972DFD"/>
    <w:rsid w:val="009745AA"/>
    <w:rsid w:val="0097581E"/>
    <w:rsid w:val="00977B42"/>
    <w:rsid w:val="009805B6"/>
    <w:rsid w:val="0098082A"/>
    <w:rsid w:val="009812FB"/>
    <w:rsid w:val="00982CA1"/>
    <w:rsid w:val="00983BD8"/>
    <w:rsid w:val="0098486E"/>
    <w:rsid w:val="009851CF"/>
    <w:rsid w:val="0098529B"/>
    <w:rsid w:val="00986E86"/>
    <w:rsid w:val="00987241"/>
    <w:rsid w:val="00987B72"/>
    <w:rsid w:val="00987E56"/>
    <w:rsid w:val="00990492"/>
    <w:rsid w:val="00990ACE"/>
    <w:rsid w:val="00991C50"/>
    <w:rsid w:val="00994F6F"/>
    <w:rsid w:val="009953DA"/>
    <w:rsid w:val="00995425"/>
    <w:rsid w:val="009A01A1"/>
    <w:rsid w:val="009A05B4"/>
    <w:rsid w:val="009A1026"/>
    <w:rsid w:val="009A2194"/>
    <w:rsid w:val="009A26DA"/>
    <w:rsid w:val="009A3D54"/>
    <w:rsid w:val="009A5858"/>
    <w:rsid w:val="009A5B9F"/>
    <w:rsid w:val="009A7012"/>
    <w:rsid w:val="009A793D"/>
    <w:rsid w:val="009A795A"/>
    <w:rsid w:val="009B07D5"/>
    <w:rsid w:val="009B0E57"/>
    <w:rsid w:val="009B1A3C"/>
    <w:rsid w:val="009B1D19"/>
    <w:rsid w:val="009B2B19"/>
    <w:rsid w:val="009B53B5"/>
    <w:rsid w:val="009B5467"/>
    <w:rsid w:val="009B5A9A"/>
    <w:rsid w:val="009B5BAB"/>
    <w:rsid w:val="009B65FF"/>
    <w:rsid w:val="009B7D88"/>
    <w:rsid w:val="009C1A76"/>
    <w:rsid w:val="009C2218"/>
    <w:rsid w:val="009C2CA9"/>
    <w:rsid w:val="009C2F65"/>
    <w:rsid w:val="009C317F"/>
    <w:rsid w:val="009C4B30"/>
    <w:rsid w:val="009C50C1"/>
    <w:rsid w:val="009C5326"/>
    <w:rsid w:val="009C66E8"/>
    <w:rsid w:val="009C706E"/>
    <w:rsid w:val="009C76CB"/>
    <w:rsid w:val="009D0F9C"/>
    <w:rsid w:val="009D15FF"/>
    <w:rsid w:val="009D2C63"/>
    <w:rsid w:val="009D3830"/>
    <w:rsid w:val="009D3AEF"/>
    <w:rsid w:val="009D3E2F"/>
    <w:rsid w:val="009D3E90"/>
    <w:rsid w:val="009D454F"/>
    <w:rsid w:val="009D46D9"/>
    <w:rsid w:val="009D47FF"/>
    <w:rsid w:val="009E0740"/>
    <w:rsid w:val="009E0A7A"/>
    <w:rsid w:val="009E1D49"/>
    <w:rsid w:val="009E24CB"/>
    <w:rsid w:val="009E2F66"/>
    <w:rsid w:val="009E4BB5"/>
    <w:rsid w:val="009E4E14"/>
    <w:rsid w:val="009E5DBE"/>
    <w:rsid w:val="009E6421"/>
    <w:rsid w:val="009E6815"/>
    <w:rsid w:val="009E7148"/>
    <w:rsid w:val="009E7514"/>
    <w:rsid w:val="009F19C3"/>
    <w:rsid w:val="009F1D6C"/>
    <w:rsid w:val="009F4180"/>
    <w:rsid w:val="009F53EB"/>
    <w:rsid w:val="009F5B28"/>
    <w:rsid w:val="009F6359"/>
    <w:rsid w:val="009F6BDF"/>
    <w:rsid w:val="009F6C11"/>
    <w:rsid w:val="009F6DBF"/>
    <w:rsid w:val="009F734C"/>
    <w:rsid w:val="009F757B"/>
    <w:rsid w:val="009F7948"/>
    <w:rsid w:val="00A022AC"/>
    <w:rsid w:val="00A022BD"/>
    <w:rsid w:val="00A027F6"/>
    <w:rsid w:val="00A0423C"/>
    <w:rsid w:val="00A05515"/>
    <w:rsid w:val="00A067B2"/>
    <w:rsid w:val="00A0716B"/>
    <w:rsid w:val="00A0776D"/>
    <w:rsid w:val="00A07E6E"/>
    <w:rsid w:val="00A110CB"/>
    <w:rsid w:val="00A113E7"/>
    <w:rsid w:val="00A126F5"/>
    <w:rsid w:val="00A12D4C"/>
    <w:rsid w:val="00A1304B"/>
    <w:rsid w:val="00A134C5"/>
    <w:rsid w:val="00A135C1"/>
    <w:rsid w:val="00A139BE"/>
    <w:rsid w:val="00A140FC"/>
    <w:rsid w:val="00A14D57"/>
    <w:rsid w:val="00A150D6"/>
    <w:rsid w:val="00A15A2B"/>
    <w:rsid w:val="00A17DAF"/>
    <w:rsid w:val="00A17E5F"/>
    <w:rsid w:val="00A20D42"/>
    <w:rsid w:val="00A21A92"/>
    <w:rsid w:val="00A22802"/>
    <w:rsid w:val="00A23CD6"/>
    <w:rsid w:val="00A23EFF"/>
    <w:rsid w:val="00A24765"/>
    <w:rsid w:val="00A27232"/>
    <w:rsid w:val="00A27898"/>
    <w:rsid w:val="00A27E6C"/>
    <w:rsid w:val="00A27FE7"/>
    <w:rsid w:val="00A31ABD"/>
    <w:rsid w:val="00A32389"/>
    <w:rsid w:val="00A33149"/>
    <w:rsid w:val="00A34B44"/>
    <w:rsid w:val="00A35282"/>
    <w:rsid w:val="00A37923"/>
    <w:rsid w:val="00A379AB"/>
    <w:rsid w:val="00A4137B"/>
    <w:rsid w:val="00A413FC"/>
    <w:rsid w:val="00A43093"/>
    <w:rsid w:val="00A43DC1"/>
    <w:rsid w:val="00A4595F"/>
    <w:rsid w:val="00A45B82"/>
    <w:rsid w:val="00A460D2"/>
    <w:rsid w:val="00A47EFB"/>
    <w:rsid w:val="00A50701"/>
    <w:rsid w:val="00A50B67"/>
    <w:rsid w:val="00A50FD4"/>
    <w:rsid w:val="00A51E7F"/>
    <w:rsid w:val="00A522E7"/>
    <w:rsid w:val="00A52889"/>
    <w:rsid w:val="00A53296"/>
    <w:rsid w:val="00A53356"/>
    <w:rsid w:val="00A540FA"/>
    <w:rsid w:val="00A54900"/>
    <w:rsid w:val="00A553B3"/>
    <w:rsid w:val="00A55CFE"/>
    <w:rsid w:val="00A560B4"/>
    <w:rsid w:val="00A562F7"/>
    <w:rsid w:val="00A5672A"/>
    <w:rsid w:val="00A60679"/>
    <w:rsid w:val="00A62591"/>
    <w:rsid w:val="00A6391F"/>
    <w:rsid w:val="00A6428C"/>
    <w:rsid w:val="00A67B12"/>
    <w:rsid w:val="00A67BF2"/>
    <w:rsid w:val="00A67DE3"/>
    <w:rsid w:val="00A700DC"/>
    <w:rsid w:val="00A70891"/>
    <w:rsid w:val="00A72211"/>
    <w:rsid w:val="00A73EE2"/>
    <w:rsid w:val="00A746A3"/>
    <w:rsid w:val="00A74967"/>
    <w:rsid w:val="00A74B20"/>
    <w:rsid w:val="00A74D3D"/>
    <w:rsid w:val="00A74F9C"/>
    <w:rsid w:val="00A754D8"/>
    <w:rsid w:val="00A76081"/>
    <w:rsid w:val="00A76ED9"/>
    <w:rsid w:val="00A8099F"/>
    <w:rsid w:val="00A80F72"/>
    <w:rsid w:val="00A81798"/>
    <w:rsid w:val="00A83A12"/>
    <w:rsid w:val="00A83DE6"/>
    <w:rsid w:val="00A83F83"/>
    <w:rsid w:val="00A84669"/>
    <w:rsid w:val="00A84DA9"/>
    <w:rsid w:val="00A850BE"/>
    <w:rsid w:val="00A8532B"/>
    <w:rsid w:val="00A856C5"/>
    <w:rsid w:val="00A863DD"/>
    <w:rsid w:val="00A90B18"/>
    <w:rsid w:val="00A90C31"/>
    <w:rsid w:val="00A91452"/>
    <w:rsid w:val="00A921F2"/>
    <w:rsid w:val="00A92C53"/>
    <w:rsid w:val="00A932B4"/>
    <w:rsid w:val="00A945C3"/>
    <w:rsid w:val="00A947D5"/>
    <w:rsid w:val="00A94866"/>
    <w:rsid w:val="00A94A8D"/>
    <w:rsid w:val="00A96237"/>
    <w:rsid w:val="00A96260"/>
    <w:rsid w:val="00A96EE8"/>
    <w:rsid w:val="00A9720E"/>
    <w:rsid w:val="00A97676"/>
    <w:rsid w:val="00A97CA6"/>
    <w:rsid w:val="00AA0BED"/>
    <w:rsid w:val="00AA27E6"/>
    <w:rsid w:val="00AA31BC"/>
    <w:rsid w:val="00AA3573"/>
    <w:rsid w:val="00AA37B0"/>
    <w:rsid w:val="00AA3F9B"/>
    <w:rsid w:val="00AA43C0"/>
    <w:rsid w:val="00AA586A"/>
    <w:rsid w:val="00AA66B6"/>
    <w:rsid w:val="00AA7670"/>
    <w:rsid w:val="00AA7EEC"/>
    <w:rsid w:val="00AB0141"/>
    <w:rsid w:val="00AB4106"/>
    <w:rsid w:val="00AB46F3"/>
    <w:rsid w:val="00AB6555"/>
    <w:rsid w:val="00AC0D28"/>
    <w:rsid w:val="00AC1327"/>
    <w:rsid w:val="00AC1A60"/>
    <w:rsid w:val="00AC21F5"/>
    <w:rsid w:val="00AC424A"/>
    <w:rsid w:val="00AC4702"/>
    <w:rsid w:val="00AC4D7F"/>
    <w:rsid w:val="00AC5213"/>
    <w:rsid w:val="00AC5452"/>
    <w:rsid w:val="00AC5810"/>
    <w:rsid w:val="00AC5C00"/>
    <w:rsid w:val="00AD210E"/>
    <w:rsid w:val="00AD2370"/>
    <w:rsid w:val="00AD2744"/>
    <w:rsid w:val="00AD42F9"/>
    <w:rsid w:val="00AD4FDE"/>
    <w:rsid w:val="00AD694B"/>
    <w:rsid w:val="00AE2548"/>
    <w:rsid w:val="00AE37B5"/>
    <w:rsid w:val="00AE3B00"/>
    <w:rsid w:val="00AE3BC8"/>
    <w:rsid w:val="00AE412D"/>
    <w:rsid w:val="00AE42D3"/>
    <w:rsid w:val="00AE4FD7"/>
    <w:rsid w:val="00AE5870"/>
    <w:rsid w:val="00AE627B"/>
    <w:rsid w:val="00AE6B42"/>
    <w:rsid w:val="00AE782E"/>
    <w:rsid w:val="00AE786D"/>
    <w:rsid w:val="00AE7BC9"/>
    <w:rsid w:val="00AF03CC"/>
    <w:rsid w:val="00AF0CED"/>
    <w:rsid w:val="00AF2432"/>
    <w:rsid w:val="00AF31BD"/>
    <w:rsid w:val="00AF3C70"/>
    <w:rsid w:val="00AF470C"/>
    <w:rsid w:val="00AF5EFA"/>
    <w:rsid w:val="00AF6438"/>
    <w:rsid w:val="00AF79AE"/>
    <w:rsid w:val="00B00E4A"/>
    <w:rsid w:val="00B0131C"/>
    <w:rsid w:val="00B01F1C"/>
    <w:rsid w:val="00B023AC"/>
    <w:rsid w:val="00B02BC1"/>
    <w:rsid w:val="00B02D24"/>
    <w:rsid w:val="00B02EA7"/>
    <w:rsid w:val="00B031CB"/>
    <w:rsid w:val="00B058B5"/>
    <w:rsid w:val="00B06D2F"/>
    <w:rsid w:val="00B07171"/>
    <w:rsid w:val="00B07173"/>
    <w:rsid w:val="00B07739"/>
    <w:rsid w:val="00B07C8A"/>
    <w:rsid w:val="00B10013"/>
    <w:rsid w:val="00B10B2B"/>
    <w:rsid w:val="00B10E1E"/>
    <w:rsid w:val="00B11E3E"/>
    <w:rsid w:val="00B11F0D"/>
    <w:rsid w:val="00B1217E"/>
    <w:rsid w:val="00B12333"/>
    <w:rsid w:val="00B13A91"/>
    <w:rsid w:val="00B1419C"/>
    <w:rsid w:val="00B15548"/>
    <w:rsid w:val="00B1687F"/>
    <w:rsid w:val="00B20276"/>
    <w:rsid w:val="00B20284"/>
    <w:rsid w:val="00B20963"/>
    <w:rsid w:val="00B21658"/>
    <w:rsid w:val="00B21A18"/>
    <w:rsid w:val="00B24110"/>
    <w:rsid w:val="00B2434A"/>
    <w:rsid w:val="00B24813"/>
    <w:rsid w:val="00B24C1A"/>
    <w:rsid w:val="00B2508D"/>
    <w:rsid w:val="00B258C4"/>
    <w:rsid w:val="00B26B4F"/>
    <w:rsid w:val="00B30AD4"/>
    <w:rsid w:val="00B30FF4"/>
    <w:rsid w:val="00B31AC2"/>
    <w:rsid w:val="00B31AF4"/>
    <w:rsid w:val="00B31EC3"/>
    <w:rsid w:val="00B3233A"/>
    <w:rsid w:val="00B3265D"/>
    <w:rsid w:val="00B32AE3"/>
    <w:rsid w:val="00B34E84"/>
    <w:rsid w:val="00B354FD"/>
    <w:rsid w:val="00B3578A"/>
    <w:rsid w:val="00B37252"/>
    <w:rsid w:val="00B400C5"/>
    <w:rsid w:val="00B41CCB"/>
    <w:rsid w:val="00B44700"/>
    <w:rsid w:val="00B46B89"/>
    <w:rsid w:val="00B50003"/>
    <w:rsid w:val="00B50697"/>
    <w:rsid w:val="00B51BFB"/>
    <w:rsid w:val="00B531F8"/>
    <w:rsid w:val="00B5485C"/>
    <w:rsid w:val="00B54B48"/>
    <w:rsid w:val="00B56E20"/>
    <w:rsid w:val="00B61D63"/>
    <w:rsid w:val="00B62E2B"/>
    <w:rsid w:val="00B63CA4"/>
    <w:rsid w:val="00B64445"/>
    <w:rsid w:val="00B644CE"/>
    <w:rsid w:val="00B6478F"/>
    <w:rsid w:val="00B64E75"/>
    <w:rsid w:val="00B66126"/>
    <w:rsid w:val="00B705B5"/>
    <w:rsid w:val="00B70C75"/>
    <w:rsid w:val="00B71699"/>
    <w:rsid w:val="00B717DC"/>
    <w:rsid w:val="00B720E3"/>
    <w:rsid w:val="00B727EA"/>
    <w:rsid w:val="00B72F9D"/>
    <w:rsid w:val="00B739A7"/>
    <w:rsid w:val="00B73E0B"/>
    <w:rsid w:val="00B762ED"/>
    <w:rsid w:val="00B77287"/>
    <w:rsid w:val="00B77AE7"/>
    <w:rsid w:val="00B8047C"/>
    <w:rsid w:val="00B80C64"/>
    <w:rsid w:val="00B826D9"/>
    <w:rsid w:val="00B833F4"/>
    <w:rsid w:val="00B85EF8"/>
    <w:rsid w:val="00B8668D"/>
    <w:rsid w:val="00B86D63"/>
    <w:rsid w:val="00B86E84"/>
    <w:rsid w:val="00B877E8"/>
    <w:rsid w:val="00B902DB"/>
    <w:rsid w:val="00B90445"/>
    <w:rsid w:val="00B90CE7"/>
    <w:rsid w:val="00B91622"/>
    <w:rsid w:val="00B916D2"/>
    <w:rsid w:val="00B951D3"/>
    <w:rsid w:val="00B95A0E"/>
    <w:rsid w:val="00B95ED6"/>
    <w:rsid w:val="00B96215"/>
    <w:rsid w:val="00B96AD3"/>
    <w:rsid w:val="00B97106"/>
    <w:rsid w:val="00B97F02"/>
    <w:rsid w:val="00BA22BB"/>
    <w:rsid w:val="00BA252C"/>
    <w:rsid w:val="00BA2D3F"/>
    <w:rsid w:val="00BA36F9"/>
    <w:rsid w:val="00BA45F4"/>
    <w:rsid w:val="00BA4DE2"/>
    <w:rsid w:val="00BA547E"/>
    <w:rsid w:val="00BA5B6A"/>
    <w:rsid w:val="00BB04E5"/>
    <w:rsid w:val="00BB146C"/>
    <w:rsid w:val="00BB27C8"/>
    <w:rsid w:val="00BB3868"/>
    <w:rsid w:val="00BB3E98"/>
    <w:rsid w:val="00BB449E"/>
    <w:rsid w:val="00BB5076"/>
    <w:rsid w:val="00BB5138"/>
    <w:rsid w:val="00BB5419"/>
    <w:rsid w:val="00BB578C"/>
    <w:rsid w:val="00BB6398"/>
    <w:rsid w:val="00BB72E5"/>
    <w:rsid w:val="00BB77C6"/>
    <w:rsid w:val="00BC073F"/>
    <w:rsid w:val="00BC206C"/>
    <w:rsid w:val="00BC2C8E"/>
    <w:rsid w:val="00BC400B"/>
    <w:rsid w:val="00BC4070"/>
    <w:rsid w:val="00BC4506"/>
    <w:rsid w:val="00BC4F53"/>
    <w:rsid w:val="00BC6916"/>
    <w:rsid w:val="00BC6B41"/>
    <w:rsid w:val="00BC784D"/>
    <w:rsid w:val="00BD049D"/>
    <w:rsid w:val="00BD04F0"/>
    <w:rsid w:val="00BD0769"/>
    <w:rsid w:val="00BD11D3"/>
    <w:rsid w:val="00BD1AD3"/>
    <w:rsid w:val="00BD2170"/>
    <w:rsid w:val="00BD25B3"/>
    <w:rsid w:val="00BD295A"/>
    <w:rsid w:val="00BD2D29"/>
    <w:rsid w:val="00BD3BC3"/>
    <w:rsid w:val="00BD46C0"/>
    <w:rsid w:val="00BD5779"/>
    <w:rsid w:val="00BD6483"/>
    <w:rsid w:val="00BD7BDE"/>
    <w:rsid w:val="00BD7C91"/>
    <w:rsid w:val="00BE0C76"/>
    <w:rsid w:val="00BE1033"/>
    <w:rsid w:val="00BE217C"/>
    <w:rsid w:val="00BE25E1"/>
    <w:rsid w:val="00BE405F"/>
    <w:rsid w:val="00BE4129"/>
    <w:rsid w:val="00BE44E8"/>
    <w:rsid w:val="00BE5F2B"/>
    <w:rsid w:val="00BE66CD"/>
    <w:rsid w:val="00BE76E2"/>
    <w:rsid w:val="00BE7E94"/>
    <w:rsid w:val="00BE7F22"/>
    <w:rsid w:val="00BF2121"/>
    <w:rsid w:val="00BF2B61"/>
    <w:rsid w:val="00BF3222"/>
    <w:rsid w:val="00BF4B23"/>
    <w:rsid w:val="00BF60AE"/>
    <w:rsid w:val="00BF6DA5"/>
    <w:rsid w:val="00BF6E09"/>
    <w:rsid w:val="00C0037E"/>
    <w:rsid w:val="00C03817"/>
    <w:rsid w:val="00C03ED8"/>
    <w:rsid w:val="00C07842"/>
    <w:rsid w:val="00C1212A"/>
    <w:rsid w:val="00C12356"/>
    <w:rsid w:val="00C1264A"/>
    <w:rsid w:val="00C1583D"/>
    <w:rsid w:val="00C15EC4"/>
    <w:rsid w:val="00C16953"/>
    <w:rsid w:val="00C17027"/>
    <w:rsid w:val="00C1740C"/>
    <w:rsid w:val="00C17609"/>
    <w:rsid w:val="00C17F41"/>
    <w:rsid w:val="00C210D3"/>
    <w:rsid w:val="00C24074"/>
    <w:rsid w:val="00C242AA"/>
    <w:rsid w:val="00C25ADA"/>
    <w:rsid w:val="00C264AB"/>
    <w:rsid w:val="00C26995"/>
    <w:rsid w:val="00C26C5A"/>
    <w:rsid w:val="00C270BC"/>
    <w:rsid w:val="00C271B4"/>
    <w:rsid w:val="00C27678"/>
    <w:rsid w:val="00C30029"/>
    <w:rsid w:val="00C30504"/>
    <w:rsid w:val="00C31177"/>
    <w:rsid w:val="00C31346"/>
    <w:rsid w:val="00C325B0"/>
    <w:rsid w:val="00C32DDA"/>
    <w:rsid w:val="00C33896"/>
    <w:rsid w:val="00C33F12"/>
    <w:rsid w:val="00C33F33"/>
    <w:rsid w:val="00C34216"/>
    <w:rsid w:val="00C3460D"/>
    <w:rsid w:val="00C35051"/>
    <w:rsid w:val="00C36950"/>
    <w:rsid w:val="00C41EFC"/>
    <w:rsid w:val="00C42A90"/>
    <w:rsid w:val="00C4452D"/>
    <w:rsid w:val="00C46D89"/>
    <w:rsid w:val="00C47DC3"/>
    <w:rsid w:val="00C51AB1"/>
    <w:rsid w:val="00C52765"/>
    <w:rsid w:val="00C53E86"/>
    <w:rsid w:val="00C53E99"/>
    <w:rsid w:val="00C5400C"/>
    <w:rsid w:val="00C54167"/>
    <w:rsid w:val="00C541FB"/>
    <w:rsid w:val="00C54B89"/>
    <w:rsid w:val="00C54EB8"/>
    <w:rsid w:val="00C55465"/>
    <w:rsid w:val="00C560B8"/>
    <w:rsid w:val="00C576C5"/>
    <w:rsid w:val="00C57E71"/>
    <w:rsid w:val="00C60816"/>
    <w:rsid w:val="00C6113C"/>
    <w:rsid w:val="00C61B31"/>
    <w:rsid w:val="00C61F0D"/>
    <w:rsid w:val="00C6260C"/>
    <w:rsid w:val="00C63424"/>
    <w:rsid w:val="00C647F9"/>
    <w:rsid w:val="00C65D18"/>
    <w:rsid w:val="00C67595"/>
    <w:rsid w:val="00C67DBB"/>
    <w:rsid w:val="00C70298"/>
    <w:rsid w:val="00C7079A"/>
    <w:rsid w:val="00C720E4"/>
    <w:rsid w:val="00C7354A"/>
    <w:rsid w:val="00C745AA"/>
    <w:rsid w:val="00C75F4F"/>
    <w:rsid w:val="00C76EDA"/>
    <w:rsid w:val="00C77265"/>
    <w:rsid w:val="00C7745B"/>
    <w:rsid w:val="00C77E32"/>
    <w:rsid w:val="00C803CE"/>
    <w:rsid w:val="00C8084B"/>
    <w:rsid w:val="00C819F9"/>
    <w:rsid w:val="00C82101"/>
    <w:rsid w:val="00C82BC8"/>
    <w:rsid w:val="00C84015"/>
    <w:rsid w:val="00C85E77"/>
    <w:rsid w:val="00C86B5C"/>
    <w:rsid w:val="00C86C1B"/>
    <w:rsid w:val="00C86E6D"/>
    <w:rsid w:val="00C876B1"/>
    <w:rsid w:val="00C8779E"/>
    <w:rsid w:val="00C911D4"/>
    <w:rsid w:val="00C91287"/>
    <w:rsid w:val="00C93521"/>
    <w:rsid w:val="00C93888"/>
    <w:rsid w:val="00C93BB4"/>
    <w:rsid w:val="00C94704"/>
    <w:rsid w:val="00C94D3F"/>
    <w:rsid w:val="00C96459"/>
    <w:rsid w:val="00C96E38"/>
    <w:rsid w:val="00C9731B"/>
    <w:rsid w:val="00C97C92"/>
    <w:rsid w:val="00CA0401"/>
    <w:rsid w:val="00CA0A89"/>
    <w:rsid w:val="00CA116C"/>
    <w:rsid w:val="00CA11F6"/>
    <w:rsid w:val="00CA1375"/>
    <w:rsid w:val="00CA179C"/>
    <w:rsid w:val="00CA1CB7"/>
    <w:rsid w:val="00CA1CD2"/>
    <w:rsid w:val="00CA37A8"/>
    <w:rsid w:val="00CA4EEB"/>
    <w:rsid w:val="00CA6A3F"/>
    <w:rsid w:val="00CA6B32"/>
    <w:rsid w:val="00CA7C4D"/>
    <w:rsid w:val="00CB0E63"/>
    <w:rsid w:val="00CB1417"/>
    <w:rsid w:val="00CB2777"/>
    <w:rsid w:val="00CB2E1F"/>
    <w:rsid w:val="00CB478B"/>
    <w:rsid w:val="00CB5158"/>
    <w:rsid w:val="00CB5944"/>
    <w:rsid w:val="00CB5BD0"/>
    <w:rsid w:val="00CB6D46"/>
    <w:rsid w:val="00CB7161"/>
    <w:rsid w:val="00CB728B"/>
    <w:rsid w:val="00CB735C"/>
    <w:rsid w:val="00CB7D80"/>
    <w:rsid w:val="00CC027E"/>
    <w:rsid w:val="00CC1235"/>
    <w:rsid w:val="00CC1CCD"/>
    <w:rsid w:val="00CC20F9"/>
    <w:rsid w:val="00CC26F5"/>
    <w:rsid w:val="00CC28EB"/>
    <w:rsid w:val="00CC2BB2"/>
    <w:rsid w:val="00CC3911"/>
    <w:rsid w:val="00CC481B"/>
    <w:rsid w:val="00CC66B9"/>
    <w:rsid w:val="00CC6847"/>
    <w:rsid w:val="00CD088F"/>
    <w:rsid w:val="00CD0AD4"/>
    <w:rsid w:val="00CD186C"/>
    <w:rsid w:val="00CD1FC9"/>
    <w:rsid w:val="00CD1FD8"/>
    <w:rsid w:val="00CD2E19"/>
    <w:rsid w:val="00CD3B17"/>
    <w:rsid w:val="00CD3BC9"/>
    <w:rsid w:val="00CD3C59"/>
    <w:rsid w:val="00CD5D78"/>
    <w:rsid w:val="00CD60D5"/>
    <w:rsid w:val="00CD7C9C"/>
    <w:rsid w:val="00CE0432"/>
    <w:rsid w:val="00CE11A9"/>
    <w:rsid w:val="00CE1739"/>
    <w:rsid w:val="00CE1907"/>
    <w:rsid w:val="00CE1BB4"/>
    <w:rsid w:val="00CE2836"/>
    <w:rsid w:val="00CE3A57"/>
    <w:rsid w:val="00CE4FCA"/>
    <w:rsid w:val="00CE6A0A"/>
    <w:rsid w:val="00CE6F12"/>
    <w:rsid w:val="00CE7E61"/>
    <w:rsid w:val="00CE7ED6"/>
    <w:rsid w:val="00CF0EA2"/>
    <w:rsid w:val="00CF28C2"/>
    <w:rsid w:val="00CF29E3"/>
    <w:rsid w:val="00CF2BC9"/>
    <w:rsid w:val="00CF34B8"/>
    <w:rsid w:val="00CF3A2B"/>
    <w:rsid w:val="00CF4957"/>
    <w:rsid w:val="00CF5875"/>
    <w:rsid w:val="00CF648C"/>
    <w:rsid w:val="00CF6FB5"/>
    <w:rsid w:val="00CF6FCE"/>
    <w:rsid w:val="00CF77E7"/>
    <w:rsid w:val="00CF7FDA"/>
    <w:rsid w:val="00D00227"/>
    <w:rsid w:val="00D00B5D"/>
    <w:rsid w:val="00D01634"/>
    <w:rsid w:val="00D01CC0"/>
    <w:rsid w:val="00D022B9"/>
    <w:rsid w:val="00D02DFC"/>
    <w:rsid w:val="00D02FFE"/>
    <w:rsid w:val="00D032F2"/>
    <w:rsid w:val="00D0423D"/>
    <w:rsid w:val="00D04651"/>
    <w:rsid w:val="00D047E5"/>
    <w:rsid w:val="00D049C3"/>
    <w:rsid w:val="00D073F3"/>
    <w:rsid w:val="00D077B7"/>
    <w:rsid w:val="00D07887"/>
    <w:rsid w:val="00D07B61"/>
    <w:rsid w:val="00D07D80"/>
    <w:rsid w:val="00D10178"/>
    <w:rsid w:val="00D101D2"/>
    <w:rsid w:val="00D10A35"/>
    <w:rsid w:val="00D11AFD"/>
    <w:rsid w:val="00D1209F"/>
    <w:rsid w:val="00D12713"/>
    <w:rsid w:val="00D12EC1"/>
    <w:rsid w:val="00D1349A"/>
    <w:rsid w:val="00D138E6"/>
    <w:rsid w:val="00D1440B"/>
    <w:rsid w:val="00D15525"/>
    <w:rsid w:val="00D16CFB"/>
    <w:rsid w:val="00D16DE6"/>
    <w:rsid w:val="00D16F88"/>
    <w:rsid w:val="00D208A6"/>
    <w:rsid w:val="00D213E6"/>
    <w:rsid w:val="00D213F4"/>
    <w:rsid w:val="00D21DAE"/>
    <w:rsid w:val="00D22F77"/>
    <w:rsid w:val="00D2356D"/>
    <w:rsid w:val="00D243A2"/>
    <w:rsid w:val="00D24887"/>
    <w:rsid w:val="00D25DF2"/>
    <w:rsid w:val="00D26AFC"/>
    <w:rsid w:val="00D26BAA"/>
    <w:rsid w:val="00D2720E"/>
    <w:rsid w:val="00D273D5"/>
    <w:rsid w:val="00D3008F"/>
    <w:rsid w:val="00D31C92"/>
    <w:rsid w:val="00D3309D"/>
    <w:rsid w:val="00D3442B"/>
    <w:rsid w:val="00D34D0B"/>
    <w:rsid w:val="00D34DF8"/>
    <w:rsid w:val="00D36496"/>
    <w:rsid w:val="00D370DD"/>
    <w:rsid w:val="00D40186"/>
    <w:rsid w:val="00D409C6"/>
    <w:rsid w:val="00D4282D"/>
    <w:rsid w:val="00D43B64"/>
    <w:rsid w:val="00D44504"/>
    <w:rsid w:val="00D45A23"/>
    <w:rsid w:val="00D460AC"/>
    <w:rsid w:val="00D46D80"/>
    <w:rsid w:val="00D479A4"/>
    <w:rsid w:val="00D506E1"/>
    <w:rsid w:val="00D50A5E"/>
    <w:rsid w:val="00D50CFD"/>
    <w:rsid w:val="00D528B5"/>
    <w:rsid w:val="00D52E95"/>
    <w:rsid w:val="00D534E2"/>
    <w:rsid w:val="00D56E13"/>
    <w:rsid w:val="00D574D6"/>
    <w:rsid w:val="00D607C2"/>
    <w:rsid w:val="00D61199"/>
    <w:rsid w:val="00D61F40"/>
    <w:rsid w:val="00D622EC"/>
    <w:rsid w:val="00D623AF"/>
    <w:rsid w:val="00D64126"/>
    <w:rsid w:val="00D65953"/>
    <w:rsid w:val="00D65A78"/>
    <w:rsid w:val="00D70C8E"/>
    <w:rsid w:val="00D726AD"/>
    <w:rsid w:val="00D73633"/>
    <w:rsid w:val="00D73FDF"/>
    <w:rsid w:val="00D75813"/>
    <w:rsid w:val="00D76018"/>
    <w:rsid w:val="00D76083"/>
    <w:rsid w:val="00D7779A"/>
    <w:rsid w:val="00D8040E"/>
    <w:rsid w:val="00D81C5F"/>
    <w:rsid w:val="00D828AC"/>
    <w:rsid w:val="00D83251"/>
    <w:rsid w:val="00D833B6"/>
    <w:rsid w:val="00D8482F"/>
    <w:rsid w:val="00D85744"/>
    <w:rsid w:val="00D8624B"/>
    <w:rsid w:val="00D863F8"/>
    <w:rsid w:val="00D90682"/>
    <w:rsid w:val="00D90C42"/>
    <w:rsid w:val="00D90FDA"/>
    <w:rsid w:val="00D91844"/>
    <w:rsid w:val="00D943A3"/>
    <w:rsid w:val="00D9614A"/>
    <w:rsid w:val="00D963A5"/>
    <w:rsid w:val="00D97408"/>
    <w:rsid w:val="00D9755B"/>
    <w:rsid w:val="00D9761B"/>
    <w:rsid w:val="00D9780E"/>
    <w:rsid w:val="00DA02B6"/>
    <w:rsid w:val="00DA049C"/>
    <w:rsid w:val="00DA1DE6"/>
    <w:rsid w:val="00DA2F03"/>
    <w:rsid w:val="00DA4E28"/>
    <w:rsid w:val="00DA59B9"/>
    <w:rsid w:val="00DA5A11"/>
    <w:rsid w:val="00DA657E"/>
    <w:rsid w:val="00DA68F6"/>
    <w:rsid w:val="00DA6F72"/>
    <w:rsid w:val="00DA72DA"/>
    <w:rsid w:val="00DB03D9"/>
    <w:rsid w:val="00DB0ED2"/>
    <w:rsid w:val="00DB139A"/>
    <w:rsid w:val="00DB3587"/>
    <w:rsid w:val="00DB4122"/>
    <w:rsid w:val="00DB52EA"/>
    <w:rsid w:val="00DB5BAA"/>
    <w:rsid w:val="00DB6C28"/>
    <w:rsid w:val="00DB7330"/>
    <w:rsid w:val="00DB7BD6"/>
    <w:rsid w:val="00DC01CF"/>
    <w:rsid w:val="00DC0304"/>
    <w:rsid w:val="00DC048F"/>
    <w:rsid w:val="00DC05AA"/>
    <w:rsid w:val="00DC05C9"/>
    <w:rsid w:val="00DC07E6"/>
    <w:rsid w:val="00DC1D64"/>
    <w:rsid w:val="00DC2245"/>
    <w:rsid w:val="00DC224D"/>
    <w:rsid w:val="00DC3758"/>
    <w:rsid w:val="00DC3B4F"/>
    <w:rsid w:val="00DC5C5E"/>
    <w:rsid w:val="00DC5EF3"/>
    <w:rsid w:val="00DC7E6F"/>
    <w:rsid w:val="00DD177A"/>
    <w:rsid w:val="00DD19DF"/>
    <w:rsid w:val="00DD1CB4"/>
    <w:rsid w:val="00DD1D88"/>
    <w:rsid w:val="00DD1E12"/>
    <w:rsid w:val="00DD25AF"/>
    <w:rsid w:val="00DD2B5A"/>
    <w:rsid w:val="00DD405A"/>
    <w:rsid w:val="00DD4618"/>
    <w:rsid w:val="00DD63EA"/>
    <w:rsid w:val="00DD7942"/>
    <w:rsid w:val="00DD7C9A"/>
    <w:rsid w:val="00DE0F91"/>
    <w:rsid w:val="00DE1EB2"/>
    <w:rsid w:val="00DE260A"/>
    <w:rsid w:val="00DE3126"/>
    <w:rsid w:val="00DE3142"/>
    <w:rsid w:val="00DE3877"/>
    <w:rsid w:val="00DE48CE"/>
    <w:rsid w:val="00DE4E50"/>
    <w:rsid w:val="00DE4F7E"/>
    <w:rsid w:val="00DE50B8"/>
    <w:rsid w:val="00DE51AF"/>
    <w:rsid w:val="00DE6415"/>
    <w:rsid w:val="00DE6453"/>
    <w:rsid w:val="00DE6A64"/>
    <w:rsid w:val="00DE72F6"/>
    <w:rsid w:val="00DE75CE"/>
    <w:rsid w:val="00DE7B75"/>
    <w:rsid w:val="00DE7D89"/>
    <w:rsid w:val="00DE7DFD"/>
    <w:rsid w:val="00DF0108"/>
    <w:rsid w:val="00DF02CF"/>
    <w:rsid w:val="00DF054C"/>
    <w:rsid w:val="00DF0696"/>
    <w:rsid w:val="00DF2554"/>
    <w:rsid w:val="00DF2587"/>
    <w:rsid w:val="00DF31A7"/>
    <w:rsid w:val="00DF42F2"/>
    <w:rsid w:val="00DF51F1"/>
    <w:rsid w:val="00DF521F"/>
    <w:rsid w:val="00DF5223"/>
    <w:rsid w:val="00DF55D3"/>
    <w:rsid w:val="00DF7250"/>
    <w:rsid w:val="00DF72A5"/>
    <w:rsid w:val="00DF7B48"/>
    <w:rsid w:val="00E00BCE"/>
    <w:rsid w:val="00E02B75"/>
    <w:rsid w:val="00E034F6"/>
    <w:rsid w:val="00E04341"/>
    <w:rsid w:val="00E04E49"/>
    <w:rsid w:val="00E04F98"/>
    <w:rsid w:val="00E05BBE"/>
    <w:rsid w:val="00E060D6"/>
    <w:rsid w:val="00E06342"/>
    <w:rsid w:val="00E0677E"/>
    <w:rsid w:val="00E07ED7"/>
    <w:rsid w:val="00E10C8D"/>
    <w:rsid w:val="00E1153C"/>
    <w:rsid w:val="00E11A31"/>
    <w:rsid w:val="00E13035"/>
    <w:rsid w:val="00E134B3"/>
    <w:rsid w:val="00E1363E"/>
    <w:rsid w:val="00E143C7"/>
    <w:rsid w:val="00E152E9"/>
    <w:rsid w:val="00E15FF2"/>
    <w:rsid w:val="00E1624F"/>
    <w:rsid w:val="00E2037D"/>
    <w:rsid w:val="00E20949"/>
    <w:rsid w:val="00E22095"/>
    <w:rsid w:val="00E22B41"/>
    <w:rsid w:val="00E24E70"/>
    <w:rsid w:val="00E25417"/>
    <w:rsid w:val="00E26493"/>
    <w:rsid w:val="00E26FF4"/>
    <w:rsid w:val="00E271C1"/>
    <w:rsid w:val="00E27C67"/>
    <w:rsid w:val="00E27CED"/>
    <w:rsid w:val="00E3064D"/>
    <w:rsid w:val="00E33259"/>
    <w:rsid w:val="00E33458"/>
    <w:rsid w:val="00E33C03"/>
    <w:rsid w:val="00E33F1B"/>
    <w:rsid w:val="00E346D4"/>
    <w:rsid w:val="00E34D99"/>
    <w:rsid w:val="00E352DF"/>
    <w:rsid w:val="00E35E4A"/>
    <w:rsid w:val="00E36CA0"/>
    <w:rsid w:val="00E37057"/>
    <w:rsid w:val="00E37C9D"/>
    <w:rsid w:val="00E37E32"/>
    <w:rsid w:val="00E40836"/>
    <w:rsid w:val="00E4115A"/>
    <w:rsid w:val="00E4185F"/>
    <w:rsid w:val="00E418A7"/>
    <w:rsid w:val="00E41E7D"/>
    <w:rsid w:val="00E425D3"/>
    <w:rsid w:val="00E42FDE"/>
    <w:rsid w:val="00E4395B"/>
    <w:rsid w:val="00E44EE7"/>
    <w:rsid w:val="00E451F1"/>
    <w:rsid w:val="00E45518"/>
    <w:rsid w:val="00E45D67"/>
    <w:rsid w:val="00E50CAC"/>
    <w:rsid w:val="00E52070"/>
    <w:rsid w:val="00E52BA5"/>
    <w:rsid w:val="00E53907"/>
    <w:rsid w:val="00E54872"/>
    <w:rsid w:val="00E54C00"/>
    <w:rsid w:val="00E56697"/>
    <w:rsid w:val="00E60023"/>
    <w:rsid w:val="00E600D6"/>
    <w:rsid w:val="00E605AE"/>
    <w:rsid w:val="00E61031"/>
    <w:rsid w:val="00E613A0"/>
    <w:rsid w:val="00E61705"/>
    <w:rsid w:val="00E61D84"/>
    <w:rsid w:val="00E6235E"/>
    <w:rsid w:val="00E6236E"/>
    <w:rsid w:val="00E64383"/>
    <w:rsid w:val="00E643EB"/>
    <w:rsid w:val="00E64524"/>
    <w:rsid w:val="00E64E5F"/>
    <w:rsid w:val="00E674E5"/>
    <w:rsid w:val="00E675D0"/>
    <w:rsid w:val="00E677BE"/>
    <w:rsid w:val="00E702C4"/>
    <w:rsid w:val="00E71C99"/>
    <w:rsid w:val="00E71EFD"/>
    <w:rsid w:val="00E72DA1"/>
    <w:rsid w:val="00E74412"/>
    <w:rsid w:val="00E74EEC"/>
    <w:rsid w:val="00E74FFA"/>
    <w:rsid w:val="00E757CE"/>
    <w:rsid w:val="00E76FA7"/>
    <w:rsid w:val="00E80C4B"/>
    <w:rsid w:val="00E81AB3"/>
    <w:rsid w:val="00E8332B"/>
    <w:rsid w:val="00E8455F"/>
    <w:rsid w:val="00E8721F"/>
    <w:rsid w:val="00E874B4"/>
    <w:rsid w:val="00E90F8A"/>
    <w:rsid w:val="00E9259D"/>
    <w:rsid w:val="00E93101"/>
    <w:rsid w:val="00E9313E"/>
    <w:rsid w:val="00E948A5"/>
    <w:rsid w:val="00E94C51"/>
    <w:rsid w:val="00E95E76"/>
    <w:rsid w:val="00E962F2"/>
    <w:rsid w:val="00E9716E"/>
    <w:rsid w:val="00E977FB"/>
    <w:rsid w:val="00EA0ED1"/>
    <w:rsid w:val="00EA279A"/>
    <w:rsid w:val="00EA2F8B"/>
    <w:rsid w:val="00EA3097"/>
    <w:rsid w:val="00EA57D0"/>
    <w:rsid w:val="00EA6445"/>
    <w:rsid w:val="00EA70CB"/>
    <w:rsid w:val="00EA71EB"/>
    <w:rsid w:val="00EA7D98"/>
    <w:rsid w:val="00EB21D4"/>
    <w:rsid w:val="00EB2483"/>
    <w:rsid w:val="00EB2758"/>
    <w:rsid w:val="00EB3769"/>
    <w:rsid w:val="00EB476A"/>
    <w:rsid w:val="00EB5B14"/>
    <w:rsid w:val="00EB683C"/>
    <w:rsid w:val="00EB734F"/>
    <w:rsid w:val="00EB75C2"/>
    <w:rsid w:val="00EC02A2"/>
    <w:rsid w:val="00EC070C"/>
    <w:rsid w:val="00EC0B9D"/>
    <w:rsid w:val="00EC0C9D"/>
    <w:rsid w:val="00EC0E05"/>
    <w:rsid w:val="00EC23BF"/>
    <w:rsid w:val="00EC2D8A"/>
    <w:rsid w:val="00EC3280"/>
    <w:rsid w:val="00EC3E45"/>
    <w:rsid w:val="00EC4359"/>
    <w:rsid w:val="00EC50EF"/>
    <w:rsid w:val="00EC5273"/>
    <w:rsid w:val="00EC65FD"/>
    <w:rsid w:val="00EC7FDD"/>
    <w:rsid w:val="00ED1312"/>
    <w:rsid w:val="00ED1842"/>
    <w:rsid w:val="00ED3121"/>
    <w:rsid w:val="00ED3E13"/>
    <w:rsid w:val="00ED64EE"/>
    <w:rsid w:val="00EE01D0"/>
    <w:rsid w:val="00EE08D1"/>
    <w:rsid w:val="00EE0E63"/>
    <w:rsid w:val="00EE47B1"/>
    <w:rsid w:val="00EE5274"/>
    <w:rsid w:val="00EE55CB"/>
    <w:rsid w:val="00EE6081"/>
    <w:rsid w:val="00EE6375"/>
    <w:rsid w:val="00EE6C5B"/>
    <w:rsid w:val="00EF05FD"/>
    <w:rsid w:val="00EF1219"/>
    <w:rsid w:val="00EF1B3B"/>
    <w:rsid w:val="00EF231F"/>
    <w:rsid w:val="00EF2CCF"/>
    <w:rsid w:val="00EF3B2E"/>
    <w:rsid w:val="00EF4657"/>
    <w:rsid w:val="00EF4AAC"/>
    <w:rsid w:val="00EF4C37"/>
    <w:rsid w:val="00EF5378"/>
    <w:rsid w:val="00EF54AC"/>
    <w:rsid w:val="00EF59F0"/>
    <w:rsid w:val="00F00465"/>
    <w:rsid w:val="00F00F70"/>
    <w:rsid w:val="00F02FDE"/>
    <w:rsid w:val="00F045F2"/>
    <w:rsid w:val="00F05C0C"/>
    <w:rsid w:val="00F05C68"/>
    <w:rsid w:val="00F075A8"/>
    <w:rsid w:val="00F10B41"/>
    <w:rsid w:val="00F113B5"/>
    <w:rsid w:val="00F1154F"/>
    <w:rsid w:val="00F119ED"/>
    <w:rsid w:val="00F12106"/>
    <w:rsid w:val="00F13231"/>
    <w:rsid w:val="00F13EAD"/>
    <w:rsid w:val="00F149A4"/>
    <w:rsid w:val="00F15307"/>
    <w:rsid w:val="00F15AB4"/>
    <w:rsid w:val="00F15ED8"/>
    <w:rsid w:val="00F164E6"/>
    <w:rsid w:val="00F16DC2"/>
    <w:rsid w:val="00F17346"/>
    <w:rsid w:val="00F178C8"/>
    <w:rsid w:val="00F17B63"/>
    <w:rsid w:val="00F21756"/>
    <w:rsid w:val="00F2296F"/>
    <w:rsid w:val="00F252E5"/>
    <w:rsid w:val="00F25FF9"/>
    <w:rsid w:val="00F26A87"/>
    <w:rsid w:val="00F27049"/>
    <w:rsid w:val="00F308D4"/>
    <w:rsid w:val="00F30CF8"/>
    <w:rsid w:val="00F34292"/>
    <w:rsid w:val="00F35ABF"/>
    <w:rsid w:val="00F362B5"/>
    <w:rsid w:val="00F36B80"/>
    <w:rsid w:val="00F405A9"/>
    <w:rsid w:val="00F41906"/>
    <w:rsid w:val="00F4190E"/>
    <w:rsid w:val="00F41A6F"/>
    <w:rsid w:val="00F4375D"/>
    <w:rsid w:val="00F460F9"/>
    <w:rsid w:val="00F46D04"/>
    <w:rsid w:val="00F4723C"/>
    <w:rsid w:val="00F47F3F"/>
    <w:rsid w:val="00F520A9"/>
    <w:rsid w:val="00F52F66"/>
    <w:rsid w:val="00F52F7A"/>
    <w:rsid w:val="00F534F3"/>
    <w:rsid w:val="00F53AA0"/>
    <w:rsid w:val="00F54B7A"/>
    <w:rsid w:val="00F54D98"/>
    <w:rsid w:val="00F5519F"/>
    <w:rsid w:val="00F570AB"/>
    <w:rsid w:val="00F57471"/>
    <w:rsid w:val="00F57672"/>
    <w:rsid w:val="00F608E2"/>
    <w:rsid w:val="00F61E95"/>
    <w:rsid w:val="00F63934"/>
    <w:rsid w:val="00F647A2"/>
    <w:rsid w:val="00F64F8E"/>
    <w:rsid w:val="00F66ABB"/>
    <w:rsid w:val="00F7014A"/>
    <w:rsid w:val="00F7062F"/>
    <w:rsid w:val="00F715BA"/>
    <w:rsid w:val="00F72CAC"/>
    <w:rsid w:val="00F7304F"/>
    <w:rsid w:val="00F750A2"/>
    <w:rsid w:val="00F7574E"/>
    <w:rsid w:val="00F76B24"/>
    <w:rsid w:val="00F76B4C"/>
    <w:rsid w:val="00F7719C"/>
    <w:rsid w:val="00F773B6"/>
    <w:rsid w:val="00F7747B"/>
    <w:rsid w:val="00F777F3"/>
    <w:rsid w:val="00F77815"/>
    <w:rsid w:val="00F77B94"/>
    <w:rsid w:val="00F80155"/>
    <w:rsid w:val="00F8118E"/>
    <w:rsid w:val="00F818FA"/>
    <w:rsid w:val="00F84C34"/>
    <w:rsid w:val="00F8609A"/>
    <w:rsid w:val="00F86B1B"/>
    <w:rsid w:val="00F8764E"/>
    <w:rsid w:val="00F8785C"/>
    <w:rsid w:val="00F87871"/>
    <w:rsid w:val="00F878C2"/>
    <w:rsid w:val="00F90A8F"/>
    <w:rsid w:val="00F914F3"/>
    <w:rsid w:val="00F923DE"/>
    <w:rsid w:val="00F938EE"/>
    <w:rsid w:val="00F9423F"/>
    <w:rsid w:val="00F95529"/>
    <w:rsid w:val="00F965F7"/>
    <w:rsid w:val="00F96CC1"/>
    <w:rsid w:val="00F977F7"/>
    <w:rsid w:val="00F97934"/>
    <w:rsid w:val="00FA108E"/>
    <w:rsid w:val="00FA2F73"/>
    <w:rsid w:val="00FA3EB0"/>
    <w:rsid w:val="00FA4155"/>
    <w:rsid w:val="00FA4A08"/>
    <w:rsid w:val="00FA4DB9"/>
    <w:rsid w:val="00FA4FB6"/>
    <w:rsid w:val="00FA60BF"/>
    <w:rsid w:val="00FA67E6"/>
    <w:rsid w:val="00FA707C"/>
    <w:rsid w:val="00FB13C0"/>
    <w:rsid w:val="00FB204D"/>
    <w:rsid w:val="00FB22A1"/>
    <w:rsid w:val="00FB2CE4"/>
    <w:rsid w:val="00FB3C74"/>
    <w:rsid w:val="00FB4486"/>
    <w:rsid w:val="00FB4BAB"/>
    <w:rsid w:val="00FB4C7F"/>
    <w:rsid w:val="00FB4DFC"/>
    <w:rsid w:val="00FB5308"/>
    <w:rsid w:val="00FB6F40"/>
    <w:rsid w:val="00FB6FB1"/>
    <w:rsid w:val="00FB79B2"/>
    <w:rsid w:val="00FB7CD5"/>
    <w:rsid w:val="00FC057E"/>
    <w:rsid w:val="00FC09B6"/>
    <w:rsid w:val="00FC0E82"/>
    <w:rsid w:val="00FC1C7C"/>
    <w:rsid w:val="00FC1ED9"/>
    <w:rsid w:val="00FC23EF"/>
    <w:rsid w:val="00FC3C5B"/>
    <w:rsid w:val="00FC3DC5"/>
    <w:rsid w:val="00FC692E"/>
    <w:rsid w:val="00FD0635"/>
    <w:rsid w:val="00FD08E7"/>
    <w:rsid w:val="00FD326B"/>
    <w:rsid w:val="00FD3969"/>
    <w:rsid w:val="00FD4590"/>
    <w:rsid w:val="00FD5416"/>
    <w:rsid w:val="00FD5EDE"/>
    <w:rsid w:val="00FD6FA6"/>
    <w:rsid w:val="00FD7CE2"/>
    <w:rsid w:val="00FE0490"/>
    <w:rsid w:val="00FE14CB"/>
    <w:rsid w:val="00FE224B"/>
    <w:rsid w:val="00FE25D0"/>
    <w:rsid w:val="00FE3E11"/>
    <w:rsid w:val="00FE437E"/>
    <w:rsid w:val="00FE44B9"/>
    <w:rsid w:val="00FE469E"/>
    <w:rsid w:val="00FE5245"/>
    <w:rsid w:val="00FE585E"/>
    <w:rsid w:val="00FE5897"/>
    <w:rsid w:val="00FE5A74"/>
    <w:rsid w:val="00FE6905"/>
    <w:rsid w:val="00FE7D3B"/>
    <w:rsid w:val="00FE7EE4"/>
    <w:rsid w:val="00FF0CE4"/>
    <w:rsid w:val="00FF1496"/>
    <w:rsid w:val="00FF3293"/>
    <w:rsid w:val="00FF32A1"/>
    <w:rsid w:val="00FF37E9"/>
    <w:rsid w:val="00FF3AB6"/>
    <w:rsid w:val="00FF3FA1"/>
    <w:rsid w:val="00FF5A82"/>
    <w:rsid w:val="00FF5D23"/>
    <w:rsid w:val="00FF615D"/>
    <w:rsid w:val="00FF6511"/>
    <w:rsid w:val="00FF6E12"/>
    <w:rsid w:val="00FF7475"/>
    <w:rsid w:val="00FF7D2B"/>
    <w:rsid w:val="00FF7DBD"/>
    <w:rsid w:val="011B609E"/>
    <w:rsid w:val="01203AB8"/>
    <w:rsid w:val="015010AA"/>
    <w:rsid w:val="016A347B"/>
    <w:rsid w:val="018D1D97"/>
    <w:rsid w:val="019C54BA"/>
    <w:rsid w:val="01B11D31"/>
    <w:rsid w:val="01B14C06"/>
    <w:rsid w:val="01BB2247"/>
    <w:rsid w:val="01C20C37"/>
    <w:rsid w:val="01E21679"/>
    <w:rsid w:val="02497DC5"/>
    <w:rsid w:val="02D72892"/>
    <w:rsid w:val="0313351D"/>
    <w:rsid w:val="03225EBC"/>
    <w:rsid w:val="0331568B"/>
    <w:rsid w:val="03331B52"/>
    <w:rsid w:val="034E123B"/>
    <w:rsid w:val="03AF009C"/>
    <w:rsid w:val="03B22EB7"/>
    <w:rsid w:val="03EE1974"/>
    <w:rsid w:val="03F946A1"/>
    <w:rsid w:val="048A6C53"/>
    <w:rsid w:val="0498022D"/>
    <w:rsid w:val="04C41D07"/>
    <w:rsid w:val="04D47AED"/>
    <w:rsid w:val="04D72BD5"/>
    <w:rsid w:val="04DD0BDE"/>
    <w:rsid w:val="04F211FD"/>
    <w:rsid w:val="054144F3"/>
    <w:rsid w:val="05BF3C09"/>
    <w:rsid w:val="05C11CB3"/>
    <w:rsid w:val="06291F19"/>
    <w:rsid w:val="06311428"/>
    <w:rsid w:val="064B2EFA"/>
    <w:rsid w:val="06986394"/>
    <w:rsid w:val="06B2781F"/>
    <w:rsid w:val="06BC4119"/>
    <w:rsid w:val="06FC4FE2"/>
    <w:rsid w:val="071E1F77"/>
    <w:rsid w:val="07230354"/>
    <w:rsid w:val="078330CF"/>
    <w:rsid w:val="07CB7562"/>
    <w:rsid w:val="08210512"/>
    <w:rsid w:val="08246B9D"/>
    <w:rsid w:val="0841589E"/>
    <w:rsid w:val="08606D2F"/>
    <w:rsid w:val="08A5700D"/>
    <w:rsid w:val="08A950C0"/>
    <w:rsid w:val="09320D22"/>
    <w:rsid w:val="094A73A8"/>
    <w:rsid w:val="094F54E0"/>
    <w:rsid w:val="09752CA2"/>
    <w:rsid w:val="09B252A0"/>
    <w:rsid w:val="0A0E7CC3"/>
    <w:rsid w:val="0A66724E"/>
    <w:rsid w:val="0A9C3FF0"/>
    <w:rsid w:val="0A9D5F75"/>
    <w:rsid w:val="0AAE050B"/>
    <w:rsid w:val="0B3E34A4"/>
    <w:rsid w:val="0B7D3B65"/>
    <w:rsid w:val="0B861314"/>
    <w:rsid w:val="0BA76028"/>
    <w:rsid w:val="0BF927F0"/>
    <w:rsid w:val="0C1B1C59"/>
    <w:rsid w:val="0C527C98"/>
    <w:rsid w:val="0C6A6D99"/>
    <w:rsid w:val="0C6D7423"/>
    <w:rsid w:val="0CCC02C9"/>
    <w:rsid w:val="0CDE0DBE"/>
    <w:rsid w:val="0D4268F6"/>
    <w:rsid w:val="0D663D9A"/>
    <w:rsid w:val="0D6D7E7A"/>
    <w:rsid w:val="0D803DE0"/>
    <w:rsid w:val="0D9B25D5"/>
    <w:rsid w:val="0DFF4618"/>
    <w:rsid w:val="0E1606BA"/>
    <w:rsid w:val="0E466A71"/>
    <w:rsid w:val="0E773E23"/>
    <w:rsid w:val="0E817E24"/>
    <w:rsid w:val="0EA65706"/>
    <w:rsid w:val="0EA867EE"/>
    <w:rsid w:val="0EAB79FE"/>
    <w:rsid w:val="0EAE4631"/>
    <w:rsid w:val="0ED938A1"/>
    <w:rsid w:val="0F1F783B"/>
    <w:rsid w:val="0F2332B5"/>
    <w:rsid w:val="0F3672DB"/>
    <w:rsid w:val="0F3B1C50"/>
    <w:rsid w:val="0F4B5006"/>
    <w:rsid w:val="0F6C173D"/>
    <w:rsid w:val="0F723707"/>
    <w:rsid w:val="0F9E1512"/>
    <w:rsid w:val="0FC6545B"/>
    <w:rsid w:val="0FE515BF"/>
    <w:rsid w:val="0FEF48CC"/>
    <w:rsid w:val="0FF11AD6"/>
    <w:rsid w:val="10085717"/>
    <w:rsid w:val="1067666B"/>
    <w:rsid w:val="10AD2D8F"/>
    <w:rsid w:val="10EC36E3"/>
    <w:rsid w:val="11186A30"/>
    <w:rsid w:val="1120753A"/>
    <w:rsid w:val="11A67D57"/>
    <w:rsid w:val="1202516B"/>
    <w:rsid w:val="12083555"/>
    <w:rsid w:val="129E0923"/>
    <w:rsid w:val="129E21C9"/>
    <w:rsid w:val="12C51243"/>
    <w:rsid w:val="12E4191E"/>
    <w:rsid w:val="12E62049"/>
    <w:rsid w:val="12FF1AC9"/>
    <w:rsid w:val="13154ADE"/>
    <w:rsid w:val="13655D82"/>
    <w:rsid w:val="137E513F"/>
    <w:rsid w:val="13A64828"/>
    <w:rsid w:val="13FF40DE"/>
    <w:rsid w:val="14770F16"/>
    <w:rsid w:val="14935D07"/>
    <w:rsid w:val="14B44CE1"/>
    <w:rsid w:val="14B80346"/>
    <w:rsid w:val="14BE670D"/>
    <w:rsid w:val="14DF4D11"/>
    <w:rsid w:val="14F52FE5"/>
    <w:rsid w:val="14F93196"/>
    <w:rsid w:val="1510360E"/>
    <w:rsid w:val="15205FE5"/>
    <w:rsid w:val="15AD23FE"/>
    <w:rsid w:val="15AE34DE"/>
    <w:rsid w:val="160F6598"/>
    <w:rsid w:val="161D0F66"/>
    <w:rsid w:val="16337603"/>
    <w:rsid w:val="16A93BC6"/>
    <w:rsid w:val="16EF2001"/>
    <w:rsid w:val="171447CD"/>
    <w:rsid w:val="175224D1"/>
    <w:rsid w:val="17861225"/>
    <w:rsid w:val="17A61150"/>
    <w:rsid w:val="17DB7F17"/>
    <w:rsid w:val="180065DE"/>
    <w:rsid w:val="18040BE2"/>
    <w:rsid w:val="18512847"/>
    <w:rsid w:val="18562E3A"/>
    <w:rsid w:val="18713064"/>
    <w:rsid w:val="189B6524"/>
    <w:rsid w:val="18B70996"/>
    <w:rsid w:val="18F56459"/>
    <w:rsid w:val="195C76F5"/>
    <w:rsid w:val="19772B02"/>
    <w:rsid w:val="19791E80"/>
    <w:rsid w:val="197F499F"/>
    <w:rsid w:val="19C2772D"/>
    <w:rsid w:val="1A194280"/>
    <w:rsid w:val="1A4E2C79"/>
    <w:rsid w:val="1A5B36E3"/>
    <w:rsid w:val="1A6E76E0"/>
    <w:rsid w:val="1AC45552"/>
    <w:rsid w:val="1AE6442F"/>
    <w:rsid w:val="1AE72562"/>
    <w:rsid w:val="1AFD7DD2"/>
    <w:rsid w:val="1B1172A3"/>
    <w:rsid w:val="1B1A3DC2"/>
    <w:rsid w:val="1B3D238A"/>
    <w:rsid w:val="1BA77E3C"/>
    <w:rsid w:val="1BE514FB"/>
    <w:rsid w:val="1C0E4FD7"/>
    <w:rsid w:val="1C385A98"/>
    <w:rsid w:val="1C3D7F62"/>
    <w:rsid w:val="1C5B59DF"/>
    <w:rsid w:val="1CAF2B6F"/>
    <w:rsid w:val="1CC70C64"/>
    <w:rsid w:val="1CCD47D1"/>
    <w:rsid w:val="1CE63000"/>
    <w:rsid w:val="1CF5372F"/>
    <w:rsid w:val="1D0330AF"/>
    <w:rsid w:val="1D4B5AB7"/>
    <w:rsid w:val="1D6F0EAA"/>
    <w:rsid w:val="1DBA2812"/>
    <w:rsid w:val="1DBA5E0C"/>
    <w:rsid w:val="1DE76E77"/>
    <w:rsid w:val="1DFA622C"/>
    <w:rsid w:val="1E2B7A27"/>
    <w:rsid w:val="1E413DFF"/>
    <w:rsid w:val="1ED26B6B"/>
    <w:rsid w:val="1EE1004B"/>
    <w:rsid w:val="1F403D00"/>
    <w:rsid w:val="1F754312"/>
    <w:rsid w:val="1FB73684"/>
    <w:rsid w:val="1FCB2C57"/>
    <w:rsid w:val="1FE1254C"/>
    <w:rsid w:val="1FF030A7"/>
    <w:rsid w:val="1FFF19CA"/>
    <w:rsid w:val="200118CD"/>
    <w:rsid w:val="204A5E21"/>
    <w:rsid w:val="204D5FEA"/>
    <w:rsid w:val="20840BD4"/>
    <w:rsid w:val="2092780F"/>
    <w:rsid w:val="20D34741"/>
    <w:rsid w:val="20FB17E4"/>
    <w:rsid w:val="21041B4F"/>
    <w:rsid w:val="211A131E"/>
    <w:rsid w:val="212E107B"/>
    <w:rsid w:val="21661111"/>
    <w:rsid w:val="217A22CB"/>
    <w:rsid w:val="219405BB"/>
    <w:rsid w:val="219E55D3"/>
    <w:rsid w:val="21A97F88"/>
    <w:rsid w:val="21B5392E"/>
    <w:rsid w:val="21F8186C"/>
    <w:rsid w:val="22141A80"/>
    <w:rsid w:val="221A0B49"/>
    <w:rsid w:val="225D46D5"/>
    <w:rsid w:val="22BC414A"/>
    <w:rsid w:val="231E25BB"/>
    <w:rsid w:val="23474BA1"/>
    <w:rsid w:val="23522A46"/>
    <w:rsid w:val="23956A32"/>
    <w:rsid w:val="23B50BAC"/>
    <w:rsid w:val="23FF13A9"/>
    <w:rsid w:val="24043D2A"/>
    <w:rsid w:val="24085B1D"/>
    <w:rsid w:val="241E5CD3"/>
    <w:rsid w:val="242C0022"/>
    <w:rsid w:val="246663ED"/>
    <w:rsid w:val="24671674"/>
    <w:rsid w:val="246D27B7"/>
    <w:rsid w:val="24926765"/>
    <w:rsid w:val="24B659C5"/>
    <w:rsid w:val="24CA7C09"/>
    <w:rsid w:val="24EB5A5A"/>
    <w:rsid w:val="250D6B57"/>
    <w:rsid w:val="25284887"/>
    <w:rsid w:val="258157FB"/>
    <w:rsid w:val="25BA0ADA"/>
    <w:rsid w:val="25D4692C"/>
    <w:rsid w:val="25D9195D"/>
    <w:rsid w:val="262518DA"/>
    <w:rsid w:val="267D2399"/>
    <w:rsid w:val="268C70C4"/>
    <w:rsid w:val="26C3475A"/>
    <w:rsid w:val="274243CE"/>
    <w:rsid w:val="27513464"/>
    <w:rsid w:val="27617FC1"/>
    <w:rsid w:val="27AA2ECC"/>
    <w:rsid w:val="27C10C81"/>
    <w:rsid w:val="27C6599E"/>
    <w:rsid w:val="287A53A0"/>
    <w:rsid w:val="289D60C5"/>
    <w:rsid w:val="28B5297E"/>
    <w:rsid w:val="290F02E0"/>
    <w:rsid w:val="29117CC1"/>
    <w:rsid w:val="2942746F"/>
    <w:rsid w:val="294A5EAA"/>
    <w:rsid w:val="296F408E"/>
    <w:rsid w:val="298C278E"/>
    <w:rsid w:val="29F24443"/>
    <w:rsid w:val="29FA4DB3"/>
    <w:rsid w:val="2A6334FF"/>
    <w:rsid w:val="2A6D705D"/>
    <w:rsid w:val="2A814865"/>
    <w:rsid w:val="2AC02B05"/>
    <w:rsid w:val="2AD22063"/>
    <w:rsid w:val="2ADE4A5A"/>
    <w:rsid w:val="2AEB2F44"/>
    <w:rsid w:val="2B580267"/>
    <w:rsid w:val="2B904518"/>
    <w:rsid w:val="2BF56177"/>
    <w:rsid w:val="2C043729"/>
    <w:rsid w:val="2C446624"/>
    <w:rsid w:val="2C6A192D"/>
    <w:rsid w:val="2D062784"/>
    <w:rsid w:val="2D402581"/>
    <w:rsid w:val="2D564730"/>
    <w:rsid w:val="2D8B3AA8"/>
    <w:rsid w:val="2D8B5555"/>
    <w:rsid w:val="2DAC144D"/>
    <w:rsid w:val="2DE33931"/>
    <w:rsid w:val="2E0266F3"/>
    <w:rsid w:val="2E2E2DB8"/>
    <w:rsid w:val="2E6A207C"/>
    <w:rsid w:val="2E9277C7"/>
    <w:rsid w:val="2EB21CA2"/>
    <w:rsid w:val="2EBE3270"/>
    <w:rsid w:val="2EE97D1D"/>
    <w:rsid w:val="2F272951"/>
    <w:rsid w:val="303E3EDB"/>
    <w:rsid w:val="30750BCA"/>
    <w:rsid w:val="308F2696"/>
    <w:rsid w:val="30AF20B2"/>
    <w:rsid w:val="30C71A99"/>
    <w:rsid w:val="30D67AED"/>
    <w:rsid w:val="30E672E7"/>
    <w:rsid w:val="30F73308"/>
    <w:rsid w:val="30FC068C"/>
    <w:rsid w:val="30FF525B"/>
    <w:rsid w:val="3121636C"/>
    <w:rsid w:val="3128164D"/>
    <w:rsid w:val="31393D0B"/>
    <w:rsid w:val="31471305"/>
    <w:rsid w:val="31552F50"/>
    <w:rsid w:val="317F3A0E"/>
    <w:rsid w:val="318772B5"/>
    <w:rsid w:val="318B1795"/>
    <w:rsid w:val="318D5335"/>
    <w:rsid w:val="31CF708E"/>
    <w:rsid w:val="31D20CB8"/>
    <w:rsid w:val="32025F32"/>
    <w:rsid w:val="32431F1A"/>
    <w:rsid w:val="324C7700"/>
    <w:rsid w:val="324E32ED"/>
    <w:rsid w:val="325A0134"/>
    <w:rsid w:val="32681759"/>
    <w:rsid w:val="32AF1CF9"/>
    <w:rsid w:val="32C55DBE"/>
    <w:rsid w:val="33351062"/>
    <w:rsid w:val="334A756F"/>
    <w:rsid w:val="33535654"/>
    <w:rsid w:val="335674D7"/>
    <w:rsid w:val="33631731"/>
    <w:rsid w:val="33647109"/>
    <w:rsid w:val="336809E1"/>
    <w:rsid w:val="33785864"/>
    <w:rsid w:val="33AC2E79"/>
    <w:rsid w:val="33F702EF"/>
    <w:rsid w:val="33FE4ED8"/>
    <w:rsid w:val="347E7293"/>
    <w:rsid w:val="349E27E5"/>
    <w:rsid w:val="35134CB4"/>
    <w:rsid w:val="358A706E"/>
    <w:rsid w:val="360266F6"/>
    <w:rsid w:val="3681649D"/>
    <w:rsid w:val="36914A2B"/>
    <w:rsid w:val="36E641B0"/>
    <w:rsid w:val="37135E71"/>
    <w:rsid w:val="37201D86"/>
    <w:rsid w:val="372E2279"/>
    <w:rsid w:val="37340B1D"/>
    <w:rsid w:val="373F4B97"/>
    <w:rsid w:val="37522F6F"/>
    <w:rsid w:val="37680054"/>
    <w:rsid w:val="376F21F9"/>
    <w:rsid w:val="37BA0680"/>
    <w:rsid w:val="37F401F0"/>
    <w:rsid w:val="38050F1D"/>
    <w:rsid w:val="382328E4"/>
    <w:rsid w:val="386A05F6"/>
    <w:rsid w:val="3877602E"/>
    <w:rsid w:val="38821652"/>
    <w:rsid w:val="38C77E4D"/>
    <w:rsid w:val="38CB3825"/>
    <w:rsid w:val="38D31EFB"/>
    <w:rsid w:val="38EF1480"/>
    <w:rsid w:val="390B61E4"/>
    <w:rsid w:val="3940251A"/>
    <w:rsid w:val="394967D1"/>
    <w:rsid w:val="3961079B"/>
    <w:rsid w:val="39636DDD"/>
    <w:rsid w:val="399D7BBA"/>
    <w:rsid w:val="39A968A7"/>
    <w:rsid w:val="39AF7098"/>
    <w:rsid w:val="39DF4A9D"/>
    <w:rsid w:val="39E4143F"/>
    <w:rsid w:val="3A977B99"/>
    <w:rsid w:val="3A9C0161"/>
    <w:rsid w:val="3ABF55C9"/>
    <w:rsid w:val="3B07350D"/>
    <w:rsid w:val="3B146949"/>
    <w:rsid w:val="3B494567"/>
    <w:rsid w:val="3B786E57"/>
    <w:rsid w:val="3BAE616E"/>
    <w:rsid w:val="3BEC4D26"/>
    <w:rsid w:val="3BF74D73"/>
    <w:rsid w:val="3C1956B5"/>
    <w:rsid w:val="3C470F01"/>
    <w:rsid w:val="3C4E4CA0"/>
    <w:rsid w:val="3C7E4D09"/>
    <w:rsid w:val="3CB1039E"/>
    <w:rsid w:val="3CBC08FD"/>
    <w:rsid w:val="3CBE7ACF"/>
    <w:rsid w:val="3D2B5CCA"/>
    <w:rsid w:val="3D346109"/>
    <w:rsid w:val="3D3B3A85"/>
    <w:rsid w:val="3D3E7892"/>
    <w:rsid w:val="3D6A0C7C"/>
    <w:rsid w:val="3D6D7A89"/>
    <w:rsid w:val="3D7C1DDE"/>
    <w:rsid w:val="3D9E4EC8"/>
    <w:rsid w:val="3D9E6899"/>
    <w:rsid w:val="3DA84DBE"/>
    <w:rsid w:val="3DC56D68"/>
    <w:rsid w:val="3DF937E3"/>
    <w:rsid w:val="3E391C30"/>
    <w:rsid w:val="3E7734E0"/>
    <w:rsid w:val="3E951A15"/>
    <w:rsid w:val="3EAD2E3C"/>
    <w:rsid w:val="3EB968CD"/>
    <w:rsid w:val="3F395B36"/>
    <w:rsid w:val="3FB67F14"/>
    <w:rsid w:val="3FBA9291"/>
    <w:rsid w:val="405A4613"/>
    <w:rsid w:val="4060397D"/>
    <w:rsid w:val="406552EC"/>
    <w:rsid w:val="40B30B18"/>
    <w:rsid w:val="40CF23D7"/>
    <w:rsid w:val="40D55514"/>
    <w:rsid w:val="411063A8"/>
    <w:rsid w:val="41226AE7"/>
    <w:rsid w:val="413309DD"/>
    <w:rsid w:val="418D1537"/>
    <w:rsid w:val="41BE0FAC"/>
    <w:rsid w:val="41D32337"/>
    <w:rsid w:val="41FF0A67"/>
    <w:rsid w:val="42064FC2"/>
    <w:rsid w:val="42141E62"/>
    <w:rsid w:val="425A6597"/>
    <w:rsid w:val="426452A3"/>
    <w:rsid w:val="42DD0C8B"/>
    <w:rsid w:val="43146368"/>
    <w:rsid w:val="431F2EC4"/>
    <w:rsid w:val="435C38A7"/>
    <w:rsid w:val="43A067A0"/>
    <w:rsid w:val="43AE495E"/>
    <w:rsid w:val="44550E45"/>
    <w:rsid w:val="4489684F"/>
    <w:rsid w:val="44CB58A8"/>
    <w:rsid w:val="44DF7562"/>
    <w:rsid w:val="44E87F0C"/>
    <w:rsid w:val="45235D66"/>
    <w:rsid w:val="452D7DE1"/>
    <w:rsid w:val="454669E0"/>
    <w:rsid w:val="454D291D"/>
    <w:rsid w:val="4565162D"/>
    <w:rsid w:val="45735417"/>
    <w:rsid w:val="45B9610A"/>
    <w:rsid w:val="45C5296F"/>
    <w:rsid w:val="45D93101"/>
    <w:rsid w:val="46923296"/>
    <w:rsid w:val="469E06AA"/>
    <w:rsid w:val="46A35290"/>
    <w:rsid w:val="46B20870"/>
    <w:rsid w:val="46BA1434"/>
    <w:rsid w:val="47237081"/>
    <w:rsid w:val="47242D51"/>
    <w:rsid w:val="475C6F0F"/>
    <w:rsid w:val="478550DE"/>
    <w:rsid w:val="479D11C6"/>
    <w:rsid w:val="47E81371"/>
    <w:rsid w:val="482E0744"/>
    <w:rsid w:val="48832BE0"/>
    <w:rsid w:val="488F6C58"/>
    <w:rsid w:val="48A84BA3"/>
    <w:rsid w:val="48F514A5"/>
    <w:rsid w:val="493F0230"/>
    <w:rsid w:val="496D1BA9"/>
    <w:rsid w:val="49B22896"/>
    <w:rsid w:val="49D11EAC"/>
    <w:rsid w:val="49F61ACB"/>
    <w:rsid w:val="49FA28DF"/>
    <w:rsid w:val="4A4675C3"/>
    <w:rsid w:val="4A4C5208"/>
    <w:rsid w:val="4A8927A6"/>
    <w:rsid w:val="4AC036E8"/>
    <w:rsid w:val="4AC760EA"/>
    <w:rsid w:val="4AD8632C"/>
    <w:rsid w:val="4B1C6B9E"/>
    <w:rsid w:val="4B2C243B"/>
    <w:rsid w:val="4B3B30DB"/>
    <w:rsid w:val="4B421DA5"/>
    <w:rsid w:val="4B4A5785"/>
    <w:rsid w:val="4B7400A7"/>
    <w:rsid w:val="4B790CA2"/>
    <w:rsid w:val="4B98430C"/>
    <w:rsid w:val="4BA74373"/>
    <w:rsid w:val="4BC64573"/>
    <w:rsid w:val="4C16799F"/>
    <w:rsid w:val="4C2D3A30"/>
    <w:rsid w:val="4CA1354D"/>
    <w:rsid w:val="4CB64798"/>
    <w:rsid w:val="4CF91CC3"/>
    <w:rsid w:val="4D105E11"/>
    <w:rsid w:val="4D3337E2"/>
    <w:rsid w:val="4D3B0F38"/>
    <w:rsid w:val="4D640BC1"/>
    <w:rsid w:val="4D810EB4"/>
    <w:rsid w:val="4DFA07BB"/>
    <w:rsid w:val="4E0910A4"/>
    <w:rsid w:val="4E166581"/>
    <w:rsid w:val="4E427551"/>
    <w:rsid w:val="4E6E3A66"/>
    <w:rsid w:val="4E7061A0"/>
    <w:rsid w:val="4EB03827"/>
    <w:rsid w:val="4EED094E"/>
    <w:rsid w:val="4F041DE6"/>
    <w:rsid w:val="4F5502A8"/>
    <w:rsid w:val="4F9D5310"/>
    <w:rsid w:val="4F9E292E"/>
    <w:rsid w:val="4FA727D4"/>
    <w:rsid w:val="4FB72A18"/>
    <w:rsid w:val="4FF73FA5"/>
    <w:rsid w:val="4FFD681F"/>
    <w:rsid w:val="500018BC"/>
    <w:rsid w:val="50011E81"/>
    <w:rsid w:val="50250266"/>
    <w:rsid w:val="504226CA"/>
    <w:rsid w:val="50C64E79"/>
    <w:rsid w:val="50DE6667"/>
    <w:rsid w:val="513C1731"/>
    <w:rsid w:val="515A0FD2"/>
    <w:rsid w:val="51660888"/>
    <w:rsid w:val="5181579E"/>
    <w:rsid w:val="51A83299"/>
    <w:rsid w:val="52036385"/>
    <w:rsid w:val="52065E75"/>
    <w:rsid w:val="521C656E"/>
    <w:rsid w:val="52224331"/>
    <w:rsid w:val="5227238D"/>
    <w:rsid w:val="523C2BCA"/>
    <w:rsid w:val="5295542A"/>
    <w:rsid w:val="52D198D2"/>
    <w:rsid w:val="52E635B0"/>
    <w:rsid w:val="536B290F"/>
    <w:rsid w:val="537930FC"/>
    <w:rsid w:val="53AC6653"/>
    <w:rsid w:val="53FA37B7"/>
    <w:rsid w:val="54097D48"/>
    <w:rsid w:val="540B7534"/>
    <w:rsid w:val="542B04BF"/>
    <w:rsid w:val="54764ED6"/>
    <w:rsid w:val="548A09C2"/>
    <w:rsid w:val="54F56B06"/>
    <w:rsid w:val="552D6CE0"/>
    <w:rsid w:val="55432854"/>
    <w:rsid w:val="554967A4"/>
    <w:rsid w:val="55ED5354"/>
    <w:rsid w:val="56312D95"/>
    <w:rsid w:val="56723AD9"/>
    <w:rsid w:val="567D5FDA"/>
    <w:rsid w:val="56DC71A4"/>
    <w:rsid w:val="571563F0"/>
    <w:rsid w:val="575213BF"/>
    <w:rsid w:val="577C77EE"/>
    <w:rsid w:val="57B27CEE"/>
    <w:rsid w:val="57D6603F"/>
    <w:rsid w:val="57E91B79"/>
    <w:rsid w:val="57FB21B7"/>
    <w:rsid w:val="57FB4603"/>
    <w:rsid w:val="58444534"/>
    <w:rsid w:val="58751201"/>
    <w:rsid w:val="58767185"/>
    <w:rsid w:val="58AA6E57"/>
    <w:rsid w:val="58F06C5F"/>
    <w:rsid w:val="58F8777F"/>
    <w:rsid w:val="594B6385"/>
    <w:rsid w:val="59606E1A"/>
    <w:rsid w:val="59610F3C"/>
    <w:rsid w:val="59625723"/>
    <w:rsid w:val="596F3F43"/>
    <w:rsid w:val="597715CC"/>
    <w:rsid w:val="5A1C3AC5"/>
    <w:rsid w:val="5A273430"/>
    <w:rsid w:val="5A8B6567"/>
    <w:rsid w:val="5A8D599C"/>
    <w:rsid w:val="5A9304C2"/>
    <w:rsid w:val="5AD602D0"/>
    <w:rsid w:val="5AE96331"/>
    <w:rsid w:val="5AFB0056"/>
    <w:rsid w:val="5AFFF064"/>
    <w:rsid w:val="5B105733"/>
    <w:rsid w:val="5B264E92"/>
    <w:rsid w:val="5B6B1EF9"/>
    <w:rsid w:val="5B7148DE"/>
    <w:rsid w:val="5B9577A4"/>
    <w:rsid w:val="5BB82F9C"/>
    <w:rsid w:val="5BC0067F"/>
    <w:rsid w:val="5BFF5C30"/>
    <w:rsid w:val="5C0E6052"/>
    <w:rsid w:val="5C2E5C4B"/>
    <w:rsid w:val="5CE172C2"/>
    <w:rsid w:val="5D0E6E6F"/>
    <w:rsid w:val="5D27015D"/>
    <w:rsid w:val="5D36061C"/>
    <w:rsid w:val="5D613219"/>
    <w:rsid w:val="5DC65563"/>
    <w:rsid w:val="5DD32BF7"/>
    <w:rsid w:val="5E1A7207"/>
    <w:rsid w:val="5E3A7745"/>
    <w:rsid w:val="5E582E8C"/>
    <w:rsid w:val="5E7A5CD0"/>
    <w:rsid w:val="5EAA1DB3"/>
    <w:rsid w:val="5EB80508"/>
    <w:rsid w:val="5ED60B1C"/>
    <w:rsid w:val="5EDE4267"/>
    <w:rsid w:val="5F5435B3"/>
    <w:rsid w:val="5F5E65E2"/>
    <w:rsid w:val="5F7B4C5E"/>
    <w:rsid w:val="5FBA1C7F"/>
    <w:rsid w:val="60006884"/>
    <w:rsid w:val="602A7314"/>
    <w:rsid w:val="607853FD"/>
    <w:rsid w:val="608B0080"/>
    <w:rsid w:val="608E2C7F"/>
    <w:rsid w:val="60ED2175"/>
    <w:rsid w:val="612F7066"/>
    <w:rsid w:val="61410811"/>
    <w:rsid w:val="615A2F22"/>
    <w:rsid w:val="619E7B58"/>
    <w:rsid w:val="61C2304A"/>
    <w:rsid w:val="61DA389B"/>
    <w:rsid w:val="61F53F91"/>
    <w:rsid w:val="62017CD5"/>
    <w:rsid w:val="62082F3C"/>
    <w:rsid w:val="622938A5"/>
    <w:rsid w:val="62557A45"/>
    <w:rsid w:val="6269266B"/>
    <w:rsid w:val="62985900"/>
    <w:rsid w:val="629F4D22"/>
    <w:rsid w:val="62D4771E"/>
    <w:rsid w:val="62D65FCB"/>
    <w:rsid w:val="62DE6B35"/>
    <w:rsid w:val="63836D2F"/>
    <w:rsid w:val="63C9592A"/>
    <w:rsid w:val="63DF6B1A"/>
    <w:rsid w:val="63F9292C"/>
    <w:rsid w:val="64484D7D"/>
    <w:rsid w:val="644C495D"/>
    <w:rsid w:val="64530827"/>
    <w:rsid w:val="647158EB"/>
    <w:rsid w:val="64986E00"/>
    <w:rsid w:val="64B45608"/>
    <w:rsid w:val="65203492"/>
    <w:rsid w:val="6547121B"/>
    <w:rsid w:val="658355A1"/>
    <w:rsid w:val="65BC21E0"/>
    <w:rsid w:val="65CB39C1"/>
    <w:rsid w:val="66032C5F"/>
    <w:rsid w:val="661D72F9"/>
    <w:rsid w:val="664647F4"/>
    <w:rsid w:val="66C82224"/>
    <w:rsid w:val="66DB5EC0"/>
    <w:rsid w:val="66EE6C6C"/>
    <w:rsid w:val="67120469"/>
    <w:rsid w:val="678069F0"/>
    <w:rsid w:val="678B64F1"/>
    <w:rsid w:val="67C14258"/>
    <w:rsid w:val="67F307F2"/>
    <w:rsid w:val="685E422D"/>
    <w:rsid w:val="68AA1EC4"/>
    <w:rsid w:val="68C46AF0"/>
    <w:rsid w:val="68D87BAD"/>
    <w:rsid w:val="69403BFF"/>
    <w:rsid w:val="69404428"/>
    <w:rsid w:val="697D3697"/>
    <w:rsid w:val="6A185A1C"/>
    <w:rsid w:val="6A5316ED"/>
    <w:rsid w:val="6A8676FB"/>
    <w:rsid w:val="6AA87672"/>
    <w:rsid w:val="6B06564F"/>
    <w:rsid w:val="6B3A365E"/>
    <w:rsid w:val="6B7A68DE"/>
    <w:rsid w:val="6BA914A8"/>
    <w:rsid w:val="6BA92274"/>
    <w:rsid w:val="6BDE1078"/>
    <w:rsid w:val="6C515AE7"/>
    <w:rsid w:val="6C97799E"/>
    <w:rsid w:val="6CA11693"/>
    <w:rsid w:val="6CA6202F"/>
    <w:rsid w:val="6CAC1493"/>
    <w:rsid w:val="6CAD5413"/>
    <w:rsid w:val="6CD7380D"/>
    <w:rsid w:val="6CE10C19"/>
    <w:rsid w:val="6D201119"/>
    <w:rsid w:val="6D4C7925"/>
    <w:rsid w:val="6D5A6403"/>
    <w:rsid w:val="6D5C06AE"/>
    <w:rsid w:val="6D67668E"/>
    <w:rsid w:val="6DED03D4"/>
    <w:rsid w:val="6DF337EC"/>
    <w:rsid w:val="6E0A5936"/>
    <w:rsid w:val="6E473FCD"/>
    <w:rsid w:val="6E6A799A"/>
    <w:rsid w:val="6EC752B0"/>
    <w:rsid w:val="6ECB6F9F"/>
    <w:rsid w:val="6ED9295C"/>
    <w:rsid w:val="6EF750C9"/>
    <w:rsid w:val="6F252AAD"/>
    <w:rsid w:val="6F255735"/>
    <w:rsid w:val="6F4A519B"/>
    <w:rsid w:val="6F64527E"/>
    <w:rsid w:val="6FA47EE8"/>
    <w:rsid w:val="6FA973ED"/>
    <w:rsid w:val="6FBB387F"/>
    <w:rsid w:val="6FC31473"/>
    <w:rsid w:val="705F3231"/>
    <w:rsid w:val="70607A2D"/>
    <w:rsid w:val="706319CA"/>
    <w:rsid w:val="70650505"/>
    <w:rsid w:val="70651D96"/>
    <w:rsid w:val="707304F0"/>
    <w:rsid w:val="70B84AFB"/>
    <w:rsid w:val="70BE7F18"/>
    <w:rsid w:val="70DA6087"/>
    <w:rsid w:val="70FA04FB"/>
    <w:rsid w:val="718212CE"/>
    <w:rsid w:val="718F575C"/>
    <w:rsid w:val="719D5C47"/>
    <w:rsid w:val="71D14FAE"/>
    <w:rsid w:val="71D528FA"/>
    <w:rsid w:val="720D4729"/>
    <w:rsid w:val="723A6993"/>
    <w:rsid w:val="725620A9"/>
    <w:rsid w:val="72A7693A"/>
    <w:rsid w:val="72B9172D"/>
    <w:rsid w:val="72D12DD4"/>
    <w:rsid w:val="733013C5"/>
    <w:rsid w:val="735E6A2E"/>
    <w:rsid w:val="738E3E5B"/>
    <w:rsid w:val="741B476E"/>
    <w:rsid w:val="74593A1A"/>
    <w:rsid w:val="74A87727"/>
    <w:rsid w:val="74C268A7"/>
    <w:rsid w:val="74E035BA"/>
    <w:rsid w:val="74EA3DFA"/>
    <w:rsid w:val="7575450C"/>
    <w:rsid w:val="757A1BBB"/>
    <w:rsid w:val="75914E8A"/>
    <w:rsid w:val="75AF6610"/>
    <w:rsid w:val="75D5241C"/>
    <w:rsid w:val="76000750"/>
    <w:rsid w:val="76020C18"/>
    <w:rsid w:val="76262768"/>
    <w:rsid w:val="762A1EF8"/>
    <w:rsid w:val="769D790F"/>
    <w:rsid w:val="76B03266"/>
    <w:rsid w:val="76C95286"/>
    <w:rsid w:val="77232D4C"/>
    <w:rsid w:val="77267D02"/>
    <w:rsid w:val="773A3F7D"/>
    <w:rsid w:val="774921A7"/>
    <w:rsid w:val="77493F8A"/>
    <w:rsid w:val="77937168"/>
    <w:rsid w:val="77DA0571"/>
    <w:rsid w:val="77FD4F1F"/>
    <w:rsid w:val="78356E3D"/>
    <w:rsid w:val="783A38D3"/>
    <w:rsid w:val="783C76EC"/>
    <w:rsid w:val="78812137"/>
    <w:rsid w:val="78B1091B"/>
    <w:rsid w:val="78B61821"/>
    <w:rsid w:val="78B7156B"/>
    <w:rsid w:val="78CD5BE3"/>
    <w:rsid w:val="78F63C9E"/>
    <w:rsid w:val="793643CF"/>
    <w:rsid w:val="79571192"/>
    <w:rsid w:val="795B5254"/>
    <w:rsid w:val="795FE52D"/>
    <w:rsid w:val="79EB12BD"/>
    <w:rsid w:val="7A3C0679"/>
    <w:rsid w:val="7AA21D3A"/>
    <w:rsid w:val="7AAC6D0A"/>
    <w:rsid w:val="7ACD41A8"/>
    <w:rsid w:val="7AD674D4"/>
    <w:rsid w:val="7AD735DD"/>
    <w:rsid w:val="7ADB2D19"/>
    <w:rsid w:val="7AEF0BC9"/>
    <w:rsid w:val="7B302FF9"/>
    <w:rsid w:val="7B6F0238"/>
    <w:rsid w:val="7B7A34C4"/>
    <w:rsid w:val="7BA23C69"/>
    <w:rsid w:val="7BE90D12"/>
    <w:rsid w:val="7BFD268B"/>
    <w:rsid w:val="7C5D7A84"/>
    <w:rsid w:val="7C985069"/>
    <w:rsid w:val="7D010CB5"/>
    <w:rsid w:val="7D2A2F98"/>
    <w:rsid w:val="7D3E4628"/>
    <w:rsid w:val="7D5B7A91"/>
    <w:rsid w:val="7D7221A7"/>
    <w:rsid w:val="7DA92B63"/>
    <w:rsid w:val="7DAE4DB7"/>
    <w:rsid w:val="7DBA3708"/>
    <w:rsid w:val="7DCF4714"/>
    <w:rsid w:val="7DD91E91"/>
    <w:rsid w:val="7DDE6F1F"/>
    <w:rsid w:val="7DEF2E3B"/>
    <w:rsid w:val="7DF05927"/>
    <w:rsid w:val="7DFFA33C"/>
    <w:rsid w:val="7E2801E5"/>
    <w:rsid w:val="7E3C152F"/>
    <w:rsid w:val="7E436780"/>
    <w:rsid w:val="7E935395"/>
    <w:rsid w:val="7EBFA113"/>
    <w:rsid w:val="7EF4992D"/>
    <w:rsid w:val="7F571DBD"/>
    <w:rsid w:val="7F587B14"/>
    <w:rsid w:val="7F6244B6"/>
    <w:rsid w:val="7F7C6557"/>
    <w:rsid w:val="7FAD88CF"/>
    <w:rsid w:val="7FB1091F"/>
    <w:rsid w:val="7FE82B2E"/>
    <w:rsid w:val="7FF80366"/>
    <w:rsid w:val="7FFA444C"/>
    <w:rsid w:val="7FFB2A2C"/>
    <w:rsid w:val="7FFD20D5"/>
    <w:rsid w:val="9AF7605C"/>
    <w:rsid w:val="9FFEF9BC"/>
    <w:rsid w:val="9FFFCA1D"/>
    <w:rsid w:val="B9FF05DA"/>
    <w:rsid w:val="C9A47853"/>
    <w:rsid w:val="D7DF197A"/>
    <w:rsid w:val="DDBF7633"/>
    <w:rsid w:val="EB7FBD9B"/>
    <w:rsid w:val="EF7751D5"/>
    <w:rsid w:val="F4048375"/>
    <w:rsid w:val="F66E7329"/>
    <w:rsid w:val="F7BEC571"/>
    <w:rsid w:val="FBFFDDD2"/>
    <w:rsid w:val="FCFE354C"/>
    <w:rsid w:val="FD9E9807"/>
    <w:rsid w:val="FF7BCCCF"/>
    <w:rsid w:val="FFDEFFE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iPriority="39" w:name="toc 6"/>
    <w:lsdException w:uiPriority="39" w:name="toc 7"/>
    <w:lsdException w:qFormat="1" w:unhideWhenUsed="0" w:uiPriority="0" w:name="toc 8"/>
    <w:lsdException w:uiPriority="39"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qFormat="1" w:uiPriority="99"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qFormat="1" w:unhideWhenUsed="0"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pPr>
    <w:rPr>
      <w:rFonts w:ascii="Times New Roman" w:hAnsi="Times New Roman" w:eastAsia="微软雅黑" w:cs="Times New Roman"/>
      <w:kern w:val="2"/>
      <w:sz w:val="21"/>
      <w:szCs w:val="24"/>
      <w:lang w:val="en-US" w:eastAsia="zh-CN" w:bidi="ar-SA"/>
    </w:rPr>
  </w:style>
  <w:style w:type="paragraph" w:styleId="2">
    <w:name w:val="heading 1"/>
    <w:basedOn w:val="1"/>
    <w:next w:val="1"/>
    <w:link w:val="64"/>
    <w:qFormat/>
    <w:uiPriority w:val="9"/>
    <w:pPr>
      <w:keepNext/>
      <w:keepLines/>
      <w:ind w:firstLine="0" w:firstLineChars="0"/>
      <w:jc w:val="center"/>
      <w:outlineLvl w:val="0"/>
    </w:pPr>
    <w:rPr>
      <w:b/>
      <w:bCs/>
      <w:kern w:val="44"/>
      <w:sz w:val="24"/>
      <w:szCs w:val="44"/>
    </w:rPr>
  </w:style>
  <w:style w:type="paragraph" w:styleId="3">
    <w:name w:val="heading 2"/>
    <w:basedOn w:val="1"/>
    <w:next w:val="4"/>
    <w:link w:val="152"/>
    <w:qFormat/>
    <w:uiPriority w:val="9"/>
    <w:pPr>
      <w:adjustRightInd w:val="0"/>
      <w:snapToGrid w:val="0"/>
      <w:textAlignment w:val="baseline"/>
      <w:outlineLvl w:val="1"/>
    </w:pPr>
    <w:rPr>
      <w:rFonts w:ascii="仿宋_GB2312" w:hAnsi="仿宋_GB2312"/>
      <w:kern w:val="0"/>
      <w:szCs w:val="20"/>
    </w:rPr>
  </w:style>
  <w:style w:type="paragraph" w:styleId="5">
    <w:name w:val="heading 3"/>
    <w:basedOn w:val="1"/>
    <w:next w:val="6"/>
    <w:link w:val="66"/>
    <w:qFormat/>
    <w:uiPriority w:val="0"/>
    <w:pPr>
      <w:keepNext/>
      <w:keepLines/>
      <w:ind w:firstLine="602"/>
      <w:outlineLvl w:val="2"/>
    </w:pPr>
    <w:rPr>
      <w:rFonts w:ascii="仿宋_GB2312" w:hAnsi="仿宋_GB2312"/>
      <w:bCs/>
      <w:szCs w:val="20"/>
    </w:rPr>
  </w:style>
  <w:style w:type="paragraph" w:styleId="7">
    <w:name w:val="heading 4"/>
    <w:basedOn w:val="1"/>
    <w:next w:val="1"/>
    <w:link w:val="65"/>
    <w:qFormat/>
    <w:uiPriority w:val="0"/>
    <w:pPr>
      <w:keepNext/>
      <w:keepLines/>
      <w:outlineLvl w:val="3"/>
    </w:pPr>
    <w:rPr>
      <w:rFonts w:ascii="等线 Light" w:hAnsi="等线 Light"/>
      <w:b/>
      <w:bCs/>
      <w:szCs w:val="28"/>
    </w:rPr>
  </w:style>
  <w:style w:type="paragraph" w:styleId="8">
    <w:name w:val="heading 5"/>
    <w:basedOn w:val="1"/>
    <w:next w:val="1"/>
    <w:link w:val="147"/>
    <w:qFormat/>
    <w:uiPriority w:val="0"/>
    <w:pPr>
      <w:keepNext/>
      <w:keepLines/>
      <w:outlineLvl w:val="4"/>
    </w:pPr>
    <w:rPr>
      <w:b/>
      <w:bCs/>
      <w:szCs w:val="28"/>
    </w:rPr>
  </w:style>
  <w:style w:type="paragraph" w:styleId="9">
    <w:name w:val="heading 6"/>
    <w:basedOn w:val="1"/>
    <w:next w:val="1"/>
    <w:link w:val="148"/>
    <w:qFormat/>
    <w:uiPriority w:val="0"/>
    <w:pPr>
      <w:keepNext/>
      <w:keepLines/>
      <w:spacing w:before="240" w:after="64" w:line="320" w:lineRule="auto"/>
      <w:outlineLvl w:val="5"/>
    </w:pPr>
    <w:rPr>
      <w:rFonts w:ascii="Arial" w:hAnsi="Arial" w:eastAsia="黑体"/>
      <w:b/>
      <w:bCs/>
      <w:sz w:val="24"/>
      <w:szCs w:val="20"/>
    </w:rPr>
  </w:style>
  <w:style w:type="paragraph" w:styleId="10">
    <w:name w:val="heading 7"/>
    <w:basedOn w:val="1"/>
    <w:next w:val="1"/>
    <w:link w:val="149"/>
    <w:qFormat/>
    <w:uiPriority w:val="0"/>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11">
    <w:name w:val="heading 8"/>
    <w:basedOn w:val="1"/>
    <w:next w:val="1"/>
    <w:link w:val="15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51"/>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7">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customStyle="1" w:styleId="4">
    <w:name w:val="标准正文"/>
    <w:basedOn w:val="1"/>
    <w:qFormat/>
    <w:uiPriority w:val="0"/>
    <w:pPr>
      <w:ind w:firstLine="200"/>
    </w:pPr>
    <w:rPr>
      <w:sz w:val="24"/>
      <w:szCs w:val="20"/>
    </w:rPr>
  </w:style>
  <w:style w:type="paragraph" w:styleId="6">
    <w:name w:val="Normal Indent"/>
    <w:basedOn w:val="1"/>
    <w:link w:val="70"/>
    <w:qFormat/>
    <w:uiPriority w:val="0"/>
    <w:pPr>
      <w:ind w:firstLine="420"/>
    </w:pPr>
    <w:rPr>
      <w:szCs w:val="20"/>
    </w:rPr>
  </w:style>
  <w:style w:type="paragraph" w:styleId="13">
    <w:name w:val="List Number"/>
    <w:basedOn w:val="1"/>
    <w:qFormat/>
    <w:uiPriority w:val="0"/>
    <w:pPr>
      <w:widowControl/>
      <w:numPr>
        <w:ilvl w:val="0"/>
        <w:numId w:val="1"/>
      </w:numPr>
      <w:tabs>
        <w:tab w:val="left" w:pos="454"/>
      </w:tabs>
      <w:spacing w:afterLines="50"/>
      <w:ind w:left="454" w:hanging="284"/>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List Bullet"/>
    <w:basedOn w:val="1"/>
    <w:qFormat/>
    <w:uiPriority w:val="0"/>
    <w:pPr>
      <w:widowControl/>
      <w:tabs>
        <w:tab w:val="left" w:pos="900"/>
      </w:tabs>
      <w:spacing w:before="100" w:beforeAutospacing="1" w:afterLines="50" w:afterAutospacing="1"/>
      <w:ind w:left="900" w:hanging="420"/>
    </w:pPr>
    <w:rPr>
      <w:kern w:val="0"/>
      <w:szCs w:val="20"/>
    </w:rPr>
  </w:style>
  <w:style w:type="paragraph" w:styleId="16">
    <w:name w:val="Document Map"/>
    <w:basedOn w:val="1"/>
    <w:link w:val="217"/>
    <w:semiHidden/>
    <w:qFormat/>
    <w:uiPriority w:val="0"/>
    <w:pPr>
      <w:shd w:val="clear" w:color="auto" w:fill="000080"/>
    </w:pPr>
  </w:style>
  <w:style w:type="paragraph" w:styleId="17">
    <w:name w:val="annotation text"/>
    <w:basedOn w:val="1"/>
    <w:link w:val="72"/>
    <w:qFormat/>
    <w:uiPriority w:val="0"/>
  </w:style>
  <w:style w:type="paragraph" w:styleId="18">
    <w:name w:val="Body Text 3"/>
    <w:basedOn w:val="1"/>
    <w:link w:val="73"/>
    <w:qFormat/>
    <w:uiPriority w:val="0"/>
    <w:pPr>
      <w:spacing w:after="120"/>
    </w:pPr>
    <w:rPr>
      <w:sz w:val="16"/>
      <w:szCs w:val="16"/>
    </w:rPr>
  </w:style>
  <w:style w:type="paragraph" w:styleId="19">
    <w:name w:val="Body Text"/>
    <w:basedOn w:val="1"/>
    <w:next w:val="20"/>
    <w:link w:val="69"/>
    <w:qFormat/>
    <w:uiPriority w:val="0"/>
    <w:pPr>
      <w:spacing w:after="120"/>
    </w:pPr>
  </w:style>
  <w:style w:type="paragraph" w:styleId="20">
    <w:name w:val="Body Text First Indent"/>
    <w:basedOn w:val="19"/>
    <w:next w:val="1"/>
    <w:link w:val="215"/>
    <w:qFormat/>
    <w:uiPriority w:val="0"/>
    <w:pPr>
      <w:ind w:firstLine="200"/>
    </w:pPr>
    <w:rPr>
      <w:rFonts w:asciiTheme="minorHAnsi" w:hAnsiTheme="minorHAnsi" w:eastAsiaTheme="minorEastAsia" w:cstheme="minorBidi"/>
      <w:bCs/>
      <w:sz w:val="24"/>
    </w:rPr>
  </w:style>
  <w:style w:type="paragraph" w:styleId="21">
    <w:name w:val="Body Text Indent"/>
    <w:basedOn w:val="1"/>
    <w:link w:val="74"/>
    <w:qFormat/>
    <w:uiPriority w:val="0"/>
    <w:pPr>
      <w:spacing w:line="200" w:lineRule="exact"/>
      <w:ind w:firstLine="301"/>
    </w:pPr>
    <w:rPr>
      <w:rFonts w:ascii="宋体" w:hAnsi="Courier New"/>
      <w:spacing w:val="-4"/>
      <w:sz w:val="18"/>
      <w:szCs w:val="20"/>
    </w:rPr>
  </w:style>
  <w:style w:type="paragraph" w:styleId="22">
    <w:name w:val="List Number 3"/>
    <w:basedOn w:val="1"/>
    <w:qFormat/>
    <w:uiPriority w:val="0"/>
    <w:pPr>
      <w:numPr>
        <w:ilvl w:val="0"/>
        <w:numId w:val="2"/>
      </w:numPr>
    </w:pPr>
  </w:style>
  <w:style w:type="paragraph" w:styleId="23">
    <w:name w:val="List 2"/>
    <w:basedOn w:val="1"/>
    <w:qFormat/>
    <w:uiPriority w:val="0"/>
    <w:pPr>
      <w:ind w:left="566" w:hanging="283"/>
      <w:contextualSpacing/>
    </w:pPr>
  </w:style>
  <w:style w:type="paragraph" w:styleId="24">
    <w:name w:val="Block Text"/>
    <w:basedOn w:val="1"/>
    <w:qFormat/>
    <w:uiPriority w:val="0"/>
    <w:pPr>
      <w:spacing w:before="120"/>
      <w:ind w:left="824" w:right="202" w:firstLine="0" w:firstLineChars="0"/>
      <w:jc w:val="both"/>
    </w:pPr>
    <w:rPr>
      <w:rFonts w:ascii="宋体" w:eastAsia="宋体"/>
      <w:sz w:val="24"/>
      <w:szCs w:val="21"/>
    </w:rPr>
  </w:style>
  <w:style w:type="paragraph" w:styleId="25">
    <w:name w:val="List Bullet 2"/>
    <w:basedOn w:val="1"/>
    <w:qFormat/>
    <w:uiPriority w:val="0"/>
    <w:pPr>
      <w:tabs>
        <w:tab w:val="left" w:pos="360"/>
        <w:tab w:val="left" w:pos="1191"/>
      </w:tabs>
      <w:snapToGrid w:val="0"/>
      <w:ind w:left="482" w:hanging="482" w:hangingChars="200"/>
    </w:pPr>
    <w:rPr>
      <w:b/>
      <w:bCs/>
      <w:sz w:val="24"/>
      <w:szCs w:val="32"/>
    </w:rPr>
  </w:style>
  <w:style w:type="paragraph" w:styleId="26">
    <w:name w:val="index 4"/>
    <w:basedOn w:val="1"/>
    <w:next w:val="1"/>
    <w:qFormat/>
    <w:uiPriority w:val="0"/>
    <w:pPr>
      <w:ind w:left="600" w:leftChars="600"/>
    </w:pPr>
    <w:rPr>
      <w:rFonts w:ascii="Verdana" w:hAnsi="Verdana" w:eastAsia="宋体"/>
      <w:kern w:val="0"/>
      <w:sz w:val="20"/>
      <w:szCs w:val="20"/>
    </w:rPr>
  </w:style>
  <w:style w:type="paragraph" w:styleId="27">
    <w:name w:val="toc 5"/>
    <w:basedOn w:val="1"/>
    <w:next w:val="1"/>
    <w:semiHidden/>
    <w:qFormat/>
    <w:uiPriority w:val="0"/>
    <w:pPr>
      <w:spacing w:afterLines="50"/>
      <w:ind w:left="840"/>
    </w:pPr>
    <w:rPr>
      <w:snapToGrid w:val="0"/>
      <w:kern w:val="0"/>
      <w:sz w:val="18"/>
      <w:szCs w:val="18"/>
    </w:rPr>
  </w:style>
  <w:style w:type="paragraph" w:styleId="28">
    <w:name w:val="toc 3"/>
    <w:basedOn w:val="1"/>
    <w:next w:val="1"/>
    <w:qFormat/>
    <w:uiPriority w:val="39"/>
    <w:pPr>
      <w:tabs>
        <w:tab w:val="right" w:leader="dot" w:pos="8296"/>
      </w:tabs>
    </w:pPr>
    <w:rPr>
      <w:b/>
      <w:bCs/>
      <w:iCs/>
    </w:rPr>
  </w:style>
  <w:style w:type="paragraph" w:styleId="29">
    <w:name w:val="Plain Text"/>
    <w:basedOn w:val="1"/>
    <w:next w:val="1"/>
    <w:link w:val="77"/>
    <w:qFormat/>
    <w:uiPriority w:val="0"/>
    <w:rPr>
      <w:rFonts w:ascii="宋体" w:hAnsi="Courier New"/>
      <w:szCs w:val="20"/>
    </w:rPr>
  </w:style>
  <w:style w:type="paragraph" w:styleId="30">
    <w:name w:val="toc 8"/>
    <w:basedOn w:val="1"/>
    <w:next w:val="1"/>
    <w:semiHidden/>
    <w:qFormat/>
    <w:uiPriority w:val="0"/>
    <w:pPr>
      <w:spacing w:afterLines="50"/>
      <w:ind w:left="1470"/>
    </w:pPr>
    <w:rPr>
      <w:snapToGrid w:val="0"/>
      <w:kern w:val="0"/>
      <w:sz w:val="18"/>
      <w:szCs w:val="18"/>
    </w:rPr>
  </w:style>
  <w:style w:type="paragraph" w:styleId="31">
    <w:name w:val="Date"/>
    <w:basedOn w:val="1"/>
    <w:next w:val="1"/>
    <w:link w:val="79"/>
    <w:qFormat/>
    <w:uiPriority w:val="0"/>
    <w:pPr>
      <w:ind w:left="2500" w:leftChars="2500"/>
    </w:pPr>
    <w:rPr>
      <w:rFonts w:eastAsia="楷体_GB2312"/>
      <w:sz w:val="32"/>
      <w:szCs w:val="20"/>
    </w:rPr>
  </w:style>
  <w:style w:type="paragraph" w:styleId="32">
    <w:name w:val="Body Text Indent 2"/>
    <w:basedOn w:val="1"/>
    <w:link w:val="80"/>
    <w:qFormat/>
    <w:uiPriority w:val="0"/>
    <w:pPr>
      <w:snapToGrid w:val="0"/>
      <w:ind w:firstLine="542" w:firstLineChars="225"/>
    </w:pPr>
    <w:rPr>
      <w:rFonts w:ascii="仿宋_GB2312" w:hAnsi="宋体"/>
      <w:b/>
      <w:bCs/>
      <w:color w:val="000000"/>
      <w:sz w:val="24"/>
    </w:rPr>
  </w:style>
  <w:style w:type="paragraph" w:styleId="33">
    <w:name w:val="endnote text"/>
    <w:basedOn w:val="1"/>
    <w:link w:val="183"/>
    <w:semiHidden/>
    <w:qFormat/>
    <w:uiPriority w:val="0"/>
    <w:pPr>
      <w:snapToGrid w:val="0"/>
      <w:spacing w:afterLines="50"/>
    </w:pPr>
    <w:rPr>
      <w:rFonts w:ascii="宋体"/>
      <w:snapToGrid w:val="0"/>
      <w:kern w:val="0"/>
      <w:szCs w:val="20"/>
    </w:rPr>
  </w:style>
  <w:style w:type="paragraph" w:styleId="34">
    <w:name w:val="Balloon Text"/>
    <w:basedOn w:val="1"/>
    <w:link w:val="81"/>
    <w:qFormat/>
    <w:uiPriority w:val="0"/>
    <w:rPr>
      <w:sz w:val="18"/>
      <w:szCs w:val="18"/>
    </w:rPr>
  </w:style>
  <w:style w:type="paragraph" w:styleId="35">
    <w:name w:val="footer"/>
    <w:basedOn w:val="1"/>
    <w:link w:val="82"/>
    <w:qFormat/>
    <w:uiPriority w:val="0"/>
    <w:pPr>
      <w:tabs>
        <w:tab w:val="center" w:pos="4153"/>
        <w:tab w:val="right" w:pos="8306"/>
      </w:tabs>
      <w:snapToGrid w:val="0"/>
    </w:pPr>
    <w:rPr>
      <w:sz w:val="18"/>
      <w:szCs w:val="18"/>
    </w:rPr>
  </w:style>
  <w:style w:type="paragraph" w:styleId="36">
    <w:name w:val="header"/>
    <w:basedOn w:val="1"/>
    <w:link w:val="83"/>
    <w:qFormat/>
    <w:uiPriority w:val="0"/>
    <w:pPr>
      <w:pBdr>
        <w:bottom w:val="single" w:color="auto" w:sz="6" w:space="1"/>
      </w:pBdr>
      <w:tabs>
        <w:tab w:val="center" w:pos="4153"/>
        <w:tab w:val="right" w:pos="8306"/>
      </w:tabs>
      <w:snapToGrid w:val="0"/>
      <w:ind w:firstLine="360"/>
      <w:jc w:val="right"/>
    </w:pPr>
    <w:rPr>
      <w:sz w:val="18"/>
      <w:szCs w:val="18"/>
    </w:rPr>
  </w:style>
  <w:style w:type="paragraph" w:styleId="37">
    <w:name w:val="toc 1"/>
    <w:basedOn w:val="1"/>
    <w:next w:val="1"/>
    <w:qFormat/>
    <w:uiPriority w:val="39"/>
    <w:pPr>
      <w:tabs>
        <w:tab w:val="right" w:leader="dot" w:pos="9060"/>
      </w:tabs>
      <w:spacing w:before="120" w:after="120" w:line="720" w:lineRule="auto"/>
    </w:pPr>
    <w:rPr>
      <w:rFonts w:ascii="仿宋_GB2312" w:eastAsia="仿宋_GB2312"/>
      <w:bCs/>
      <w:caps/>
      <w:color w:val="FF6600"/>
      <w:sz w:val="36"/>
      <w:szCs w:val="36"/>
    </w:rPr>
  </w:style>
  <w:style w:type="paragraph" w:styleId="38">
    <w:name w:val="toc 4"/>
    <w:basedOn w:val="1"/>
    <w:next w:val="1"/>
    <w:semiHidden/>
    <w:qFormat/>
    <w:uiPriority w:val="0"/>
    <w:pPr>
      <w:ind w:left="629"/>
    </w:pPr>
    <w:rPr>
      <w:snapToGrid w:val="0"/>
      <w:kern w:val="0"/>
      <w:szCs w:val="18"/>
    </w:rPr>
  </w:style>
  <w:style w:type="paragraph" w:styleId="39">
    <w:name w:val="Subtitle"/>
    <w:basedOn w:val="1"/>
    <w:next w:val="1"/>
    <w:link w:val="86"/>
    <w:qFormat/>
    <w:uiPriority w:val="0"/>
    <w:pPr>
      <w:spacing w:before="240" w:after="60" w:line="312" w:lineRule="auto"/>
      <w:jc w:val="center"/>
      <w:outlineLvl w:val="1"/>
    </w:pPr>
    <w:rPr>
      <w:rFonts w:ascii="Cambria" w:hAnsi="Cambria"/>
      <w:b/>
      <w:bCs/>
      <w:kern w:val="28"/>
      <w:sz w:val="32"/>
      <w:szCs w:val="32"/>
    </w:rPr>
  </w:style>
  <w:style w:type="paragraph" w:styleId="40">
    <w:name w:val="List"/>
    <w:basedOn w:val="1"/>
    <w:qFormat/>
    <w:uiPriority w:val="0"/>
    <w:pPr>
      <w:ind w:left="283" w:hanging="283"/>
      <w:contextualSpacing/>
    </w:pPr>
  </w:style>
  <w:style w:type="paragraph" w:styleId="41">
    <w:name w:val="footnote text"/>
    <w:basedOn w:val="1"/>
    <w:link w:val="87"/>
    <w:unhideWhenUsed/>
    <w:qFormat/>
    <w:uiPriority w:val="99"/>
    <w:pPr>
      <w:snapToGrid w:val="0"/>
    </w:pPr>
    <w:rPr>
      <w:rFonts w:ascii="Calibri" w:hAnsi="Calibri"/>
      <w:sz w:val="18"/>
    </w:rPr>
  </w:style>
  <w:style w:type="paragraph" w:styleId="42">
    <w:name w:val="toc 6"/>
    <w:basedOn w:val="1"/>
    <w:next w:val="1"/>
    <w:semiHidden/>
    <w:unhideWhenUsed/>
    <w:qFormat/>
    <w:uiPriority w:val="39"/>
    <w:pPr>
      <w:ind w:left="2100" w:leftChars="1000"/>
    </w:pPr>
  </w:style>
  <w:style w:type="paragraph" w:styleId="43">
    <w:name w:val="Body Text Indent 3"/>
    <w:basedOn w:val="1"/>
    <w:link w:val="89"/>
    <w:qFormat/>
    <w:uiPriority w:val="0"/>
    <w:pPr>
      <w:snapToGrid w:val="0"/>
    </w:pPr>
    <w:rPr>
      <w:rFonts w:ascii="仿宋_GB2312" w:hAnsi="宋体" w:eastAsia="仿宋_GB2312"/>
      <w:color w:val="000000"/>
      <w:sz w:val="24"/>
    </w:rPr>
  </w:style>
  <w:style w:type="paragraph" w:styleId="44">
    <w:name w:val="table of figures"/>
    <w:basedOn w:val="1"/>
    <w:next w:val="1"/>
    <w:unhideWhenUsed/>
    <w:qFormat/>
    <w:uiPriority w:val="0"/>
    <w:pPr>
      <w:ind w:left="200" w:leftChars="200" w:hanging="200" w:hangingChars="200"/>
    </w:pPr>
  </w:style>
  <w:style w:type="paragraph" w:styleId="45">
    <w:name w:val="toc 2"/>
    <w:basedOn w:val="1"/>
    <w:next w:val="1"/>
    <w:qFormat/>
    <w:uiPriority w:val="39"/>
    <w:pPr>
      <w:tabs>
        <w:tab w:val="right" w:leader="dot" w:pos="8296"/>
      </w:tabs>
      <w:ind w:left="210"/>
    </w:pPr>
    <w:rPr>
      <w:b/>
      <w:smallCaps/>
    </w:rPr>
  </w:style>
  <w:style w:type="paragraph" w:styleId="46">
    <w:name w:val="Body Text 2"/>
    <w:basedOn w:val="1"/>
    <w:link w:val="92"/>
    <w:qFormat/>
    <w:uiPriority w:val="0"/>
    <w:pPr>
      <w:widowControl/>
      <w:snapToGrid w:val="0"/>
      <w:spacing w:before="50" w:afterLines="50" w:line="400" w:lineRule="exact"/>
    </w:pPr>
    <w:rPr>
      <w:rFonts w:ascii="宋体" w:hAnsi="宋体"/>
      <w:color w:val="000000"/>
      <w:sz w:val="24"/>
    </w:rPr>
  </w:style>
  <w:style w:type="paragraph" w:styleId="47">
    <w:name w:val="HTML Preformatted"/>
    <w:basedOn w:val="1"/>
    <w:link w:val="2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48">
    <w:name w:val="Normal (Web)"/>
    <w:basedOn w:val="1"/>
    <w:link w:val="93"/>
    <w:qFormat/>
    <w:uiPriority w:val="99"/>
    <w:pPr>
      <w:widowControl/>
      <w:spacing w:before="100" w:beforeAutospacing="1" w:after="100" w:afterAutospacing="1"/>
    </w:pPr>
    <w:rPr>
      <w:rFonts w:ascii="宋体" w:hAnsi="宋体"/>
      <w:kern w:val="0"/>
      <w:sz w:val="24"/>
    </w:rPr>
  </w:style>
  <w:style w:type="paragraph" w:styleId="49">
    <w:name w:val="index 1"/>
    <w:basedOn w:val="1"/>
    <w:next w:val="1"/>
    <w:semiHidden/>
    <w:qFormat/>
    <w:uiPriority w:val="0"/>
    <w:rPr>
      <w:szCs w:val="20"/>
    </w:rPr>
  </w:style>
  <w:style w:type="paragraph" w:styleId="50">
    <w:name w:val="Title"/>
    <w:basedOn w:val="1"/>
    <w:next w:val="1"/>
    <w:link w:val="94"/>
    <w:qFormat/>
    <w:uiPriority w:val="0"/>
    <w:pPr>
      <w:spacing w:before="240" w:after="60"/>
      <w:jc w:val="center"/>
      <w:outlineLvl w:val="0"/>
    </w:pPr>
    <w:rPr>
      <w:rFonts w:ascii="Cambria" w:hAnsi="Cambria"/>
      <w:b/>
      <w:bCs/>
      <w:sz w:val="32"/>
      <w:szCs w:val="32"/>
    </w:rPr>
  </w:style>
  <w:style w:type="paragraph" w:styleId="51">
    <w:name w:val="annotation subject"/>
    <w:basedOn w:val="17"/>
    <w:next w:val="17"/>
    <w:link w:val="95"/>
    <w:qFormat/>
    <w:uiPriority w:val="0"/>
    <w:rPr>
      <w:b/>
      <w:bCs/>
    </w:rPr>
  </w:style>
  <w:style w:type="paragraph" w:styleId="52">
    <w:name w:val="Body Text First Indent 2"/>
    <w:basedOn w:val="21"/>
    <w:link w:val="287"/>
    <w:semiHidden/>
    <w:unhideWhenUsed/>
    <w:qFormat/>
    <w:uiPriority w:val="0"/>
    <w:pPr>
      <w:spacing w:after="120" w:line="360" w:lineRule="auto"/>
      <w:ind w:left="420" w:leftChars="200" w:firstLine="420"/>
    </w:pPr>
    <w:rPr>
      <w:rFonts w:ascii="Times New Roman" w:hAnsi="Times New Roman"/>
      <w:spacing w:val="0"/>
      <w:sz w:val="21"/>
      <w:szCs w:val="24"/>
    </w:rPr>
  </w:style>
  <w:style w:type="table" w:styleId="54">
    <w:name w:val="Table Grid"/>
    <w:basedOn w:val="5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55">
    <w:name w:val="Table Grid 1"/>
    <w:basedOn w:val="5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6">
    <w:name w:val="Table Grid 8"/>
    <w:basedOn w:val="53"/>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58">
    <w:name w:val="Strong"/>
    <w:qFormat/>
    <w:uiPriority w:val="22"/>
    <w:rPr>
      <w:b/>
      <w:bCs/>
    </w:rPr>
  </w:style>
  <w:style w:type="character" w:styleId="59">
    <w:name w:val="page number"/>
    <w:qFormat/>
    <w:uiPriority w:val="0"/>
  </w:style>
  <w:style w:type="character" w:styleId="60">
    <w:name w:val="FollowedHyperlink"/>
    <w:basedOn w:val="57"/>
    <w:semiHidden/>
    <w:unhideWhenUsed/>
    <w:qFormat/>
    <w:uiPriority w:val="99"/>
    <w:rPr>
      <w:color w:val="954F72" w:themeColor="followedHyperlink"/>
      <w:u w:val="single"/>
      <w14:textFill>
        <w14:solidFill>
          <w14:schemeClr w14:val="folHlink"/>
        </w14:solidFill>
      </w14:textFill>
    </w:rPr>
  </w:style>
  <w:style w:type="character" w:styleId="61">
    <w:name w:val="Hyperlink"/>
    <w:qFormat/>
    <w:uiPriority w:val="99"/>
    <w:rPr>
      <w:color w:val="0000FF"/>
      <w:u w:val="single"/>
    </w:rPr>
  </w:style>
  <w:style w:type="character" w:styleId="62">
    <w:name w:val="annotation reference"/>
    <w:qFormat/>
    <w:uiPriority w:val="99"/>
    <w:rPr>
      <w:sz w:val="21"/>
      <w:szCs w:val="21"/>
    </w:rPr>
  </w:style>
  <w:style w:type="character" w:styleId="63">
    <w:name w:val="footnote reference"/>
    <w:unhideWhenUsed/>
    <w:qFormat/>
    <w:uiPriority w:val="99"/>
    <w:rPr>
      <w:rFonts w:hint="default" w:ascii="Times New Roman"/>
      <w:sz w:val="24"/>
      <w:vertAlign w:val="superscript"/>
    </w:rPr>
  </w:style>
  <w:style w:type="character" w:customStyle="1" w:styleId="64">
    <w:name w:val="标题 1 字符"/>
    <w:basedOn w:val="57"/>
    <w:link w:val="2"/>
    <w:qFormat/>
    <w:uiPriority w:val="9"/>
    <w:rPr>
      <w:rFonts w:eastAsia="微软雅黑"/>
      <w:b/>
      <w:bCs/>
      <w:kern w:val="44"/>
      <w:sz w:val="24"/>
      <w:szCs w:val="44"/>
    </w:rPr>
  </w:style>
  <w:style w:type="character" w:customStyle="1" w:styleId="65">
    <w:name w:val="标题 4 字符"/>
    <w:link w:val="7"/>
    <w:qFormat/>
    <w:uiPriority w:val="0"/>
    <w:rPr>
      <w:rFonts w:ascii="等线 Light" w:hAnsi="等线 Light" w:eastAsia="微软雅黑" w:cs="Times New Roman"/>
      <w:b/>
      <w:bCs/>
      <w:kern w:val="2"/>
      <w:sz w:val="21"/>
      <w:szCs w:val="28"/>
    </w:rPr>
  </w:style>
  <w:style w:type="character" w:customStyle="1" w:styleId="66">
    <w:name w:val="标题 3 字符"/>
    <w:basedOn w:val="57"/>
    <w:link w:val="5"/>
    <w:qFormat/>
    <w:uiPriority w:val="0"/>
    <w:rPr>
      <w:rFonts w:ascii="仿宋_GB2312" w:hAnsi="仿宋_GB2312" w:eastAsia="微软雅黑"/>
      <w:bCs/>
      <w:kern w:val="2"/>
      <w:sz w:val="21"/>
    </w:rPr>
  </w:style>
  <w:style w:type="paragraph" w:customStyle="1" w:styleId="67">
    <w:name w:val="表格文字"/>
    <w:basedOn w:val="68"/>
    <w:next w:val="19"/>
    <w:qFormat/>
    <w:uiPriority w:val="0"/>
  </w:style>
  <w:style w:type="paragraph" w:customStyle="1" w:styleId="68">
    <w:name w:val="表格文字（两侧对齐）"/>
    <w:basedOn w:val="1"/>
    <w:qFormat/>
    <w:uiPriority w:val="0"/>
    <w:pPr>
      <w:snapToGrid w:val="0"/>
    </w:pPr>
    <w:rPr>
      <w:rFonts w:eastAsia="宋体"/>
      <w:sz w:val="20"/>
    </w:rPr>
  </w:style>
  <w:style w:type="character" w:customStyle="1" w:styleId="69">
    <w:name w:val="正文文本 字符"/>
    <w:link w:val="19"/>
    <w:qFormat/>
    <w:uiPriority w:val="0"/>
    <w:rPr>
      <w:kern w:val="2"/>
      <w:sz w:val="21"/>
      <w:szCs w:val="24"/>
    </w:rPr>
  </w:style>
  <w:style w:type="character" w:customStyle="1" w:styleId="70">
    <w:name w:val="正文缩进 字符1"/>
    <w:link w:val="6"/>
    <w:qFormat/>
    <w:uiPriority w:val="0"/>
    <w:rPr>
      <w:kern w:val="2"/>
      <w:sz w:val="21"/>
    </w:rPr>
  </w:style>
  <w:style w:type="paragraph" w:customStyle="1" w:styleId="71">
    <w:name w:val="目录 71"/>
    <w:basedOn w:val="1"/>
    <w:next w:val="1"/>
    <w:unhideWhenUsed/>
    <w:qFormat/>
    <w:uiPriority w:val="39"/>
    <w:pPr>
      <w:ind w:left="2520" w:leftChars="1200"/>
    </w:pPr>
    <w:rPr>
      <w:rFonts w:ascii="Calibri" w:hAnsi="Calibri"/>
      <w:szCs w:val="22"/>
    </w:rPr>
  </w:style>
  <w:style w:type="character" w:customStyle="1" w:styleId="72">
    <w:name w:val="批注文字 字符"/>
    <w:link w:val="17"/>
    <w:qFormat/>
    <w:uiPriority w:val="0"/>
    <w:rPr>
      <w:kern w:val="2"/>
      <w:sz w:val="21"/>
      <w:szCs w:val="24"/>
    </w:rPr>
  </w:style>
  <w:style w:type="character" w:customStyle="1" w:styleId="73">
    <w:name w:val="正文文本 3 字符"/>
    <w:link w:val="18"/>
    <w:qFormat/>
    <w:uiPriority w:val="0"/>
    <w:rPr>
      <w:kern w:val="2"/>
      <w:sz w:val="16"/>
      <w:szCs w:val="16"/>
    </w:rPr>
  </w:style>
  <w:style w:type="character" w:customStyle="1" w:styleId="74">
    <w:name w:val="正文文本缩进 字符"/>
    <w:link w:val="21"/>
    <w:qFormat/>
    <w:uiPriority w:val="0"/>
    <w:rPr>
      <w:rFonts w:ascii="宋体" w:hAnsi="Courier New"/>
      <w:spacing w:val="-4"/>
      <w:kern w:val="2"/>
      <w:sz w:val="18"/>
    </w:rPr>
  </w:style>
  <w:style w:type="paragraph" w:customStyle="1" w:styleId="75">
    <w:name w:val="目录 51"/>
    <w:basedOn w:val="1"/>
    <w:next w:val="1"/>
    <w:unhideWhenUsed/>
    <w:qFormat/>
    <w:uiPriority w:val="39"/>
    <w:pPr>
      <w:ind w:left="1680" w:leftChars="800"/>
    </w:pPr>
    <w:rPr>
      <w:rFonts w:ascii="Calibri" w:hAnsi="Calibri"/>
      <w:szCs w:val="22"/>
    </w:rPr>
  </w:style>
  <w:style w:type="paragraph" w:customStyle="1" w:styleId="76">
    <w:name w:val="目录 31"/>
    <w:basedOn w:val="1"/>
    <w:next w:val="1"/>
    <w:qFormat/>
    <w:uiPriority w:val="39"/>
    <w:pPr>
      <w:ind w:left="840" w:leftChars="400"/>
    </w:pPr>
  </w:style>
  <w:style w:type="character" w:customStyle="1" w:styleId="77">
    <w:name w:val="纯文本 字符"/>
    <w:link w:val="29"/>
    <w:qFormat/>
    <w:uiPriority w:val="0"/>
    <w:rPr>
      <w:rFonts w:ascii="宋体" w:hAnsi="Courier New"/>
      <w:kern w:val="2"/>
      <w:sz w:val="21"/>
    </w:rPr>
  </w:style>
  <w:style w:type="paragraph" w:customStyle="1" w:styleId="78">
    <w:name w:val="目录 81"/>
    <w:basedOn w:val="1"/>
    <w:next w:val="1"/>
    <w:unhideWhenUsed/>
    <w:qFormat/>
    <w:uiPriority w:val="39"/>
    <w:pPr>
      <w:ind w:left="2940" w:leftChars="1400"/>
    </w:pPr>
    <w:rPr>
      <w:rFonts w:ascii="Calibri" w:hAnsi="Calibri"/>
      <w:szCs w:val="22"/>
    </w:rPr>
  </w:style>
  <w:style w:type="character" w:customStyle="1" w:styleId="79">
    <w:name w:val="日期 字符"/>
    <w:link w:val="31"/>
    <w:qFormat/>
    <w:uiPriority w:val="0"/>
    <w:rPr>
      <w:rFonts w:eastAsia="楷体_GB2312"/>
      <w:kern w:val="2"/>
      <w:sz w:val="32"/>
    </w:rPr>
  </w:style>
  <w:style w:type="character" w:customStyle="1" w:styleId="80">
    <w:name w:val="正文文本缩进 2 字符"/>
    <w:link w:val="32"/>
    <w:qFormat/>
    <w:uiPriority w:val="0"/>
    <w:rPr>
      <w:rFonts w:ascii="仿宋_GB2312" w:hAnsi="宋体" w:cs="Arial"/>
      <w:b/>
      <w:bCs/>
      <w:color w:val="000000"/>
      <w:kern w:val="2"/>
      <w:sz w:val="24"/>
      <w:szCs w:val="24"/>
    </w:rPr>
  </w:style>
  <w:style w:type="character" w:customStyle="1" w:styleId="81">
    <w:name w:val="批注框文本 字符"/>
    <w:link w:val="34"/>
    <w:qFormat/>
    <w:uiPriority w:val="0"/>
    <w:rPr>
      <w:kern w:val="2"/>
      <w:sz w:val="18"/>
      <w:szCs w:val="18"/>
    </w:rPr>
  </w:style>
  <w:style w:type="character" w:customStyle="1" w:styleId="82">
    <w:name w:val="页脚 字符1"/>
    <w:link w:val="35"/>
    <w:qFormat/>
    <w:locked/>
    <w:uiPriority w:val="0"/>
    <w:rPr>
      <w:kern w:val="2"/>
      <w:sz w:val="18"/>
      <w:szCs w:val="18"/>
    </w:rPr>
  </w:style>
  <w:style w:type="character" w:customStyle="1" w:styleId="83">
    <w:name w:val="页眉 字符"/>
    <w:link w:val="36"/>
    <w:qFormat/>
    <w:uiPriority w:val="0"/>
    <w:rPr>
      <w:rFonts w:eastAsia="微软雅黑"/>
      <w:kern w:val="2"/>
      <w:sz w:val="18"/>
      <w:szCs w:val="18"/>
    </w:rPr>
  </w:style>
  <w:style w:type="paragraph" w:customStyle="1" w:styleId="84">
    <w:name w:val="目录 11"/>
    <w:basedOn w:val="1"/>
    <w:next w:val="1"/>
    <w:qFormat/>
    <w:uiPriority w:val="39"/>
  </w:style>
  <w:style w:type="paragraph" w:customStyle="1" w:styleId="85">
    <w:name w:val="目录 41"/>
    <w:basedOn w:val="1"/>
    <w:next w:val="1"/>
    <w:unhideWhenUsed/>
    <w:qFormat/>
    <w:uiPriority w:val="39"/>
    <w:pPr>
      <w:ind w:left="1260" w:leftChars="600"/>
    </w:pPr>
    <w:rPr>
      <w:rFonts w:ascii="Calibri" w:hAnsi="Calibri"/>
      <w:szCs w:val="22"/>
    </w:rPr>
  </w:style>
  <w:style w:type="character" w:customStyle="1" w:styleId="86">
    <w:name w:val="副标题 字符"/>
    <w:link w:val="39"/>
    <w:qFormat/>
    <w:uiPriority w:val="0"/>
    <w:rPr>
      <w:rFonts w:ascii="Cambria" w:hAnsi="Cambria"/>
      <w:b/>
      <w:bCs/>
      <w:kern w:val="28"/>
      <w:sz w:val="32"/>
      <w:szCs w:val="32"/>
    </w:rPr>
  </w:style>
  <w:style w:type="character" w:customStyle="1" w:styleId="87">
    <w:name w:val="脚注文本 字符"/>
    <w:link w:val="41"/>
    <w:qFormat/>
    <w:uiPriority w:val="99"/>
    <w:rPr>
      <w:rFonts w:ascii="Calibri" w:hAnsi="Calibri"/>
      <w:kern w:val="2"/>
      <w:sz w:val="18"/>
      <w:szCs w:val="24"/>
    </w:rPr>
  </w:style>
  <w:style w:type="paragraph" w:customStyle="1" w:styleId="88">
    <w:name w:val="目录 61"/>
    <w:basedOn w:val="1"/>
    <w:next w:val="1"/>
    <w:unhideWhenUsed/>
    <w:qFormat/>
    <w:uiPriority w:val="39"/>
    <w:pPr>
      <w:ind w:left="2100" w:leftChars="1000"/>
    </w:pPr>
    <w:rPr>
      <w:rFonts w:ascii="Calibri" w:hAnsi="Calibri"/>
      <w:szCs w:val="22"/>
    </w:rPr>
  </w:style>
  <w:style w:type="character" w:customStyle="1" w:styleId="89">
    <w:name w:val="正文文本缩进 3 字符"/>
    <w:link w:val="43"/>
    <w:qFormat/>
    <w:uiPriority w:val="0"/>
    <w:rPr>
      <w:rFonts w:ascii="仿宋_GB2312" w:hAnsi="宋体" w:eastAsia="仿宋_GB2312"/>
      <w:color w:val="000000"/>
      <w:kern w:val="2"/>
      <w:sz w:val="24"/>
      <w:szCs w:val="24"/>
    </w:rPr>
  </w:style>
  <w:style w:type="paragraph" w:customStyle="1" w:styleId="90">
    <w:name w:val="目录 21"/>
    <w:basedOn w:val="1"/>
    <w:next w:val="1"/>
    <w:qFormat/>
    <w:uiPriority w:val="39"/>
    <w:pPr>
      <w:ind w:left="420" w:leftChars="200"/>
    </w:pPr>
  </w:style>
  <w:style w:type="paragraph" w:customStyle="1" w:styleId="91">
    <w:name w:val="目录 91"/>
    <w:basedOn w:val="1"/>
    <w:next w:val="1"/>
    <w:unhideWhenUsed/>
    <w:qFormat/>
    <w:uiPriority w:val="39"/>
    <w:pPr>
      <w:ind w:left="3360" w:leftChars="1600"/>
    </w:pPr>
    <w:rPr>
      <w:rFonts w:ascii="Calibri" w:hAnsi="Calibri"/>
      <w:szCs w:val="22"/>
    </w:rPr>
  </w:style>
  <w:style w:type="character" w:customStyle="1" w:styleId="92">
    <w:name w:val="正文文本 2 字符"/>
    <w:link w:val="46"/>
    <w:qFormat/>
    <w:uiPriority w:val="0"/>
    <w:rPr>
      <w:rFonts w:ascii="宋体" w:hAnsi="宋体"/>
      <w:color w:val="000000"/>
      <w:kern w:val="2"/>
      <w:sz w:val="24"/>
      <w:szCs w:val="24"/>
    </w:rPr>
  </w:style>
  <w:style w:type="character" w:customStyle="1" w:styleId="93">
    <w:name w:val="普通(网站) 字符"/>
    <w:link w:val="48"/>
    <w:qFormat/>
    <w:locked/>
    <w:uiPriority w:val="0"/>
    <w:rPr>
      <w:rFonts w:ascii="宋体" w:hAnsi="宋体" w:cs="宋体"/>
      <w:sz w:val="24"/>
      <w:szCs w:val="24"/>
    </w:rPr>
  </w:style>
  <w:style w:type="character" w:customStyle="1" w:styleId="94">
    <w:name w:val="标题 字符"/>
    <w:link w:val="50"/>
    <w:qFormat/>
    <w:uiPriority w:val="0"/>
    <w:rPr>
      <w:rFonts w:ascii="Cambria" w:hAnsi="Cambria"/>
      <w:b/>
      <w:bCs/>
      <w:kern w:val="2"/>
      <w:sz w:val="32"/>
      <w:szCs w:val="32"/>
    </w:rPr>
  </w:style>
  <w:style w:type="character" w:customStyle="1" w:styleId="95">
    <w:name w:val="批注主题 字符"/>
    <w:link w:val="51"/>
    <w:qFormat/>
    <w:uiPriority w:val="0"/>
    <w:rPr>
      <w:b/>
      <w:bCs/>
      <w:kern w:val="2"/>
      <w:sz w:val="21"/>
      <w:szCs w:val="24"/>
    </w:rPr>
  </w:style>
  <w:style w:type="paragraph" w:customStyle="1" w:styleId="96">
    <w:name w:val="正文首行缩进1"/>
    <w:basedOn w:val="19"/>
    <w:link w:val="97"/>
    <w:qFormat/>
    <w:uiPriority w:val="0"/>
    <w:pPr>
      <w:ind w:firstLine="420" w:firstLineChars="100"/>
    </w:pPr>
  </w:style>
  <w:style w:type="character" w:customStyle="1" w:styleId="97">
    <w:name w:val="正文首行缩进 Char"/>
    <w:link w:val="96"/>
    <w:qFormat/>
    <w:uiPriority w:val="0"/>
  </w:style>
  <w:style w:type="character" w:customStyle="1" w:styleId="98">
    <w:name w:val="已访问的超链接1"/>
    <w:qFormat/>
    <w:uiPriority w:val="0"/>
    <w:rPr>
      <w:color w:val="800080"/>
      <w:u w:val="single"/>
    </w:rPr>
  </w:style>
  <w:style w:type="character" w:customStyle="1" w:styleId="99">
    <w:name w:val="正文缩进 字符"/>
    <w:qFormat/>
    <w:uiPriority w:val="0"/>
    <w:rPr>
      <w:snapToGrid/>
      <w:kern w:val="0"/>
      <w:sz w:val="24"/>
    </w:rPr>
  </w:style>
  <w:style w:type="character" w:customStyle="1" w:styleId="100">
    <w:name w:val="列表段落 字符1"/>
    <w:link w:val="101"/>
    <w:qFormat/>
    <w:uiPriority w:val="99"/>
    <w:rPr>
      <w:kern w:val="2"/>
      <w:sz w:val="21"/>
      <w:szCs w:val="22"/>
    </w:rPr>
  </w:style>
  <w:style w:type="paragraph" w:styleId="101">
    <w:name w:val="List Paragraph"/>
    <w:basedOn w:val="1"/>
    <w:link w:val="100"/>
    <w:qFormat/>
    <w:uiPriority w:val="34"/>
    <w:pPr>
      <w:ind w:firstLine="420"/>
    </w:pPr>
    <w:rPr>
      <w:szCs w:val="22"/>
    </w:rPr>
  </w:style>
  <w:style w:type="character" w:customStyle="1" w:styleId="102">
    <w:name w:val="列表段落 字符"/>
    <w:qFormat/>
    <w:uiPriority w:val="99"/>
    <w:rPr>
      <w:rFonts w:ascii="Times New Roman" w:hAnsi="Times New Roman" w:eastAsia="宋体" w:cs="Times New Roman"/>
      <w:szCs w:val="24"/>
    </w:rPr>
  </w:style>
  <w:style w:type="character" w:customStyle="1" w:styleId="103">
    <w:name w:val="页脚 字符"/>
    <w:qFormat/>
    <w:uiPriority w:val="0"/>
  </w:style>
  <w:style w:type="character" w:customStyle="1" w:styleId="104">
    <w:name w:val="页眉 Char1"/>
    <w:qFormat/>
    <w:uiPriority w:val="99"/>
    <w:rPr>
      <w:kern w:val="2"/>
      <w:sz w:val="18"/>
      <w:szCs w:val="18"/>
    </w:rPr>
  </w:style>
  <w:style w:type="character" w:customStyle="1" w:styleId="105">
    <w:name w:val="普通文字 Char Char2"/>
    <w:qFormat/>
    <w:uiPriority w:val="0"/>
    <w:rPr>
      <w:rFonts w:ascii="宋体" w:hAnsi="Courier New" w:eastAsia="宋体"/>
      <w:kern w:val="2"/>
      <w:sz w:val="24"/>
      <w:szCs w:val="24"/>
      <w:lang w:val="en-US" w:eastAsia="zh-CN" w:bidi="ar-SA"/>
    </w:rPr>
  </w:style>
  <w:style w:type="character" w:customStyle="1" w:styleId="106">
    <w:name w:val="批注文字 Char"/>
    <w:qFormat/>
    <w:uiPriority w:val="0"/>
    <w:rPr>
      <w:kern w:val="2"/>
      <w:sz w:val="21"/>
      <w:szCs w:val="24"/>
    </w:rPr>
  </w:style>
  <w:style w:type="character" w:customStyle="1" w:styleId="107">
    <w:name w:val="ca-92"/>
    <w:qFormat/>
    <w:uiPriority w:val="0"/>
  </w:style>
  <w:style w:type="character" w:customStyle="1" w:styleId="108">
    <w:name w:val="bookmark-item"/>
    <w:qFormat/>
    <w:uiPriority w:val="0"/>
  </w:style>
  <w:style w:type="character" w:customStyle="1" w:styleId="109">
    <w:name w:val="纯文本 Char3"/>
    <w:qFormat/>
    <w:uiPriority w:val="0"/>
    <w:rPr>
      <w:rFonts w:ascii="宋体" w:hAnsi="Courier New" w:eastAsia="宋体"/>
      <w:kern w:val="2"/>
      <w:sz w:val="24"/>
      <w:szCs w:val="24"/>
      <w:lang w:val="en-US" w:eastAsia="zh-CN" w:bidi="ar-SA"/>
    </w:rPr>
  </w:style>
  <w:style w:type="character" w:customStyle="1" w:styleId="110">
    <w:name w:val="sub"/>
    <w:qFormat/>
    <w:uiPriority w:val="0"/>
  </w:style>
  <w:style w:type="character" w:customStyle="1" w:styleId="111">
    <w:name w:val="纯文本 Char1"/>
    <w:qFormat/>
    <w:uiPriority w:val="0"/>
    <w:rPr>
      <w:rFonts w:ascii="宋体" w:hAnsi="Courier New" w:eastAsia="宋体" w:cs="Times New Roman"/>
      <w:sz w:val="24"/>
      <w:szCs w:val="24"/>
    </w:rPr>
  </w:style>
  <w:style w:type="paragraph" w:customStyle="1" w:styleId="112">
    <w:name w:val="_Style 2"/>
    <w:basedOn w:val="1"/>
    <w:qFormat/>
    <w:uiPriority w:val="0"/>
    <w:pPr>
      <w:adjustRightInd w:val="0"/>
      <w:snapToGrid w:val="0"/>
      <w:ind w:firstLine="420"/>
    </w:pPr>
    <w:rPr>
      <w:rFonts w:ascii="Calibri" w:hAnsi="Calibri"/>
      <w:sz w:val="24"/>
    </w:rPr>
  </w:style>
  <w:style w:type="paragraph" w:customStyle="1" w:styleId="113">
    <w:name w:val="Char Char9 Char Char"/>
    <w:basedOn w:val="1"/>
    <w:qFormat/>
    <w:uiPriority w:val="0"/>
    <w:pPr>
      <w:tabs>
        <w:tab w:val="left" w:pos="360"/>
      </w:tabs>
    </w:pPr>
  </w:style>
  <w:style w:type="paragraph" w:customStyle="1" w:styleId="114">
    <w:name w:val="样式 正文1 + 段前: 0.1 行"/>
    <w:basedOn w:val="1"/>
    <w:qFormat/>
    <w:uiPriority w:val="0"/>
    <w:pPr>
      <w:snapToGrid w:val="0"/>
      <w:spacing w:beforeLines="10" w:line="440" w:lineRule="atLeast"/>
      <w:ind w:firstLine="510"/>
    </w:pPr>
    <w:rPr>
      <w:sz w:val="24"/>
    </w:rPr>
  </w:style>
  <w:style w:type="paragraph" w:customStyle="1" w:styleId="115">
    <w:name w:val="列表段落1"/>
    <w:basedOn w:val="1"/>
    <w:qFormat/>
    <w:uiPriority w:val="0"/>
    <w:pPr>
      <w:ind w:firstLine="420"/>
    </w:pPr>
    <w:rPr>
      <w:szCs w:val="21"/>
    </w:rPr>
  </w:style>
  <w:style w:type="paragraph" w:customStyle="1" w:styleId="116">
    <w:name w:val="列出段落1"/>
    <w:basedOn w:val="1"/>
    <w:link w:val="283"/>
    <w:qFormat/>
    <w:uiPriority w:val="0"/>
    <w:pPr>
      <w:ind w:firstLine="420"/>
    </w:pPr>
    <w:rPr>
      <w:rFonts w:ascii="Calibri" w:hAnsi="Calibri"/>
      <w:szCs w:val="20"/>
    </w:rPr>
  </w:style>
  <w:style w:type="paragraph" w:customStyle="1" w:styleId="117">
    <w:name w:val="Default"/>
    <w:unhideWhenUsed/>
    <w:qFormat/>
    <w:uiPriority w:val="0"/>
    <w:pPr>
      <w:widowControl w:val="0"/>
      <w:autoSpaceDE w:val="0"/>
      <w:autoSpaceDN w:val="0"/>
      <w:adjustRightInd w:val="0"/>
    </w:pPr>
    <w:rPr>
      <w:rFonts w:hint="eastAsia" w:ascii="仿宋" w:hAnsi="Times New Roman" w:eastAsia="仿宋" w:cs="Times New Roman"/>
      <w:color w:val="000000"/>
      <w:sz w:val="24"/>
      <w:lang w:val="en-US" w:eastAsia="zh-CN" w:bidi="ar-SA"/>
    </w:rPr>
  </w:style>
  <w:style w:type="paragraph" w:customStyle="1" w:styleId="118">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9">
    <w:name w:val="纯文本1"/>
    <w:basedOn w:val="1"/>
    <w:qFormat/>
    <w:uiPriority w:val="0"/>
    <w:pPr>
      <w:adjustRightInd w:val="0"/>
      <w:textAlignment w:val="baseline"/>
    </w:pPr>
    <w:rPr>
      <w:rFonts w:ascii="宋体" w:hAnsi="Courier New" w:eastAsia="楷体_GB2312"/>
      <w:sz w:val="26"/>
      <w:szCs w:val="20"/>
    </w:rPr>
  </w:style>
  <w:style w:type="paragraph" w:customStyle="1" w:styleId="120">
    <w:name w:val="默认段落字体 Para Char Char Char Char Char Char Char Char Char1 Char Char Char Char"/>
    <w:basedOn w:val="1"/>
    <w:qFormat/>
    <w:uiPriority w:val="0"/>
    <w:rPr>
      <w:rFonts w:ascii="Tahoma" w:hAnsi="Tahoma"/>
      <w:sz w:val="24"/>
      <w:szCs w:val="20"/>
    </w:rPr>
  </w:style>
  <w:style w:type="paragraph" w:customStyle="1" w:styleId="121">
    <w:name w:val="表内文字"/>
    <w:basedOn w:val="1"/>
    <w:qFormat/>
    <w:uiPriority w:val="0"/>
    <w:pPr>
      <w:jc w:val="center"/>
    </w:pPr>
    <w:rPr>
      <w:rFonts w:ascii="仿宋_GB2312" w:eastAsia="仿宋_GB2312"/>
      <w:sz w:val="24"/>
    </w:rPr>
  </w:style>
  <w:style w:type="paragraph" w:customStyle="1" w:styleId="122">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23">
    <w:name w:val="1 Char Char Char Char"/>
    <w:basedOn w:val="1"/>
    <w:qFormat/>
    <w:uiPriority w:val="0"/>
    <w:rPr>
      <w:rFonts w:ascii="Tahoma" w:hAnsi="Tahoma"/>
      <w:sz w:val="24"/>
      <w:szCs w:val="20"/>
    </w:rPr>
  </w:style>
  <w:style w:type="paragraph" w:customStyle="1" w:styleId="124">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125">
    <w:name w:val="Char Char Char Char Char Char Char"/>
    <w:basedOn w:val="1"/>
    <w:qFormat/>
    <w:uiPriority w:val="0"/>
    <w:rPr>
      <w:szCs w:val="21"/>
    </w:rPr>
  </w:style>
  <w:style w:type="paragraph" w:customStyle="1" w:styleId="126">
    <w:name w:val="TOC 标题1"/>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27">
    <w:name w:val="正文段"/>
    <w:basedOn w:val="1"/>
    <w:qFormat/>
    <w:uiPriority w:val="0"/>
    <w:pPr>
      <w:widowControl/>
      <w:snapToGrid w:val="0"/>
      <w:spacing w:afterLines="50"/>
      <w:ind w:firstLine="200"/>
    </w:pPr>
    <w:rPr>
      <w:kern w:val="0"/>
      <w:sz w:val="24"/>
      <w:szCs w:val="20"/>
    </w:rPr>
  </w:style>
  <w:style w:type="paragraph" w:customStyle="1" w:styleId="128">
    <w:name w:val="纯文本2"/>
    <w:basedOn w:val="1"/>
    <w:qFormat/>
    <w:uiPriority w:val="0"/>
    <w:pPr>
      <w:adjustRightInd w:val="0"/>
      <w:textAlignment w:val="baseline"/>
    </w:pPr>
    <w:rPr>
      <w:rFonts w:ascii="宋体" w:hAnsi="Courier New" w:eastAsia="楷体_GB2312"/>
      <w:sz w:val="26"/>
      <w:szCs w:val="20"/>
    </w:rPr>
  </w:style>
  <w:style w:type="paragraph" w:customStyle="1" w:styleId="129">
    <w:name w:val="默认段落字体 Para Char Char Char Char"/>
    <w:basedOn w:val="1"/>
    <w:qFormat/>
    <w:uiPriority w:val="0"/>
    <w:rPr>
      <w:rFonts w:ascii="Arial" w:hAnsi="Arial" w:cs="Arial"/>
      <w:szCs w:val="21"/>
    </w:rPr>
  </w:style>
  <w:style w:type="paragraph" w:customStyle="1" w:styleId="130">
    <w:name w:val="_Style 54"/>
    <w:basedOn w:val="1"/>
    <w:qFormat/>
    <w:uiPriority w:val="0"/>
    <w:pPr>
      <w:adjustRightInd w:val="0"/>
      <w:snapToGrid w:val="0"/>
      <w:ind w:firstLine="420"/>
    </w:pPr>
    <w:rPr>
      <w:rFonts w:ascii="Calibri" w:hAnsi="Calibri"/>
      <w:sz w:val="24"/>
    </w:rPr>
  </w:style>
  <w:style w:type="paragraph" w:customStyle="1" w:styleId="131">
    <w:name w:val="CM11"/>
    <w:basedOn w:val="117"/>
    <w:next w:val="117"/>
    <w:unhideWhenUsed/>
    <w:qFormat/>
    <w:uiPriority w:val="99"/>
    <w:pPr>
      <w:spacing w:line="520" w:lineRule="atLeast"/>
    </w:pPr>
  </w:style>
  <w:style w:type="paragraph" w:customStyle="1" w:styleId="132">
    <w:name w:val="WPSOffice手动目录 1"/>
    <w:qFormat/>
    <w:uiPriority w:val="0"/>
    <w:rPr>
      <w:rFonts w:ascii="Times New Roman" w:hAnsi="Times New Roman" w:eastAsia="宋体" w:cs="Times New Roman"/>
      <w:lang w:val="en-US" w:eastAsia="zh-CN" w:bidi="ar-SA"/>
    </w:rPr>
  </w:style>
  <w:style w:type="paragraph" w:customStyle="1" w:styleId="133">
    <w:name w:val="p16"/>
    <w:basedOn w:val="1"/>
    <w:qFormat/>
    <w:uiPriority w:val="0"/>
    <w:pPr>
      <w:widowControl/>
    </w:pPr>
    <w:rPr>
      <w:rFonts w:ascii="宋体" w:hAnsi="宋体" w:cs="宋体"/>
      <w:kern w:val="0"/>
      <w:sz w:val="27"/>
      <w:szCs w:val="27"/>
    </w:rPr>
  </w:style>
  <w:style w:type="paragraph" w:customStyle="1" w:styleId="134">
    <w:name w:val="CM13"/>
    <w:basedOn w:val="117"/>
    <w:next w:val="117"/>
    <w:unhideWhenUsed/>
    <w:qFormat/>
    <w:uiPriority w:val="99"/>
    <w:pPr>
      <w:spacing w:line="520" w:lineRule="atLeast"/>
    </w:pPr>
  </w:style>
  <w:style w:type="paragraph" w:customStyle="1" w:styleId="135">
    <w:name w:val="CM19"/>
    <w:basedOn w:val="117"/>
    <w:next w:val="117"/>
    <w:unhideWhenUsed/>
    <w:qFormat/>
    <w:uiPriority w:val="99"/>
  </w:style>
  <w:style w:type="character" w:customStyle="1" w:styleId="136">
    <w:name w:val="font01"/>
    <w:qFormat/>
    <w:uiPriority w:val="0"/>
    <w:rPr>
      <w:rFonts w:hint="eastAsia" w:ascii="宋体" w:hAnsi="宋体" w:eastAsia="宋体" w:cs="宋体"/>
      <w:color w:val="000000"/>
      <w:sz w:val="21"/>
      <w:szCs w:val="21"/>
      <w:u w:val="none"/>
      <w:vertAlign w:val="superscript"/>
    </w:rPr>
  </w:style>
  <w:style w:type="character" w:customStyle="1" w:styleId="137">
    <w:name w:val="font11"/>
    <w:qFormat/>
    <w:uiPriority w:val="0"/>
    <w:rPr>
      <w:rFonts w:hint="eastAsia" w:ascii="宋体" w:hAnsi="宋体" w:eastAsia="宋体" w:cs="宋体"/>
      <w:color w:val="000000"/>
      <w:sz w:val="21"/>
      <w:szCs w:val="21"/>
      <w:u w:val="none"/>
    </w:rPr>
  </w:style>
  <w:style w:type="paragraph" w:customStyle="1" w:styleId="138">
    <w:name w:val="--规划正文"/>
    <w:basedOn w:val="1"/>
    <w:qFormat/>
    <w:uiPriority w:val="0"/>
    <w:pPr>
      <w:widowControl/>
      <w:suppressAutoHyphens/>
      <w:ind w:firstLine="200"/>
    </w:pPr>
    <w:rPr>
      <w:kern w:val="1"/>
      <w:szCs w:val="20"/>
      <w:lang w:eastAsia="ar-SA"/>
    </w:rPr>
  </w:style>
  <w:style w:type="character" w:customStyle="1" w:styleId="139">
    <w:name w:val="正文首行缩进 2 Char"/>
    <w:link w:val="140"/>
    <w:qFormat/>
    <w:uiPriority w:val="0"/>
    <w:rPr>
      <w:rFonts w:ascii="宋体" w:hAnsi="Courier New"/>
      <w:spacing w:val="-4"/>
      <w:kern w:val="2"/>
      <w:sz w:val="24"/>
    </w:rPr>
  </w:style>
  <w:style w:type="paragraph" w:customStyle="1" w:styleId="140">
    <w:name w:val="正文首行缩进 21"/>
    <w:basedOn w:val="21"/>
    <w:link w:val="139"/>
    <w:unhideWhenUsed/>
    <w:qFormat/>
    <w:uiPriority w:val="0"/>
    <w:pPr>
      <w:spacing w:after="120" w:line="360" w:lineRule="auto"/>
      <w:ind w:left="420" w:leftChars="200" w:firstLine="420"/>
    </w:pPr>
    <w:rPr>
      <w:sz w:val="24"/>
    </w:rPr>
  </w:style>
  <w:style w:type="character" w:customStyle="1" w:styleId="141">
    <w:name w:val="正文首行缩进 2 Char1"/>
    <w:qFormat/>
    <w:uiPriority w:val="0"/>
    <w:rPr>
      <w:rFonts w:ascii="宋体" w:hAnsi="Courier New"/>
      <w:spacing w:val="-4"/>
      <w:kern w:val="2"/>
      <w:sz w:val="21"/>
      <w:szCs w:val="24"/>
    </w:rPr>
  </w:style>
  <w:style w:type="paragraph" w:customStyle="1" w:styleId="142">
    <w:name w:val="正文sl"/>
    <w:basedOn w:val="1"/>
    <w:qFormat/>
    <w:uiPriority w:val="0"/>
    <w:pPr>
      <w:ind w:firstLine="600"/>
    </w:pPr>
    <w:rPr>
      <w:rFonts w:ascii="仿宋_GB2312" w:eastAsia="仿宋_GB2312" w:cs="宋体"/>
      <w:sz w:val="30"/>
      <w:szCs w:val="20"/>
    </w:rPr>
  </w:style>
  <w:style w:type="paragraph" w:customStyle="1" w:styleId="143">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4">
    <w:name w:val="fontstyle01"/>
    <w:qFormat/>
    <w:uiPriority w:val="0"/>
    <w:rPr>
      <w:rFonts w:hint="eastAsia" w:ascii="宋体" w:hAnsi="宋体" w:eastAsia="宋体" w:cs="宋体"/>
      <w:color w:val="000000"/>
      <w:sz w:val="24"/>
      <w:szCs w:val="24"/>
    </w:rPr>
  </w:style>
  <w:style w:type="character" w:customStyle="1" w:styleId="145">
    <w:name w:val="inline-comment-marker"/>
    <w:basedOn w:val="57"/>
    <w:qFormat/>
    <w:uiPriority w:val="0"/>
  </w:style>
  <w:style w:type="paragraph" w:customStyle="1" w:styleId="146">
    <w:name w:val="列表段落11"/>
    <w:basedOn w:val="1"/>
    <w:qFormat/>
    <w:uiPriority w:val="34"/>
    <w:pPr>
      <w:widowControl/>
      <w:ind w:firstLine="420"/>
    </w:pPr>
    <w:rPr>
      <w:rFonts w:ascii="宋体" w:hAnsi="宋体" w:cs="宋体"/>
      <w:kern w:val="0"/>
      <w:sz w:val="24"/>
    </w:rPr>
  </w:style>
  <w:style w:type="character" w:customStyle="1" w:styleId="147">
    <w:name w:val="标题 5 字符"/>
    <w:basedOn w:val="57"/>
    <w:link w:val="8"/>
    <w:qFormat/>
    <w:uiPriority w:val="0"/>
    <w:rPr>
      <w:rFonts w:eastAsia="微软雅黑"/>
      <w:b/>
      <w:bCs/>
      <w:kern w:val="2"/>
      <w:sz w:val="21"/>
      <w:szCs w:val="28"/>
    </w:rPr>
  </w:style>
  <w:style w:type="character" w:customStyle="1" w:styleId="148">
    <w:name w:val="标题 6 字符"/>
    <w:basedOn w:val="57"/>
    <w:link w:val="9"/>
    <w:qFormat/>
    <w:uiPriority w:val="0"/>
    <w:rPr>
      <w:rFonts w:ascii="Arial" w:hAnsi="Arial" w:eastAsia="黑体"/>
      <w:b/>
      <w:bCs/>
      <w:kern w:val="2"/>
      <w:sz w:val="24"/>
    </w:rPr>
  </w:style>
  <w:style w:type="character" w:customStyle="1" w:styleId="149">
    <w:name w:val="标题 7 字符"/>
    <w:basedOn w:val="57"/>
    <w:link w:val="10"/>
    <w:qFormat/>
    <w:uiPriority w:val="0"/>
    <w:rPr>
      <w:rFonts w:ascii="宋体" w:eastAsia="仿宋_GB2312"/>
      <w:b/>
      <w:sz w:val="24"/>
    </w:rPr>
  </w:style>
  <w:style w:type="character" w:customStyle="1" w:styleId="150">
    <w:name w:val="标题 8 字符"/>
    <w:basedOn w:val="57"/>
    <w:link w:val="11"/>
    <w:qFormat/>
    <w:uiPriority w:val="0"/>
    <w:rPr>
      <w:rFonts w:ascii="Arial" w:hAnsi="Arial" w:eastAsia="黑体"/>
      <w:sz w:val="24"/>
    </w:rPr>
  </w:style>
  <w:style w:type="character" w:customStyle="1" w:styleId="151">
    <w:name w:val="标题 9 字符"/>
    <w:basedOn w:val="57"/>
    <w:link w:val="12"/>
    <w:qFormat/>
    <w:uiPriority w:val="0"/>
    <w:rPr>
      <w:rFonts w:ascii="Arial" w:hAnsi="Arial" w:eastAsia="黑体"/>
      <w:sz w:val="28"/>
    </w:rPr>
  </w:style>
  <w:style w:type="character" w:customStyle="1" w:styleId="152">
    <w:name w:val="标题 2 字符"/>
    <w:basedOn w:val="57"/>
    <w:link w:val="3"/>
    <w:qFormat/>
    <w:uiPriority w:val="9"/>
    <w:rPr>
      <w:rFonts w:ascii="仿宋_GB2312" w:hAnsi="仿宋_GB2312" w:eastAsia="微软雅黑"/>
      <w:b/>
      <w:sz w:val="21"/>
    </w:rPr>
  </w:style>
  <w:style w:type="character" w:customStyle="1" w:styleId="153">
    <w:name w:val="unnamed11"/>
    <w:qFormat/>
    <w:uiPriority w:val="0"/>
    <w:rPr>
      <w:sz w:val="20"/>
      <w:szCs w:val="20"/>
    </w:rPr>
  </w:style>
  <w:style w:type="character" w:customStyle="1" w:styleId="154">
    <w:name w:val="标题 1 Char Char"/>
    <w:qFormat/>
    <w:uiPriority w:val="0"/>
    <w:rPr>
      <w:rFonts w:eastAsia="宋体"/>
      <w:b/>
      <w:spacing w:val="-2"/>
      <w:sz w:val="24"/>
      <w:lang w:val="en-US" w:eastAsia="zh-CN" w:bidi="ar-SA"/>
    </w:rPr>
  </w:style>
  <w:style w:type="character" w:customStyle="1" w:styleId="155">
    <w:name w:val="line1"/>
    <w:qFormat/>
    <w:uiPriority w:val="0"/>
    <w:rPr>
      <w:u w:val="none"/>
    </w:rPr>
  </w:style>
  <w:style w:type="character" w:customStyle="1" w:styleId="156">
    <w:name w:val="point_normal1"/>
    <w:qFormat/>
    <w:uiPriority w:val="0"/>
    <w:rPr>
      <w:rFonts w:hint="default" w:ascii="Arial" w:hAnsi="Arial" w:cs="Arial"/>
      <w:sz w:val="18"/>
      <w:szCs w:val="18"/>
    </w:rPr>
  </w:style>
  <w:style w:type="character" w:customStyle="1" w:styleId="157">
    <w:name w:val="样式 小四"/>
    <w:qFormat/>
    <w:uiPriority w:val="0"/>
    <w:rPr>
      <w:sz w:val="21"/>
    </w:rPr>
  </w:style>
  <w:style w:type="character" w:customStyle="1" w:styleId="158">
    <w:name w:val="para"/>
    <w:basedOn w:val="57"/>
    <w:qFormat/>
    <w:uiPriority w:val="0"/>
  </w:style>
  <w:style w:type="character" w:customStyle="1" w:styleId="159">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160">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161">
    <w:name w:val="A C"/>
    <w:qFormat/>
    <w:uiPriority w:val="0"/>
    <w:rPr>
      <w:rFonts w:ascii="仿宋_GB2312"/>
      <w:bCs/>
      <w:iCs/>
      <w:sz w:val="24"/>
    </w:rPr>
  </w:style>
  <w:style w:type="character" w:customStyle="1" w:styleId="162">
    <w:name w:val="huide001"/>
    <w:qFormat/>
    <w:uiPriority w:val="0"/>
    <w:rPr>
      <w:rFonts w:hint="default" w:ascii="Arial" w:hAnsi="Arial" w:cs="Arial"/>
      <w:color w:val="666666"/>
      <w:sz w:val="18"/>
      <w:szCs w:val="18"/>
    </w:rPr>
  </w:style>
  <w:style w:type="character" w:customStyle="1" w:styleId="163">
    <w:name w:val="tw4winMark"/>
    <w:qFormat/>
    <w:uiPriority w:val="0"/>
    <w:rPr>
      <w:rFonts w:ascii="Courier New" w:hAnsi="Courier New"/>
      <w:vanish/>
      <w:color w:val="800080"/>
      <w:vertAlign w:val="subscript"/>
    </w:rPr>
  </w:style>
  <w:style w:type="character" w:customStyle="1" w:styleId="164">
    <w:name w:val="tw4winError"/>
    <w:qFormat/>
    <w:uiPriority w:val="0"/>
    <w:rPr>
      <w:rFonts w:ascii="Courier New" w:hAnsi="Courier New"/>
      <w:color w:val="00FF00"/>
      <w:sz w:val="40"/>
    </w:rPr>
  </w:style>
  <w:style w:type="character" w:customStyle="1" w:styleId="165">
    <w:name w:val="tw4winTerm"/>
    <w:qFormat/>
    <w:uiPriority w:val="0"/>
    <w:rPr>
      <w:color w:val="0000FF"/>
    </w:rPr>
  </w:style>
  <w:style w:type="character" w:customStyle="1" w:styleId="166">
    <w:name w:val="tw4winPopup"/>
    <w:qFormat/>
    <w:uiPriority w:val="0"/>
    <w:rPr>
      <w:rFonts w:ascii="Courier New" w:hAnsi="Courier New"/>
      <w:color w:val="008000"/>
    </w:rPr>
  </w:style>
  <w:style w:type="character" w:customStyle="1" w:styleId="167">
    <w:name w:val="tw4winJump"/>
    <w:qFormat/>
    <w:uiPriority w:val="0"/>
    <w:rPr>
      <w:rFonts w:ascii="Courier New" w:hAnsi="Courier New"/>
      <w:color w:val="008080"/>
    </w:rPr>
  </w:style>
  <w:style w:type="character" w:customStyle="1" w:styleId="168">
    <w:name w:val="tw4winExternal"/>
    <w:qFormat/>
    <w:uiPriority w:val="0"/>
    <w:rPr>
      <w:rFonts w:ascii="Courier New" w:hAnsi="Courier New"/>
      <w:color w:val="808080"/>
    </w:rPr>
  </w:style>
  <w:style w:type="character" w:customStyle="1" w:styleId="169">
    <w:name w:val="tw4winInternal"/>
    <w:qFormat/>
    <w:uiPriority w:val="0"/>
    <w:rPr>
      <w:rFonts w:ascii="Courier New" w:hAnsi="Courier New"/>
      <w:color w:val="FF0000"/>
    </w:rPr>
  </w:style>
  <w:style w:type="paragraph" w:customStyle="1" w:styleId="170">
    <w:name w:val="样式 样式 标题 4 + 段后: 0.5 行1"/>
    <w:basedOn w:val="171"/>
    <w:next w:val="33"/>
    <w:qFormat/>
    <w:uiPriority w:val="0"/>
    <w:pPr>
      <w:spacing w:after="120"/>
    </w:pPr>
  </w:style>
  <w:style w:type="paragraph" w:customStyle="1" w:styleId="171">
    <w:name w:val="样式 标题 4 + 段后: 0.5 行"/>
    <w:basedOn w:val="7"/>
    <w:qFormat/>
    <w:uiPriority w:val="0"/>
    <w:pPr>
      <w:keepLines w:val="0"/>
      <w:spacing w:before="120" w:afterLines="50" w:line="240" w:lineRule="auto"/>
    </w:pPr>
    <w:rPr>
      <w:rFonts w:ascii="宋体" w:hAnsi="Times New Roman" w:eastAsia="宋体" w:cs="宋体"/>
      <w:snapToGrid w:val="0"/>
      <w:kern w:val="0"/>
      <w:szCs w:val="20"/>
    </w:rPr>
  </w:style>
  <w:style w:type="paragraph" w:customStyle="1" w:styleId="172">
    <w:name w:val="Bullet1"/>
    <w:basedOn w:val="1"/>
    <w:qFormat/>
    <w:uiPriority w:val="0"/>
    <w:pPr>
      <w:spacing w:afterLines="50"/>
      <w:ind w:left="720" w:hanging="432"/>
    </w:pPr>
    <w:rPr>
      <w:rFonts w:ascii="宋体"/>
      <w:snapToGrid w:val="0"/>
      <w:kern w:val="0"/>
      <w:szCs w:val="20"/>
    </w:rPr>
  </w:style>
  <w:style w:type="paragraph" w:customStyle="1" w:styleId="173">
    <w:name w:val="font5"/>
    <w:basedOn w:val="1"/>
    <w:qFormat/>
    <w:uiPriority w:val="0"/>
    <w:pPr>
      <w:widowControl/>
      <w:spacing w:before="100" w:beforeAutospacing="1" w:after="100" w:afterAutospacing="1"/>
    </w:pPr>
    <w:rPr>
      <w:rFonts w:hint="eastAsia" w:ascii="宋体" w:hAnsi="宋体"/>
      <w:kern w:val="0"/>
      <w:sz w:val="18"/>
      <w:szCs w:val="18"/>
    </w:rPr>
  </w:style>
  <w:style w:type="paragraph" w:customStyle="1" w:styleId="174">
    <w:name w:val="标准标题1"/>
    <w:basedOn w:val="2"/>
    <w:qFormat/>
    <w:uiPriority w:val="0"/>
    <w:pPr>
      <w:pageBreakBefore/>
      <w:tabs>
        <w:tab w:val="left" w:pos="360"/>
        <w:tab w:val="left" w:pos="1080"/>
      </w:tabs>
      <w:ind w:left="425" w:hanging="425"/>
    </w:pPr>
    <w:rPr>
      <w:rFonts w:eastAsia="仿宋_GB2312"/>
      <w:sz w:val="32"/>
    </w:rPr>
  </w:style>
  <w:style w:type="character" w:customStyle="1" w:styleId="175">
    <w:name w:val="脚注文本 Char1"/>
    <w:basedOn w:val="57"/>
    <w:semiHidden/>
    <w:qFormat/>
    <w:uiPriority w:val="99"/>
    <w:rPr>
      <w:rFonts w:ascii="Times New Roman" w:hAnsi="Times New Roman" w:eastAsia="宋体" w:cs="Times New Roman"/>
      <w:sz w:val="18"/>
      <w:szCs w:val="18"/>
    </w:rPr>
  </w:style>
  <w:style w:type="paragraph" w:customStyle="1" w:styleId="176">
    <w:name w:val="样式 标题 2Chapter X.X. Statementh22Header 2l2Level 2 Headhea..."/>
    <w:basedOn w:val="3"/>
    <w:qFormat/>
    <w:uiPriority w:val="0"/>
    <w:pPr>
      <w:tabs>
        <w:tab w:val="left" w:pos="720"/>
      </w:tabs>
      <w:adjustRightInd/>
      <w:snapToGrid/>
      <w:spacing w:afterLines="50" w:line="240" w:lineRule="auto"/>
      <w:textAlignment w:val="auto"/>
    </w:pPr>
    <w:rPr>
      <w:rFonts w:ascii="宋体" w:eastAsia="宋体" w:cs="宋体"/>
      <w:snapToGrid w:val="0"/>
      <w:szCs w:val="24"/>
    </w:rPr>
  </w:style>
  <w:style w:type="paragraph" w:customStyle="1" w:styleId="177">
    <w:name w:val="此正文"/>
    <w:basedOn w:val="1"/>
    <w:qFormat/>
    <w:uiPriority w:val="0"/>
    <w:pPr>
      <w:ind w:firstLine="200"/>
    </w:pPr>
    <w:rPr>
      <w:sz w:val="24"/>
      <w:szCs w:val="20"/>
    </w:rPr>
  </w:style>
  <w:style w:type="paragraph" w:customStyle="1" w:styleId="178">
    <w:name w:val="样式 标题 3Chapter X.X.X"/>
    <w:basedOn w:val="179"/>
    <w:qFormat/>
    <w:uiPriority w:val="0"/>
    <w:pPr>
      <w:tabs>
        <w:tab w:val="left" w:pos="709"/>
      </w:tabs>
      <w:spacing w:after="120"/>
    </w:pPr>
  </w:style>
  <w:style w:type="paragraph" w:customStyle="1" w:styleId="179">
    <w:name w:val="标题 3Chapter X.X.X. + 段后: 0.5 行 + 段后: 0.5 行 + 段后: 0.5 行1"/>
    <w:basedOn w:val="180"/>
    <w:qFormat/>
    <w:uiPriority w:val="0"/>
    <w:pPr>
      <w:tabs>
        <w:tab w:val="left" w:pos="709"/>
      </w:tabs>
    </w:pPr>
  </w:style>
  <w:style w:type="paragraph" w:customStyle="1" w:styleId="180">
    <w:name w:val="样式 样式 标题 3Chapter X.X.X. + 段后: 0.5 行 + 段后: 0.5 行"/>
    <w:basedOn w:val="181"/>
    <w:qFormat/>
    <w:uiPriority w:val="0"/>
    <w:pPr>
      <w:tabs>
        <w:tab w:val="left" w:pos="709"/>
      </w:tabs>
    </w:pPr>
  </w:style>
  <w:style w:type="paragraph" w:customStyle="1" w:styleId="181">
    <w:name w:val="样式 标题 3Chapter X.X.X. + 段后: 0.5 行"/>
    <w:basedOn w:val="5"/>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character" w:customStyle="1" w:styleId="182">
    <w:name w:val="正文文本 Char1"/>
    <w:basedOn w:val="57"/>
    <w:semiHidden/>
    <w:qFormat/>
    <w:uiPriority w:val="99"/>
    <w:rPr>
      <w:rFonts w:ascii="Times New Roman" w:hAnsi="Times New Roman" w:eastAsia="宋体" w:cs="Times New Roman"/>
      <w:szCs w:val="20"/>
    </w:rPr>
  </w:style>
  <w:style w:type="character" w:customStyle="1" w:styleId="183">
    <w:name w:val="尾注文本 字符"/>
    <w:basedOn w:val="57"/>
    <w:link w:val="33"/>
    <w:semiHidden/>
    <w:qFormat/>
    <w:uiPriority w:val="0"/>
    <w:rPr>
      <w:rFonts w:ascii="宋体"/>
      <w:snapToGrid w:val="0"/>
      <w:sz w:val="21"/>
    </w:rPr>
  </w:style>
  <w:style w:type="paragraph" w:customStyle="1" w:styleId="184">
    <w:name w:val="样式 标题 2"/>
    <w:basedOn w:val="3"/>
    <w:next w:val="185"/>
    <w:qFormat/>
    <w:uiPriority w:val="0"/>
    <w:pPr>
      <w:tabs>
        <w:tab w:val="left" w:pos="720"/>
      </w:tabs>
      <w:adjustRightInd/>
      <w:snapToGrid/>
      <w:spacing w:afterLines="50" w:line="240" w:lineRule="auto"/>
      <w:ind w:left="380" w:hanging="380"/>
      <w:textAlignment w:val="auto"/>
    </w:pPr>
    <w:rPr>
      <w:rFonts w:ascii="宋体" w:eastAsia="宋体" w:cs="宋体"/>
      <w:snapToGrid w:val="0"/>
      <w:sz w:val="28"/>
    </w:rPr>
  </w:style>
  <w:style w:type="paragraph" w:customStyle="1" w:styleId="185">
    <w:name w:val="最新标题3"/>
    <w:basedOn w:val="186"/>
    <w:next w:val="187"/>
    <w:qFormat/>
    <w:uiPriority w:val="0"/>
    <w:pPr>
      <w:tabs>
        <w:tab w:val="left" w:pos="709"/>
      </w:tabs>
      <w:spacing w:after="120"/>
    </w:pPr>
  </w:style>
  <w:style w:type="paragraph" w:customStyle="1" w:styleId="186">
    <w:name w:val="样式 标题 3"/>
    <w:basedOn w:val="5"/>
    <w:next w:val="187"/>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87">
    <w:name w:val="最新标题4"/>
    <w:basedOn w:val="188"/>
    <w:next w:val="1"/>
    <w:qFormat/>
    <w:uiPriority w:val="0"/>
    <w:pPr>
      <w:tabs>
        <w:tab w:val="left" w:pos="2100"/>
      </w:tabs>
      <w:spacing w:after="120"/>
      <w:ind w:left="0" w:firstLine="0"/>
    </w:pPr>
  </w:style>
  <w:style w:type="paragraph" w:customStyle="1" w:styleId="188">
    <w:name w:val="样式 标题 4"/>
    <w:basedOn w:val="189"/>
    <w:next w:val="190"/>
    <w:qFormat/>
    <w:uiPriority w:val="0"/>
    <w:pPr>
      <w:tabs>
        <w:tab w:val="left" w:pos="2100"/>
      </w:tabs>
      <w:spacing w:after="50"/>
      <w:ind w:left="2100" w:hanging="420"/>
    </w:pPr>
  </w:style>
  <w:style w:type="paragraph" w:customStyle="1" w:styleId="189">
    <w:name w:val="样式 标题 4Chapter X.X.X.X. + 段后: 0.5 行1"/>
    <w:basedOn w:val="171"/>
    <w:qFormat/>
    <w:uiPriority w:val="0"/>
    <w:pPr>
      <w:spacing w:after="120"/>
    </w:pPr>
  </w:style>
  <w:style w:type="paragraph" w:customStyle="1" w:styleId="190">
    <w:name w:val="样式 正文"/>
    <w:basedOn w:val="1"/>
    <w:next w:val="1"/>
    <w:qFormat/>
    <w:uiPriority w:val="0"/>
    <w:pPr>
      <w:spacing w:afterLines="50"/>
    </w:pPr>
    <w:rPr>
      <w:rFonts w:ascii="宋体" w:cs="宋体"/>
      <w:snapToGrid w:val="0"/>
      <w:kern w:val="0"/>
      <w:szCs w:val="20"/>
    </w:rPr>
  </w:style>
  <w:style w:type="paragraph" w:customStyle="1" w:styleId="191">
    <w:name w:val="样式 标题 2Chapter X.X. Statementh22Header 2l2Level 2 Headhea...1"/>
    <w:basedOn w:val="5"/>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92">
    <w:name w:val="表格标题"/>
    <w:basedOn w:val="193"/>
    <w:qFormat/>
    <w:uiPriority w:val="0"/>
    <w:pPr>
      <w:jc w:val="center"/>
    </w:pPr>
    <w:rPr>
      <w:b/>
      <w:bCs/>
      <w:i/>
      <w:iCs/>
    </w:rPr>
  </w:style>
  <w:style w:type="paragraph" w:customStyle="1" w:styleId="193">
    <w:name w:val="表格内容"/>
    <w:basedOn w:val="19"/>
    <w:qFormat/>
    <w:uiPriority w:val="0"/>
    <w:pPr>
      <w:suppressLineNumbers/>
      <w:suppressAutoHyphens/>
    </w:pPr>
    <w:rPr>
      <w:rFonts w:asciiTheme="minorHAnsi" w:hAnsiTheme="minorHAnsi" w:eastAsiaTheme="minorEastAsia" w:cstheme="minorBidi"/>
      <w:kern w:val="1"/>
      <w:lang w:eastAsia="ar-SA"/>
    </w:rPr>
  </w:style>
  <w:style w:type="paragraph" w:customStyle="1" w:styleId="194">
    <w:name w:val="标准标题3"/>
    <w:basedOn w:val="5"/>
    <w:qFormat/>
    <w:uiPriority w:val="0"/>
    <w:pPr>
      <w:tabs>
        <w:tab w:val="left" w:pos="709"/>
        <w:tab w:val="left" w:pos="1050"/>
      </w:tabs>
      <w:spacing w:line="240" w:lineRule="auto"/>
      <w:ind w:left="-258" w:leftChars="-258" w:firstLine="0" w:firstLineChars="0"/>
    </w:pPr>
    <w:rPr>
      <w:rFonts w:ascii="Times New Roman"/>
      <w:sz w:val="28"/>
      <w:szCs w:val="32"/>
    </w:rPr>
  </w:style>
  <w:style w:type="paragraph" w:customStyle="1" w:styleId="195">
    <w:name w:val="paragraph1"/>
    <w:basedOn w:val="1"/>
    <w:qFormat/>
    <w:uiPriority w:val="0"/>
    <w:pPr>
      <w:spacing w:afterLines="30"/>
      <w:ind w:firstLine="420"/>
    </w:pPr>
    <w:rPr>
      <w:rFonts w:eastAsia="楷体_GB2312"/>
      <w:sz w:val="24"/>
      <w:szCs w:val="20"/>
    </w:rPr>
  </w:style>
  <w:style w:type="paragraph" w:customStyle="1" w:styleId="196">
    <w:name w:val="Char Char Char Char1 Char Char"/>
    <w:basedOn w:val="1"/>
    <w:qFormat/>
    <w:uiPriority w:val="0"/>
    <w:pPr>
      <w:widowControl/>
      <w:spacing w:after="160" w:line="240" w:lineRule="exact"/>
    </w:pPr>
    <w:rPr>
      <w:rFonts w:ascii="Verdana" w:hAnsi="Verdana"/>
      <w:kern w:val="0"/>
      <w:sz w:val="20"/>
      <w:szCs w:val="20"/>
      <w:lang w:eastAsia="en-US"/>
    </w:rPr>
  </w:style>
  <w:style w:type="paragraph" w:customStyle="1" w:styleId="197">
    <w:name w:val="最新标题2"/>
    <w:basedOn w:val="184"/>
    <w:next w:val="185"/>
    <w:qFormat/>
    <w:uiPriority w:val="0"/>
  </w:style>
  <w:style w:type="paragraph" w:customStyle="1" w:styleId="198">
    <w:name w:val="Paragraph2"/>
    <w:basedOn w:val="1"/>
    <w:qFormat/>
    <w:uiPriority w:val="0"/>
    <w:pPr>
      <w:spacing w:before="80" w:afterLines="50"/>
      <w:ind w:left="720"/>
    </w:pPr>
    <w:rPr>
      <w:rFonts w:ascii="宋体"/>
      <w:snapToGrid w:val="0"/>
      <w:color w:val="000000"/>
      <w:kern w:val="0"/>
      <w:szCs w:val="20"/>
      <w:lang w:val="en-AU"/>
    </w:rPr>
  </w:style>
  <w:style w:type="paragraph" w:customStyle="1" w:styleId="199">
    <w:name w:val="样式 样式 正文文本缩进 + 仿宋_GB2312 小四 首行缩进:  0 厘米 行距: 1.5 倍行距 + (中文) 仿宋_GB..."/>
    <w:basedOn w:val="200"/>
    <w:qFormat/>
    <w:uiPriority w:val="0"/>
    <w:pPr>
      <w:ind w:firstLine="480"/>
    </w:pPr>
  </w:style>
  <w:style w:type="paragraph" w:customStyle="1" w:styleId="200">
    <w:name w:val="样式 正文文本缩进 + 仿宋_GB2312 小四 首行缩进:  0 厘米 行距: 1.5 倍行距"/>
    <w:basedOn w:val="21"/>
    <w:qFormat/>
    <w:uiPriority w:val="0"/>
    <w:pPr>
      <w:spacing w:line="360" w:lineRule="auto"/>
      <w:ind w:firstLine="0"/>
    </w:pPr>
    <w:rPr>
      <w:rFonts w:ascii="仿宋_GB2312" w:hAnsi="Times New Roman" w:eastAsia="新宋体"/>
      <w:spacing w:val="0"/>
      <w:sz w:val="24"/>
    </w:rPr>
  </w:style>
  <w:style w:type="paragraph" w:customStyle="1" w:styleId="201">
    <w:name w:val="样式 标题 1 + 段后: 0.5 行"/>
    <w:basedOn w:val="2"/>
    <w:qFormat/>
    <w:uiPriority w:val="0"/>
    <w:pPr>
      <w:keepLines w:val="0"/>
      <w:tabs>
        <w:tab w:val="left" w:pos="360"/>
      </w:tabs>
      <w:spacing w:before="120" w:afterLines="50" w:line="240" w:lineRule="auto"/>
      <w:jc w:val="left"/>
    </w:pPr>
    <w:rPr>
      <w:rFonts w:ascii="宋体" w:cs="宋体"/>
      <w:snapToGrid w:val="0"/>
      <w:kern w:val="0"/>
      <w:sz w:val="28"/>
      <w:szCs w:val="20"/>
    </w:rPr>
  </w:style>
  <w:style w:type="paragraph" w:customStyle="1" w:styleId="202">
    <w:name w:val="Table - Text"/>
    <w:basedOn w:val="1"/>
    <w:qFormat/>
    <w:uiPriority w:val="0"/>
    <w:pPr>
      <w:widowControl/>
      <w:spacing w:before="60" w:afterLines="50"/>
    </w:pPr>
    <w:rPr>
      <w:kern w:val="0"/>
      <w:szCs w:val="20"/>
      <w:lang w:eastAsia="en-US"/>
    </w:rPr>
  </w:style>
  <w:style w:type="paragraph" w:customStyle="1" w:styleId="203">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204">
    <w:name w:val="沈标题四"/>
    <w:basedOn w:val="7"/>
    <w:next w:val="1"/>
    <w:qFormat/>
    <w:uiPriority w:val="0"/>
    <w:pPr>
      <w:keepNext w:val="0"/>
      <w:keepLines w:val="0"/>
      <w:spacing w:line="377" w:lineRule="auto"/>
    </w:pPr>
    <w:rPr>
      <w:rFonts w:ascii="Arial Narrow" w:hAnsi="Arial Narrow" w:eastAsia="方正姚体"/>
      <w:b w:val="0"/>
      <w:sz w:val="24"/>
      <w:szCs w:val="24"/>
    </w:rPr>
  </w:style>
  <w:style w:type="paragraph" w:customStyle="1" w:styleId="205">
    <w:name w:val="S4-L15"/>
    <w:basedOn w:val="1"/>
    <w:qFormat/>
    <w:uiPriority w:val="0"/>
    <w:pPr>
      <w:spacing w:after="120"/>
      <w:ind w:left="720" w:firstLine="392"/>
    </w:pPr>
    <w:rPr>
      <w:szCs w:val="21"/>
      <w:lang w:val="fr-FR"/>
    </w:rPr>
  </w:style>
  <w:style w:type="paragraph" w:customStyle="1" w:styleId="206">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207">
    <w:name w:val="样式 标题 4Chapter X.X.X. + 段后: 0.5 行1 + 段后: 0.5 行"/>
    <w:basedOn w:val="208"/>
    <w:qFormat/>
    <w:uiPriority w:val="0"/>
    <w:rPr>
      <w:szCs w:val="21"/>
    </w:rPr>
  </w:style>
  <w:style w:type="paragraph" w:customStyle="1" w:styleId="208">
    <w:name w:val="样式 标题 4Chapter X.X.X. + 段后: 0.5 行1"/>
    <w:basedOn w:val="7"/>
    <w:next w:val="7"/>
    <w:qFormat/>
    <w:uiPriority w:val="0"/>
    <w:pPr>
      <w:keepLines w:val="0"/>
      <w:spacing w:before="120" w:afterLines="50" w:line="240" w:lineRule="auto"/>
      <w:ind w:left="425" w:hanging="425"/>
    </w:pPr>
    <w:rPr>
      <w:rFonts w:ascii="宋体" w:hAnsi="Times New Roman" w:eastAsia="宋体" w:cs="宋体"/>
      <w:snapToGrid w:val="0"/>
      <w:kern w:val="0"/>
      <w:szCs w:val="20"/>
    </w:rPr>
  </w:style>
  <w:style w:type="paragraph" w:customStyle="1" w:styleId="209">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10">
    <w:name w:val="Table - Col. Head"/>
    <w:basedOn w:val="1"/>
    <w:qFormat/>
    <w:uiPriority w:val="0"/>
    <w:pPr>
      <w:keepNext/>
      <w:widowControl/>
      <w:spacing w:before="60" w:afterLines="50"/>
    </w:pPr>
    <w:rPr>
      <w:rFonts w:ascii="Arial" w:hAnsi="Arial"/>
      <w:b/>
      <w:kern w:val="0"/>
      <w:sz w:val="18"/>
      <w:szCs w:val="20"/>
      <w:lang w:eastAsia="en-US"/>
    </w:rPr>
  </w:style>
  <w:style w:type="paragraph" w:customStyle="1" w:styleId="211">
    <w:name w:val="Paragraph1"/>
    <w:basedOn w:val="1"/>
    <w:qFormat/>
    <w:uiPriority w:val="0"/>
    <w:pPr>
      <w:spacing w:before="80" w:afterLines="50"/>
    </w:pPr>
    <w:rPr>
      <w:rFonts w:ascii="宋体"/>
      <w:snapToGrid w:val="0"/>
      <w:kern w:val="0"/>
      <w:szCs w:val="20"/>
    </w:rPr>
  </w:style>
  <w:style w:type="character" w:customStyle="1" w:styleId="212">
    <w:name w:val="HTML 预设格式 字符"/>
    <w:basedOn w:val="57"/>
    <w:link w:val="47"/>
    <w:qFormat/>
    <w:uiPriority w:val="0"/>
    <w:rPr>
      <w:rFonts w:ascii="Arial" w:hAnsi="Arial" w:cs="Arial"/>
      <w:sz w:val="24"/>
      <w:szCs w:val="24"/>
    </w:rPr>
  </w:style>
  <w:style w:type="paragraph" w:customStyle="1" w:styleId="213">
    <w:name w:val="S4-L15-No"/>
    <w:basedOn w:val="205"/>
    <w:qFormat/>
    <w:uiPriority w:val="0"/>
    <w:pPr>
      <w:tabs>
        <w:tab w:val="left" w:pos="720"/>
      </w:tabs>
      <w:ind w:hanging="720"/>
    </w:pPr>
  </w:style>
  <w:style w:type="paragraph" w:customStyle="1" w:styleId="214">
    <w:name w:val="样式 样式 样式 标题 3Chapter X.X.X. + 段后: 0.5 行 + 段后: 0.5 行 + 段后: 0.5 行"/>
    <w:basedOn w:val="180"/>
    <w:qFormat/>
    <w:uiPriority w:val="0"/>
    <w:pPr>
      <w:spacing w:after="120"/>
    </w:pPr>
  </w:style>
  <w:style w:type="character" w:customStyle="1" w:styleId="215">
    <w:name w:val="正文文本首行缩进 字符"/>
    <w:basedOn w:val="69"/>
    <w:link w:val="20"/>
    <w:semiHidden/>
    <w:qFormat/>
    <w:uiPriority w:val="0"/>
    <w:rPr>
      <w:kern w:val="2"/>
      <w:sz w:val="21"/>
      <w:szCs w:val="24"/>
    </w:rPr>
  </w:style>
  <w:style w:type="paragraph" w:customStyle="1" w:styleId="216">
    <w:name w:val="Paragraph3"/>
    <w:basedOn w:val="1"/>
    <w:qFormat/>
    <w:uiPriority w:val="0"/>
    <w:pPr>
      <w:spacing w:before="80" w:afterLines="50"/>
      <w:ind w:left="1530"/>
    </w:pPr>
    <w:rPr>
      <w:rFonts w:ascii="宋体"/>
      <w:snapToGrid w:val="0"/>
      <w:kern w:val="0"/>
      <w:szCs w:val="20"/>
    </w:rPr>
  </w:style>
  <w:style w:type="character" w:customStyle="1" w:styleId="217">
    <w:name w:val="文档结构图 字符"/>
    <w:basedOn w:val="57"/>
    <w:link w:val="16"/>
    <w:semiHidden/>
    <w:qFormat/>
    <w:uiPriority w:val="0"/>
    <w:rPr>
      <w:kern w:val="2"/>
      <w:sz w:val="21"/>
      <w:szCs w:val="24"/>
      <w:shd w:val="clear" w:color="auto" w:fill="000080"/>
    </w:rPr>
  </w:style>
  <w:style w:type="paragraph" w:customStyle="1" w:styleId="21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9">
    <w:name w:val="样式 标题 3Chapter X.X.X. + 五号 段后: 0.5 行"/>
    <w:basedOn w:val="5"/>
    <w:qFormat/>
    <w:uiPriority w:val="0"/>
    <w:pPr>
      <w:keepLines w:val="0"/>
      <w:tabs>
        <w:tab w:val="left" w:pos="709"/>
      </w:tabs>
      <w:spacing w:before="120" w:afterLines="50" w:line="240" w:lineRule="auto"/>
      <w:ind w:firstLine="0" w:firstLineChars="0"/>
    </w:pPr>
    <w:rPr>
      <w:rFonts w:ascii="宋体" w:eastAsia="宋体" w:cs="宋体"/>
      <w:snapToGrid w:val="0"/>
      <w:kern w:val="0"/>
    </w:rPr>
  </w:style>
  <w:style w:type="paragraph" w:customStyle="1" w:styleId="220">
    <w:name w:val="huide00"/>
    <w:basedOn w:val="1"/>
    <w:qFormat/>
    <w:uiPriority w:val="0"/>
    <w:pPr>
      <w:widowControl/>
      <w:spacing w:before="100" w:beforeAutospacing="1" w:after="100" w:afterAutospacing="1"/>
    </w:pPr>
    <w:rPr>
      <w:rFonts w:ascii="Arial" w:hAnsi="Arial" w:eastAsia="Arial Unicode MS" w:cs="Arial"/>
      <w:color w:val="666666"/>
      <w:kern w:val="0"/>
      <w:sz w:val="18"/>
      <w:szCs w:val="18"/>
    </w:rPr>
  </w:style>
  <w:style w:type="paragraph" w:customStyle="1" w:styleId="221">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222">
    <w:name w:val="S4-I-L15-U"/>
    <w:basedOn w:val="1"/>
    <w:qFormat/>
    <w:uiPriority w:val="0"/>
    <w:rPr>
      <w:b/>
      <w:i/>
      <w:sz w:val="24"/>
      <w:u w:val="single"/>
    </w:rPr>
  </w:style>
  <w:style w:type="paragraph" w:customStyle="1" w:styleId="223">
    <w:name w:val="InfoBlue"/>
    <w:basedOn w:val="1"/>
    <w:next w:val="19"/>
    <w:qFormat/>
    <w:uiPriority w:val="0"/>
    <w:pPr>
      <w:spacing w:afterLines="50"/>
      <w:ind w:left="720"/>
    </w:pPr>
    <w:rPr>
      <w:rFonts w:ascii="宋体"/>
      <w:i/>
      <w:snapToGrid w:val="0"/>
      <w:color w:val="0000FF"/>
      <w:kern w:val="0"/>
      <w:szCs w:val="20"/>
    </w:rPr>
  </w:style>
  <w:style w:type="paragraph" w:customStyle="1" w:styleId="224">
    <w:name w:val="标准标题2"/>
    <w:basedOn w:val="3"/>
    <w:qFormat/>
    <w:uiPriority w:val="0"/>
    <w:pPr>
      <w:tabs>
        <w:tab w:val="left" w:pos="720"/>
      </w:tabs>
      <w:adjustRightInd/>
      <w:snapToGrid/>
      <w:spacing w:before="260" w:after="260"/>
      <w:jc w:val="both"/>
      <w:textAlignment w:val="auto"/>
    </w:pPr>
    <w:rPr>
      <w:rFonts w:ascii="Arial" w:hAnsi="Arial"/>
      <w:kern w:val="2"/>
      <w:sz w:val="28"/>
      <w:szCs w:val="32"/>
    </w:rPr>
  </w:style>
  <w:style w:type="paragraph" w:customStyle="1" w:styleId="225">
    <w:name w:val="样式 左侧:  1 厘米 段后: 0.5 行"/>
    <w:basedOn w:val="1"/>
    <w:qFormat/>
    <w:uiPriority w:val="0"/>
    <w:pPr>
      <w:spacing w:afterLines="50"/>
      <w:ind w:firstLine="425"/>
    </w:pPr>
    <w:rPr>
      <w:rFonts w:ascii="宋体" w:cs="宋体"/>
      <w:snapToGrid w:val="0"/>
      <w:kern w:val="0"/>
      <w:szCs w:val="20"/>
    </w:rPr>
  </w:style>
  <w:style w:type="paragraph" w:customStyle="1" w:styleId="226">
    <w:name w:val="Char Char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227">
    <w:name w:val="样式7"/>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28">
    <w:name w:val="样式 标题1"/>
    <w:basedOn w:val="201"/>
    <w:next w:val="197"/>
    <w:qFormat/>
    <w:uiPriority w:val="0"/>
    <w:pPr>
      <w:tabs>
        <w:tab w:val="left" w:pos="1140"/>
      </w:tabs>
      <w:spacing w:after="50"/>
      <w:ind w:left="1140" w:hanging="720"/>
    </w:pPr>
    <w:rPr>
      <w:bCs w:val="0"/>
      <w:sz w:val="32"/>
    </w:rPr>
  </w:style>
  <w:style w:type="paragraph" w:customStyle="1" w:styleId="229">
    <w:name w:val="Tabletext"/>
    <w:basedOn w:val="1"/>
    <w:qFormat/>
    <w:uiPriority w:val="0"/>
    <w:pPr>
      <w:keepLines/>
      <w:spacing w:afterLines="50"/>
    </w:pPr>
    <w:rPr>
      <w:rFonts w:ascii="宋体"/>
      <w:snapToGrid w:val="0"/>
      <w:kern w:val="0"/>
      <w:szCs w:val="20"/>
    </w:rPr>
  </w:style>
  <w:style w:type="paragraph" w:customStyle="1" w:styleId="230">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231">
    <w:name w:val="Bullet2"/>
    <w:basedOn w:val="1"/>
    <w:qFormat/>
    <w:uiPriority w:val="0"/>
    <w:pPr>
      <w:spacing w:afterLines="50"/>
      <w:ind w:left="1440" w:hanging="360"/>
    </w:pPr>
    <w:rPr>
      <w:rFonts w:ascii="宋体"/>
      <w:snapToGrid w:val="0"/>
      <w:color w:val="000080"/>
      <w:kern w:val="0"/>
      <w:szCs w:val="20"/>
    </w:rPr>
  </w:style>
  <w:style w:type="paragraph" w:customStyle="1" w:styleId="232">
    <w:name w:val="Item List"/>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233">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234">
    <w:name w:val="Bullet"/>
    <w:basedOn w:val="1"/>
    <w:qFormat/>
    <w:uiPriority w:val="0"/>
    <w:pPr>
      <w:widowControl/>
      <w:tabs>
        <w:tab w:val="left" w:pos="720"/>
        <w:tab w:val="left" w:pos="964"/>
      </w:tabs>
      <w:spacing w:before="120" w:afterLines="50"/>
      <w:ind w:left="720" w:right="360" w:hanging="482"/>
    </w:pPr>
    <w:rPr>
      <w:rFonts w:ascii="宋体"/>
      <w:snapToGrid w:val="0"/>
      <w:kern w:val="0"/>
      <w:szCs w:val="20"/>
    </w:rPr>
  </w:style>
  <w:style w:type="paragraph" w:customStyle="1" w:styleId="235">
    <w:name w:val="S4-L15-C"/>
    <w:basedOn w:val="1"/>
    <w:qFormat/>
    <w:uiPriority w:val="0"/>
    <w:pPr>
      <w:spacing w:after="120"/>
      <w:jc w:val="center"/>
    </w:pPr>
    <w:rPr>
      <w:szCs w:val="21"/>
    </w:rPr>
  </w:style>
  <w:style w:type="paragraph" w:customStyle="1" w:styleId="236">
    <w:name w:val="二级项目符号"/>
    <w:basedOn w:val="1"/>
    <w:qFormat/>
    <w:uiPriority w:val="0"/>
    <w:pPr>
      <w:widowControl/>
      <w:tabs>
        <w:tab w:val="left" w:pos="964"/>
      </w:tabs>
      <w:ind w:left="964" w:hanging="482"/>
    </w:pPr>
    <w:rPr>
      <w:kern w:val="0"/>
      <w:sz w:val="24"/>
      <w:szCs w:val="20"/>
    </w:rPr>
  </w:style>
  <w:style w:type="paragraph" w:customStyle="1" w:styleId="23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customStyle="1" w:styleId="238">
    <w:name w:val="页脚 Char1"/>
    <w:basedOn w:val="57"/>
    <w:semiHidden/>
    <w:qFormat/>
    <w:uiPriority w:val="99"/>
    <w:rPr>
      <w:rFonts w:ascii="Times New Roman" w:hAnsi="Times New Roman" w:eastAsia="宋体" w:cs="Times New Roman"/>
      <w:sz w:val="18"/>
      <w:szCs w:val="18"/>
    </w:rPr>
  </w:style>
  <w:style w:type="paragraph" w:customStyle="1" w:styleId="239">
    <w:name w:val="样式 样式 标题 4 + 段后: 0.5 行 + 段后: 0.5 行"/>
    <w:basedOn w:val="171"/>
    <w:qFormat/>
    <w:uiPriority w:val="0"/>
  </w:style>
  <w:style w:type="paragraph" w:customStyle="1" w:styleId="240">
    <w:name w:val="Main Title"/>
    <w:basedOn w:val="1"/>
    <w:qFormat/>
    <w:uiPriority w:val="0"/>
    <w:pPr>
      <w:spacing w:before="480" w:afterLines="50"/>
      <w:jc w:val="center"/>
    </w:pPr>
    <w:rPr>
      <w:rFonts w:ascii="宋体"/>
      <w:b/>
      <w:snapToGrid w:val="0"/>
      <w:kern w:val="28"/>
      <w:sz w:val="32"/>
      <w:szCs w:val="20"/>
    </w:rPr>
  </w:style>
  <w:style w:type="paragraph" w:customStyle="1" w:styleId="241">
    <w:name w:val="样式 样式 正文文本缩进 + 仿宋_GB2312 小四 首行缩进:  0 厘米 行距: 1.5 倍行距 + (中文) 仿宋_GB... Char Char"/>
    <w:basedOn w:val="200"/>
    <w:qFormat/>
    <w:uiPriority w:val="0"/>
    <w:pPr>
      <w:ind w:firstLine="480"/>
    </w:pPr>
  </w:style>
  <w:style w:type="paragraph" w:customStyle="1" w:styleId="242">
    <w:name w:val="标题1"/>
    <w:basedOn w:val="29"/>
    <w:qFormat/>
    <w:uiPriority w:val="0"/>
    <w:rPr>
      <w:rFonts w:cstheme="minorBidi"/>
      <w:b/>
      <w:sz w:val="30"/>
      <w:szCs w:val="22"/>
    </w:rPr>
  </w:style>
  <w:style w:type="paragraph" w:customStyle="1" w:styleId="243">
    <w:name w:val="样式 三号 加粗 段后: 0.5 行"/>
    <w:basedOn w:val="1"/>
    <w:qFormat/>
    <w:uiPriority w:val="0"/>
    <w:pPr>
      <w:spacing w:afterLines="50"/>
    </w:pPr>
    <w:rPr>
      <w:rFonts w:ascii="宋体" w:cs="宋体"/>
      <w:b/>
      <w:bCs/>
      <w:snapToGrid w:val="0"/>
      <w:kern w:val="0"/>
      <w:sz w:val="32"/>
      <w:szCs w:val="20"/>
    </w:rPr>
  </w:style>
  <w:style w:type="paragraph" w:customStyle="1" w:styleId="244">
    <w:name w:val="标准有序列表（L1）"/>
    <w:basedOn w:val="6"/>
    <w:qFormat/>
    <w:uiPriority w:val="0"/>
    <w:pPr>
      <w:tabs>
        <w:tab w:val="left" w:pos="0"/>
      </w:tabs>
      <w:ind w:firstLine="0"/>
    </w:pPr>
    <w:rPr>
      <w:rFonts w:ascii="黑体" w:eastAsia="黑体" w:hAnsiTheme="minorHAnsi" w:cstheme="minorBidi"/>
      <w:color w:val="000000"/>
      <w:sz w:val="24"/>
      <w:szCs w:val="22"/>
    </w:rPr>
  </w:style>
  <w:style w:type="paragraph" w:customStyle="1" w:styleId="245">
    <w:name w:val="IBM 正文"/>
    <w:basedOn w:val="1"/>
    <w:qFormat/>
    <w:uiPriority w:val="0"/>
    <w:pPr>
      <w:spacing w:line="360" w:lineRule="atLeast"/>
    </w:pPr>
    <w:rPr>
      <w:sz w:val="24"/>
      <w:szCs w:val="20"/>
    </w:rPr>
  </w:style>
  <w:style w:type="paragraph" w:customStyle="1" w:styleId="246">
    <w:name w:val="text"/>
    <w:basedOn w:val="1"/>
    <w:qFormat/>
    <w:uiPriority w:val="0"/>
    <w:pPr>
      <w:adjustRightInd w:val="0"/>
      <w:spacing w:before="120"/>
      <w:ind w:firstLine="425"/>
      <w:textAlignment w:val="baseline"/>
    </w:pPr>
    <w:rPr>
      <w:rFonts w:ascii="宋体" w:hAnsi="Arial" w:cs="Arial"/>
      <w:bCs/>
      <w:kern w:val="0"/>
      <w:sz w:val="26"/>
      <w:szCs w:val="32"/>
    </w:rPr>
  </w:style>
  <w:style w:type="paragraph" w:customStyle="1" w:styleId="247">
    <w:name w:val="S4-I-U-L15-No-dot"/>
    <w:basedOn w:val="1"/>
    <w:qFormat/>
    <w:uiPriority w:val="0"/>
    <w:pPr>
      <w:tabs>
        <w:tab w:val="left" w:pos="1112"/>
      </w:tabs>
      <w:spacing w:after="120"/>
      <w:ind w:left="1112" w:hanging="420"/>
    </w:pPr>
    <w:rPr>
      <w:i/>
      <w:sz w:val="24"/>
      <w:u w:val="single"/>
    </w:rPr>
  </w:style>
  <w:style w:type="paragraph" w:customStyle="1" w:styleId="248">
    <w:name w:val="Paragraph4"/>
    <w:basedOn w:val="1"/>
    <w:qFormat/>
    <w:uiPriority w:val="0"/>
    <w:pPr>
      <w:spacing w:before="80" w:afterLines="50"/>
      <w:ind w:left="2250"/>
    </w:pPr>
    <w:rPr>
      <w:rFonts w:ascii="宋体"/>
      <w:snapToGrid w:val="0"/>
      <w:kern w:val="0"/>
      <w:szCs w:val="20"/>
    </w:rPr>
  </w:style>
  <w:style w:type="paragraph" w:customStyle="1" w:styleId="249">
    <w:name w:val="样式 标题 1 + 五号1 Char Char Char Char Char Char Char Char Char Char Char Char Char Char Char Char Char"/>
    <w:basedOn w:val="2"/>
    <w:qFormat/>
    <w:uiPriority w:val="0"/>
    <w:pPr>
      <w:tabs>
        <w:tab w:val="left" w:pos="360"/>
      </w:tabs>
      <w:spacing w:line="480" w:lineRule="auto"/>
    </w:pPr>
    <w:rPr>
      <w:sz w:val="21"/>
    </w:rPr>
  </w:style>
  <w:style w:type="paragraph" w:customStyle="1" w:styleId="250">
    <w:name w:val="样式 标题 3Chapter X.X.X. + 段后: 0.5 行1"/>
    <w:basedOn w:val="5"/>
    <w:next w:val="1"/>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251">
    <w:name w:val="Body"/>
    <w:basedOn w:val="1"/>
    <w:qFormat/>
    <w:uiPriority w:val="0"/>
    <w:pPr>
      <w:widowControl/>
      <w:spacing w:before="120" w:afterLines="50"/>
    </w:pPr>
    <w:rPr>
      <w:rFonts w:ascii="宋体"/>
      <w:snapToGrid w:val="0"/>
      <w:kern w:val="0"/>
      <w:szCs w:val="20"/>
    </w:rPr>
  </w:style>
  <w:style w:type="paragraph" w:customStyle="1" w:styleId="252">
    <w:name w:val="Proposals body"/>
    <w:basedOn w:val="1"/>
    <w:next w:val="1"/>
    <w:qFormat/>
    <w:uiPriority w:val="0"/>
    <w:pPr>
      <w:widowControl/>
    </w:pPr>
    <w:rPr>
      <w:rFonts w:ascii="宋体"/>
      <w:snapToGrid w:val="0"/>
      <w:color w:val="000000"/>
      <w:kern w:val="0"/>
      <w:sz w:val="24"/>
      <w:szCs w:val="20"/>
    </w:rPr>
  </w:style>
  <w:style w:type="paragraph" w:customStyle="1" w:styleId="253">
    <w:name w:val="章正文"/>
    <w:basedOn w:val="1"/>
    <w:qFormat/>
    <w:uiPriority w:val="0"/>
    <w:pPr>
      <w:spacing w:beforeLines="50" w:after="120" w:line="300" w:lineRule="auto"/>
    </w:pPr>
    <w:rPr>
      <w:rFonts w:ascii="Helvetica" w:hAnsi="Helvetica"/>
      <w:kern w:val="0"/>
      <w:sz w:val="24"/>
    </w:rPr>
  </w:style>
  <w:style w:type="paragraph" w:customStyle="1" w:styleId="254">
    <w:name w:val="样式 样式3 + 宋体 五号 Char Char Char"/>
    <w:basedOn w:val="1"/>
    <w:qFormat/>
    <w:uiPriority w:val="0"/>
    <w:pPr>
      <w:keepNext/>
      <w:keepLines/>
      <w:tabs>
        <w:tab w:val="left" w:pos="1050"/>
      </w:tabs>
      <w:ind w:left="1050" w:hanging="450"/>
      <w:outlineLvl w:val="7"/>
    </w:pPr>
    <w:rPr>
      <w:rFonts w:ascii="宋体" w:hAnsi="宋体"/>
      <w:b/>
      <w:bCs/>
    </w:rPr>
  </w:style>
  <w:style w:type="paragraph" w:customStyle="1" w:styleId="255">
    <w:name w:val="样式 标题 2 + 五号"/>
    <w:basedOn w:val="3"/>
    <w:qFormat/>
    <w:uiPriority w:val="0"/>
    <w:pPr>
      <w:tabs>
        <w:tab w:val="left" w:pos="720"/>
      </w:tabs>
      <w:adjustRightInd/>
      <w:snapToGrid/>
      <w:spacing w:line="240" w:lineRule="auto"/>
      <w:jc w:val="both"/>
      <w:textAlignment w:val="auto"/>
    </w:pPr>
    <w:rPr>
      <w:rFonts w:ascii="宋体" w:hAnsi="宋体" w:eastAsia="宋体"/>
      <w:kern w:val="2"/>
      <w:szCs w:val="32"/>
    </w:rPr>
  </w:style>
  <w:style w:type="paragraph" w:customStyle="1" w:styleId="256">
    <w:name w:val="样式 标题 1 + 五号"/>
    <w:basedOn w:val="2"/>
    <w:qFormat/>
    <w:uiPriority w:val="0"/>
    <w:pPr>
      <w:tabs>
        <w:tab w:val="left" w:pos="360"/>
      </w:tabs>
      <w:spacing w:line="240" w:lineRule="auto"/>
    </w:pPr>
    <w:rPr>
      <w:sz w:val="32"/>
      <w:szCs w:val="32"/>
    </w:rPr>
  </w:style>
  <w:style w:type="paragraph" w:customStyle="1" w:styleId="257">
    <w:name w:val="文本框内文字"/>
    <w:basedOn w:val="1"/>
    <w:qFormat/>
    <w:uiPriority w:val="0"/>
    <w:pPr>
      <w:spacing w:line="0" w:lineRule="atLeast"/>
    </w:pPr>
    <w:rPr>
      <w:rFonts w:eastAsia="仿宋_GB2312"/>
      <w:sz w:val="22"/>
    </w:rPr>
  </w:style>
  <w:style w:type="paragraph" w:customStyle="1" w:styleId="258">
    <w:name w:val="P1"/>
    <w:basedOn w:val="1"/>
    <w:qFormat/>
    <w:uiPriority w:val="0"/>
    <w:pPr>
      <w:widowControl/>
      <w:spacing w:before="240" w:line="240" w:lineRule="atLeast"/>
    </w:pPr>
    <w:rPr>
      <w:b/>
      <w:kern w:val="0"/>
      <w:szCs w:val="21"/>
      <w:lang w:val="en-AU" w:eastAsia="en-US"/>
    </w:rPr>
  </w:style>
  <w:style w:type="paragraph" w:customStyle="1" w:styleId="259">
    <w:name w:val="最新标题1"/>
    <w:basedOn w:val="228"/>
    <w:next w:val="197"/>
    <w:qFormat/>
    <w:uiPriority w:val="0"/>
    <w:pPr>
      <w:spacing w:after="120"/>
    </w:pPr>
    <w:rPr>
      <w:bCs/>
    </w:rPr>
  </w:style>
  <w:style w:type="paragraph" w:customStyle="1" w:styleId="260">
    <w:name w:val="P2"/>
    <w:basedOn w:val="1"/>
    <w:qFormat/>
    <w:uiPriority w:val="0"/>
    <w:pPr>
      <w:widowControl/>
      <w:spacing w:before="240" w:line="240" w:lineRule="atLeast"/>
      <w:ind w:left="578"/>
    </w:pPr>
    <w:rPr>
      <w:b/>
      <w:kern w:val="0"/>
      <w:szCs w:val="21"/>
      <w:lang w:val="en-AU" w:eastAsia="en-US"/>
    </w:rPr>
  </w:style>
  <w:style w:type="paragraph" w:customStyle="1" w:styleId="261">
    <w:name w:val="Style-正文"/>
    <w:basedOn w:val="1"/>
    <w:qFormat/>
    <w:uiPriority w:val="0"/>
    <w:pPr>
      <w:ind w:firstLine="420"/>
    </w:pPr>
    <w:rPr>
      <w:rFonts w:ascii="宋体" w:hAnsi="宋体"/>
      <w:sz w:val="24"/>
    </w:rPr>
  </w:style>
  <w:style w:type="paragraph" w:customStyle="1" w:styleId="262">
    <w:name w:val="P3"/>
    <w:basedOn w:val="1"/>
    <w:qFormat/>
    <w:uiPriority w:val="0"/>
    <w:pPr>
      <w:widowControl/>
      <w:spacing w:before="240" w:line="240" w:lineRule="atLeast"/>
      <w:ind w:left="1152"/>
    </w:pPr>
    <w:rPr>
      <w:b/>
      <w:kern w:val="0"/>
      <w:szCs w:val="21"/>
      <w:lang w:val="en-AU" w:eastAsia="en-US"/>
    </w:rPr>
  </w:style>
  <w:style w:type="paragraph" w:customStyle="1" w:styleId="263">
    <w:name w:val="Plain Text1"/>
    <w:basedOn w:val="1"/>
    <w:qFormat/>
    <w:uiPriority w:val="0"/>
    <w:pPr>
      <w:autoSpaceDE w:val="0"/>
      <w:autoSpaceDN w:val="0"/>
      <w:adjustRightInd w:val="0"/>
    </w:pPr>
    <w:rPr>
      <w:rFonts w:hint="eastAsia" w:ascii="宋体" w:hAnsi="宋体"/>
      <w:sz w:val="24"/>
      <w:szCs w:val="20"/>
    </w:rPr>
  </w:style>
  <w:style w:type="paragraph" w:customStyle="1" w:styleId="264">
    <w:name w:val="样式　标题4"/>
    <w:basedOn w:val="208"/>
    <w:next w:val="1"/>
    <w:qFormat/>
    <w:uiPriority w:val="0"/>
  </w:style>
  <w:style w:type="paragraph" w:customStyle="1" w:styleId="265">
    <w:name w:val="Blockquote"/>
    <w:basedOn w:val="1"/>
    <w:qFormat/>
    <w:uiPriority w:val="0"/>
    <w:pPr>
      <w:widowControl/>
      <w:spacing w:before="100" w:afterLines="50"/>
      <w:ind w:left="360" w:right="360"/>
    </w:pPr>
    <w:rPr>
      <w:rFonts w:ascii="宋体"/>
      <w:snapToGrid w:val="0"/>
      <w:kern w:val="0"/>
      <w:sz w:val="24"/>
      <w:szCs w:val="20"/>
      <w:lang w:val="en-CA"/>
    </w:rPr>
  </w:style>
  <w:style w:type="paragraph" w:customStyle="1" w:styleId="266">
    <w:name w:val="样式 模板描述"/>
    <w:basedOn w:val="1"/>
    <w:next w:val="190"/>
    <w:qFormat/>
    <w:uiPriority w:val="0"/>
    <w:pPr>
      <w:spacing w:afterLines="50"/>
    </w:pPr>
    <w:rPr>
      <w:rFonts w:ascii="宋体" w:cs="宋体"/>
      <w:i/>
      <w:iCs/>
      <w:snapToGrid w:val="0"/>
      <w:color w:val="0000FF"/>
      <w:kern w:val="0"/>
      <w:szCs w:val="21"/>
    </w:rPr>
  </w:style>
  <w:style w:type="paragraph" w:customStyle="1" w:styleId="267">
    <w:name w:val="Char Char3 Char Char Char Char"/>
    <w:basedOn w:val="1"/>
    <w:qFormat/>
    <w:uiPriority w:val="0"/>
    <w:pPr>
      <w:widowControl/>
      <w:spacing w:after="160"/>
    </w:pPr>
    <w:rPr>
      <w:rFonts w:ascii="Verdana" w:hAnsi="Verdana"/>
      <w:kern w:val="0"/>
      <w:sz w:val="24"/>
      <w:szCs w:val="20"/>
      <w:lang w:eastAsia="en-US"/>
    </w:rPr>
  </w:style>
  <w:style w:type="paragraph" w:customStyle="1" w:styleId="268">
    <w:name w:val="样式2"/>
    <w:basedOn w:val="3"/>
    <w:qFormat/>
    <w:uiPriority w:val="0"/>
    <w:pPr>
      <w:tabs>
        <w:tab w:val="left" w:pos="600"/>
        <w:tab w:val="left" w:pos="720"/>
      </w:tabs>
      <w:adjustRightInd/>
      <w:snapToGrid/>
      <w:spacing w:before="260" w:after="260" w:line="416" w:lineRule="auto"/>
      <w:ind w:left="600" w:hanging="600"/>
      <w:jc w:val="both"/>
      <w:textAlignment w:val="auto"/>
    </w:pPr>
    <w:rPr>
      <w:rFonts w:ascii="Arial" w:hAnsi="Arial" w:eastAsia="宋体"/>
      <w:kern w:val="2"/>
      <w:sz w:val="32"/>
      <w:szCs w:val="32"/>
    </w:rPr>
  </w:style>
  <w:style w:type="paragraph" w:customStyle="1" w:styleId="269">
    <w:name w:val="S4-B-L15"/>
    <w:basedOn w:val="1"/>
    <w:qFormat/>
    <w:uiPriority w:val="0"/>
    <w:rPr>
      <w:b/>
      <w:bCs/>
      <w:sz w:val="24"/>
    </w:rPr>
  </w:style>
  <w:style w:type="paragraph" w:customStyle="1" w:styleId="270">
    <w:name w:val="样式 标题 3(A-3)sect1.2.3h3H3level_3PIM 3Level 3 HeadHeading..."/>
    <w:basedOn w:val="5"/>
    <w:qFormat/>
    <w:uiPriority w:val="0"/>
    <w:pPr>
      <w:tabs>
        <w:tab w:val="left" w:pos="709"/>
      </w:tabs>
      <w:spacing w:line="416" w:lineRule="auto"/>
      <w:ind w:firstLine="0" w:firstLineChars="0"/>
    </w:pPr>
    <w:rPr>
      <w:rFonts w:ascii="Arial" w:hAnsi="Arial" w:eastAsia="宋体"/>
      <w:szCs w:val="32"/>
    </w:rPr>
  </w:style>
  <w:style w:type="paragraph" w:customStyle="1" w:styleId="271">
    <w:name w:val="Char Char2"/>
    <w:basedOn w:val="1"/>
    <w:qFormat/>
    <w:uiPriority w:val="0"/>
    <w:rPr>
      <w:rFonts w:ascii="仿宋_GB2312" w:eastAsia="仿宋_GB2312"/>
      <w:b/>
      <w:sz w:val="32"/>
      <w:szCs w:val="32"/>
    </w:rPr>
  </w:style>
  <w:style w:type="paragraph" w:customStyle="1" w:styleId="272">
    <w:name w:val="p0"/>
    <w:basedOn w:val="1"/>
    <w:qFormat/>
    <w:uiPriority w:val="0"/>
    <w:pPr>
      <w:widowControl/>
    </w:pPr>
    <w:rPr>
      <w:kern w:val="0"/>
      <w:szCs w:val="21"/>
    </w:rPr>
  </w:style>
  <w:style w:type="table" w:customStyle="1" w:styleId="273">
    <w:name w:val="网格表 4 - 着色 11"/>
    <w:basedOn w:val="53"/>
    <w:qFormat/>
    <w:uiPriority w:val="49"/>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274">
    <w:name w:val="font21"/>
    <w:qFormat/>
    <w:uiPriority w:val="0"/>
    <w:rPr>
      <w:rFonts w:hint="eastAsia" w:ascii="宋体" w:hAnsi="宋体" w:eastAsia="宋体" w:cs="宋体"/>
      <w:color w:val="000000"/>
      <w:sz w:val="24"/>
      <w:szCs w:val="24"/>
      <w:u w:val="none"/>
    </w:rPr>
  </w:style>
  <w:style w:type="paragraph" w:customStyle="1" w:styleId="275">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76">
    <w:name w:val="List Paragraph1"/>
    <w:basedOn w:val="1"/>
    <w:qFormat/>
    <w:uiPriority w:val="99"/>
    <w:pPr>
      <w:spacing w:line="240" w:lineRule="auto"/>
      <w:ind w:firstLine="420"/>
      <w:jc w:val="both"/>
    </w:pPr>
    <w:rPr>
      <w:rFonts w:ascii="Calibri" w:hAnsi="Calibri" w:eastAsia="宋体" w:cs="宋体"/>
      <w:szCs w:val="21"/>
    </w:rPr>
  </w:style>
  <w:style w:type="character" w:customStyle="1" w:styleId="277">
    <w:name w:val="NormalCharacter"/>
    <w:qFormat/>
    <w:uiPriority w:val="0"/>
  </w:style>
  <w:style w:type="character" w:customStyle="1" w:styleId="278">
    <w:name w:val="标题 Char3"/>
    <w:qFormat/>
    <w:uiPriority w:val="0"/>
    <w:rPr>
      <w:rFonts w:ascii="Cambria" w:hAnsi="Cambria" w:eastAsia="宋体"/>
      <w:b/>
      <w:bCs/>
      <w:kern w:val="2"/>
      <w:sz w:val="32"/>
      <w:szCs w:val="32"/>
      <w:lang w:bidi="ar-SA"/>
    </w:rPr>
  </w:style>
  <w:style w:type="character" w:customStyle="1" w:styleId="279">
    <w:name w:val="正文缩进 Char2"/>
    <w:qFormat/>
    <w:uiPriority w:val="0"/>
  </w:style>
  <w:style w:type="paragraph" w:customStyle="1" w:styleId="280">
    <w:name w:val="样式 加粗 段前: 7.8 磅 段后: 7.8 磅 行距: 固定值 20 磅"/>
    <w:basedOn w:val="1"/>
    <w:qFormat/>
    <w:uiPriority w:val="0"/>
    <w:pPr>
      <w:spacing w:before="60" w:after="60" w:line="360" w:lineRule="exact"/>
      <w:ind w:firstLine="0" w:firstLineChars="0"/>
      <w:jc w:val="both"/>
    </w:pPr>
    <w:rPr>
      <w:rFonts w:eastAsia="宋体" w:cs="宋体"/>
      <w:b/>
      <w:bCs/>
      <w:spacing w:val="-2"/>
      <w:sz w:val="24"/>
      <w:szCs w:val="20"/>
    </w:rPr>
  </w:style>
  <w:style w:type="character" w:customStyle="1" w:styleId="281">
    <w:name w:val="未处理的提及1"/>
    <w:basedOn w:val="57"/>
    <w:semiHidden/>
    <w:unhideWhenUsed/>
    <w:qFormat/>
    <w:uiPriority w:val="99"/>
    <w:rPr>
      <w:color w:val="605E5C"/>
      <w:shd w:val="clear" w:color="auto" w:fill="E1DFDD"/>
    </w:rPr>
  </w:style>
  <w:style w:type="character" w:customStyle="1" w:styleId="282">
    <w:name w:val="纯文本 字符2"/>
    <w:qFormat/>
    <w:uiPriority w:val="0"/>
    <w:rPr>
      <w:rFonts w:ascii="宋体" w:hAnsi="Courier New" w:eastAsia="宋体" w:cs="Times New Roman"/>
      <w:kern w:val="2"/>
      <w:sz w:val="24"/>
      <w:szCs w:val="24"/>
      <w:lang w:val="en-US" w:eastAsia="zh-CN" w:bidi="ar-SA"/>
    </w:rPr>
  </w:style>
  <w:style w:type="character" w:customStyle="1" w:styleId="283">
    <w:name w:val="List Paragraph Char"/>
    <w:link w:val="116"/>
    <w:qFormat/>
    <w:uiPriority w:val="0"/>
    <w:rPr>
      <w:rFonts w:ascii="Calibri" w:hAnsi="Calibri" w:eastAsia="微软雅黑"/>
      <w:kern w:val="2"/>
      <w:sz w:val="21"/>
    </w:rPr>
  </w:style>
  <w:style w:type="character" w:customStyle="1" w:styleId="284">
    <w:name w:val="正文文本缩进 字符1"/>
    <w:qFormat/>
    <w:uiPriority w:val="0"/>
    <w:rPr>
      <w:rFonts w:ascii="宋体" w:hAnsi="Courier New"/>
      <w:spacing w:val="-4"/>
      <w:kern w:val="2"/>
      <w:sz w:val="18"/>
    </w:rPr>
  </w:style>
  <w:style w:type="paragraph" w:customStyle="1" w:styleId="285">
    <w:name w:val="清單段落"/>
    <w:basedOn w:val="1"/>
    <w:qFormat/>
    <w:uiPriority w:val="0"/>
    <w:pPr>
      <w:spacing w:line="240" w:lineRule="auto"/>
      <w:ind w:left="480" w:leftChars="200" w:firstLine="0" w:firstLineChars="0"/>
      <w:jc w:val="both"/>
    </w:pPr>
    <w:rPr>
      <w:rFonts w:eastAsia="宋体"/>
    </w:rPr>
  </w:style>
  <w:style w:type="character" w:customStyle="1" w:styleId="286">
    <w:name w:val="未处理的提及2"/>
    <w:basedOn w:val="57"/>
    <w:semiHidden/>
    <w:unhideWhenUsed/>
    <w:qFormat/>
    <w:uiPriority w:val="99"/>
    <w:rPr>
      <w:color w:val="605E5C"/>
      <w:shd w:val="clear" w:color="auto" w:fill="E1DFDD"/>
    </w:rPr>
  </w:style>
  <w:style w:type="character" w:customStyle="1" w:styleId="287">
    <w:name w:val="正文文本首行缩进 2 字符"/>
    <w:basedOn w:val="74"/>
    <w:link w:val="52"/>
    <w:semiHidden/>
    <w:qFormat/>
    <w:uiPriority w:val="0"/>
    <w:rPr>
      <w:rFonts w:ascii="宋体" w:hAnsi="Courier New" w:eastAsia="微软雅黑"/>
      <w:spacing w:val="-4"/>
      <w:kern w:val="2"/>
      <w:sz w:val="21"/>
      <w:szCs w:val="24"/>
    </w:rPr>
  </w:style>
  <w:style w:type="character" w:customStyle="1" w:styleId="288">
    <w:name w:val="标书正文 Char"/>
    <w:qFormat/>
    <w:uiPriority w:val="0"/>
    <w:rPr>
      <w:rFonts w:ascii="宋体" w:hAnsi="宋体" w:eastAsia="宋体" w:cs="Times New Roman"/>
      <w:kern w:val="0"/>
      <w:sz w:val="24"/>
      <w:szCs w:val="20"/>
    </w:rPr>
  </w:style>
  <w:style w:type="character" w:customStyle="1" w:styleId="289">
    <w:name w:val="未处理的提及3"/>
    <w:basedOn w:val="57"/>
    <w:semiHidden/>
    <w:unhideWhenUsed/>
    <w:qFormat/>
    <w:uiPriority w:val="99"/>
    <w:rPr>
      <w:color w:val="605E5C"/>
      <w:shd w:val="clear" w:color="auto" w:fill="E1DFDD"/>
    </w:rPr>
  </w:style>
  <w:style w:type="paragraph" w:customStyle="1" w:styleId="290">
    <w:name w:val="正文2"/>
    <w:basedOn w:val="1"/>
    <w:qFormat/>
    <w:uiPriority w:val="0"/>
    <w:pPr>
      <w:spacing w:before="156"/>
      <w:ind w:firstLine="510"/>
      <w:jc w:val="both"/>
    </w:pPr>
    <w:rPr>
      <w:rFonts w:eastAsia="宋体" w:cs="宋体"/>
      <w:sz w:val="24"/>
      <w:szCs w:val="20"/>
    </w:rPr>
  </w:style>
  <w:style w:type="paragraph" w:customStyle="1" w:styleId="291">
    <w:name w:val="纯文本3"/>
    <w:qFormat/>
    <w:uiPriority w:val="0"/>
    <w:pPr>
      <w:widowControl w:val="0"/>
      <w:adjustRightInd w:val="0"/>
      <w:jc w:val="both"/>
      <w:textAlignment w:val="baseline"/>
    </w:pPr>
    <w:rPr>
      <w:rFonts w:ascii="宋体" w:hAnsi="Courier New" w:eastAsia="楷体_GB2312" w:cs="Times New Roman"/>
      <w:kern w:val="2"/>
      <w:sz w:val="26"/>
      <w:lang w:val="en-US" w:eastAsia="zh-CN" w:bidi="ar-SA"/>
    </w:rPr>
  </w:style>
  <w:style w:type="paragraph" w:customStyle="1" w:styleId="292">
    <w:name w:val="部分1"/>
    <w:basedOn w:val="1"/>
    <w:qFormat/>
    <w:uiPriority w:val="0"/>
    <w:pPr>
      <w:keepNext/>
      <w:pageBreakBefore/>
      <w:tabs>
        <w:tab w:val="left" w:pos="720"/>
      </w:tabs>
      <w:ind w:firstLine="0" w:firstLineChars="0"/>
      <w:jc w:val="center"/>
      <w:outlineLvl w:val="0"/>
    </w:pPr>
    <w:rPr>
      <w:rFonts w:eastAsia="黑体" w:cs="宋体"/>
      <w:b/>
      <w:kern w:val="44"/>
      <w:sz w:val="36"/>
      <w:szCs w:val="20"/>
    </w:rPr>
  </w:style>
  <w:style w:type="paragraph" w:customStyle="1" w:styleId="293">
    <w:name w:val="TOC 标题2"/>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4">
    <w:name w:val="修订1"/>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5">
    <w:name w:val="修订2"/>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6">
    <w:name w:val="6级标题"/>
    <w:basedOn w:val="1"/>
    <w:qFormat/>
    <w:uiPriority w:val="0"/>
    <w:pPr>
      <w:keepNext/>
      <w:ind w:left="1151" w:hanging="431"/>
      <w:jc w:val="center"/>
      <w:outlineLvl w:val="5"/>
    </w:pPr>
    <w:rPr>
      <w:rFonts w:ascii="黑体" w:hAnsi="宋体"/>
      <w:b/>
      <w:bCs/>
      <w:sz w:val="24"/>
      <w:szCs w:val="52"/>
    </w:rPr>
  </w:style>
  <w:style w:type="paragraph" w:customStyle="1" w:styleId="297">
    <w:name w:val="TOC 标题3"/>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99">
    <w:name w:val="FBY-表格文字"/>
    <w:basedOn w:val="1"/>
    <w:qFormat/>
    <w:uiPriority w:val="99"/>
    <w:pPr>
      <w:adjustRightInd w:val="0"/>
      <w:spacing w:line="240" w:lineRule="auto"/>
      <w:ind w:firstLine="0" w:firstLineChars="0"/>
      <w:textAlignment w:val="top"/>
    </w:pPr>
    <w:rPr>
      <w:rFonts w:eastAsia="宋体"/>
      <w:szCs w:val="20"/>
    </w:rPr>
  </w:style>
  <w:style w:type="character" w:customStyle="1" w:styleId="300">
    <w:name w:val="未处理的提及4"/>
    <w:basedOn w:val="57"/>
    <w:semiHidden/>
    <w:unhideWhenUsed/>
    <w:qFormat/>
    <w:uiPriority w:val="99"/>
    <w:rPr>
      <w:color w:val="605E5C"/>
      <w:shd w:val="clear" w:color="auto" w:fill="E1DFDD"/>
    </w:rPr>
  </w:style>
  <w:style w:type="paragraph" w:customStyle="1" w:styleId="301">
    <w:name w:val="哈哈哈"/>
    <w:basedOn w:val="1"/>
    <w:qFormat/>
    <w:uiPriority w:val="0"/>
    <w:pPr>
      <w:adjustRightInd w:val="0"/>
      <w:ind w:firstLine="0" w:firstLineChars="0"/>
      <w:jc w:val="both"/>
    </w:pPr>
    <w:rPr>
      <w:rFonts w:ascii="宋体" w:hAnsi="宋体" w:eastAsia="黑体" w:cs="宋体"/>
      <w:sz w:val="24"/>
    </w:rPr>
  </w:style>
  <w:style w:type="paragraph" w:customStyle="1" w:styleId="302">
    <w:name w:val="修订3"/>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303">
    <w:name w:val="修订4"/>
    <w:hidden/>
    <w:unhideWhenUsed/>
    <w:qFormat/>
    <w:uiPriority w:val="99"/>
    <w:rPr>
      <w:rFonts w:ascii="Times New Roman" w:hAnsi="Times New Roman" w:eastAsia="微软雅黑" w:cs="Times New Roman"/>
      <w:kern w:val="2"/>
      <w:sz w:val="21"/>
      <w:szCs w:val="24"/>
      <w:lang w:val="en-US" w:eastAsia="zh-CN" w:bidi="ar-SA"/>
    </w:rPr>
  </w:style>
  <w:style w:type="character" w:customStyle="1" w:styleId="304">
    <w:name w:val="未处理的提及5"/>
    <w:basedOn w:val="57"/>
    <w:semiHidden/>
    <w:unhideWhenUsed/>
    <w:qFormat/>
    <w:uiPriority w:val="99"/>
    <w:rPr>
      <w:color w:val="605E5C"/>
      <w:shd w:val="clear" w:color="auto" w:fill="E1DFDD"/>
    </w:rPr>
  </w:style>
  <w:style w:type="paragraph" w:customStyle="1" w:styleId="305">
    <w:name w:val="纯文本4"/>
    <w:basedOn w:val="1"/>
    <w:qFormat/>
    <w:uiPriority w:val="0"/>
    <w:pPr>
      <w:adjustRightInd w:val="0"/>
      <w:textAlignment w:val="baseline"/>
    </w:pPr>
    <w:rPr>
      <w:rFonts w:ascii="宋体" w:hAnsi="Courier New" w:eastAsia="楷体_GB2312"/>
      <w:sz w:val="26"/>
      <w:szCs w:val="20"/>
    </w:rPr>
  </w:style>
  <w:style w:type="paragraph" w:customStyle="1" w:styleId="306">
    <w:name w:val="Char Char Char Char"/>
    <w:basedOn w:val="1"/>
    <w:qFormat/>
    <w:uiPriority w:val="99"/>
    <w:pPr>
      <w:widowControl/>
      <w:spacing w:line="240" w:lineRule="auto"/>
      <w:ind w:firstLine="0" w:firstLineChars="0"/>
    </w:pPr>
    <w:rPr>
      <w:rFonts w:ascii="Calibri" w:hAnsi="Calibri"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jpeg"/><Relationship Id="rId34" Type="http://schemas.openxmlformats.org/officeDocument/2006/relationships/theme" Target="theme/theme1.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6"/>
    <customShpInfo spid="_x0000_s3080"/>
    <customShpInfo spid="_x0000_s3079"/>
    <customShpInfo spid="_x0000_s3082"/>
    <customShpInfo spid="_x0000_s3081"/>
    <customShpInfo spid="_x0000_s1026"/>
    <customShpInfo spid="_x0000_s3084"/>
    <customShpInfo spid="_x0000_s3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MicroWin10.com</Company>
  <Pages>62</Pages>
  <Words>21375</Words>
  <Characters>22999</Characters>
  <Lines>266</Lines>
  <Paragraphs>75</Paragraphs>
  <TotalTime>9</TotalTime>
  <ScaleCrop>false</ScaleCrop>
  <LinksUpToDate>false</LinksUpToDate>
  <CharactersWithSpaces>23703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2023-06-08T09:36:00Z</dcterms:created>
  <dc:creator>微软用户</dc:creator>
  <cp:lastModifiedBy>章莉</cp:lastModifiedBy>
  <cp:lastPrinted>2024-10-29T06:16:00Z</cp:lastPrinted>
  <dcterms:modified xsi:type="dcterms:W3CDTF">2024-11-04T09:44:44Z</dcterms:modified>
  <dc:title>1</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13A5ABD6AD2043E28D915BD6A9DDDF8E_13</vt:lpwstr>
  </property>
</Properties>
</file>