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C22D7">
      <w:pPr>
        <w:spacing w:line="360" w:lineRule="auto"/>
        <w:jc w:val="center"/>
        <w:rPr>
          <w:rFonts w:hint="eastAsia" w:ascii="仿宋" w:hAnsi="仿宋" w:eastAsia="仿宋" w:cs="仿宋"/>
          <w:b/>
          <w:color w:val="auto"/>
          <w:sz w:val="24"/>
          <w:highlight w:val="none"/>
        </w:rPr>
      </w:pPr>
    </w:p>
    <w:p w14:paraId="765C5684">
      <w:pPr>
        <w:spacing w:line="360" w:lineRule="auto"/>
        <w:jc w:val="center"/>
        <w:rPr>
          <w:rFonts w:hint="eastAsia" w:ascii="仿宋" w:hAnsi="仿宋" w:eastAsia="仿宋" w:cs="仿宋"/>
          <w:b/>
          <w:color w:val="auto"/>
          <w:sz w:val="24"/>
          <w:highlight w:val="none"/>
        </w:rPr>
      </w:pPr>
    </w:p>
    <w:p w14:paraId="2989BF61">
      <w:pPr>
        <w:adjustRightInd/>
        <w:spacing w:line="360" w:lineRule="auto"/>
        <w:jc w:val="center"/>
        <w:rPr>
          <w:rFonts w:hint="eastAsia" w:ascii="仿宋" w:hAnsi="仿宋" w:eastAsia="仿宋" w:cs="仿宋"/>
          <w:b/>
          <w:color w:val="auto"/>
          <w:sz w:val="48"/>
          <w:szCs w:val="48"/>
          <w:highlight w:val="none"/>
        </w:rPr>
      </w:pPr>
    </w:p>
    <w:p w14:paraId="010D2172">
      <w:pPr>
        <w:pStyle w:val="3"/>
        <w:jc w:val="center"/>
        <w:rPr>
          <w:rFonts w:hint="eastAsia" w:ascii="仿宋" w:hAnsi="仿宋" w:eastAsia="仿宋" w:cs="仿宋"/>
          <w:b w:val="0"/>
          <w:bCs w:val="0"/>
          <w:highlight w:val="none"/>
          <w:lang w:eastAsia="zh-CN"/>
        </w:rPr>
      </w:pPr>
      <w:r>
        <w:rPr>
          <w:rFonts w:hint="eastAsia" w:ascii="仿宋" w:eastAsia="仿宋" w:cs="仿宋"/>
          <w:b w:val="0"/>
          <w:bCs w:val="0"/>
          <w:color w:val="auto"/>
          <w:sz w:val="52"/>
          <w:szCs w:val="52"/>
          <w:highlight w:val="none"/>
          <w:lang w:eastAsia="zh-CN"/>
        </w:rPr>
        <w:t>义蓬街道河道水环境运维服务</w:t>
      </w:r>
    </w:p>
    <w:p w14:paraId="55828B66">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194F7DF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F048320">
      <w:pPr>
        <w:snapToGrid w:val="0"/>
        <w:spacing w:line="360" w:lineRule="auto"/>
        <w:jc w:val="center"/>
        <w:rPr>
          <w:rFonts w:hint="eastAsia" w:ascii="仿宋" w:hAnsi="仿宋" w:eastAsia="仿宋" w:cs="仿宋"/>
          <w:color w:val="auto"/>
          <w:sz w:val="30"/>
          <w:szCs w:val="30"/>
          <w:highlight w:val="none"/>
        </w:rPr>
      </w:pPr>
    </w:p>
    <w:p w14:paraId="23DC496B">
      <w:pPr>
        <w:snapToGrid w:val="0"/>
        <w:spacing w:line="360" w:lineRule="auto"/>
        <w:jc w:val="center"/>
        <w:rPr>
          <w:rFonts w:hint="eastAsia" w:ascii="仿宋" w:hAnsi="仿宋" w:eastAsia="仿宋" w:cs="仿宋"/>
          <w:color w:val="auto"/>
          <w:sz w:val="30"/>
          <w:szCs w:val="30"/>
          <w:highlight w:val="none"/>
        </w:rPr>
      </w:pPr>
    </w:p>
    <w:p w14:paraId="703CA623">
      <w:pPr>
        <w:snapToGrid w:val="0"/>
        <w:spacing w:line="360" w:lineRule="auto"/>
        <w:jc w:val="center"/>
        <w:rPr>
          <w:rFonts w:hint="eastAsia" w:ascii="仿宋" w:hAnsi="仿宋" w:eastAsia="仿宋" w:cs="仿宋"/>
          <w:color w:val="auto"/>
          <w:sz w:val="30"/>
          <w:szCs w:val="30"/>
          <w:highlight w:val="none"/>
        </w:rPr>
      </w:pPr>
    </w:p>
    <w:p w14:paraId="3473DEAE">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cs="仿宋"/>
          <w:color w:val="auto"/>
          <w:sz w:val="30"/>
          <w:szCs w:val="30"/>
          <w:highlight w:val="none"/>
          <w:lang w:val="en-US" w:eastAsia="zh-CN"/>
        </w:rPr>
        <w:t>QTCG-GK-2025-023</w:t>
      </w:r>
    </w:p>
    <w:p w14:paraId="7507AAD6">
      <w:pPr>
        <w:adjustRightInd/>
        <w:spacing w:line="360" w:lineRule="auto"/>
        <w:rPr>
          <w:rFonts w:hint="eastAsia" w:ascii="仿宋" w:hAnsi="仿宋" w:eastAsia="仿宋" w:cs="仿宋"/>
          <w:color w:val="auto"/>
          <w:sz w:val="28"/>
          <w:szCs w:val="20"/>
          <w:highlight w:val="none"/>
        </w:rPr>
      </w:pPr>
    </w:p>
    <w:p w14:paraId="7079C87A">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4ABCF9B">
      <w:pPr>
        <w:spacing w:line="360" w:lineRule="auto"/>
        <w:jc w:val="center"/>
        <w:rPr>
          <w:rFonts w:hint="eastAsia" w:ascii="仿宋" w:hAnsi="仿宋" w:eastAsia="仿宋" w:cs="仿宋"/>
          <w:b/>
          <w:color w:val="auto"/>
          <w:sz w:val="44"/>
          <w:szCs w:val="44"/>
          <w:highlight w:val="none"/>
        </w:rPr>
      </w:pPr>
    </w:p>
    <w:p w14:paraId="15AB419E">
      <w:pPr>
        <w:spacing w:line="360" w:lineRule="auto"/>
        <w:jc w:val="center"/>
        <w:rPr>
          <w:rFonts w:hint="eastAsia" w:ascii="仿宋" w:hAnsi="仿宋" w:eastAsia="仿宋" w:cs="仿宋"/>
          <w:color w:val="auto"/>
          <w:sz w:val="24"/>
          <w:highlight w:val="none"/>
        </w:rPr>
      </w:pPr>
    </w:p>
    <w:p w14:paraId="2A86889D">
      <w:pPr>
        <w:spacing w:line="360" w:lineRule="auto"/>
        <w:rPr>
          <w:rFonts w:hint="eastAsia" w:ascii="仿宋" w:hAnsi="仿宋" w:eastAsia="仿宋" w:cs="仿宋"/>
          <w:color w:val="auto"/>
          <w:sz w:val="32"/>
          <w:szCs w:val="32"/>
          <w:highlight w:val="none"/>
        </w:rPr>
      </w:pPr>
    </w:p>
    <w:p w14:paraId="29996279">
      <w:pPr>
        <w:spacing w:line="360" w:lineRule="auto"/>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杭州市钱塘区人民政府义蓬街道办事处</w:t>
      </w:r>
    </w:p>
    <w:p w14:paraId="224C0DDB">
      <w:pPr>
        <w:spacing w:line="360" w:lineRule="auto"/>
        <w:jc w:val="center"/>
        <w:rPr>
          <w:rFonts w:hint="eastAsia" w:ascii="仿宋" w:hAnsi="仿宋" w:eastAsia="仿宋" w:cs="仿宋"/>
          <w:color w:val="auto"/>
          <w:sz w:val="36"/>
          <w:szCs w:val="36"/>
          <w:highlight w:val="none"/>
          <w:lang w:eastAsia="zh-CN"/>
        </w:rPr>
      </w:pPr>
      <w:r>
        <w:rPr>
          <w:rFonts w:hint="eastAsia" w:ascii="仿宋" w:hAnsi="仿宋" w:cs="仿宋"/>
          <w:color w:val="auto"/>
          <w:sz w:val="36"/>
          <w:szCs w:val="36"/>
          <w:highlight w:val="none"/>
          <w:lang w:eastAsia="zh-CN"/>
        </w:rPr>
        <w:t>浙江中合工程管理有限公司</w:t>
      </w:r>
    </w:p>
    <w:p w14:paraId="361EE74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36"/>
          <w:szCs w:val="36"/>
          <w:highlight w:val="none"/>
          <w:lang w:val="en-US" w:eastAsia="zh-CN"/>
        </w:rPr>
        <w:t>202</w:t>
      </w:r>
      <w:r>
        <w:rPr>
          <w:rFonts w:hint="eastAsia" w:ascii="仿宋" w:hAnsi="仿宋" w:cs="仿宋"/>
          <w:color w:val="auto"/>
          <w:sz w:val="36"/>
          <w:szCs w:val="36"/>
          <w:highlight w:val="none"/>
          <w:lang w:val="en-US" w:eastAsia="zh-CN"/>
        </w:rPr>
        <w:t>5</w:t>
      </w:r>
      <w:r>
        <w:rPr>
          <w:rFonts w:hint="eastAsia" w:ascii="仿宋" w:hAnsi="仿宋" w:eastAsia="仿宋" w:cs="仿宋"/>
          <w:color w:val="auto"/>
          <w:sz w:val="36"/>
          <w:szCs w:val="36"/>
          <w:highlight w:val="none"/>
          <w:lang w:eastAsia="zh-CN"/>
        </w:rPr>
        <w:t>年</w:t>
      </w:r>
      <w:r>
        <w:rPr>
          <w:rFonts w:hint="eastAsia" w:ascii="仿宋" w:hAnsi="仿宋" w:cs="仿宋"/>
          <w:color w:val="auto"/>
          <w:sz w:val="36"/>
          <w:szCs w:val="36"/>
          <w:highlight w:val="none"/>
          <w:lang w:val="en-US" w:eastAsia="zh-CN"/>
        </w:rPr>
        <w:t>02</w:t>
      </w:r>
      <w:r>
        <w:rPr>
          <w:rFonts w:hint="eastAsia" w:ascii="仿宋" w:hAnsi="仿宋" w:eastAsia="仿宋" w:cs="仿宋"/>
          <w:color w:val="auto"/>
          <w:sz w:val="36"/>
          <w:szCs w:val="36"/>
          <w:highlight w:val="none"/>
          <w:lang w:eastAsia="zh-CN"/>
        </w:rPr>
        <w:t>月</w:t>
      </w:r>
      <w:r>
        <w:rPr>
          <w:rFonts w:hint="eastAsia" w:ascii="仿宋" w:hAnsi="仿宋" w:cs="仿宋"/>
          <w:color w:val="auto"/>
          <w:sz w:val="36"/>
          <w:szCs w:val="36"/>
          <w:highlight w:val="none"/>
          <w:lang w:val="en-US" w:eastAsia="zh-CN"/>
        </w:rPr>
        <w:t>26日</w:t>
      </w:r>
      <w:r>
        <w:rPr>
          <w:rFonts w:hint="eastAsia" w:ascii="仿宋" w:hAnsi="仿宋" w:eastAsia="仿宋" w:cs="仿宋"/>
          <w:color w:val="auto"/>
          <w:sz w:val="24"/>
          <w:highlight w:val="none"/>
        </w:rPr>
        <w:br w:type="page"/>
      </w:r>
      <w:bookmarkStart w:id="0" w:name="_Hlt67893495"/>
      <w:bookmarkEnd w:id="0"/>
    </w:p>
    <w:p w14:paraId="4E208ABB">
      <w:pPr>
        <w:spacing w:line="360" w:lineRule="auto"/>
        <w:jc w:val="center"/>
        <w:rPr>
          <w:rFonts w:hint="eastAsia" w:ascii="仿宋" w:hAnsi="仿宋" w:eastAsia="仿宋" w:cs="仿宋"/>
          <w:color w:val="auto"/>
          <w:sz w:val="24"/>
          <w:highlight w:val="none"/>
        </w:rPr>
      </w:pPr>
    </w:p>
    <w:p w14:paraId="1EAF52B6">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A99E4C2">
      <w:pPr>
        <w:spacing w:line="360" w:lineRule="auto"/>
        <w:rPr>
          <w:rFonts w:hint="eastAsia" w:ascii="仿宋" w:hAnsi="仿宋" w:eastAsia="仿宋" w:cs="仿宋"/>
          <w:color w:val="auto"/>
          <w:sz w:val="32"/>
          <w:szCs w:val="32"/>
          <w:highlight w:val="none"/>
        </w:rPr>
      </w:pPr>
    </w:p>
    <w:p w14:paraId="4A42A35C">
      <w:pPr>
        <w:spacing w:line="360" w:lineRule="auto"/>
        <w:rPr>
          <w:rFonts w:hint="eastAsia" w:ascii="仿宋" w:hAnsi="仿宋" w:eastAsia="仿宋" w:cs="仿宋"/>
          <w:color w:val="auto"/>
          <w:sz w:val="32"/>
          <w:szCs w:val="32"/>
          <w:highlight w:val="none"/>
        </w:rPr>
      </w:pPr>
    </w:p>
    <w:p w14:paraId="1B3C758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175E2B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947119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9ADCC6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5FD14D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E2974D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42D930C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5A0A4789">
      <w:pPr>
        <w:spacing w:line="360" w:lineRule="auto"/>
        <w:ind w:firstLine="549" w:firstLineChars="229"/>
        <w:rPr>
          <w:rFonts w:hint="eastAsia" w:ascii="仿宋" w:hAnsi="仿宋" w:eastAsia="仿宋" w:cs="仿宋"/>
          <w:color w:val="auto"/>
          <w:sz w:val="24"/>
          <w:highlight w:val="none"/>
        </w:rPr>
      </w:pPr>
    </w:p>
    <w:p w14:paraId="03459723">
      <w:pPr>
        <w:spacing w:line="360" w:lineRule="auto"/>
        <w:ind w:firstLine="549" w:firstLineChars="229"/>
        <w:rPr>
          <w:rFonts w:hint="eastAsia" w:ascii="仿宋" w:hAnsi="仿宋" w:eastAsia="仿宋" w:cs="仿宋"/>
          <w:color w:val="auto"/>
          <w:sz w:val="24"/>
          <w:highlight w:val="none"/>
        </w:rPr>
      </w:pPr>
    </w:p>
    <w:p w14:paraId="5CC8EEAA">
      <w:pPr>
        <w:spacing w:line="360" w:lineRule="auto"/>
        <w:ind w:firstLine="549" w:firstLineChars="229"/>
        <w:rPr>
          <w:rFonts w:hint="eastAsia" w:ascii="仿宋" w:hAnsi="仿宋" w:eastAsia="仿宋" w:cs="仿宋"/>
          <w:color w:val="auto"/>
          <w:sz w:val="24"/>
          <w:highlight w:val="none"/>
        </w:rPr>
      </w:pPr>
    </w:p>
    <w:p w14:paraId="0C6631E7">
      <w:pPr>
        <w:spacing w:line="360" w:lineRule="auto"/>
        <w:ind w:firstLine="549" w:firstLineChars="229"/>
        <w:rPr>
          <w:rFonts w:hint="eastAsia" w:ascii="仿宋" w:hAnsi="仿宋" w:eastAsia="仿宋" w:cs="仿宋"/>
          <w:color w:val="auto"/>
          <w:sz w:val="24"/>
          <w:highlight w:val="none"/>
        </w:rPr>
      </w:pPr>
    </w:p>
    <w:p w14:paraId="66BB5533">
      <w:pPr>
        <w:spacing w:line="360" w:lineRule="auto"/>
        <w:ind w:firstLine="549" w:firstLineChars="229"/>
        <w:rPr>
          <w:rFonts w:hint="eastAsia" w:ascii="仿宋" w:hAnsi="仿宋" w:eastAsia="仿宋" w:cs="仿宋"/>
          <w:color w:val="auto"/>
          <w:sz w:val="24"/>
          <w:highlight w:val="none"/>
        </w:rPr>
      </w:pPr>
    </w:p>
    <w:p w14:paraId="7C360AC9">
      <w:pPr>
        <w:spacing w:line="360" w:lineRule="auto"/>
        <w:ind w:firstLine="549" w:firstLineChars="229"/>
        <w:rPr>
          <w:rFonts w:hint="eastAsia" w:ascii="仿宋" w:hAnsi="仿宋" w:eastAsia="仿宋" w:cs="仿宋"/>
          <w:color w:val="auto"/>
          <w:sz w:val="24"/>
          <w:highlight w:val="none"/>
        </w:rPr>
      </w:pPr>
    </w:p>
    <w:p w14:paraId="52C09532">
      <w:pPr>
        <w:spacing w:line="360" w:lineRule="auto"/>
        <w:ind w:firstLine="549" w:firstLineChars="229"/>
        <w:rPr>
          <w:rFonts w:hint="eastAsia" w:ascii="仿宋" w:hAnsi="仿宋" w:eastAsia="仿宋" w:cs="仿宋"/>
          <w:color w:val="auto"/>
          <w:sz w:val="24"/>
          <w:highlight w:val="none"/>
        </w:rPr>
      </w:pPr>
    </w:p>
    <w:p w14:paraId="76A802D6">
      <w:pPr>
        <w:spacing w:line="360" w:lineRule="auto"/>
        <w:ind w:firstLine="549" w:firstLineChars="229"/>
        <w:rPr>
          <w:rFonts w:hint="eastAsia" w:ascii="仿宋" w:hAnsi="仿宋" w:eastAsia="仿宋" w:cs="仿宋"/>
          <w:color w:val="auto"/>
          <w:sz w:val="24"/>
          <w:highlight w:val="none"/>
        </w:rPr>
      </w:pPr>
    </w:p>
    <w:p w14:paraId="3E07C641">
      <w:pPr>
        <w:spacing w:line="360" w:lineRule="auto"/>
        <w:ind w:firstLine="549" w:firstLineChars="229"/>
        <w:rPr>
          <w:rFonts w:hint="eastAsia" w:ascii="仿宋" w:hAnsi="仿宋" w:eastAsia="仿宋" w:cs="仿宋"/>
          <w:color w:val="auto"/>
          <w:sz w:val="24"/>
          <w:highlight w:val="none"/>
        </w:rPr>
      </w:pPr>
    </w:p>
    <w:p w14:paraId="5EDCA7C0">
      <w:pPr>
        <w:spacing w:line="360" w:lineRule="auto"/>
        <w:ind w:firstLine="549" w:firstLineChars="229"/>
        <w:rPr>
          <w:rFonts w:hint="eastAsia" w:ascii="仿宋" w:hAnsi="仿宋" w:eastAsia="仿宋" w:cs="仿宋"/>
          <w:color w:val="auto"/>
          <w:sz w:val="24"/>
          <w:highlight w:val="none"/>
        </w:rPr>
      </w:pPr>
    </w:p>
    <w:p w14:paraId="206CDE8C">
      <w:pPr>
        <w:spacing w:line="360" w:lineRule="auto"/>
        <w:ind w:firstLine="549" w:firstLineChars="229"/>
        <w:rPr>
          <w:rFonts w:hint="eastAsia" w:ascii="仿宋" w:hAnsi="仿宋" w:eastAsia="仿宋" w:cs="仿宋"/>
          <w:color w:val="auto"/>
          <w:sz w:val="24"/>
          <w:highlight w:val="none"/>
        </w:rPr>
      </w:pPr>
    </w:p>
    <w:p w14:paraId="22E42738">
      <w:pPr>
        <w:spacing w:line="360" w:lineRule="auto"/>
        <w:ind w:firstLine="549" w:firstLineChars="229"/>
        <w:rPr>
          <w:rFonts w:hint="eastAsia" w:ascii="仿宋" w:hAnsi="仿宋" w:eastAsia="仿宋" w:cs="仿宋"/>
          <w:color w:val="auto"/>
          <w:sz w:val="24"/>
          <w:highlight w:val="none"/>
        </w:rPr>
      </w:pPr>
    </w:p>
    <w:p w14:paraId="3DCB8F08">
      <w:pPr>
        <w:spacing w:line="360" w:lineRule="auto"/>
        <w:rPr>
          <w:rFonts w:hint="eastAsia" w:ascii="仿宋" w:hAnsi="仿宋" w:eastAsia="仿宋" w:cs="仿宋"/>
          <w:color w:val="auto"/>
          <w:sz w:val="24"/>
          <w:highlight w:val="none"/>
        </w:rPr>
      </w:pPr>
    </w:p>
    <w:p w14:paraId="60FC8AF3">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32F7412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C9304A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yellow"/>
          <w:u w:val="single"/>
        </w:rPr>
      </w:pPr>
      <w:r>
        <w:rPr>
          <w:rFonts w:hint="eastAsia" w:ascii="仿宋" w:hAnsi="仿宋" w:cs="仿宋"/>
          <w:color w:val="auto"/>
          <w:sz w:val="24"/>
          <w:highlight w:val="none"/>
          <w:u w:val="single"/>
          <w:lang w:eastAsia="zh-CN"/>
        </w:rPr>
        <w:t>义蓬街道河道水环境运维服务</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B4398D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0AFFE9E">
      <w:p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项目编号：</w:t>
      </w:r>
      <w:r>
        <w:rPr>
          <w:rFonts w:hint="eastAsia" w:ascii="仿宋" w:hAnsi="仿宋" w:eastAsia="仿宋" w:cs="仿宋"/>
          <w:b w:val="0"/>
          <w:bCs w:val="0"/>
          <w:color w:val="auto"/>
          <w:sz w:val="24"/>
          <w:highlight w:val="none"/>
          <w:lang w:val="en-US" w:eastAsia="zh-CN"/>
        </w:rPr>
        <w:t>QTCG-GK-2025-023</w:t>
      </w:r>
    </w:p>
    <w:p w14:paraId="5C361043">
      <w:p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项目名称：</w:t>
      </w:r>
      <w:r>
        <w:rPr>
          <w:rFonts w:hint="eastAsia" w:ascii="仿宋" w:hAnsi="仿宋" w:cs="仿宋"/>
          <w:b w:val="0"/>
          <w:bCs w:val="0"/>
          <w:color w:val="auto"/>
          <w:sz w:val="24"/>
          <w:highlight w:val="none"/>
          <w:lang w:eastAsia="zh-CN"/>
        </w:rPr>
        <w:t>义蓬街道河道水环境运维服务</w:t>
      </w:r>
      <w:r>
        <w:rPr>
          <w:rFonts w:hint="eastAsia" w:ascii="仿宋" w:hAnsi="仿宋" w:eastAsia="仿宋" w:cs="仿宋"/>
          <w:b w:val="0"/>
          <w:bCs w:val="0"/>
          <w:color w:val="auto"/>
          <w:sz w:val="24"/>
          <w:highlight w:val="none"/>
        </w:rPr>
        <w:t xml:space="preserve">    </w:t>
      </w:r>
    </w:p>
    <w:p w14:paraId="4EC880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预算金额（元）：</w:t>
      </w:r>
      <w:r>
        <w:rPr>
          <w:rFonts w:hint="eastAsia" w:ascii="仿宋" w:hAnsi="仿宋" w:cs="仿宋"/>
          <w:b w:val="0"/>
          <w:bCs w:val="0"/>
          <w:color w:val="auto"/>
          <w:sz w:val="24"/>
          <w:highlight w:val="none"/>
          <w:lang w:val="en-US" w:eastAsia="zh-CN"/>
        </w:rPr>
        <w:t>2970000</w:t>
      </w:r>
    </w:p>
    <w:p w14:paraId="575A076C">
      <w:pPr>
        <w:keepNext w:val="0"/>
        <w:keepLines w:val="0"/>
        <w:pageBreakBefore w:val="0"/>
        <w:widowControl w:val="0"/>
        <w:kinsoku/>
        <w:wordWrap/>
        <w:overflowPunct/>
        <w:topLinePunct w:val="0"/>
        <w:autoSpaceDE/>
        <w:autoSpaceDN/>
        <w:bidi w:val="0"/>
        <w:adjustRightInd w:val="0"/>
        <w:snapToGrid/>
        <w:spacing w:line="360" w:lineRule="auto"/>
        <w:ind w:left="480" w:leftChars="200"/>
        <w:jc w:val="left"/>
        <w:textAlignment w:val="auto"/>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eastAsia="zh-CN"/>
        </w:rPr>
        <w:t>（元）</w:t>
      </w:r>
      <w:r>
        <w:rPr>
          <w:rFonts w:hint="eastAsia" w:ascii="仿宋" w:hAnsi="仿宋" w:eastAsia="仿宋" w:cs="仿宋"/>
          <w:color w:val="auto"/>
          <w:sz w:val="24"/>
          <w:szCs w:val="28"/>
          <w:highlight w:val="none"/>
        </w:rPr>
        <w:t>：</w:t>
      </w:r>
      <w:r>
        <w:rPr>
          <w:rFonts w:hint="eastAsia" w:ascii="仿宋" w:hAnsi="仿宋" w:cs="仿宋"/>
          <w:b w:val="0"/>
          <w:bCs w:val="0"/>
          <w:color w:val="auto"/>
          <w:sz w:val="24"/>
          <w:highlight w:val="none"/>
          <w:lang w:val="en-US" w:eastAsia="zh-CN"/>
        </w:rPr>
        <w:t>2970000</w:t>
      </w:r>
    </w:p>
    <w:p w14:paraId="633922CE">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采购需求：</w:t>
      </w:r>
      <w:r>
        <w:rPr>
          <w:rFonts w:hint="eastAsia" w:ascii="仿宋" w:hAnsi="仿宋" w:eastAsia="仿宋" w:cs="仿宋"/>
          <w:color w:val="auto"/>
          <w:sz w:val="24"/>
          <w:szCs w:val="28"/>
          <w:highlight w:val="none"/>
        </w:rPr>
        <w:t>标项一：</w:t>
      </w:r>
    </w:p>
    <w:p w14:paraId="419C9E37">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cs="仿宋"/>
          <w:b w:val="0"/>
          <w:bCs w:val="0"/>
          <w:color w:val="auto"/>
          <w:sz w:val="24"/>
          <w:highlight w:val="none"/>
          <w:lang w:eastAsia="zh-CN"/>
        </w:rPr>
      </w:pPr>
      <w:r>
        <w:rPr>
          <w:rFonts w:hint="eastAsia" w:ascii="仿宋" w:hAnsi="仿宋" w:eastAsia="仿宋" w:cs="仿宋"/>
          <w:b w:val="0"/>
          <w:bCs/>
          <w:color w:val="auto"/>
          <w:sz w:val="24"/>
          <w:highlight w:val="none"/>
          <w:lang w:val="en-US" w:eastAsia="zh-CN"/>
        </w:rPr>
        <w:t>标项名称：</w:t>
      </w:r>
      <w:r>
        <w:rPr>
          <w:rFonts w:hint="eastAsia" w:ascii="仿宋" w:hAnsi="仿宋" w:cs="仿宋"/>
          <w:b w:val="0"/>
          <w:bCs w:val="0"/>
          <w:color w:val="auto"/>
          <w:sz w:val="24"/>
          <w:highlight w:val="none"/>
          <w:lang w:eastAsia="zh-CN"/>
        </w:rPr>
        <w:t>义蓬街道河道水环境运维服务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标项一</w:t>
      </w:r>
      <w:r>
        <w:rPr>
          <w:rFonts w:hint="eastAsia" w:ascii="仿宋" w:hAnsi="仿宋" w:eastAsia="仿宋" w:cs="仿宋"/>
          <w:color w:val="auto"/>
          <w:sz w:val="24"/>
          <w:highlight w:val="none"/>
          <w:lang w:eastAsia="zh-CN"/>
        </w:rPr>
        <w:t>）</w:t>
      </w:r>
    </w:p>
    <w:p w14:paraId="6A7F2E94">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数量：1</w:t>
      </w:r>
    </w:p>
    <w:p w14:paraId="449C9DA3">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cs="仿宋"/>
          <w:b w:val="0"/>
          <w:bCs w:val="0"/>
          <w:color w:val="auto"/>
          <w:sz w:val="24"/>
          <w:highlight w:val="yellow"/>
          <w:lang w:val="en-US" w:eastAsia="zh-CN"/>
        </w:rPr>
      </w:pPr>
      <w:r>
        <w:rPr>
          <w:rFonts w:hint="eastAsia" w:ascii="仿宋" w:hAnsi="仿宋" w:eastAsia="仿宋" w:cs="仿宋"/>
          <w:b w:val="0"/>
          <w:bCs/>
          <w:color w:val="auto"/>
          <w:sz w:val="24"/>
          <w:highlight w:val="none"/>
          <w:lang w:val="en-US" w:eastAsia="zh-CN"/>
        </w:rPr>
        <w:t>预算金额（元）：</w:t>
      </w:r>
      <w:r>
        <w:rPr>
          <w:rFonts w:hint="eastAsia" w:ascii="仿宋" w:hAnsi="仿宋" w:cs="仿宋"/>
          <w:b w:val="0"/>
          <w:bCs/>
          <w:color w:val="auto"/>
          <w:sz w:val="24"/>
          <w:highlight w:val="none"/>
          <w:lang w:val="en-US" w:eastAsia="zh-CN"/>
        </w:rPr>
        <w:t>1470000</w:t>
      </w:r>
    </w:p>
    <w:p w14:paraId="7C744BA7">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snapToGrid/>
          <w:color w:val="auto"/>
          <w:kern w:val="2"/>
          <w:sz w:val="24"/>
          <w:szCs w:val="24"/>
          <w:highlight w:val="none"/>
        </w:rPr>
      </w:pPr>
      <w:r>
        <w:rPr>
          <w:rFonts w:hint="eastAsia" w:ascii="仿宋" w:hAnsi="仿宋" w:eastAsia="仿宋" w:cs="仿宋"/>
          <w:b w:val="0"/>
          <w:bCs/>
          <w:snapToGrid/>
          <w:color w:val="auto"/>
          <w:kern w:val="2"/>
          <w:sz w:val="24"/>
          <w:szCs w:val="24"/>
          <w:highlight w:val="none"/>
        </w:rPr>
        <w:t>简要规格描述或项目基本概况介绍、用途</w:t>
      </w:r>
      <w:r>
        <w:rPr>
          <w:rFonts w:hint="eastAsia" w:ascii="仿宋" w:hAnsi="仿宋" w:eastAsia="仿宋" w:cs="仿宋"/>
          <w:b w:val="0"/>
          <w:bCs/>
          <w:snapToGrid/>
          <w:color w:val="auto"/>
          <w:kern w:val="2"/>
          <w:sz w:val="24"/>
          <w:szCs w:val="24"/>
          <w:highlight w:val="none"/>
          <w:lang w:eastAsia="zh-CN"/>
        </w:rPr>
        <w:t>：</w:t>
      </w:r>
      <w:r>
        <w:rPr>
          <w:rFonts w:hint="eastAsia" w:ascii="仿宋" w:hAnsi="仿宋" w:cs="仿宋"/>
          <w:b w:val="0"/>
          <w:bCs w:val="0"/>
          <w:color w:val="auto"/>
          <w:sz w:val="24"/>
          <w:highlight w:val="none"/>
          <w:lang w:eastAsia="zh-CN"/>
        </w:rPr>
        <w:t>义蓬街道河道水环境运维服务</w:t>
      </w:r>
      <w:r>
        <w:rPr>
          <w:rFonts w:hint="eastAsia" w:ascii="仿宋" w:hAnsi="仿宋" w:eastAsia="仿宋" w:cs="仿宋"/>
          <w:b w:val="0"/>
          <w:bCs/>
          <w:snapToGrid/>
          <w:color w:val="auto"/>
          <w:kern w:val="2"/>
          <w:sz w:val="24"/>
          <w:szCs w:val="24"/>
          <w:highlight w:val="none"/>
          <w:lang w:eastAsia="zh-CN"/>
        </w:rPr>
        <w:t>。</w:t>
      </w:r>
      <w:r>
        <w:rPr>
          <w:rFonts w:hint="eastAsia" w:ascii="仿宋" w:hAnsi="仿宋" w:eastAsia="仿宋" w:cs="仿宋"/>
          <w:b w:val="0"/>
          <w:bCs/>
          <w:snapToGrid/>
          <w:color w:val="auto"/>
          <w:kern w:val="2"/>
          <w:sz w:val="24"/>
          <w:szCs w:val="24"/>
          <w:highlight w:val="none"/>
        </w:rPr>
        <w:t>具体以招标文件第三部分采购需求为准,供应商可点击本公告下方“浏览采购文件”查看采购需求。</w:t>
      </w:r>
    </w:p>
    <w:p w14:paraId="5E7F1F78">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采购需求：</w:t>
      </w:r>
      <w:r>
        <w:rPr>
          <w:rFonts w:hint="eastAsia" w:ascii="仿宋" w:hAnsi="仿宋" w:eastAsia="仿宋" w:cs="仿宋"/>
          <w:color w:val="auto"/>
          <w:sz w:val="24"/>
          <w:szCs w:val="28"/>
          <w:highlight w:val="none"/>
        </w:rPr>
        <w:t>标项</w:t>
      </w:r>
      <w:r>
        <w:rPr>
          <w:rFonts w:hint="eastAsia" w:ascii="仿宋" w:hAnsi="仿宋" w:cs="仿宋"/>
          <w:color w:val="auto"/>
          <w:sz w:val="24"/>
          <w:szCs w:val="28"/>
          <w:highlight w:val="none"/>
          <w:lang w:val="en-US" w:eastAsia="zh-CN"/>
        </w:rPr>
        <w:t>二</w:t>
      </w:r>
      <w:r>
        <w:rPr>
          <w:rFonts w:hint="eastAsia" w:ascii="仿宋" w:hAnsi="仿宋" w:eastAsia="仿宋" w:cs="仿宋"/>
          <w:color w:val="auto"/>
          <w:sz w:val="24"/>
          <w:szCs w:val="28"/>
          <w:highlight w:val="none"/>
        </w:rPr>
        <w:t>：</w:t>
      </w:r>
    </w:p>
    <w:p w14:paraId="022BB3D6">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cs="仿宋"/>
          <w:b w:val="0"/>
          <w:bCs w:val="0"/>
          <w:color w:val="auto"/>
          <w:sz w:val="24"/>
          <w:highlight w:val="none"/>
          <w:lang w:eastAsia="zh-CN"/>
        </w:rPr>
      </w:pPr>
      <w:r>
        <w:rPr>
          <w:rFonts w:hint="eastAsia" w:ascii="仿宋" w:hAnsi="仿宋" w:eastAsia="仿宋" w:cs="仿宋"/>
          <w:b w:val="0"/>
          <w:bCs/>
          <w:color w:val="auto"/>
          <w:sz w:val="24"/>
          <w:highlight w:val="none"/>
          <w:lang w:val="en-US" w:eastAsia="zh-CN"/>
        </w:rPr>
        <w:t>标项名称：</w:t>
      </w:r>
      <w:r>
        <w:rPr>
          <w:rFonts w:hint="eastAsia" w:ascii="仿宋" w:hAnsi="仿宋" w:cs="仿宋"/>
          <w:b w:val="0"/>
          <w:bCs w:val="0"/>
          <w:color w:val="auto"/>
          <w:sz w:val="24"/>
          <w:highlight w:val="none"/>
          <w:lang w:eastAsia="zh-CN"/>
        </w:rPr>
        <w:t>义蓬街道河道水环境运维服务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标项</w:t>
      </w:r>
      <w:r>
        <w:rPr>
          <w:rFonts w:hint="eastAsia" w:ascii="仿宋" w:hAnsi="仿宋" w:cs="仿宋"/>
          <w:color w:val="auto"/>
          <w:sz w:val="24"/>
          <w:highlight w:val="none"/>
          <w:lang w:val="en-US" w:eastAsia="zh-CN"/>
        </w:rPr>
        <w:t>二</w:t>
      </w:r>
      <w:r>
        <w:rPr>
          <w:rFonts w:hint="eastAsia" w:ascii="仿宋" w:hAnsi="仿宋" w:eastAsia="仿宋" w:cs="仿宋"/>
          <w:color w:val="auto"/>
          <w:sz w:val="24"/>
          <w:highlight w:val="none"/>
          <w:lang w:eastAsia="zh-CN"/>
        </w:rPr>
        <w:t>）</w:t>
      </w:r>
    </w:p>
    <w:p w14:paraId="69378F16">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数量：1</w:t>
      </w:r>
    </w:p>
    <w:p w14:paraId="14809053">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cs="仿宋"/>
          <w:b w:val="0"/>
          <w:bCs w:val="0"/>
          <w:color w:val="auto"/>
          <w:sz w:val="24"/>
          <w:highlight w:val="none"/>
          <w:lang w:val="en-US" w:eastAsia="zh-CN"/>
        </w:rPr>
      </w:pPr>
      <w:r>
        <w:rPr>
          <w:rFonts w:hint="eastAsia" w:ascii="仿宋" w:hAnsi="仿宋" w:eastAsia="仿宋" w:cs="仿宋"/>
          <w:b w:val="0"/>
          <w:bCs/>
          <w:color w:val="auto"/>
          <w:sz w:val="24"/>
          <w:highlight w:val="none"/>
          <w:lang w:val="en-US" w:eastAsia="zh-CN"/>
        </w:rPr>
        <w:t>预算金额（元）：1</w:t>
      </w:r>
      <w:r>
        <w:rPr>
          <w:rFonts w:hint="eastAsia" w:ascii="仿宋" w:hAnsi="仿宋" w:cs="仿宋"/>
          <w:b w:val="0"/>
          <w:bCs/>
          <w:color w:val="auto"/>
          <w:sz w:val="24"/>
          <w:highlight w:val="none"/>
          <w:lang w:val="en-US" w:eastAsia="zh-CN"/>
        </w:rPr>
        <w:t>5</w:t>
      </w:r>
      <w:r>
        <w:rPr>
          <w:rFonts w:hint="eastAsia" w:ascii="仿宋" w:hAnsi="仿宋" w:eastAsia="仿宋" w:cs="仿宋"/>
          <w:b w:val="0"/>
          <w:bCs/>
          <w:color w:val="auto"/>
          <w:sz w:val="24"/>
          <w:highlight w:val="none"/>
          <w:lang w:val="en-US" w:eastAsia="zh-CN"/>
        </w:rPr>
        <w:t>00000</w:t>
      </w:r>
    </w:p>
    <w:p w14:paraId="115A0572">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rPr>
      </w:pPr>
      <w:r>
        <w:rPr>
          <w:rFonts w:hint="eastAsia" w:ascii="仿宋" w:hAnsi="仿宋" w:eastAsia="仿宋" w:cs="仿宋"/>
          <w:b w:val="0"/>
          <w:bCs/>
          <w:snapToGrid/>
          <w:color w:val="auto"/>
          <w:kern w:val="2"/>
          <w:sz w:val="24"/>
          <w:szCs w:val="24"/>
          <w:highlight w:val="none"/>
        </w:rPr>
        <w:t>简要规格描述或项目基本概况介绍、用途</w:t>
      </w:r>
      <w:r>
        <w:rPr>
          <w:rFonts w:hint="eastAsia" w:ascii="仿宋" w:hAnsi="仿宋" w:eastAsia="仿宋" w:cs="仿宋"/>
          <w:b w:val="0"/>
          <w:bCs/>
          <w:snapToGrid/>
          <w:color w:val="auto"/>
          <w:kern w:val="2"/>
          <w:sz w:val="24"/>
          <w:szCs w:val="24"/>
          <w:highlight w:val="none"/>
          <w:lang w:eastAsia="zh-CN"/>
        </w:rPr>
        <w:t>：</w:t>
      </w:r>
      <w:r>
        <w:rPr>
          <w:rFonts w:hint="eastAsia" w:ascii="仿宋" w:hAnsi="仿宋" w:cs="仿宋"/>
          <w:b w:val="0"/>
          <w:bCs w:val="0"/>
          <w:color w:val="auto"/>
          <w:sz w:val="24"/>
          <w:highlight w:val="none"/>
          <w:lang w:eastAsia="zh-CN"/>
        </w:rPr>
        <w:t>义蓬街道河道水环境运维服务</w:t>
      </w:r>
      <w:r>
        <w:rPr>
          <w:rFonts w:hint="eastAsia" w:ascii="仿宋" w:hAnsi="仿宋" w:eastAsia="仿宋" w:cs="仿宋"/>
          <w:b w:val="0"/>
          <w:bCs/>
          <w:snapToGrid/>
          <w:color w:val="auto"/>
          <w:kern w:val="2"/>
          <w:sz w:val="24"/>
          <w:szCs w:val="24"/>
          <w:highlight w:val="none"/>
          <w:lang w:eastAsia="zh-CN"/>
        </w:rPr>
        <w:t>。</w:t>
      </w:r>
      <w:r>
        <w:rPr>
          <w:rFonts w:hint="eastAsia" w:ascii="仿宋" w:hAnsi="仿宋" w:eastAsia="仿宋" w:cs="仿宋"/>
          <w:b w:val="0"/>
          <w:bCs/>
          <w:snapToGrid/>
          <w:color w:val="auto"/>
          <w:kern w:val="2"/>
          <w:sz w:val="24"/>
          <w:szCs w:val="24"/>
          <w:highlight w:val="none"/>
        </w:rPr>
        <w:t>具体以招标文件第三部分采购需求为准,供应商可点击本公告下方“浏览采购文件”查看采购需求。</w:t>
      </w:r>
    </w:p>
    <w:p w14:paraId="2A8C36D0">
      <w:pPr>
        <w:pStyle w:val="133"/>
        <w:keepNext w:val="0"/>
        <w:keepLines w:val="0"/>
        <w:pageBreakBefore w:val="0"/>
        <w:kinsoku/>
        <w:wordWrap/>
        <w:overflowPunct/>
        <w:topLinePunct w:val="0"/>
        <w:autoSpaceDE/>
        <w:autoSpaceDN/>
        <w:bidi w:val="0"/>
        <w:adjustRightInd w:val="0"/>
        <w:spacing w:before="0" w:line="360" w:lineRule="auto"/>
        <w:ind w:firstLine="480" w:firstLineChars="200"/>
        <w:textAlignment w:val="auto"/>
        <w:outlineLvl w:val="2"/>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rPr>
        <w:t>合同履约期限：</w:t>
      </w:r>
      <w:r>
        <w:rPr>
          <w:rFonts w:hint="eastAsia" w:ascii="仿宋" w:hAnsi="仿宋" w:eastAsia="仿宋" w:cs="仿宋"/>
          <w:b w:val="0"/>
          <w:bCs/>
          <w:color w:val="auto"/>
          <w:highlight w:val="none"/>
          <w:lang w:val="en-US" w:eastAsia="zh-CN"/>
        </w:rPr>
        <w:t>详见采购需求。</w:t>
      </w:r>
    </w:p>
    <w:p w14:paraId="3F984A22">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val="0"/>
          <w:bCs w:val="0"/>
          <w:color w:val="auto"/>
          <w:sz w:val="24"/>
          <w:highlight w:val="none"/>
        </w:rPr>
        <w:t>本项目接受联合体投标：</w:t>
      </w:r>
      <w:sdt>
        <w:sdtPr>
          <w:rPr>
            <w:rFonts w:hint="eastAsia" w:ascii="仿宋" w:hAnsi="仿宋" w:eastAsia="仿宋" w:cs="仿宋"/>
            <w:b w:val="0"/>
            <w:bCs w:val="0"/>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Wingdings" w:hAnsi="Wingdings" w:eastAsia="仿宋" w:cs="仿宋"/>
              <w:b w:val="0"/>
              <w:bCs w:val="0"/>
              <w:snapToGrid w:val="0"/>
              <w:color w:val="auto"/>
              <w:kern w:val="0"/>
              <w:sz w:val="24"/>
              <w:szCs w:val="20"/>
              <w:highlight w:val="none"/>
              <w:lang w:val="en-US" w:eastAsia="zh-CN" w:bidi="ar-SA"/>
            </w:rPr>
            <w:t>þ</w:t>
          </w:r>
        </w:sdtContent>
      </w:sdt>
      <w:r>
        <w:rPr>
          <w:rFonts w:hint="eastAsia" w:ascii="仿宋" w:hAnsi="仿宋" w:eastAsia="仿宋" w:cs="仿宋"/>
          <w:b w:val="0"/>
          <w:bCs w:val="0"/>
          <w:color w:val="auto"/>
          <w:sz w:val="24"/>
          <w:highlight w:val="none"/>
        </w:rPr>
        <w:t>是，</w:t>
      </w:r>
      <w:sdt>
        <w:sdtPr>
          <w:rPr>
            <w:rFonts w:hint="eastAsia" w:ascii="仿宋" w:hAnsi="仿宋" w:eastAsia="仿宋" w:cs="仿宋"/>
            <w:b w:val="0"/>
            <w:bCs w:val="0"/>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MS Gothic" w:hAnsi="MS Gothic" w:eastAsia="仿宋" w:cs="仿宋"/>
              <w:b w:val="0"/>
              <w:bCs w:val="0"/>
              <w:snapToGrid w:val="0"/>
              <w:color w:val="auto"/>
              <w:kern w:val="0"/>
              <w:sz w:val="24"/>
              <w:szCs w:val="20"/>
              <w:highlight w:val="none"/>
              <w:lang w:val="en-US" w:eastAsia="zh-CN" w:bidi="ar-SA"/>
            </w:rPr>
            <w:t>☐</w:t>
          </w:r>
        </w:sdtContent>
      </w:sdt>
      <w:r>
        <w:rPr>
          <w:rFonts w:hint="eastAsia" w:ascii="仿宋" w:hAnsi="仿宋" w:eastAsia="仿宋" w:cs="仿宋"/>
          <w:b w:val="0"/>
          <w:bCs w:val="0"/>
          <w:color w:val="auto"/>
          <w:sz w:val="24"/>
          <w:highlight w:val="none"/>
        </w:rPr>
        <w:t>否</w:t>
      </w:r>
      <w:r>
        <w:rPr>
          <w:rFonts w:hint="eastAsia" w:ascii="仿宋" w:hAnsi="仿宋" w:eastAsia="仿宋" w:cs="仿宋"/>
          <w:b w:val="0"/>
          <w:bCs w:val="0"/>
          <w:color w:val="auto"/>
          <w:kern w:val="0"/>
          <w:sz w:val="24"/>
          <w:highlight w:val="none"/>
        </w:rPr>
        <w:t>。</w:t>
      </w:r>
    </w:p>
    <w:p w14:paraId="68A1486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0F968C0">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978FCC9">
      <w:pPr>
        <w:spacing w:line="360" w:lineRule="auto"/>
        <w:ind w:firstLine="480"/>
        <w:rPr>
          <w:rFonts w:hint="eastAsia"/>
        </w:rPr>
      </w:pPr>
      <w:r>
        <w:rPr>
          <w:rFonts w:hint="eastAsia" w:ascii="仿宋_GB2312" w:hAnsi="仿宋_GB2312" w:eastAsia="仿宋_GB2312" w:cs="仿宋_GB2312"/>
          <w:snapToGrid w:val="0"/>
          <w:kern w:val="28"/>
          <w:sz w:val="24"/>
          <w:szCs w:val="20"/>
        </w:rPr>
        <w:t>2.以联合体形式投标的，提供联合协议(本项目不接受联合体投标或者投标人不以联合体形式投标的，则不需要提供) ；</w:t>
      </w:r>
    </w:p>
    <w:p w14:paraId="2F797198">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w:t>
      </w:r>
      <w:r>
        <w:rPr>
          <w:rFonts w:hint="eastAsia" w:ascii="仿宋" w:hAnsi="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p>
    <w:p w14:paraId="4EB42A0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p>
    <w:p w14:paraId="7E6E051C">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C5FC8FB">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15A58B17">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14:paraId="4F19C9AC">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4B3F1CBC">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14:paraId="3890CD1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7B435A8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D75E2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89E671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D3BC1B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4E2BC4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CDE7E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05EC8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54B9F9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5DD0CFC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BCC43E1">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14:paraId="09BDD29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C06543C">
      <w:pPr>
        <w:numPr>
          <w:ilvl w:val="0"/>
          <w:numId w:val="1"/>
        </w:numPr>
        <w:snapToGrid w:val="0"/>
        <w:spacing w:line="360" w:lineRule="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采购意向公开链接</w:t>
      </w:r>
    </w:p>
    <w:p w14:paraId="0313C2F6">
      <w:pPr>
        <w:spacing w:line="360" w:lineRule="auto"/>
        <w:rPr>
          <w:rFonts w:hint="eastAsia" w:ascii="仿宋" w:hAnsi="仿宋" w:cs="仿宋"/>
          <w:b w:val="0"/>
          <w:bCs/>
          <w:color w:val="auto"/>
          <w:sz w:val="24"/>
          <w:highlight w:val="none"/>
          <w:lang w:val="en-US" w:eastAsia="zh-CN"/>
        </w:rPr>
      </w:pPr>
      <w:r>
        <w:rPr>
          <w:rFonts w:hint="eastAsia" w:ascii="仿宋" w:hAnsi="仿宋" w:cs="仿宋"/>
          <w:b w:val="0"/>
          <w:bCs/>
          <w:color w:val="auto"/>
          <w:sz w:val="24"/>
          <w:highlight w:val="none"/>
          <w:lang w:val="en-US" w:eastAsia="zh-CN"/>
        </w:rPr>
        <w:t>https://zfcg.czt.zj.gov.cn/site/detail?parentId=600007&amp;articleId=9ThmJk5xPw3i101mPqIGwA%3D%3D</w:t>
      </w:r>
    </w:p>
    <w:p w14:paraId="49E42B05">
      <w:pPr>
        <w:spacing w:line="360" w:lineRule="auto"/>
        <w:rPr>
          <w:rFonts w:hint="eastAsia" w:ascii="仿宋" w:hAnsi="仿宋" w:eastAsia="仿宋" w:cs="仿宋"/>
          <w:color w:val="auto"/>
          <w:sz w:val="24"/>
          <w:highlight w:val="none"/>
        </w:rPr>
      </w:pPr>
      <w:r>
        <w:rPr>
          <w:rFonts w:hint="eastAsia" w:ascii="仿宋" w:hAnsi="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14:paraId="451D3F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BF932CA">
      <w:pPr>
        <w:numPr>
          <w:ilvl w:val="0"/>
          <w:numId w:val="0"/>
        </w:numPr>
        <w:spacing w:line="360" w:lineRule="auto"/>
        <w:rPr>
          <w:rFonts w:hint="eastAsia" w:ascii="仿宋" w:hAnsi="仿宋" w:eastAsia="仿宋" w:cs="仿宋"/>
          <w:b/>
          <w:color w:val="auto"/>
          <w:sz w:val="24"/>
          <w:highlight w:val="none"/>
        </w:rPr>
      </w:pPr>
      <w:r>
        <w:rPr>
          <w:rFonts w:hint="eastAsia" w:ascii="仿宋" w:hAnsi="仿宋" w:cs="仿宋"/>
          <w:b/>
          <w:color w:val="auto"/>
          <w:kern w:val="2"/>
          <w:sz w:val="24"/>
          <w:szCs w:val="24"/>
          <w:highlight w:val="none"/>
          <w:lang w:val="en-US" w:eastAsia="zh-CN" w:bidi="ar-SA"/>
        </w:rPr>
        <w:t>七</w:t>
      </w:r>
      <w:r>
        <w:rPr>
          <w:rFonts w:hint="eastAsia" w:ascii="仿宋" w:hAnsi="仿宋" w:eastAsia="仿宋" w:cs="仿宋"/>
          <w:b/>
          <w:color w:val="auto"/>
          <w:kern w:val="2"/>
          <w:sz w:val="24"/>
          <w:szCs w:val="24"/>
          <w:highlight w:val="none"/>
          <w:lang w:val="en-US" w:eastAsia="zh-CN" w:bidi="ar-SA"/>
        </w:rPr>
        <w:t>、</w:t>
      </w:r>
      <w:r>
        <w:rPr>
          <w:rFonts w:hint="eastAsia" w:ascii="仿宋" w:hAnsi="仿宋" w:eastAsia="仿宋" w:cs="仿宋"/>
          <w:b/>
          <w:color w:val="auto"/>
          <w:sz w:val="24"/>
          <w:highlight w:val="none"/>
        </w:rPr>
        <w:t>其他补充事宜</w:t>
      </w:r>
    </w:p>
    <w:p w14:paraId="4BF88D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5CCD7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CF2D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5287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14:paraId="523A8730">
      <w:pPr>
        <w:spacing w:line="360" w:lineRule="auto"/>
        <w:ind w:firstLine="482" w:firstLineChars="200"/>
        <w:rPr>
          <w:rFonts w:hint="eastAsia" w:ascii="仿宋" w:hAnsi="仿宋" w:eastAsia="仿宋" w:cs="仿宋"/>
          <w:b/>
          <w:color w:val="auto"/>
          <w:sz w:val="24"/>
          <w:highlight w:val="none"/>
        </w:rPr>
      </w:pPr>
      <w:r>
        <w:rPr>
          <w:rFonts w:hint="eastAsia" w:ascii="仿宋" w:hAnsi="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14:paraId="07691B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D9EEF3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 xml:space="preserve"> </w:t>
      </w:r>
    </w:p>
    <w:p w14:paraId="010534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址：杭州市钱塘区义府大街668号</w:t>
      </w:r>
    </w:p>
    <w:p w14:paraId="6D674B2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0B41931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项目联系人（询问）：</w:t>
      </w:r>
      <w:r>
        <w:rPr>
          <w:rFonts w:hint="eastAsia" w:ascii="仿宋" w:hAnsi="仿宋" w:eastAsia="仿宋" w:cs="仿宋"/>
          <w:color w:val="auto"/>
          <w:sz w:val="24"/>
          <w:szCs w:val="28"/>
          <w:highlight w:val="none"/>
          <w:u w:val="none"/>
          <w:lang w:val="en-US" w:eastAsia="zh-CN"/>
        </w:rPr>
        <w:t xml:space="preserve">王科 </w:t>
      </w:r>
      <w:r>
        <w:rPr>
          <w:rFonts w:hint="eastAsia" w:ascii="仿宋" w:hAnsi="仿宋" w:eastAsia="仿宋" w:cs="仿宋"/>
          <w:color w:val="auto"/>
          <w:sz w:val="24"/>
          <w:highlight w:val="none"/>
          <w:u w:val="none"/>
        </w:rPr>
        <w:t xml:space="preserve">  </w:t>
      </w:r>
    </w:p>
    <w:p w14:paraId="0845A5E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项目联系方式（询问）：</w:t>
      </w:r>
      <w:r>
        <w:rPr>
          <w:rFonts w:hint="eastAsia" w:ascii="仿宋" w:hAnsi="仿宋" w:eastAsia="仿宋" w:cs="仿宋"/>
          <w:color w:val="auto"/>
          <w:sz w:val="24"/>
          <w:szCs w:val="28"/>
          <w:highlight w:val="none"/>
          <w:u w:val="none"/>
          <w:lang w:val="en-US" w:eastAsia="zh-CN"/>
        </w:rPr>
        <w:t>0571-82161248</w:t>
      </w:r>
      <w:r>
        <w:rPr>
          <w:rFonts w:hint="eastAsia" w:ascii="仿宋" w:hAnsi="仿宋" w:eastAsia="仿宋" w:cs="仿宋"/>
          <w:color w:val="auto"/>
          <w:sz w:val="24"/>
          <w:highlight w:val="none"/>
          <w:u w:val="none"/>
        </w:rPr>
        <w:t xml:space="preserve"> </w:t>
      </w:r>
    </w:p>
    <w:p w14:paraId="7B262EF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质疑联系人：</w:t>
      </w:r>
      <w:r>
        <w:rPr>
          <w:rFonts w:hint="eastAsia" w:ascii="仿宋" w:hAnsi="仿宋" w:eastAsia="仿宋" w:cs="仿宋"/>
          <w:color w:val="auto"/>
          <w:sz w:val="24"/>
          <w:szCs w:val="28"/>
          <w:highlight w:val="none"/>
          <w:u w:val="none"/>
        </w:rPr>
        <w:t>卢佳杰</w:t>
      </w:r>
    </w:p>
    <w:p w14:paraId="67004114">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rPr>
        <w:t>质疑联系方式：</w:t>
      </w:r>
      <w:r>
        <w:rPr>
          <w:rFonts w:hint="eastAsia" w:ascii="仿宋" w:hAnsi="仿宋" w:eastAsia="仿宋" w:cs="仿宋"/>
          <w:color w:val="auto"/>
          <w:sz w:val="24"/>
          <w:szCs w:val="28"/>
          <w:highlight w:val="none"/>
          <w:u w:val="none"/>
        </w:rPr>
        <w:t>0571-82161040</w:t>
      </w:r>
    </w:p>
    <w:p w14:paraId="438BDE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4F702DD5">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cs="仿宋"/>
          <w:color w:val="auto"/>
          <w:sz w:val="24"/>
          <w:highlight w:val="none"/>
          <w:lang w:eastAsia="zh-CN"/>
        </w:rPr>
        <w:t>浙江中合工程管理有限公司</w:t>
      </w:r>
    </w:p>
    <w:p w14:paraId="2AAA94B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cs="仿宋"/>
          <w:color w:val="auto"/>
          <w:sz w:val="24"/>
          <w:szCs w:val="28"/>
          <w:highlight w:val="none"/>
          <w:lang w:val="en-US" w:eastAsia="zh-CN"/>
        </w:rPr>
        <w:t>萧山区盈丰街道浙江民营企业发展大厦B座</w:t>
      </w:r>
    </w:p>
    <w:p w14:paraId="1141D9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3A4D85F6">
      <w:pPr>
        <w:adjustRightInd/>
        <w:spacing w:line="360" w:lineRule="auto"/>
        <w:ind w:firstLine="480" w:firstLineChars="200"/>
        <w:jc w:val="left"/>
        <w:outlineLvl w:val="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cs="仿宋"/>
          <w:color w:val="auto"/>
          <w:sz w:val="24"/>
          <w:szCs w:val="28"/>
          <w:highlight w:val="none"/>
          <w:lang w:val="en-US" w:eastAsia="zh-CN"/>
        </w:rPr>
        <w:t>诸女士</w:t>
      </w:r>
      <w:r>
        <w:rPr>
          <w:rFonts w:hint="eastAsia" w:ascii="仿宋" w:hAnsi="仿宋" w:eastAsia="仿宋" w:cs="仿宋"/>
          <w:color w:val="auto"/>
          <w:sz w:val="24"/>
          <w:szCs w:val="28"/>
          <w:highlight w:val="none"/>
        </w:rPr>
        <w:t>     　　　　　　　　　　</w:t>
      </w:r>
    </w:p>
    <w:p w14:paraId="3254AE4A">
      <w:pPr>
        <w:adjustRightInd/>
        <w:spacing w:line="360" w:lineRule="auto"/>
        <w:ind w:firstLine="480" w:firstLineChars="200"/>
        <w:jc w:val="left"/>
        <w:outlineLvl w:val="0"/>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cs="仿宋"/>
          <w:color w:val="auto"/>
          <w:sz w:val="24"/>
          <w:szCs w:val="28"/>
          <w:highlight w:val="none"/>
          <w:lang w:val="en-US" w:eastAsia="zh-CN"/>
        </w:rPr>
        <w:t>15381712570</w:t>
      </w:r>
    </w:p>
    <w:p w14:paraId="66FC35FD">
      <w:pPr>
        <w:adjustRightInd/>
        <w:spacing w:line="360" w:lineRule="auto"/>
        <w:ind w:firstLine="480" w:firstLineChars="200"/>
        <w:jc w:val="left"/>
        <w:outlineLvl w:val="0"/>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质疑联系人：</w:t>
      </w:r>
      <w:r>
        <w:rPr>
          <w:rFonts w:hint="eastAsia" w:ascii="仿宋" w:hAnsi="仿宋" w:cs="仿宋"/>
          <w:color w:val="auto"/>
          <w:sz w:val="24"/>
          <w:szCs w:val="28"/>
          <w:highlight w:val="none"/>
          <w:lang w:val="en-US" w:eastAsia="zh-CN"/>
        </w:rPr>
        <w:t>沈女士</w:t>
      </w:r>
    </w:p>
    <w:p w14:paraId="3F5C784A">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质疑联系方式：13575709399</w:t>
      </w:r>
    </w:p>
    <w:p w14:paraId="730D0545">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highlight w:val="none"/>
        </w:rPr>
        <w:t xml:space="preserve"> 3.同级政府采购监督管理部门            </w:t>
      </w:r>
    </w:p>
    <w:p w14:paraId="4D4F079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 称：杭州市财政局政府采购监管处、浙江省政府采购行政裁决服务中心（杭州）</w:t>
      </w:r>
    </w:p>
    <w:p w14:paraId="4AC496D4">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 址：杭州市上城区清泰街549号城建综合大楼11楼（快递仅限ems或顺丰）</w:t>
      </w:r>
    </w:p>
    <w:p w14:paraId="7176EE87">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传 真：/</w:t>
      </w:r>
    </w:p>
    <w:p w14:paraId="554D3284">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联系人：朱女士、王女士</w:t>
      </w:r>
    </w:p>
    <w:p w14:paraId="0349D67B">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监督投诉电话：0571-87227671,0571-87800218</w:t>
      </w:r>
    </w:p>
    <w:p w14:paraId="587FEE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447B4E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8A95B59">
      <w:pPr>
        <w:pStyle w:val="4"/>
        <w:rPr>
          <w:rFonts w:hint="eastAsia" w:ascii="仿宋" w:hAnsi="仿宋" w:eastAsia="仿宋" w:cs="仿宋"/>
          <w:color w:val="auto"/>
          <w:sz w:val="24"/>
          <w:highlight w:val="none"/>
        </w:rPr>
      </w:pPr>
    </w:p>
    <w:p w14:paraId="671A6950">
      <w:pPr>
        <w:rPr>
          <w:rFonts w:hint="eastAsia" w:ascii="仿宋" w:hAnsi="仿宋" w:eastAsia="仿宋" w:cs="仿宋"/>
          <w:color w:val="auto"/>
          <w:sz w:val="24"/>
          <w:highlight w:val="none"/>
        </w:rPr>
      </w:pPr>
    </w:p>
    <w:p w14:paraId="102C0674">
      <w:pPr>
        <w:pStyle w:val="4"/>
        <w:rPr>
          <w:rFonts w:hint="eastAsia" w:ascii="仿宋" w:hAnsi="仿宋" w:eastAsia="仿宋" w:cs="仿宋"/>
          <w:color w:val="auto"/>
          <w:sz w:val="24"/>
          <w:highlight w:val="none"/>
        </w:rPr>
      </w:pPr>
    </w:p>
    <w:p w14:paraId="7B0F9BAF">
      <w:pPr>
        <w:rPr>
          <w:rFonts w:hint="eastAsia" w:ascii="仿宋" w:hAnsi="仿宋" w:eastAsia="仿宋" w:cs="仿宋"/>
          <w:color w:val="auto"/>
          <w:sz w:val="24"/>
          <w:highlight w:val="none"/>
        </w:rPr>
      </w:pPr>
    </w:p>
    <w:p w14:paraId="0ED9FA16">
      <w:pPr>
        <w:pStyle w:val="4"/>
        <w:rPr>
          <w:rFonts w:hint="eastAsia" w:ascii="仿宋" w:hAnsi="仿宋" w:eastAsia="仿宋" w:cs="仿宋"/>
          <w:color w:val="auto"/>
          <w:sz w:val="24"/>
          <w:highlight w:val="none"/>
        </w:rPr>
      </w:pPr>
    </w:p>
    <w:p w14:paraId="46834FC0">
      <w:pPr>
        <w:rPr>
          <w:rFonts w:hint="eastAsia" w:ascii="仿宋" w:hAnsi="仿宋" w:eastAsia="仿宋" w:cs="仿宋"/>
          <w:color w:val="auto"/>
          <w:sz w:val="24"/>
          <w:highlight w:val="none"/>
        </w:rPr>
      </w:pPr>
    </w:p>
    <w:p w14:paraId="3D32162A">
      <w:pPr>
        <w:pStyle w:val="4"/>
        <w:rPr>
          <w:rFonts w:hint="eastAsia" w:ascii="仿宋" w:hAnsi="仿宋" w:eastAsia="仿宋" w:cs="仿宋"/>
          <w:color w:val="auto"/>
          <w:sz w:val="24"/>
          <w:highlight w:val="none"/>
        </w:rPr>
      </w:pPr>
    </w:p>
    <w:p w14:paraId="3AB474DC">
      <w:pPr>
        <w:rPr>
          <w:rFonts w:hint="eastAsia" w:ascii="仿宋" w:hAnsi="仿宋" w:eastAsia="仿宋" w:cs="仿宋"/>
          <w:color w:val="auto"/>
          <w:sz w:val="24"/>
          <w:highlight w:val="none"/>
        </w:rPr>
      </w:pPr>
    </w:p>
    <w:p w14:paraId="18CDE480">
      <w:pPr>
        <w:pStyle w:val="4"/>
        <w:rPr>
          <w:rFonts w:hint="eastAsia" w:ascii="仿宋" w:hAnsi="仿宋" w:eastAsia="仿宋" w:cs="仿宋"/>
          <w:color w:val="auto"/>
          <w:sz w:val="24"/>
          <w:highlight w:val="none"/>
        </w:rPr>
      </w:pPr>
    </w:p>
    <w:p w14:paraId="0EA4D388">
      <w:pPr>
        <w:rPr>
          <w:rFonts w:hint="eastAsia" w:ascii="仿宋" w:hAnsi="仿宋" w:eastAsia="仿宋" w:cs="仿宋"/>
          <w:color w:val="auto"/>
          <w:sz w:val="24"/>
          <w:highlight w:val="none"/>
        </w:rPr>
      </w:pPr>
    </w:p>
    <w:p w14:paraId="19059CB9">
      <w:pPr>
        <w:pStyle w:val="4"/>
        <w:rPr>
          <w:rFonts w:hint="eastAsia" w:ascii="仿宋" w:hAnsi="仿宋" w:eastAsia="仿宋" w:cs="仿宋"/>
          <w:color w:val="auto"/>
          <w:sz w:val="24"/>
          <w:highlight w:val="none"/>
        </w:rPr>
      </w:pPr>
    </w:p>
    <w:p w14:paraId="1BA30EC1">
      <w:pPr>
        <w:pStyle w:val="4"/>
        <w:ind w:left="0" w:leftChars="0" w:firstLine="0" w:firstLineChars="0"/>
        <w:rPr>
          <w:rFonts w:hint="eastAsia"/>
        </w:rPr>
      </w:pPr>
    </w:p>
    <w:p w14:paraId="4BA81156">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14:paraId="4162B13B">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0669B826">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8A90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93A6595">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785136">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49DBB10">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本项目的特别规定</w:t>
            </w:r>
          </w:p>
        </w:tc>
      </w:tr>
      <w:tr w14:paraId="6F6F5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CDB1F41">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A2CC5F">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FE752F8">
            <w:pPr>
              <w:spacing w:line="360" w:lineRule="auto"/>
              <w:rPr>
                <w:rFonts w:ascii="仿宋_GB2312" w:hAnsi="仿宋_GB2312" w:eastAsia="仿宋_GB2312" w:cs="仿宋_GB2312"/>
                <w:sz w:val="24"/>
                <w:u w:val="single"/>
              </w:rPr>
            </w:pPr>
            <w:r>
              <w:rPr>
                <w:rFonts w:hint="eastAsia" w:ascii="仿宋_GB2312" w:hAnsi="仿宋_GB2312" w:eastAsia="仿宋_GB2312" w:cs="仿宋_GB2312"/>
                <w:kern w:val="0"/>
                <w:sz w:val="24"/>
              </w:rPr>
              <w:t xml:space="preserve">服务类 </w:t>
            </w:r>
          </w:p>
        </w:tc>
      </w:tr>
      <w:tr w14:paraId="335D1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DC80D66">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27B8B">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E40669C">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（1）标的：</w:t>
            </w:r>
            <w:r>
              <w:rPr>
                <w:rFonts w:hint="eastAsia" w:ascii="仿宋_GB2312" w:hAnsi="仿宋_GB2312" w:eastAsia="仿宋_GB2312" w:cs="仿宋_GB2312"/>
                <w:kern w:val="0"/>
                <w:sz w:val="24"/>
                <w:highlight w:val="none"/>
                <w:u w:val="single"/>
              </w:rPr>
              <w:t xml:space="preserve"> </w:t>
            </w:r>
            <w:r>
              <w:rPr>
                <w:rFonts w:hint="eastAsia" w:ascii="仿宋" w:hAnsi="仿宋" w:cs="仿宋"/>
                <w:color w:val="auto"/>
                <w:sz w:val="24"/>
                <w:highlight w:val="none"/>
                <w:u w:val="single"/>
                <w:lang w:eastAsia="zh-CN"/>
              </w:rPr>
              <w:t>义蓬街道河道水环境运维服务</w:t>
            </w:r>
            <w:r>
              <w:rPr>
                <w:rFonts w:hint="eastAsia" w:ascii="仿宋_GB2312" w:hAnsi="仿宋_GB2312" w:eastAsia="仿宋_GB2312" w:cs="仿宋_GB2312"/>
                <w:kern w:val="0"/>
                <w:sz w:val="24"/>
                <w:highlight w:val="none"/>
                <w:u w:val="single"/>
              </w:rPr>
              <w:t xml:space="preserve"> </w:t>
            </w:r>
            <w:r>
              <w:rPr>
                <w:rFonts w:hint="eastAsia" w:ascii="仿宋_GB2312" w:hAnsi="仿宋_GB2312" w:eastAsia="仿宋_GB2312" w:cs="仿宋_GB2312"/>
                <w:kern w:val="0"/>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cs="仿宋"/>
                <w:color w:val="auto"/>
                <w:sz w:val="24"/>
                <w:highlight w:val="none"/>
                <w:u w:val="single"/>
                <w:lang w:val="en-US" w:eastAsia="zh-CN"/>
              </w:rPr>
              <w:t xml:space="preserve">  </w:t>
            </w:r>
            <w:r>
              <w:rPr>
                <w:rFonts w:hint="eastAsia" w:ascii="仿宋_GB2312" w:hAnsi="仿宋_GB2312" w:eastAsia="仿宋_GB2312" w:cs="仿宋_GB2312"/>
                <w:kern w:val="0"/>
                <w:sz w:val="24"/>
                <w:highlight w:val="none"/>
                <w:u w:val="single" w:color="FFFFFF" w:themeColor="background1"/>
              </w:rPr>
              <w:t xml:space="preserve">行业 </w:t>
            </w:r>
            <w:r>
              <w:rPr>
                <w:rFonts w:hint="eastAsia" w:ascii="仿宋_GB2312" w:hAnsi="仿宋_GB2312" w:eastAsia="仿宋_GB2312" w:cs="仿宋_GB2312"/>
                <w:kern w:val="0"/>
                <w:sz w:val="24"/>
                <w:highlight w:val="none"/>
              </w:rPr>
              <w:t>。</w:t>
            </w:r>
          </w:p>
          <w:p w14:paraId="1D793D73">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备注：《关于印发中小企业划型标准规定的通知》（工信部联企业〔2011〕300号）中关于</w:t>
            </w:r>
            <w:r>
              <w:rPr>
                <w:rFonts w:hint="eastAsia" w:ascii="仿宋_GB2312" w:hAnsi="仿宋_GB2312" w:eastAsia="仿宋_GB2312" w:cs="仿宋_GB2312"/>
                <w:sz w:val="24"/>
                <w:highlight w:val="none"/>
              </w:rPr>
              <w:t>其他未列明行业</w:t>
            </w:r>
            <w:r>
              <w:rPr>
                <w:rFonts w:hint="eastAsia" w:ascii="仿宋_GB2312" w:hAnsi="仿宋_GB2312" w:eastAsia="仿宋_GB2312" w:cs="仿宋_GB2312"/>
                <w:kern w:val="0"/>
                <w:sz w:val="24"/>
                <w:highlight w:val="none"/>
              </w:rPr>
              <w:t>划型标准如下：</w:t>
            </w:r>
          </w:p>
          <w:p w14:paraId="465BB745">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highlight w:val="none"/>
              </w:rPr>
              <w:t xml:space="preserve">其他未列明行业。从业人员300人以下的为中小微型企业。其中，从业人员100人及以上的为中型企业；从业人员10人及以上的为小型企业；从业人员10人以下的为微型企业。 </w:t>
            </w:r>
          </w:p>
        </w:tc>
      </w:tr>
      <w:tr w14:paraId="6E162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6B4EC4F">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9A5783">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0D4B20">
            <w:pPr>
              <w:spacing w:line="360" w:lineRule="auto"/>
              <w:rPr>
                <w:rFonts w:ascii="仿宋_GB2312" w:hAnsi="仿宋_GB2312" w:eastAsia="仿宋_GB2312" w:cs="仿宋_GB2312"/>
                <w:kern w:val="0"/>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Wingdings" w:hAnsi="Wingdings" w:eastAsia="仿宋" w:cs="仿宋"/>
                    <w:kern w:val="0"/>
                    <w:sz w:val="24"/>
                  </w:rPr>
                  <w:t></w:t>
                </w:r>
              </w:sdtContent>
            </w:sdt>
            <w:r>
              <w:rPr>
                <w:rFonts w:hint="eastAsia" w:ascii="仿宋_GB2312" w:hAnsi="仿宋_GB2312" w:eastAsia="仿宋_GB2312" w:cs="仿宋_GB2312"/>
                <w:kern w:val="0"/>
                <w:sz w:val="24"/>
              </w:rPr>
              <w:t>本项目不允许采购进口产品。</w:t>
            </w:r>
          </w:p>
          <w:p w14:paraId="1AA6F989">
            <w:pPr>
              <w:spacing w:line="360" w:lineRule="auto"/>
              <w:rPr>
                <w:rFonts w:ascii="仿宋" w:hAnsi="仿宋" w:eastAsia="仿宋" w:cs="仿宋"/>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MS Gothic" w:hAnsi="MS Gothic" w:eastAsia="仿宋" w:cs="仿宋"/>
                    <w:kern w:val="0"/>
                    <w:sz w:val="24"/>
                  </w:rPr>
                  <w:t>☐</w:t>
                </w:r>
              </w:sdtContent>
            </w:sdt>
            <w:r>
              <w:rPr>
                <w:rFonts w:hint="eastAsia" w:ascii="仿宋_GB2312" w:hAnsi="仿宋_GB2312" w:eastAsia="仿宋_GB2312" w:cs="仿宋_GB2312"/>
                <w:kern w:val="0"/>
                <w:sz w:val="24"/>
              </w:rPr>
              <w:t>可以就</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采购进口产品，优先采购向我国企业转让技术、与我国企业签订消化吸收再创新方案的供应商的进口产品，详见评分标准；但如果因信息不对称等原因，仍有满足需求的国内产品要求参与采购竞争的，采购人及其委托的采购代理机构不对其加以限制，将按照公平竞争原则实施采购。</w:t>
            </w:r>
          </w:p>
        </w:tc>
      </w:tr>
      <w:tr w14:paraId="72A66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187B85F">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CF25928">
            <w:pPr>
              <w:snapToGrid w:val="0"/>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F8057B9">
            <w:pPr>
              <w:spacing w:line="360" w:lineRule="auto"/>
              <w:rPr>
                <w:rFonts w:ascii="仿宋" w:hAnsi="仿宋" w:eastAsia="仿宋" w:cs="仿宋"/>
                <w:kern w:val="0"/>
                <w:sz w:val="24"/>
              </w:rPr>
            </w:pPr>
            <w:sdt>
              <w:sdtPr>
                <w:rPr>
                  <w:rFonts w:hint="eastAsia" w:ascii="仿宋" w:hAnsi="仿宋" w:eastAsia="仿宋" w:cs="仿宋"/>
                  <w:kern w:val="0"/>
                  <w:sz w:val="24"/>
                </w:rPr>
                <w:id w:val="1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_GB2312" w:hAnsi="仿宋_GB2312" w:eastAsia="仿宋_GB2312" w:cs="仿宋_GB2312"/>
                <w:kern w:val="0"/>
                <w:sz w:val="24"/>
              </w:rPr>
              <w:t>同意将非主体、非关键性的</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工作分包。</w:t>
            </w:r>
          </w:p>
          <w:p w14:paraId="50C15F9D">
            <w:pPr>
              <w:spacing w:line="360" w:lineRule="auto"/>
            </w:pPr>
            <w:sdt>
              <w:sdtPr>
                <w:rPr>
                  <w:rFonts w:hint="eastAsia" w:ascii="仿宋_GB2312" w:hAnsi="仿宋" w:eastAsia="仿宋_GB2312" w:cs="Arial"/>
                  <w:kern w:val="0"/>
                  <w:sz w:val="24"/>
                </w:rPr>
                <w:id w:val="316235797"/>
              </w:sdtPr>
              <w:sdtEndPr>
                <w:rPr>
                  <w:rFonts w:hint="eastAsia" w:ascii="仿宋_GB2312" w:hAnsi="仿宋_GB2312" w:eastAsia="仿宋_GB2312" w:cs="仿宋_GB2312"/>
                  <w:kern w:val="0"/>
                  <w:sz w:val="24"/>
                </w:rPr>
              </w:sdtEndPr>
              <w:sdtContent>
                <w:sdt>
                  <w:sdtPr>
                    <w:rPr>
                      <w:rFonts w:hint="eastAsia" w:ascii="仿宋" w:hAnsi="仿宋" w:eastAsia="仿宋" w:cs="仿宋"/>
                      <w:kern w:val="0"/>
                      <w:sz w:val="24"/>
                    </w:rPr>
                    <w:id w:val="113067398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w:t>
                </w:r>
              </w:sdtContent>
            </w:sdt>
            <w:r>
              <w:rPr>
                <w:rFonts w:hint="eastAsia" w:ascii="仿宋_GB2312" w:hAnsi="仿宋_GB2312" w:eastAsia="仿宋_GB2312" w:cs="仿宋_GB2312"/>
                <w:kern w:val="0"/>
                <w:sz w:val="24"/>
              </w:rPr>
              <w:t>B同意向小微企业合理分包。</w:t>
            </w:r>
          </w:p>
          <w:p w14:paraId="5D63B222">
            <w:pPr>
              <w:spacing w:line="360" w:lineRule="auto"/>
              <w:rPr>
                <w:rFonts w:ascii="仿宋" w:hAnsi="仿宋" w:eastAsia="仿宋" w:cs="仿宋"/>
                <w:sz w:val="24"/>
              </w:rPr>
            </w:pPr>
            <w:sdt>
              <w:sdtPr>
                <w:rPr>
                  <w:rFonts w:hint="eastAsia" w:ascii="仿宋" w:hAnsi="仿宋" w:eastAsia="仿宋" w:cs="仿宋"/>
                  <w:kern w:val="0"/>
                  <w:sz w:val="24"/>
                </w:rPr>
                <w:id w:val="1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_GB2312" w:hAnsi="仿宋_GB2312" w:eastAsia="仿宋_GB2312" w:cs="仿宋_GB2312"/>
                <w:kern w:val="0"/>
                <w:sz w:val="24"/>
              </w:rPr>
              <w:t>C</w:t>
            </w:r>
            <w:r>
              <w:rPr>
                <w:rFonts w:hint="eastAsia" w:ascii="仿宋_GB2312" w:hAnsi="仿宋_GB2312" w:eastAsia="仿宋_GB2312" w:cs="仿宋_GB2312"/>
                <w:sz w:val="24"/>
              </w:rPr>
              <w:t>不同意分包。</w:t>
            </w:r>
          </w:p>
        </w:tc>
      </w:tr>
      <w:tr w14:paraId="7CC86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B0EAB5F">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0C13180">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DEEF68D">
            <w:pPr>
              <w:spacing w:line="360" w:lineRule="auto"/>
              <w:rPr>
                <w:rFonts w:ascii="仿宋_GB2312" w:hAnsi="仿宋_GB2312" w:eastAsia="仿宋_GB2312" w:cs="仿宋_GB2312"/>
                <w:sz w:val="24"/>
              </w:rPr>
            </w:pPr>
            <w:sdt>
              <w:sdtPr>
                <w:rPr>
                  <w:rFonts w:hint="eastAsia" w:ascii="仿宋" w:hAnsi="仿宋" w:eastAsia="仿宋" w:cs="仿宋"/>
                  <w:kern w:val="0"/>
                  <w:sz w:val="24"/>
                </w:rPr>
                <w:id w:val="17"/>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Wingdings" w:hAnsi="Wingdings" w:eastAsia="仿宋" w:cs="仿宋"/>
                    <w:kern w:val="0"/>
                    <w:sz w:val="24"/>
                  </w:rPr>
                  <w:t></w:t>
                </w:r>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14:paraId="78CD5AF4">
            <w:pPr>
              <w:spacing w:line="360" w:lineRule="auto"/>
              <w:rPr>
                <w:rFonts w:ascii="仿宋" w:hAnsi="仿宋" w:eastAsia="仿宋" w:cs="仿宋"/>
                <w:sz w:val="24"/>
                <w:szCs w:val="20"/>
              </w:rPr>
            </w:pPr>
            <w:sdt>
              <w:sdtPr>
                <w:rPr>
                  <w:rFonts w:hint="eastAsia" w:ascii="仿宋" w:hAnsi="仿宋" w:eastAsia="仿宋" w:cs="仿宋"/>
                  <w:kern w:val="0"/>
                  <w:sz w:val="24"/>
                </w:rPr>
                <w:id w:val="18"/>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 w:hAnsi="仿宋" w:eastAsia="仿宋" w:cs="仿宋"/>
                    <w:kern w:val="0"/>
                    <w:sz w:val="24"/>
                  </w:rPr>
                  <w:t>☐</w:t>
                </w:r>
              </w:sdtContent>
            </w:sdt>
            <w:r>
              <w:rPr>
                <w:rFonts w:hint="eastAsia" w:ascii="仿宋_GB2312" w:hAnsi="仿宋_GB2312" w:eastAsia="仿宋_GB2312" w:cs="仿宋_GB2312"/>
                <w:kern w:val="0"/>
                <w:sz w:val="24"/>
              </w:rPr>
              <w:t>B组织，</w:t>
            </w:r>
            <w:r>
              <w:rPr>
                <w:rFonts w:hint="eastAsia" w:ascii="仿宋_GB2312" w:hAnsi="仿宋_GB2312" w:eastAsia="仿宋_GB2312" w:cs="仿宋_GB2312"/>
                <w:sz w:val="24"/>
              </w:rPr>
              <w:t>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,地点：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，联系人：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，联系方式：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szCs w:val="20"/>
              </w:rPr>
              <w:t>。</w:t>
            </w:r>
          </w:p>
        </w:tc>
      </w:tr>
      <w:tr w14:paraId="04F57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8E9A8FB">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D698E37">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EE2257">
            <w:pPr>
              <w:spacing w:line="360" w:lineRule="auto"/>
              <w:rPr>
                <w:rFonts w:ascii="仿宋_GB2312" w:hAnsi="仿宋_GB2312" w:eastAsia="仿宋_GB2312" w:cs="仿宋_GB2312"/>
                <w:sz w:val="24"/>
              </w:rPr>
            </w:pPr>
            <w:sdt>
              <w:sdtPr>
                <w:rPr>
                  <w:rFonts w:hint="eastAsia" w:ascii="仿宋" w:hAnsi="仿宋" w:eastAsia="仿宋" w:cs="仿宋"/>
                  <w:kern w:val="0"/>
                  <w:sz w:val="24"/>
                </w:rPr>
                <w:id w:val="19"/>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Wingdings" w:hAnsi="Wingdings" w:eastAsia="仿宋" w:cs="仿宋"/>
                    <w:kern w:val="0"/>
                    <w:sz w:val="24"/>
                  </w:rPr>
                  <w:t></w:t>
                </w:r>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不要求提供。</w:t>
            </w:r>
          </w:p>
          <w:p w14:paraId="00D0F48C">
            <w:pPr>
              <w:spacing w:line="360" w:lineRule="auto"/>
              <w:rPr>
                <w:rFonts w:ascii="仿宋_GB2312" w:hAnsi="仿宋_GB2312" w:eastAsia="仿宋_GB2312" w:cs="仿宋_GB2312"/>
                <w:sz w:val="24"/>
                <w:u w:val="single"/>
              </w:rPr>
            </w:pPr>
            <w:sdt>
              <w:sdtPr>
                <w:rPr>
                  <w:rFonts w:hint="eastAsia" w:ascii="仿宋" w:hAnsi="仿宋" w:eastAsia="仿宋" w:cs="仿宋"/>
                  <w:kern w:val="0"/>
                  <w:sz w:val="24"/>
                </w:rPr>
                <w:id w:val="147471367"/>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MS Gothic" w:hAnsi="MS Gothic" w:eastAsia="仿宋" w:cs="仿宋"/>
                    <w:kern w:val="0"/>
                    <w:sz w:val="24"/>
                  </w:rPr>
                  <w:t>☐</w:t>
                </w:r>
              </w:sdtContent>
            </w:sdt>
            <w:r>
              <w:rPr>
                <w:rFonts w:hint="eastAsia" w:ascii="仿宋_GB2312" w:hAnsi="仿宋_GB2312" w:eastAsia="仿宋_GB2312" w:cs="仿宋_GB2312"/>
                <w:kern w:val="0"/>
                <w:sz w:val="24"/>
              </w:rPr>
              <w:t>B要求提供（未提供样品或提供样品不满足采购需求实质性条件的供应商，投标无效）。</w:t>
            </w:r>
          </w:p>
          <w:p w14:paraId="4B157ECF">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（1）样品：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35C5E297">
            <w:pPr>
              <w:widowControl/>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w:t>
            </w:r>
          </w:p>
          <w:p w14:paraId="590AC68F">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（3）样品的评审方法以及评审标准：</w:t>
            </w:r>
          </w:p>
          <w:p w14:paraId="66622C19">
            <w:pPr>
              <w:spacing w:line="360" w:lineRule="auto"/>
              <w:ind w:firstLine="240" w:firstLineChars="100"/>
              <w:rPr>
                <w:rFonts w:ascii="仿宋_GB2312" w:hAnsi="仿宋_GB2312" w:eastAsia="仿宋_GB2312" w:cs="仿宋_GB2312"/>
                <w:sz w:val="24"/>
              </w:rPr>
            </w:pPr>
            <w:sdt>
              <w:sdtPr>
                <w:rPr>
                  <w:rFonts w:hint="eastAsia" w:ascii="仿宋" w:hAnsi="仿宋" w:eastAsia="仿宋" w:cs="仿宋"/>
                  <w:sz w:val="24"/>
                </w:rPr>
                <w:id w:val="1076013905"/>
                <w14:checkbox>
                  <w14:checked w14:val="0"/>
                  <w14:checkedState w14:val="00FE" w14:font="Wingdings"/>
                  <w14:uncheckedState w14:val="2610" w14:font="MS Gothic"/>
                </w14:checkbox>
              </w:sdtPr>
              <w:sdtEndPr>
                <w:rPr>
                  <w:rFonts w:hint="eastAsia" w:ascii="仿宋_GB2312" w:hAnsi="仿宋_GB2312" w:eastAsia="仿宋_GB2312" w:cs="仿宋_GB2312"/>
                  <w:sz w:val="24"/>
                </w:rPr>
              </w:sdtEndPr>
              <w:sdtContent>
                <w:r>
                  <w:rPr>
                    <w:rFonts w:ascii="MS Gothic" w:hAnsi="MS Gothic" w:eastAsia="仿宋" w:cs="仿宋"/>
                    <w:sz w:val="24"/>
                  </w:rPr>
                  <w:t>☐</w:t>
                </w:r>
              </w:sdtContent>
            </w:sdt>
            <w:r>
              <w:rPr>
                <w:rFonts w:hint="eastAsia" w:ascii="仿宋_GB2312" w:hAnsi="仿宋_GB2312" w:eastAsia="仿宋_GB2312" w:cs="仿宋_GB2312"/>
                <w:sz w:val="24"/>
              </w:rPr>
              <w:t>样品分未超过价格分的50%；</w:t>
            </w:r>
          </w:p>
          <w:p w14:paraId="6356BA7C">
            <w:pPr>
              <w:spacing w:line="360" w:lineRule="auto"/>
              <w:ind w:firstLine="240" w:firstLineChars="100"/>
              <w:rPr>
                <w:rFonts w:ascii="仿宋_GB2312" w:hAnsi="仿宋_GB2312" w:eastAsia="仿宋_GB2312" w:cs="仿宋_GB2312"/>
                <w:sz w:val="24"/>
              </w:rPr>
            </w:pPr>
            <w:sdt>
              <w:sdtPr>
                <w:rPr>
                  <w:rFonts w:hint="eastAsia" w:ascii="仿宋" w:hAnsi="仿宋" w:eastAsia="仿宋" w:cs="仿宋"/>
                  <w:sz w:val="24"/>
                </w:rPr>
                <w:id w:val="670453184"/>
                <w14:checkbox>
                  <w14:checked w14:val="0"/>
                  <w14:checkedState w14:val="00FE" w14:font="Wingdings"/>
                  <w14:uncheckedState w14:val="2610" w14:font="MS Gothic"/>
                </w14:checkbox>
              </w:sdtPr>
              <w:sdtEndPr>
                <w:rPr>
                  <w:rFonts w:hint="eastAsia" w:ascii="仿宋_GB2312" w:hAnsi="仿宋_GB2312" w:eastAsia="仿宋_GB2312" w:cs="仿宋_GB2312"/>
                  <w:sz w:val="24"/>
                </w:rPr>
              </w:sdtEndPr>
              <w:sdtContent>
                <w:r>
                  <w:rPr>
                    <w:rFonts w:hint="eastAsia" w:ascii="MS Gothic" w:hAnsi="MS Gothic" w:eastAsia="仿宋" w:cs="仿宋"/>
                    <w:sz w:val="24"/>
                  </w:rPr>
                  <w:t>☐</w:t>
                </w:r>
              </w:sdtContent>
            </w:sdt>
            <w:r>
              <w:rPr>
                <w:rFonts w:hint="eastAsia" w:ascii="仿宋_GB2312" w:hAnsi="仿宋_GB2312" w:eastAsia="仿宋_GB2312" w:cs="仿宋_GB2312"/>
                <w:sz w:val="24"/>
              </w:rPr>
              <w:t>样品分超过价格分的50%，理由</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32CCBF6">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详见招标文件第四部分评标办分法。 </w:t>
            </w:r>
          </w:p>
          <w:p w14:paraId="0AE312E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（4）是否需要随样品提交检测报告：</w:t>
            </w:r>
            <w:sdt>
              <w:sdtPr>
                <w:rPr>
                  <w:rFonts w:hint="eastAsia" w:ascii="仿宋" w:hAnsi="仿宋" w:eastAsia="仿宋" w:cs="仿宋"/>
                  <w:kern w:val="0"/>
                  <w:sz w:val="24"/>
                </w:rPr>
                <w:id w:val="147472227"/>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MS Gothic" w:hAnsi="MS Gothic" w:eastAsia="仿宋" w:cs="仿宋"/>
                    <w:kern w:val="0"/>
                    <w:sz w:val="24"/>
                  </w:rPr>
                  <w:t>☐</w:t>
                </w:r>
              </w:sdtContent>
            </w:sdt>
            <w:r>
              <w:rPr>
                <w:rFonts w:hint="eastAsia" w:ascii="仿宋_GB2312" w:hAnsi="仿宋_GB2312" w:eastAsia="仿宋_GB2312" w:cs="仿宋_GB2312"/>
                <w:kern w:val="0"/>
                <w:sz w:val="24"/>
              </w:rPr>
              <w:t>否；</w:t>
            </w:r>
            <w:sdt>
              <w:sdtPr>
                <w:rPr>
                  <w:rFonts w:hint="eastAsia" w:ascii="仿宋" w:hAnsi="仿宋" w:eastAsia="仿宋" w:cs="仿宋"/>
                  <w:kern w:val="0"/>
                  <w:sz w:val="24"/>
                </w:rPr>
                <w:id w:val="147474885"/>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 w:hAnsi="仿宋" w:eastAsia="仿宋" w:cs="仿宋"/>
                    <w:kern w:val="0"/>
                    <w:sz w:val="24"/>
                  </w:rPr>
                  <w:t>☐</w:t>
                </w:r>
              </w:sdtContent>
            </w:sdt>
            <w:r>
              <w:rPr>
                <w:rFonts w:hint="eastAsia" w:ascii="仿宋_GB2312" w:hAnsi="仿宋_GB2312" w:eastAsia="仿宋_GB2312" w:cs="仿宋_GB2312"/>
                <w:kern w:val="0"/>
                <w:sz w:val="24"/>
              </w:rPr>
              <w:t>是，检测机构的要求</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无  </w:t>
            </w:r>
            <w:r>
              <w:rPr>
                <w:rFonts w:hint="eastAsia" w:ascii="仿宋_GB2312" w:hAnsi="仿宋_GB2312" w:eastAsia="仿宋_GB2312" w:cs="仿宋_GB2312"/>
                <w:kern w:val="0"/>
                <w:sz w:val="24"/>
              </w:rPr>
              <w:t>；检测内容</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无  </w:t>
            </w:r>
            <w:r>
              <w:rPr>
                <w:rFonts w:hint="eastAsia" w:ascii="仿宋_GB2312" w:hAnsi="仿宋_GB2312" w:eastAsia="仿宋_GB2312" w:cs="仿宋_GB2312"/>
                <w:kern w:val="0"/>
                <w:sz w:val="24"/>
              </w:rPr>
              <w:t>。</w:t>
            </w:r>
          </w:p>
          <w:p w14:paraId="44D5CCD7">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；地点：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kern w:val="28"/>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。请投标人在上述时间内提供样品并按规定位置安装完毕。超过截止时间的，采购人或采购代理机构将不予接收，并将清场并封闭样品现场。</w:t>
            </w:r>
          </w:p>
          <w:p w14:paraId="347D75F0">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BCAA898">
            <w:pPr>
              <w:spacing w:line="360" w:lineRule="auto"/>
              <w:rPr>
                <w:rFonts w:ascii="仿宋" w:hAnsi="仿宋" w:eastAsia="仿宋" w:cs="仿宋"/>
                <w:b/>
                <w:sz w:val="24"/>
              </w:rPr>
            </w:pPr>
            <w:r>
              <w:rPr>
                <w:rFonts w:hint="eastAsia" w:ascii="仿宋_GB2312" w:hAnsi="仿宋_GB2312" w:eastAsia="仿宋_GB2312" w:cs="仿宋_GB2312"/>
                <w:sz w:val="24"/>
              </w:rPr>
              <w:t>（7）制作、运输、安装和保管样品所发生的一切费用由投标人自理。</w:t>
            </w:r>
          </w:p>
        </w:tc>
      </w:tr>
      <w:tr w14:paraId="6C4D5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76A36BD">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C1EB8FF">
            <w:pPr>
              <w:snapToGrid w:val="0"/>
              <w:spacing w:line="360" w:lineRule="auto"/>
              <w:jc w:val="center"/>
              <w:rPr>
                <w:rFonts w:ascii="仿宋_GB2312" w:hAnsi="仿宋_GB2312" w:eastAsia="仿宋_GB2312" w:cs="仿宋_GB2312"/>
                <w:bCs/>
                <w:sz w:val="24"/>
              </w:rPr>
            </w:pPr>
            <w:r>
              <w:rPr>
                <w:rFonts w:hint="eastAsia" w:ascii="仿宋_GB2312" w:hAnsi="仿宋_GB2312"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45ABAEB">
            <w:pPr>
              <w:spacing w:line="360" w:lineRule="auto"/>
              <w:rPr>
                <w:rFonts w:ascii="仿宋" w:hAnsi="仿宋" w:eastAsia="仿宋" w:cs="仿宋"/>
                <w:sz w:val="24"/>
              </w:rPr>
            </w:pPr>
            <w:sdt>
              <w:sdtPr>
                <w:rPr>
                  <w:rFonts w:hint="eastAsia" w:ascii="仿宋" w:hAnsi="仿宋" w:eastAsia="仿宋" w:cs="仿宋"/>
                  <w:kern w:val="0"/>
                  <w:sz w:val="24"/>
                </w:rPr>
                <w:id w:val="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14:paraId="450AA010">
            <w:pPr>
              <w:spacing w:line="360" w:lineRule="auto"/>
              <w:rPr>
                <w:rFonts w:ascii="仿宋" w:hAnsi="仿宋" w:eastAsia="仿宋" w:cs="仿宋"/>
                <w:kern w:val="0"/>
                <w:sz w:val="24"/>
              </w:rPr>
            </w:pPr>
            <w:sdt>
              <w:sdtPr>
                <w:rPr>
                  <w:rFonts w:hint="eastAsia" w:ascii="仿宋" w:hAnsi="仿宋" w:eastAsia="仿宋" w:cs="仿宋"/>
                  <w:kern w:val="0"/>
                  <w:sz w:val="24"/>
                </w:rPr>
                <w:id w:val="14747169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rPr>
                  <w:t>☐</w:t>
                </w:r>
              </w:sdtContent>
            </w:sdt>
            <w:r>
              <w:rPr>
                <w:rFonts w:hint="eastAsia" w:ascii="仿宋_GB2312" w:hAnsi="仿宋_GB2312" w:eastAsia="仿宋_GB2312" w:cs="仿宋_GB2312"/>
                <w:kern w:val="0"/>
                <w:sz w:val="24"/>
              </w:rPr>
              <w:t>B组织。</w:t>
            </w:r>
          </w:p>
          <w:p w14:paraId="7232D3A4">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（1）在评标时安排每个投标人进行方案讲解演示。每个投标人时间不超过30分钟，讲解次序以投标文件解密时间先后次序为准，讲解演示人员不超过3人。讲解演示结束后按要求解答评标委员会提问。</w:t>
            </w:r>
          </w:p>
          <w:p w14:paraId="58677CED">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（2）方案讲解演示：</w:t>
            </w:r>
          </w:p>
          <w:p w14:paraId="51CB4CD2">
            <w:pPr>
              <w:snapToGrid w:val="0"/>
              <w:spacing w:line="360" w:lineRule="auto"/>
              <w:rPr>
                <w:rFonts w:ascii="仿宋_GB2312" w:hAnsi="仿宋_GB2312" w:eastAsia="仿宋_GB2312" w:cs="仿宋_GB2312"/>
                <w:kern w:val="0"/>
                <w:sz w:val="24"/>
              </w:rPr>
            </w:pPr>
            <w:sdt>
              <w:sdtPr>
                <w:rPr>
                  <w:rFonts w:hint="eastAsia" w:ascii="仿宋" w:hAnsi="仿宋" w:eastAsia="仿宋" w:cs="仿宋"/>
                  <w:kern w:val="0"/>
                  <w:sz w:val="24"/>
                </w:rPr>
                <w:id w:val="549421565"/>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MS Gothic" w:hAnsi="MS Gothic" w:eastAsia="仿宋" w:cs="仿宋"/>
                    <w:kern w:val="0"/>
                    <w:sz w:val="24"/>
                  </w:rPr>
                  <w:t>☐</w:t>
                </w:r>
              </w:sdtContent>
            </w:sdt>
            <w:r>
              <w:rPr>
                <w:rFonts w:hint="eastAsia" w:ascii="仿宋_GB2312" w:hAnsi="仿宋_GB2312" w:eastAsia="仿宋_GB2312" w:cs="仿宋_GB2312"/>
                <w:kern w:val="0"/>
                <w:sz w:val="24"/>
              </w:rPr>
              <w:t>方式一：政采云平台在线讲解演示。政采云平台在线讲解需投标人根据政采云平台操作要求做好准备工作，提前完善软硬件配置环境。</w:t>
            </w:r>
          </w:p>
          <w:p w14:paraId="7553EABC">
            <w:pPr>
              <w:snapToGrid w:val="0"/>
              <w:spacing w:line="360" w:lineRule="auto"/>
              <w:rPr>
                <w:rFonts w:ascii="仿宋_GB2312" w:hAnsi="仿宋_GB2312" w:eastAsia="仿宋_GB2312" w:cs="仿宋_GB2312"/>
                <w:kern w:val="0"/>
                <w:sz w:val="24"/>
              </w:rPr>
            </w:pPr>
            <w:sdt>
              <w:sdtPr>
                <w:rPr>
                  <w:rFonts w:hint="eastAsia" w:ascii="仿宋" w:hAnsi="仿宋" w:eastAsia="仿宋" w:cs="仿宋"/>
                  <w:kern w:val="0"/>
                  <w:sz w:val="24"/>
                </w:rPr>
                <w:id w:val="492224104"/>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MS Gothic" w:hAnsi="MS Gothic" w:eastAsia="仿宋" w:cs="仿宋"/>
                    <w:kern w:val="0"/>
                    <w:sz w:val="24"/>
                  </w:rPr>
                  <w:t>☐</w:t>
                </w:r>
              </w:sdtContent>
            </w:sdt>
            <w:r>
              <w:rPr>
                <w:rFonts w:hint="eastAsia" w:ascii="仿宋_GB2312" w:hAnsi="仿宋_GB2312" w:eastAsia="仿宋_GB2312" w:cs="仿宋_GB2312"/>
                <w:kern w:val="0"/>
                <w:sz w:val="24"/>
              </w:rPr>
              <w:t>方式二：交易中心现场讲解演示。现场讲解地点为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，讲解演示所用电脑等设备由投标人自备。现场讲解演示人员进场时须提供在投标单位（或其分公司）参加社保的凭证、讲解人员名单（加盖公章或授权代表签名）及身份证明，否则不得讲解演示。</w:t>
            </w:r>
          </w:p>
          <w:p w14:paraId="7A6AB398">
            <w:pPr>
              <w:snapToGrid w:val="0"/>
              <w:spacing w:line="360" w:lineRule="auto"/>
              <w:rPr>
                <w:rFonts w:ascii="仿宋" w:hAnsi="仿宋" w:eastAsia="仿宋" w:cs="仿宋"/>
                <w:b/>
                <w:kern w:val="0"/>
                <w:sz w:val="24"/>
                <w:lang w:val="zh-CN"/>
              </w:rPr>
            </w:pPr>
            <w:r>
              <w:rPr>
                <w:rFonts w:hint="eastAsia" w:ascii="仿宋_GB2312" w:hAnsi="仿宋_GB2312" w:eastAsia="仿宋_GB2312" w:cs="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8EA2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A3958B0">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843" w:type="dxa"/>
            <w:vMerge w:val="restart"/>
            <w:tcBorders>
              <w:top w:val="single" w:color="000000" w:sz="8" w:space="0"/>
              <w:left w:val="single" w:color="auto" w:sz="4" w:space="0"/>
              <w:right w:val="single" w:color="000000" w:sz="8" w:space="0"/>
            </w:tcBorders>
            <w:vAlign w:val="center"/>
          </w:tcPr>
          <w:p w14:paraId="6B1308FC">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1397CC">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（1）资格证明文件：见招标文件第二部分11.1。</w:t>
            </w:r>
          </w:p>
          <w:p w14:paraId="7370970E">
            <w:pPr>
              <w:spacing w:line="360" w:lineRule="auto"/>
              <w:rPr>
                <w:rFonts w:ascii="仿宋_GB2312" w:hAnsi="仿宋_GB2312" w:eastAsia="仿宋_GB2312" w:cs="仿宋_GB2312"/>
                <w:snapToGrid w:val="0"/>
                <w:kern w:val="0"/>
                <w:szCs w:val="21"/>
              </w:rPr>
            </w:pPr>
            <w:r>
              <w:rPr>
                <w:rFonts w:hint="eastAsia" w:ascii="仿宋_GB2312" w:hAnsi="仿宋_GB2312" w:eastAsia="仿宋_GB2312" w:cs="仿宋_GB2312"/>
                <w:kern w:val="0"/>
                <w:sz w:val="24"/>
                <w:lang w:val="zh-CN"/>
              </w:rPr>
              <w:t>投标人未提供有效的资格证明文件的，视为投标人不具备招标文件中规定的资格要求，投标无效。</w:t>
            </w:r>
          </w:p>
        </w:tc>
      </w:tr>
      <w:tr w14:paraId="3595D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4173C58F">
            <w:pPr>
              <w:snapToGrid w:val="0"/>
              <w:spacing w:line="360" w:lineRule="auto"/>
              <w:jc w:val="center"/>
              <w:rPr>
                <w:rFonts w:ascii="仿宋_GB2312" w:hAnsi="仿宋_GB2312"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14:paraId="6DB45701">
            <w:pPr>
              <w:snapToGrid w:val="0"/>
              <w:spacing w:line="360" w:lineRule="auto"/>
              <w:jc w:val="center"/>
              <w:rPr>
                <w:rFonts w:ascii="仿宋_GB2312" w:hAnsi="仿宋_GB2312"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3A5C6C">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（2）资信证明文件：根据招标文件第四部分评标标准提供。</w:t>
            </w:r>
          </w:p>
        </w:tc>
      </w:tr>
      <w:tr w14:paraId="58D2B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2CD58BE">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70A5D058">
            <w:pPr>
              <w:snapToGrid w:val="0"/>
              <w:spacing w:line="360" w:lineRule="auto"/>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503AB72C">
            <w:pPr>
              <w:snapToGrid w:val="0"/>
              <w:spacing w:line="360" w:lineRule="auto"/>
              <w:rPr>
                <w:rFonts w:ascii="仿宋_GB2312" w:hAnsi="仿宋_GB2312" w:eastAsia="仿宋_GB2312" w:cs="仿宋_GB2312"/>
                <w:sz w:val="24"/>
                <w:highlight w:val="none"/>
                <w:lang w:val="zh-CN"/>
              </w:rPr>
            </w:pPr>
            <w:sdt>
              <w:sdtPr>
                <w:rPr>
                  <w:rFonts w:hint="eastAsia" w:ascii="仿宋" w:hAnsi="仿宋" w:eastAsia="仿宋" w:cs="仿宋"/>
                  <w:sz w:val="24"/>
                  <w:highlight w:val="none"/>
                </w:rPr>
                <w:id w:val="386232013"/>
                <w14:checkbox>
                  <w14:checked w14:val="0"/>
                  <w14:checkedState w14:val="00FE" w14:font="Wingdings"/>
                  <w14:uncheckedState w14:val="2610" w14:font="MS Gothic"/>
                </w14:checkbox>
              </w:sdtPr>
              <w:sdtEndPr>
                <w:rPr>
                  <w:rFonts w:hint="eastAsia" w:ascii="仿宋_GB2312" w:hAnsi="仿宋_GB2312" w:eastAsia="仿宋_GB2312" w:cs="仿宋_GB2312"/>
                  <w:sz w:val="24"/>
                  <w:highlight w:val="none"/>
                  <w:lang w:val="zh-CN"/>
                </w:rPr>
              </w:sdtEndPr>
              <w:sdtContent>
                <w:r>
                  <w:rPr>
                    <w:rFonts w:ascii="MS Gothic" w:hAnsi="MS Gothic" w:eastAsia="仿宋" w:cs="仿宋"/>
                    <w:sz w:val="24"/>
                    <w:highlight w:val="none"/>
                    <w:lang w:val="zh-CN"/>
                  </w:rPr>
                  <w:t>☐</w:t>
                </w:r>
              </w:sdtContent>
            </w:sdt>
            <w:r>
              <w:rPr>
                <w:rFonts w:hint="eastAsia" w:ascii="仿宋_GB2312" w:hAnsi="仿宋_GB2312" w:eastAsia="仿宋_GB2312" w:cs="仿宋_GB2312"/>
                <w:sz w:val="24"/>
                <w:highlight w:val="none"/>
                <w:lang w:val="zh-CN"/>
              </w:rPr>
              <w:t>依据国家确定的认证机构出具的、处于有效期之内的节能产品认证证书，对获得证书的产品实施政府优先采购或强制采购；其中，</w:t>
            </w:r>
            <w:r>
              <w:rPr>
                <w:rFonts w:hint="eastAsia" w:ascii="仿宋_GB2312" w:hAnsi="仿宋_GB2312" w:eastAsia="仿宋_GB2312" w:cs="仿宋_GB2312"/>
                <w:kern w:val="0"/>
                <w:sz w:val="24"/>
                <w:highlight w:val="none"/>
                <w:lang w:val="zh-CN"/>
              </w:rPr>
              <w:t>对产品名称</w:t>
            </w:r>
            <w:r>
              <w:rPr>
                <w:rFonts w:hint="eastAsia" w:ascii="仿宋_GB2312" w:hAnsi="仿宋_GB2312" w:eastAsia="仿宋_GB2312" w:cs="仿宋_GB2312"/>
                <w:kern w:val="0"/>
                <w:sz w:val="24"/>
                <w:highlight w:val="none"/>
                <w:u w:val="single"/>
              </w:rPr>
              <w:t xml:space="preserve">   </w:t>
            </w:r>
            <w:r>
              <w:rPr>
                <w:rFonts w:hint="eastAsia" w:ascii="仿宋_GB2312" w:hAnsi="仿宋_GB2312" w:eastAsia="仿宋_GB2312" w:cs="仿宋_GB2312"/>
                <w:snapToGrid w:val="0"/>
                <w:kern w:val="0"/>
                <w:sz w:val="24"/>
                <w:highlight w:val="none"/>
                <w:u w:val="single"/>
              </w:rPr>
              <w:t xml:space="preserve"> </w:t>
            </w:r>
            <w:r>
              <w:rPr>
                <w:rFonts w:hint="eastAsia" w:ascii="仿宋_GB2312" w:hAnsi="仿宋_GB2312" w:eastAsia="仿宋_GB2312" w:cs="仿宋_GB2312"/>
                <w:kern w:val="0"/>
                <w:sz w:val="24"/>
                <w:highlight w:val="none"/>
                <w:lang w:val="zh-CN"/>
              </w:rPr>
              <w:t>实施政府优先采购，</w:t>
            </w:r>
            <w:r>
              <w:rPr>
                <w:rFonts w:hint="eastAsia" w:ascii="仿宋_GB2312" w:hAnsi="仿宋_GB2312" w:eastAsia="仿宋_GB2312" w:cs="仿宋_GB2312"/>
                <w:sz w:val="24"/>
                <w:highlight w:val="none"/>
              </w:rPr>
              <w:t>详</w:t>
            </w:r>
            <w:r>
              <w:rPr>
                <w:rFonts w:hint="eastAsia" w:ascii="仿宋_GB2312" w:hAnsi="仿宋_GB2312" w:eastAsia="仿宋_GB2312" w:cs="仿宋_GB2312"/>
                <w:sz w:val="24"/>
                <w:highlight w:val="none"/>
                <w:lang w:val="zh-CN"/>
              </w:rPr>
              <w:t>见评分标准；</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lang w:val="zh-CN"/>
              </w:rPr>
              <w:t>对产品名称</w:t>
            </w:r>
            <w:r>
              <w:rPr>
                <w:rFonts w:hint="eastAsia" w:ascii="仿宋_GB2312" w:hAnsi="仿宋_GB2312" w:eastAsia="仿宋_GB2312" w:cs="仿宋_GB2312"/>
                <w:kern w:val="0"/>
                <w:sz w:val="24"/>
                <w:highlight w:val="none"/>
                <w:u w:val="single"/>
              </w:rPr>
              <w:t xml:space="preserve">   </w:t>
            </w:r>
            <w:r>
              <w:rPr>
                <w:rFonts w:hint="eastAsia" w:ascii="仿宋_GB2312" w:hAnsi="仿宋_GB2312" w:eastAsia="仿宋_GB2312" w:cs="仿宋_GB2312"/>
                <w:snapToGrid w:val="0"/>
                <w:kern w:val="0"/>
                <w:sz w:val="24"/>
                <w:highlight w:val="none"/>
                <w:u w:val="single"/>
              </w:rPr>
              <w:t xml:space="preserve"> </w:t>
            </w:r>
            <w:r>
              <w:rPr>
                <w:rFonts w:hint="eastAsia" w:ascii="仿宋_GB2312" w:hAnsi="仿宋_GB2312" w:eastAsia="仿宋_GB2312" w:cs="仿宋_GB2312"/>
                <w:kern w:val="0"/>
                <w:sz w:val="24"/>
                <w:highlight w:val="none"/>
                <w:lang w:val="zh-CN"/>
              </w:rPr>
              <w:t>实施政府强制采购，</w:t>
            </w:r>
            <w:r>
              <w:rPr>
                <w:rFonts w:hint="eastAsia" w:ascii="仿宋_GB2312" w:hAnsi="仿宋_GB2312" w:eastAsia="仿宋_GB2312" w:cs="仿宋_GB2312"/>
                <w:sz w:val="24"/>
                <w:highlight w:val="none"/>
                <w:lang w:val="zh-CN"/>
              </w:rPr>
              <w:t>投标人</w:t>
            </w:r>
            <w:r>
              <w:rPr>
                <w:rFonts w:hint="eastAsia" w:ascii="仿宋_GB2312" w:hAnsi="仿宋_GB2312" w:eastAsia="仿宋_GB2312" w:cs="仿宋_GB2312"/>
                <w:sz w:val="24"/>
                <w:highlight w:val="none"/>
              </w:rPr>
              <w:t>就</w:t>
            </w:r>
            <w:r>
              <w:rPr>
                <w:rFonts w:hint="eastAsia" w:ascii="仿宋_GB2312" w:hAnsi="仿宋_GB2312" w:eastAsia="仿宋_GB2312" w:cs="仿宋_GB2312"/>
                <w:sz w:val="24"/>
                <w:highlight w:val="none"/>
                <w:lang w:val="zh-CN"/>
              </w:rPr>
              <w:t>相应的投标产品未</w:t>
            </w:r>
            <w:r>
              <w:rPr>
                <w:rFonts w:hint="eastAsia" w:ascii="仿宋_GB2312" w:hAnsi="仿宋_GB2312" w:eastAsia="仿宋_GB2312" w:cs="仿宋_GB2312"/>
                <w:sz w:val="24"/>
                <w:highlight w:val="none"/>
              </w:rPr>
              <w:t>提供</w:t>
            </w:r>
            <w:r>
              <w:rPr>
                <w:rFonts w:hint="eastAsia" w:ascii="仿宋_GB2312" w:hAnsi="仿宋_GB2312" w:eastAsia="仿宋_GB2312" w:cs="仿宋_GB2312"/>
                <w:sz w:val="24"/>
                <w:highlight w:val="none"/>
                <w:lang w:val="zh-CN"/>
              </w:rPr>
              <w:t>国家确定的认证机构出具的、处于有效期之内的节能产品认证证书的，投标无效。</w:t>
            </w:r>
          </w:p>
          <w:p w14:paraId="76CAA50C">
            <w:pPr>
              <w:snapToGrid w:val="0"/>
              <w:spacing w:line="360" w:lineRule="auto"/>
              <w:rPr>
                <w:rFonts w:ascii="仿宋_GB2312" w:hAnsi="仿宋_GB2312" w:eastAsia="仿宋_GB2312" w:cs="仿宋_GB2312"/>
                <w:kern w:val="0"/>
                <w:sz w:val="24"/>
                <w:highlight w:val="none"/>
                <w:lang w:val="zh-CN"/>
              </w:rPr>
            </w:pPr>
            <w:sdt>
              <w:sdtPr>
                <w:rPr>
                  <w:rFonts w:hint="eastAsia" w:ascii="仿宋" w:hAnsi="仿宋" w:eastAsia="仿宋" w:cs="仿宋"/>
                  <w:sz w:val="24"/>
                  <w:highlight w:val="none"/>
                  <w:lang w:val="zh-CN"/>
                </w:rPr>
                <w:id w:val="93515011"/>
                <w14:checkbox>
                  <w14:checked w14:val="0"/>
                  <w14:checkedState w14:val="00FE" w14:font="Wingdings"/>
                  <w14:uncheckedState w14:val="2610" w14:font="MS Gothic"/>
                </w14:checkbox>
              </w:sdtPr>
              <w:sdtEndPr>
                <w:rPr>
                  <w:rFonts w:hint="eastAsia" w:ascii="仿宋_GB2312" w:hAnsi="仿宋_GB2312" w:eastAsia="仿宋_GB2312" w:cs="仿宋_GB2312"/>
                  <w:sz w:val="24"/>
                  <w:highlight w:val="none"/>
                  <w:lang w:val="zh-CN"/>
                </w:rPr>
              </w:sdtEndPr>
              <w:sdtContent>
                <w:r>
                  <w:rPr>
                    <w:rFonts w:ascii="MS Gothic" w:hAnsi="MS Gothic" w:eastAsia="仿宋" w:cs="仿宋"/>
                    <w:sz w:val="24"/>
                    <w:highlight w:val="none"/>
                    <w:lang w:val="zh-CN"/>
                  </w:rPr>
                  <w:t>☐</w:t>
                </w:r>
              </w:sdtContent>
            </w:sdt>
            <w:r>
              <w:rPr>
                <w:rFonts w:hint="eastAsia" w:ascii="仿宋_GB2312" w:hAnsi="仿宋_GB2312" w:eastAsia="仿宋_GB2312" w:cs="仿宋_GB2312"/>
                <w:sz w:val="24"/>
                <w:highlight w:val="none"/>
                <w:lang w:val="zh-CN"/>
              </w:rPr>
              <w:t>依据国家确定的认证机构出具的、处于有效期之内的环境标志产品认证证书，对获得证书的产品名称</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lang w:val="zh-CN"/>
              </w:rPr>
              <w:t>实施政府优先采购，详见评分标准。</w:t>
            </w:r>
          </w:p>
          <w:p w14:paraId="34DB52AA">
            <w:pPr>
              <w:snapToGrid w:val="0"/>
              <w:spacing w:line="360" w:lineRule="auto"/>
              <w:rPr>
                <w:rFonts w:ascii="仿宋" w:hAnsi="仿宋" w:eastAsia="仿宋" w:cs="仿宋"/>
                <w:sz w:val="24"/>
                <w:highlight w:val="none"/>
              </w:rPr>
            </w:pPr>
            <w:sdt>
              <w:sdtPr>
                <w:rPr>
                  <w:rFonts w:hint="eastAsia" w:ascii="仿宋" w:hAnsi="仿宋" w:eastAsia="仿宋" w:cs="仿宋"/>
                  <w:sz w:val="24"/>
                  <w:highlight w:val="none"/>
                </w:rPr>
                <w:id w:val="1103078003"/>
                <w14:checkbox>
                  <w14:checked w14:val="1"/>
                  <w14:checkedState w14:val="00FE" w14:font="Wingdings"/>
                  <w14:uncheckedState w14:val="2610" w14:font="MS Gothic"/>
                </w14:checkbox>
              </w:sdtPr>
              <w:sdtEndPr>
                <w:rPr>
                  <w:rFonts w:hint="eastAsia" w:ascii="仿宋" w:hAnsi="仿宋" w:eastAsia="仿宋" w:cs="仿宋"/>
                  <w:sz w:val="24"/>
                  <w:highlight w:val="none"/>
                </w:rPr>
              </w:sdtEndPr>
              <w:sdtContent>
                <w:r>
                  <w:rPr>
                    <w:rFonts w:ascii="Wingdings" w:hAnsi="Wingdings" w:eastAsia="仿宋" w:cs="Segoe UI Symbol"/>
                    <w:sz w:val="24"/>
                    <w:highlight w:val="none"/>
                  </w:rPr>
                  <w:t></w:t>
                </w:r>
              </w:sdtContent>
            </w:sdt>
            <w:r>
              <w:rPr>
                <w:rFonts w:hint="eastAsia" w:ascii="仿宋_GB2312" w:hAnsi="仿宋_GB2312" w:eastAsia="仿宋_GB2312" w:cs="仿宋_GB2312"/>
                <w:sz w:val="24"/>
                <w:highlight w:val="none"/>
              </w:rPr>
              <w:t>无。</w:t>
            </w:r>
          </w:p>
        </w:tc>
      </w:tr>
      <w:tr w14:paraId="26BE1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1FFC922">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702B6D43">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BDA83FF">
            <w:pPr>
              <w:snapToGrid w:val="0"/>
              <w:spacing w:line="360" w:lineRule="auto"/>
              <w:jc w:val="left"/>
              <w:rPr>
                <w:rFonts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有关本项目实施所需的所有费用（含税费）均计入报价。投标文件开标一览表（报价表）</w:t>
            </w:r>
            <w:r>
              <w:rPr>
                <w:rFonts w:hint="eastAsia" w:ascii="仿宋_GB2312" w:hAnsi="仿宋_GB2312" w:eastAsia="仿宋_GB2312" w:cs="仿宋_GB2312"/>
                <w:sz w:val="24"/>
              </w:rPr>
              <w:t>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kern w:val="0"/>
                <w:sz w:val="24"/>
                <w:lang w:val="zh-CN"/>
              </w:rPr>
              <w:t>投标文件中价格全部采用人民币报价。招标文件未列明，而投标人认为必需的费用也需列入报价。</w:t>
            </w:r>
            <w:r>
              <w:rPr>
                <w:rFonts w:hint="eastAsia" w:ascii="仿宋_GB2312" w:hAnsi="仿宋_GB2312" w:eastAsia="仿宋_GB2312" w:cs="仿宋_GB2312"/>
                <w:b/>
                <w:kern w:val="0"/>
                <w:sz w:val="24"/>
                <w:lang w:val="zh-CN"/>
              </w:rPr>
              <w:t>提醒：验收时检测费用由</w:t>
            </w:r>
            <w:r>
              <w:rPr>
                <w:rFonts w:hint="eastAsia" w:ascii="仿宋_GB2312" w:hAnsi="仿宋_GB2312" w:eastAsia="仿宋_GB2312" w:cs="仿宋_GB2312"/>
                <w:b/>
                <w:kern w:val="0"/>
                <w:sz w:val="24"/>
              </w:rPr>
              <w:t>采购人</w:t>
            </w:r>
            <w:r>
              <w:rPr>
                <w:rFonts w:hint="eastAsia" w:ascii="仿宋_GB2312" w:hAnsi="仿宋_GB2312" w:eastAsia="仿宋_GB2312" w:cs="仿宋_GB2312"/>
                <w:b/>
                <w:kern w:val="0"/>
                <w:sz w:val="24"/>
                <w:lang w:val="zh-CN"/>
              </w:rPr>
              <w:t>承担，不包含在投标总价中。</w:t>
            </w:r>
          </w:p>
          <w:p w14:paraId="78F3C34F">
            <w:pPr>
              <w:snapToGrid w:val="0"/>
              <w:spacing w:line="360" w:lineRule="auto"/>
              <w:ind w:firstLine="241" w:firstLineChars="100"/>
              <w:jc w:val="left"/>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投标报价出现下列情形的，投标无效：</w:t>
            </w:r>
          </w:p>
          <w:p w14:paraId="647AF5ED">
            <w:pPr>
              <w:snapToGrid w:val="0"/>
              <w:spacing w:line="360" w:lineRule="auto"/>
              <w:ind w:firstLine="241" w:firstLineChars="100"/>
              <w:jc w:val="left"/>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投标文件出现不是唯一的、有选择性投标报价的；</w:t>
            </w:r>
          </w:p>
          <w:p w14:paraId="0B960CA0">
            <w:pPr>
              <w:snapToGrid w:val="0"/>
              <w:spacing w:line="360" w:lineRule="auto"/>
              <w:ind w:firstLine="241" w:firstLineChars="100"/>
              <w:jc w:val="left"/>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投标报价超过招标文件中规定的预算金额或者最高限价的;</w:t>
            </w:r>
          </w:p>
          <w:p w14:paraId="40975A43">
            <w:pPr>
              <w:spacing w:line="360" w:lineRule="auto"/>
              <w:ind w:firstLine="241" w:firstLineChars="100"/>
              <w:rPr>
                <w:rFonts w:ascii="仿宋_GB2312" w:hAnsi="仿宋_GB2312" w:eastAsia="仿宋_GB2312" w:cs="仿宋_GB2312"/>
                <w:b/>
                <w:sz w:val="24"/>
              </w:rPr>
            </w:pPr>
            <w:r>
              <w:rPr>
                <w:rFonts w:hint="eastAsia" w:ascii="仿宋_GB2312" w:hAnsi="仿宋_GB2312" w:eastAsia="仿宋_GB2312" w:cs="仿宋_GB2312"/>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szCs w:val="21"/>
              </w:rPr>
              <w:t>;</w:t>
            </w:r>
          </w:p>
          <w:p w14:paraId="1DFBA312">
            <w:pPr>
              <w:spacing w:line="360" w:lineRule="auto"/>
              <w:ind w:firstLine="241" w:firstLineChars="100"/>
              <w:rPr>
                <w:rFonts w:ascii="仿宋_GB2312" w:hAnsi="仿宋_GB2312" w:eastAsia="仿宋_GB2312" w:cs="仿宋_GB2312"/>
                <w:sz w:val="24"/>
              </w:rPr>
            </w:pPr>
            <w:r>
              <w:rPr>
                <w:rFonts w:hint="eastAsia" w:ascii="仿宋_GB2312" w:hAnsi="仿宋_GB2312" w:eastAsia="仿宋_GB2312" w:cs="仿宋_GB2312"/>
                <w:b/>
                <w:kern w:val="0"/>
                <w:sz w:val="24"/>
              </w:rPr>
              <w:t>投标人对根据修正原则修正后的报价不确认的</w:t>
            </w:r>
            <w:r>
              <w:rPr>
                <w:rFonts w:hint="eastAsia" w:ascii="仿宋_GB2312" w:hAnsi="仿宋_GB2312" w:eastAsia="仿宋_GB2312" w:cs="仿宋_GB2312"/>
                <w:b/>
                <w:sz w:val="24"/>
              </w:rPr>
              <w:t>。</w:t>
            </w:r>
          </w:p>
        </w:tc>
      </w:tr>
      <w:tr w14:paraId="318BE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2"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6C298E2">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843" w:type="dxa"/>
            <w:vMerge w:val="restart"/>
            <w:tcBorders>
              <w:top w:val="single" w:color="000000" w:sz="8" w:space="0"/>
              <w:left w:val="single" w:color="auto" w:sz="4" w:space="0"/>
              <w:right w:val="single" w:color="000000" w:sz="8" w:space="0"/>
            </w:tcBorders>
            <w:vAlign w:val="center"/>
          </w:tcPr>
          <w:p w14:paraId="39D38FB5">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6EA8B9DD">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s://www.qiantang.gov.cn）“重要公告”-“政府采购专栏”，查看信用融资政策文件及各相关银行服务方案。</w:t>
            </w:r>
          </w:p>
        </w:tc>
      </w:tr>
      <w:tr w14:paraId="7C4DB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819C1BC">
            <w:pPr>
              <w:spacing w:line="360" w:lineRule="auto"/>
              <w:ind w:firstLine="480" w:firstLineChars="200"/>
              <w:jc w:val="center"/>
              <w:rPr>
                <w:rFonts w:ascii="仿宋_GB2312" w:hAnsi="仿宋_GB2312" w:eastAsia="仿宋_GB2312" w:cs="仿宋_GB2312"/>
              </w:rPr>
            </w:pPr>
          </w:p>
        </w:tc>
        <w:tc>
          <w:tcPr>
            <w:tcW w:w="1843" w:type="dxa"/>
            <w:vMerge w:val="continue"/>
            <w:tcBorders>
              <w:left w:val="single" w:color="auto" w:sz="4" w:space="0"/>
              <w:bottom w:val="single" w:color="000000" w:sz="8" w:space="0"/>
              <w:right w:val="single" w:color="000000" w:sz="8" w:space="0"/>
            </w:tcBorders>
            <w:vAlign w:val="center"/>
          </w:tcPr>
          <w:p w14:paraId="355210F4">
            <w:pPr>
              <w:spacing w:line="360" w:lineRule="auto"/>
              <w:ind w:firstLine="480" w:firstLineChars="200"/>
              <w:rPr>
                <w:rFonts w:ascii="仿宋_GB2312" w:hAnsi="仿宋_GB2312" w:eastAsia="仿宋_GB2312" w:cs="仿宋_GB2312"/>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310511">
            <w:pPr>
              <w:spacing w:line="360" w:lineRule="auto"/>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6FD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E105845">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843" w:type="dxa"/>
            <w:vMerge w:val="restart"/>
            <w:tcBorders>
              <w:top w:val="single" w:color="000000" w:sz="8" w:space="0"/>
              <w:left w:val="single" w:color="auto" w:sz="4" w:space="0"/>
              <w:bottom w:val="single" w:color="000000" w:sz="8" w:space="0"/>
              <w:right w:val="single" w:color="000000" w:sz="8" w:space="0"/>
            </w:tcBorders>
            <w:vAlign w:val="center"/>
          </w:tcPr>
          <w:p w14:paraId="5AA7F98F">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1FD508A">
            <w:pPr>
              <w:spacing w:line="360" w:lineRule="auto"/>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联合体投标的，联合体各方</w:t>
            </w:r>
            <w:r>
              <w:rPr>
                <w:rFonts w:hint="eastAsia" w:ascii="仿宋_GB2312" w:hAnsi="仿宋_GB2312" w:eastAsia="仿宋_GB2312" w:cs="仿宋_GB2312"/>
                <w:snapToGrid w:val="0"/>
                <w:kern w:val="28"/>
                <w:sz w:val="24"/>
                <w:highlight w:val="none"/>
              </w:rPr>
              <w:t>分别提供与联合体协议中规定的分工内容相应的业绩证明材料，业绩数量以提供材料较少的一方为准</w:t>
            </w:r>
            <w:r>
              <w:rPr>
                <w:rFonts w:hint="eastAsia" w:ascii="仿宋_GB2312" w:hAnsi="仿宋_GB2312" w:eastAsia="仿宋_GB2312" w:cs="仿宋_GB2312"/>
                <w:b/>
                <w:kern w:val="0"/>
                <w:sz w:val="24"/>
                <w:highlight w:val="none"/>
              </w:rPr>
              <w:t>。</w:t>
            </w:r>
          </w:p>
        </w:tc>
      </w:tr>
      <w:tr w14:paraId="098D5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4F694E4">
            <w:pPr>
              <w:spacing w:line="360" w:lineRule="auto"/>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14:paraId="01E11BA1">
            <w:pPr>
              <w:spacing w:line="360" w:lineRule="auto"/>
            </w:pPr>
          </w:p>
        </w:tc>
        <w:tc>
          <w:tcPr>
            <w:tcW w:w="6095" w:type="dxa"/>
            <w:tcBorders>
              <w:top w:val="single" w:color="000000" w:sz="8" w:space="0"/>
              <w:left w:val="single" w:color="000000" w:sz="2" w:space="0"/>
              <w:bottom w:val="single" w:color="000000" w:sz="8" w:space="0"/>
              <w:right w:val="single" w:color="000000" w:sz="8" w:space="0"/>
            </w:tcBorders>
            <w:vAlign w:val="center"/>
          </w:tcPr>
          <w:p w14:paraId="6962AA10">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187950727"/>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MS Gothic" w:hAnsi="MS Gothic" w:eastAsia="仿宋" w:cs="仿宋"/>
                    <w:kern w:val="0"/>
                    <w:sz w:val="24"/>
                  </w:rPr>
                  <w:t>☐</w:t>
                </w:r>
              </w:sdtContent>
            </w:sdt>
            <w:r>
              <w:rPr>
                <w:rFonts w:hint="eastAsia" w:ascii="仿宋_GB2312" w:hAnsi="仿宋_GB2312" w:eastAsia="仿宋_GB2312" w:cs="仿宋_GB2312"/>
                <w:snapToGrid w:val="0"/>
                <w:kern w:val="28"/>
                <w:sz w:val="24"/>
              </w:rPr>
              <w:t>联合体投标的，联合体各方均需按招标文件第四部分评标标准要求提供资信证明文件，否则视为不符合相关要求</w:t>
            </w:r>
            <w:r>
              <w:rPr>
                <w:rFonts w:hint="eastAsia" w:ascii="仿宋" w:hAnsi="仿宋" w:eastAsia="仿宋" w:cs="仿宋"/>
                <w:snapToGrid w:val="0"/>
                <w:kern w:val="28"/>
                <w:sz w:val="24"/>
              </w:rPr>
              <w:t>。</w:t>
            </w:r>
          </w:p>
          <w:p w14:paraId="3CFD033F">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504401428"/>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 w:hAnsi="仿宋" w:eastAsia="仿宋" w:cs="仿宋"/>
                    <w:kern w:val="0"/>
                    <w:sz w:val="24"/>
                  </w:rPr>
                  <w:sym w:font="Wingdings" w:char="F0FE"/>
                </w:r>
              </w:sdtContent>
            </w:sdt>
            <w:r>
              <w:rPr>
                <w:rFonts w:hint="eastAsia" w:ascii="仿宋_GB2312" w:hAnsi="仿宋_GB2312" w:eastAsia="仿宋_GB2312" w:cs="仿宋_GB2312"/>
                <w:snapToGrid w:val="0"/>
                <w:kern w:val="28"/>
                <w:sz w:val="24"/>
              </w:rPr>
              <w:t>联合体投标的，联合体中有一方或者联合体成员根据分工按招标文件第四部分评标标准要求提供资信证明文件的，视为符合了相关要求。</w:t>
            </w:r>
          </w:p>
        </w:tc>
      </w:tr>
      <w:tr w14:paraId="3BCFA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jc w:val="center"/>
          <w:ins w:id="0" w:author="user" w:date="2024-04-17T09:50:00Z"/>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9C76086">
            <w:pPr>
              <w:spacing w:line="360" w:lineRule="auto"/>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14:paraId="56D3B58E">
            <w:pPr>
              <w:spacing w:line="360" w:lineRule="auto"/>
            </w:pPr>
          </w:p>
        </w:tc>
        <w:tc>
          <w:tcPr>
            <w:tcW w:w="6095" w:type="dxa"/>
            <w:tcBorders>
              <w:top w:val="single" w:color="000000" w:sz="8" w:space="0"/>
              <w:left w:val="single" w:color="000000" w:sz="2" w:space="0"/>
              <w:bottom w:val="single" w:color="000000" w:sz="8" w:space="0"/>
              <w:right w:val="single" w:color="000000" w:sz="8" w:space="0"/>
            </w:tcBorders>
            <w:vAlign w:val="center"/>
          </w:tcPr>
          <w:p w14:paraId="5872FC62">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如联合体参与政府采购活动的，除联合体协议书外，由联合体牵头单位在投标文件中加盖相应章、签字即可；如联合体协议书另行约定的，按照联合体协议约定的执行。</w:t>
            </w:r>
          </w:p>
        </w:tc>
      </w:tr>
      <w:tr w14:paraId="4E902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2AABD7E">
            <w:pPr>
              <w:spacing w:line="360" w:lineRule="auto"/>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14:paraId="5C301688">
            <w:pPr>
              <w:spacing w:line="360" w:lineRule="auto"/>
            </w:pPr>
          </w:p>
        </w:tc>
        <w:tc>
          <w:tcPr>
            <w:tcW w:w="6095" w:type="dxa"/>
            <w:tcBorders>
              <w:top w:val="single" w:color="000000" w:sz="8" w:space="0"/>
              <w:left w:val="single" w:color="000000" w:sz="2" w:space="0"/>
              <w:bottom w:val="single" w:color="000000" w:sz="8" w:space="0"/>
              <w:right w:val="single" w:color="000000" w:sz="8" w:space="0"/>
            </w:tcBorders>
            <w:vAlign w:val="center"/>
          </w:tcPr>
          <w:p w14:paraId="4A6A0D6A">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评审因素对应的要求视为采购需求的一部分。</w:t>
            </w:r>
          </w:p>
        </w:tc>
      </w:tr>
      <w:tr w14:paraId="10988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 w:hRule="atLeast"/>
          <w:jc w:val="center"/>
        </w:trPr>
        <w:tc>
          <w:tcPr>
            <w:tcW w:w="629" w:type="dxa"/>
            <w:vMerge w:val="continue"/>
            <w:tcBorders>
              <w:left w:val="single" w:color="auto" w:sz="4" w:space="0"/>
              <w:bottom w:val="single" w:color="auto" w:sz="4" w:space="0"/>
              <w:right w:val="single" w:color="auto" w:sz="4" w:space="0"/>
            </w:tcBorders>
            <w:vAlign w:val="center"/>
          </w:tcPr>
          <w:p w14:paraId="32B6C9D6">
            <w:pPr>
              <w:spacing w:line="360" w:lineRule="auto"/>
            </w:pPr>
          </w:p>
        </w:tc>
        <w:tc>
          <w:tcPr>
            <w:tcW w:w="1843" w:type="dxa"/>
            <w:vMerge w:val="continue"/>
            <w:tcBorders>
              <w:left w:val="single" w:color="auto" w:sz="4" w:space="0"/>
              <w:bottom w:val="single" w:color="000000" w:sz="8" w:space="0"/>
              <w:right w:val="single" w:color="000000" w:sz="8" w:space="0"/>
            </w:tcBorders>
            <w:vAlign w:val="center"/>
          </w:tcPr>
          <w:p w14:paraId="464A70DF">
            <w:pPr>
              <w:spacing w:line="360" w:lineRule="auto"/>
            </w:pPr>
          </w:p>
        </w:tc>
        <w:tc>
          <w:tcPr>
            <w:tcW w:w="6095" w:type="dxa"/>
            <w:tcBorders>
              <w:top w:val="single" w:color="000000" w:sz="8" w:space="0"/>
              <w:left w:val="single" w:color="000000" w:sz="2" w:space="0"/>
              <w:bottom w:val="single" w:color="000000" w:sz="8" w:space="0"/>
              <w:right w:val="single" w:color="000000" w:sz="8" w:space="0"/>
            </w:tcBorders>
            <w:vAlign w:val="center"/>
          </w:tcPr>
          <w:p w14:paraId="301826DD">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en"/>
              </w:rPr>
              <w:t>本项目评审报告推荐的中标候选人数量：</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lang w:val="en-US" w:eastAsia="zh-CN"/>
              </w:rPr>
              <w:t>标项一</w:t>
            </w:r>
            <w:r>
              <w:rPr>
                <w:rFonts w:hint="eastAsia" w:ascii="仿宋_GB2312" w:hAnsi="仿宋_GB2312" w:eastAsia="仿宋_GB2312" w:cs="仿宋_GB2312"/>
                <w:kern w:val="0"/>
                <w:sz w:val="24"/>
                <w:u w:val="single"/>
              </w:rPr>
              <w:t>1名</w:t>
            </w:r>
            <w:r>
              <w:rPr>
                <w:rFonts w:hint="eastAsia" w:ascii="仿宋_GB2312" w:hAnsi="仿宋_GB2312" w:eastAsia="仿宋_GB2312" w:cs="仿宋_GB2312"/>
                <w:kern w:val="0"/>
                <w:sz w:val="24"/>
                <w:u w:val="single"/>
                <w:lang w:eastAsia="zh-CN"/>
              </w:rPr>
              <w:t>、</w:t>
            </w:r>
            <w:r>
              <w:rPr>
                <w:rFonts w:hint="eastAsia" w:ascii="仿宋_GB2312" w:hAnsi="仿宋_GB2312" w:eastAsia="仿宋_GB2312" w:cs="仿宋_GB2312"/>
                <w:kern w:val="0"/>
                <w:sz w:val="24"/>
                <w:u w:val="single"/>
                <w:lang w:val="en-US" w:eastAsia="zh-CN"/>
              </w:rPr>
              <w:t>标项二</w:t>
            </w:r>
            <w:r>
              <w:rPr>
                <w:rFonts w:hint="eastAsia" w:ascii="仿宋_GB2312" w:hAnsi="仿宋_GB2312" w:eastAsia="仿宋_GB2312" w:cs="仿宋_GB2312"/>
                <w:kern w:val="0"/>
                <w:sz w:val="24"/>
                <w:u w:val="single"/>
              </w:rPr>
              <w:t xml:space="preserve">1名   </w:t>
            </w:r>
            <w:r>
              <w:rPr>
                <w:rFonts w:hint="eastAsia" w:ascii="仿宋_GB2312" w:hAnsi="仿宋_GB2312" w:eastAsia="仿宋_GB2312" w:cs="仿宋_GB2312"/>
                <w:kern w:val="0"/>
                <w:sz w:val="24"/>
                <w:lang w:val="en"/>
              </w:rPr>
              <w:t>。</w:t>
            </w:r>
          </w:p>
        </w:tc>
      </w:tr>
      <w:tr w14:paraId="6CE76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93EF5B8">
            <w:pPr>
              <w:spacing w:line="360" w:lineRule="auto"/>
              <w:jc w:val="center"/>
              <w:rPr>
                <w:rFonts w:ascii="仿宋_GB2312" w:hAnsi="仿宋_GB2312" w:eastAsia="仿宋_GB2312" w:cs="仿宋_GB2312"/>
              </w:rPr>
            </w:pPr>
            <w:r>
              <w:rPr>
                <w:rFonts w:hint="eastAsia" w:ascii="仿宋_GB2312" w:hAnsi="仿宋_GB2312" w:eastAsia="仿宋_GB2312" w:cs="仿宋_GB2312"/>
                <w:sz w:val="24"/>
              </w:rPr>
              <w:t>13</w:t>
            </w:r>
          </w:p>
        </w:tc>
        <w:tc>
          <w:tcPr>
            <w:tcW w:w="1843" w:type="dxa"/>
            <w:tcBorders>
              <w:top w:val="single" w:color="000000" w:sz="8" w:space="0"/>
              <w:left w:val="single" w:color="auto" w:sz="4" w:space="0"/>
              <w:bottom w:val="single" w:color="000000" w:sz="8" w:space="0"/>
              <w:right w:val="single" w:color="000000" w:sz="8" w:space="0"/>
            </w:tcBorders>
            <w:vAlign w:val="center"/>
          </w:tcPr>
          <w:p w14:paraId="42665C8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_GB2312" w:hAnsi="仿宋_GB2312" w:eastAsia="仿宋_GB2312" w:cs="仿宋_GB2312"/>
                <w:sz w:val="24"/>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AFDD2C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_GB2312" w:hAnsi="仿宋_GB2312" w:eastAsia="仿宋_GB2312" w:cs="仿宋_GB2312"/>
                <w:kern w:val="0"/>
                <w:sz w:val="24"/>
              </w:rPr>
            </w:pPr>
            <w:r>
              <w:rPr>
                <w:rFonts w:hint="eastAsia" w:ascii="仿宋" w:hAnsi="仿宋" w:eastAsia="仿宋" w:cs="仿宋"/>
                <w:color w:val="auto"/>
                <w:sz w:val="24"/>
                <w:highlight w:val="none"/>
              </w:rPr>
              <w:t>本项目采购代理服务费</w:t>
            </w:r>
            <w:r>
              <w:rPr>
                <w:rFonts w:hint="eastAsia" w:ascii="仿宋" w:hAnsi="仿宋" w:eastAsia="仿宋" w:cs="仿宋"/>
                <w:color w:val="auto"/>
                <w:sz w:val="24"/>
                <w:highlight w:val="none"/>
                <w:lang w:val="en-US" w:eastAsia="zh-CN"/>
              </w:rPr>
              <w:t>标项一：</w:t>
            </w:r>
            <w:r>
              <w:rPr>
                <w:rFonts w:hint="eastAsia" w:ascii="仿宋" w:hAnsi="仿宋" w:cs="仿宋"/>
                <w:color w:val="auto"/>
                <w:sz w:val="24"/>
                <w:highlight w:val="none"/>
                <w:lang w:val="en-US" w:eastAsia="zh-CN"/>
              </w:rPr>
              <w:t>13132</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标项二：</w:t>
            </w:r>
            <w:r>
              <w:rPr>
                <w:rFonts w:hint="eastAsia" w:ascii="仿宋" w:hAnsi="仿宋" w:cs="仿宋"/>
                <w:color w:val="auto"/>
                <w:sz w:val="24"/>
                <w:highlight w:val="none"/>
                <w:lang w:val="en-US" w:eastAsia="zh-CN"/>
              </w:rPr>
              <w:t>13300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由中标人支付。</w:t>
            </w:r>
            <w:r>
              <w:rPr>
                <w:rFonts w:hint="eastAsia" w:ascii="仿宋" w:hAnsi="仿宋" w:eastAsia="仿宋" w:cs="仿宋"/>
                <w:color w:val="auto"/>
                <w:sz w:val="24"/>
                <w:highlight w:val="none"/>
                <w:lang w:eastAsia="zh-CN"/>
              </w:rPr>
              <w:t>结算方式及时间为：在领取中标通知书时由中标人一次性向采购代理机构付清。</w:t>
            </w:r>
            <w:r>
              <w:rPr>
                <w:rFonts w:hint="eastAsia" w:ascii="仿宋" w:hAnsi="仿宋" w:eastAsia="仿宋" w:cs="仿宋"/>
                <w:color w:val="auto"/>
                <w:sz w:val="24"/>
                <w:highlight w:val="none"/>
              </w:rPr>
              <w:t>采购代理服务费须包含在投标报价中，并以人民币方式支付。</w:t>
            </w:r>
          </w:p>
        </w:tc>
      </w:tr>
    </w:tbl>
    <w:p w14:paraId="39607A65">
      <w:pPr>
        <w:snapToGrid w:val="0"/>
        <w:spacing w:line="360" w:lineRule="auto"/>
        <w:jc w:val="center"/>
        <w:rPr>
          <w:rFonts w:hint="eastAsia" w:ascii="仿宋" w:hAnsi="仿宋" w:eastAsia="仿宋" w:cs="仿宋"/>
          <w:b/>
          <w:color w:val="auto"/>
          <w:sz w:val="32"/>
          <w:szCs w:val="20"/>
          <w:highlight w:val="none"/>
        </w:rPr>
      </w:pPr>
    </w:p>
    <w:bookmarkEnd w:id="10"/>
    <w:p w14:paraId="495C21DA">
      <w:pPr>
        <w:keepNext w:val="0"/>
        <w:keepLines w:val="0"/>
        <w:pageBreakBefore w:val="0"/>
        <w:kinsoku/>
        <w:wordWrap/>
        <w:overflowPunct/>
        <w:topLinePunct w:val="0"/>
        <w:bidi w:val="0"/>
        <w:adjustRightInd/>
        <w:spacing w:beforeAutospacing="0" w:line="360" w:lineRule="auto"/>
        <w:jc w:val="both"/>
        <w:textAlignment w:val="auto"/>
        <w:outlineLvl w:val="0"/>
        <w:rPr>
          <w:rFonts w:hint="eastAsia" w:ascii="仿宋" w:hAnsi="仿宋" w:eastAsia="仿宋" w:cs="仿宋"/>
          <w:b/>
          <w:color w:val="auto"/>
          <w:sz w:val="32"/>
          <w:szCs w:val="20"/>
          <w:highlight w:val="none"/>
        </w:rPr>
      </w:pPr>
      <w:bookmarkStart w:id="11" w:name="_Hlt68073093"/>
      <w:bookmarkEnd w:id="11"/>
      <w:bookmarkStart w:id="12" w:name="_Hlt68072998"/>
      <w:bookmarkEnd w:id="12"/>
      <w:bookmarkStart w:id="13" w:name="_Hlt68072990"/>
      <w:bookmarkEnd w:id="13"/>
      <w:bookmarkStart w:id="14" w:name="_Hlt74707468"/>
      <w:bookmarkEnd w:id="14"/>
      <w:bookmarkStart w:id="15" w:name="_Hlt75236101"/>
      <w:bookmarkEnd w:id="15"/>
      <w:bookmarkStart w:id="16" w:name="_Hlt74729768"/>
      <w:bookmarkEnd w:id="16"/>
      <w:bookmarkStart w:id="17" w:name="_Hlt68057669"/>
      <w:bookmarkEnd w:id="17"/>
      <w:bookmarkStart w:id="18" w:name="_Hlt74714665"/>
      <w:bookmarkEnd w:id="18"/>
      <w:bookmarkStart w:id="19" w:name="_Hlt74730295"/>
      <w:bookmarkEnd w:id="19"/>
      <w:bookmarkStart w:id="20" w:name="_Hlt68403820"/>
      <w:bookmarkEnd w:id="20"/>
      <w:bookmarkStart w:id="21" w:name="_Hlt75236290"/>
      <w:bookmarkEnd w:id="21"/>
      <w:bookmarkStart w:id="22" w:name="_Hlt75236011"/>
      <w:bookmarkEnd w:id="22"/>
      <w:bookmarkStart w:id="23" w:name="第三部分"/>
      <w:bookmarkStart w:id="24" w:name="_Toc164416483"/>
    </w:p>
    <w:p w14:paraId="4E066587">
      <w:pPr>
        <w:keepNext w:val="0"/>
        <w:keepLines w:val="0"/>
        <w:pageBreakBefore w:val="0"/>
        <w:kinsoku/>
        <w:wordWrap/>
        <w:overflowPunct/>
        <w:topLinePunct w:val="0"/>
        <w:bidi w:val="0"/>
        <w:adjustRightInd/>
        <w:spacing w:beforeAutospacing="0" w:line="360"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421ED9F">
      <w:pPr>
        <w:keepNext w:val="0"/>
        <w:keepLines w:val="0"/>
        <w:pageBreakBefore w:val="0"/>
        <w:kinsoku/>
        <w:wordWrap/>
        <w:overflowPunct/>
        <w:topLinePunct w:val="0"/>
        <w:bidi w:val="0"/>
        <w:snapToGrid w:val="0"/>
        <w:spacing w:beforeAutospacing="0" w:line="360" w:lineRule="auto"/>
        <w:ind w:left="0" w:leftChars="0"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DA138D4">
      <w:pPr>
        <w:keepNext w:val="0"/>
        <w:keepLines w:val="0"/>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EA9D4C6">
      <w:pPr>
        <w:keepNext w:val="0"/>
        <w:keepLines w:val="0"/>
        <w:pageBreakBefore w:val="0"/>
        <w:kinsoku/>
        <w:wordWrap/>
        <w:overflowPunct/>
        <w:topLinePunct w:val="0"/>
        <w:bidi w:val="0"/>
        <w:adjustRightInd/>
        <w:spacing w:beforeAutospacing="0" w:line="360" w:lineRule="auto"/>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21CD74D">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81BDC2E">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774391C8">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F7E181F">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50CDC0E">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3ECC8B">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1FE3ED52">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78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47480596"/>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676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147472469"/>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系指不适用本项目的要求。</w:t>
      </w:r>
    </w:p>
    <w:p w14:paraId="2197201E">
      <w:pPr>
        <w:spacing w:line="360" w:lineRule="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w:t>
      </w:r>
      <w:r>
        <w:rPr>
          <w:rFonts w:hint="eastAsia" w:ascii="仿宋_GB2312" w:hAnsi="仿宋_GB2312" w:eastAsia="仿宋_GB2312" w:cs="仿宋_GB2312"/>
          <w:sz w:val="21"/>
          <w:highlight w:val="none"/>
        </w:rPr>
        <w:t xml:space="preserve"> </w:t>
      </w:r>
      <w:r>
        <w:rPr>
          <w:rFonts w:hint="eastAsia" w:ascii="仿宋_GB2312" w:hAnsi="仿宋_GB2312" w:eastAsia="仿宋_GB2312" w:cs="仿宋_GB2312"/>
          <w:b/>
          <w:sz w:val="24"/>
          <w:highlight w:val="none"/>
        </w:rPr>
        <w:t>采购项目需要落实的政府采购政策</w:t>
      </w:r>
    </w:p>
    <w:p w14:paraId="35A7406C">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F441E96">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3.2 支持绿色发展</w:t>
      </w:r>
    </w:p>
    <w:p w14:paraId="15B2C8AB">
      <w:pPr>
        <w:spacing w:line="360" w:lineRule="auto"/>
        <w:ind w:firstLine="480"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4A367E1">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3.2.2修缮、装修类项目采购建材的，采购人应将绿色建筑和绿色建材性能、指标等作为实质性条件纳入招标文件和合同，具体性能指标要求参考相关绿色建材政府采购需求标准。</w:t>
      </w:r>
    </w:p>
    <w:p w14:paraId="36391E01">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9903B14">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4527E54">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3.3支持中小企业发展</w:t>
      </w:r>
    </w:p>
    <w:p w14:paraId="7556FB97">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E492E0">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符合中小企业划分标准的个体工商户，在政府采购活动中视同中小企业。</w:t>
      </w:r>
    </w:p>
    <w:p w14:paraId="4F3D3008">
      <w:pPr>
        <w:widowControl/>
        <w:spacing w:line="360" w:lineRule="auto"/>
        <w:ind w:firstLine="480" w:firstLineChars="200"/>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bCs/>
          <w:sz w:val="24"/>
          <w:highlight w:val="none"/>
        </w:rPr>
        <w:t>3.3.2</w:t>
      </w:r>
      <w:r>
        <w:rPr>
          <w:rFonts w:hint="eastAsia" w:ascii="仿宋_GB2312" w:hAnsi="仿宋_GB2312" w:eastAsia="仿宋_GB2312" w:cs="仿宋_GB2312"/>
          <w:kern w:val="0"/>
          <w:sz w:val="24"/>
          <w:highlight w:val="none"/>
        </w:rPr>
        <w:t>在政府采购活动中，投标人提供的货物、工程或者服务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在服务采购项目中，服务由中小企业承接，即提供服务的人员为中小企业依照《中华人民共和国劳动合同法》订立劳动合同的从业人员。</w:t>
      </w:r>
    </w:p>
    <w:p w14:paraId="7C29D4F5">
      <w:pPr>
        <w:widowControl/>
        <w:spacing w:line="360" w:lineRule="auto"/>
        <w:ind w:firstLine="480" w:firstLineChars="200"/>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以联合体形式参加政府采购活动，联合体各方均为中小企业的，联合体视同中小企业。其中，联合体各方均为小微企业的，联合体视同小微企业。</w:t>
      </w:r>
    </w:p>
    <w:p w14:paraId="4EC7C818">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_GB2312" w:hAnsi="仿宋_GB2312" w:eastAsia="仿宋_GB2312" w:cs="仿宋_GB2312"/>
          <w:snapToGrid w:val="0"/>
          <w:kern w:val="28"/>
          <w:sz w:val="24"/>
          <w:highlight w:val="none"/>
        </w:rPr>
        <w:t>招标文件第四部分</w:t>
      </w:r>
      <w:r>
        <w:rPr>
          <w:rFonts w:hint="eastAsia" w:ascii="仿宋_GB2312" w:hAnsi="仿宋_GB2312" w:eastAsia="仿宋_GB2312" w:cs="仿宋_GB2312"/>
          <w:sz w:val="24"/>
          <w:highlight w:val="none"/>
          <w:u w:val="single"/>
        </w:rPr>
        <w:t>评标办分法明确具体的扣除比例，未明确的，</w:t>
      </w:r>
      <w:r>
        <w:rPr>
          <w:rFonts w:hint="eastAsia" w:ascii="仿宋_GB2312" w:hAnsi="仿宋_GB2312" w:eastAsia="仿宋_GB2312" w:cs="仿宋_GB2312"/>
          <w:sz w:val="24"/>
          <w:highlight w:val="none"/>
        </w:rPr>
        <w:t>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w:t>
      </w:r>
      <w:r>
        <w:rPr>
          <w:rFonts w:hint="eastAsia" w:ascii="仿宋_GB2312" w:hAnsi="仿宋_GB2312" w:eastAsia="仿宋_GB2312" w:cs="仿宋_GB2312"/>
          <w:snapToGrid w:val="0"/>
          <w:kern w:val="28"/>
          <w:sz w:val="24"/>
          <w:highlight w:val="none"/>
        </w:rPr>
        <w:t>招标文件第四部分</w:t>
      </w:r>
      <w:r>
        <w:rPr>
          <w:rFonts w:hint="eastAsia" w:ascii="仿宋_GB2312" w:hAnsi="仿宋_GB2312" w:eastAsia="仿宋_GB2312" w:cs="仿宋_GB2312"/>
          <w:sz w:val="24"/>
          <w:highlight w:val="none"/>
          <w:u w:val="single"/>
        </w:rPr>
        <w:t>评标办分法明确具体的扣除比例，未明确的，</w:t>
      </w:r>
      <w:r>
        <w:rPr>
          <w:rFonts w:hint="eastAsia" w:ascii="仿宋_GB2312" w:hAnsi="仿宋_GB2312" w:eastAsia="仿宋_GB2312" w:cs="仿宋_GB2312"/>
          <w:sz w:val="24"/>
          <w:highlight w:val="none"/>
        </w:rPr>
        <w:t>给予6%的扣除）的扣除，用扣除后的价格参加评审。组成联合体或者接受分包的小微企业与联合体内其他企业、分包企业之间存在直接控股、管理关系的，不享受价格扣除优惠政策。</w:t>
      </w:r>
    </w:p>
    <w:p w14:paraId="47B1270B">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3.3.4符合《关于促进残疾人就业政府采购政策的通知》（财库〔2017〕141号）规定的条件并提供《残疾人福利性单位声明函》（附件1）的残疾人福利性单位视同小型、微型企业；</w:t>
      </w:r>
    </w:p>
    <w:p w14:paraId="03D3806B">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1510F8">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5A3266">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3.3.7中小企业享受扶持政策获得政府采购合同的，小微企业不得将合同分包给大中型企业，中型企业不得将合同分包给大型企业。</w:t>
      </w:r>
    </w:p>
    <w:p w14:paraId="42ED2B70">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3.4</w:t>
      </w:r>
      <w:r>
        <w:rPr>
          <w:rFonts w:hint="eastAsia" w:ascii="仿宋_GB2312" w:hAnsi="仿宋_GB2312" w:eastAsia="仿宋_GB2312" w:cs="仿宋_GB2312"/>
          <w:bCs/>
          <w:sz w:val="24"/>
          <w:highlight w:val="none"/>
        </w:rPr>
        <w:t>支持创新发展</w:t>
      </w:r>
    </w:p>
    <w:p w14:paraId="45A1F0E9">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3.4.1 采购人优先采购被认定为首台套产品和“制造精品”的自主创新产品。</w:t>
      </w:r>
    </w:p>
    <w:p w14:paraId="45741E5A">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2DDF61B">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1E0622B5">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3.6平等对待内外资企业和符合条件的破产重整企业</w:t>
      </w:r>
    </w:p>
    <w:p w14:paraId="4523E699">
      <w:pPr>
        <w:spacing w:line="360" w:lineRule="auto"/>
        <w:ind w:firstLine="480"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color w:val="auto"/>
          <w:sz w:val="24"/>
          <w:highlight w:val="none"/>
          <w:lang w:val="en-US" w:eastAsia="zh-CN"/>
        </w:rPr>
        <w:t xml:space="preserve">   </w:t>
      </w:r>
      <w:r>
        <w:rPr>
          <w:rFonts w:hint="eastAsia" w:ascii="仿宋_GB2312" w:hAnsi="仿宋_GB2312" w:eastAsia="仿宋_GB2312" w:cs="仿宋_GB2312"/>
          <w:b/>
          <w:sz w:val="24"/>
          <w:highlight w:val="none"/>
        </w:rPr>
        <w:t>4. 询问、质疑、投诉</w:t>
      </w:r>
    </w:p>
    <w:p w14:paraId="577C0E4E">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4.1在线询问、质疑、投诉</w:t>
      </w:r>
    </w:p>
    <w:p w14:paraId="26266ECC">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90C4B2">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4.2供应商询问</w:t>
      </w:r>
    </w:p>
    <w:p w14:paraId="2CD7E118">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018BAC3">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w:t>
      </w:r>
      <w:r>
        <w:rPr>
          <w:rFonts w:hint="eastAsia" w:ascii="仿宋_GB2312" w:hAnsi="仿宋_GB2312" w:eastAsia="仿宋_GB2312" w:cs="仿宋_GB2312"/>
          <w:kern w:val="0"/>
          <w:sz w:val="24"/>
          <w:highlight w:val="none"/>
        </w:rPr>
        <w:t>3</w:t>
      </w:r>
      <w:r>
        <w:rPr>
          <w:rFonts w:hint="eastAsia" w:ascii="仿宋_GB2312" w:hAnsi="仿宋_GB2312" w:eastAsia="仿宋_GB2312" w:cs="仿宋_GB2312"/>
          <w:kern w:val="0"/>
          <w:sz w:val="24"/>
          <w:highlight w:val="none"/>
          <w:lang w:val="zh-CN"/>
        </w:rPr>
        <w:t>供应商质疑</w:t>
      </w:r>
    </w:p>
    <w:p w14:paraId="17E8922C">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1"/>
          <w:highlight w:val="none"/>
          <w:lang w:val="en-US" w:eastAsia="zh-CN" w:bidi="ar-SA"/>
        </w:rPr>
      </w:pPr>
      <w:r>
        <w:rPr>
          <w:rFonts w:hint="eastAsia" w:ascii="仿宋_GB2312" w:hAnsi="仿宋_GB2312" w:eastAsia="仿宋_GB2312" w:cs="仿宋_GB2312"/>
          <w:snapToGrid w:val="0"/>
          <w:kern w:val="0"/>
          <w:sz w:val="24"/>
          <w:szCs w:val="21"/>
          <w:highlight w:val="none"/>
          <w:lang w:val="zh-CN" w:eastAsia="zh-CN" w:bidi="ar-SA"/>
        </w:rPr>
        <w:t>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2"/>
          <w:sz w:val="24"/>
          <w:szCs w:val="21"/>
          <w:highlight w:val="none"/>
          <w:lang w:val="en-US" w:eastAsia="zh-CN" w:bidi="ar-SA"/>
        </w:rPr>
        <w:t>.1提出质疑的供应商应当是参与所质疑项目采购活动的供应商。潜在供应商已依法获取其可质疑的招标文件的，可以对该文件提出质疑。</w:t>
      </w:r>
    </w:p>
    <w:p w14:paraId="1D676FCD">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1"/>
          <w:highlight w:val="none"/>
          <w:lang w:val="en-US" w:eastAsia="zh-CN" w:bidi="ar-SA"/>
        </w:rPr>
      </w:pPr>
      <w:r>
        <w:rPr>
          <w:rFonts w:hint="eastAsia" w:ascii="仿宋_GB2312" w:hAnsi="仿宋_GB2312" w:eastAsia="仿宋_GB2312" w:cs="仿宋_GB2312"/>
          <w:snapToGrid w:val="0"/>
          <w:kern w:val="0"/>
          <w:sz w:val="24"/>
          <w:szCs w:val="21"/>
          <w:highlight w:val="none"/>
          <w:lang w:val="zh-CN" w:eastAsia="zh-CN" w:bidi="ar-SA"/>
        </w:rPr>
        <w:t>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2"/>
          <w:sz w:val="24"/>
          <w:szCs w:val="21"/>
          <w:highlight w:val="none"/>
          <w:lang w:val="en-US" w:eastAsia="zh-CN" w:bidi="ar-S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77709E9">
      <w:pPr>
        <w:widowControl/>
        <w:adjustRightInd w:val="0"/>
        <w:snapToGrid w:val="0"/>
        <w:spacing w:line="360" w:lineRule="auto"/>
        <w:ind w:firstLine="480" w:firstLineChars="200"/>
        <w:jc w:val="both"/>
        <w:rPr>
          <w:rFonts w:hint="eastAsia" w:ascii="仿宋_GB2312" w:hAnsi="仿宋_GB2312" w:eastAsia="仿宋_GB2312" w:cs="仿宋_GB2312"/>
          <w:snapToGrid/>
          <w:color w:val="auto"/>
          <w:kern w:val="2"/>
          <w:sz w:val="24"/>
          <w:szCs w:val="20"/>
          <w:highlight w:val="none"/>
          <w:lang w:val="en-US" w:eastAsia="zh-CN" w:bidi="ar-SA"/>
        </w:rPr>
      </w:pPr>
      <w:r>
        <w:rPr>
          <w:rFonts w:hint="eastAsia" w:ascii="仿宋_GB2312" w:hAnsi="仿宋_GB2312" w:eastAsia="仿宋_GB2312" w:cs="仿宋_GB2312"/>
          <w:snapToGrid/>
          <w:color w:val="auto"/>
          <w:kern w:val="2"/>
          <w:sz w:val="24"/>
          <w:szCs w:val="20"/>
          <w:highlight w:val="none"/>
          <w:lang w:val="en-US" w:eastAsia="zh-CN" w:bidi="ar-SA"/>
        </w:rPr>
        <w:t>4.3.2.1对招标文件提出质疑的，质疑期限为供应商获得招标文件之日或者招标文件公告期限届满之日起计算。</w:t>
      </w:r>
    </w:p>
    <w:p w14:paraId="118CE829">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1"/>
          <w:highlight w:val="none"/>
          <w:lang w:val="en-US" w:eastAsia="zh-CN" w:bidi="ar-SA"/>
        </w:rPr>
      </w:pPr>
      <w:r>
        <w:rPr>
          <w:rFonts w:hint="eastAsia" w:ascii="仿宋_GB2312" w:hAnsi="仿宋_GB2312" w:eastAsia="仿宋_GB2312" w:cs="仿宋_GB2312"/>
          <w:snapToGrid w:val="0"/>
          <w:kern w:val="2"/>
          <w:sz w:val="24"/>
          <w:szCs w:val="21"/>
          <w:highlight w:val="none"/>
          <w:lang w:val="en-US" w:eastAsia="zh-CN" w:bidi="ar-SA"/>
        </w:rPr>
        <w:t>4.3.2.2对采购过程提出质疑的，质疑期限为各采购程序环节结束之日起计算。</w:t>
      </w:r>
    </w:p>
    <w:p w14:paraId="16E17AC2">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1"/>
          <w:highlight w:val="none"/>
          <w:lang w:val="en-US" w:eastAsia="zh-CN" w:bidi="ar-SA"/>
        </w:rPr>
      </w:pPr>
      <w:r>
        <w:rPr>
          <w:rFonts w:hint="eastAsia" w:ascii="仿宋_GB2312" w:hAnsi="仿宋_GB2312" w:eastAsia="仿宋_GB2312" w:cs="仿宋_GB2312"/>
          <w:snapToGrid w:val="0"/>
          <w:kern w:val="2"/>
          <w:sz w:val="24"/>
          <w:szCs w:val="21"/>
          <w:highlight w:val="none"/>
          <w:lang w:val="en-US" w:eastAsia="zh-CN" w:bidi="ar-SA"/>
        </w:rPr>
        <w:t>4.3.2.3对采购结果提出质疑的，质疑期限自采购结果公告期限届满之日起计算。</w:t>
      </w:r>
    </w:p>
    <w:p w14:paraId="37F7AD07">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w:t>
      </w:r>
      <w:r>
        <w:rPr>
          <w:rFonts w:hint="eastAsia" w:ascii="仿宋_GB2312" w:hAnsi="仿宋_GB2312" w:eastAsia="仿宋_GB2312" w:cs="仿宋_GB2312"/>
          <w:snapToGrid w:val="0"/>
          <w:kern w:val="2"/>
          <w:sz w:val="24"/>
          <w:szCs w:val="21"/>
          <w:highlight w:val="none"/>
          <w:lang w:val="en-US" w:eastAsia="zh-CN" w:bidi="ar-SA"/>
        </w:rPr>
        <w:t>供应商提出质疑应当提交质疑函和必要的证明材料。质疑函应当包括下列内容：</w:t>
      </w:r>
    </w:p>
    <w:p w14:paraId="30551995">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　　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.3.1供应商的姓名或者名称、地址、邮编、联系人及联系电话；</w:t>
      </w:r>
    </w:p>
    <w:p w14:paraId="26AD9295">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　　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.3.2质疑项目的名称、编号；</w:t>
      </w:r>
    </w:p>
    <w:p w14:paraId="0ED6DEB9">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　　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.3.3具体、明确的质疑事项和与质疑事项相关的请求；</w:t>
      </w:r>
    </w:p>
    <w:p w14:paraId="656987A2">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　　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.3.4事实依据；</w:t>
      </w:r>
    </w:p>
    <w:p w14:paraId="7C0C9F22">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　　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.3.5必要的法律依据；</w:t>
      </w:r>
    </w:p>
    <w:p w14:paraId="17846B19">
      <w:pPr>
        <w:widowControl w:val="0"/>
        <w:adjustRightInd w:val="0"/>
        <w:spacing w:line="360" w:lineRule="auto"/>
        <w:ind w:firstLine="960" w:firstLineChars="4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.3.6提出质疑的日期。</w:t>
      </w:r>
    </w:p>
    <w:p w14:paraId="33E63C47">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60E3039C">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质疑函范本及制作说明详见附件2。</w:t>
      </w:r>
    </w:p>
    <w:p w14:paraId="72FB596A">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4.3.4对同一采购程序环节的质疑，供应商须在法定质疑期内一次性提出。</w:t>
      </w:r>
    </w:p>
    <w:p w14:paraId="5C830499">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EF98AB6">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4.3.6询问或者质疑事项可能影响采购结果的，采购人应当暂停签订合同，已经签订合同的，应当中止履行合同。</w:t>
      </w:r>
    </w:p>
    <w:p w14:paraId="3B8EE5A8">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4.4供应商投诉</w:t>
      </w:r>
    </w:p>
    <w:p w14:paraId="5B63C864">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4.4.1质疑供应商对采购人、采购代理机构的答复不满意或者采购人、采购代理机构未在规定的时间内作出答复的，可以在答复期满后十五个工作日内向同级政府采购监督管理部门提出投诉。</w:t>
      </w:r>
    </w:p>
    <w:p w14:paraId="57A739FF">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4.4.2供应商投诉的事项不得超出已质疑事项的范围，基于质疑答复内容提出的投诉事项除外。</w:t>
      </w:r>
    </w:p>
    <w:p w14:paraId="39A6944A">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4.4.3供应商投诉应当有明确的请求和必要的证明材料。</w:t>
      </w:r>
    </w:p>
    <w:p w14:paraId="67990732">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4.4.4以联合体形式参加政府采购活动的，其投诉应当由组成联合体的所有供应商共同提出。</w:t>
      </w:r>
    </w:p>
    <w:p w14:paraId="61D50F53">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4.4.5项目投诉材料可寄送浙江省政府采购行政裁决服务中心（杭州），地址：杭州市上城区四季青街道新业路市民之家G03办公室，收件人：朱女士，电话：0571-85252453。</w:t>
      </w:r>
    </w:p>
    <w:p w14:paraId="4CDE6234">
      <w:pPr>
        <w:pStyle w:val="888"/>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_GB2312" w:hAnsi="仿宋_GB2312" w:eastAsia="仿宋_GB2312" w:cs="仿宋_GB2312"/>
          <w:kern w:val="2"/>
          <w:sz w:val="24"/>
          <w:szCs w:val="24"/>
          <w:highlight w:val="none"/>
          <w:lang w:val="en-US" w:eastAsia="zh-CN" w:bidi="ar-SA"/>
        </w:rPr>
        <w:t>投诉书范本及制作说明详见附件3。</w:t>
      </w:r>
    </w:p>
    <w:p w14:paraId="494D8A4C">
      <w:pPr>
        <w:pStyle w:val="133"/>
        <w:keepNext w:val="0"/>
        <w:keepLines w:val="0"/>
        <w:pageBreakBefore w:val="0"/>
        <w:kinsoku/>
        <w:wordWrap/>
        <w:overflowPunct/>
        <w:topLinePunct w:val="0"/>
        <w:bidi w:val="0"/>
        <w:snapToGrid w:val="0"/>
        <w:spacing w:before="0" w:beforeAutospacing="0"/>
        <w:ind w:left="0" w:leftChars="0" w:firstLine="360" w:firstLineChars="200"/>
        <w:textAlignment w:val="auto"/>
        <w:rPr>
          <w:rFonts w:hint="eastAsia" w:ascii="仿宋" w:hAnsi="仿宋" w:eastAsia="仿宋" w:cs="仿宋"/>
          <w:color w:val="auto"/>
          <w:sz w:val="18"/>
          <w:szCs w:val="18"/>
          <w:highlight w:val="none"/>
        </w:rPr>
      </w:pPr>
    </w:p>
    <w:p w14:paraId="27101251">
      <w:pPr>
        <w:keepNext w:val="0"/>
        <w:keepLines w:val="0"/>
        <w:pageBreakBefore w:val="0"/>
        <w:kinsoku/>
        <w:wordWrap/>
        <w:overflowPunct/>
        <w:topLinePunct w:val="0"/>
        <w:bidi w:val="0"/>
        <w:adjustRightInd/>
        <w:spacing w:beforeAutospacing="0" w:line="360" w:lineRule="auto"/>
        <w:ind w:left="0" w:leftChars="0" w:firstLine="643" w:firstLineChars="200"/>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AA1B6DA">
      <w:pPr>
        <w:pStyle w:val="35"/>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F3D8B85">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4"/>
          <w:highlight w:val="none"/>
          <w:lang w:val="en-US" w:eastAsia="zh-CN" w:bidi="ar-SA"/>
        </w:rPr>
        <w:t>5.1 招标文件包括下列文件及附件：</w:t>
      </w:r>
    </w:p>
    <w:p w14:paraId="7BD2B606">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4"/>
          <w:highlight w:val="none"/>
          <w:lang w:val="en-US" w:eastAsia="zh-CN" w:bidi="ar-SA"/>
        </w:rPr>
        <w:t>5.1.1招标公告；</w:t>
      </w:r>
    </w:p>
    <w:p w14:paraId="4C36A89F">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4"/>
          <w:highlight w:val="none"/>
          <w:lang w:val="en-US" w:eastAsia="zh-CN" w:bidi="ar-SA"/>
        </w:rPr>
        <w:t>5.1.2投标人须知；</w:t>
      </w:r>
    </w:p>
    <w:p w14:paraId="4E1BA4EC">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4"/>
          <w:highlight w:val="none"/>
          <w:lang w:val="en-US" w:eastAsia="zh-CN" w:bidi="ar-SA"/>
        </w:rPr>
        <w:t>5.1.3采购需求；</w:t>
      </w:r>
    </w:p>
    <w:p w14:paraId="4CF6CEAC">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4"/>
          <w:highlight w:val="none"/>
          <w:lang w:val="en-US" w:eastAsia="zh-CN" w:bidi="ar-SA"/>
        </w:rPr>
        <w:t>5.1.4评标办法；</w:t>
      </w:r>
    </w:p>
    <w:p w14:paraId="7E3BD5F4">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4"/>
          <w:highlight w:val="none"/>
          <w:lang w:val="en-US" w:eastAsia="zh-CN" w:bidi="ar-SA"/>
        </w:rPr>
        <w:t>5.1.5拟签订的合同文本；</w:t>
      </w:r>
    </w:p>
    <w:p w14:paraId="0D8BC282">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1"/>
          <w:highlight w:val="none"/>
          <w:lang w:val="en-US" w:eastAsia="zh-CN" w:bidi="ar-SA"/>
        </w:rPr>
        <w:t>5.1.6</w:t>
      </w:r>
      <w:r>
        <w:rPr>
          <w:rFonts w:hint="eastAsia" w:ascii="仿宋_GB2312" w:hAnsi="仿宋_GB2312" w:eastAsia="仿宋_GB2312" w:cs="仿宋_GB2312"/>
          <w:snapToGrid w:val="0"/>
          <w:kern w:val="2"/>
          <w:sz w:val="24"/>
          <w:szCs w:val="24"/>
          <w:highlight w:val="none"/>
          <w:lang w:val="en-US" w:eastAsia="zh-CN" w:bidi="ar-SA"/>
        </w:rPr>
        <w:t>应提交的有关格式范例。</w:t>
      </w:r>
    </w:p>
    <w:p w14:paraId="2858CF1F">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5.2与本项目有关的</w:t>
      </w:r>
      <w:r>
        <w:rPr>
          <w:rFonts w:hint="eastAsia" w:ascii="仿宋_GB2312" w:hAnsi="仿宋_GB2312" w:eastAsia="仿宋_GB2312" w:cs="仿宋_GB2312"/>
          <w:bCs/>
          <w:sz w:val="24"/>
          <w:highlight w:val="none"/>
        </w:rPr>
        <w:t>澄清或者修改的内容为招标文件的组成部分</w:t>
      </w:r>
      <w:r>
        <w:rPr>
          <w:rFonts w:hint="eastAsia" w:ascii="仿宋_GB2312" w:hAnsi="仿宋_GB2312" w:eastAsia="仿宋_GB2312" w:cs="仿宋_GB2312"/>
          <w:sz w:val="24"/>
          <w:highlight w:val="none"/>
        </w:rPr>
        <w:t>。</w:t>
      </w:r>
    </w:p>
    <w:p w14:paraId="4F0F5E8E">
      <w:pPr>
        <w:pStyle w:val="35"/>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1A04E65">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w:t>6.1已获取招标文件的潜在投标人，若有问题需要澄清，应于投标截止时间前，以书面形式向采购代理机构提出。</w:t>
      </w:r>
    </w:p>
    <w:p w14:paraId="2AD14F4E">
      <w:pPr>
        <w:pStyle w:val="23"/>
        <w:keepNext w:val="0"/>
        <w:keepLines w:val="0"/>
        <w:pageBreakBefore w:val="0"/>
        <w:kinsoku/>
        <w:wordWrap/>
        <w:overflowPunct/>
        <w:topLinePunct w:val="0"/>
        <w:bidi w:val="0"/>
        <w:spacing w:beforeAutospacing="0"/>
        <w:ind w:left="0" w:leftChars="0" w:firstLine="480" w:firstLineChars="200"/>
        <w:textAlignment w:val="auto"/>
        <w:rPr>
          <w:rFonts w:hint="eastAsia" w:ascii="仿宋" w:hAnsi="仿宋" w:eastAsia="仿宋" w:cs="仿宋"/>
          <w:color w:val="auto"/>
          <w:sz w:val="18"/>
          <w:szCs w:val="18"/>
          <w:highlight w:val="none"/>
          <w:lang w:val="en-US"/>
        </w:rPr>
      </w:pPr>
      <w:r>
        <w:rPr>
          <w:rFonts w:hint="eastAsia" w:ascii="仿宋_GB2312" w:hAnsi="仿宋_GB2312" w:eastAsia="仿宋_GB2312" w:cs="仿宋_GB2312"/>
          <w:kern w:val="2"/>
          <w:sz w:val="24"/>
          <w:szCs w:val="20"/>
          <w:highlight w:val="none"/>
          <w:lang w:val="en-US" w:eastAsia="zh-CN" w:bidi="ar-S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仿宋" w:hAnsi="仿宋" w:eastAsia="仿宋" w:cs="仿宋"/>
          <w:color w:val="auto"/>
          <w:szCs w:val="24"/>
          <w:highlight w:val="none"/>
          <w:lang w:val="en-US"/>
        </w:rPr>
        <w:t xml:space="preserve">    </w:t>
      </w:r>
    </w:p>
    <w:p w14:paraId="013192EC">
      <w:pPr>
        <w:keepNext w:val="0"/>
        <w:keepLines w:val="0"/>
        <w:pageBreakBefore w:val="0"/>
        <w:kinsoku/>
        <w:wordWrap/>
        <w:overflowPunct/>
        <w:topLinePunct w:val="0"/>
        <w:bidi w:val="0"/>
        <w:adjustRightInd/>
        <w:spacing w:beforeAutospacing="0" w:line="360" w:lineRule="auto"/>
        <w:ind w:left="0" w:leftChars="0" w:firstLine="602" w:firstLineChars="200"/>
        <w:jc w:val="center"/>
        <w:textAlignment w:val="auto"/>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741201B">
      <w:pPr>
        <w:pStyle w:val="35"/>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7F905C9">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8E93811">
      <w:pPr>
        <w:pStyle w:val="35"/>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2D2DC10">
      <w:pPr>
        <w:pStyle w:val="35"/>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DC8C2CE">
      <w:pPr>
        <w:pStyle w:val="35"/>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A43A149">
      <w:pPr>
        <w:pStyle w:val="15"/>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48653FD">
      <w:pPr>
        <w:pStyle w:val="35"/>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ABEE9D2">
      <w:pPr>
        <w:keepNext w:val="0"/>
        <w:keepLines w:val="0"/>
        <w:pageBreakBefore w:val="0"/>
        <w:kinsoku/>
        <w:wordWrap/>
        <w:overflowPunct/>
        <w:topLinePunct w:val="0"/>
        <w:autoSpaceDE w:val="0"/>
        <w:autoSpaceDN w:val="0"/>
        <w:bidi w:val="0"/>
        <w:spacing w:beforeAutospacing="0"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419D3D0">
      <w:pPr>
        <w:pStyle w:val="35"/>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FEDF03C">
      <w:pPr>
        <w:snapToGrid w:val="0"/>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w:t>
      </w:r>
      <w:r>
        <w:rPr>
          <w:rFonts w:hint="eastAsia" w:ascii="仿宋_GB2312" w:hAnsi="仿宋_GB2312" w:eastAsia="仿宋_GB2312" w:cs="仿宋_GB2312"/>
          <w:b/>
          <w:sz w:val="24"/>
          <w:highlight w:val="none"/>
        </w:rPr>
        <w:t>资格文件</w:t>
      </w:r>
      <w:r>
        <w:rPr>
          <w:rFonts w:hint="eastAsia" w:ascii="仿宋_GB2312" w:hAnsi="仿宋_GB2312" w:eastAsia="仿宋_GB2312" w:cs="仿宋_GB2312"/>
          <w:sz w:val="24"/>
          <w:highlight w:val="none"/>
        </w:rPr>
        <w:t>：</w:t>
      </w:r>
    </w:p>
    <w:p w14:paraId="166F0541">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11.1.1符合参加政府采购活动应当具备的一般条件的承诺函；</w:t>
      </w:r>
    </w:p>
    <w:p w14:paraId="3390EE8C">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11.1.2联合协议</w:t>
      </w:r>
      <w:r>
        <w:rPr>
          <w:rFonts w:hint="eastAsia" w:ascii="仿宋_GB2312" w:hAnsi="仿宋_GB2312" w:eastAsia="仿宋_GB2312" w:cs="仿宋_GB2312"/>
          <w:bCs/>
          <w:sz w:val="24"/>
          <w:highlight w:val="none"/>
        </w:rPr>
        <w:t>（如果有）</w:t>
      </w:r>
      <w:r>
        <w:rPr>
          <w:rFonts w:hint="eastAsia" w:ascii="仿宋_GB2312" w:hAnsi="仿宋_GB2312" w:eastAsia="仿宋_GB2312" w:cs="仿宋_GB2312"/>
          <w:sz w:val="24"/>
          <w:highlight w:val="none"/>
        </w:rPr>
        <w:t>；</w:t>
      </w:r>
    </w:p>
    <w:p w14:paraId="1A86DE08">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11.1.3落实政府采购政策需满足的资格要求</w:t>
      </w:r>
      <w:r>
        <w:rPr>
          <w:rFonts w:hint="eastAsia" w:ascii="仿宋_GB2312" w:hAnsi="仿宋_GB2312" w:eastAsia="仿宋_GB2312" w:cs="仿宋_GB2312"/>
          <w:bCs/>
          <w:sz w:val="24"/>
          <w:highlight w:val="none"/>
        </w:rPr>
        <w:t>（如果有）</w:t>
      </w:r>
      <w:r>
        <w:rPr>
          <w:rFonts w:hint="eastAsia" w:ascii="仿宋_GB2312" w:hAnsi="仿宋_GB2312" w:eastAsia="仿宋_GB2312" w:cs="仿宋_GB2312"/>
          <w:sz w:val="24"/>
          <w:highlight w:val="none"/>
        </w:rPr>
        <w:t>；</w:t>
      </w:r>
    </w:p>
    <w:p w14:paraId="72FE0ED3">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11.1.4本项目的特定资格要求</w:t>
      </w:r>
      <w:r>
        <w:rPr>
          <w:rFonts w:hint="eastAsia" w:ascii="仿宋_GB2312" w:hAnsi="仿宋_GB2312" w:eastAsia="仿宋_GB2312" w:cs="仿宋_GB2312"/>
          <w:bCs/>
          <w:sz w:val="24"/>
          <w:highlight w:val="none"/>
        </w:rPr>
        <w:t>（如果有）</w:t>
      </w:r>
      <w:r>
        <w:rPr>
          <w:rFonts w:hint="eastAsia" w:ascii="仿宋_GB2312" w:hAnsi="仿宋_GB2312" w:eastAsia="仿宋_GB2312" w:cs="仿宋_GB2312"/>
          <w:sz w:val="24"/>
          <w:highlight w:val="none"/>
        </w:rPr>
        <w:t>。</w:t>
      </w:r>
    </w:p>
    <w:p w14:paraId="315DCAA6">
      <w:pPr>
        <w:snapToGrid w:val="0"/>
        <w:spacing w:line="360" w:lineRule="auto"/>
        <w:ind w:firstLine="480" w:firstLineChars="20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lang w:val="zh-CN"/>
        </w:rPr>
        <w:t>11.</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 xml:space="preserve"> </w:t>
      </w:r>
      <w:r>
        <w:rPr>
          <w:rFonts w:hint="eastAsia" w:ascii="仿宋_GB2312" w:hAnsi="仿宋_GB2312" w:eastAsia="仿宋_GB2312" w:cs="仿宋_GB2312"/>
          <w:b/>
          <w:bCs/>
          <w:sz w:val="24"/>
          <w:highlight w:val="none"/>
        </w:rPr>
        <w:t>商务技术</w:t>
      </w:r>
      <w:r>
        <w:rPr>
          <w:rFonts w:hint="eastAsia" w:ascii="仿宋_GB2312" w:hAnsi="仿宋_GB2312" w:eastAsia="仿宋_GB2312" w:cs="仿宋_GB2312"/>
          <w:b/>
          <w:bCs/>
          <w:sz w:val="24"/>
          <w:highlight w:val="none"/>
          <w:lang w:val="zh-CN"/>
        </w:rPr>
        <w:t>文件：</w:t>
      </w:r>
    </w:p>
    <w:p w14:paraId="2A9115CF">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11.2.1投标函；</w:t>
      </w:r>
      <w:r>
        <w:rPr>
          <w:rFonts w:hint="eastAsia" w:ascii="仿宋_GB2312" w:hAnsi="仿宋_GB2312" w:eastAsia="仿宋_GB2312" w:cs="仿宋_GB2312"/>
          <w:sz w:val="24"/>
          <w:highlight w:val="none"/>
          <w:lang w:val="zh-CN"/>
        </w:rPr>
        <w:t xml:space="preserve"> </w:t>
      </w:r>
    </w:p>
    <w:p w14:paraId="538D624D">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11.2.2授权委托书或法定代表人（单位负责人、自然人本人）身份证明；</w:t>
      </w:r>
    </w:p>
    <w:p w14:paraId="18B0F8E5">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11.2.3分包意向协议</w:t>
      </w:r>
      <w:r>
        <w:rPr>
          <w:rFonts w:hint="eastAsia" w:ascii="仿宋_GB2312" w:hAnsi="仿宋_GB2312" w:eastAsia="仿宋_GB2312" w:cs="仿宋_GB2312"/>
          <w:bCs/>
          <w:sz w:val="24"/>
          <w:highlight w:val="none"/>
        </w:rPr>
        <w:t>（如果有）</w:t>
      </w:r>
      <w:r>
        <w:rPr>
          <w:rFonts w:hint="eastAsia" w:ascii="仿宋_GB2312" w:hAnsi="仿宋_GB2312" w:eastAsia="仿宋_GB2312" w:cs="仿宋_GB2312"/>
          <w:sz w:val="24"/>
          <w:highlight w:val="none"/>
        </w:rPr>
        <w:t>；</w:t>
      </w:r>
    </w:p>
    <w:p w14:paraId="438199D4">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11.2.4符合性审查资料；</w:t>
      </w:r>
    </w:p>
    <w:p w14:paraId="7A272001">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11.2.5评标标准相应的商务技术资料；</w:t>
      </w:r>
    </w:p>
    <w:p w14:paraId="48A4C901">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11.2.6投标标的清单；</w:t>
      </w:r>
    </w:p>
    <w:p w14:paraId="2AB43922">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11.2.7商务技术偏离表；</w:t>
      </w:r>
    </w:p>
    <w:p w14:paraId="79A72A88">
      <w:pPr>
        <w:snapToGrid w:val="0"/>
        <w:spacing w:line="360" w:lineRule="auto"/>
        <w:ind w:firstLine="960" w:firstLineChars="40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lang w:val="zh-CN"/>
        </w:rPr>
        <w:t>11.</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8</w:t>
      </w:r>
      <w:r>
        <w:rPr>
          <w:rFonts w:hint="eastAsia" w:ascii="仿宋_GB2312" w:hAnsi="仿宋_GB2312" w:eastAsia="仿宋_GB2312" w:cs="仿宋_GB2312"/>
          <w:sz w:val="24"/>
          <w:highlight w:val="none"/>
          <w:lang w:val="zh-CN"/>
        </w:rPr>
        <w:t>政府采购供应商廉洁自律承诺书。</w:t>
      </w:r>
    </w:p>
    <w:p w14:paraId="7A149EA9">
      <w:pPr>
        <w:snapToGrid w:val="0"/>
        <w:spacing w:line="360" w:lineRule="auto"/>
        <w:ind w:firstLine="480" w:firstLineChars="200"/>
        <w:rPr>
          <w:rFonts w:hint="eastAsia" w:ascii="仿宋_GB2312" w:hAnsi="仿宋_GB2312" w:eastAsia="仿宋_GB2312" w:cs="仿宋_GB2312"/>
          <w:sz w:val="24"/>
          <w:highlight w:val="none"/>
          <w:u w:val="single"/>
          <w:lang w:val="zh-CN"/>
        </w:rPr>
      </w:pPr>
      <w:r>
        <w:rPr>
          <w:rFonts w:hint="eastAsia" w:ascii="仿宋_GB2312" w:hAnsi="仿宋_GB2312" w:eastAsia="仿宋_GB2312" w:cs="仿宋_GB2312"/>
          <w:kern w:val="0"/>
          <w:sz w:val="24"/>
          <w:highlight w:val="none"/>
          <w:lang w:val="zh-CN"/>
        </w:rPr>
        <w:t>11.</w:t>
      </w:r>
      <w:r>
        <w:rPr>
          <w:rFonts w:hint="eastAsia" w:ascii="仿宋_GB2312" w:hAnsi="仿宋_GB2312" w:eastAsia="仿宋_GB2312" w:cs="仿宋_GB2312"/>
          <w:kern w:val="0"/>
          <w:sz w:val="24"/>
          <w:highlight w:val="none"/>
        </w:rPr>
        <w:t>3</w:t>
      </w:r>
      <w:r>
        <w:rPr>
          <w:rFonts w:hint="eastAsia" w:ascii="仿宋_GB2312" w:hAnsi="仿宋_GB2312" w:eastAsia="仿宋_GB2312" w:cs="仿宋_GB2312"/>
          <w:b/>
          <w:sz w:val="24"/>
          <w:highlight w:val="none"/>
        </w:rPr>
        <w:t>报价文件：</w:t>
      </w:r>
      <w:r>
        <w:rPr>
          <w:rFonts w:hint="eastAsia" w:ascii="仿宋_GB2312" w:hAnsi="仿宋_GB2312" w:eastAsia="仿宋_GB2312" w:cs="仿宋_GB2312"/>
          <w:sz w:val="24"/>
          <w:highlight w:val="none"/>
        </w:rPr>
        <w:t xml:space="preserve"> </w:t>
      </w:r>
    </w:p>
    <w:p w14:paraId="27590FFE">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11.3.1开标一览表（报价表）；</w:t>
      </w:r>
    </w:p>
    <w:p w14:paraId="325984B3">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11.3.2中小企业声明函</w:t>
      </w:r>
      <w:r>
        <w:rPr>
          <w:rFonts w:hint="eastAsia" w:ascii="仿宋_GB2312" w:hAnsi="仿宋_GB2312" w:eastAsia="仿宋_GB2312" w:cs="仿宋_GB2312"/>
          <w:bCs/>
          <w:sz w:val="24"/>
          <w:highlight w:val="none"/>
        </w:rPr>
        <w:t>（如果有）</w:t>
      </w:r>
      <w:r>
        <w:rPr>
          <w:rFonts w:hint="eastAsia" w:ascii="仿宋_GB2312" w:hAnsi="仿宋_GB2312" w:eastAsia="仿宋_GB2312" w:cs="仿宋_GB2312"/>
          <w:b/>
          <w:sz w:val="24"/>
          <w:highlight w:val="none"/>
        </w:rPr>
        <w:t>。</w:t>
      </w:r>
    </w:p>
    <w:p w14:paraId="6F2B35BE">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6F0BD7FA">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C2BE7A0">
      <w:pPr>
        <w:pStyle w:val="133"/>
        <w:keepNext w:val="0"/>
        <w:keepLines w:val="0"/>
        <w:pageBreakBefore w:val="0"/>
        <w:kinsoku/>
        <w:wordWrap/>
        <w:overflowPunct/>
        <w:topLinePunct w:val="0"/>
        <w:bidi w:val="0"/>
        <w:snapToGrid w:val="0"/>
        <w:spacing w:before="0" w:beforeAutospacing="0"/>
        <w:ind w:left="0" w:leftChars="0" w:firstLine="482" w:firstLineChars="20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76F07E84">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38C8F4">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5B86F5">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F185F1D">
      <w:pPr>
        <w:keepNext w:val="0"/>
        <w:keepLines w:val="0"/>
        <w:pageBreakBefore w:val="0"/>
        <w:kinsoku/>
        <w:wordWrap/>
        <w:overflowPunct/>
        <w:topLinePunct w:val="0"/>
        <w:bidi w:val="0"/>
        <w:snapToGrid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58BFEFA5">
      <w:pPr>
        <w:pStyle w:val="133"/>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12175DF">
      <w:pPr>
        <w:pStyle w:val="133"/>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4C8AF6F">
      <w:pPr>
        <w:pStyle w:val="133"/>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DF81CBB">
      <w:pPr>
        <w:pStyle w:val="133"/>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DBDE8F7">
      <w:pPr>
        <w:widowControl w:val="0"/>
        <w:adjustRightInd w:val="0"/>
        <w:spacing w:before="156"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C6D9F64">
      <w:pPr>
        <w:widowControl w:val="0"/>
        <w:adjustRightIn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14.2电子交易平台收到投标文件，将妥善保存并即时向供应商发出确认回执通知。在投标截止时间前，除供应商补充、修改或者撤回投标文件外，任何单位和个人不得解密或提取投标文件。</w:t>
      </w:r>
    </w:p>
    <w:p w14:paraId="4DEFEB83">
      <w:pPr>
        <w:widowControl w:val="0"/>
        <w:adjustRightIn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14.3采购人、采购代理机构可以视情况延长投标文件提交的截止时间。在上述情况下，采购代理机构与投标人以前在投标截止期方面的全部权利、责任和义务，将适用于延长至新的投标截止期。</w:t>
      </w:r>
    </w:p>
    <w:p w14:paraId="28CB23FF">
      <w:pPr>
        <w:pStyle w:val="35"/>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72547AAD">
      <w:pPr>
        <w:widowControl w:val="0"/>
        <w:adjustRightInd w:val="0"/>
        <w:spacing w:line="360" w:lineRule="auto"/>
        <w:ind w:firstLine="360" w:firstLineChars="15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 xml:space="preserve"> 15.1投标人在电子交易平台传输递交投标文件后，还可以在投标截止时间前直接提交或者以邮政快递方式递交备份投标文件1份，</w:t>
      </w:r>
      <w:r>
        <w:rPr>
          <w:rFonts w:hint="eastAsia" w:ascii="仿宋" w:hAnsi="仿宋" w:eastAsia="仿宋" w:cs="仿宋"/>
          <w:b/>
          <w:snapToGrid w:val="0"/>
          <w:color w:val="auto"/>
          <w:kern w:val="2"/>
          <w:sz w:val="24"/>
          <w:szCs w:val="24"/>
          <w:highlight w:val="none"/>
          <w:lang w:val="en-US" w:eastAsia="zh-CN" w:bidi="ar-SA"/>
        </w:rPr>
        <w:t>但采购人、采购代理机构不强制或变相强制投标人提交备份投标文件。</w:t>
      </w:r>
    </w:p>
    <w:p w14:paraId="6A48B9B9">
      <w:pPr>
        <w:widowControl w:val="0"/>
        <w:adjustRightInd w:val="0"/>
        <w:spacing w:line="360" w:lineRule="auto"/>
        <w:ind w:firstLine="480"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15.2备份投标文件须在“政采云投标客户端”制作生成，并储存在</w:t>
      </w:r>
      <w:r>
        <w:rPr>
          <w:rFonts w:hint="eastAsia" w:ascii="仿宋" w:hAnsi="仿宋" w:eastAsia="仿宋" w:cs="仿宋"/>
          <w:snapToGrid w:val="0"/>
          <w:color w:val="auto"/>
          <w:kern w:val="2"/>
          <w:sz w:val="24"/>
          <w:szCs w:val="21"/>
          <w:highlight w:val="none"/>
          <w:lang w:val="en-US" w:eastAsia="zh-CN" w:bidi="ar-SA"/>
        </w:rPr>
        <w:t>DVD光盘等存储介质</w:t>
      </w:r>
      <w:r>
        <w:rPr>
          <w:rFonts w:hint="eastAsia" w:ascii="仿宋" w:hAnsi="仿宋" w:eastAsia="仿宋" w:cs="仿宋"/>
          <w:snapToGrid w:val="0"/>
          <w:color w:val="auto"/>
          <w:kern w:val="2"/>
          <w:sz w:val="24"/>
          <w:szCs w:val="24"/>
          <w:highlight w:val="none"/>
          <w:lang w:val="en-US" w:eastAsia="zh-CN" w:bidi="ar-SA"/>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napToGrid w:val="0"/>
          <w:color w:val="auto"/>
          <w:kern w:val="2"/>
          <w:sz w:val="24"/>
          <w:szCs w:val="21"/>
          <w:highlight w:val="none"/>
          <w:lang w:val="en-US" w:eastAsia="zh-CN" w:bidi="ar-SA"/>
        </w:rPr>
        <w:t>不符合上述制作、</w:t>
      </w:r>
      <w:r>
        <w:rPr>
          <w:rFonts w:hint="eastAsia" w:ascii="仿宋" w:hAnsi="仿宋" w:eastAsia="仿宋" w:cs="仿宋"/>
          <w:b/>
          <w:snapToGrid w:val="0"/>
          <w:color w:val="auto"/>
          <w:kern w:val="2"/>
          <w:sz w:val="24"/>
          <w:szCs w:val="24"/>
          <w:highlight w:val="none"/>
          <w:lang w:val="en-US" w:eastAsia="zh-CN" w:bidi="ar-SA"/>
        </w:rPr>
        <w:t>存储、密封规定的备份投标文件将被视为无效或者被拒绝接收。</w:t>
      </w:r>
    </w:p>
    <w:p w14:paraId="49D3A659">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14:paraId="6443BF09">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kern w:val="2"/>
          <w:sz w:val="24"/>
          <w:szCs w:val="24"/>
          <w:highlight w:val="none"/>
          <w:lang w:val="en-US" w:eastAsia="zh-CN" w:bidi="ar-SA"/>
        </w:rPr>
        <w:t>招标文件第二部分投标人须知前附表规定的备份投标文件送达地点；</w:t>
      </w:r>
      <w:r>
        <w:rPr>
          <w:rFonts w:hint="eastAsia" w:ascii="仿宋" w:hAnsi="仿宋" w:eastAsia="仿宋" w:cs="仿宋"/>
          <w:snapToGrid w:val="0"/>
          <w:color w:val="auto"/>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14:paraId="2218D7D5">
      <w:pPr>
        <w:widowControl w:val="0"/>
        <w:adjustRightInd w:val="0"/>
        <w:spacing w:line="360" w:lineRule="auto"/>
        <w:ind w:firstLine="479" w:firstLineChars="199"/>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15.5投标人仅提交备份投标文件，未在电子交易平台传输递交投标文件的，投标无效。</w:t>
      </w:r>
    </w:p>
    <w:p w14:paraId="18D24592">
      <w:pPr>
        <w:pStyle w:val="133"/>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02A371E">
      <w:pPr>
        <w:pStyle w:val="133"/>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有招标文件第四部分第4.2条规定的情形之一的，投标无效：</w:t>
      </w:r>
    </w:p>
    <w:p w14:paraId="7FB64572">
      <w:pPr>
        <w:pStyle w:val="133"/>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424324B">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03E55BC">
      <w:pPr>
        <w:pStyle w:val="133"/>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3B405EC">
      <w:pPr>
        <w:pStyle w:val="133"/>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5649742">
      <w:pPr>
        <w:pStyle w:val="133"/>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17.4在投标截止时间起至投标有效期届满，供应商投标文件不可撤销。</w:t>
      </w:r>
    </w:p>
    <w:p w14:paraId="15FD38CB">
      <w:pPr>
        <w:pStyle w:val="133"/>
        <w:keepNext w:val="0"/>
        <w:keepLines w:val="0"/>
        <w:pageBreakBefore w:val="0"/>
        <w:kinsoku/>
        <w:wordWrap/>
        <w:overflowPunct/>
        <w:topLinePunct w:val="0"/>
        <w:bidi w:val="0"/>
        <w:spacing w:before="0" w:beforeAutospacing="0"/>
        <w:ind w:left="0" w:leftChars="0" w:firstLine="643" w:firstLineChars="200"/>
        <w:textAlignment w:val="auto"/>
        <w:rPr>
          <w:rFonts w:hint="eastAsia" w:ascii="仿宋" w:hAnsi="仿宋" w:eastAsia="仿宋" w:cs="仿宋"/>
          <w:b/>
          <w:color w:val="auto"/>
          <w:sz w:val="32"/>
          <w:highlight w:val="none"/>
        </w:rPr>
      </w:pPr>
    </w:p>
    <w:p w14:paraId="75E89D0A">
      <w:pPr>
        <w:pStyle w:val="133"/>
        <w:keepNext w:val="0"/>
        <w:keepLines w:val="0"/>
        <w:pageBreakBefore w:val="0"/>
        <w:kinsoku/>
        <w:wordWrap/>
        <w:overflowPunct/>
        <w:topLinePunct w:val="0"/>
        <w:bidi w:val="0"/>
        <w:spacing w:before="0" w:beforeAutospacing="0"/>
        <w:ind w:left="0" w:leftChars="0" w:firstLine="0" w:firstLineChars="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43DE854">
      <w:pPr>
        <w:pStyle w:val="556"/>
        <w:keepNext w:val="0"/>
        <w:keepLines w:val="0"/>
        <w:pageBreakBefore w:val="0"/>
        <w:kinsoku/>
        <w:wordWrap/>
        <w:overflowPunct/>
        <w:topLinePunct w:val="0"/>
        <w:bidi w:val="0"/>
        <w:spacing w:before="0" w:beforeAutospacing="0" w:line="360" w:lineRule="auto"/>
        <w:ind w:left="0" w:leftChars="0" w:firstLine="482"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4785062D">
      <w:pPr>
        <w:pStyle w:val="556"/>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5EBEBEEA">
      <w:pPr>
        <w:pStyle w:val="556"/>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14:paraId="4ADEF021">
      <w:pPr>
        <w:pStyle w:val="556"/>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327E11A">
      <w:pPr>
        <w:keepNext w:val="0"/>
        <w:keepLines w:val="0"/>
        <w:pageBreakBefore w:val="0"/>
        <w:widowControl/>
        <w:kinsoku/>
        <w:wordWrap/>
        <w:overflowPunct/>
        <w:topLinePunct w:val="0"/>
        <w:bidi w:val="0"/>
        <w:spacing w:beforeAutospacing="0" w:line="360" w:lineRule="auto"/>
        <w:ind w:left="0" w:leftChars="0" w:firstLine="482" w:firstLineChars="200"/>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286E1DCD">
      <w:pPr>
        <w:pStyle w:val="133"/>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19.1开标后，采购人将依据法律法规和招标文件的规定，对投标人的资格进行审查。</w:t>
      </w:r>
    </w:p>
    <w:p w14:paraId="2BB26F28">
      <w:pPr>
        <w:pStyle w:val="133"/>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19.2投标人未按照招标文件要求提供与资格条件相应的有效资格证明材料的，视为投标人不具备招标文件中规定的资格要求，其投标无效。</w:t>
      </w:r>
    </w:p>
    <w:p w14:paraId="236CFE3C">
      <w:pPr>
        <w:pStyle w:val="133"/>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19.3对未通过资格审查的投标人，告知其未通过的原因。</w:t>
      </w:r>
    </w:p>
    <w:p w14:paraId="0C1B7A70">
      <w:pPr>
        <w:pStyle w:val="133"/>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19.4合格投标人不足3家的，不再评标。</w:t>
      </w:r>
    </w:p>
    <w:p w14:paraId="4C249DBE">
      <w:pPr>
        <w:pStyle w:val="133"/>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796B534">
      <w:pPr>
        <w:pStyle w:val="133"/>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61A2D00">
      <w:pPr>
        <w:pStyle w:val="133"/>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0A13A0F">
      <w:pPr>
        <w:pStyle w:val="133"/>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83B4BE3">
      <w:pPr>
        <w:pStyle w:val="133"/>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8EB22A2">
      <w:pPr>
        <w:pStyle w:val="133"/>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p>
    <w:p w14:paraId="6FB1ED01">
      <w:pPr>
        <w:keepNext w:val="0"/>
        <w:keepLines w:val="0"/>
        <w:pageBreakBefore w:val="0"/>
        <w:kinsoku/>
        <w:wordWrap/>
        <w:overflowPunct/>
        <w:topLinePunct w:val="0"/>
        <w:bidi w:val="0"/>
        <w:snapToGrid w:val="0"/>
        <w:spacing w:beforeAutospacing="0" w:line="360" w:lineRule="auto"/>
        <w:ind w:left="0" w:leftChars="0" w:firstLine="723" w:firstLineChars="200"/>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84621B1">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FFE6969">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p>
    <w:p w14:paraId="57027439">
      <w:pPr>
        <w:keepNext w:val="0"/>
        <w:keepLines w:val="0"/>
        <w:pageBreakBefore w:val="0"/>
        <w:kinsoku/>
        <w:wordWrap/>
        <w:overflowPunct/>
        <w:topLinePunct w:val="0"/>
        <w:bidi w:val="0"/>
        <w:snapToGrid w:val="0"/>
        <w:spacing w:beforeAutospacing="0" w:line="360" w:lineRule="auto"/>
        <w:ind w:left="0" w:leftChars="0" w:firstLine="723" w:firstLineChars="200"/>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72138AB">
      <w:pPr>
        <w:pStyle w:val="26"/>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29B3ADE">
      <w:pPr>
        <w:pStyle w:val="133"/>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14:paraId="3AFD43C3">
      <w:pPr>
        <w:pStyle w:val="133"/>
        <w:keepNext w:val="0"/>
        <w:keepLines w:val="0"/>
        <w:pageBreakBefore w:val="0"/>
        <w:kinsoku/>
        <w:wordWrap/>
        <w:overflowPunct/>
        <w:topLinePunct w:val="0"/>
        <w:bidi w:val="0"/>
        <w:snapToGrid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6AEDC88">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063E4FE">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9915BB3">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3E09E5A">
      <w:pPr>
        <w:keepNext w:val="0"/>
        <w:keepLines w:val="0"/>
        <w:pageBreakBefore w:val="0"/>
        <w:kinsoku/>
        <w:wordWrap/>
        <w:overflowPunct/>
        <w:topLinePunct w:val="0"/>
        <w:bidi w:val="0"/>
        <w:snapToGrid w:val="0"/>
        <w:spacing w:beforeAutospacing="0" w:line="360" w:lineRule="auto"/>
        <w:ind w:left="0" w:leftChars="0" w:firstLine="643" w:firstLineChars="200"/>
        <w:jc w:val="center"/>
        <w:textAlignment w:val="auto"/>
        <w:rPr>
          <w:rFonts w:hint="eastAsia" w:ascii="仿宋" w:hAnsi="仿宋" w:eastAsia="仿宋" w:cs="仿宋"/>
          <w:b/>
          <w:color w:val="auto"/>
          <w:sz w:val="32"/>
          <w:highlight w:val="none"/>
        </w:rPr>
      </w:pPr>
    </w:p>
    <w:p w14:paraId="4E2FF6B7">
      <w:pPr>
        <w:keepNext w:val="0"/>
        <w:keepLines w:val="0"/>
        <w:pageBreakBefore w:val="0"/>
        <w:kinsoku/>
        <w:wordWrap/>
        <w:overflowPunct/>
        <w:topLinePunct w:val="0"/>
        <w:bidi w:val="0"/>
        <w:snapToGrid w:val="0"/>
        <w:spacing w:beforeAutospacing="0" w:line="360" w:lineRule="auto"/>
        <w:ind w:left="0" w:leftChars="0" w:firstLine="643" w:firstLineChars="20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8C3D737">
      <w:pPr>
        <w:pStyle w:val="26"/>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FF142C4">
      <w:pPr>
        <w:pStyle w:val="26"/>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00393BC">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3AEEA414">
      <w:pPr>
        <w:pStyle w:val="133"/>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D126705">
      <w:pPr>
        <w:pStyle w:val="133"/>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C1E9237">
      <w:pPr>
        <w:pStyle w:val="133"/>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DD9C45F">
      <w:pPr>
        <w:pStyle w:val="133"/>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2728B317">
      <w:pPr>
        <w:pStyle w:val="26"/>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23277116">
      <w:pPr>
        <w:tabs>
          <w:tab w:val="left" w:pos="0"/>
        </w:tabs>
        <w:spacing w:line="360" w:lineRule="auto"/>
        <w:ind w:firstLine="482"/>
        <w:rPr>
          <w:rFonts w:hint="eastAsia" w:ascii="仿宋_GB2312" w:hAnsi="仿宋_GB2312" w:eastAsia="仿宋_GB2312" w:cs="仿宋_GB2312"/>
          <w:sz w:val="24"/>
          <w:szCs w:val="20"/>
          <w:highlight w:val="none"/>
        </w:rPr>
      </w:pPr>
      <w:r>
        <w:rPr>
          <w:rFonts w:hint="eastAsia" w:ascii="仿宋_GB2312" w:hAnsi="仿宋_GB2312" w:eastAsia="仿宋_GB2312" w:cs="仿宋_GB2312"/>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2E7DDC5F">
      <w:pPr>
        <w:pStyle w:val="3"/>
        <w:ind w:left="0" w:firstLine="480" w:firstLineChars="200"/>
        <w:rPr>
          <w:rFonts w:hint="eastAsia" w:ascii="仿宋_GB2312" w:hAnsi="仿宋_GB2312" w:eastAsia="仿宋_GB2312" w:cs="仿宋_GB2312"/>
          <w:highlight w:val="none"/>
          <w:lang w:val="en-US"/>
        </w:rPr>
      </w:pPr>
      <w:r>
        <w:rPr>
          <w:rFonts w:hint="eastAsia" w:ascii="仿宋_GB2312" w:hAnsi="仿宋_GB2312" w:eastAsia="仿宋_GB2312" w:cs="仿宋_GB2312"/>
          <w:b w:val="0"/>
          <w:bCs w:val="0"/>
          <w:snapToGrid w:val="0"/>
          <w:kern w:val="28"/>
          <w:sz w:val="24"/>
          <w:highlight w:val="none"/>
        </w:rPr>
        <w:t>供应商</w:t>
      </w:r>
      <w:r>
        <w:rPr>
          <w:rFonts w:hint="eastAsia" w:ascii="仿宋_GB2312" w:hAnsi="仿宋_GB2312" w:eastAsia="仿宋_GB2312" w:cs="仿宋_GB2312"/>
          <w:b w:val="0"/>
          <w:bCs w:val="0"/>
          <w:snapToGrid w:val="0"/>
          <w:kern w:val="28"/>
          <w:sz w:val="24"/>
          <w:highlight w:val="none"/>
          <w:lang w:val="en-US"/>
        </w:rPr>
        <w:t>可</w:t>
      </w:r>
      <w:r>
        <w:rPr>
          <w:rFonts w:hint="eastAsia" w:ascii="仿宋_GB2312" w:hAnsi="仿宋_GB2312" w:eastAsia="仿宋_GB2312" w:cs="仿宋_GB2312"/>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53BA823">
      <w:pPr>
        <w:pStyle w:val="3"/>
        <w:rPr>
          <w:rFonts w:hint="eastAsia" w:ascii="仿宋_GB2312" w:hAnsi="仿宋_GB2312" w:eastAsia="仿宋_GB2312" w:cs="仿宋_GB2312"/>
          <w:highlight w:val="none"/>
        </w:rPr>
      </w:pPr>
      <w:r>
        <w:rPr>
          <w:rFonts w:hint="eastAsia" w:ascii="仿宋_GB2312" w:hAnsi="仿宋_GB2312" w:eastAsia="仿宋_GB2312" w:cs="仿宋_GB2312"/>
          <w:sz w:val="24"/>
          <w:highlight w:val="none"/>
          <w:lang w:val="en-US"/>
        </w:rPr>
        <w:t>2</w:t>
      </w:r>
      <w:r>
        <w:rPr>
          <w:rFonts w:hint="eastAsia" w:hAnsi="仿宋_GB2312" w:cs="仿宋_GB2312"/>
          <w:sz w:val="24"/>
          <w:highlight w:val="none"/>
          <w:lang w:val="en-US" w:eastAsia="zh-CN"/>
        </w:rPr>
        <w:t>7</w:t>
      </w:r>
      <w:r>
        <w:rPr>
          <w:rFonts w:hint="eastAsia" w:ascii="仿宋_GB2312" w:hAnsi="仿宋_GB2312" w:eastAsia="仿宋_GB2312" w:cs="仿宋_GB2312"/>
          <w:sz w:val="24"/>
          <w:highlight w:val="none"/>
          <w:lang w:val="en-US"/>
        </w:rPr>
        <w:t>. 预付款</w:t>
      </w:r>
    </w:p>
    <w:p w14:paraId="360A6D27">
      <w:pPr>
        <w:snapToGrid w:val="0"/>
        <w:spacing w:line="360" w:lineRule="auto"/>
        <w:ind w:firstLine="480" w:firstLineChars="200"/>
        <w:rPr>
          <w:rFonts w:hint="eastAsia" w:ascii="仿宋_GB2312" w:hAnsi="仿宋_GB2312" w:eastAsia="仿宋_GB2312" w:cs="仿宋_GB2312"/>
          <w:b/>
          <w:sz w:val="32"/>
          <w:highlight w:val="none"/>
        </w:rPr>
      </w:pPr>
      <w:r>
        <w:rPr>
          <w:rFonts w:hint="eastAsia" w:ascii="仿宋_GB2312" w:hAnsi="仿宋_GB2312" w:eastAsia="仿宋_GB2312" w:cs="仿宋_GB2312"/>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F80D1FC">
      <w:pPr>
        <w:pStyle w:val="3"/>
        <w:rPr>
          <w:rFonts w:hint="eastAsia"/>
          <w:highlight w:val="none"/>
        </w:rPr>
      </w:pPr>
    </w:p>
    <w:p w14:paraId="2B6B1E55">
      <w:pPr>
        <w:pStyle w:val="23"/>
        <w:keepNext w:val="0"/>
        <w:keepLines w:val="0"/>
        <w:pageBreakBefore w:val="0"/>
        <w:kinsoku/>
        <w:wordWrap/>
        <w:overflowPunct/>
        <w:topLinePunct w:val="0"/>
        <w:bidi w:val="0"/>
        <w:spacing w:beforeAutospacing="0"/>
        <w:ind w:left="0" w:leftChars="0" w:firstLine="480" w:firstLineChars="200"/>
        <w:textAlignment w:val="auto"/>
        <w:rPr>
          <w:rFonts w:hint="eastAsia" w:ascii="仿宋" w:hAnsi="仿宋" w:eastAsia="仿宋" w:cs="仿宋"/>
          <w:color w:val="auto"/>
          <w:highlight w:val="none"/>
        </w:rPr>
      </w:pPr>
    </w:p>
    <w:p w14:paraId="684278CB">
      <w:pPr>
        <w:keepNext w:val="0"/>
        <w:keepLines w:val="0"/>
        <w:pageBreakBefore w:val="0"/>
        <w:kinsoku/>
        <w:wordWrap/>
        <w:overflowPunct/>
        <w:topLinePunct w:val="0"/>
        <w:bidi w:val="0"/>
        <w:snapToGrid w:val="0"/>
        <w:spacing w:beforeAutospacing="0"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5CFD5E2">
      <w:pPr>
        <w:widowControl w:val="0"/>
        <w:adjustRightInd w:val="0"/>
        <w:snapToGrid w:val="0"/>
        <w:spacing w:before="0" w:line="360" w:lineRule="auto"/>
        <w:ind w:firstLine="0" w:firstLineChars="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b/>
          <w:bCs/>
          <w:kern w:val="2"/>
          <w:sz w:val="24"/>
          <w:szCs w:val="20"/>
          <w:highlight w:val="none"/>
          <w:lang w:val="en-US" w:eastAsia="zh-CN" w:bidi="ar-SA"/>
        </w:rPr>
        <w:t>28</w:t>
      </w:r>
      <w:r>
        <w:rPr>
          <w:rFonts w:hint="eastAsia" w:ascii="仿宋_GB2312" w:hAnsi="仿宋_GB2312" w:eastAsia="仿宋_GB2312" w:cs="仿宋_GB2312"/>
          <w:b/>
          <w:bCs/>
          <w:kern w:val="2"/>
          <w:sz w:val="24"/>
          <w:szCs w:val="24"/>
          <w:highlight w:val="none"/>
          <w:lang w:val="en-US" w:eastAsia="zh-CN" w:bidi="ar-SA"/>
        </w:rPr>
        <w:t>.</w:t>
      </w:r>
      <w:r>
        <w:rPr>
          <w:rFonts w:hint="eastAsia" w:ascii="仿宋_GB2312" w:hAnsi="仿宋_GB2312" w:eastAsia="仿宋_GB2312" w:cs="仿宋_GB2312"/>
          <w:b/>
          <w:kern w:val="2"/>
          <w:sz w:val="24"/>
          <w:szCs w:val="24"/>
          <w:highlight w:val="none"/>
          <w:lang w:val="en-US" w:eastAsia="zh-CN" w:bidi="ar-SA"/>
        </w:rPr>
        <w:t xml:space="preserve"> 电子交易活动的中止。</w:t>
      </w:r>
      <w:r>
        <w:rPr>
          <w:rFonts w:hint="eastAsia" w:ascii="仿宋_GB2312" w:hAnsi="仿宋_GB2312" w:eastAsia="仿宋_GB2312" w:cs="仿宋_GB2312"/>
          <w:kern w:val="2"/>
          <w:sz w:val="24"/>
          <w:szCs w:val="20"/>
          <w:highlight w:val="none"/>
          <w:lang w:val="en-US" w:eastAsia="zh-CN" w:bidi="ar-SA"/>
        </w:rPr>
        <w:t>采购过程中出现以下情形，导致电子交易平台无法正常运行，或者无法保证电子交易的公平、公正和安全时，采购代理机构可中止电子交易活动：</w:t>
      </w:r>
    </w:p>
    <w:p w14:paraId="118573A7">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w:t xml:space="preserve">27.1电子交易平台发生故障而无法登录访问的； </w:t>
      </w:r>
    </w:p>
    <w:p w14:paraId="0610140E">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w:t>27.2电子交易平台应用或数据库出现错误，不能进行正常操作的；</w:t>
      </w:r>
    </w:p>
    <w:p w14:paraId="7DA91283">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w:t>27.3电子交易平台发现严重安全漏洞，有潜在泄密危险的；</w:t>
      </w:r>
    </w:p>
    <w:p w14:paraId="4CFFD6E4">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w:t xml:space="preserve">27.4病毒发作导致不能进行正常操作的； </w:t>
      </w:r>
    </w:p>
    <w:p w14:paraId="054606F8">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w:t>27.5其他无法保证电子交易的公平、公正和安全的情况。</w:t>
      </w:r>
    </w:p>
    <w:p w14:paraId="5B5440E0">
      <w:pPr>
        <w:widowControl w:val="0"/>
        <w:adjustRightInd w:val="0"/>
        <w:snapToGrid w:val="0"/>
        <w:spacing w:before="0" w:line="360" w:lineRule="auto"/>
        <w:ind w:firstLine="0" w:firstLineChars="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b/>
          <w:bCs/>
          <w:kern w:val="2"/>
          <w:sz w:val="24"/>
          <w:szCs w:val="20"/>
          <w:highlight w:val="none"/>
          <w:lang w:val="en-US" w:eastAsia="zh-CN" w:bidi="ar-SA"/>
        </w:rPr>
        <w:t>29.</w:t>
      </w:r>
      <w:r>
        <w:rPr>
          <w:rFonts w:hint="eastAsia" w:ascii="仿宋_GB2312" w:hAnsi="仿宋_GB2312" w:eastAsia="仿宋_GB2312" w:cs="仿宋_GB2312"/>
          <w:kern w:val="2"/>
          <w:sz w:val="24"/>
          <w:szCs w:val="20"/>
          <w:highlight w:val="none"/>
          <w:lang w:val="en-US" w:eastAsia="zh-CN" w:bidi="ar-SA"/>
        </w:rPr>
        <w:t>出现以上情形，不影响采购公平、公正性的，采购组织机构可以待上述情形消除后继续组织电子交易活动，也可以决定某些环节以纸质形式进行；影响或可能影响采购公平、公正性的，应当重新采购。</w:t>
      </w:r>
    </w:p>
    <w:p w14:paraId="6467C651">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p>
    <w:p w14:paraId="66E0C2CF">
      <w:pPr>
        <w:keepNext w:val="0"/>
        <w:keepLines w:val="0"/>
        <w:pageBreakBefore w:val="0"/>
        <w:kinsoku/>
        <w:wordWrap/>
        <w:overflowPunct/>
        <w:topLinePunct w:val="0"/>
        <w:bidi w:val="0"/>
        <w:snapToGrid w:val="0"/>
        <w:spacing w:beforeAutospacing="0" w:line="360" w:lineRule="auto"/>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219E006">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13C1D78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1C387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7ADE0C5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B7D0D0">
      <w:pPr>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cs="仿宋"/>
          <w:color w:val="auto"/>
          <w:kern w:val="0"/>
          <w:sz w:val="24"/>
          <w:highlight w:val="none"/>
          <w:lang w:val="en-US" w:eastAsia="zh-CN"/>
        </w:rPr>
        <w:t>30</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3"/>
    <w:bookmarkEnd w:id="24"/>
    <w:p w14:paraId="5EC1315D">
      <w:pPr>
        <w:numPr>
          <w:ilvl w:val="0"/>
          <w:numId w:val="2"/>
        </w:numPr>
        <w:spacing w:line="360" w:lineRule="auto"/>
        <w:jc w:val="center"/>
        <w:outlineLvl w:val="0"/>
        <w:rPr>
          <w:rFonts w:hint="eastAsia" w:ascii="仿宋" w:hAnsi="仿宋" w:eastAsia="仿宋" w:cs="仿宋"/>
          <w:b/>
          <w:sz w:val="36"/>
          <w:szCs w:val="36"/>
        </w:rPr>
      </w:pPr>
      <w:bookmarkStart w:id="25" w:name="第四部分"/>
      <w:r>
        <w:rPr>
          <w:rFonts w:hint="eastAsia" w:ascii="仿宋" w:hAnsi="仿宋" w:eastAsia="仿宋" w:cs="仿宋"/>
          <w:b/>
          <w:color w:val="auto"/>
          <w:sz w:val="36"/>
          <w:szCs w:val="36"/>
          <w:highlight w:val="none"/>
        </w:rPr>
        <w:t xml:space="preserve">  </w:t>
      </w:r>
      <w:r>
        <w:rPr>
          <w:rFonts w:hint="eastAsia" w:ascii="仿宋" w:hAnsi="仿宋" w:eastAsia="仿宋" w:cs="仿宋"/>
          <w:b/>
          <w:sz w:val="36"/>
          <w:szCs w:val="36"/>
          <w:highlight w:val="none"/>
        </w:rPr>
        <w:t>采购需求</w:t>
      </w:r>
    </w:p>
    <w:p w14:paraId="30F99266">
      <w:pPr>
        <w:keepNext/>
        <w:widowControl/>
        <w:spacing w:line="360" w:lineRule="auto"/>
        <w:ind w:firstLine="562" w:firstLineChars="200"/>
        <w:jc w:val="center"/>
        <w:outlineLvl w:val="1"/>
        <w:rPr>
          <w:rFonts w:hint="eastAsia" w:ascii="仿宋" w:hAnsi="仿宋" w:eastAsia="仿宋" w:cs="仿宋"/>
          <w:b/>
          <w:kern w:val="36"/>
          <w:sz w:val="28"/>
          <w:szCs w:val="28"/>
        </w:rPr>
      </w:pPr>
      <w:r>
        <w:rPr>
          <w:rFonts w:hint="eastAsia" w:ascii="仿宋" w:hAnsi="仿宋" w:eastAsia="仿宋" w:cs="仿宋"/>
          <w:b/>
          <w:kern w:val="36"/>
          <w:sz w:val="28"/>
          <w:szCs w:val="28"/>
        </w:rPr>
        <w:t>一、招标一览表</w:t>
      </w:r>
    </w:p>
    <w:tbl>
      <w:tblPr>
        <w:tblStyle w:val="63"/>
        <w:tblW w:w="9180" w:type="dxa"/>
        <w:jc w:val="center"/>
        <w:tblLayout w:type="fixed"/>
        <w:tblCellMar>
          <w:top w:w="0" w:type="dxa"/>
          <w:left w:w="0" w:type="dxa"/>
          <w:bottom w:w="0" w:type="dxa"/>
          <w:right w:w="0" w:type="dxa"/>
        </w:tblCellMar>
      </w:tblPr>
      <w:tblGrid>
        <w:gridCol w:w="754"/>
        <w:gridCol w:w="4293"/>
        <w:gridCol w:w="2105"/>
        <w:gridCol w:w="1013"/>
        <w:gridCol w:w="1015"/>
      </w:tblGrid>
      <w:tr w14:paraId="538FABA5">
        <w:tblPrEx>
          <w:tblCellMar>
            <w:top w:w="0" w:type="dxa"/>
            <w:left w:w="0" w:type="dxa"/>
            <w:bottom w:w="0" w:type="dxa"/>
            <w:right w:w="0" w:type="dxa"/>
          </w:tblCellMar>
        </w:tblPrEx>
        <w:trPr>
          <w:cantSplit/>
          <w:trHeight w:val="531" w:hRule="atLeast"/>
          <w:jc w:val="center"/>
        </w:trPr>
        <w:tc>
          <w:tcPr>
            <w:tcW w:w="7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C9FA27">
            <w:pPr>
              <w:adjustRightInd/>
              <w:jc w:val="center"/>
              <w:rPr>
                <w:rFonts w:hint="eastAsia" w:ascii="仿宋" w:hAnsi="仿宋" w:eastAsia="仿宋" w:cs="仿宋"/>
                <w:sz w:val="24"/>
              </w:rPr>
            </w:pPr>
            <w:r>
              <w:rPr>
                <w:rFonts w:hint="eastAsia" w:ascii="仿宋" w:hAnsi="仿宋" w:eastAsia="仿宋" w:cs="仿宋"/>
                <w:sz w:val="24"/>
              </w:rPr>
              <w:t>序号</w:t>
            </w:r>
          </w:p>
        </w:tc>
        <w:tc>
          <w:tcPr>
            <w:tcW w:w="429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001AA0D">
            <w:pPr>
              <w:adjustRightInd/>
              <w:jc w:val="center"/>
              <w:rPr>
                <w:rFonts w:hint="eastAsia" w:ascii="仿宋" w:hAnsi="仿宋" w:eastAsia="仿宋" w:cs="仿宋"/>
                <w:sz w:val="24"/>
              </w:rPr>
            </w:pPr>
            <w:r>
              <w:rPr>
                <w:rFonts w:hint="eastAsia" w:ascii="仿宋" w:hAnsi="仿宋" w:eastAsia="仿宋" w:cs="仿宋"/>
                <w:sz w:val="24"/>
              </w:rPr>
              <w:t>名称</w:t>
            </w:r>
          </w:p>
        </w:tc>
        <w:tc>
          <w:tcPr>
            <w:tcW w:w="21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095D99">
            <w:pPr>
              <w:adjustRightInd/>
              <w:jc w:val="center"/>
              <w:rPr>
                <w:rFonts w:hint="eastAsia" w:ascii="仿宋" w:hAnsi="仿宋" w:eastAsia="仿宋" w:cs="仿宋"/>
                <w:sz w:val="24"/>
              </w:rPr>
            </w:pPr>
            <w:r>
              <w:rPr>
                <w:rFonts w:hint="eastAsia" w:ascii="仿宋" w:hAnsi="仿宋" w:eastAsia="仿宋" w:cs="仿宋"/>
                <w:sz w:val="24"/>
              </w:rPr>
              <w:t>规格型号与参数</w:t>
            </w:r>
          </w:p>
        </w:tc>
        <w:tc>
          <w:tcPr>
            <w:tcW w:w="101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F20EBF">
            <w:pPr>
              <w:adjustRightInd/>
              <w:jc w:val="center"/>
              <w:rPr>
                <w:rFonts w:hint="eastAsia" w:ascii="仿宋" w:hAnsi="仿宋" w:eastAsia="仿宋" w:cs="仿宋"/>
                <w:sz w:val="24"/>
              </w:rPr>
            </w:pPr>
            <w:r>
              <w:rPr>
                <w:rFonts w:hint="eastAsia" w:ascii="仿宋" w:hAnsi="仿宋" w:eastAsia="仿宋" w:cs="仿宋"/>
                <w:sz w:val="24"/>
              </w:rPr>
              <w:t>单位</w:t>
            </w:r>
          </w:p>
        </w:tc>
        <w:tc>
          <w:tcPr>
            <w:tcW w:w="10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8B6887F">
            <w:pPr>
              <w:adjustRightInd/>
              <w:jc w:val="center"/>
              <w:rPr>
                <w:rFonts w:hint="eastAsia" w:ascii="仿宋" w:hAnsi="仿宋" w:eastAsia="仿宋" w:cs="仿宋"/>
                <w:sz w:val="24"/>
              </w:rPr>
            </w:pPr>
            <w:r>
              <w:rPr>
                <w:rFonts w:hint="eastAsia" w:ascii="仿宋" w:hAnsi="仿宋" w:eastAsia="仿宋" w:cs="仿宋"/>
                <w:sz w:val="24"/>
              </w:rPr>
              <w:t>数量</w:t>
            </w:r>
          </w:p>
        </w:tc>
      </w:tr>
      <w:tr w14:paraId="05D9A28E">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254B2D">
            <w:pPr>
              <w:adjustRightInd/>
              <w:jc w:val="center"/>
              <w:rPr>
                <w:rFonts w:hint="eastAsia" w:ascii="仿宋" w:hAnsi="仿宋" w:eastAsia="仿宋" w:cs="仿宋"/>
                <w:sz w:val="24"/>
              </w:rPr>
            </w:pPr>
            <w:r>
              <w:rPr>
                <w:rFonts w:hint="eastAsia" w:ascii="仿宋" w:hAnsi="仿宋" w:eastAsia="仿宋" w:cs="仿宋"/>
                <w:sz w:val="24"/>
              </w:rPr>
              <w:t>1</w:t>
            </w:r>
          </w:p>
        </w:tc>
        <w:tc>
          <w:tcPr>
            <w:tcW w:w="42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3EF7A0">
            <w:pPr>
              <w:adjustRightInd/>
              <w:jc w:val="center"/>
              <w:rPr>
                <w:rFonts w:hint="eastAsia" w:ascii="仿宋" w:hAnsi="仿宋" w:eastAsia="仿宋" w:cs="仿宋"/>
                <w:sz w:val="24"/>
                <w:lang w:eastAsia="zh-CN"/>
              </w:rPr>
            </w:pPr>
            <w:r>
              <w:rPr>
                <w:rFonts w:hint="eastAsia" w:ascii="仿宋" w:hAnsi="仿宋" w:cs="仿宋"/>
                <w:color w:val="auto"/>
                <w:sz w:val="24"/>
                <w:highlight w:val="none"/>
                <w:lang w:eastAsia="zh-CN"/>
              </w:rPr>
              <w:t>义蓬街</w:t>
            </w:r>
            <w:bookmarkStart w:id="516" w:name="_GoBack"/>
            <w:bookmarkEnd w:id="516"/>
            <w:r>
              <w:rPr>
                <w:rFonts w:hint="eastAsia" w:ascii="仿宋" w:hAnsi="仿宋" w:cs="仿宋"/>
                <w:color w:val="auto"/>
                <w:sz w:val="24"/>
                <w:highlight w:val="none"/>
                <w:lang w:eastAsia="zh-CN"/>
              </w:rPr>
              <w:t>道河道水环境运维服务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标项一</w:t>
            </w:r>
            <w:r>
              <w:rPr>
                <w:rFonts w:hint="eastAsia" w:ascii="仿宋" w:hAnsi="仿宋" w:eastAsia="仿宋" w:cs="仿宋"/>
                <w:color w:val="auto"/>
                <w:sz w:val="24"/>
                <w:highlight w:val="none"/>
                <w:lang w:eastAsia="zh-CN"/>
              </w:rPr>
              <w:t>）</w:t>
            </w:r>
          </w:p>
        </w:tc>
        <w:tc>
          <w:tcPr>
            <w:tcW w:w="2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2CF7E6">
            <w:pPr>
              <w:adjustRightInd/>
              <w:jc w:val="center"/>
              <w:rPr>
                <w:rFonts w:hint="eastAsia" w:ascii="仿宋" w:hAnsi="仿宋" w:eastAsia="仿宋" w:cs="仿宋"/>
                <w:sz w:val="24"/>
              </w:rPr>
            </w:pPr>
            <w:r>
              <w:rPr>
                <w:rFonts w:hint="eastAsia" w:ascii="仿宋" w:hAnsi="仿宋" w:eastAsia="仿宋" w:cs="仿宋"/>
                <w:sz w:val="24"/>
              </w:rPr>
              <w:t>详见招标需求</w:t>
            </w:r>
          </w:p>
        </w:tc>
        <w:tc>
          <w:tcPr>
            <w:tcW w:w="101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541316">
            <w:pPr>
              <w:adjustRightInd/>
              <w:jc w:val="center"/>
              <w:rPr>
                <w:rFonts w:hint="eastAsia" w:ascii="仿宋" w:hAnsi="仿宋" w:eastAsia="仿宋" w:cs="仿宋"/>
                <w:sz w:val="24"/>
              </w:rPr>
            </w:pPr>
            <w:r>
              <w:rPr>
                <w:rFonts w:hint="eastAsia" w:ascii="仿宋" w:hAnsi="仿宋" w:eastAsia="仿宋" w:cs="仿宋"/>
                <w:sz w:val="24"/>
              </w:rPr>
              <w:t>项</w:t>
            </w:r>
          </w:p>
        </w:tc>
        <w:tc>
          <w:tcPr>
            <w:tcW w:w="101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D65290">
            <w:pPr>
              <w:adjustRightInd/>
              <w:jc w:val="center"/>
              <w:rPr>
                <w:rFonts w:hint="eastAsia" w:ascii="仿宋" w:hAnsi="仿宋" w:eastAsia="仿宋" w:cs="仿宋"/>
                <w:sz w:val="24"/>
              </w:rPr>
            </w:pPr>
            <w:r>
              <w:rPr>
                <w:rFonts w:hint="eastAsia" w:ascii="仿宋" w:hAnsi="仿宋" w:eastAsia="仿宋" w:cs="仿宋"/>
                <w:sz w:val="24"/>
              </w:rPr>
              <w:t>1</w:t>
            </w:r>
          </w:p>
        </w:tc>
      </w:tr>
      <w:tr w14:paraId="6D9E32B3">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849C4D">
            <w:pPr>
              <w:adjustRightInd/>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42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DC0BE1">
            <w:pPr>
              <w:adjustRightInd/>
              <w:jc w:val="center"/>
              <w:rPr>
                <w:rFonts w:hint="eastAsia" w:ascii="仿宋" w:hAnsi="仿宋" w:eastAsia="仿宋" w:cs="仿宋"/>
                <w:sz w:val="24"/>
                <w:lang w:eastAsia="zh-CN"/>
              </w:rPr>
            </w:pPr>
            <w:r>
              <w:rPr>
                <w:rFonts w:hint="eastAsia" w:ascii="仿宋" w:hAnsi="仿宋" w:cs="仿宋"/>
                <w:color w:val="auto"/>
                <w:sz w:val="24"/>
                <w:highlight w:val="none"/>
                <w:lang w:eastAsia="zh-CN"/>
              </w:rPr>
              <w:t>义蓬街道河道水环境运维服务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标项二</w:t>
            </w:r>
            <w:r>
              <w:rPr>
                <w:rFonts w:hint="eastAsia" w:ascii="仿宋" w:hAnsi="仿宋" w:eastAsia="仿宋" w:cs="仿宋"/>
                <w:color w:val="auto"/>
                <w:sz w:val="24"/>
                <w:highlight w:val="none"/>
                <w:lang w:eastAsia="zh-CN"/>
              </w:rPr>
              <w:t>）</w:t>
            </w:r>
          </w:p>
        </w:tc>
        <w:tc>
          <w:tcPr>
            <w:tcW w:w="2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1E7363">
            <w:pPr>
              <w:adjustRightInd/>
              <w:jc w:val="center"/>
              <w:rPr>
                <w:rFonts w:hint="eastAsia" w:ascii="仿宋" w:hAnsi="仿宋" w:eastAsia="仿宋" w:cs="仿宋"/>
                <w:sz w:val="24"/>
              </w:rPr>
            </w:pPr>
            <w:r>
              <w:rPr>
                <w:rFonts w:hint="eastAsia" w:ascii="仿宋" w:hAnsi="仿宋" w:eastAsia="仿宋" w:cs="仿宋"/>
                <w:sz w:val="24"/>
              </w:rPr>
              <w:t>详见招标需求</w:t>
            </w:r>
          </w:p>
        </w:tc>
        <w:tc>
          <w:tcPr>
            <w:tcW w:w="101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C63013">
            <w:pPr>
              <w:adjustRightInd/>
              <w:jc w:val="center"/>
              <w:rPr>
                <w:rFonts w:hint="eastAsia" w:ascii="仿宋" w:hAnsi="仿宋" w:eastAsia="仿宋" w:cs="仿宋"/>
                <w:sz w:val="24"/>
              </w:rPr>
            </w:pPr>
            <w:r>
              <w:rPr>
                <w:rFonts w:hint="eastAsia" w:ascii="仿宋" w:hAnsi="仿宋" w:eastAsia="仿宋" w:cs="仿宋"/>
                <w:sz w:val="24"/>
              </w:rPr>
              <w:t>项</w:t>
            </w:r>
          </w:p>
        </w:tc>
        <w:tc>
          <w:tcPr>
            <w:tcW w:w="101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DDFA00">
            <w:pPr>
              <w:adjustRightInd/>
              <w:jc w:val="center"/>
              <w:rPr>
                <w:rFonts w:hint="eastAsia" w:ascii="仿宋" w:hAnsi="仿宋" w:eastAsia="仿宋" w:cs="仿宋"/>
                <w:sz w:val="24"/>
              </w:rPr>
            </w:pPr>
            <w:r>
              <w:rPr>
                <w:rFonts w:hint="eastAsia" w:ascii="仿宋" w:hAnsi="仿宋" w:eastAsia="仿宋" w:cs="仿宋"/>
                <w:sz w:val="24"/>
              </w:rPr>
              <w:t>1</w:t>
            </w:r>
          </w:p>
        </w:tc>
      </w:tr>
    </w:tbl>
    <w:p w14:paraId="7A521CFA">
      <w:pPr>
        <w:spacing w:line="360" w:lineRule="auto"/>
        <w:ind w:firstLine="482" w:firstLineChars="200"/>
        <w:jc w:val="left"/>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注：</w:t>
      </w:r>
      <w:r>
        <w:rPr>
          <w:rFonts w:hint="eastAsia" w:ascii="仿宋" w:hAnsi="仿宋" w:eastAsia="仿宋" w:cs="仿宋"/>
          <w:b/>
          <w:bCs w:val="0"/>
          <w:color w:val="auto"/>
          <w:sz w:val="24"/>
          <w:highlight w:val="none"/>
        </w:rPr>
        <w:t>本项目共分二个标项，不同标项需分别制作投标文件，所有投标人可同时参加二个标项的投标，但是不能重复中标。评审小组按标项一、二依次分别评审。标项一的中标候选人不再推荐为标段二的中标候选人。</w:t>
      </w:r>
    </w:p>
    <w:p w14:paraId="7E169DA3">
      <w:pPr>
        <w:spacing w:line="360" w:lineRule="auto"/>
        <w:ind w:firstLine="562" w:firstLineChars="200"/>
        <w:jc w:val="center"/>
        <w:rPr>
          <w:rFonts w:hint="eastAsia" w:ascii="仿宋" w:hAnsi="仿宋" w:eastAsia="仿宋" w:cs="仿宋"/>
          <w:b/>
          <w:bCs w:val="0"/>
          <w:color w:val="auto"/>
          <w:sz w:val="24"/>
          <w:highlight w:val="none"/>
        </w:rPr>
      </w:pPr>
      <w:r>
        <w:rPr>
          <w:rFonts w:hint="eastAsia" w:ascii="仿宋" w:hAnsi="仿宋" w:eastAsia="仿宋" w:cs="仿宋"/>
          <w:b/>
          <w:kern w:val="36"/>
          <w:sz w:val="28"/>
          <w:szCs w:val="28"/>
        </w:rPr>
        <w:t>二、招标需求</w:t>
      </w:r>
    </w:p>
    <w:p w14:paraId="6DA7A658">
      <w:pPr>
        <w:numPr>
          <w:ilvl w:val="0"/>
          <w:numId w:val="0"/>
        </w:numPr>
        <w:spacing w:line="360" w:lineRule="auto"/>
        <w:ind w:firstLine="482" w:firstLineChars="20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1、技术需求</w:t>
      </w:r>
    </w:p>
    <w:p w14:paraId="438E68A1">
      <w:pPr>
        <w:bidi w:val="0"/>
        <w:ind w:firstLine="482" w:firstLineChars="20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一、水质提升</w:t>
      </w:r>
    </w:p>
    <w:p w14:paraId="74DECE0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1、水质要求：河道水质全年总体要求稳定在V类水以上,如在区级水质报告出现劣V类的情况，该河首次扣3万元，第二次扣6万元，第三次12万元，按翻倍累计处罚方式予以罚款，单条河出现三次</w:t>
      </w:r>
      <w:r>
        <w:rPr>
          <w:rFonts w:hint="eastAsia" w:ascii="仿宋" w:hAnsi="仿宋" w:cs="仿宋"/>
          <w:color w:val="auto"/>
          <w:sz w:val="24"/>
          <w:szCs w:val="24"/>
          <w:highlight w:val="none"/>
          <w:lang w:val="en-US" w:eastAsia="zh-CN"/>
        </w:rPr>
        <w:t>及</w:t>
      </w:r>
      <w:r>
        <w:rPr>
          <w:rFonts w:hint="eastAsia" w:ascii="仿宋" w:hAnsi="仿宋" w:eastAsia="仿宋" w:cs="仿宋"/>
          <w:color w:val="auto"/>
          <w:sz w:val="24"/>
          <w:szCs w:val="24"/>
          <w:highlight w:val="none"/>
          <w:lang w:val="en-US" w:eastAsia="zh-CN"/>
        </w:rPr>
        <w:t>以上劣V类的，该公司将列入街道黑名单，</w:t>
      </w:r>
      <w:r>
        <w:rPr>
          <w:rFonts w:hint="eastAsia" w:ascii="仿宋" w:hAnsi="仿宋" w:cs="仿宋"/>
          <w:color w:val="auto"/>
          <w:sz w:val="24"/>
          <w:szCs w:val="24"/>
          <w:highlight w:val="none"/>
          <w:lang w:val="en-US" w:eastAsia="zh-CN"/>
        </w:rPr>
        <w:t>5年内</w:t>
      </w:r>
      <w:r>
        <w:rPr>
          <w:rFonts w:hint="eastAsia" w:ascii="仿宋" w:hAnsi="仿宋" w:eastAsia="仿宋" w:cs="仿宋"/>
          <w:color w:val="auto"/>
          <w:sz w:val="24"/>
          <w:szCs w:val="24"/>
          <w:highlight w:val="none"/>
          <w:lang w:val="en-US" w:eastAsia="zh-CN"/>
        </w:rPr>
        <w:t>不得参加相关业务的投标活动。</w:t>
      </w:r>
    </w:p>
    <w:p w14:paraId="1B0CB92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lang w:eastAsia="zh-CN"/>
        </w:rPr>
        <w:t>表</w:t>
      </w:r>
      <w:r>
        <w:rPr>
          <w:rFonts w:hint="eastAsia" w:ascii="仿宋" w:hAnsi="仿宋" w:eastAsia="仿宋" w:cs="仿宋"/>
          <w:b w:val="0"/>
          <w:bCs w:val="0"/>
          <w:color w:val="auto"/>
          <w:sz w:val="24"/>
          <w:szCs w:val="24"/>
          <w:highlight w:val="none"/>
          <w:lang w:val="en-US" w:eastAsia="zh-CN"/>
        </w:rPr>
        <w:t xml:space="preserve">1 </w:t>
      </w:r>
      <w:r>
        <w:rPr>
          <w:rFonts w:hint="eastAsia" w:ascii="仿宋" w:hAnsi="仿宋" w:eastAsia="仿宋" w:cs="仿宋"/>
          <w:b w:val="0"/>
          <w:bCs w:val="0"/>
          <w:color w:val="auto"/>
          <w:sz w:val="24"/>
          <w:szCs w:val="24"/>
          <w:highlight w:val="none"/>
          <w:lang w:eastAsia="zh-CN"/>
        </w:rPr>
        <w:t>《地表水环境质量标准》（GB3838-2002）</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单位：</w:t>
      </w:r>
      <w:r>
        <w:rPr>
          <w:rFonts w:hint="eastAsia" w:ascii="仿宋" w:hAnsi="仿宋" w:eastAsia="仿宋" w:cs="仿宋"/>
          <w:b w:val="0"/>
          <w:bCs w:val="0"/>
          <w:color w:val="auto"/>
          <w:sz w:val="24"/>
          <w:szCs w:val="24"/>
          <w:highlight w:val="none"/>
          <w:lang w:val="en-US" w:eastAsia="zh-CN"/>
        </w:rPr>
        <w:t>mg/L</w:t>
      </w:r>
    </w:p>
    <w:tbl>
      <w:tblPr>
        <w:tblStyle w:val="64"/>
        <w:tblW w:w="81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378"/>
        <w:gridCol w:w="736"/>
        <w:gridCol w:w="1109"/>
        <w:gridCol w:w="951"/>
        <w:gridCol w:w="1000"/>
        <w:gridCol w:w="1244"/>
      </w:tblGrid>
      <w:tr w14:paraId="420CA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25" w:type="dxa"/>
            <w:tcBorders>
              <w:tl2br w:val="nil"/>
              <w:tr2bl w:val="nil"/>
            </w:tcBorders>
            <w:noWrap w:val="0"/>
            <w:vAlign w:val="center"/>
          </w:tcPr>
          <w:p w14:paraId="77EA794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pacing w:val="0"/>
                <w:kern w:val="21"/>
                <w:sz w:val="24"/>
                <w:szCs w:val="24"/>
                <w:highlight w:val="none"/>
                <w:lang w:val="en-US" w:eastAsia="zh-CN"/>
              </w:rPr>
            </w:pPr>
            <w:r>
              <w:rPr>
                <w:rFonts w:hint="eastAsia" w:ascii="仿宋" w:hAnsi="仿宋" w:eastAsia="仿宋" w:cs="仿宋"/>
                <w:b/>
                <w:color w:val="auto"/>
                <w:spacing w:val="0"/>
                <w:kern w:val="21"/>
                <w:sz w:val="24"/>
                <w:szCs w:val="24"/>
                <w:highlight w:val="none"/>
                <w:lang w:val="en-US" w:eastAsia="zh-CN"/>
              </w:rPr>
              <w:t>参数</w:t>
            </w:r>
          </w:p>
        </w:tc>
        <w:tc>
          <w:tcPr>
            <w:tcW w:w="1378" w:type="dxa"/>
            <w:tcBorders>
              <w:tl2br w:val="nil"/>
              <w:tr2bl w:val="nil"/>
            </w:tcBorders>
            <w:noWrap w:val="0"/>
            <w:vAlign w:val="center"/>
          </w:tcPr>
          <w:p w14:paraId="08739E6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pacing w:val="0"/>
                <w:kern w:val="21"/>
                <w:sz w:val="24"/>
                <w:szCs w:val="24"/>
                <w:highlight w:val="none"/>
                <w:lang w:val="en-US" w:eastAsia="zh-CN"/>
              </w:rPr>
            </w:pPr>
            <w:r>
              <w:rPr>
                <w:rFonts w:hint="eastAsia" w:ascii="仿宋" w:hAnsi="仿宋" w:eastAsia="仿宋" w:cs="仿宋"/>
                <w:b/>
                <w:color w:val="auto"/>
                <w:spacing w:val="0"/>
                <w:kern w:val="21"/>
                <w:sz w:val="24"/>
                <w:szCs w:val="24"/>
                <w:highlight w:val="none"/>
                <w:lang w:val="en-US" w:eastAsia="zh-CN"/>
              </w:rPr>
              <w:t>pH值</w:t>
            </w:r>
          </w:p>
          <w:p w14:paraId="31B7378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pacing w:val="0"/>
                <w:kern w:val="21"/>
                <w:sz w:val="24"/>
                <w:szCs w:val="24"/>
                <w:highlight w:val="none"/>
                <w:lang w:val="en-US" w:eastAsia="zh-CN"/>
              </w:rPr>
            </w:pPr>
            <w:r>
              <w:rPr>
                <w:rFonts w:hint="eastAsia" w:ascii="仿宋" w:hAnsi="仿宋" w:eastAsia="仿宋" w:cs="仿宋"/>
                <w:b/>
                <w:color w:val="auto"/>
                <w:spacing w:val="0"/>
                <w:kern w:val="21"/>
                <w:sz w:val="24"/>
                <w:szCs w:val="24"/>
                <w:highlight w:val="none"/>
                <w:lang w:val="en-US" w:eastAsia="zh-CN"/>
              </w:rPr>
              <w:t>（无量纲）</w:t>
            </w:r>
          </w:p>
        </w:tc>
        <w:tc>
          <w:tcPr>
            <w:tcW w:w="736" w:type="dxa"/>
            <w:tcBorders>
              <w:tl2br w:val="nil"/>
              <w:tr2bl w:val="nil"/>
            </w:tcBorders>
            <w:noWrap w:val="0"/>
            <w:vAlign w:val="center"/>
          </w:tcPr>
          <w:p w14:paraId="3A8149D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pacing w:val="0"/>
                <w:kern w:val="21"/>
                <w:sz w:val="24"/>
                <w:szCs w:val="24"/>
                <w:highlight w:val="none"/>
                <w:lang w:val="en-US" w:eastAsia="zh-CN"/>
              </w:rPr>
            </w:pPr>
            <w:r>
              <w:rPr>
                <w:rFonts w:hint="eastAsia" w:ascii="仿宋" w:hAnsi="仿宋" w:eastAsia="仿宋" w:cs="仿宋"/>
                <w:b/>
                <w:color w:val="auto"/>
                <w:spacing w:val="0"/>
                <w:kern w:val="21"/>
                <w:sz w:val="24"/>
                <w:szCs w:val="24"/>
                <w:highlight w:val="none"/>
                <w:lang w:val="en-US" w:eastAsia="zh-CN"/>
              </w:rPr>
              <w:t>溶解氧</w:t>
            </w:r>
          </w:p>
        </w:tc>
        <w:tc>
          <w:tcPr>
            <w:tcW w:w="1109" w:type="dxa"/>
            <w:tcBorders>
              <w:tl2br w:val="nil"/>
              <w:tr2bl w:val="nil"/>
            </w:tcBorders>
            <w:noWrap w:val="0"/>
            <w:vAlign w:val="center"/>
          </w:tcPr>
          <w:p w14:paraId="5AB5262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pacing w:val="0"/>
                <w:kern w:val="21"/>
                <w:sz w:val="24"/>
                <w:szCs w:val="24"/>
                <w:highlight w:val="none"/>
                <w:lang w:val="en-US" w:eastAsia="zh-CN"/>
              </w:rPr>
            </w:pPr>
            <w:r>
              <w:rPr>
                <w:rFonts w:hint="eastAsia" w:ascii="仿宋" w:hAnsi="仿宋" w:eastAsia="仿宋" w:cs="仿宋"/>
                <w:b/>
                <w:color w:val="auto"/>
                <w:spacing w:val="0"/>
                <w:kern w:val="21"/>
                <w:sz w:val="24"/>
                <w:szCs w:val="24"/>
                <w:highlight w:val="none"/>
                <w:lang w:val="en-US" w:eastAsia="zh-CN"/>
              </w:rPr>
              <w:t>高锰酸</w:t>
            </w:r>
          </w:p>
          <w:p w14:paraId="43F57A7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pacing w:val="0"/>
                <w:kern w:val="21"/>
                <w:sz w:val="24"/>
                <w:szCs w:val="24"/>
                <w:highlight w:val="none"/>
                <w:lang w:val="en-US" w:eastAsia="zh-CN"/>
              </w:rPr>
            </w:pPr>
            <w:r>
              <w:rPr>
                <w:rFonts w:hint="eastAsia" w:ascii="仿宋" w:hAnsi="仿宋" w:eastAsia="仿宋" w:cs="仿宋"/>
                <w:b/>
                <w:color w:val="auto"/>
                <w:spacing w:val="0"/>
                <w:kern w:val="21"/>
                <w:sz w:val="24"/>
                <w:szCs w:val="24"/>
                <w:highlight w:val="none"/>
                <w:lang w:val="en-US" w:eastAsia="zh-CN"/>
              </w:rPr>
              <w:t>盐指数</w:t>
            </w:r>
          </w:p>
        </w:tc>
        <w:tc>
          <w:tcPr>
            <w:tcW w:w="951" w:type="dxa"/>
            <w:tcBorders>
              <w:tl2br w:val="nil"/>
              <w:tr2bl w:val="nil"/>
            </w:tcBorders>
            <w:noWrap w:val="0"/>
            <w:vAlign w:val="center"/>
          </w:tcPr>
          <w:p w14:paraId="1A85AB0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pacing w:val="0"/>
                <w:kern w:val="21"/>
                <w:sz w:val="24"/>
                <w:szCs w:val="24"/>
                <w:highlight w:val="none"/>
                <w:lang w:val="en-US" w:eastAsia="zh-CN"/>
              </w:rPr>
            </w:pPr>
            <w:r>
              <w:rPr>
                <w:rFonts w:hint="eastAsia" w:ascii="仿宋" w:hAnsi="仿宋" w:eastAsia="仿宋" w:cs="仿宋"/>
                <w:b/>
                <w:color w:val="auto"/>
                <w:spacing w:val="0"/>
                <w:kern w:val="21"/>
                <w:sz w:val="24"/>
                <w:szCs w:val="24"/>
                <w:highlight w:val="none"/>
                <w:lang w:val="en-US" w:eastAsia="zh-CN"/>
              </w:rPr>
              <w:t>化学</w:t>
            </w:r>
          </w:p>
          <w:p w14:paraId="0C2CDDE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pacing w:val="0"/>
                <w:kern w:val="21"/>
                <w:sz w:val="24"/>
                <w:szCs w:val="24"/>
                <w:highlight w:val="none"/>
                <w:lang w:val="en-US" w:eastAsia="zh-CN"/>
              </w:rPr>
            </w:pPr>
            <w:r>
              <w:rPr>
                <w:rFonts w:hint="eastAsia" w:ascii="仿宋" w:hAnsi="仿宋" w:eastAsia="仿宋" w:cs="仿宋"/>
                <w:b/>
                <w:color w:val="auto"/>
                <w:spacing w:val="0"/>
                <w:kern w:val="21"/>
                <w:sz w:val="24"/>
                <w:szCs w:val="24"/>
                <w:highlight w:val="none"/>
                <w:lang w:val="en-US" w:eastAsia="zh-CN"/>
              </w:rPr>
              <w:t>需氧量</w:t>
            </w:r>
          </w:p>
        </w:tc>
        <w:tc>
          <w:tcPr>
            <w:tcW w:w="1000" w:type="dxa"/>
            <w:tcBorders>
              <w:tl2br w:val="nil"/>
              <w:tr2bl w:val="nil"/>
            </w:tcBorders>
            <w:noWrap w:val="0"/>
            <w:vAlign w:val="center"/>
          </w:tcPr>
          <w:p w14:paraId="0A22CEE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pacing w:val="0"/>
                <w:kern w:val="21"/>
                <w:sz w:val="24"/>
                <w:szCs w:val="24"/>
                <w:highlight w:val="none"/>
                <w:lang w:val="en-US" w:eastAsia="zh-CN"/>
              </w:rPr>
            </w:pPr>
            <w:r>
              <w:rPr>
                <w:rFonts w:hint="eastAsia" w:ascii="仿宋" w:hAnsi="仿宋" w:eastAsia="仿宋" w:cs="仿宋"/>
                <w:b/>
                <w:color w:val="auto"/>
                <w:spacing w:val="0"/>
                <w:kern w:val="21"/>
                <w:sz w:val="24"/>
                <w:szCs w:val="24"/>
                <w:highlight w:val="none"/>
                <w:lang w:val="en-US" w:eastAsia="zh-CN"/>
              </w:rPr>
              <w:t>氨氮</w:t>
            </w:r>
          </w:p>
        </w:tc>
        <w:tc>
          <w:tcPr>
            <w:tcW w:w="1244" w:type="dxa"/>
            <w:tcBorders>
              <w:tl2br w:val="nil"/>
              <w:tr2bl w:val="nil"/>
            </w:tcBorders>
            <w:noWrap w:val="0"/>
            <w:vAlign w:val="center"/>
          </w:tcPr>
          <w:p w14:paraId="544B342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spacing w:val="0"/>
                <w:kern w:val="21"/>
                <w:sz w:val="24"/>
                <w:szCs w:val="24"/>
                <w:highlight w:val="none"/>
                <w:lang w:val="en-US" w:eastAsia="zh-CN"/>
              </w:rPr>
            </w:pPr>
            <w:r>
              <w:rPr>
                <w:rFonts w:hint="eastAsia" w:ascii="仿宋" w:hAnsi="仿宋" w:eastAsia="仿宋" w:cs="仿宋"/>
                <w:b/>
                <w:color w:val="auto"/>
                <w:spacing w:val="0"/>
                <w:kern w:val="21"/>
                <w:sz w:val="24"/>
                <w:szCs w:val="24"/>
                <w:highlight w:val="none"/>
                <w:lang w:val="en-US" w:eastAsia="zh-CN"/>
              </w:rPr>
              <w:t>总磷</w:t>
            </w:r>
          </w:p>
        </w:tc>
      </w:tr>
      <w:tr w14:paraId="4C987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tcBorders>
              <w:tl2br w:val="nil"/>
              <w:tr2bl w:val="nil"/>
            </w:tcBorders>
            <w:noWrap w:val="0"/>
            <w:vAlign w:val="center"/>
          </w:tcPr>
          <w:p w14:paraId="470C4899">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Ⅲ类水质标准</w:t>
            </w:r>
          </w:p>
        </w:tc>
        <w:tc>
          <w:tcPr>
            <w:tcW w:w="1378" w:type="dxa"/>
            <w:tcBorders>
              <w:tl2br w:val="nil"/>
              <w:tr2bl w:val="nil"/>
            </w:tcBorders>
            <w:noWrap w:val="0"/>
            <w:vAlign w:val="center"/>
          </w:tcPr>
          <w:p w14:paraId="742BCBE9">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6</w:t>
            </w:r>
            <w:r>
              <w:rPr>
                <w:rFonts w:hint="eastAsia" w:ascii="仿宋" w:hAnsi="仿宋" w:eastAsia="仿宋" w:cs="仿宋"/>
                <w:bCs/>
                <w:color w:val="auto"/>
                <w:sz w:val="24"/>
                <w:szCs w:val="24"/>
                <w:highlight w:val="none"/>
              </w:rPr>
              <w:t>～</w:t>
            </w:r>
            <w:r>
              <w:rPr>
                <w:rFonts w:hint="eastAsia" w:ascii="仿宋" w:hAnsi="仿宋" w:eastAsia="仿宋" w:cs="仿宋"/>
                <w:b w:val="0"/>
                <w:bCs w:val="0"/>
                <w:color w:val="auto"/>
                <w:kern w:val="0"/>
                <w:sz w:val="24"/>
                <w:szCs w:val="24"/>
                <w:highlight w:val="none"/>
                <w:vertAlign w:val="baseline"/>
                <w:lang w:val="en-US" w:eastAsia="zh-CN"/>
              </w:rPr>
              <w:t>9</w:t>
            </w:r>
          </w:p>
        </w:tc>
        <w:tc>
          <w:tcPr>
            <w:tcW w:w="736" w:type="dxa"/>
            <w:tcBorders>
              <w:tl2br w:val="nil"/>
              <w:tr2bl w:val="nil"/>
            </w:tcBorders>
            <w:noWrap w:val="0"/>
            <w:vAlign w:val="center"/>
          </w:tcPr>
          <w:p w14:paraId="163BFF1A">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≥5</w:t>
            </w:r>
          </w:p>
        </w:tc>
        <w:tc>
          <w:tcPr>
            <w:tcW w:w="1109" w:type="dxa"/>
            <w:tcBorders>
              <w:tl2br w:val="nil"/>
              <w:tr2bl w:val="nil"/>
            </w:tcBorders>
            <w:noWrap w:val="0"/>
            <w:vAlign w:val="center"/>
          </w:tcPr>
          <w:p w14:paraId="599756D0">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≤6</w:t>
            </w:r>
          </w:p>
        </w:tc>
        <w:tc>
          <w:tcPr>
            <w:tcW w:w="951" w:type="dxa"/>
            <w:tcBorders>
              <w:tl2br w:val="nil"/>
              <w:tr2bl w:val="nil"/>
            </w:tcBorders>
            <w:noWrap w:val="0"/>
            <w:vAlign w:val="center"/>
          </w:tcPr>
          <w:p w14:paraId="73FD31C1">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≤20</w:t>
            </w:r>
          </w:p>
        </w:tc>
        <w:tc>
          <w:tcPr>
            <w:tcW w:w="1000" w:type="dxa"/>
            <w:tcBorders>
              <w:tl2br w:val="nil"/>
              <w:tr2bl w:val="nil"/>
            </w:tcBorders>
            <w:noWrap w:val="0"/>
            <w:vAlign w:val="center"/>
          </w:tcPr>
          <w:p w14:paraId="66FA28E5">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≤1.0</w:t>
            </w:r>
          </w:p>
        </w:tc>
        <w:tc>
          <w:tcPr>
            <w:tcW w:w="1244" w:type="dxa"/>
            <w:tcBorders>
              <w:tl2br w:val="nil"/>
              <w:tr2bl w:val="nil"/>
            </w:tcBorders>
            <w:noWrap w:val="0"/>
            <w:vAlign w:val="center"/>
          </w:tcPr>
          <w:p w14:paraId="36EA7EA2">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≤0.2</w:t>
            </w:r>
          </w:p>
        </w:tc>
      </w:tr>
      <w:tr w14:paraId="79911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tcBorders>
              <w:tl2br w:val="nil"/>
              <w:tr2bl w:val="nil"/>
            </w:tcBorders>
            <w:noWrap w:val="0"/>
            <w:vAlign w:val="center"/>
          </w:tcPr>
          <w:p w14:paraId="3747E145">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Ⅳ类水质标准</w:t>
            </w:r>
          </w:p>
        </w:tc>
        <w:tc>
          <w:tcPr>
            <w:tcW w:w="1378" w:type="dxa"/>
            <w:tcBorders>
              <w:tl2br w:val="nil"/>
              <w:tr2bl w:val="nil"/>
            </w:tcBorders>
            <w:noWrap w:val="0"/>
            <w:vAlign w:val="center"/>
          </w:tcPr>
          <w:p w14:paraId="7C4848F4">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6</w:t>
            </w:r>
            <w:r>
              <w:rPr>
                <w:rFonts w:hint="eastAsia" w:ascii="仿宋" w:hAnsi="仿宋" w:eastAsia="仿宋" w:cs="仿宋"/>
                <w:bCs/>
                <w:color w:val="auto"/>
                <w:sz w:val="24"/>
                <w:szCs w:val="24"/>
                <w:highlight w:val="none"/>
              </w:rPr>
              <w:t>～</w:t>
            </w:r>
            <w:r>
              <w:rPr>
                <w:rFonts w:hint="eastAsia" w:ascii="仿宋" w:hAnsi="仿宋" w:eastAsia="仿宋" w:cs="仿宋"/>
                <w:b w:val="0"/>
                <w:bCs w:val="0"/>
                <w:color w:val="auto"/>
                <w:kern w:val="0"/>
                <w:sz w:val="24"/>
                <w:szCs w:val="24"/>
                <w:highlight w:val="none"/>
                <w:vertAlign w:val="baseline"/>
                <w:lang w:val="en-US" w:eastAsia="zh-CN"/>
              </w:rPr>
              <w:t>9</w:t>
            </w:r>
          </w:p>
        </w:tc>
        <w:tc>
          <w:tcPr>
            <w:tcW w:w="736" w:type="dxa"/>
            <w:tcBorders>
              <w:tl2br w:val="nil"/>
              <w:tr2bl w:val="nil"/>
            </w:tcBorders>
            <w:noWrap w:val="0"/>
            <w:vAlign w:val="center"/>
          </w:tcPr>
          <w:p w14:paraId="5DB14A99">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≥3</w:t>
            </w:r>
          </w:p>
        </w:tc>
        <w:tc>
          <w:tcPr>
            <w:tcW w:w="1109" w:type="dxa"/>
            <w:tcBorders>
              <w:tl2br w:val="nil"/>
              <w:tr2bl w:val="nil"/>
            </w:tcBorders>
            <w:noWrap w:val="0"/>
            <w:vAlign w:val="center"/>
          </w:tcPr>
          <w:p w14:paraId="0B85854E">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≤10</w:t>
            </w:r>
          </w:p>
        </w:tc>
        <w:tc>
          <w:tcPr>
            <w:tcW w:w="951" w:type="dxa"/>
            <w:tcBorders>
              <w:tl2br w:val="nil"/>
              <w:tr2bl w:val="nil"/>
            </w:tcBorders>
            <w:noWrap w:val="0"/>
            <w:vAlign w:val="center"/>
          </w:tcPr>
          <w:p w14:paraId="3B0F688A">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≤30</w:t>
            </w:r>
          </w:p>
        </w:tc>
        <w:tc>
          <w:tcPr>
            <w:tcW w:w="1000" w:type="dxa"/>
            <w:tcBorders>
              <w:tl2br w:val="nil"/>
              <w:tr2bl w:val="nil"/>
            </w:tcBorders>
            <w:noWrap w:val="0"/>
            <w:vAlign w:val="center"/>
          </w:tcPr>
          <w:p w14:paraId="121D92FF">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≤1.5</w:t>
            </w:r>
          </w:p>
        </w:tc>
        <w:tc>
          <w:tcPr>
            <w:tcW w:w="1244" w:type="dxa"/>
            <w:tcBorders>
              <w:tl2br w:val="nil"/>
              <w:tr2bl w:val="nil"/>
            </w:tcBorders>
            <w:noWrap w:val="0"/>
            <w:vAlign w:val="center"/>
          </w:tcPr>
          <w:p w14:paraId="4A6A056C">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≤0.3</w:t>
            </w:r>
          </w:p>
        </w:tc>
      </w:tr>
      <w:tr w14:paraId="2B702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tcBorders>
              <w:tl2br w:val="nil"/>
              <w:tr2bl w:val="nil"/>
            </w:tcBorders>
            <w:noWrap w:val="0"/>
            <w:vAlign w:val="center"/>
          </w:tcPr>
          <w:p w14:paraId="4C1FDBBD">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Ⅴ类水质标准</w:t>
            </w:r>
          </w:p>
        </w:tc>
        <w:tc>
          <w:tcPr>
            <w:tcW w:w="1378" w:type="dxa"/>
            <w:tcBorders>
              <w:tl2br w:val="nil"/>
              <w:tr2bl w:val="nil"/>
            </w:tcBorders>
            <w:noWrap w:val="0"/>
            <w:vAlign w:val="center"/>
          </w:tcPr>
          <w:p w14:paraId="75C461B6">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6</w:t>
            </w:r>
            <w:r>
              <w:rPr>
                <w:rFonts w:hint="eastAsia" w:ascii="仿宋" w:hAnsi="仿宋" w:eastAsia="仿宋" w:cs="仿宋"/>
                <w:bCs/>
                <w:color w:val="auto"/>
                <w:sz w:val="24"/>
                <w:szCs w:val="24"/>
                <w:highlight w:val="none"/>
              </w:rPr>
              <w:t>～</w:t>
            </w:r>
            <w:r>
              <w:rPr>
                <w:rFonts w:hint="eastAsia" w:ascii="仿宋" w:hAnsi="仿宋" w:eastAsia="仿宋" w:cs="仿宋"/>
                <w:b w:val="0"/>
                <w:bCs w:val="0"/>
                <w:color w:val="auto"/>
                <w:kern w:val="0"/>
                <w:sz w:val="24"/>
                <w:szCs w:val="24"/>
                <w:highlight w:val="none"/>
                <w:vertAlign w:val="baseline"/>
                <w:lang w:val="en-US" w:eastAsia="zh-CN"/>
              </w:rPr>
              <w:t>9</w:t>
            </w:r>
          </w:p>
        </w:tc>
        <w:tc>
          <w:tcPr>
            <w:tcW w:w="736" w:type="dxa"/>
            <w:tcBorders>
              <w:tl2br w:val="nil"/>
              <w:tr2bl w:val="nil"/>
            </w:tcBorders>
            <w:noWrap w:val="0"/>
            <w:vAlign w:val="center"/>
          </w:tcPr>
          <w:p w14:paraId="186DD285">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≥2</w:t>
            </w:r>
          </w:p>
        </w:tc>
        <w:tc>
          <w:tcPr>
            <w:tcW w:w="1109" w:type="dxa"/>
            <w:tcBorders>
              <w:tl2br w:val="nil"/>
              <w:tr2bl w:val="nil"/>
            </w:tcBorders>
            <w:noWrap w:val="0"/>
            <w:vAlign w:val="center"/>
          </w:tcPr>
          <w:p w14:paraId="01FBE2F3">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≤15</w:t>
            </w:r>
          </w:p>
        </w:tc>
        <w:tc>
          <w:tcPr>
            <w:tcW w:w="951" w:type="dxa"/>
            <w:tcBorders>
              <w:tl2br w:val="nil"/>
              <w:tr2bl w:val="nil"/>
            </w:tcBorders>
            <w:noWrap w:val="0"/>
            <w:vAlign w:val="center"/>
          </w:tcPr>
          <w:p w14:paraId="2C60B267">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≤40</w:t>
            </w:r>
          </w:p>
        </w:tc>
        <w:tc>
          <w:tcPr>
            <w:tcW w:w="1000" w:type="dxa"/>
            <w:tcBorders>
              <w:tl2br w:val="nil"/>
              <w:tr2bl w:val="nil"/>
            </w:tcBorders>
            <w:noWrap w:val="0"/>
            <w:vAlign w:val="center"/>
          </w:tcPr>
          <w:p w14:paraId="760D68C2">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≤2.0</w:t>
            </w:r>
          </w:p>
        </w:tc>
        <w:tc>
          <w:tcPr>
            <w:tcW w:w="1244" w:type="dxa"/>
            <w:tcBorders>
              <w:tl2br w:val="nil"/>
              <w:tr2bl w:val="nil"/>
            </w:tcBorders>
            <w:noWrap w:val="0"/>
            <w:vAlign w:val="center"/>
          </w:tcPr>
          <w:p w14:paraId="509AC877">
            <w:pPr>
              <w:numPr>
                <w:ilvl w:val="0"/>
                <w:numId w:val="0"/>
              </w:numPr>
              <w:spacing w:line="360" w:lineRule="auto"/>
              <w:jc w:val="center"/>
              <w:outlineLvl w:val="9"/>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≤0.4</w:t>
            </w:r>
          </w:p>
        </w:tc>
      </w:tr>
    </w:tbl>
    <w:p w14:paraId="278998EE">
      <w:pPr>
        <w:bidi w:val="0"/>
        <w:rPr>
          <w:rFonts w:hint="default"/>
          <w:highlight w:val="none"/>
          <w:lang w:val="en-US" w:eastAsia="zh-CN"/>
        </w:rPr>
      </w:pPr>
    </w:p>
    <w:p w14:paraId="557292C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根据杭州市河道</w:t>
      </w:r>
      <w:r>
        <w:rPr>
          <w:rFonts w:hint="eastAsia" w:ascii="仿宋" w:hAnsi="仿宋" w:eastAsia="仿宋" w:cs="仿宋"/>
          <w:color w:val="auto"/>
          <w:sz w:val="24"/>
          <w:szCs w:val="24"/>
          <w:highlight w:val="none"/>
        </w:rPr>
        <w:t>水质“三色预警”要求，</w:t>
      </w:r>
      <w:r>
        <w:rPr>
          <w:rFonts w:hint="eastAsia" w:ascii="仿宋" w:hAnsi="仿宋" w:eastAsia="仿宋" w:cs="仿宋"/>
          <w:color w:val="auto"/>
          <w:sz w:val="24"/>
          <w:szCs w:val="24"/>
          <w:highlight w:val="none"/>
          <w:lang w:eastAsia="zh-CN"/>
        </w:rPr>
        <w:t>凡列入检测</w:t>
      </w:r>
      <w:r>
        <w:rPr>
          <w:rFonts w:hint="eastAsia" w:ascii="仿宋" w:hAnsi="仿宋" w:eastAsia="仿宋" w:cs="仿宋"/>
          <w:color w:val="auto"/>
          <w:sz w:val="24"/>
          <w:szCs w:val="24"/>
          <w:highlight w:val="none"/>
        </w:rPr>
        <w:t>河道水质指标不得</w:t>
      </w:r>
      <w:r>
        <w:rPr>
          <w:rFonts w:hint="eastAsia" w:ascii="仿宋" w:hAnsi="仿宋" w:eastAsia="仿宋" w:cs="仿宋"/>
          <w:color w:val="auto"/>
          <w:sz w:val="24"/>
          <w:szCs w:val="24"/>
          <w:highlight w:val="none"/>
          <w:lang w:eastAsia="zh-CN"/>
        </w:rPr>
        <w:t>出现橙色、</w:t>
      </w:r>
      <w:r>
        <w:rPr>
          <w:rFonts w:hint="eastAsia" w:ascii="仿宋" w:hAnsi="仿宋" w:eastAsia="仿宋" w:cs="仿宋"/>
          <w:color w:val="auto"/>
          <w:sz w:val="24"/>
          <w:szCs w:val="24"/>
          <w:highlight w:val="none"/>
        </w:rPr>
        <w:t>红色预警和黄色预警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如有河道出现三色预警，该河首次扣5万元，第二次扣10万元，第三次20万元，按翻倍累计处罚方式予以罚款，单条河出现三次</w:t>
      </w:r>
      <w:r>
        <w:rPr>
          <w:rFonts w:hint="eastAsia" w:ascii="仿宋" w:hAnsi="仿宋" w:cs="仿宋"/>
          <w:color w:val="auto"/>
          <w:sz w:val="24"/>
          <w:szCs w:val="24"/>
          <w:highlight w:val="none"/>
          <w:lang w:val="en-US" w:eastAsia="zh-CN"/>
        </w:rPr>
        <w:t>及</w:t>
      </w:r>
      <w:r>
        <w:rPr>
          <w:rFonts w:hint="eastAsia" w:ascii="仿宋" w:hAnsi="仿宋" w:eastAsia="仿宋" w:cs="仿宋"/>
          <w:color w:val="auto"/>
          <w:sz w:val="24"/>
          <w:szCs w:val="24"/>
          <w:highlight w:val="none"/>
          <w:lang w:val="en-US" w:eastAsia="zh-CN"/>
        </w:rPr>
        <w:t>以上预警的，该公司将列入街道黑名单，</w:t>
      </w:r>
      <w:r>
        <w:rPr>
          <w:rFonts w:hint="eastAsia" w:ascii="仿宋" w:hAnsi="仿宋" w:cs="仿宋"/>
          <w:color w:val="auto"/>
          <w:sz w:val="24"/>
          <w:szCs w:val="24"/>
          <w:highlight w:val="none"/>
          <w:lang w:val="en-US" w:eastAsia="zh-CN"/>
        </w:rPr>
        <w:t>5年内</w:t>
      </w:r>
      <w:r>
        <w:rPr>
          <w:rFonts w:hint="eastAsia" w:ascii="仿宋" w:hAnsi="仿宋" w:eastAsia="仿宋" w:cs="仿宋"/>
          <w:color w:val="auto"/>
          <w:sz w:val="24"/>
          <w:szCs w:val="24"/>
          <w:highlight w:val="none"/>
          <w:lang w:val="en-US" w:eastAsia="zh-CN"/>
        </w:rPr>
        <w:t>不得参加相关业务的投标活动。</w:t>
      </w:r>
    </w:p>
    <w:p w14:paraId="47E907D4">
      <w:pPr>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杭州市“三色预警”指标要求：</w:t>
      </w:r>
    </w:p>
    <w:tbl>
      <w:tblPr>
        <w:tblStyle w:val="63"/>
        <w:tblpPr w:leftFromText="180" w:rightFromText="180" w:vertAnchor="text" w:horzAnchor="page" w:tblpX="1934" w:tblpY="31"/>
        <w:tblOverlap w:val="never"/>
        <w:tblW w:w="8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1279"/>
        <w:gridCol w:w="1571"/>
        <w:gridCol w:w="1669"/>
        <w:gridCol w:w="1168"/>
      </w:tblGrid>
      <w:tr w14:paraId="30CA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6" w:type="dxa"/>
            <w:noWrap w:val="0"/>
            <w:vAlign w:val="center"/>
          </w:tcPr>
          <w:p w14:paraId="4114735F">
            <w:pPr>
              <w:spacing w:line="240" w:lineRule="auto"/>
              <w:ind w:firstLine="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特征指标（单位）</w:t>
            </w:r>
          </w:p>
        </w:tc>
        <w:tc>
          <w:tcPr>
            <w:tcW w:w="1279" w:type="dxa"/>
            <w:noWrap w:val="0"/>
            <w:vAlign w:val="center"/>
          </w:tcPr>
          <w:p w14:paraId="04304347">
            <w:pPr>
              <w:spacing w:line="240" w:lineRule="auto"/>
              <w:ind w:firstLine="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红色预警</w:t>
            </w:r>
          </w:p>
        </w:tc>
        <w:tc>
          <w:tcPr>
            <w:tcW w:w="1571" w:type="dxa"/>
            <w:noWrap w:val="0"/>
            <w:vAlign w:val="center"/>
          </w:tcPr>
          <w:p w14:paraId="78D703DA">
            <w:pPr>
              <w:spacing w:line="240" w:lineRule="auto"/>
              <w:ind w:firstLine="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黄色预警</w:t>
            </w:r>
          </w:p>
        </w:tc>
        <w:tc>
          <w:tcPr>
            <w:tcW w:w="1669" w:type="dxa"/>
            <w:noWrap w:val="0"/>
            <w:vAlign w:val="center"/>
          </w:tcPr>
          <w:p w14:paraId="4B22B4D1">
            <w:pPr>
              <w:spacing w:line="240" w:lineRule="auto"/>
              <w:ind w:firstLine="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橙色预警</w:t>
            </w:r>
          </w:p>
        </w:tc>
        <w:tc>
          <w:tcPr>
            <w:tcW w:w="1168" w:type="dxa"/>
            <w:noWrap w:val="0"/>
            <w:vAlign w:val="top"/>
          </w:tcPr>
          <w:p w14:paraId="1B211B9C">
            <w:pPr>
              <w:spacing w:line="240" w:lineRule="auto"/>
              <w:ind w:firstLine="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本项目目标</w:t>
            </w:r>
          </w:p>
        </w:tc>
      </w:tr>
      <w:tr w14:paraId="770D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6" w:type="dxa"/>
            <w:noWrap w:val="0"/>
            <w:vAlign w:val="center"/>
          </w:tcPr>
          <w:p w14:paraId="18AFEE5A">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pH</w:t>
            </w:r>
          </w:p>
        </w:tc>
        <w:tc>
          <w:tcPr>
            <w:tcW w:w="1279" w:type="dxa"/>
            <w:noWrap w:val="0"/>
            <w:vAlign w:val="center"/>
          </w:tcPr>
          <w:p w14:paraId="3A460AB1">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&lt;6或&gt;9</w:t>
            </w:r>
          </w:p>
        </w:tc>
        <w:tc>
          <w:tcPr>
            <w:tcW w:w="1571" w:type="dxa"/>
            <w:noWrap w:val="0"/>
            <w:vAlign w:val="center"/>
          </w:tcPr>
          <w:p w14:paraId="26322902">
            <w:pPr>
              <w:spacing w:line="240" w:lineRule="auto"/>
              <w:ind w:firstLine="2"/>
              <w:jc w:val="center"/>
              <w:rPr>
                <w:rFonts w:hint="eastAsia" w:ascii="仿宋" w:hAnsi="仿宋" w:eastAsia="仿宋" w:cs="仿宋"/>
                <w:color w:val="auto"/>
                <w:sz w:val="24"/>
                <w:szCs w:val="24"/>
                <w:highlight w:val="none"/>
              </w:rPr>
            </w:pPr>
          </w:p>
        </w:tc>
        <w:tc>
          <w:tcPr>
            <w:tcW w:w="1669" w:type="dxa"/>
            <w:noWrap w:val="0"/>
            <w:vAlign w:val="center"/>
          </w:tcPr>
          <w:p w14:paraId="6BC5F95B">
            <w:pPr>
              <w:spacing w:line="240" w:lineRule="auto"/>
              <w:ind w:firstLine="2"/>
              <w:jc w:val="center"/>
              <w:rPr>
                <w:rFonts w:hint="eastAsia" w:ascii="仿宋" w:hAnsi="仿宋" w:eastAsia="仿宋" w:cs="仿宋"/>
                <w:color w:val="auto"/>
                <w:sz w:val="24"/>
                <w:szCs w:val="24"/>
                <w:highlight w:val="none"/>
              </w:rPr>
            </w:pPr>
          </w:p>
        </w:tc>
        <w:tc>
          <w:tcPr>
            <w:tcW w:w="1168" w:type="dxa"/>
            <w:noWrap w:val="0"/>
            <w:vAlign w:val="center"/>
          </w:tcPr>
          <w:p w14:paraId="27098334">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6-9</w:t>
            </w:r>
          </w:p>
        </w:tc>
      </w:tr>
      <w:tr w14:paraId="7F09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6" w:type="dxa"/>
            <w:noWrap w:val="0"/>
            <w:vAlign w:val="center"/>
          </w:tcPr>
          <w:p w14:paraId="7B73B371">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透明度（cm）</w:t>
            </w:r>
          </w:p>
        </w:tc>
        <w:tc>
          <w:tcPr>
            <w:tcW w:w="1279" w:type="dxa"/>
            <w:noWrap w:val="0"/>
            <w:vAlign w:val="center"/>
          </w:tcPr>
          <w:p w14:paraId="56626470">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&lt;25</w:t>
            </w:r>
          </w:p>
        </w:tc>
        <w:tc>
          <w:tcPr>
            <w:tcW w:w="1571" w:type="dxa"/>
            <w:noWrap w:val="0"/>
            <w:vAlign w:val="center"/>
          </w:tcPr>
          <w:p w14:paraId="25E1D893">
            <w:pPr>
              <w:spacing w:line="240" w:lineRule="auto"/>
              <w:ind w:firstLine="2"/>
              <w:jc w:val="center"/>
              <w:rPr>
                <w:rFonts w:hint="eastAsia" w:ascii="仿宋" w:hAnsi="仿宋" w:eastAsia="仿宋" w:cs="仿宋"/>
                <w:color w:val="auto"/>
                <w:sz w:val="24"/>
                <w:szCs w:val="24"/>
                <w:highlight w:val="none"/>
              </w:rPr>
            </w:pPr>
          </w:p>
        </w:tc>
        <w:tc>
          <w:tcPr>
            <w:tcW w:w="1669" w:type="dxa"/>
            <w:noWrap w:val="0"/>
            <w:vAlign w:val="center"/>
          </w:tcPr>
          <w:p w14:paraId="79D44301">
            <w:pPr>
              <w:spacing w:line="240" w:lineRule="auto"/>
              <w:ind w:firstLine="2"/>
              <w:jc w:val="center"/>
              <w:rPr>
                <w:rFonts w:hint="eastAsia" w:ascii="仿宋" w:hAnsi="仿宋" w:eastAsia="仿宋" w:cs="仿宋"/>
                <w:color w:val="auto"/>
                <w:sz w:val="24"/>
                <w:szCs w:val="24"/>
                <w:highlight w:val="none"/>
              </w:rPr>
            </w:pPr>
          </w:p>
        </w:tc>
        <w:tc>
          <w:tcPr>
            <w:tcW w:w="1168" w:type="dxa"/>
            <w:noWrap w:val="0"/>
            <w:vAlign w:val="center"/>
          </w:tcPr>
          <w:p w14:paraId="000A6427">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&gt;25</w:t>
            </w:r>
          </w:p>
        </w:tc>
      </w:tr>
      <w:tr w14:paraId="66F8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6" w:type="dxa"/>
            <w:noWrap w:val="0"/>
            <w:vAlign w:val="center"/>
          </w:tcPr>
          <w:p w14:paraId="1CCCC5AE">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高锰酸盐指数（mg/L）</w:t>
            </w:r>
          </w:p>
        </w:tc>
        <w:tc>
          <w:tcPr>
            <w:tcW w:w="1279" w:type="dxa"/>
            <w:noWrap w:val="0"/>
            <w:vAlign w:val="center"/>
          </w:tcPr>
          <w:p w14:paraId="45DFB3AE">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&gt;15</w:t>
            </w:r>
          </w:p>
        </w:tc>
        <w:tc>
          <w:tcPr>
            <w:tcW w:w="1571" w:type="dxa"/>
            <w:noWrap w:val="0"/>
            <w:vAlign w:val="center"/>
          </w:tcPr>
          <w:p w14:paraId="1C184229">
            <w:pPr>
              <w:spacing w:line="240" w:lineRule="auto"/>
              <w:ind w:firstLine="2"/>
              <w:jc w:val="center"/>
              <w:rPr>
                <w:rFonts w:hint="eastAsia" w:ascii="仿宋" w:hAnsi="仿宋" w:eastAsia="仿宋" w:cs="仿宋"/>
                <w:color w:val="auto"/>
                <w:sz w:val="24"/>
                <w:szCs w:val="24"/>
                <w:highlight w:val="none"/>
              </w:rPr>
            </w:pPr>
          </w:p>
        </w:tc>
        <w:tc>
          <w:tcPr>
            <w:tcW w:w="1669" w:type="dxa"/>
            <w:noWrap w:val="0"/>
            <w:vAlign w:val="center"/>
          </w:tcPr>
          <w:p w14:paraId="44F3F9E6">
            <w:pPr>
              <w:spacing w:line="240" w:lineRule="auto"/>
              <w:ind w:firstLine="2"/>
              <w:jc w:val="center"/>
              <w:rPr>
                <w:rFonts w:hint="eastAsia" w:ascii="仿宋" w:hAnsi="仿宋" w:eastAsia="仿宋" w:cs="仿宋"/>
                <w:color w:val="auto"/>
                <w:sz w:val="24"/>
                <w:szCs w:val="24"/>
                <w:highlight w:val="none"/>
              </w:rPr>
            </w:pPr>
          </w:p>
        </w:tc>
        <w:tc>
          <w:tcPr>
            <w:tcW w:w="1168" w:type="dxa"/>
            <w:noWrap w:val="0"/>
            <w:vAlign w:val="center"/>
          </w:tcPr>
          <w:p w14:paraId="6BFD730F">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&lt;15</w:t>
            </w:r>
          </w:p>
        </w:tc>
      </w:tr>
      <w:tr w14:paraId="4B52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6" w:type="dxa"/>
            <w:noWrap w:val="0"/>
            <w:vAlign w:val="center"/>
          </w:tcPr>
          <w:p w14:paraId="1AD7852E">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氨氮（mg/L）</w:t>
            </w:r>
          </w:p>
        </w:tc>
        <w:tc>
          <w:tcPr>
            <w:tcW w:w="1279" w:type="dxa"/>
            <w:noWrap w:val="0"/>
            <w:vAlign w:val="center"/>
          </w:tcPr>
          <w:p w14:paraId="13BEB2B0">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&gt;6</w:t>
            </w:r>
          </w:p>
        </w:tc>
        <w:tc>
          <w:tcPr>
            <w:tcW w:w="1571" w:type="dxa"/>
            <w:noWrap w:val="0"/>
            <w:vAlign w:val="center"/>
          </w:tcPr>
          <w:p w14:paraId="23D5C06D">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&gt;4且≦6</w:t>
            </w:r>
          </w:p>
        </w:tc>
        <w:tc>
          <w:tcPr>
            <w:tcW w:w="1669" w:type="dxa"/>
            <w:noWrap w:val="0"/>
            <w:vAlign w:val="center"/>
          </w:tcPr>
          <w:p w14:paraId="7DA74840">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&gt;2且≦4</w:t>
            </w:r>
          </w:p>
        </w:tc>
        <w:tc>
          <w:tcPr>
            <w:tcW w:w="1168" w:type="dxa"/>
            <w:noWrap w:val="0"/>
            <w:vAlign w:val="top"/>
          </w:tcPr>
          <w:p w14:paraId="08814CFB">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14:paraId="3B24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6" w:type="dxa"/>
            <w:noWrap w:val="0"/>
            <w:vAlign w:val="center"/>
          </w:tcPr>
          <w:p w14:paraId="64792811">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总磷（mg/L）</w:t>
            </w:r>
          </w:p>
        </w:tc>
        <w:tc>
          <w:tcPr>
            <w:tcW w:w="1279" w:type="dxa"/>
            <w:noWrap w:val="0"/>
            <w:vAlign w:val="center"/>
          </w:tcPr>
          <w:p w14:paraId="5841694E">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&gt;1.2</w:t>
            </w:r>
          </w:p>
        </w:tc>
        <w:tc>
          <w:tcPr>
            <w:tcW w:w="1571" w:type="dxa"/>
            <w:noWrap w:val="0"/>
            <w:vAlign w:val="center"/>
          </w:tcPr>
          <w:p w14:paraId="12494F27">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&gt;0.8且≦1.2</w:t>
            </w:r>
          </w:p>
        </w:tc>
        <w:tc>
          <w:tcPr>
            <w:tcW w:w="1669" w:type="dxa"/>
            <w:noWrap w:val="0"/>
            <w:vAlign w:val="center"/>
          </w:tcPr>
          <w:p w14:paraId="7F4A06F0">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&gt;0.4且≦0.8</w:t>
            </w:r>
          </w:p>
        </w:tc>
        <w:tc>
          <w:tcPr>
            <w:tcW w:w="1168" w:type="dxa"/>
            <w:noWrap w:val="0"/>
            <w:vAlign w:val="top"/>
          </w:tcPr>
          <w:p w14:paraId="5175E731">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w:t>
            </w:r>
          </w:p>
        </w:tc>
      </w:tr>
      <w:tr w14:paraId="1269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6" w:type="dxa"/>
            <w:noWrap w:val="0"/>
            <w:vAlign w:val="center"/>
          </w:tcPr>
          <w:p w14:paraId="361D1082">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溶解氧（mg/L）</w:t>
            </w:r>
          </w:p>
        </w:tc>
        <w:tc>
          <w:tcPr>
            <w:tcW w:w="1279" w:type="dxa"/>
            <w:noWrap w:val="0"/>
            <w:vAlign w:val="center"/>
          </w:tcPr>
          <w:p w14:paraId="2FF7F119">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&lt;2.0</w:t>
            </w:r>
          </w:p>
        </w:tc>
        <w:tc>
          <w:tcPr>
            <w:tcW w:w="1571" w:type="dxa"/>
            <w:noWrap w:val="0"/>
            <w:vAlign w:val="center"/>
          </w:tcPr>
          <w:p w14:paraId="652D5270">
            <w:pPr>
              <w:spacing w:line="240" w:lineRule="auto"/>
              <w:ind w:firstLine="2"/>
              <w:jc w:val="center"/>
              <w:rPr>
                <w:rFonts w:hint="eastAsia" w:ascii="仿宋" w:hAnsi="仿宋" w:eastAsia="仿宋" w:cs="仿宋"/>
                <w:color w:val="auto"/>
                <w:sz w:val="24"/>
                <w:szCs w:val="24"/>
                <w:highlight w:val="none"/>
              </w:rPr>
            </w:pPr>
          </w:p>
        </w:tc>
        <w:tc>
          <w:tcPr>
            <w:tcW w:w="1669" w:type="dxa"/>
            <w:noWrap w:val="0"/>
            <w:vAlign w:val="center"/>
          </w:tcPr>
          <w:p w14:paraId="70FA8C2F">
            <w:pPr>
              <w:spacing w:line="240" w:lineRule="auto"/>
              <w:ind w:firstLine="2"/>
              <w:jc w:val="center"/>
              <w:rPr>
                <w:rFonts w:hint="eastAsia" w:ascii="仿宋" w:hAnsi="仿宋" w:eastAsia="仿宋" w:cs="仿宋"/>
                <w:color w:val="auto"/>
                <w:sz w:val="24"/>
                <w:szCs w:val="24"/>
                <w:highlight w:val="none"/>
              </w:rPr>
            </w:pPr>
          </w:p>
        </w:tc>
        <w:tc>
          <w:tcPr>
            <w:tcW w:w="1168" w:type="dxa"/>
            <w:noWrap w:val="0"/>
            <w:vAlign w:val="center"/>
          </w:tcPr>
          <w:p w14:paraId="2BA69247">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&gt;2.0</w:t>
            </w:r>
          </w:p>
        </w:tc>
      </w:tr>
      <w:tr w14:paraId="5F43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6" w:type="dxa"/>
            <w:noWrap w:val="0"/>
            <w:vAlign w:val="center"/>
          </w:tcPr>
          <w:p w14:paraId="4F680325">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氧化还原电位（mV）</w:t>
            </w:r>
          </w:p>
        </w:tc>
        <w:tc>
          <w:tcPr>
            <w:tcW w:w="1279" w:type="dxa"/>
            <w:noWrap w:val="0"/>
            <w:vAlign w:val="center"/>
          </w:tcPr>
          <w:p w14:paraId="2466E2F4">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&lt;50</w:t>
            </w:r>
          </w:p>
        </w:tc>
        <w:tc>
          <w:tcPr>
            <w:tcW w:w="1571" w:type="dxa"/>
            <w:noWrap w:val="0"/>
            <w:vAlign w:val="center"/>
          </w:tcPr>
          <w:p w14:paraId="37CF1897">
            <w:pPr>
              <w:spacing w:line="240" w:lineRule="auto"/>
              <w:ind w:firstLine="2"/>
              <w:jc w:val="center"/>
              <w:rPr>
                <w:rFonts w:hint="eastAsia" w:ascii="仿宋" w:hAnsi="仿宋" w:eastAsia="仿宋" w:cs="仿宋"/>
                <w:color w:val="auto"/>
                <w:sz w:val="24"/>
                <w:szCs w:val="24"/>
                <w:highlight w:val="none"/>
              </w:rPr>
            </w:pPr>
          </w:p>
        </w:tc>
        <w:tc>
          <w:tcPr>
            <w:tcW w:w="1669" w:type="dxa"/>
            <w:noWrap w:val="0"/>
            <w:vAlign w:val="center"/>
          </w:tcPr>
          <w:p w14:paraId="7AD12EBA">
            <w:pPr>
              <w:spacing w:line="240" w:lineRule="auto"/>
              <w:ind w:firstLine="2"/>
              <w:jc w:val="center"/>
              <w:rPr>
                <w:rFonts w:hint="eastAsia" w:ascii="仿宋" w:hAnsi="仿宋" w:eastAsia="仿宋" w:cs="仿宋"/>
                <w:color w:val="auto"/>
                <w:sz w:val="24"/>
                <w:szCs w:val="24"/>
                <w:highlight w:val="none"/>
              </w:rPr>
            </w:pPr>
          </w:p>
        </w:tc>
        <w:tc>
          <w:tcPr>
            <w:tcW w:w="1168" w:type="dxa"/>
            <w:noWrap w:val="0"/>
            <w:vAlign w:val="center"/>
          </w:tcPr>
          <w:p w14:paraId="6E80719E">
            <w:pPr>
              <w:spacing w:line="240" w:lineRule="auto"/>
              <w:ind w:firstLine="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&gt;50</w:t>
            </w:r>
          </w:p>
        </w:tc>
      </w:tr>
    </w:tbl>
    <w:p w14:paraId="1A85996A">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仿宋" w:hAnsi="仿宋" w:eastAsia="仿宋" w:cs="仿宋"/>
          <w:b/>
          <w:bCs/>
          <w:sz w:val="24"/>
          <w:szCs w:val="24"/>
          <w:highlight w:val="none"/>
          <w:lang w:val="en-US" w:eastAsia="zh-CN"/>
        </w:rPr>
      </w:pPr>
    </w:p>
    <w:p w14:paraId="2BFC2BDE">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cs="仿宋"/>
          <w:b w:val="0"/>
          <w:bCs w:val="0"/>
          <w:sz w:val="24"/>
          <w:szCs w:val="24"/>
          <w:highlight w:val="none"/>
          <w:lang w:val="en-US" w:eastAsia="zh-CN"/>
        </w:rPr>
        <w:t>3、中标单位要根据义蓬街道内河道水系实际情况，因地制宜，编制并实施能有效提升流域内水质环境的治理方案。</w:t>
      </w:r>
    </w:p>
    <w:p w14:paraId="6D7A7F6A">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二、水生植物</w:t>
      </w:r>
    </w:p>
    <w:p w14:paraId="107EB76D">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水生植物养护工作:</w:t>
      </w:r>
      <w:r>
        <w:rPr>
          <w:rFonts w:hint="eastAsia" w:ascii="仿宋" w:hAnsi="仿宋" w:eastAsia="仿宋" w:cs="仿宋"/>
          <w:sz w:val="24"/>
          <w:szCs w:val="24"/>
          <w:highlight w:val="none"/>
          <w:lang w:eastAsia="zh-CN"/>
        </w:rPr>
        <w:t>需要配备专职人员及船只，确保完成该区域内的养护工作。河面作业人员必须穿救生衣，发现不符要求的每次扣</w:t>
      </w:r>
      <w:r>
        <w:rPr>
          <w:rFonts w:hint="eastAsia" w:ascii="仿宋" w:hAnsi="仿宋" w:eastAsia="仿宋" w:cs="仿宋"/>
          <w:sz w:val="24"/>
          <w:szCs w:val="24"/>
          <w:highlight w:val="none"/>
          <w:lang w:val="en-US" w:eastAsia="zh-CN"/>
        </w:rPr>
        <w:t>100元。</w:t>
      </w:r>
    </w:p>
    <w:p w14:paraId="247D1C6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原则上</w:t>
      </w:r>
      <w:r>
        <w:rPr>
          <w:rFonts w:hint="eastAsia" w:ascii="仿宋" w:hAnsi="仿宋" w:eastAsia="仿宋" w:cs="仿宋"/>
          <w:sz w:val="24"/>
          <w:szCs w:val="24"/>
          <w:highlight w:val="none"/>
        </w:rPr>
        <w:t>达到</w:t>
      </w:r>
      <w:r>
        <w:rPr>
          <w:rFonts w:hint="eastAsia" w:ascii="仿宋" w:hAnsi="仿宋" w:eastAsia="仿宋" w:cs="仿宋"/>
          <w:sz w:val="24"/>
          <w:szCs w:val="24"/>
          <w:highlight w:val="none"/>
          <w:lang w:eastAsia="zh-CN"/>
        </w:rPr>
        <w:t>四季常绿、无杂草、无病虫危害、感观良好。</w:t>
      </w:r>
      <w:r>
        <w:rPr>
          <w:rFonts w:hint="eastAsia" w:ascii="仿宋" w:hAnsi="仿宋" w:eastAsia="仿宋" w:cs="仿宋"/>
          <w:sz w:val="24"/>
          <w:szCs w:val="24"/>
          <w:highlight w:val="none"/>
        </w:rPr>
        <w:t>养护区域内的水生植物应确保达到</w:t>
      </w:r>
      <w:r>
        <w:rPr>
          <w:rFonts w:hint="eastAsia" w:ascii="仿宋" w:hAnsi="仿宋" w:eastAsia="仿宋" w:cs="仿宋"/>
          <w:sz w:val="24"/>
          <w:szCs w:val="24"/>
          <w:highlight w:val="none"/>
          <w:lang w:val="en-US" w:eastAsia="zh-CN"/>
        </w:rPr>
        <w:t>85</w:t>
      </w:r>
      <w:r>
        <w:rPr>
          <w:rFonts w:hint="eastAsia" w:ascii="仿宋" w:hAnsi="仿宋" w:eastAsia="仿宋" w:cs="仿宋"/>
          <w:sz w:val="24"/>
          <w:szCs w:val="24"/>
          <w:highlight w:val="none"/>
        </w:rPr>
        <w:t>%以上成活率</w:t>
      </w:r>
      <w:r>
        <w:rPr>
          <w:rFonts w:hint="eastAsia" w:ascii="仿宋" w:hAnsi="仿宋" w:eastAsia="仿宋" w:cs="仿宋"/>
          <w:sz w:val="24"/>
          <w:szCs w:val="24"/>
          <w:highlight w:val="none"/>
          <w:lang w:eastAsia="zh-CN"/>
        </w:rPr>
        <w:t>，若因病虫或自然灾害造成枯死的必须及时进行补种和恢复，否则按每框扣</w:t>
      </w:r>
      <w:r>
        <w:rPr>
          <w:rFonts w:hint="eastAsia" w:ascii="仿宋" w:hAnsi="仿宋" w:eastAsia="仿宋" w:cs="仿宋"/>
          <w:sz w:val="24"/>
          <w:szCs w:val="24"/>
          <w:highlight w:val="none"/>
          <w:lang w:val="en-US" w:eastAsia="zh-CN"/>
        </w:rPr>
        <w:t>500元。</w:t>
      </w:r>
    </w:p>
    <w:p w14:paraId="455830D7">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水生植物浮框内</w:t>
      </w:r>
      <w:r>
        <w:rPr>
          <w:rFonts w:hint="eastAsia" w:ascii="仿宋" w:hAnsi="仿宋" w:eastAsia="仿宋" w:cs="仿宋"/>
          <w:sz w:val="24"/>
          <w:szCs w:val="24"/>
          <w:highlight w:val="none"/>
        </w:rPr>
        <w:t>白色污染物</w:t>
      </w:r>
      <w:r>
        <w:rPr>
          <w:rFonts w:hint="eastAsia" w:ascii="仿宋" w:hAnsi="仿宋" w:eastAsia="仿宋" w:cs="仿宋"/>
          <w:sz w:val="24"/>
          <w:szCs w:val="24"/>
          <w:highlight w:val="none"/>
          <w:lang w:eastAsia="zh-CN"/>
        </w:rPr>
        <w:t>及革命草等杂草要第一时间清除到位，水生植物及时</w:t>
      </w:r>
      <w:r>
        <w:rPr>
          <w:rFonts w:hint="eastAsia" w:ascii="仿宋" w:hAnsi="仿宋" w:eastAsia="仿宋" w:cs="仿宋"/>
          <w:sz w:val="24"/>
          <w:szCs w:val="24"/>
          <w:highlight w:val="none"/>
        </w:rPr>
        <w:t>修剪、枯死枝的清理垃圾等当日清运完毕</w:t>
      </w:r>
      <w:r>
        <w:rPr>
          <w:rFonts w:hint="eastAsia" w:ascii="仿宋" w:hAnsi="仿宋" w:eastAsia="仿宋" w:cs="仿宋"/>
          <w:sz w:val="24"/>
          <w:szCs w:val="24"/>
          <w:highlight w:val="none"/>
          <w:lang w:eastAsia="zh-CN"/>
        </w:rPr>
        <w:t>，不得影响道路交通及环境卫生。如有抄告。每次扣</w:t>
      </w:r>
      <w:r>
        <w:rPr>
          <w:rFonts w:hint="eastAsia" w:ascii="仿宋" w:hAnsi="仿宋" w:eastAsia="仿宋" w:cs="仿宋"/>
          <w:sz w:val="24"/>
          <w:szCs w:val="24"/>
          <w:highlight w:val="none"/>
          <w:lang w:val="en-US" w:eastAsia="zh-CN"/>
        </w:rPr>
        <w:t>500元。</w:t>
      </w:r>
    </w:p>
    <w:p w14:paraId="197438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维护好浮岛、浮框等相关设施。</w:t>
      </w:r>
      <w:r>
        <w:rPr>
          <w:rFonts w:hint="eastAsia" w:ascii="仿宋" w:hAnsi="仿宋" w:eastAsia="仿宋" w:cs="仿宋"/>
          <w:sz w:val="24"/>
          <w:szCs w:val="24"/>
          <w:highlight w:val="none"/>
          <w:lang w:eastAsia="zh-CN"/>
        </w:rPr>
        <w:t>若设施</w:t>
      </w:r>
      <w:r>
        <w:rPr>
          <w:rFonts w:hint="eastAsia" w:ascii="仿宋" w:hAnsi="仿宋" w:eastAsia="仿宋" w:cs="仿宋"/>
          <w:sz w:val="24"/>
          <w:szCs w:val="24"/>
          <w:highlight w:val="none"/>
        </w:rPr>
        <w:t>因</w:t>
      </w:r>
      <w:r>
        <w:rPr>
          <w:rFonts w:hint="eastAsia" w:ascii="仿宋" w:hAnsi="仿宋" w:eastAsia="仿宋" w:cs="仿宋"/>
          <w:sz w:val="24"/>
          <w:szCs w:val="24"/>
          <w:highlight w:val="none"/>
          <w:lang w:eastAsia="zh-CN"/>
        </w:rPr>
        <w:t>故</w:t>
      </w:r>
      <w:r>
        <w:rPr>
          <w:rFonts w:hint="eastAsia" w:ascii="仿宋" w:hAnsi="仿宋" w:eastAsia="仿宋" w:cs="仿宋"/>
          <w:sz w:val="24"/>
          <w:szCs w:val="24"/>
          <w:highlight w:val="none"/>
        </w:rPr>
        <w:t>造成的损坏，必须无条件</w:t>
      </w:r>
      <w:r>
        <w:rPr>
          <w:rFonts w:hint="eastAsia" w:ascii="仿宋" w:hAnsi="仿宋" w:eastAsia="仿宋" w:cs="仿宋"/>
          <w:sz w:val="24"/>
          <w:szCs w:val="24"/>
          <w:highlight w:val="none"/>
          <w:lang w:eastAsia="zh-CN"/>
        </w:rPr>
        <w:t>及时修复</w:t>
      </w:r>
      <w:r>
        <w:rPr>
          <w:rFonts w:hint="eastAsia" w:ascii="仿宋" w:hAnsi="仿宋" w:eastAsia="仿宋" w:cs="仿宋"/>
          <w:sz w:val="24"/>
          <w:szCs w:val="24"/>
          <w:highlight w:val="none"/>
        </w:rPr>
        <w:t>，否则</w:t>
      </w:r>
      <w:r>
        <w:rPr>
          <w:rFonts w:hint="eastAsia" w:ascii="仿宋" w:hAnsi="仿宋" w:eastAsia="仿宋" w:cs="仿宋"/>
          <w:sz w:val="24"/>
          <w:szCs w:val="24"/>
          <w:highlight w:val="none"/>
          <w:lang w:eastAsia="zh-CN"/>
        </w:rPr>
        <w:t>每个</w:t>
      </w:r>
      <w:r>
        <w:rPr>
          <w:rFonts w:hint="eastAsia" w:ascii="仿宋" w:hAnsi="仿宋" w:eastAsia="仿宋" w:cs="仿宋"/>
          <w:sz w:val="24"/>
          <w:szCs w:val="24"/>
          <w:highlight w:val="none"/>
        </w:rPr>
        <w:t>扣除</w:t>
      </w:r>
      <w:r>
        <w:rPr>
          <w:rFonts w:hint="eastAsia" w:ascii="仿宋" w:hAnsi="仿宋" w:eastAsia="仿宋" w:cs="仿宋"/>
          <w:sz w:val="24"/>
          <w:szCs w:val="24"/>
          <w:highlight w:val="none"/>
          <w:lang w:val="en-US" w:eastAsia="zh-CN"/>
        </w:rPr>
        <w:t>500元</w:t>
      </w:r>
      <w:r>
        <w:rPr>
          <w:rFonts w:hint="eastAsia" w:ascii="仿宋" w:hAnsi="仿宋" w:eastAsia="仿宋" w:cs="仿宋"/>
          <w:sz w:val="24"/>
          <w:szCs w:val="24"/>
          <w:highlight w:val="none"/>
        </w:rPr>
        <w:t>。</w:t>
      </w:r>
    </w:p>
    <w:p w14:paraId="63BB48B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三、人工增氧设备</w:t>
      </w:r>
    </w:p>
    <w:p w14:paraId="4DD599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sz w:val="24"/>
          <w:szCs w:val="24"/>
          <w:highlight w:val="none"/>
          <w:lang w:val="en-US" w:eastAsia="zh-CN"/>
        </w:rPr>
        <w:t>增氧设备要做到</w:t>
      </w:r>
      <w:r>
        <w:rPr>
          <w:rFonts w:hint="eastAsia" w:ascii="仿宋" w:hAnsi="仿宋" w:eastAsia="仿宋" w:cs="仿宋"/>
          <w:color w:val="000000"/>
          <w:sz w:val="24"/>
          <w:szCs w:val="24"/>
          <w:highlight w:val="none"/>
          <w:lang w:eastAsia="zh-CN"/>
        </w:rPr>
        <w:t>日常的保养与维护。增氧设备要确保甲方要求的设备运行时间（</w:t>
      </w:r>
      <w:r>
        <w:rPr>
          <w:rFonts w:hint="eastAsia" w:ascii="仿宋" w:hAnsi="仿宋" w:eastAsia="仿宋" w:cs="仿宋"/>
          <w:color w:val="000000"/>
          <w:sz w:val="24"/>
          <w:szCs w:val="24"/>
          <w:highlight w:val="none"/>
          <w:lang w:val="en-US" w:eastAsia="zh-CN"/>
        </w:rPr>
        <w:t>7点半－11点半，13点半－17点半</w:t>
      </w:r>
      <w:r>
        <w:rPr>
          <w:rFonts w:hint="eastAsia" w:ascii="仿宋" w:hAnsi="仿宋" w:eastAsia="仿宋" w:cs="仿宋"/>
          <w:color w:val="000000"/>
          <w:sz w:val="24"/>
          <w:szCs w:val="24"/>
          <w:highlight w:val="none"/>
          <w:lang w:eastAsia="zh-CN"/>
        </w:rPr>
        <w:t>），若发现在规定的运行时间内不运行或未开启的，若出现设备故障等需不及时上报并报备的，每次扣</w:t>
      </w:r>
      <w:r>
        <w:rPr>
          <w:rFonts w:hint="eastAsia" w:ascii="仿宋" w:hAnsi="仿宋" w:eastAsia="仿宋" w:cs="仿宋"/>
          <w:color w:val="000000"/>
          <w:sz w:val="24"/>
          <w:szCs w:val="24"/>
          <w:highlight w:val="none"/>
          <w:lang w:val="en-US" w:eastAsia="zh-CN"/>
        </w:rPr>
        <w:t>500元。</w:t>
      </w:r>
    </w:p>
    <w:p w14:paraId="17AA44A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lang w:eastAsia="zh-CN"/>
        </w:rPr>
        <w:t>抗灾应急</w:t>
      </w:r>
    </w:p>
    <w:p w14:paraId="64AC311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1.河道管理单位和养护单位做好安全隐患、抢险救灾、突发事件等情况相应的应急处理预案。</w:t>
      </w:r>
    </w:p>
    <w:p w14:paraId="5194399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2.出现突发性污染水体事件，如沿河污水管网故障溢流、蓝藻、底泥上浮、河面油污现象，需第一时间进行应急处置，处置不利或造成严重影响的，每次扣1万元。</w:t>
      </w:r>
    </w:p>
    <w:p w14:paraId="0057582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3.出现台风、防汛等：应及时对设施设备进行保护和加固措施，如无法做到有效保护的应及时组织人员对设施进行转移，直至台风过后，水位水流恢复正常后恢复至原位。</w:t>
      </w:r>
    </w:p>
    <w:p w14:paraId="76C70A6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cs="仿宋"/>
          <w:b/>
          <w:bCs/>
          <w:sz w:val="24"/>
          <w:szCs w:val="24"/>
          <w:highlight w:val="none"/>
          <w:lang w:val="en-US" w:eastAsia="zh-CN"/>
        </w:rPr>
        <w:t>五</w:t>
      </w:r>
      <w:r>
        <w:rPr>
          <w:rFonts w:hint="eastAsia" w:ascii="仿宋" w:hAnsi="仿宋" w:eastAsia="仿宋" w:cs="仿宋"/>
          <w:b/>
          <w:bCs/>
          <w:sz w:val="24"/>
          <w:szCs w:val="24"/>
          <w:highlight w:val="none"/>
          <w:lang w:val="en-US" w:eastAsia="zh-CN"/>
        </w:rPr>
        <w:t>、其他要求</w:t>
      </w:r>
    </w:p>
    <w:p w14:paraId="3DD396C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1、采购人将严格按上述要求，对中标人定期不定期的进行检查与考核，如发现中标人未能按上述要求执行的，作违约处理，由中标人自行承担由此造成的 一切经济损失与法律责任。</w:t>
      </w:r>
    </w:p>
    <w:p w14:paraId="69C05F4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2、管理方式应文明、礼貌，对进入水生植物及相关设施损坏现象应及时予以制止，遇到严重的破坏绿化行为应及时上报甲方及执法部门。</w:t>
      </w:r>
    </w:p>
    <w:p w14:paraId="54C0BA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3、建立日常巡查制度，巡查人员对所养护的水生植物每天巡查不少于--次,每天上报自查情况、巡查纪录，发现问题时应及时整改。建立养护管理工作台账。</w:t>
      </w:r>
    </w:p>
    <w:p w14:paraId="46BAFBB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4、器具设备要求：养护机、维护船、运输船、冲锋舟、托运车等工作所涉及到器具由投标人自行解决，水生植物堆放处由中标人自行解决，运输费等一切费用考虑在报价中（设备运行电费由招标人承担）。</w:t>
      </w:r>
    </w:p>
    <w:p w14:paraId="3F9E652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5、安全生产：施工期间，要规范操作，发生安全事故，一切责任由中标单位负责，与采购单位无关。</w:t>
      </w:r>
    </w:p>
    <w:p w14:paraId="0EBE0CF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6、投标人应在投标报价中充分考虑到河道内所有设备和排放口的维修和更换、</w:t>
      </w:r>
      <w:r>
        <w:rPr>
          <w:rFonts w:hint="eastAsia" w:ascii="仿宋" w:hAnsi="仿宋" w:cs="仿宋"/>
          <w:b w:val="0"/>
          <w:bCs w:val="0"/>
          <w:sz w:val="24"/>
          <w:szCs w:val="24"/>
          <w:highlight w:val="none"/>
          <w:lang w:val="en-US" w:eastAsia="zh-CN"/>
        </w:rPr>
        <w:t>原</w:t>
      </w:r>
      <w:r>
        <w:rPr>
          <w:rFonts w:hint="eastAsia" w:ascii="仿宋" w:hAnsi="仿宋" w:eastAsia="仿宋" w:cs="仿宋"/>
          <w:b w:val="0"/>
          <w:bCs w:val="0"/>
          <w:sz w:val="24"/>
          <w:szCs w:val="24"/>
          <w:highlight w:val="none"/>
          <w:lang w:val="en-US" w:eastAsia="zh-CN"/>
        </w:rPr>
        <w:t>排放口</w:t>
      </w:r>
      <w:r>
        <w:rPr>
          <w:rFonts w:hint="eastAsia" w:ascii="仿宋" w:hAnsi="仿宋" w:cs="仿宋"/>
          <w:b w:val="0"/>
          <w:bCs w:val="0"/>
          <w:sz w:val="24"/>
          <w:szCs w:val="24"/>
          <w:highlight w:val="none"/>
          <w:lang w:val="en-US" w:eastAsia="zh-CN"/>
        </w:rPr>
        <w:t>预处理设施的拆除</w:t>
      </w:r>
      <w:r>
        <w:rPr>
          <w:rFonts w:hint="eastAsia" w:ascii="仿宋" w:hAnsi="仿宋" w:cs="仿宋"/>
          <w:b w:val="0"/>
          <w:bCs w:val="0"/>
          <w:sz w:val="24"/>
          <w:szCs w:val="24"/>
          <w:highlight w:val="none"/>
          <w:lang w:val="en-US" w:eastAsia="zh-CN"/>
        </w:rPr>
        <w:t>、</w:t>
      </w:r>
      <w:r>
        <w:rPr>
          <w:rFonts w:hint="eastAsia" w:ascii="仿宋" w:hAnsi="仿宋" w:eastAsia="仿宋" w:cs="仿宋"/>
          <w:b w:val="0"/>
          <w:bCs w:val="0"/>
          <w:sz w:val="24"/>
          <w:szCs w:val="24"/>
          <w:highlight w:val="none"/>
          <w:lang w:val="en-US" w:eastAsia="zh-CN"/>
        </w:rPr>
        <w:t>水生植物的补种等一切费用。投标人在投标前需现场踏勘确认设备、植物等。</w:t>
      </w:r>
    </w:p>
    <w:p w14:paraId="5D903CB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cs="仿宋"/>
          <w:b/>
          <w:bCs/>
          <w:sz w:val="24"/>
          <w:szCs w:val="24"/>
          <w:highlight w:val="none"/>
          <w:lang w:val="en-US" w:eastAsia="zh-CN"/>
        </w:rPr>
        <w:t>六</w:t>
      </w:r>
      <w:r>
        <w:rPr>
          <w:rFonts w:hint="eastAsia" w:ascii="仿宋" w:hAnsi="仿宋" w:eastAsia="仿宋" w:cs="仿宋"/>
          <w:b/>
          <w:bCs/>
          <w:sz w:val="24"/>
          <w:szCs w:val="24"/>
          <w:highlight w:val="none"/>
          <w:lang w:val="en-US" w:eastAsia="zh-CN"/>
        </w:rPr>
        <w:t>、河道治理清单</w:t>
      </w:r>
    </w:p>
    <w:tbl>
      <w:tblPr>
        <w:tblStyle w:val="64"/>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1060"/>
        <w:gridCol w:w="1305"/>
        <w:gridCol w:w="1215"/>
        <w:gridCol w:w="1215"/>
        <w:gridCol w:w="1260"/>
        <w:gridCol w:w="900"/>
      </w:tblGrid>
      <w:tr w14:paraId="4CE2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212" w:type="dxa"/>
            <w:gridSpan w:val="7"/>
            <w:noWrap w:val="0"/>
            <w:vAlign w:val="center"/>
          </w:tcPr>
          <w:p w14:paraId="4290304F">
            <w:pPr>
              <w:keepNext w:val="0"/>
              <w:keepLines w:val="0"/>
              <w:pageBreakBefore w:val="0"/>
              <w:widowControl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义蓬街道河道水环境运维服务（标项一）</w:t>
            </w:r>
          </w:p>
        </w:tc>
      </w:tr>
      <w:tr w14:paraId="00D4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57" w:type="dxa"/>
            <w:vMerge w:val="restart"/>
            <w:noWrap w:val="0"/>
            <w:vAlign w:val="center"/>
          </w:tcPr>
          <w:p w14:paraId="4DA9A45D">
            <w:pPr>
              <w:keepNext w:val="0"/>
              <w:keepLines w:val="0"/>
              <w:pageBreakBefore w:val="0"/>
              <w:widowControl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河道名称</w:t>
            </w:r>
          </w:p>
        </w:tc>
        <w:tc>
          <w:tcPr>
            <w:tcW w:w="1060" w:type="dxa"/>
            <w:vMerge w:val="restart"/>
            <w:noWrap w:val="0"/>
            <w:vAlign w:val="center"/>
          </w:tcPr>
          <w:p w14:paraId="186B1F4E">
            <w:pPr>
              <w:keepNext w:val="0"/>
              <w:keepLines w:val="0"/>
              <w:pageBreakBefore w:val="0"/>
              <w:widowControl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河道长度（KM）</w:t>
            </w:r>
          </w:p>
        </w:tc>
        <w:tc>
          <w:tcPr>
            <w:tcW w:w="1305" w:type="dxa"/>
            <w:vMerge w:val="restart"/>
            <w:noWrap w:val="0"/>
            <w:vAlign w:val="center"/>
          </w:tcPr>
          <w:p w14:paraId="0288DB6F">
            <w:pPr>
              <w:keepNext w:val="0"/>
              <w:keepLines w:val="0"/>
              <w:pageBreakBefore w:val="0"/>
              <w:widowControl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水生植物面积（㎡）</w:t>
            </w:r>
          </w:p>
        </w:tc>
        <w:tc>
          <w:tcPr>
            <w:tcW w:w="3690" w:type="dxa"/>
            <w:gridSpan w:val="3"/>
            <w:noWrap w:val="0"/>
            <w:vAlign w:val="center"/>
          </w:tcPr>
          <w:p w14:paraId="22D40D90">
            <w:pPr>
              <w:keepNext w:val="0"/>
              <w:keepLines w:val="0"/>
              <w:pageBreakBefore w:val="0"/>
              <w:widowControl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设备数量</w:t>
            </w:r>
          </w:p>
        </w:tc>
        <w:tc>
          <w:tcPr>
            <w:tcW w:w="900" w:type="dxa"/>
            <w:vMerge w:val="restart"/>
            <w:noWrap w:val="0"/>
            <w:vAlign w:val="center"/>
          </w:tcPr>
          <w:p w14:paraId="1BE8B075">
            <w:pPr>
              <w:keepNext w:val="0"/>
              <w:keepLines w:val="0"/>
              <w:pageBreakBefore w:val="0"/>
              <w:widowControl w:val="0"/>
              <w:numPr>
                <w:ilvl w:val="0"/>
                <w:numId w:val="0"/>
              </w:numPr>
              <w:kinsoku/>
              <w:wordWrap/>
              <w:overflowPunct/>
              <w:topLinePunct w:val="0"/>
              <w:autoSpaceDE/>
              <w:autoSpaceDN/>
              <w:bidi w:val="0"/>
              <w:adjustRightInd w:val="0"/>
              <w:snapToGrid/>
              <w:spacing w:before="0" w:beforeLines="5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r>
      <w:tr w14:paraId="7D93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57" w:type="dxa"/>
            <w:vMerge w:val="continue"/>
            <w:noWrap w:val="0"/>
            <w:vAlign w:val="center"/>
          </w:tcPr>
          <w:p w14:paraId="2CAB88CF">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sz w:val="24"/>
                <w:szCs w:val="24"/>
              </w:rPr>
            </w:pPr>
          </w:p>
        </w:tc>
        <w:tc>
          <w:tcPr>
            <w:tcW w:w="1060" w:type="dxa"/>
            <w:vMerge w:val="continue"/>
            <w:noWrap w:val="0"/>
            <w:vAlign w:val="center"/>
          </w:tcPr>
          <w:p w14:paraId="7B6C6A19">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sz w:val="24"/>
                <w:szCs w:val="24"/>
              </w:rPr>
            </w:pPr>
          </w:p>
        </w:tc>
        <w:tc>
          <w:tcPr>
            <w:tcW w:w="1305" w:type="dxa"/>
            <w:vMerge w:val="continue"/>
            <w:noWrap w:val="0"/>
            <w:vAlign w:val="center"/>
          </w:tcPr>
          <w:p w14:paraId="7B94434A">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sz w:val="24"/>
                <w:szCs w:val="24"/>
              </w:rPr>
            </w:pPr>
          </w:p>
        </w:tc>
        <w:tc>
          <w:tcPr>
            <w:tcW w:w="1215" w:type="dxa"/>
            <w:noWrap w:val="0"/>
            <w:vAlign w:val="center"/>
          </w:tcPr>
          <w:p w14:paraId="0245F1B0">
            <w:pPr>
              <w:keepNext w:val="0"/>
              <w:keepLines w:val="0"/>
              <w:pageBreakBefore w:val="0"/>
              <w:widowControl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推流</w:t>
            </w:r>
          </w:p>
        </w:tc>
        <w:tc>
          <w:tcPr>
            <w:tcW w:w="1215" w:type="dxa"/>
            <w:noWrap w:val="0"/>
            <w:vAlign w:val="center"/>
          </w:tcPr>
          <w:p w14:paraId="118BB436">
            <w:pPr>
              <w:keepNext w:val="0"/>
              <w:keepLines w:val="0"/>
              <w:pageBreakBefore w:val="0"/>
              <w:widowControl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曝气</w:t>
            </w:r>
          </w:p>
        </w:tc>
        <w:tc>
          <w:tcPr>
            <w:tcW w:w="1260" w:type="dxa"/>
            <w:noWrap w:val="0"/>
            <w:vAlign w:val="center"/>
          </w:tcPr>
          <w:p w14:paraId="596412CE">
            <w:pPr>
              <w:keepNext w:val="0"/>
              <w:keepLines w:val="0"/>
              <w:pageBreakBefore w:val="0"/>
              <w:widowControl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扬水</w:t>
            </w:r>
          </w:p>
        </w:tc>
        <w:tc>
          <w:tcPr>
            <w:tcW w:w="900" w:type="dxa"/>
            <w:vMerge w:val="continue"/>
            <w:noWrap w:val="0"/>
            <w:vAlign w:val="center"/>
          </w:tcPr>
          <w:p w14:paraId="6B969B43">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6D51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noWrap w:val="0"/>
            <w:vAlign w:val="center"/>
          </w:tcPr>
          <w:p w14:paraId="12359AF4">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小泗埠直河</w:t>
            </w:r>
          </w:p>
        </w:tc>
        <w:tc>
          <w:tcPr>
            <w:tcW w:w="1060" w:type="dxa"/>
            <w:noWrap w:val="0"/>
            <w:vAlign w:val="center"/>
          </w:tcPr>
          <w:p w14:paraId="24DAFA7B">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5.77</w:t>
            </w:r>
          </w:p>
        </w:tc>
        <w:tc>
          <w:tcPr>
            <w:tcW w:w="1305" w:type="dxa"/>
            <w:vMerge w:val="restart"/>
            <w:noWrap w:val="0"/>
            <w:vAlign w:val="center"/>
          </w:tcPr>
          <w:p w14:paraId="50D3A298">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28558</w:t>
            </w:r>
          </w:p>
        </w:tc>
        <w:tc>
          <w:tcPr>
            <w:tcW w:w="1215" w:type="dxa"/>
            <w:vMerge w:val="restart"/>
            <w:noWrap w:val="0"/>
            <w:vAlign w:val="center"/>
          </w:tcPr>
          <w:p w14:paraId="77AE998B">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215" w:type="dxa"/>
            <w:vMerge w:val="restart"/>
            <w:noWrap w:val="0"/>
            <w:vAlign w:val="center"/>
          </w:tcPr>
          <w:p w14:paraId="2EEA8C27">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60" w:type="dxa"/>
            <w:vMerge w:val="restart"/>
            <w:noWrap w:val="0"/>
            <w:vAlign w:val="center"/>
          </w:tcPr>
          <w:p w14:paraId="4AD2AB32">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900" w:type="dxa"/>
            <w:vMerge w:val="restart"/>
            <w:noWrap w:val="0"/>
            <w:vAlign w:val="center"/>
          </w:tcPr>
          <w:p w14:paraId="2A57025A">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0DAA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noWrap w:val="0"/>
            <w:vAlign w:val="center"/>
          </w:tcPr>
          <w:p w14:paraId="5A8D9F90">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青春横直河</w:t>
            </w:r>
          </w:p>
        </w:tc>
        <w:tc>
          <w:tcPr>
            <w:tcW w:w="1060" w:type="dxa"/>
            <w:noWrap w:val="0"/>
            <w:vAlign w:val="center"/>
          </w:tcPr>
          <w:p w14:paraId="545A1017">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2.64</w:t>
            </w:r>
          </w:p>
        </w:tc>
        <w:tc>
          <w:tcPr>
            <w:tcW w:w="1305" w:type="dxa"/>
            <w:vMerge w:val="continue"/>
            <w:noWrap w:val="0"/>
            <w:vAlign w:val="center"/>
          </w:tcPr>
          <w:p w14:paraId="5A3EFA79">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58F4E2C9">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08B4F311">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noWrap w:val="0"/>
            <w:vAlign w:val="center"/>
          </w:tcPr>
          <w:p w14:paraId="07131A46">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noWrap w:val="0"/>
            <w:vAlign w:val="center"/>
          </w:tcPr>
          <w:p w14:paraId="793ACEC0">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01A9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noWrap w:val="0"/>
            <w:vAlign w:val="center"/>
          </w:tcPr>
          <w:p w14:paraId="603D975C">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青春横河</w:t>
            </w:r>
          </w:p>
        </w:tc>
        <w:tc>
          <w:tcPr>
            <w:tcW w:w="1060" w:type="dxa"/>
            <w:noWrap w:val="0"/>
            <w:vAlign w:val="center"/>
          </w:tcPr>
          <w:p w14:paraId="1EC727A8">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1305" w:type="dxa"/>
            <w:vMerge w:val="continue"/>
            <w:noWrap w:val="0"/>
            <w:vAlign w:val="center"/>
          </w:tcPr>
          <w:p w14:paraId="1E044902">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225FC734">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130EE03E">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noWrap w:val="0"/>
            <w:vAlign w:val="center"/>
          </w:tcPr>
          <w:p w14:paraId="5D67FA99">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noWrap w:val="0"/>
            <w:vAlign w:val="center"/>
          </w:tcPr>
          <w:p w14:paraId="26083588">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210E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noWrap w:val="0"/>
            <w:vAlign w:val="center"/>
          </w:tcPr>
          <w:p w14:paraId="4A2E9DFB">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益民南横河</w:t>
            </w:r>
          </w:p>
        </w:tc>
        <w:tc>
          <w:tcPr>
            <w:tcW w:w="1060" w:type="dxa"/>
            <w:noWrap w:val="0"/>
            <w:vAlign w:val="center"/>
          </w:tcPr>
          <w:p w14:paraId="7F34B2AF">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0.6</w:t>
            </w:r>
          </w:p>
        </w:tc>
        <w:tc>
          <w:tcPr>
            <w:tcW w:w="1305" w:type="dxa"/>
            <w:vMerge w:val="continue"/>
            <w:noWrap w:val="0"/>
            <w:vAlign w:val="center"/>
          </w:tcPr>
          <w:p w14:paraId="7D2C9B9D">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6EE7FBAA">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1CF2D863">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noWrap w:val="0"/>
            <w:vAlign w:val="center"/>
          </w:tcPr>
          <w:p w14:paraId="760DFAE2">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noWrap w:val="0"/>
            <w:vAlign w:val="center"/>
          </w:tcPr>
          <w:p w14:paraId="4963A995">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3351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noWrap w:val="0"/>
            <w:vAlign w:val="center"/>
          </w:tcPr>
          <w:p w14:paraId="5B6E1617">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金星全民直河</w:t>
            </w:r>
          </w:p>
        </w:tc>
        <w:tc>
          <w:tcPr>
            <w:tcW w:w="1060" w:type="dxa"/>
            <w:noWrap w:val="0"/>
            <w:vAlign w:val="center"/>
          </w:tcPr>
          <w:p w14:paraId="4C4960BD">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2.7</w:t>
            </w:r>
          </w:p>
        </w:tc>
        <w:tc>
          <w:tcPr>
            <w:tcW w:w="1305" w:type="dxa"/>
            <w:vMerge w:val="restart"/>
            <w:noWrap w:val="0"/>
            <w:vAlign w:val="center"/>
          </w:tcPr>
          <w:p w14:paraId="00A931B0">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31537</w:t>
            </w:r>
          </w:p>
        </w:tc>
        <w:tc>
          <w:tcPr>
            <w:tcW w:w="1215" w:type="dxa"/>
            <w:vMerge w:val="restart"/>
            <w:noWrap w:val="0"/>
            <w:vAlign w:val="center"/>
          </w:tcPr>
          <w:p w14:paraId="29B09D46">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16</w:t>
            </w:r>
          </w:p>
        </w:tc>
        <w:tc>
          <w:tcPr>
            <w:tcW w:w="1215" w:type="dxa"/>
            <w:vMerge w:val="restart"/>
            <w:noWrap w:val="0"/>
            <w:vAlign w:val="center"/>
          </w:tcPr>
          <w:p w14:paraId="43FF76D1">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0</w:t>
            </w:r>
          </w:p>
        </w:tc>
        <w:tc>
          <w:tcPr>
            <w:tcW w:w="1260" w:type="dxa"/>
            <w:vMerge w:val="restart"/>
            <w:noWrap w:val="0"/>
            <w:vAlign w:val="center"/>
          </w:tcPr>
          <w:p w14:paraId="39B01C8A">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33</w:t>
            </w:r>
          </w:p>
        </w:tc>
        <w:tc>
          <w:tcPr>
            <w:tcW w:w="900" w:type="dxa"/>
            <w:vMerge w:val="continue"/>
            <w:noWrap w:val="0"/>
            <w:vAlign w:val="center"/>
          </w:tcPr>
          <w:p w14:paraId="7DC6BE1F">
            <w:pPr>
              <w:keepNext w:val="0"/>
              <w:keepLines w:val="0"/>
              <w:pageBreakBefore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p>
        </w:tc>
      </w:tr>
      <w:tr w14:paraId="7AAA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noWrap w:val="0"/>
            <w:vAlign w:val="center"/>
          </w:tcPr>
          <w:p w14:paraId="72CD0EB2">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头蓬横河</w:t>
            </w:r>
          </w:p>
        </w:tc>
        <w:tc>
          <w:tcPr>
            <w:tcW w:w="1060" w:type="dxa"/>
            <w:noWrap w:val="0"/>
            <w:vAlign w:val="center"/>
          </w:tcPr>
          <w:p w14:paraId="5A478C66">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2.14</w:t>
            </w:r>
          </w:p>
        </w:tc>
        <w:tc>
          <w:tcPr>
            <w:tcW w:w="1305" w:type="dxa"/>
            <w:vMerge w:val="continue"/>
            <w:noWrap w:val="0"/>
            <w:vAlign w:val="center"/>
          </w:tcPr>
          <w:p w14:paraId="6B44B35B">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63395FE5">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510D8121">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p>
        </w:tc>
        <w:tc>
          <w:tcPr>
            <w:tcW w:w="1260" w:type="dxa"/>
            <w:vMerge w:val="continue"/>
            <w:noWrap w:val="0"/>
            <w:vAlign w:val="center"/>
          </w:tcPr>
          <w:p w14:paraId="6A381D70">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noWrap w:val="0"/>
            <w:vAlign w:val="center"/>
          </w:tcPr>
          <w:p w14:paraId="4206B4B6">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762D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noWrap w:val="0"/>
            <w:vAlign w:val="center"/>
          </w:tcPr>
          <w:p w14:paraId="318B3BE2">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城隍庙直河</w:t>
            </w:r>
          </w:p>
        </w:tc>
        <w:tc>
          <w:tcPr>
            <w:tcW w:w="1060" w:type="dxa"/>
            <w:shd w:val="clear" w:color="auto" w:fill="auto"/>
            <w:noWrap w:val="0"/>
            <w:vAlign w:val="center"/>
          </w:tcPr>
          <w:p w14:paraId="2613C9CC">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3.0</w:t>
            </w:r>
          </w:p>
        </w:tc>
        <w:tc>
          <w:tcPr>
            <w:tcW w:w="1305" w:type="dxa"/>
            <w:vMerge w:val="restart"/>
            <w:shd w:val="clear" w:color="auto" w:fill="auto"/>
            <w:noWrap w:val="0"/>
            <w:vAlign w:val="center"/>
          </w:tcPr>
          <w:p w14:paraId="47BC0943">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51550</w:t>
            </w:r>
          </w:p>
        </w:tc>
        <w:tc>
          <w:tcPr>
            <w:tcW w:w="1215" w:type="dxa"/>
            <w:vMerge w:val="restart"/>
            <w:shd w:val="clear" w:color="auto" w:fill="auto"/>
            <w:noWrap w:val="0"/>
            <w:vAlign w:val="center"/>
          </w:tcPr>
          <w:p w14:paraId="2AA64745">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37</w:t>
            </w:r>
          </w:p>
        </w:tc>
        <w:tc>
          <w:tcPr>
            <w:tcW w:w="1215" w:type="dxa"/>
            <w:vMerge w:val="restart"/>
            <w:shd w:val="clear" w:color="auto" w:fill="auto"/>
            <w:noWrap w:val="0"/>
            <w:vAlign w:val="center"/>
          </w:tcPr>
          <w:p w14:paraId="6154E769">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13</w:t>
            </w:r>
          </w:p>
        </w:tc>
        <w:tc>
          <w:tcPr>
            <w:tcW w:w="1260" w:type="dxa"/>
            <w:vMerge w:val="restart"/>
            <w:shd w:val="clear" w:color="auto" w:fill="auto"/>
            <w:noWrap w:val="0"/>
            <w:vAlign w:val="center"/>
          </w:tcPr>
          <w:p w14:paraId="1D836722">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75</w:t>
            </w:r>
          </w:p>
        </w:tc>
        <w:tc>
          <w:tcPr>
            <w:tcW w:w="900" w:type="dxa"/>
            <w:vMerge w:val="restart"/>
            <w:shd w:val="clear" w:color="auto" w:fill="auto"/>
            <w:noWrap w:val="0"/>
            <w:vAlign w:val="center"/>
          </w:tcPr>
          <w:p w14:paraId="422484ED">
            <w:pPr>
              <w:keepNext w:val="0"/>
              <w:keepLines w:val="0"/>
              <w:pageBreakBefore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p>
        </w:tc>
      </w:tr>
      <w:tr w14:paraId="29E3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529CD2D7">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长红白浪横河</w:t>
            </w:r>
          </w:p>
        </w:tc>
        <w:tc>
          <w:tcPr>
            <w:tcW w:w="1060" w:type="dxa"/>
            <w:shd w:val="clear" w:color="auto" w:fill="auto"/>
            <w:vAlign w:val="center"/>
          </w:tcPr>
          <w:p w14:paraId="46BA0699">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0.9</w:t>
            </w:r>
          </w:p>
        </w:tc>
        <w:tc>
          <w:tcPr>
            <w:tcW w:w="1305" w:type="dxa"/>
            <w:vMerge w:val="continue"/>
          </w:tcPr>
          <w:p w14:paraId="160180F7">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7EB69467">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46D16481">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tcPr>
          <w:p w14:paraId="2B1EC8B3">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tcPr>
          <w:p w14:paraId="3B6893C8">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7E72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1E962D36">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白浪中心河</w:t>
            </w:r>
          </w:p>
        </w:tc>
        <w:tc>
          <w:tcPr>
            <w:tcW w:w="1060" w:type="dxa"/>
            <w:shd w:val="clear" w:color="auto" w:fill="auto"/>
            <w:vAlign w:val="center"/>
          </w:tcPr>
          <w:p w14:paraId="618F29CA">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1.3</w:t>
            </w:r>
          </w:p>
        </w:tc>
        <w:tc>
          <w:tcPr>
            <w:tcW w:w="1305" w:type="dxa"/>
            <w:vMerge w:val="continue"/>
          </w:tcPr>
          <w:p w14:paraId="70953AB5">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105CAA1F">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32A02D3A">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tcPr>
          <w:p w14:paraId="5A679182">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tcPr>
          <w:p w14:paraId="315EE780">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7E9B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395AD0ED">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金泉中心河</w:t>
            </w:r>
          </w:p>
        </w:tc>
        <w:tc>
          <w:tcPr>
            <w:tcW w:w="1060" w:type="dxa"/>
            <w:shd w:val="clear" w:color="auto" w:fill="auto"/>
            <w:vAlign w:val="center"/>
          </w:tcPr>
          <w:p w14:paraId="2C652864">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1.43</w:t>
            </w:r>
          </w:p>
        </w:tc>
        <w:tc>
          <w:tcPr>
            <w:tcW w:w="1305" w:type="dxa"/>
            <w:vMerge w:val="continue"/>
          </w:tcPr>
          <w:p w14:paraId="5E2C5C81">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56011E6F">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04319675">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tcPr>
          <w:p w14:paraId="502CABE8">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tcPr>
          <w:p w14:paraId="4A5E9F0C">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4506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3A538A27">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义盛横河（东段）</w:t>
            </w:r>
          </w:p>
        </w:tc>
        <w:tc>
          <w:tcPr>
            <w:tcW w:w="1060" w:type="dxa"/>
            <w:shd w:val="clear" w:color="auto" w:fill="auto"/>
            <w:vAlign w:val="center"/>
          </w:tcPr>
          <w:p w14:paraId="536DBFEE">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1.28</w:t>
            </w:r>
          </w:p>
        </w:tc>
        <w:tc>
          <w:tcPr>
            <w:tcW w:w="1305" w:type="dxa"/>
            <w:vMerge w:val="continue"/>
          </w:tcPr>
          <w:p w14:paraId="08CF485E">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18F96E7B">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2974FBC5">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tcPr>
          <w:p w14:paraId="6B0BB8C7">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tcPr>
          <w:p w14:paraId="337B2A93">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265A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77C15D9D">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横岔路直河</w:t>
            </w:r>
          </w:p>
        </w:tc>
        <w:tc>
          <w:tcPr>
            <w:tcW w:w="1060" w:type="dxa"/>
            <w:shd w:val="clear" w:color="auto" w:fill="auto"/>
            <w:vAlign w:val="center"/>
          </w:tcPr>
          <w:p w14:paraId="3ADCB29B">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1.5</w:t>
            </w:r>
          </w:p>
        </w:tc>
        <w:tc>
          <w:tcPr>
            <w:tcW w:w="1305" w:type="dxa"/>
            <w:vMerge w:val="restart"/>
            <w:shd w:val="clear" w:color="auto" w:fill="auto"/>
            <w:vAlign w:val="center"/>
          </w:tcPr>
          <w:p w14:paraId="2D6B20DF">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20016</w:t>
            </w:r>
          </w:p>
        </w:tc>
        <w:tc>
          <w:tcPr>
            <w:tcW w:w="1215" w:type="dxa"/>
            <w:vMerge w:val="restart"/>
            <w:shd w:val="clear" w:color="auto" w:fill="auto"/>
            <w:vAlign w:val="center"/>
          </w:tcPr>
          <w:p w14:paraId="751662E3">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0</w:t>
            </w:r>
          </w:p>
        </w:tc>
        <w:tc>
          <w:tcPr>
            <w:tcW w:w="1215" w:type="dxa"/>
            <w:vMerge w:val="restart"/>
            <w:shd w:val="clear" w:color="auto" w:fill="auto"/>
            <w:vAlign w:val="center"/>
          </w:tcPr>
          <w:p w14:paraId="28481119">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6</w:t>
            </w:r>
          </w:p>
        </w:tc>
        <w:tc>
          <w:tcPr>
            <w:tcW w:w="1260" w:type="dxa"/>
            <w:vMerge w:val="restart"/>
            <w:shd w:val="clear" w:color="auto" w:fill="auto"/>
            <w:vAlign w:val="center"/>
          </w:tcPr>
          <w:p w14:paraId="71C2F03D">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15</w:t>
            </w:r>
          </w:p>
        </w:tc>
        <w:tc>
          <w:tcPr>
            <w:tcW w:w="900" w:type="dxa"/>
            <w:vMerge w:val="continue"/>
            <w:shd w:val="clear" w:color="auto" w:fill="auto"/>
            <w:vAlign w:val="center"/>
          </w:tcPr>
          <w:p w14:paraId="51E2FE43">
            <w:pPr>
              <w:keepNext w:val="0"/>
              <w:keepLines w:val="0"/>
              <w:pageBreakBefore w:val="0"/>
              <w:numPr>
                <w:ilvl w:val="0"/>
                <w:numId w:val="0"/>
              </w:numPr>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p>
        </w:tc>
      </w:tr>
      <w:tr w14:paraId="4578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7539E985">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长蓬横河</w:t>
            </w:r>
          </w:p>
        </w:tc>
        <w:tc>
          <w:tcPr>
            <w:tcW w:w="1060" w:type="dxa"/>
            <w:shd w:val="clear" w:color="auto" w:fill="auto"/>
            <w:vAlign w:val="center"/>
          </w:tcPr>
          <w:p w14:paraId="743BF5BC">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1.2</w:t>
            </w:r>
          </w:p>
        </w:tc>
        <w:tc>
          <w:tcPr>
            <w:tcW w:w="1305" w:type="dxa"/>
            <w:vMerge w:val="continue"/>
          </w:tcPr>
          <w:p w14:paraId="65F9BE69">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4FBD8DC0">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4EC0DFB4">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tcPr>
          <w:p w14:paraId="65CE1393">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tcPr>
          <w:p w14:paraId="3C9C084E">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007A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02784132">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蓬园中心河</w:t>
            </w:r>
          </w:p>
        </w:tc>
        <w:tc>
          <w:tcPr>
            <w:tcW w:w="1060" w:type="dxa"/>
            <w:shd w:val="clear" w:color="auto" w:fill="auto"/>
            <w:vAlign w:val="center"/>
          </w:tcPr>
          <w:p w14:paraId="43C8F75F">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0.6</w:t>
            </w:r>
          </w:p>
        </w:tc>
        <w:tc>
          <w:tcPr>
            <w:tcW w:w="1305" w:type="dxa"/>
            <w:vMerge w:val="continue"/>
          </w:tcPr>
          <w:p w14:paraId="6CA5C95B">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29DB44A6">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25E686ED">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tcPr>
          <w:p w14:paraId="69B61C59">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tcPr>
          <w:p w14:paraId="321E6F58">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30C6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35159720">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义盛横河（西段）</w:t>
            </w:r>
          </w:p>
        </w:tc>
        <w:tc>
          <w:tcPr>
            <w:tcW w:w="1060" w:type="dxa"/>
            <w:shd w:val="clear" w:color="auto" w:fill="auto"/>
            <w:vAlign w:val="center"/>
          </w:tcPr>
          <w:p w14:paraId="3F405574">
            <w:pPr>
              <w:keepNext w:val="0"/>
              <w:keepLines w:val="0"/>
              <w:pageBreakBefore w:val="0"/>
              <w:numPr>
                <w:ilvl w:val="0"/>
                <w:numId w:val="0"/>
              </w:numPr>
              <w:kinsoku/>
              <w:wordWrap/>
              <w:overflowPunct/>
              <w:topLinePunct w:val="0"/>
              <w:autoSpaceDE/>
              <w:autoSpaceDN/>
              <w:bidi w:val="0"/>
              <w:adjustRightInd w:val="0"/>
              <w:snapToGrid/>
              <w:spacing w:before="0"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1.1</w:t>
            </w:r>
          </w:p>
        </w:tc>
        <w:tc>
          <w:tcPr>
            <w:tcW w:w="1305" w:type="dxa"/>
            <w:vMerge w:val="continue"/>
          </w:tcPr>
          <w:p w14:paraId="70214075">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5C158C99">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79437662">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tcPr>
          <w:p w14:paraId="3389BE50">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tcPr>
          <w:p w14:paraId="60B3A0DD">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473E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04D9132C">
            <w:pPr>
              <w:keepNext w:val="0"/>
              <w:keepLines w:val="0"/>
              <w:pageBreakBefore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三七湾</w:t>
            </w:r>
          </w:p>
        </w:tc>
        <w:tc>
          <w:tcPr>
            <w:tcW w:w="1060" w:type="dxa"/>
            <w:shd w:val="clear" w:color="auto" w:fill="auto"/>
            <w:vAlign w:val="center"/>
          </w:tcPr>
          <w:p w14:paraId="69FAFAA2">
            <w:pPr>
              <w:keepNext w:val="0"/>
              <w:keepLines w:val="0"/>
              <w:pageBreakBefore w:val="0"/>
              <w:widowControl/>
              <w:suppressLineNumbers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2.5</w:t>
            </w:r>
          </w:p>
        </w:tc>
        <w:tc>
          <w:tcPr>
            <w:tcW w:w="1305" w:type="dxa"/>
          </w:tcPr>
          <w:p w14:paraId="15B5EDA0">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1667</w:t>
            </w:r>
          </w:p>
        </w:tc>
        <w:tc>
          <w:tcPr>
            <w:tcW w:w="1215" w:type="dxa"/>
          </w:tcPr>
          <w:p w14:paraId="6462378F">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15" w:type="dxa"/>
          </w:tcPr>
          <w:p w14:paraId="56CDC507">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60" w:type="dxa"/>
          </w:tcPr>
          <w:p w14:paraId="0504FE76">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restart"/>
            <w:vAlign w:val="center"/>
          </w:tcPr>
          <w:p w14:paraId="0F03D8E3">
            <w:pPr>
              <w:keepNext w:val="0"/>
              <w:keepLines w:val="0"/>
              <w:pageBreakBefore w:val="0"/>
              <w:widowControl w:val="0"/>
              <w:numPr>
                <w:ilvl w:val="0"/>
                <w:numId w:val="0"/>
              </w:numPr>
              <w:kinsoku/>
              <w:wordWrap/>
              <w:overflowPunct/>
              <w:topLinePunct w:val="0"/>
              <w:autoSpaceDE/>
              <w:autoSpaceDN/>
              <w:bidi w:val="0"/>
              <w:adjustRightInd w:val="0"/>
              <w:snapToGrid/>
              <w:spacing w:before="0" w:beforeLines="50" w:line="240" w:lineRule="auto"/>
              <w:jc w:val="both"/>
              <w:textAlignment w:val="auto"/>
              <w:rPr>
                <w:rFonts w:hint="eastAsia" w:ascii="仿宋" w:hAnsi="仿宋" w:eastAsia="仿宋" w:cs="仿宋"/>
                <w:b w:val="0"/>
                <w:bCs w:val="0"/>
                <w:sz w:val="24"/>
                <w:szCs w:val="24"/>
                <w:highlight w:val="yellow"/>
                <w:vertAlign w:val="baseline"/>
                <w:lang w:val="en-US" w:eastAsia="zh-CN"/>
              </w:rPr>
            </w:pPr>
          </w:p>
          <w:p w14:paraId="0562ECA8">
            <w:pPr>
              <w:keepNext w:val="0"/>
              <w:keepLines w:val="0"/>
              <w:pageBreakBefore w:val="0"/>
              <w:widowControl w:val="0"/>
              <w:numPr>
                <w:ilvl w:val="0"/>
                <w:numId w:val="0"/>
              </w:numPr>
              <w:kinsoku/>
              <w:wordWrap/>
              <w:overflowPunct/>
              <w:topLinePunct w:val="0"/>
              <w:autoSpaceDE/>
              <w:autoSpaceDN/>
              <w:bidi w:val="0"/>
              <w:adjustRightInd w:val="0"/>
              <w:snapToGrid/>
              <w:spacing w:before="0" w:beforeLines="5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highlight w:val="none"/>
                <w:vertAlign w:val="baseline"/>
                <w:lang w:val="en-US" w:eastAsia="zh-CN"/>
              </w:rPr>
              <w:t>设施设备</w:t>
            </w:r>
            <w:r>
              <w:rPr>
                <w:rFonts w:hint="eastAsia" w:ascii="仿宋" w:hAnsi="仿宋" w:cs="仿宋"/>
                <w:b w:val="0"/>
                <w:bCs w:val="0"/>
                <w:sz w:val="24"/>
                <w:szCs w:val="24"/>
                <w:highlight w:val="none"/>
                <w:vertAlign w:val="baseline"/>
                <w:lang w:val="en-US" w:eastAsia="zh-CN"/>
              </w:rPr>
              <w:t>需中标人</w:t>
            </w:r>
            <w:r>
              <w:rPr>
                <w:rFonts w:hint="eastAsia" w:ascii="仿宋" w:hAnsi="仿宋" w:eastAsia="仿宋" w:cs="仿宋"/>
                <w:b w:val="0"/>
                <w:bCs w:val="0"/>
                <w:sz w:val="24"/>
                <w:szCs w:val="24"/>
                <w:highlight w:val="none"/>
                <w:vertAlign w:val="baseline"/>
                <w:lang w:val="en-US" w:eastAsia="zh-CN"/>
              </w:rPr>
              <w:t>投入</w:t>
            </w:r>
          </w:p>
        </w:tc>
      </w:tr>
      <w:tr w14:paraId="7961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1B55B7BE">
            <w:pPr>
              <w:keepNext w:val="0"/>
              <w:keepLines w:val="0"/>
              <w:pageBreakBefore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七工段直河</w:t>
            </w:r>
          </w:p>
        </w:tc>
        <w:tc>
          <w:tcPr>
            <w:tcW w:w="1060" w:type="dxa"/>
            <w:vAlign w:val="center"/>
          </w:tcPr>
          <w:p w14:paraId="3DF53934">
            <w:pPr>
              <w:keepNext w:val="0"/>
              <w:keepLines w:val="0"/>
              <w:pageBreakBefore w:val="0"/>
              <w:widowControl/>
              <w:suppressLineNumbers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3.7</w:t>
            </w:r>
          </w:p>
        </w:tc>
        <w:tc>
          <w:tcPr>
            <w:tcW w:w="1305" w:type="dxa"/>
          </w:tcPr>
          <w:p w14:paraId="4B378C01">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5300</w:t>
            </w:r>
          </w:p>
        </w:tc>
        <w:tc>
          <w:tcPr>
            <w:tcW w:w="1215" w:type="dxa"/>
          </w:tcPr>
          <w:p w14:paraId="27FCCD4A">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15" w:type="dxa"/>
          </w:tcPr>
          <w:p w14:paraId="6073D81A">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1260" w:type="dxa"/>
          </w:tcPr>
          <w:p w14:paraId="16AD0F6D">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continue"/>
          </w:tcPr>
          <w:p w14:paraId="469CA8E0">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7BB2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0368EB87">
            <w:pPr>
              <w:keepNext w:val="0"/>
              <w:keepLines w:val="0"/>
              <w:pageBreakBefore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牛角湾</w:t>
            </w:r>
          </w:p>
        </w:tc>
        <w:tc>
          <w:tcPr>
            <w:tcW w:w="1060" w:type="dxa"/>
            <w:vAlign w:val="center"/>
          </w:tcPr>
          <w:p w14:paraId="65BADFE2">
            <w:pPr>
              <w:keepNext w:val="0"/>
              <w:keepLines w:val="0"/>
              <w:pageBreakBefore w:val="0"/>
              <w:widowControl/>
              <w:suppressLineNumbers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1.91</w:t>
            </w:r>
          </w:p>
        </w:tc>
        <w:tc>
          <w:tcPr>
            <w:tcW w:w="1305" w:type="dxa"/>
          </w:tcPr>
          <w:p w14:paraId="2D6C2374">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2000</w:t>
            </w:r>
          </w:p>
        </w:tc>
        <w:tc>
          <w:tcPr>
            <w:tcW w:w="1215" w:type="dxa"/>
          </w:tcPr>
          <w:p w14:paraId="27FB4D22">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15" w:type="dxa"/>
          </w:tcPr>
          <w:p w14:paraId="532B3BB9">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60" w:type="dxa"/>
          </w:tcPr>
          <w:p w14:paraId="0885B5D6">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continue"/>
          </w:tcPr>
          <w:p w14:paraId="355876DF">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4E16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09FE1F07">
            <w:pPr>
              <w:keepNext w:val="0"/>
              <w:keepLines w:val="0"/>
              <w:pageBreakBefore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六一直河</w:t>
            </w:r>
          </w:p>
        </w:tc>
        <w:tc>
          <w:tcPr>
            <w:tcW w:w="1060" w:type="dxa"/>
            <w:vAlign w:val="center"/>
          </w:tcPr>
          <w:p w14:paraId="3E39237A">
            <w:pPr>
              <w:keepNext w:val="0"/>
              <w:keepLines w:val="0"/>
              <w:pageBreakBefore w:val="0"/>
              <w:widowControl/>
              <w:suppressLineNumbers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1.65</w:t>
            </w:r>
          </w:p>
        </w:tc>
        <w:tc>
          <w:tcPr>
            <w:tcW w:w="1305" w:type="dxa"/>
          </w:tcPr>
          <w:p w14:paraId="04854930">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2250</w:t>
            </w:r>
          </w:p>
        </w:tc>
        <w:tc>
          <w:tcPr>
            <w:tcW w:w="1215" w:type="dxa"/>
          </w:tcPr>
          <w:p w14:paraId="1BFE1D5F">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15" w:type="dxa"/>
          </w:tcPr>
          <w:p w14:paraId="33147868">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260" w:type="dxa"/>
          </w:tcPr>
          <w:p w14:paraId="4382822B">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continue"/>
          </w:tcPr>
          <w:p w14:paraId="3FF3EE44">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7204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3FD72673">
            <w:pPr>
              <w:keepNext w:val="0"/>
              <w:keepLines w:val="0"/>
              <w:pageBreakBefore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义盛五垦中心河</w:t>
            </w:r>
          </w:p>
        </w:tc>
        <w:tc>
          <w:tcPr>
            <w:tcW w:w="1060" w:type="dxa"/>
            <w:vAlign w:val="center"/>
          </w:tcPr>
          <w:p w14:paraId="0A639456">
            <w:pPr>
              <w:keepNext w:val="0"/>
              <w:keepLines w:val="0"/>
              <w:pageBreakBefore w:val="0"/>
              <w:widowControl/>
              <w:suppressLineNumbers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1.25</w:t>
            </w:r>
          </w:p>
        </w:tc>
        <w:tc>
          <w:tcPr>
            <w:tcW w:w="1305" w:type="dxa"/>
          </w:tcPr>
          <w:p w14:paraId="34449C7C">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2800</w:t>
            </w:r>
          </w:p>
        </w:tc>
        <w:tc>
          <w:tcPr>
            <w:tcW w:w="1215" w:type="dxa"/>
          </w:tcPr>
          <w:p w14:paraId="3EA04373">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15" w:type="dxa"/>
          </w:tcPr>
          <w:p w14:paraId="1F884A49">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60" w:type="dxa"/>
          </w:tcPr>
          <w:p w14:paraId="0DCE73A8">
            <w:pPr>
              <w:keepNext w:val="0"/>
              <w:keepLines w:val="0"/>
              <w:pageBreakBefore w:val="0"/>
              <w:numPr>
                <w:ilvl w:val="0"/>
                <w:numId w:val="0"/>
              </w:numPr>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continue"/>
          </w:tcPr>
          <w:p w14:paraId="25F86DC7">
            <w:pPr>
              <w:keepNext w:val="0"/>
              <w:keepLines w:val="0"/>
              <w:pageBreakBefore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14:paraId="1AA5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7" w:type="dxa"/>
            <w:shd w:val="clear" w:color="auto" w:fill="auto"/>
            <w:vAlign w:val="center"/>
          </w:tcPr>
          <w:p w14:paraId="0E15F755">
            <w:pPr>
              <w:keepNext w:val="0"/>
              <w:keepLines w:val="0"/>
              <w:pageBreakBefore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头蓬垦种横河</w:t>
            </w:r>
          </w:p>
        </w:tc>
        <w:tc>
          <w:tcPr>
            <w:tcW w:w="1060" w:type="dxa"/>
            <w:vAlign w:val="center"/>
          </w:tcPr>
          <w:p w14:paraId="0C2141FF">
            <w:pPr>
              <w:keepNext w:val="0"/>
              <w:keepLines w:val="0"/>
              <w:pageBreakBefore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1305" w:type="dxa"/>
          </w:tcPr>
          <w:p w14:paraId="720DA071">
            <w:pPr>
              <w:keepNext w:val="0"/>
              <w:keepLines w:val="0"/>
              <w:pageBreakBefore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916</w:t>
            </w:r>
          </w:p>
        </w:tc>
        <w:tc>
          <w:tcPr>
            <w:tcW w:w="1215" w:type="dxa"/>
          </w:tcPr>
          <w:p w14:paraId="793A0DD4">
            <w:pPr>
              <w:keepNext w:val="0"/>
              <w:keepLines w:val="0"/>
              <w:pageBreakBefore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15" w:type="dxa"/>
          </w:tcPr>
          <w:p w14:paraId="7716A425">
            <w:pPr>
              <w:keepNext w:val="0"/>
              <w:keepLines w:val="0"/>
              <w:pageBreakBefore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60" w:type="dxa"/>
          </w:tcPr>
          <w:p w14:paraId="132F0615">
            <w:pPr>
              <w:keepNext w:val="0"/>
              <w:keepLines w:val="0"/>
              <w:pageBreakBefore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continue"/>
          </w:tcPr>
          <w:p w14:paraId="6BA417BA">
            <w:pPr>
              <w:keepNext w:val="0"/>
              <w:keepLines w:val="0"/>
              <w:pageBreakBefore w:val="0"/>
              <w:numPr>
                <w:ilvl w:val="0"/>
                <w:numId w:val="0"/>
              </w:numPr>
              <w:kinsoku/>
              <w:wordWrap/>
              <w:overflowPunct/>
              <w:topLinePunct w:val="0"/>
              <w:autoSpaceDE/>
              <w:autoSpaceDN/>
              <w:bidi w:val="0"/>
              <w:adjustRightInd w:val="0"/>
              <w:snapToGrid/>
              <w:spacing w:before="0" w:beforeLines="50" w:line="240" w:lineRule="auto"/>
              <w:jc w:val="center"/>
              <w:textAlignment w:val="auto"/>
              <w:rPr>
                <w:rFonts w:hint="eastAsia" w:ascii="仿宋" w:hAnsi="仿宋" w:eastAsia="仿宋" w:cs="仿宋"/>
                <w:b w:val="0"/>
                <w:bCs w:val="0"/>
                <w:sz w:val="24"/>
                <w:szCs w:val="24"/>
                <w:vertAlign w:val="baseline"/>
                <w:lang w:val="en-US" w:eastAsia="zh-CN"/>
              </w:rPr>
            </w:pPr>
          </w:p>
        </w:tc>
      </w:tr>
    </w:tbl>
    <w:p w14:paraId="5E12390C">
      <w:pPr>
        <w:pStyle w:val="4"/>
        <w:spacing w:before="0" w:after="0" w:line="240" w:lineRule="auto"/>
        <w:ind w:left="0" w:leftChars="0" w:firstLine="0" w:firstLineChars="0"/>
        <w:rPr>
          <w:rFonts w:hint="eastAsia" w:ascii="仿宋" w:hAnsi="仿宋" w:eastAsia="仿宋" w:cs="仿宋"/>
          <w:b/>
          <w:bCs/>
          <w:sz w:val="24"/>
          <w:szCs w:val="24"/>
          <w:highlight w:val="none"/>
          <w:lang w:val="en-US" w:eastAsia="zh-CN"/>
        </w:rPr>
      </w:pPr>
    </w:p>
    <w:tbl>
      <w:tblPr>
        <w:tblStyle w:val="64"/>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081"/>
        <w:gridCol w:w="1305"/>
        <w:gridCol w:w="1215"/>
        <w:gridCol w:w="1215"/>
        <w:gridCol w:w="1260"/>
        <w:gridCol w:w="900"/>
      </w:tblGrid>
      <w:tr w14:paraId="71FD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212" w:type="dxa"/>
            <w:gridSpan w:val="7"/>
            <w:noWrap w:val="0"/>
            <w:vAlign w:val="center"/>
          </w:tcPr>
          <w:p w14:paraId="74F8BFE7">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义蓬街道河道水环境运维服务（标项</w:t>
            </w:r>
            <w:r>
              <w:rPr>
                <w:rFonts w:hint="eastAsia" w:ascii="仿宋" w:hAnsi="仿宋" w:cs="仿宋"/>
                <w:b w:val="0"/>
                <w:bCs w:val="0"/>
                <w:sz w:val="24"/>
                <w:szCs w:val="24"/>
                <w:vertAlign w:val="baseline"/>
                <w:lang w:val="en-US" w:eastAsia="zh-CN"/>
              </w:rPr>
              <w:t>二</w:t>
            </w:r>
            <w:r>
              <w:rPr>
                <w:rFonts w:hint="eastAsia" w:ascii="仿宋" w:hAnsi="仿宋" w:eastAsia="仿宋" w:cs="仿宋"/>
                <w:b w:val="0"/>
                <w:bCs w:val="0"/>
                <w:sz w:val="24"/>
                <w:szCs w:val="24"/>
                <w:vertAlign w:val="baseline"/>
                <w:lang w:val="en-US" w:eastAsia="zh-CN"/>
              </w:rPr>
              <w:t>）</w:t>
            </w:r>
          </w:p>
        </w:tc>
      </w:tr>
      <w:tr w14:paraId="7945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36" w:type="dxa"/>
            <w:vMerge w:val="restart"/>
            <w:noWrap w:val="0"/>
            <w:vAlign w:val="center"/>
          </w:tcPr>
          <w:p w14:paraId="66990ED0">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河道名称</w:t>
            </w:r>
          </w:p>
        </w:tc>
        <w:tc>
          <w:tcPr>
            <w:tcW w:w="1081" w:type="dxa"/>
            <w:vMerge w:val="restart"/>
            <w:noWrap w:val="0"/>
            <w:vAlign w:val="center"/>
          </w:tcPr>
          <w:p w14:paraId="74CA9AFC">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河道长度（KM）</w:t>
            </w:r>
          </w:p>
        </w:tc>
        <w:tc>
          <w:tcPr>
            <w:tcW w:w="1305" w:type="dxa"/>
            <w:vMerge w:val="restart"/>
            <w:noWrap w:val="0"/>
            <w:vAlign w:val="center"/>
          </w:tcPr>
          <w:p w14:paraId="1C72C18E">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水生植物面积（㎡）</w:t>
            </w:r>
          </w:p>
        </w:tc>
        <w:tc>
          <w:tcPr>
            <w:tcW w:w="3690" w:type="dxa"/>
            <w:gridSpan w:val="3"/>
            <w:noWrap w:val="0"/>
            <w:vAlign w:val="center"/>
          </w:tcPr>
          <w:p w14:paraId="707206D8">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设备数量</w:t>
            </w:r>
          </w:p>
        </w:tc>
        <w:tc>
          <w:tcPr>
            <w:tcW w:w="900" w:type="dxa"/>
            <w:vMerge w:val="restart"/>
            <w:noWrap w:val="0"/>
            <w:vAlign w:val="center"/>
          </w:tcPr>
          <w:p w14:paraId="31B3E4D9">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r>
      <w:tr w14:paraId="495F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36" w:type="dxa"/>
            <w:vMerge w:val="continue"/>
            <w:noWrap w:val="0"/>
            <w:vAlign w:val="center"/>
          </w:tcPr>
          <w:p w14:paraId="6CD911F2">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081" w:type="dxa"/>
            <w:vMerge w:val="continue"/>
            <w:noWrap w:val="0"/>
            <w:vAlign w:val="center"/>
          </w:tcPr>
          <w:p w14:paraId="561A407A">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305" w:type="dxa"/>
            <w:vMerge w:val="continue"/>
            <w:noWrap w:val="0"/>
            <w:vAlign w:val="center"/>
          </w:tcPr>
          <w:p w14:paraId="502D0BA2">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noWrap w:val="0"/>
            <w:vAlign w:val="center"/>
          </w:tcPr>
          <w:p w14:paraId="6F5943CA">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推流</w:t>
            </w:r>
          </w:p>
        </w:tc>
        <w:tc>
          <w:tcPr>
            <w:tcW w:w="1215" w:type="dxa"/>
            <w:noWrap w:val="0"/>
            <w:vAlign w:val="center"/>
          </w:tcPr>
          <w:p w14:paraId="41DC7436">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曝气</w:t>
            </w:r>
          </w:p>
        </w:tc>
        <w:tc>
          <w:tcPr>
            <w:tcW w:w="1260" w:type="dxa"/>
            <w:noWrap w:val="0"/>
            <w:vAlign w:val="center"/>
          </w:tcPr>
          <w:p w14:paraId="05BEB862">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扬水</w:t>
            </w:r>
          </w:p>
        </w:tc>
        <w:tc>
          <w:tcPr>
            <w:tcW w:w="900" w:type="dxa"/>
            <w:vMerge w:val="continue"/>
            <w:noWrap w:val="0"/>
            <w:vAlign w:val="center"/>
          </w:tcPr>
          <w:p w14:paraId="68390B27">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27E3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noWrap w:val="0"/>
            <w:vAlign w:val="center"/>
          </w:tcPr>
          <w:p w14:paraId="723B5A53">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头蓬直河</w:t>
            </w:r>
          </w:p>
        </w:tc>
        <w:tc>
          <w:tcPr>
            <w:tcW w:w="1081" w:type="dxa"/>
            <w:noWrap w:val="0"/>
            <w:vAlign w:val="center"/>
          </w:tcPr>
          <w:p w14:paraId="7A7F67DC">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5.1</w:t>
            </w:r>
          </w:p>
        </w:tc>
        <w:tc>
          <w:tcPr>
            <w:tcW w:w="1305" w:type="dxa"/>
            <w:noWrap w:val="0"/>
            <w:vAlign w:val="center"/>
          </w:tcPr>
          <w:p w14:paraId="45D4BD7E">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36823</w:t>
            </w:r>
          </w:p>
        </w:tc>
        <w:tc>
          <w:tcPr>
            <w:tcW w:w="1215" w:type="dxa"/>
            <w:noWrap w:val="0"/>
            <w:vAlign w:val="center"/>
          </w:tcPr>
          <w:p w14:paraId="3A5C1191">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1215" w:type="dxa"/>
            <w:noWrap w:val="0"/>
            <w:vAlign w:val="center"/>
          </w:tcPr>
          <w:p w14:paraId="7BE3549A">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w:t>
            </w:r>
          </w:p>
        </w:tc>
        <w:tc>
          <w:tcPr>
            <w:tcW w:w="1260" w:type="dxa"/>
            <w:noWrap w:val="0"/>
            <w:vAlign w:val="center"/>
          </w:tcPr>
          <w:p w14:paraId="04EEDD61">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restart"/>
            <w:noWrap w:val="0"/>
            <w:vAlign w:val="center"/>
          </w:tcPr>
          <w:p w14:paraId="02DD8834">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4EC6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noWrap w:val="0"/>
            <w:vAlign w:val="center"/>
          </w:tcPr>
          <w:p w14:paraId="7C689E0B">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冯娄横河</w:t>
            </w:r>
          </w:p>
        </w:tc>
        <w:tc>
          <w:tcPr>
            <w:tcW w:w="1081" w:type="dxa"/>
            <w:noWrap w:val="0"/>
            <w:vAlign w:val="center"/>
          </w:tcPr>
          <w:p w14:paraId="5F0187F0">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1.63</w:t>
            </w:r>
          </w:p>
        </w:tc>
        <w:tc>
          <w:tcPr>
            <w:tcW w:w="1305" w:type="dxa"/>
            <w:vMerge w:val="restart"/>
            <w:noWrap w:val="0"/>
            <w:vAlign w:val="center"/>
          </w:tcPr>
          <w:p w14:paraId="05DB6FCC">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27002</w:t>
            </w:r>
          </w:p>
        </w:tc>
        <w:tc>
          <w:tcPr>
            <w:tcW w:w="1215" w:type="dxa"/>
            <w:vMerge w:val="restart"/>
            <w:noWrap w:val="0"/>
            <w:vAlign w:val="center"/>
          </w:tcPr>
          <w:p w14:paraId="5A2EEA52">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215" w:type="dxa"/>
            <w:vMerge w:val="restart"/>
            <w:noWrap w:val="0"/>
            <w:vAlign w:val="center"/>
          </w:tcPr>
          <w:p w14:paraId="46A4C121">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60" w:type="dxa"/>
            <w:vMerge w:val="restart"/>
            <w:noWrap w:val="0"/>
            <w:vAlign w:val="center"/>
          </w:tcPr>
          <w:p w14:paraId="00250954">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w:t>
            </w:r>
          </w:p>
        </w:tc>
        <w:tc>
          <w:tcPr>
            <w:tcW w:w="900" w:type="dxa"/>
            <w:vMerge w:val="continue"/>
            <w:noWrap w:val="0"/>
            <w:vAlign w:val="center"/>
          </w:tcPr>
          <w:p w14:paraId="0D2BF7AF">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27BC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noWrap w:val="0"/>
            <w:vAlign w:val="center"/>
          </w:tcPr>
          <w:p w14:paraId="621D4D54">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灯塔横河</w:t>
            </w:r>
          </w:p>
        </w:tc>
        <w:tc>
          <w:tcPr>
            <w:tcW w:w="1081" w:type="dxa"/>
            <w:noWrap w:val="0"/>
            <w:vAlign w:val="center"/>
          </w:tcPr>
          <w:p w14:paraId="6DC2A637">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2.03</w:t>
            </w:r>
          </w:p>
        </w:tc>
        <w:tc>
          <w:tcPr>
            <w:tcW w:w="1305" w:type="dxa"/>
            <w:vMerge w:val="continue"/>
            <w:noWrap w:val="0"/>
            <w:vAlign w:val="center"/>
          </w:tcPr>
          <w:p w14:paraId="0AF165A2">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0C728729">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54EEF57A">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noWrap w:val="0"/>
            <w:vAlign w:val="center"/>
          </w:tcPr>
          <w:p w14:paraId="0C8B13D8">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noWrap w:val="0"/>
            <w:vAlign w:val="center"/>
          </w:tcPr>
          <w:p w14:paraId="2FA12B10">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0D8A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noWrap w:val="0"/>
            <w:vAlign w:val="center"/>
          </w:tcPr>
          <w:p w14:paraId="7658C0AC">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仓北横河</w:t>
            </w:r>
          </w:p>
        </w:tc>
        <w:tc>
          <w:tcPr>
            <w:tcW w:w="1081" w:type="dxa"/>
            <w:noWrap w:val="0"/>
            <w:vAlign w:val="center"/>
          </w:tcPr>
          <w:p w14:paraId="2909A037">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0.5</w:t>
            </w:r>
          </w:p>
        </w:tc>
        <w:tc>
          <w:tcPr>
            <w:tcW w:w="1305" w:type="dxa"/>
            <w:vMerge w:val="continue"/>
            <w:noWrap w:val="0"/>
            <w:vAlign w:val="center"/>
          </w:tcPr>
          <w:p w14:paraId="3011E6C1">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3D7D7AF1">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71B9E93F">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noWrap w:val="0"/>
            <w:vAlign w:val="center"/>
          </w:tcPr>
          <w:p w14:paraId="0A66C36C">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noWrap w:val="0"/>
            <w:vAlign w:val="center"/>
          </w:tcPr>
          <w:p w14:paraId="46938F6A">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380A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noWrap w:val="0"/>
            <w:vAlign w:val="center"/>
          </w:tcPr>
          <w:p w14:paraId="5B3DF5DF">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仓北直河</w:t>
            </w:r>
          </w:p>
        </w:tc>
        <w:tc>
          <w:tcPr>
            <w:tcW w:w="1081" w:type="dxa"/>
            <w:noWrap w:val="0"/>
            <w:vAlign w:val="center"/>
          </w:tcPr>
          <w:p w14:paraId="3D30E404">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0.8</w:t>
            </w:r>
          </w:p>
        </w:tc>
        <w:tc>
          <w:tcPr>
            <w:tcW w:w="1305" w:type="dxa"/>
            <w:vMerge w:val="continue"/>
            <w:noWrap w:val="0"/>
            <w:vAlign w:val="center"/>
          </w:tcPr>
          <w:p w14:paraId="63E1C769">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546A7946">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noWrap w:val="0"/>
            <w:vAlign w:val="center"/>
          </w:tcPr>
          <w:p w14:paraId="2DFE020A">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noWrap w:val="0"/>
            <w:vAlign w:val="center"/>
          </w:tcPr>
          <w:p w14:paraId="7FCDADFE">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noWrap w:val="0"/>
            <w:vAlign w:val="center"/>
          </w:tcPr>
          <w:p w14:paraId="1D035DD3">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2313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shd w:val="clear" w:color="auto" w:fill="auto"/>
            <w:noWrap w:val="0"/>
            <w:vAlign w:val="center"/>
          </w:tcPr>
          <w:p w14:paraId="750A3DE3">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生产湾</w:t>
            </w:r>
          </w:p>
        </w:tc>
        <w:tc>
          <w:tcPr>
            <w:tcW w:w="1081" w:type="dxa"/>
            <w:shd w:val="clear" w:color="auto" w:fill="auto"/>
            <w:noWrap w:val="0"/>
            <w:vAlign w:val="center"/>
          </w:tcPr>
          <w:p w14:paraId="786394F8">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2.11</w:t>
            </w:r>
          </w:p>
        </w:tc>
        <w:tc>
          <w:tcPr>
            <w:tcW w:w="1305" w:type="dxa"/>
            <w:vMerge w:val="restart"/>
            <w:shd w:val="clear" w:color="auto" w:fill="auto"/>
            <w:noWrap w:val="0"/>
            <w:vAlign w:val="center"/>
          </w:tcPr>
          <w:p w14:paraId="7A30C5C9">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29211</w:t>
            </w:r>
          </w:p>
        </w:tc>
        <w:tc>
          <w:tcPr>
            <w:tcW w:w="1215" w:type="dxa"/>
            <w:vMerge w:val="restart"/>
            <w:shd w:val="clear" w:color="auto" w:fill="auto"/>
            <w:noWrap w:val="0"/>
            <w:vAlign w:val="center"/>
          </w:tcPr>
          <w:p w14:paraId="4B1E484F">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1215" w:type="dxa"/>
            <w:vMerge w:val="restart"/>
            <w:shd w:val="clear" w:color="auto" w:fill="auto"/>
            <w:noWrap w:val="0"/>
            <w:vAlign w:val="center"/>
          </w:tcPr>
          <w:p w14:paraId="4C7FD448">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1260" w:type="dxa"/>
            <w:vMerge w:val="restart"/>
            <w:shd w:val="clear" w:color="auto" w:fill="auto"/>
            <w:noWrap w:val="0"/>
            <w:vAlign w:val="center"/>
          </w:tcPr>
          <w:p w14:paraId="76DB4769">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restart"/>
            <w:shd w:val="clear" w:color="auto" w:fill="auto"/>
            <w:noWrap w:val="0"/>
            <w:vAlign w:val="center"/>
          </w:tcPr>
          <w:p w14:paraId="1AA23776">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3827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shd w:val="clear" w:color="auto" w:fill="auto"/>
            <w:vAlign w:val="center"/>
          </w:tcPr>
          <w:p w14:paraId="6D931958">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清水湾</w:t>
            </w:r>
          </w:p>
        </w:tc>
        <w:tc>
          <w:tcPr>
            <w:tcW w:w="1081" w:type="dxa"/>
            <w:shd w:val="clear" w:color="auto" w:fill="auto"/>
            <w:vAlign w:val="center"/>
          </w:tcPr>
          <w:p w14:paraId="1022A4CD">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0.5</w:t>
            </w:r>
          </w:p>
        </w:tc>
        <w:tc>
          <w:tcPr>
            <w:tcW w:w="1305" w:type="dxa"/>
            <w:vMerge w:val="continue"/>
          </w:tcPr>
          <w:p w14:paraId="283D90B3">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5EF8F6CB">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1B9CD225">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tcPr>
          <w:p w14:paraId="2E16C0F9">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tcPr>
          <w:p w14:paraId="40CA9CBE">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6255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shd w:val="clear" w:color="auto" w:fill="auto"/>
            <w:vAlign w:val="center"/>
          </w:tcPr>
          <w:p w14:paraId="37009A43">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义盛中心河</w:t>
            </w:r>
          </w:p>
        </w:tc>
        <w:tc>
          <w:tcPr>
            <w:tcW w:w="1081" w:type="dxa"/>
            <w:shd w:val="clear" w:color="auto" w:fill="auto"/>
            <w:vAlign w:val="center"/>
          </w:tcPr>
          <w:p w14:paraId="54658C69">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w:t>
            </w:r>
          </w:p>
        </w:tc>
        <w:tc>
          <w:tcPr>
            <w:tcW w:w="1305" w:type="dxa"/>
            <w:vMerge w:val="continue"/>
          </w:tcPr>
          <w:p w14:paraId="65BAD4C9">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449B3FCD">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3499212D">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tcPr>
          <w:p w14:paraId="1310354E">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tcPr>
          <w:p w14:paraId="48FBA8A0">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2E85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shd w:val="clear" w:color="auto" w:fill="auto"/>
            <w:vAlign w:val="center"/>
          </w:tcPr>
          <w:p w14:paraId="4C3D1BE4">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王和顺横河</w:t>
            </w:r>
          </w:p>
        </w:tc>
        <w:tc>
          <w:tcPr>
            <w:tcW w:w="1081" w:type="dxa"/>
            <w:shd w:val="clear" w:color="auto" w:fill="auto"/>
            <w:vAlign w:val="center"/>
          </w:tcPr>
          <w:p w14:paraId="0F3BAC9B">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0.5</w:t>
            </w:r>
          </w:p>
        </w:tc>
        <w:tc>
          <w:tcPr>
            <w:tcW w:w="1305" w:type="dxa"/>
            <w:vMerge w:val="continue"/>
          </w:tcPr>
          <w:p w14:paraId="1A6431A8">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6FBC06AE">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1BBB3955">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tcPr>
          <w:p w14:paraId="7C5FD0ED">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tcPr>
          <w:p w14:paraId="660AD2B9">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0BA1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shd w:val="clear" w:color="auto" w:fill="auto"/>
            <w:vAlign w:val="center"/>
          </w:tcPr>
          <w:p w14:paraId="43670163">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红旗直河</w:t>
            </w:r>
          </w:p>
        </w:tc>
        <w:tc>
          <w:tcPr>
            <w:tcW w:w="1081" w:type="dxa"/>
            <w:shd w:val="clear" w:color="auto" w:fill="auto"/>
            <w:vAlign w:val="center"/>
          </w:tcPr>
          <w:p w14:paraId="71F34AEE">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1.69</w:t>
            </w:r>
          </w:p>
        </w:tc>
        <w:tc>
          <w:tcPr>
            <w:tcW w:w="1305" w:type="dxa"/>
            <w:vMerge w:val="restart"/>
            <w:shd w:val="clear" w:color="auto" w:fill="auto"/>
            <w:vAlign w:val="center"/>
          </w:tcPr>
          <w:p w14:paraId="72AAD079">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28640</w:t>
            </w:r>
          </w:p>
        </w:tc>
        <w:tc>
          <w:tcPr>
            <w:tcW w:w="1215" w:type="dxa"/>
            <w:vMerge w:val="restart"/>
            <w:shd w:val="clear" w:color="auto" w:fill="auto"/>
            <w:vAlign w:val="center"/>
          </w:tcPr>
          <w:p w14:paraId="78E76841">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1215" w:type="dxa"/>
            <w:vMerge w:val="restart"/>
            <w:shd w:val="clear" w:color="auto" w:fill="auto"/>
            <w:vAlign w:val="center"/>
          </w:tcPr>
          <w:p w14:paraId="31C6CA84">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1260" w:type="dxa"/>
            <w:vMerge w:val="restart"/>
            <w:shd w:val="clear" w:color="auto" w:fill="auto"/>
            <w:vAlign w:val="center"/>
          </w:tcPr>
          <w:p w14:paraId="62647AB6">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w:t>
            </w:r>
          </w:p>
        </w:tc>
        <w:tc>
          <w:tcPr>
            <w:tcW w:w="900" w:type="dxa"/>
            <w:vMerge w:val="continue"/>
            <w:shd w:val="clear" w:color="auto" w:fill="auto"/>
            <w:vAlign w:val="center"/>
          </w:tcPr>
          <w:p w14:paraId="53AA34F6">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64C9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shd w:val="clear" w:color="auto" w:fill="auto"/>
            <w:vAlign w:val="center"/>
          </w:tcPr>
          <w:p w14:paraId="61D10E5C">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义隆横河</w:t>
            </w:r>
          </w:p>
        </w:tc>
        <w:tc>
          <w:tcPr>
            <w:tcW w:w="1081" w:type="dxa"/>
            <w:shd w:val="clear" w:color="auto" w:fill="auto"/>
            <w:vAlign w:val="center"/>
          </w:tcPr>
          <w:p w14:paraId="25168FCE">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3.1</w:t>
            </w:r>
          </w:p>
        </w:tc>
        <w:tc>
          <w:tcPr>
            <w:tcW w:w="1305" w:type="dxa"/>
            <w:vMerge w:val="continue"/>
          </w:tcPr>
          <w:p w14:paraId="09D667B1">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604B5533">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0C859253">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tcPr>
          <w:p w14:paraId="40DD0211">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tcPr>
          <w:p w14:paraId="18FE62EF">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729A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shd w:val="clear" w:color="auto" w:fill="auto"/>
            <w:vAlign w:val="center"/>
          </w:tcPr>
          <w:p w14:paraId="0EE57644">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黄公娄直河</w:t>
            </w:r>
          </w:p>
        </w:tc>
        <w:tc>
          <w:tcPr>
            <w:tcW w:w="1081" w:type="dxa"/>
            <w:shd w:val="clear" w:color="auto" w:fill="auto"/>
            <w:vAlign w:val="center"/>
          </w:tcPr>
          <w:p w14:paraId="1270F06D">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0.6</w:t>
            </w:r>
          </w:p>
        </w:tc>
        <w:tc>
          <w:tcPr>
            <w:tcW w:w="1305" w:type="dxa"/>
            <w:vMerge w:val="continue"/>
          </w:tcPr>
          <w:p w14:paraId="1CA1B592">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0C4848EB">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15" w:type="dxa"/>
            <w:vMerge w:val="continue"/>
          </w:tcPr>
          <w:p w14:paraId="56C5EA4D">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1260" w:type="dxa"/>
            <w:vMerge w:val="continue"/>
          </w:tcPr>
          <w:p w14:paraId="020C9DFE">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c>
          <w:tcPr>
            <w:tcW w:w="900" w:type="dxa"/>
            <w:vMerge w:val="continue"/>
          </w:tcPr>
          <w:p w14:paraId="2BB231B6">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6197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shd w:val="clear" w:color="auto" w:fill="auto"/>
            <w:vAlign w:val="center"/>
          </w:tcPr>
          <w:p w14:paraId="71CCC3D1">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三工段横河</w:t>
            </w:r>
          </w:p>
        </w:tc>
        <w:tc>
          <w:tcPr>
            <w:tcW w:w="1081" w:type="dxa"/>
            <w:shd w:val="clear" w:color="auto" w:fill="auto"/>
            <w:vAlign w:val="center"/>
          </w:tcPr>
          <w:p w14:paraId="44A00D1D">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w:t>
            </w:r>
          </w:p>
        </w:tc>
        <w:tc>
          <w:tcPr>
            <w:tcW w:w="1305" w:type="dxa"/>
          </w:tcPr>
          <w:p w14:paraId="55CB8C3D">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w:t>
            </w:r>
          </w:p>
        </w:tc>
        <w:tc>
          <w:tcPr>
            <w:tcW w:w="1215" w:type="dxa"/>
          </w:tcPr>
          <w:p w14:paraId="4B23DEBD">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15" w:type="dxa"/>
          </w:tcPr>
          <w:p w14:paraId="16E1BDE6">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260" w:type="dxa"/>
          </w:tcPr>
          <w:p w14:paraId="05800FE1">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restart"/>
            <w:vAlign w:val="center"/>
          </w:tcPr>
          <w:p w14:paraId="4D483090">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highlight w:val="none"/>
                <w:vertAlign w:val="baseline"/>
                <w:lang w:val="en-US" w:eastAsia="zh-CN"/>
              </w:rPr>
              <w:t>设施设备</w:t>
            </w:r>
            <w:r>
              <w:rPr>
                <w:rFonts w:hint="eastAsia" w:ascii="仿宋" w:hAnsi="仿宋" w:cs="仿宋"/>
                <w:b w:val="0"/>
                <w:bCs w:val="0"/>
                <w:sz w:val="24"/>
                <w:szCs w:val="24"/>
                <w:highlight w:val="none"/>
                <w:vertAlign w:val="baseline"/>
                <w:lang w:val="en-US" w:eastAsia="zh-CN"/>
              </w:rPr>
              <w:t>需中标人</w:t>
            </w:r>
            <w:r>
              <w:rPr>
                <w:rFonts w:hint="eastAsia" w:ascii="仿宋" w:hAnsi="仿宋" w:eastAsia="仿宋" w:cs="仿宋"/>
                <w:b w:val="0"/>
                <w:bCs w:val="0"/>
                <w:sz w:val="24"/>
                <w:szCs w:val="24"/>
                <w:highlight w:val="none"/>
                <w:vertAlign w:val="baseline"/>
                <w:lang w:val="en-US" w:eastAsia="zh-CN"/>
              </w:rPr>
              <w:t>投入</w:t>
            </w:r>
          </w:p>
        </w:tc>
      </w:tr>
      <w:tr w14:paraId="04ED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shd w:val="clear" w:color="auto" w:fill="auto"/>
            <w:vAlign w:val="center"/>
          </w:tcPr>
          <w:p w14:paraId="24321FC9">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四工段横河</w:t>
            </w:r>
          </w:p>
        </w:tc>
        <w:tc>
          <w:tcPr>
            <w:tcW w:w="1081" w:type="dxa"/>
            <w:vAlign w:val="center"/>
          </w:tcPr>
          <w:p w14:paraId="3684843C">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w:t>
            </w:r>
          </w:p>
        </w:tc>
        <w:tc>
          <w:tcPr>
            <w:tcW w:w="1305" w:type="dxa"/>
          </w:tcPr>
          <w:p w14:paraId="3EECB3C0">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w:t>
            </w:r>
          </w:p>
        </w:tc>
        <w:tc>
          <w:tcPr>
            <w:tcW w:w="1215" w:type="dxa"/>
          </w:tcPr>
          <w:p w14:paraId="66BF00E0">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15" w:type="dxa"/>
          </w:tcPr>
          <w:p w14:paraId="513F8733">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260" w:type="dxa"/>
          </w:tcPr>
          <w:p w14:paraId="0B078396">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continue"/>
          </w:tcPr>
          <w:p w14:paraId="11932768">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17D9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shd w:val="clear" w:color="auto" w:fill="auto"/>
            <w:vAlign w:val="center"/>
          </w:tcPr>
          <w:p w14:paraId="3E147F2F">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沿塘河</w:t>
            </w:r>
          </w:p>
        </w:tc>
        <w:tc>
          <w:tcPr>
            <w:tcW w:w="1081" w:type="dxa"/>
            <w:vAlign w:val="center"/>
          </w:tcPr>
          <w:p w14:paraId="040789CA">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w:t>
            </w:r>
          </w:p>
        </w:tc>
        <w:tc>
          <w:tcPr>
            <w:tcW w:w="1305" w:type="dxa"/>
          </w:tcPr>
          <w:p w14:paraId="3D4BDA37">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w:t>
            </w:r>
          </w:p>
        </w:tc>
        <w:tc>
          <w:tcPr>
            <w:tcW w:w="1215" w:type="dxa"/>
          </w:tcPr>
          <w:p w14:paraId="6FA0B33A">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15" w:type="dxa"/>
          </w:tcPr>
          <w:p w14:paraId="3FEE4E67">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260" w:type="dxa"/>
          </w:tcPr>
          <w:p w14:paraId="4FEAEFE9">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continue"/>
          </w:tcPr>
          <w:p w14:paraId="05FE5133">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2F6A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shd w:val="clear" w:color="auto" w:fill="auto"/>
            <w:vAlign w:val="center"/>
          </w:tcPr>
          <w:p w14:paraId="66DD3CB5">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抢险河</w:t>
            </w:r>
          </w:p>
        </w:tc>
        <w:tc>
          <w:tcPr>
            <w:tcW w:w="1081" w:type="dxa"/>
            <w:vAlign w:val="center"/>
          </w:tcPr>
          <w:p w14:paraId="616AAC56">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305" w:type="dxa"/>
          </w:tcPr>
          <w:p w14:paraId="35E95ECF">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w:t>
            </w:r>
          </w:p>
        </w:tc>
        <w:tc>
          <w:tcPr>
            <w:tcW w:w="1215" w:type="dxa"/>
          </w:tcPr>
          <w:p w14:paraId="2ABB9457">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15" w:type="dxa"/>
          </w:tcPr>
          <w:p w14:paraId="783F3D43">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260" w:type="dxa"/>
          </w:tcPr>
          <w:p w14:paraId="08A4BB40">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continue"/>
          </w:tcPr>
          <w:p w14:paraId="396E9641">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363D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shd w:val="clear" w:color="auto" w:fill="auto"/>
            <w:vAlign w:val="center"/>
          </w:tcPr>
          <w:p w14:paraId="2A2CCB5A">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宏伟丁字河</w:t>
            </w:r>
          </w:p>
        </w:tc>
        <w:tc>
          <w:tcPr>
            <w:tcW w:w="1081" w:type="dxa"/>
            <w:vAlign w:val="center"/>
          </w:tcPr>
          <w:p w14:paraId="15306142">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4.07</w:t>
            </w:r>
          </w:p>
        </w:tc>
        <w:tc>
          <w:tcPr>
            <w:tcW w:w="1305" w:type="dxa"/>
          </w:tcPr>
          <w:p w14:paraId="019EB277">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2000</w:t>
            </w:r>
          </w:p>
        </w:tc>
        <w:tc>
          <w:tcPr>
            <w:tcW w:w="1215" w:type="dxa"/>
          </w:tcPr>
          <w:p w14:paraId="048DC735">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15" w:type="dxa"/>
          </w:tcPr>
          <w:p w14:paraId="27D12426">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260" w:type="dxa"/>
          </w:tcPr>
          <w:p w14:paraId="7BF0200F">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continue"/>
          </w:tcPr>
          <w:p w14:paraId="118750B2">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r w14:paraId="1E96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shd w:val="clear" w:color="auto" w:fill="auto"/>
            <w:vAlign w:val="center"/>
          </w:tcPr>
          <w:p w14:paraId="7CD66447">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五工段垦区直河</w:t>
            </w:r>
          </w:p>
        </w:tc>
        <w:tc>
          <w:tcPr>
            <w:tcW w:w="1081" w:type="dxa"/>
            <w:vAlign w:val="center"/>
          </w:tcPr>
          <w:p w14:paraId="3D906BD8">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1.25</w:t>
            </w:r>
          </w:p>
        </w:tc>
        <w:tc>
          <w:tcPr>
            <w:tcW w:w="1305" w:type="dxa"/>
          </w:tcPr>
          <w:p w14:paraId="3246916D">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2000</w:t>
            </w:r>
          </w:p>
        </w:tc>
        <w:tc>
          <w:tcPr>
            <w:tcW w:w="1215" w:type="dxa"/>
          </w:tcPr>
          <w:p w14:paraId="04CA65B4">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1215" w:type="dxa"/>
          </w:tcPr>
          <w:p w14:paraId="18AA1CC4">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260" w:type="dxa"/>
          </w:tcPr>
          <w:p w14:paraId="6EFFFFD1">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0</w:t>
            </w:r>
          </w:p>
        </w:tc>
        <w:tc>
          <w:tcPr>
            <w:tcW w:w="900" w:type="dxa"/>
            <w:vMerge w:val="continue"/>
          </w:tcPr>
          <w:p w14:paraId="40BDE376">
            <w:pPr>
              <w:keepNext w:val="0"/>
              <w:keepLines w:val="0"/>
              <w:pageBreakBefore w:val="0"/>
              <w:widowControl w:val="0"/>
              <w:kinsoku/>
              <w:wordWrap/>
              <w:overflowPunct/>
              <w:topLinePunct w:val="0"/>
              <w:autoSpaceDE/>
              <w:autoSpaceDN/>
              <w:bidi w:val="0"/>
              <w:adjustRightInd w:val="0"/>
              <w:snapToGrid/>
              <w:spacing w:before="0" w:line="240" w:lineRule="auto"/>
              <w:jc w:val="center"/>
              <w:textAlignment w:val="auto"/>
              <w:rPr>
                <w:rFonts w:hint="eastAsia" w:ascii="仿宋" w:hAnsi="仿宋" w:eastAsia="仿宋" w:cs="仿宋"/>
                <w:b w:val="0"/>
                <w:bCs w:val="0"/>
                <w:sz w:val="24"/>
                <w:szCs w:val="24"/>
                <w:vertAlign w:val="baseline"/>
                <w:lang w:val="en-US" w:eastAsia="zh-CN"/>
              </w:rPr>
            </w:pPr>
          </w:p>
        </w:tc>
      </w:tr>
    </w:tbl>
    <w:p w14:paraId="4C8C1217">
      <w:pPr>
        <w:rPr>
          <w:rFonts w:hint="eastAsia"/>
          <w:lang w:val="en-US" w:eastAsia="zh-CN"/>
        </w:rPr>
      </w:pPr>
    </w:p>
    <w:p w14:paraId="0B6F324E">
      <w:pPr>
        <w:rPr>
          <w:rFonts w:hint="eastAsia"/>
          <w:lang w:val="en-US" w:eastAsia="zh-CN"/>
        </w:rPr>
      </w:pPr>
    </w:p>
    <w:p w14:paraId="04174E7F">
      <w:pPr>
        <w:rPr>
          <w:rFonts w:hint="eastAsia" w:ascii="仿宋" w:hAnsi="仿宋" w:eastAsia="仿宋" w:cs="仿宋"/>
          <w:lang w:val="en-US" w:eastAsia="zh-CN"/>
        </w:rPr>
      </w:pPr>
    </w:p>
    <w:p w14:paraId="7715630B">
      <w:pPr>
        <w:numPr>
          <w:ilvl w:val="0"/>
          <w:numId w:val="0"/>
        </w:numPr>
        <w:snapToGrid w:val="0"/>
        <w:spacing w:line="360" w:lineRule="auto"/>
        <w:ind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2、商务需求</w:t>
      </w:r>
    </w:p>
    <w:p w14:paraId="2C913736">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 服务期：合同</w:t>
      </w:r>
      <w:r>
        <w:rPr>
          <w:rFonts w:hint="eastAsia" w:ascii="仿宋" w:hAnsi="仿宋" w:cs="仿宋"/>
          <w:b w:val="0"/>
          <w:bCs/>
          <w:color w:val="auto"/>
          <w:sz w:val="24"/>
          <w:szCs w:val="24"/>
          <w:highlight w:val="none"/>
          <w:lang w:val="en-US" w:eastAsia="zh-CN"/>
        </w:rPr>
        <w:t>签订之日至</w:t>
      </w:r>
      <w:r>
        <w:rPr>
          <w:rFonts w:hint="eastAsia" w:ascii="仿宋" w:hAnsi="仿宋" w:eastAsia="仿宋" w:cs="仿宋"/>
          <w:b w:val="0"/>
          <w:bCs/>
          <w:color w:val="auto"/>
          <w:sz w:val="24"/>
          <w:szCs w:val="24"/>
          <w:highlight w:val="none"/>
          <w:lang w:val="en-US" w:eastAsia="zh-CN"/>
        </w:rPr>
        <w:t>2025年9月14日（具体起止时间以合同签订为准）</w:t>
      </w:r>
    </w:p>
    <w:p w14:paraId="22A2E75E">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合同履行完毕后，在未找到接替治理公司前，中标人应延续1-2个月的服务，费用按原合同签订的费用标准支付。合同期满后，妥善处理退场移交、人员安置，如果出现劳资纠纷，责任在中标人。</w:t>
      </w:r>
    </w:p>
    <w:p w14:paraId="22B9CD79">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服务地点：采购人指定地点内。</w:t>
      </w:r>
    </w:p>
    <w:p w14:paraId="44E1D41A">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r>
        <w:rPr>
          <w:rFonts w:hint="eastAsia" w:ascii="仿宋" w:hAnsi="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val="en-US" w:eastAsia="zh-CN"/>
        </w:rPr>
        <w:t>履约保证金</w:t>
      </w:r>
    </w:p>
    <w:p w14:paraId="6027AADE">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r>
        <w:rPr>
          <w:rFonts w:hint="eastAsia" w:ascii="仿宋" w:hAnsi="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val="en-US" w:eastAsia="zh-CN"/>
        </w:rPr>
        <w:t>1合同签订后5个工作日内，中标人向采购人支付合同金额的1%作为履约保证金（履约保证金形式应以银行、保险公司出具的保函形式提供）。</w:t>
      </w:r>
    </w:p>
    <w:p w14:paraId="3D67BE76">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r>
        <w:rPr>
          <w:rFonts w:hint="eastAsia" w:ascii="仿宋" w:hAnsi="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val="en-US" w:eastAsia="zh-CN"/>
        </w:rPr>
        <w:t>2项目全部义务履约完毕，履约保证金无息退还。（如有违约款项，则扣除相应违约款项后无息退还）</w:t>
      </w:r>
    </w:p>
    <w:p w14:paraId="41A2C157">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r>
        <w:rPr>
          <w:rFonts w:hint="eastAsia" w:ascii="仿宋" w:hAnsi="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val="en-US" w:eastAsia="zh-CN"/>
        </w:rPr>
        <w:t xml:space="preserve"> 付款方式：合同签订并缴纳履约保证金后支付合同价的40%，剩余款项待服务期满且经决算审计后支付。</w:t>
      </w:r>
    </w:p>
    <w:p w14:paraId="0E8C59A7">
      <w:pPr>
        <w:numPr>
          <w:ilvl w:val="0"/>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2.</w:t>
      </w:r>
      <w:r>
        <w:rPr>
          <w:rFonts w:hint="eastAsia" w:ascii="仿宋" w:hAnsi="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val="en-US" w:eastAsia="zh-CN"/>
        </w:rPr>
        <w:t xml:space="preserve"> 承包方式：包工包料。</w:t>
      </w:r>
    </w:p>
    <w:p w14:paraId="7EB4F521">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p>
    <w:p w14:paraId="762B7CF1">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注：1、招标文件中打▲内容为实质性要求，不允许有负偏离，否则将以涉及无效响应条款作无效响应。</w:t>
      </w:r>
    </w:p>
    <w:p w14:paraId="29A19208">
      <w:pPr>
        <w:pStyle w:val="23"/>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highlight w:val="none"/>
        </w:rPr>
      </w:pPr>
      <w:r>
        <w:rPr>
          <w:rFonts w:hint="eastAsia" w:ascii="仿宋" w:hAnsi="仿宋" w:eastAsia="仿宋" w:cs="仿宋"/>
          <w:sz w:val="24"/>
          <w:szCs w:val="24"/>
          <w:highlight w:val="none"/>
          <w:lang w:eastAsia="zh-CN"/>
        </w:rPr>
        <w:t>中标供应商所提供的货物、服务须与响应承诺一致，不得以次充好、偷工减料，若在项目验收中发现有上述情况，将向有关部门举报，根据相关规定进行处理。</w:t>
      </w:r>
    </w:p>
    <w:p w14:paraId="6205699E">
      <w:pPr>
        <w:pStyle w:val="81"/>
        <w:ind w:left="0" w:leftChars="0" w:firstLine="0" w:firstLineChars="0"/>
        <w:rPr>
          <w:rFonts w:hint="eastAsia"/>
          <w:highlight w:val="none"/>
        </w:rPr>
      </w:pPr>
    </w:p>
    <w:p w14:paraId="01D92941">
      <w:pPr>
        <w:pStyle w:val="81"/>
        <w:ind w:left="0" w:leftChars="0" w:firstLine="0" w:firstLineChars="0"/>
        <w:rPr>
          <w:rFonts w:hint="eastAsia"/>
          <w:highlight w:val="none"/>
        </w:rPr>
      </w:pPr>
    </w:p>
    <w:p w14:paraId="1127A9B5">
      <w:pPr>
        <w:pStyle w:val="81"/>
        <w:ind w:left="0" w:leftChars="0" w:firstLine="0" w:firstLineChars="0"/>
        <w:rPr>
          <w:rFonts w:hint="eastAsia"/>
          <w:highlight w:val="none"/>
        </w:rPr>
      </w:pPr>
    </w:p>
    <w:p w14:paraId="672A2DBA">
      <w:pPr>
        <w:pStyle w:val="81"/>
        <w:ind w:left="0" w:leftChars="0" w:firstLine="0" w:firstLineChars="0"/>
        <w:rPr>
          <w:rFonts w:hint="eastAsia"/>
          <w:highlight w:val="none"/>
        </w:rPr>
      </w:pPr>
    </w:p>
    <w:p w14:paraId="341B5088">
      <w:pPr>
        <w:pStyle w:val="81"/>
        <w:ind w:left="0" w:leftChars="0" w:firstLine="0" w:firstLineChars="0"/>
        <w:rPr>
          <w:rFonts w:hint="eastAsia"/>
          <w:highlight w:val="none"/>
        </w:rPr>
      </w:pPr>
    </w:p>
    <w:p w14:paraId="74F9965B">
      <w:pPr>
        <w:pStyle w:val="81"/>
        <w:ind w:left="0" w:leftChars="0" w:firstLine="0" w:firstLineChars="0"/>
        <w:rPr>
          <w:rFonts w:hint="eastAsia"/>
          <w:highlight w:val="none"/>
        </w:rPr>
      </w:pPr>
    </w:p>
    <w:p w14:paraId="544CB7B6">
      <w:pPr>
        <w:pStyle w:val="81"/>
        <w:ind w:left="0" w:leftChars="0" w:firstLine="0" w:firstLineChars="0"/>
        <w:rPr>
          <w:rFonts w:hint="eastAsia"/>
          <w:highlight w:val="none"/>
        </w:rPr>
      </w:pPr>
    </w:p>
    <w:p w14:paraId="7FAC9488">
      <w:pPr>
        <w:pStyle w:val="81"/>
        <w:ind w:left="0" w:leftChars="0" w:firstLine="0" w:firstLineChars="0"/>
        <w:rPr>
          <w:rFonts w:hint="eastAsia"/>
          <w:highlight w:val="none"/>
        </w:rPr>
      </w:pPr>
    </w:p>
    <w:p w14:paraId="0A9C2940">
      <w:pPr>
        <w:pStyle w:val="81"/>
        <w:ind w:left="0" w:leftChars="0" w:firstLine="0" w:firstLineChars="0"/>
        <w:rPr>
          <w:rFonts w:hint="eastAsia"/>
          <w:highlight w:val="none"/>
        </w:rPr>
      </w:pPr>
    </w:p>
    <w:p w14:paraId="13957C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6" w:name="_Toc184312081"/>
      <w:bookmarkEnd w:id="26"/>
      <w:bookmarkStart w:id="27" w:name="_Toc184308064"/>
      <w:bookmarkEnd w:id="27"/>
      <w:bookmarkStart w:id="28" w:name="_Toc184314461"/>
      <w:bookmarkEnd w:id="28"/>
      <w:bookmarkStart w:id="29" w:name="_Toc184308054"/>
      <w:bookmarkEnd w:id="29"/>
      <w:bookmarkStart w:id="30" w:name="_Toc184314444"/>
      <w:bookmarkEnd w:id="30"/>
      <w:bookmarkStart w:id="31" w:name="_Toc184308059"/>
      <w:bookmarkEnd w:id="31"/>
      <w:bookmarkStart w:id="32" w:name="_Toc184313269"/>
      <w:bookmarkEnd w:id="32"/>
      <w:bookmarkStart w:id="33" w:name="_Toc184312119"/>
      <w:bookmarkEnd w:id="33"/>
      <w:bookmarkStart w:id="34" w:name="_Toc184310309"/>
      <w:bookmarkEnd w:id="34"/>
      <w:bookmarkStart w:id="35" w:name="_Toc184312100"/>
      <w:bookmarkEnd w:id="35"/>
      <w:bookmarkStart w:id="36" w:name="_Toc184312101"/>
      <w:bookmarkEnd w:id="36"/>
      <w:bookmarkStart w:id="37" w:name="_Toc184308083"/>
      <w:bookmarkEnd w:id="37"/>
      <w:bookmarkStart w:id="38" w:name="_Toc184314426"/>
      <w:bookmarkEnd w:id="38"/>
      <w:bookmarkStart w:id="39" w:name="_Toc184314420"/>
      <w:bookmarkEnd w:id="39"/>
      <w:bookmarkStart w:id="40" w:name="_Toc184312077"/>
      <w:bookmarkEnd w:id="40"/>
      <w:bookmarkStart w:id="41" w:name="_Toc184314418"/>
      <w:bookmarkEnd w:id="41"/>
      <w:bookmarkStart w:id="42" w:name="_Toc184308100"/>
      <w:bookmarkEnd w:id="42"/>
      <w:bookmarkStart w:id="43" w:name="_Toc184312103"/>
      <w:bookmarkEnd w:id="43"/>
      <w:bookmarkStart w:id="44" w:name="_Toc184313306"/>
      <w:bookmarkEnd w:id="44"/>
      <w:bookmarkStart w:id="45" w:name="_Toc184312120"/>
      <w:bookmarkEnd w:id="45"/>
      <w:bookmarkStart w:id="46" w:name="_Toc184310290"/>
      <w:bookmarkEnd w:id="46"/>
      <w:bookmarkStart w:id="47" w:name="_Toc184314457"/>
      <w:bookmarkEnd w:id="47"/>
      <w:bookmarkStart w:id="48" w:name="_Toc184313265"/>
      <w:bookmarkEnd w:id="48"/>
      <w:bookmarkStart w:id="49" w:name="_Toc184308067"/>
      <w:bookmarkEnd w:id="49"/>
      <w:bookmarkStart w:id="50" w:name="_Toc184308091"/>
      <w:bookmarkEnd w:id="50"/>
      <w:bookmarkStart w:id="51" w:name="_Toc184310292"/>
      <w:bookmarkEnd w:id="51"/>
      <w:bookmarkStart w:id="52" w:name="_Toc184312089"/>
      <w:bookmarkEnd w:id="52"/>
      <w:bookmarkStart w:id="53" w:name="_Toc184308070"/>
      <w:bookmarkEnd w:id="53"/>
      <w:bookmarkStart w:id="54" w:name="_Toc184308038"/>
      <w:bookmarkEnd w:id="54"/>
      <w:bookmarkStart w:id="55" w:name="_Toc184312129"/>
      <w:bookmarkEnd w:id="55"/>
      <w:bookmarkStart w:id="56" w:name="_Toc184313245"/>
      <w:bookmarkEnd w:id="56"/>
      <w:bookmarkStart w:id="57" w:name="_Toc184313287"/>
      <w:bookmarkEnd w:id="57"/>
      <w:bookmarkStart w:id="58" w:name="_Toc184310291"/>
      <w:bookmarkEnd w:id="58"/>
      <w:bookmarkStart w:id="59" w:name="_Toc184310319"/>
      <w:bookmarkEnd w:id="59"/>
      <w:bookmarkStart w:id="60" w:name="_Toc184312115"/>
      <w:bookmarkEnd w:id="60"/>
      <w:bookmarkStart w:id="61" w:name="_Toc184312125"/>
      <w:bookmarkEnd w:id="61"/>
      <w:bookmarkStart w:id="62" w:name="_Toc184310277"/>
      <w:bookmarkEnd w:id="62"/>
      <w:bookmarkStart w:id="63" w:name="_Toc184313291"/>
      <w:bookmarkEnd w:id="63"/>
      <w:bookmarkStart w:id="64" w:name="_Toc184314422"/>
      <w:bookmarkEnd w:id="64"/>
      <w:bookmarkStart w:id="65" w:name="_Toc184310316"/>
      <w:bookmarkEnd w:id="65"/>
      <w:bookmarkStart w:id="66" w:name="_Toc184308076"/>
      <w:bookmarkEnd w:id="66"/>
      <w:bookmarkStart w:id="67" w:name="_Toc184313288"/>
      <w:bookmarkEnd w:id="67"/>
      <w:bookmarkStart w:id="68" w:name="_Toc184308072"/>
      <w:bookmarkEnd w:id="68"/>
      <w:bookmarkStart w:id="69" w:name="_Toc184308094"/>
      <w:bookmarkEnd w:id="69"/>
      <w:bookmarkStart w:id="70" w:name="_Toc184314459"/>
      <w:bookmarkEnd w:id="70"/>
      <w:bookmarkStart w:id="71" w:name="_Toc184314465"/>
      <w:bookmarkEnd w:id="71"/>
      <w:bookmarkStart w:id="72" w:name="_Toc184312071"/>
      <w:bookmarkEnd w:id="72"/>
      <w:bookmarkStart w:id="73" w:name="_Toc184310305"/>
      <w:bookmarkEnd w:id="73"/>
      <w:bookmarkStart w:id="74" w:name="_Toc184313289"/>
      <w:bookmarkEnd w:id="74"/>
      <w:bookmarkStart w:id="75" w:name="_Toc184310318"/>
      <w:bookmarkEnd w:id="75"/>
      <w:bookmarkStart w:id="76" w:name="_Toc184310320"/>
      <w:bookmarkEnd w:id="76"/>
      <w:bookmarkStart w:id="77" w:name="_Toc184313273"/>
      <w:bookmarkEnd w:id="77"/>
      <w:bookmarkStart w:id="78" w:name="_Toc184312124"/>
      <w:bookmarkEnd w:id="78"/>
      <w:bookmarkStart w:id="79" w:name="_Toc184314443"/>
      <w:bookmarkEnd w:id="79"/>
      <w:bookmarkStart w:id="80" w:name="_Toc184313286"/>
      <w:bookmarkEnd w:id="80"/>
      <w:bookmarkStart w:id="81" w:name="_Toc184313262"/>
      <w:bookmarkEnd w:id="81"/>
      <w:bookmarkStart w:id="82" w:name="_Toc184313242"/>
      <w:bookmarkEnd w:id="82"/>
      <w:bookmarkStart w:id="83" w:name="_Toc184313276"/>
      <w:bookmarkEnd w:id="83"/>
      <w:bookmarkStart w:id="84" w:name="_Toc184310331"/>
      <w:bookmarkEnd w:id="84"/>
      <w:bookmarkStart w:id="85" w:name="_Toc184308050"/>
      <w:bookmarkEnd w:id="85"/>
      <w:bookmarkStart w:id="86" w:name="_Toc184313285"/>
      <w:bookmarkEnd w:id="86"/>
      <w:bookmarkStart w:id="87" w:name="_Toc184314437"/>
      <w:bookmarkEnd w:id="87"/>
      <w:bookmarkStart w:id="88" w:name="_Toc184310281"/>
      <w:bookmarkEnd w:id="88"/>
      <w:bookmarkStart w:id="89" w:name="_Toc184310274"/>
      <w:bookmarkEnd w:id="89"/>
      <w:bookmarkStart w:id="90" w:name="_Toc184312082"/>
      <w:bookmarkEnd w:id="90"/>
      <w:bookmarkStart w:id="91" w:name="_Toc184314450"/>
      <w:bookmarkEnd w:id="91"/>
      <w:bookmarkStart w:id="92" w:name="_Toc184308089"/>
      <w:bookmarkEnd w:id="92"/>
      <w:bookmarkStart w:id="93" w:name="_Toc184310284"/>
      <w:bookmarkEnd w:id="93"/>
      <w:bookmarkStart w:id="94" w:name="_Toc184314464"/>
      <w:bookmarkEnd w:id="94"/>
      <w:bookmarkStart w:id="95" w:name="_Toc184308042"/>
      <w:bookmarkEnd w:id="95"/>
      <w:bookmarkStart w:id="96" w:name="_Toc184312134"/>
      <w:bookmarkEnd w:id="96"/>
      <w:bookmarkStart w:id="97" w:name="_Toc184308036"/>
      <w:bookmarkEnd w:id="97"/>
      <w:bookmarkStart w:id="98" w:name="_Toc184313282"/>
      <w:bookmarkEnd w:id="98"/>
      <w:bookmarkStart w:id="99" w:name="_Toc184308063"/>
      <w:bookmarkEnd w:id="99"/>
      <w:bookmarkStart w:id="100" w:name="_Toc184314475"/>
      <w:bookmarkEnd w:id="100"/>
      <w:bookmarkStart w:id="101" w:name="_Toc184314412"/>
      <w:bookmarkEnd w:id="101"/>
      <w:bookmarkStart w:id="102" w:name="_Toc184310334"/>
      <w:bookmarkEnd w:id="102"/>
      <w:bookmarkStart w:id="103" w:name="_Toc184310341"/>
      <w:bookmarkEnd w:id="103"/>
      <w:bookmarkStart w:id="104" w:name="_Toc184308077"/>
      <w:bookmarkEnd w:id="104"/>
      <w:bookmarkStart w:id="105" w:name="_Toc184312099"/>
      <w:bookmarkEnd w:id="105"/>
      <w:bookmarkStart w:id="106" w:name="_Toc184312079"/>
      <w:bookmarkEnd w:id="106"/>
      <w:bookmarkStart w:id="107" w:name="_Toc184314415"/>
      <w:bookmarkEnd w:id="107"/>
      <w:bookmarkStart w:id="108" w:name="_Toc184310335"/>
      <w:bookmarkEnd w:id="108"/>
      <w:bookmarkStart w:id="109" w:name="_Toc184314469"/>
      <w:bookmarkEnd w:id="109"/>
      <w:bookmarkStart w:id="110" w:name="_Toc184310285"/>
      <w:bookmarkEnd w:id="110"/>
      <w:bookmarkStart w:id="111" w:name="_Toc184313250"/>
      <w:bookmarkEnd w:id="111"/>
      <w:bookmarkStart w:id="112" w:name="_Toc184314441"/>
      <w:bookmarkEnd w:id="112"/>
      <w:bookmarkStart w:id="113" w:name="_Toc184310278"/>
      <w:bookmarkEnd w:id="113"/>
      <w:bookmarkStart w:id="114" w:name="_Toc184313257"/>
      <w:bookmarkEnd w:id="114"/>
      <w:bookmarkStart w:id="115" w:name="_Toc184308107"/>
      <w:bookmarkEnd w:id="115"/>
      <w:bookmarkStart w:id="116" w:name="_Toc184308102"/>
      <w:bookmarkEnd w:id="116"/>
      <w:bookmarkStart w:id="117" w:name="_Toc184310308"/>
      <w:bookmarkEnd w:id="117"/>
      <w:bookmarkStart w:id="118" w:name="_Toc184313305"/>
      <w:bookmarkEnd w:id="118"/>
      <w:bookmarkStart w:id="119" w:name="_Toc184308106"/>
      <w:bookmarkEnd w:id="119"/>
      <w:bookmarkStart w:id="120" w:name="_Toc184313304"/>
      <w:bookmarkEnd w:id="120"/>
      <w:bookmarkStart w:id="121" w:name="_Toc184312084"/>
      <w:bookmarkEnd w:id="121"/>
      <w:bookmarkStart w:id="122" w:name="_Toc184313280"/>
      <w:bookmarkEnd w:id="122"/>
      <w:bookmarkStart w:id="123" w:name="_Toc184314453"/>
      <w:bookmarkEnd w:id="123"/>
      <w:bookmarkStart w:id="124" w:name="_Toc184312106"/>
      <w:bookmarkEnd w:id="124"/>
      <w:bookmarkStart w:id="125" w:name="_Toc184308098"/>
      <w:bookmarkEnd w:id="125"/>
      <w:bookmarkStart w:id="126" w:name="_Toc184313302"/>
      <w:bookmarkEnd w:id="126"/>
      <w:bookmarkStart w:id="127" w:name="_Toc184314479"/>
      <w:bookmarkEnd w:id="127"/>
      <w:bookmarkStart w:id="128" w:name="_Toc184312139"/>
      <w:bookmarkEnd w:id="128"/>
      <w:bookmarkStart w:id="129" w:name="_Toc184314442"/>
      <w:bookmarkEnd w:id="129"/>
      <w:bookmarkStart w:id="130" w:name="_Toc184312097"/>
      <w:bookmarkEnd w:id="130"/>
      <w:bookmarkStart w:id="131" w:name="_Toc184310301"/>
      <w:bookmarkEnd w:id="131"/>
      <w:bookmarkStart w:id="132" w:name="_Toc184312087"/>
      <w:bookmarkEnd w:id="132"/>
      <w:bookmarkStart w:id="133" w:name="_Toc184314462"/>
      <w:bookmarkEnd w:id="133"/>
      <w:bookmarkStart w:id="134" w:name="_Toc184314448"/>
      <w:bookmarkEnd w:id="134"/>
      <w:bookmarkStart w:id="135" w:name="_Toc184312094"/>
      <w:bookmarkEnd w:id="135"/>
      <w:bookmarkStart w:id="136" w:name="_Toc184314433"/>
      <w:bookmarkEnd w:id="136"/>
      <w:bookmarkStart w:id="137" w:name="_Toc184312114"/>
      <w:bookmarkEnd w:id="137"/>
      <w:bookmarkStart w:id="138" w:name="_Toc184313309"/>
      <w:bookmarkEnd w:id="138"/>
      <w:bookmarkStart w:id="139" w:name="_Toc184312127"/>
      <w:bookmarkEnd w:id="139"/>
      <w:bookmarkStart w:id="140" w:name="_Toc184312102"/>
      <w:bookmarkEnd w:id="140"/>
      <w:bookmarkStart w:id="141" w:name="_Toc184313255"/>
      <w:bookmarkEnd w:id="141"/>
      <w:bookmarkStart w:id="142" w:name="_Toc184314439"/>
      <w:bookmarkEnd w:id="142"/>
      <w:bookmarkStart w:id="143" w:name="_Toc184313267"/>
      <w:bookmarkEnd w:id="143"/>
      <w:bookmarkStart w:id="144" w:name="_Toc184312108"/>
      <w:bookmarkEnd w:id="144"/>
      <w:bookmarkStart w:id="145" w:name="_Toc184313293"/>
      <w:bookmarkEnd w:id="145"/>
      <w:bookmarkStart w:id="146" w:name="_Toc184308101"/>
      <w:bookmarkEnd w:id="146"/>
      <w:bookmarkStart w:id="147" w:name="_Toc184312117"/>
      <w:bookmarkEnd w:id="147"/>
      <w:bookmarkStart w:id="148" w:name="_Toc184308055"/>
      <w:bookmarkEnd w:id="148"/>
      <w:bookmarkStart w:id="149" w:name="_Toc184314456"/>
      <w:bookmarkEnd w:id="149"/>
      <w:bookmarkStart w:id="150" w:name="_Toc184308108"/>
      <w:bookmarkEnd w:id="150"/>
      <w:bookmarkStart w:id="151" w:name="_Toc184313238"/>
      <w:bookmarkEnd w:id="151"/>
      <w:bookmarkStart w:id="152" w:name="_Toc184313243"/>
      <w:bookmarkEnd w:id="152"/>
      <w:bookmarkStart w:id="153" w:name="_Toc184308041"/>
      <w:bookmarkEnd w:id="153"/>
      <w:bookmarkStart w:id="154" w:name="_Toc184314476"/>
      <w:bookmarkEnd w:id="154"/>
      <w:bookmarkStart w:id="155" w:name="_Toc184312136"/>
      <w:bookmarkEnd w:id="155"/>
      <w:bookmarkStart w:id="156" w:name="_Toc184313239"/>
      <w:bookmarkEnd w:id="156"/>
      <w:bookmarkStart w:id="157" w:name="_Toc184308078"/>
      <w:bookmarkEnd w:id="157"/>
      <w:bookmarkStart w:id="158" w:name="_Toc184308082"/>
      <w:bookmarkEnd w:id="158"/>
      <w:bookmarkStart w:id="159" w:name="_Toc184314468"/>
      <w:bookmarkEnd w:id="159"/>
      <w:bookmarkStart w:id="160" w:name="_Toc184314438"/>
      <w:bookmarkEnd w:id="160"/>
      <w:bookmarkStart w:id="161" w:name="_Toc184310330"/>
      <w:bookmarkEnd w:id="161"/>
      <w:bookmarkStart w:id="162" w:name="_Toc184313308"/>
      <w:bookmarkEnd w:id="162"/>
      <w:bookmarkStart w:id="163" w:name="_Toc184313249"/>
      <w:bookmarkEnd w:id="163"/>
      <w:bookmarkStart w:id="164" w:name="_Toc184313259"/>
      <w:bookmarkEnd w:id="164"/>
      <w:bookmarkStart w:id="165" w:name="_Toc184308103"/>
      <w:bookmarkEnd w:id="165"/>
      <w:bookmarkStart w:id="166" w:name="_Toc184314472"/>
      <w:bookmarkEnd w:id="166"/>
      <w:bookmarkStart w:id="167" w:name="_Toc184308037"/>
      <w:bookmarkEnd w:id="167"/>
      <w:bookmarkStart w:id="168" w:name="_Toc184312137"/>
      <w:bookmarkEnd w:id="168"/>
      <w:bookmarkStart w:id="169" w:name="_Toc184312096"/>
      <w:bookmarkEnd w:id="169"/>
      <w:bookmarkStart w:id="170" w:name="_Toc184310295"/>
      <w:bookmarkEnd w:id="170"/>
      <w:bookmarkStart w:id="171" w:name="_Toc184310275"/>
      <w:bookmarkEnd w:id="171"/>
      <w:bookmarkStart w:id="172" w:name="_Toc184314424"/>
      <w:bookmarkEnd w:id="172"/>
      <w:bookmarkStart w:id="173" w:name="_Toc184310294"/>
      <w:bookmarkEnd w:id="173"/>
      <w:bookmarkStart w:id="174" w:name="_Toc184310339"/>
      <w:bookmarkEnd w:id="174"/>
      <w:bookmarkStart w:id="175" w:name="_Toc184308047"/>
      <w:bookmarkEnd w:id="175"/>
      <w:bookmarkStart w:id="176" w:name="_Toc184308045"/>
      <w:bookmarkEnd w:id="176"/>
      <w:bookmarkStart w:id="177" w:name="_Toc184308097"/>
      <w:bookmarkEnd w:id="177"/>
      <w:bookmarkStart w:id="178" w:name="_Toc184310344"/>
      <w:bookmarkEnd w:id="178"/>
      <w:bookmarkStart w:id="179" w:name="_Toc184312095"/>
      <w:bookmarkEnd w:id="179"/>
      <w:bookmarkStart w:id="180" w:name="_Toc184314463"/>
      <w:bookmarkEnd w:id="180"/>
      <w:bookmarkStart w:id="181" w:name="_Toc184312110"/>
      <w:bookmarkEnd w:id="181"/>
      <w:bookmarkStart w:id="182" w:name="_Toc184308062"/>
      <w:bookmarkEnd w:id="182"/>
      <w:bookmarkStart w:id="183" w:name="_Toc184310323"/>
      <w:bookmarkEnd w:id="183"/>
      <w:bookmarkStart w:id="184" w:name="_Toc184312076"/>
      <w:bookmarkEnd w:id="184"/>
      <w:bookmarkStart w:id="185" w:name="_Toc184312123"/>
      <w:bookmarkEnd w:id="185"/>
      <w:bookmarkStart w:id="186" w:name="_Toc184313277"/>
      <w:bookmarkEnd w:id="186"/>
      <w:bookmarkStart w:id="187" w:name="_Toc184314410"/>
      <w:bookmarkEnd w:id="187"/>
      <w:bookmarkStart w:id="188" w:name="_Toc184312126"/>
      <w:bookmarkEnd w:id="188"/>
      <w:bookmarkStart w:id="189" w:name="_Toc184314460"/>
      <w:bookmarkEnd w:id="189"/>
      <w:bookmarkStart w:id="190" w:name="_Toc184314434"/>
      <w:bookmarkEnd w:id="190"/>
      <w:bookmarkStart w:id="191" w:name="_Toc184313279"/>
      <w:bookmarkEnd w:id="191"/>
      <w:bookmarkStart w:id="192" w:name="_Toc184312072"/>
      <w:bookmarkEnd w:id="192"/>
      <w:bookmarkStart w:id="193" w:name="_Toc184310279"/>
      <w:bookmarkEnd w:id="193"/>
      <w:bookmarkStart w:id="194" w:name="_Toc184308079"/>
      <w:bookmarkEnd w:id="194"/>
      <w:bookmarkStart w:id="195" w:name="_Toc184308048"/>
      <w:bookmarkEnd w:id="195"/>
      <w:bookmarkStart w:id="196" w:name="_Toc184310283"/>
      <w:bookmarkEnd w:id="196"/>
      <w:bookmarkStart w:id="197" w:name="_Toc184314458"/>
      <w:bookmarkEnd w:id="197"/>
      <w:bookmarkStart w:id="198" w:name="_Toc184310343"/>
      <w:bookmarkEnd w:id="198"/>
      <w:bookmarkStart w:id="199" w:name="_Toc184314428"/>
      <w:bookmarkEnd w:id="199"/>
      <w:bookmarkStart w:id="200" w:name="_Toc184313260"/>
      <w:bookmarkEnd w:id="200"/>
      <w:bookmarkStart w:id="201" w:name="_Toc184313301"/>
      <w:bookmarkEnd w:id="201"/>
      <w:bookmarkStart w:id="202" w:name="_Toc184313263"/>
      <w:bookmarkEnd w:id="202"/>
      <w:bookmarkStart w:id="203" w:name="_Toc184308046"/>
      <w:bookmarkEnd w:id="203"/>
      <w:bookmarkStart w:id="204" w:name="_Toc184308080"/>
      <w:bookmarkEnd w:id="204"/>
      <w:bookmarkStart w:id="205" w:name="_Toc184310303"/>
      <w:bookmarkEnd w:id="205"/>
      <w:bookmarkStart w:id="206" w:name="_Toc184308044"/>
      <w:bookmarkEnd w:id="206"/>
      <w:bookmarkStart w:id="207" w:name="_Toc184314467"/>
      <w:bookmarkEnd w:id="207"/>
      <w:bookmarkStart w:id="208" w:name="_Toc184313268"/>
      <w:bookmarkEnd w:id="208"/>
      <w:bookmarkStart w:id="209" w:name="_Toc184308090"/>
      <w:bookmarkEnd w:id="209"/>
      <w:bookmarkStart w:id="210" w:name="_Toc184312118"/>
      <w:bookmarkEnd w:id="210"/>
      <w:bookmarkStart w:id="211" w:name="_Toc184314425"/>
      <w:bookmarkEnd w:id="211"/>
      <w:bookmarkStart w:id="212" w:name="_Toc184308075"/>
      <w:bookmarkEnd w:id="212"/>
      <w:bookmarkStart w:id="213" w:name="_Toc184313246"/>
      <w:bookmarkEnd w:id="213"/>
      <w:bookmarkStart w:id="214" w:name="_Toc184313244"/>
      <w:bookmarkEnd w:id="214"/>
      <w:bookmarkStart w:id="215" w:name="_Toc184312070"/>
      <w:bookmarkEnd w:id="215"/>
      <w:bookmarkStart w:id="216" w:name="_Toc184313258"/>
      <w:bookmarkEnd w:id="216"/>
      <w:bookmarkStart w:id="217" w:name="_Toc184308043"/>
      <w:bookmarkEnd w:id="217"/>
      <w:bookmarkStart w:id="218" w:name="_Toc184314473"/>
      <w:bookmarkEnd w:id="218"/>
      <w:bookmarkStart w:id="219" w:name="_Toc184310336"/>
      <w:bookmarkEnd w:id="219"/>
      <w:bookmarkStart w:id="220" w:name="_Toc184312083"/>
      <w:bookmarkEnd w:id="220"/>
      <w:bookmarkStart w:id="221" w:name="_Toc184310287"/>
      <w:bookmarkEnd w:id="221"/>
      <w:bookmarkStart w:id="222" w:name="_Toc184314451"/>
      <w:bookmarkEnd w:id="222"/>
      <w:bookmarkStart w:id="223" w:name="_Toc184310311"/>
      <w:bookmarkEnd w:id="223"/>
      <w:bookmarkStart w:id="224" w:name="_Toc184314474"/>
      <w:bookmarkEnd w:id="224"/>
      <w:bookmarkStart w:id="225" w:name="_Toc184313274"/>
      <w:bookmarkEnd w:id="225"/>
      <w:bookmarkStart w:id="226" w:name="_Toc184312068"/>
      <w:bookmarkEnd w:id="226"/>
      <w:bookmarkStart w:id="227" w:name="_Toc184314478"/>
      <w:bookmarkEnd w:id="227"/>
      <w:bookmarkStart w:id="228" w:name="_Toc184313294"/>
      <w:bookmarkEnd w:id="228"/>
      <w:bookmarkStart w:id="229" w:name="_Toc184310298"/>
      <w:bookmarkEnd w:id="229"/>
      <w:bookmarkStart w:id="230" w:name="_Toc184314454"/>
      <w:bookmarkEnd w:id="230"/>
      <w:bookmarkStart w:id="231" w:name="_Toc184312132"/>
      <w:bookmarkEnd w:id="231"/>
      <w:bookmarkStart w:id="232" w:name="_Toc184310340"/>
      <w:bookmarkEnd w:id="232"/>
      <w:bookmarkStart w:id="233" w:name="_Toc184314436"/>
      <w:bookmarkEnd w:id="233"/>
      <w:bookmarkStart w:id="234" w:name="_Toc184313281"/>
      <w:bookmarkEnd w:id="234"/>
      <w:bookmarkStart w:id="235" w:name="_Toc184314466"/>
      <w:bookmarkEnd w:id="235"/>
      <w:bookmarkStart w:id="236" w:name="_Toc184314452"/>
      <w:bookmarkEnd w:id="236"/>
      <w:bookmarkStart w:id="237" w:name="_Toc184313303"/>
      <w:bookmarkEnd w:id="237"/>
      <w:bookmarkStart w:id="238" w:name="_Toc184312085"/>
      <w:bookmarkEnd w:id="238"/>
      <w:bookmarkStart w:id="239" w:name="_Toc184308105"/>
      <w:bookmarkEnd w:id="239"/>
      <w:bookmarkStart w:id="240" w:name="_Toc184314477"/>
      <w:bookmarkEnd w:id="240"/>
      <w:bookmarkStart w:id="241" w:name="_Toc184308049"/>
      <w:bookmarkEnd w:id="241"/>
      <w:bookmarkStart w:id="242" w:name="_Toc184308087"/>
      <w:bookmarkEnd w:id="242"/>
      <w:bookmarkStart w:id="243" w:name="_Toc184308052"/>
      <w:bookmarkEnd w:id="243"/>
      <w:bookmarkStart w:id="244" w:name="_Toc184314421"/>
      <w:bookmarkEnd w:id="244"/>
      <w:bookmarkStart w:id="245" w:name="_Toc184308092"/>
      <w:bookmarkEnd w:id="245"/>
      <w:bookmarkStart w:id="246" w:name="_Toc184310304"/>
      <w:bookmarkEnd w:id="246"/>
      <w:bookmarkStart w:id="247" w:name="_Toc184308066"/>
      <w:bookmarkEnd w:id="247"/>
      <w:bookmarkStart w:id="248" w:name="_Toc184310337"/>
      <w:bookmarkEnd w:id="248"/>
      <w:bookmarkStart w:id="249" w:name="_Toc184310307"/>
      <w:bookmarkEnd w:id="249"/>
      <w:bookmarkStart w:id="250" w:name="_Toc184312109"/>
      <w:bookmarkEnd w:id="250"/>
      <w:bookmarkStart w:id="251" w:name="_Toc184310329"/>
      <w:bookmarkEnd w:id="251"/>
      <w:bookmarkStart w:id="252" w:name="_Toc184308051"/>
      <w:bookmarkEnd w:id="252"/>
      <w:bookmarkStart w:id="253" w:name="_Toc184310327"/>
      <w:bookmarkEnd w:id="253"/>
      <w:bookmarkStart w:id="254" w:name="_Toc184310297"/>
      <w:bookmarkEnd w:id="254"/>
      <w:bookmarkStart w:id="255" w:name="_Toc184310293"/>
      <w:bookmarkEnd w:id="255"/>
      <w:bookmarkStart w:id="256" w:name="_Toc184314449"/>
      <w:bookmarkEnd w:id="256"/>
      <w:bookmarkStart w:id="257" w:name="_Toc184313253"/>
      <w:bookmarkEnd w:id="257"/>
      <w:bookmarkStart w:id="258" w:name="_Toc184310317"/>
      <w:bookmarkEnd w:id="258"/>
      <w:bookmarkStart w:id="259" w:name="_Toc184314416"/>
      <w:bookmarkEnd w:id="259"/>
      <w:bookmarkStart w:id="260" w:name="_Toc184310342"/>
      <w:bookmarkEnd w:id="260"/>
      <w:bookmarkStart w:id="261" w:name="_Toc184313271"/>
      <w:bookmarkEnd w:id="261"/>
      <w:bookmarkStart w:id="262" w:name="_Toc184314427"/>
      <w:bookmarkEnd w:id="262"/>
      <w:bookmarkStart w:id="263" w:name="_Toc184313256"/>
      <w:bookmarkEnd w:id="263"/>
      <w:bookmarkStart w:id="264" w:name="_Toc184308069"/>
      <w:bookmarkEnd w:id="264"/>
      <w:bookmarkStart w:id="265" w:name="_Toc184314445"/>
      <w:bookmarkEnd w:id="265"/>
      <w:bookmarkStart w:id="266" w:name="_Toc184308085"/>
      <w:bookmarkEnd w:id="266"/>
      <w:bookmarkStart w:id="267" w:name="_Toc184312130"/>
      <w:bookmarkEnd w:id="267"/>
      <w:bookmarkStart w:id="268" w:name="_Toc184308074"/>
      <w:bookmarkEnd w:id="268"/>
      <w:bookmarkStart w:id="269" w:name="_Toc184313299"/>
      <w:bookmarkEnd w:id="269"/>
      <w:bookmarkStart w:id="270" w:name="_Toc184310312"/>
      <w:bookmarkEnd w:id="270"/>
      <w:bookmarkStart w:id="271" w:name="_Toc184312135"/>
      <w:bookmarkEnd w:id="271"/>
      <w:bookmarkStart w:id="272" w:name="_Toc184310332"/>
      <w:bookmarkEnd w:id="272"/>
      <w:bookmarkStart w:id="273" w:name="_Toc184313295"/>
      <w:bookmarkEnd w:id="273"/>
      <w:bookmarkStart w:id="274" w:name="_Toc184313296"/>
      <w:bookmarkEnd w:id="274"/>
      <w:bookmarkStart w:id="275" w:name="_Toc184313275"/>
      <w:bookmarkEnd w:id="275"/>
      <w:bookmarkStart w:id="276" w:name="_Toc184312090"/>
      <w:bookmarkEnd w:id="276"/>
      <w:bookmarkStart w:id="277" w:name="_Toc184312069"/>
      <w:bookmarkEnd w:id="277"/>
      <w:bookmarkStart w:id="278" w:name="_Toc184310286"/>
      <w:bookmarkEnd w:id="278"/>
      <w:bookmarkStart w:id="279" w:name="_Toc184310282"/>
      <w:bookmarkEnd w:id="279"/>
      <w:bookmarkStart w:id="280" w:name="_Toc184313264"/>
      <w:bookmarkEnd w:id="280"/>
      <w:bookmarkStart w:id="281" w:name="_Toc184314431"/>
      <w:bookmarkEnd w:id="281"/>
      <w:bookmarkStart w:id="282" w:name="_Toc184313248"/>
      <w:bookmarkEnd w:id="282"/>
      <w:bookmarkStart w:id="283" w:name="_Toc184314440"/>
      <w:bookmarkEnd w:id="283"/>
      <w:bookmarkStart w:id="284" w:name="_Toc184310296"/>
      <w:bookmarkEnd w:id="284"/>
      <w:bookmarkStart w:id="285" w:name="_Toc184312098"/>
      <w:bookmarkEnd w:id="285"/>
      <w:bookmarkStart w:id="286" w:name="_Toc184313254"/>
      <w:bookmarkEnd w:id="286"/>
      <w:bookmarkStart w:id="287" w:name="_Toc184312086"/>
      <w:bookmarkEnd w:id="287"/>
      <w:bookmarkStart w:id="288" w:name="_Toc184313300"/>
      <w:bookmarkEnd w:id="288"/>
      <w:bookmarkStart w:id="289" w:name="_Toc184308040"/>
      <w:bookmarkEnd w:id="289"/>
      <w:bookmarkStart w:id="290" w:name="_Toc184313241"/>
      <w:bookmarkEnd w:id="290"/>
      <w:bookmarkStart w:id="291" w:name="_Toc184308065"/>
      <w:bookmarkEnd w:id="291"/>
      <w:bookmarkStart w:id="292" w:name="_Toc184310328"/>
      <w:bookmarkEnd w:id="292"/>
      <w:bookmarkStart w:id="293" w:name="_Toc184308081"/>
      <w:bookmarkEnd w:id="293"/>
      <w:bookmarkStart w:id="294" w:name="_Toc184314435"/>
      <w:bookmarkEnd w:id="294"/>
      <w:bookmarkStart w:id="295" w:name="_Toc184310310"/>
      <w:bookmarkEnd w:id="295"/>
      <w:bookmarkStart w:id="296" w:name="_Toc184308058"/>
      <w:bookmarkEnd w:id="296"/>
      <w:bookmarkStart w:id="297" w:name="_Toc184312067"/>
      <w:bookmarkEnd w:id="297"/>
      <w:bookmarkStart w:id="298" w:name="_Toc184310338"/>
      <w:bookmarkEnd w:id="298"/>
      <w:bookmarkStart w:id="299" w:name="_Toc184312104"/>
      <w:bookmarkEnd w:id="299"/>
      <w:bookmarkStart w:id="300" w:name="_Toc184313272"/>
      <w:bookmarkEnd w:id="300"/>
      <w:bookmarkStart w:id="301" w:name="_Toc184313310"/>
      <w:bookmarkEnd w:id="301"/>
      <w:bookmarkStart w:id="302" w:name="_Toc184314480"/>
      <w:bookmarkEnd w:id="302"/>
      <w:bookmarkStart w:id="303" w:name="_Toc184310325"/>
      <w:bookmarkEnd w:id="303"/>
      <w:bookmarkStart w:id="304" w:name="_Toc184312092"/>
      <w:bookmarkEnd w:id="304"/>
      <w:bookmarkStart w:id="305" w:name="_Toc184312088"/>
      <w:bookmarkEnd w:id="305"/>
      <w:bookmarkStart w:id="306" w:name="_Toc184313307"/>
      <w:bookmarkEnd w:id="306"/>
      <w:bookmarkStart w:id="307" w:name="_Toc184312105"/>
      <w:bookmarkEnd w:id="307"/>
      <w:bookmarkStart w:id="308" w:name="_Toc184308060"/>
      <w:bookmarkEnd w:id="308"/>
      <w:bookmarkStart w:id="309" w:name="_Toc184310299"/>
      <w:bookmarkEnd w:id="309"/>
      <w:bookmarkStart w:id="310" w:name="_Toc184310273"/>
      <w:bookmarkEnd w:id="310"/>
      <w:bookmarkStart w:id="311" w:name="_Toc184308073"/>
      <w:bookmarkEnd w:id="311"/>
      <w:bookmarkStart w:id="312" w:name="_Toc184312138"/>
      <w:bookmarkEnd w:id="312"/>
      <w:bookmarkStart w:id="313" w:name="_Toc184312121"/>
      <w:bookmarkEnd w:id="313"/>
      <w:bookmarkStart w:id="314" w:name="_Toc184314481"/>
      <w:bookmarkEnd w:id="314"/>
      <w:bookmarkStart w:id="315" w:name="_Toc184313247"/>
      <w:bookmarkEnd w:id="315"/>
      <w:bookmarkStart w:id="316" w:name="_Toc184310300"/>
      <w:bookmarkEnd w:id="316"/>
      <w:bookmarkStart w:id="317" w:name="_Toc184312111"/>
      <w:bookmarkEnd w:id="317"/>
      <w:bookmarkStart w:id="318" w:name="_Toc184314455"/>
      <w:bookmarkEnd w:id="318"/>
      <w:bookmarkStart w:id="319" w:name="_Toc184314411"/>
      <w:bookmarkEnd w:id="319"/>
      <w:bookmarkStart w:id="320" w:name="_Toc184313283"/>
      <w:bookmarkEnd w:id="320"/>
      <w:bookmarkStart w:id="321" w:name="_Toc184312112"/>
      <w:bookmarkEnd w:id="321"/>
      <w:bookmarkStart w:id="322" w:name="_Toc184308099"/>
      <w:bookmarkEnd w:id="322"/>
      <w:bookmarkStart w:id="323" w:name="_Toc184312131"/>
      <w:bookmarkEnd w:id="323"/>
      <w:bookmarkStart w:id="324" w:name="_Toc184310272"/>
      <w:bookmarkEnd w:id="324"/>
      <w:bookmarkStart w:id="325" w:name="_Toc184310276"/>
      <w:bookmarkEnd w:id="325"/>
      <w:bookmarkStart w:id="326" w:name="_Toc184314447"/>
      <w:bookmarkEnd w:id="326"/>
      <w:bookmarkStart w:id="327" w:name="_Toc184312080"/>
      <w:bookmarkEnd w:id="327"/>
      <w:bookmarkStart w:id="328" w:name="_Toc184314417"/>
      <w:bookmarkEnd w:id="328"/>
      <w:bookmarkStart w:id="329" w:name="_Toc184314423"/>
      <w:bookmarkEnd w:id="329"/>
      <w:bookmarkStart w:id="330" w:name="_Toc184308056"/>
      <w:bookmarkEnd w:id="330"/>
      <w:bookmarkStart w:id="331" w:name="_Toc184313298"/>
      <w:bookmarkEnd w:id="331"/>
      <w:bookmarkStart w:id="332" w:name="_Toc184310322"/>
      <w:bookmarkEnd w:id="332"/>
      <w:bookmarkStart w:id="333" w:name="_Toc184313270"/>
      <w:bookmarkEnd w:id="333"/>
      <w:bookmarkStart w:id="334" w:name="_Toc184312074"/>
      <w:bookmarkEnd w:id="334"/>
      <w:bookmarkStart w:id="335" w:name="_Toc184312075"/>
      <w:bookmarkEnd w:id="335"/>
      <w:bookmarkStart w:id="336" w:name="_Toc184308068"/>
      <w:bookmarkEnd w:id="336"/>
      <w:bookmarkStart w:id="337" w:name="_Toc184308104"/>
      <w:bookmarkEnd w:id="337"/>
      <w:bookmarkStart w:id="338" w:name="_Toc184310288"/>
      <w:bookmarkEnd w:id="338"/>
      <w:bookmarkStart w:id="339" w:name="_Toc184314414"/>
      <w:bookmarkEnd w:id="339"/>
      <w:bookmarkStart w:id="340" w:name="_Toc184312116"/>
      <w:bookmarkEnd w:id="340"/>
      <w:bookmarkStart w:id="341" w:name="_Toc184310314"/>
      <w:bookmarkEnd w:id="341"/>
      <w:bookmarkStart w:id="342" w:name="_Toc184313252"/>
      <w:bookmarkEnd w:id="342"/>
      <w:bookmarkStart w:id="343" w:name="_Toc184310324"/>
      <w:bookmarkEnd w:id="343"/>
      <w:bookmarkStart w:id="344" w:name="_Toc184308086"/>
      <w:bookmarkEnd w:id="344"/>
      <w:bookmarkStart w:id="345" w:name="_Toc184313261"/>
      <w:bookmarkEnd w:id="345"/>
      <w:bookmarkStart w:id="346" w:name="_Toc184312073"/>
      <w:bookmarkEnd w:id="346"/>
      <w:bookmarkStart w:id="347" w:name="_Toc184314446"/>
      <w:bookmarkEnd w:id="347"/>
      <w:bookmarkStart w:id="348" w:name="_Toc184313284"/>
      <w:bookmarkEnd w:id="348"/>
      <w:bookmarkStart w:id="349" w:name="_Toc184313240"/>
      <w:bookmarkEnd w:id="349"/>
      <w:bookmarkStart w:id="350" w:name="_Toc184312093"/>
      <w:bookmarkEnd w:id="350"/>
      <w:bookmarkStart w:id="351" w:name="_Toc184310302"/>
      <w:bookmarkEnd w:id="351"/>
      <w:bookmarkStart w:id="352" w:name="_Toc184308061"/>
      <w:bookmarkEnd w:id="352"/>
      <w:bookmarkStart w:id="353" w:name="_Toc184313278"/>
      <w:bookmarkEnd w:id="353"/>
      <w:bookmarkStart w:id="354" w:name="_Toc184314470"/>
      <w:bookmarkEnd w:id="354"/>
      <w:bookmarkStart w:id="355" w:name="_Toc184312122"/>
      <w:bookmarkEnd w:id="355"/>
      <w:bookmarkStart w:id="356" w:name="_Toc184313290"/>
      <w:bookmarkEnd w:id="356"/>
      <w:bookmarkStart w:id="357" w:name="_Toc184308088"/>
      <w:bookmarkEnd w:id="357"/>
      <w:bookmarkStart w:id="358" w:name="_Toc184308039"/>
      <w:bookmarkEnd w:id="358"/>
      <w:bookmarkStart w:id="359" w:name="_Toc184313251"/>
      <w:bookmarkEnd w:id="359"/>
      <w:bookmarkStart w:id="360" w:name="_Toc184308093"/>
      <w:bookmarkEnd w:id="360"/>
      <w:bookmarkStart w:id="361" w:name="_Toc184308071"/>
      <w:bookmarkEnd w:id="361"/>
      <w:bookmarkStart w:id="362" w:name="_Toc184314429"/>
      <w:bookmarkEnd w:id="362"/>
      <w:bookmarkStart w:id="363" w:name="_Toc184314482"/>
      <w:bookmarkEnd w:id="363"/>
      <w:bookmarkStart w:id="364" w:name="_Toc184314413"/>
      <w:bookmarkEnd w:id="364"/>
      <w:bookmarkStart w:id="365" w:name="_Toc184312113"/>
      <w:bookmarkEnd w:id="365"/>
      <w:bookmarkStart w:id="366" w:name="_Toc184313297"/>
      <w:bookmarkEnd w:id="366"/>
      <w:bookmarkStart w:id="367" w:name="_Toc184310306"/>
      <w:bookmarkEnd w:id="367"/>
      <w:bookmarkStart w:id="368" w:name="_Toc184308084"/>
      <w:bookmarkEnd w:id="368"/>
      <w:bookmarkStart w:id="369" w:name="_Toc184313266"/>
      <w:bookmarkEnd w:id="369"/>
      <w:bookmarkStart w:id="370" w:name="_Toc184314432"/>
      <w:bookmarkEnd w:id="370"/>
      <w:bookmarkStart w:id="371" w:name="_Toc184310313"/>
      <w:bookmarkEnd w:id="371"/>
      <w:bookmarkStart w:id="372" w:name="_Toc184308096"/>
      <w:bookmarkEnd w:id="372"/>
      <w:bookmarkStart w:id="373" w:name="_Toc184312128"/>
      <w:bookmarkEnd w:id="373"/>
      <w:bookmarkStart w:id="374" w:name="_Toc184308057"/>
      <w:bookmarkEnd w:id="374"/>
      <w:bookmarkStart w:id="375" w:name="_Toc184312107"/>
      <w:bookmarkEnd w:id="375"/>
      <w:bookmarkStart w:id="376" w:name="_Toc184312133"/>
      <w:bookmarkEnd w:id="376"/>
      <w:bookmarkStart w:id="377" w:name="_Toc184312078"/>
      <w:bookmarkEnd w:id="377"/>
      <w:bookmarkStart w:id="378" w:name="_Toc184310280"/>
      <w:bookmarkEnd w:id="378"/>
      <w:bookmarkStart w:id="379" w:name="_Toc184310315"/>
      <w:bookmarkEnd w:id="379"/>
      <w:bookmarkStart w:id="380" w:name="_Toc184314471"/>
      <w:bookmarkEnd w:id="380"/>
      <w:bookmarkStart w:id="381" w:name="_Toc184312091"/>
      <w:bookmarkEnd w:id="381"/>
      <w:bookmarkStart w:id="382" w:name="_Toc184308053"/>
      <w:bookmarkEnd w:id="382"/>
      <w:bookmarkStart w:id="383" w:name="_Toc184310289"/>
      <w:bookmarkEnd w:id="383"/>
      <w:bookmarkStart w:id="384" w:name="_Toc184310321"/>
      <w:bookmarkEnd w:id="384"/>
      <w:bookmarkStart w:id="385" w:name="_Toc184313292"/>
      <w:bookmarkEnd w:id="385"/>
      <w:bookmarkStart w:id="386" w:name="_Toc184310326"/>
      <w:bookmarkEnd w:id="386"/>
      <w:bookmarkStart w:id="387" w:name="_Toc184314430"/>
      <w:bookmarkEnd w:id="387"/>
      <w:bookmarkStart w:id="388" w:name="_Toc184314419"/>
      <w:bookmarkEnd w:id="388"/>
      <w:bookmarkStart w:id="389" w:name="_Toc184310333"/>
      <w:bookmarkEnd w:id="389"/>
      <w:bookmarkStart w:id="390" w:name="_Toc184308095"/>
      <w:bookmarkEnd w:id="390"/>
      <w:r>
        <w:rPr>
          <w:rFonts w:hint="eastAsia" w:ascii="仿宋" w:hAnsi="仿宋" w:eastAsia="仿宋" w:cs="仿宋"/>
          <w:b/>
          <w:color w:val="auto"/>
          <w:sz w:val="36"/>
          <w:szCs w:val="36"/>
          <w:highlight w:val="none"/>
        </w:rPr>
        <w:t>评标办法</w:t>
      </w:r>
    </w:p>
    <w:p w14:paraId="6C68EC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pPr w:leftFromText="180" w:rightFromText="180" w:vertAnchor="text" w:horzAnchor="page" w:tblpXSpec="center" w:tblpY="126"/>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5876"/>
        <w:gridCol w:w="1276"/>
        <w:gridCol w:w="2132"/>
      </w:tblGrid>
      <w:tr w14:paraId="408D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BFD2E5">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EBD762">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评标标准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8243DC">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10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B8936F">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投标文件中评标标准相应的商务技术资料目录</w:t>
            </w:r>
            <w:r>
              <w:rPr>
                <w:rFonts w:hint="eastAsia" w:ascii="仿宋" w:hAnsi="仿宋" w:eastAsia="仿宋" w:cs="仿宋"/>
                <w:sz w:val="24"/>
                <w:szCs w:val="24"/>
                <w:highlight w:val="none"/>
                <w:shd w:val="clear" w:color="auto" w:fill="FFFFFF"/>
              </w:rPr>
              <w:t> *</w:t>
            </w:r>
          </w:p>
        </w:tc>
      </w:tr>
      <w:tr w14:paraId="7717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A1D3D1">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eastAsia="zh-CN"/>
              </w:rPr>
            </w:pPr>
            <w:r>
              <w:rPr>
                <w:rFonts w:hint="eastAsia" w:ascii="仿宋" w:hAnsi="仿宋" w:cs="仿宋"/>
                <w:sz w:val="24"/>
                <w:szCs w:val="24"/>
                <w:highlight w:val="none"/>
                <w:lang w:val="en-US" w:eastAsia="zh-CN"/>
              </w:rPr>
              <w:t>1</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6DF5731">
            <w:pPr>
              <w:keepNext w:val="0"/>
              <w:keepLines w:val="0"/>
              <w:pageBreakBefore w:val="0"/>
              <w:kinsoku/>
              <w:wordWrap/>
              <w:overflowPunct/>
              <w:topLinePunct w:val="0"/>
              <w:autoSpaceDE/>
              <w:autoSpaceDN/>
              <w:bidi w:val="0"/>
              <w:adjustRightInd w:val="0"/>
              <w:snapToGrid/>
              <w:spacing w:line="240" w:lineRule="auto"/>
              <w:ind w:firstLine="0" w:firstLineChars="0"/>
              <w:jc w:val="both"/>
              <w:textAlignment w:val="auto"/>
              <w:outlineLvl w:val="0"/>
              <w:rPr>
                <w:rFonts w:hint="eastAsia" w:ascii="仿宋" w:hAnsi="仿宋" w:eastAsia="仿宋" w:cs="仿宋"/>
                <w:sz w:val="24"/>
                <w:szCs w:val="24"/>
                <w:highlight w:val="none"/>
              </w:rPr>
            </w:pPr>
            <w:r>
              <w:rPr>
                <w:rFonts w:hint="eastAsia" w:ascii="仿宋" w:hAnsi="仿宋" w:eastAsia="仿宋" w:cs="仿宋"/>
                <w:bCs/>
                <w:sz w:val="24"/>
                <w:szCs w:val="24"/>
              </w:rPr>
              <w:t>自20</w:t>
            </w:r>
            <w:r>
              <w:rPr>
                <w:rFonts w:hint="eastAsia" w:ascii="仿宋" w:hAnsi="仿宋" w:cs="仿宋"/>
                <w:bCs/>
                <w:sz w:val="24"/>
                <w:szCs w:val="24"/>
                <w:lang w:val="en-US" w:eastAsia="zh-CN"/>
              </w:rPr>
              <w:t>22</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1</w:t>
            </w:r>
            <w:r>
              <w:rPr>
                <w:rFonts w:hint="eastAsia" w:ascii="仿宋" w:hAnsi="仿宋" w:eastAsia="仿宋" w:cs="仿宋"/>
                <w:bCs/>
                <w:sz w:val="24"/>
                <w:szCs w:val="24"/>
              </w:rPr>
              <w:t>月1日以来</w:t>
            </w:r>
            <w:r>
              <w:rPr>
                <w:rFonts w:hint="eastAsia" w:ascii="仿宋" w:hAnsi="仿宋" w:eastAsia="仿宋" w:cs="仿宋"/>
                <w:bCs/>
                <w:sz w:val="24"/>
                <w:szCs w:val="24"/>
                <w:lang w:val="en-US" w:eastAsia="zh-CN"/>
              </w:rPr>
              <w:t>完成</w:t>
            </w:r>
            <w:r>
              <w:rPr>
                <w:rFonts w:hint="eastAsia" w:ascii="仿宋" w:hAnsi="仿宋" w:eastAsia="仿宋" w:cs="仿宋"/>
                <w:bCs/>
                <w:sz w:val="24"/>
                <w:szCs w:val="24"/>
              </w:rPr>
              <w:t>过的类似河道水环境生态治理服务项目的合同业</w:t>
            </w:r>
            <w:r>
              <w:rPr>
                <w:rFonts w:hint="eastAsia" w:ascii="仿宋" w:hAnsi="仿宋" w:eastAsia="仿宋" w:cs="仿宋"/>
                <w:bCs/>
                <w:sz w:val="24"/>
                <w:szCs w:val="24"/>
                <w:highlight w:val="none"/>
              </w:rPr>
              <w:t>绩,每一项得0.</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分。本项</w:t>
            </w:r>
            <w:r>
              <w:rPr>
                <w:rFonts w:hint="eastAsia" w:ascii="仿宋" w:hAnsi="仿宋" w:eastAsia="仿宋" w:cs="仿宋"/>
                <w:bCs/>
                <w:sz w:val="24"/>
                <w:szCs w:val="24"/>
              </w:rPr>
              <w:t>最高得</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w:t>
            </w:r>
            <w:r>
              <w:rPr>
                <w:rFonts w:hint="eastAsia" w:ascii="仿宋" w:hAnsi="仿宋" w:eastAsia="仿宋" w:cs="仿宋"/>
                <w:bCs/>
                <w:sz w:val="24"/>
                <w:szCs w:val="24"/>
                <w:lang w:val="en-US" w:eastAsia="zh-CN"/>
              </w:rPr>
              <w:t>需提供</w:t>
            </w:r>
            <w:r>
              <w:rPr>
                <w:rFonts w:hint="eastAsia" w:ascii="仿宋" w:hAnsi="仿宋" w:eastAsia="仿宋" w:cs="仿宋"/>
                <w:bCs/>
                <w:sz w:val="24"/>
                <w:szCs w:val="24"/>
              </w:rPr>
              <w:t>中标通知书、合同，复印件加盖公章，以上证明材料缺一不可，未提供的不得分）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447FBB">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p w14:paraId="77C10FDB">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客观</w:t>
            </w:r>
            <w:r>
              <w:rPr>
                <w:rFonts w:hint="eastAsia" w:ascii="仿宋" w:hAnsi="仿宋" w:eastAsia="仿宋" w:cs="仿宋"/>
                <w:sz w:val="24"/>
                <w:szCs w:val="24"/>
                <w:highlight w:val="none"/>
                <w:lang w:eastAsia="zh-CN"/>
              </w:rPr>
              <w:t>）</w:t>
            </w:r>
          </w:p>
        </w:tc>
        <w:tc>
          <w:tcPr>
            <w:tcW w:w="10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74C9F0">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业绩</w:t>
            </w:r>
          </w:p>
        </w:tc>
      </w:tr>
      <w:tr w14:paraId="6C7F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FCAF45">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cs="仿宋"/>
                <w:sz w:val="24"/>
                <w:szCs w:val="24"/>
                <w:highlight w:val="none"/>
                <w:lang w:val="en-US" w:eastAsia="zh-CN"/>
              </w:rPr>
              <w:t>2</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AE90F8">
            <w:pPr>
              <w:spacing w:line="24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rPr>
              <w:t>投标人</w:t>
            </w:r>
            <w:r>
              <w:rPr>
                <w:rFonts w:hint="eastAsia" w:ascii="仿宋" w:hAnsi="仿宋" w:eastAsia="仿宋" w:cs="仿宋"/>
                <w:bCs/>
                <w:sz w:val="24"/>
                <w:szCs w:val="24"/>
              </w:rPr>
              <w:t>具备有效质量管理体系认证证书</w:t>
            </w:r>
            <w:r>
              <w:rPr>
                <w:rFonts w:hint="eastAsia" w:ascii="仿宋" w:hAnsi="仿宋" w:cs="仿宋"/>
                <w:bCs/>
                <w:sz w:val="24"/>
                <w:szCs w:val="24"/>
                <w:lang w:eastAsia="zh-CN"/>
              </w:rPr>
              <w:t>，</w:t>
            </w:r>
            <w:r>
              <w:rPr>
                <w:rFonts w:hint="eastAsia" w:ascii="仿宋" w:hAnsi="仿宋" w:eastAsia="仿宋" w:cs="仿宋"/>
                <w:bCs/>
                <w:sz w:val="24"/>
                <w:szCs w:val="24"/>
              </w:rPr>
              <w:t>具备有效环境管理体系认证证书</w:t>
            </w:r>
            <w:r>
              <w:rPr>
                <w:rFonts w:hint="eastAsia" w:ascii="仿宋" w:hAnsi="仿宋" w:cs="仿宋"/>
                <w:bCs/>
                <w:sz w:val="24"/>
                <w:szCs w:val="24"/>
                <w:lang w:eastAsia="zh-CN"/>
              </w:rPr>
              <w:t>，</w:t>
            </w:r>
            <w:r>
              <w:rPr>
                <w:rFonts w:hint="eastAsia" w:ascii="仿宋" w:hAnsi="仿宋" w:eastAsia="仿宋" w:cs="仿宋"/>
                <w:bCs/>
                <w:sz w:val="24"/>
                <w:szCs w:val="24"/>
              </w:rPr>
              <w:t>具备有效职业健康安全管理体系认证</w:t>
            </w:r>
            <w:r>
              <w:rPr>
                <w:rFonts w:hint="eastAsia" w:ascii="仿宋" w:hAnsi="仿宋" w:eastAsia="仿宋" w:cs="仿宋_GB2312"/>
                <w:sz w:val="24"/>
                <w:highlight w:val="none"/>
              </w:rPr>
              <w:t>，有一项得</w:t>
            </w:r>
            <w:r>
              <w:rPr>
                <w:rFonts w:hint="eastAsia" w:ascii="仿宋" w:hAnsi="仿宋" w:cs="仿宋_GB2312"/>
                <w:sz w:val="24"/>
                <w:highlight w:val="none"/>
                <w:lang w:val="en-US" w:eastAsia="zh-CN"/>
              </w:rPr>
              <w:t>2</w:t>
            </w:r>
            <w:r>
              <w:rPr>
                <w:rFonts w:hint="eastAsia" w:ascii="仿宋" w:hAnsi="仿宋" w:eastAsia="仿宋" w:cs="仿宋_GB2312"/>
                <w:sz w:val="24"/>
                <w:highlight w:val="none"/>
              </w:rPr>
              <w:t>分；满分</w:t>
            </w:r>
            <w:r>
              <w:rPr>
                <w:rFonts w:hint="eastAsia" w:ascii="仿宋" w:hAnsi="仿宋" w:cs="仿宋_GB2312"/>
                <w:sz w:val="24"/>
                <w:highlight w:val="none"/>
                <w:lang w:val="en-US" w:eastAsia="zh-CN"/>
              </w:rPr>
              <w:t>6</w:t>
            </w:r>
            <w:r>
              <w:rPr>
                <w:rFonts w:hint="eastAsia" w:ascii="仿宋" w:hAnsi="仿宋" w:eastAsia="仿宋" w:cs="仿宋_GB2312"/>
                <w:sz w:val="24"/>
                <w:highlight w:val="none"/>
              </w:rPr>
              <w:t>分，没有则不得分。</w:t>
            </w:r>
          </w:p>
          <w:p w14:paraId="21361E1D">
            <w:pPr>
              <w:widowControl/>
              <w:spacing w:line="240" w:lineRule="auto"/>
              <w:jc w:val="left"/>
              <w:rPr>
                <w:rFonts w:hint="eastAsia" w:ascii="仿宋" w:hAnsi="仿宋" w:eastAsia="仿宋" w:cs="仿宋"/>
                <w:kern w:val="2"/>
                <w:sz w:val="24"/>
                <w:szCs w:val="24"/>
                <w:highlight w:val="none"/>
                <w:lang w:val="en-US" w:eastAsia="zh-CN" w:bidi="ar-SA"/>
              </w:rPr>
            </w:pPr>
            <w:r>
              <w:rPr>
                <w:rFonts w:hint="eastAsia" w:ascii="仿宋" w:hAnsi="仿宋" w:cs="仿宋_GB2312"/>
                <w:sz w:val="24"/>
                <w:highlight w:val="none"/>
                <w:lang w:val="en-US" w:eastAsia="zh-CN"/>
              </w:rPr>
              <w:t>注：</w:t>
            </w:r>
            <w:r>
              <w:rPr>
                <w:rFonts w:hint="eastAsia" w:ascii="仿宋" w:hAnsi="仿宋" w:eastAsia="仿宋" w:cs="仿宋_GB2312"/>
                <w:sz w:val="24"/>
                <w:highlight w:val="none"/>
              </w:rPr>
              <w:t>（</w:t>
            </w:r>
            <w:r>
              <w:rPr>
                <w:rFonts w:hint="eastAsia" w:ascii="仿宋" w:hAnsi="仿宋" w:eastAsia="仿宋" w:cs="仿宋"/>
                <w:color w:val="auto"/>
                <w:sz w:val="24"/>
                <w:highlight w:val="none"/>
                <w:lang w:val="en-US" w:eastAsia="zh-CN"/>
              </w:rPr>
              <w:t>投标文件中提供证书复印件并加盖投标人公章，证书需在有效期内，由评标委员会在国家认监委网站www.cnca.gov.cn查询，未在该网站上查询到</w:t>
            </w:r>
            <w:r>
              <w:rPr>
                <w:rFonts w:hint="eastAsia" w:ascii="仿宋" w:hAnsi="仿宋" w:eastAsia="仿宋" w:cs="仿宋"/>
                <w:bCs/>
                <w:sz w:val="24"/>
                <w:szCs w:val="24"/>
              </w:rPr>
              <w:t>有效状态</w:t>
            </w:r>
            <w:r>
              <w:rPr>
                <w:rFonts w:hint="eastAsia" w:ascii="仿宋" w:hAnsi="仿宋" w:eastAsia="仿宋" w:cs="仿宋"/>
                <w:color w:val="auto"/>
                <w:sz w:val="24"/>
                <w:highlight w:val="none"/>
                <w:lang w:val="en-US" w:eastAsia="zh-CN"/>
              </w:rPr>
              <w:t>的，不得分。</w:t>
            </w:r>
            <w:r>
              <w:rPr>
                <w:rFonts w:hint="eastAsia" w:ascii="仿宋" w:hAnsi="仿宋" w:eastAsia="仿宋" w:cs="仿宋"/>
                <w:sz w:val="24"/>
                <w:highlight w:val="none"/>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97C47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cs="仿宋_GB2312"/>
                <w:sz w:val="24"/>
                <w:highlight w:val="none"/>
                <w:lang w:val="en-US" w:eastAsia="zh-CN"/>
              </w:rPr>
            </w:pPr>
            <w:r>
              <w:rPr>
                <w:rFonts w:hint="eastAsia" w:ascii="仿宋" w:hAnsi="仿宋" w:cs="仿宋_GB2312"/>
                <w:sz w:val="24"/>
                <w:highlight w:val="none"/>
                <w:lang w:val="en-US" w:eastAsia="zh-CN"/>
              </w:rPr>
              <w:t>6</w:t>
            </w:r>
          </w:p>
          <w:p w14:paraId="4CB39C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客观</w:t>
            </w:r>
            <w:r>
              <w:rPr>
                <w:rFonts w:hint="eastAsia" w:ascii="仿宋" w:hAnsi="仿宋" w:eastAsia="仿宋" w:cs="仿宋_GB2312"/>
                <w:sz w:val="24"/>
                <w:highlight w:val="none"/>
                <w:lang w:eastAsia="zh-CN"/>
              </w:rPr>
              <w:t>）</w:t>
            </w:r>
          </w:p>
        </w:tc>
        <w:tc>
          <w:tcPr>
            <w:tcW w:w="10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116AB27">
            <w:pPr>
              <w:spacing w:line="360" w:lineRule="auto"/>
              <w:jc w:val="center"/>
              <w:outlineLvl w:val="0"/>
              <w:rPr>
                <w:rFonts w:hint="eastAsia" w:ascii="仿宋" w:hAnsi="仿宋" w:eastAsia="仿宋" w:cs="仿宋_GB2312"/>
                <w:sz w:val="24"/>
                <w:highlight w:val="none"/>
              </w:rPr>
            </w:pPr>
            <w:r>
              <w:rPr>
                <w:rFonts w:hint="eastAsia" w:ascii="仿宋" w:hAnsi="仿宋" w:eastAsia="仿宋" w:cs="仿宋_GB2312"/>
                <w:sz w:val="24"/>
                <w:highlight w:val="none"/>
              </w:rPr>
              <w:t>认证体系</w:t>
            </w:r>
          </w:p>
          <w:p w14:paraId="6E9F921A">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bCs/>
                <w:sz w:val="24"/>
                <w:szCs w:val="24"/>
                <w:highlight w:val="none"/>
                <w:lang w:val="en-US" w:eastAsia="zh-CN"/>
              </w:rPr>
              <w:t>（客观）</w:t>
            </w:r>
          </w:p>
        </w:tc>
      </w:tr>
      <w:tr w14:paraId="2E29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AC8E5E">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eastAsia="zh-CN"/>
              </w:rPr>
            </w:pPr>
            <w:r>
              <w:rPr>
                <w:rFonts w:hint="eastAsia" w:ascii="仿宋" w:hAnsi="仿宋" w:cs="仿宋"/>
                <w:sz w:val="24"/>
                <w:szCs w:val="24"/>
                <w:highlight w:val="none"/>
                <w:lang w:val="en-US" w:eastAsia="zh-CN"/>
              </w:rPr>
              <w:t>3</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911616">
            <w:pPr>
              <w:spacing w:line="240" w:lineRule="auto"/>
              <w:jc w:val="left"/>
              <w:rPr>
                <w:rFonts w:hint="eastAsia" w:ascii="仿宋" w:hAnsi="仿宋" w:eastAsia="仿宋" w:cs="仿宋"/>
                <w:sz w:val="24"/>
                <w:szCs w:val="24"/>
                <w:highlight w:val="none"/>
              </w:rPr>
            </w:pPr>
            <w:r>
              <w:rPr>
                <w:rFonts w:hint="eastAsia" w:ascii="仿宋" w:hAnsi="仿宋" w:eastAsia="仿宋" w:cs="仿宋"/>
                <w:bCs/>
                <w:sz w:val="24"/>
                <w:szCs w:val="24"/>
              </w:rPr>
              <w:t>运维服务计划和方案</w:t>
            </w:r>
            <w:r>
              <w:rPr>
                <w:rFonts w:hint="eastAsia" w:ascii="仿宋" w:hAnsi="仿宋" w:eastAsia="仿宋" w:cs="仿宋"/>
                <w:bCs/>
                <w:sz w:val="24"/>
                <w:szCs w:val="24"/>
                <w:lang w:eastAsia="zh-CN"/>
              </w:rPr>
              <w:t>：</w:t>
            </w:r>
            <w:r>
              <w:rPr>
                <w:rFonts w:hint="eastAsia" w:ascii="仿宋" w:hAnsi="仿宋" w:eastAsia="仿宋" w:cs="仿宋"/>
                <w:bCs/>
                <w:sz w:val="24"/>
                <w:szCs w:val="24"/>
              </w:rPr>
              <w:t>对投标人提供的设施运维、维修及运行管理方案、计划，设施运行操作规则与规程等</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内容的完整性、与项目的匹配性进行评分。方案内容完整且与项目匹配度好的得5分；方案内容基本完整且与项目匹配度较好的得</w:t>
            </w:r>
            <w:r>
              <w:rPr>
                <w:rFonts w:hint="eastAsia" w:ascii="仿宋" w:hAnsi="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val="en-US" w:eastAsia="zh-CN"/>
              </w:rPr>
              <w:t>分；方案内容存在欠缺或与项目匹配度一般的得</w:t>
            </w:r>
            <w:r>
              <w:rPr>
                <w:rFonts w:hint="eastAsia" w:ascii="仿宋" w:hAnsi="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val="en-US" w:eastAsia="zh-CN"/>
              </w:rPr>
              <w:t>分；方案内容缺失严重或与项目不匹配的不得分</w:t>
            </w:r>
            <w:r>
              <w:rPr>
                <w:rFonts w:hint="eastAsia" w:ascii="仿宋" w:hAnsi="仿宋" w:eastAsia="仿宋" w:cs="仿宋"/>
                <w:color w:val="auto"/>
                <w:highlight w:val="none"/>
                <w:lang w:val="zh-CN"/>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949552">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72D1CA20">
            <w:pPr>
              <w:spacing w:line="24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（主观）</w:t>
            </w:r>
          </w:p>
        </w:tc>
        <w:tc>
          <w:tcPr>
            <w:tcW w:w="1045" w:type="pct"/>
            <w:tcBorders>
              <w:top w:val="single" w:color="auto" w:sz="4" w:space="0"/>
              <w:left w:val="single" w:color="auto" w:sz="4" w:space="0"/>
              <w:right w:val="single" w:color="auto" w:sz="4" w:space="0"/>
              <w:tl2br w:val="nil"/>
              <w:tr2bl w:val="nil"/>
            </w:tcBorders>
            <w:noWrap w:val="0"/>
            <w:vAlign w:val="center"/>
          </w:tcPr>
          <w:p w14:paraId="6D6FC262">
            <w:pPr>
              <w:spacing w:line="240" w:lineRule="auto"/>
              <w:jc w:val="center"/>
              <w:outlineLvl w:val="0"/>
              <w:rPr>
                <w:rFonts w:hint="eastAsia" w:ascii="仿宋" w:hAnsi="仿宋" w:eastAsia="仿宋" w:cs="仿宋"/>
                <w:sz w:val="24"/>
                <w:szCs w:val="24"/>
                <w:highlight w:val="none"/>
              </w:rPr>
            </w:pPr>
            <w:r>
              <w:rPr>
                <w:rFonts w:hint="eastAsia" w:ascii="仿宋" w:hAnsi="仿宋" w:eastAsia="仿宋" w:cs="仿宋"/>
                <w:bCs/>
                <w:sz w:val="24"/>
                <w:szCs w:val="24"/>
                <w:lang w:val="en-US" w:eastAsia="zh-CN"/>
              </w:rPr>
              <w:t>运维服务计划和方案</w:t>
            </w:r>
          </w:p>
        </w:tc>
      </w:tr>
      <w:tr w14:paraId="023D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FCA68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4</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7FE9A0">
            <w:pPr>
              <w:spacing w:line="240" w:lineRule="auto"/>
              <w:jc w:val="left"/>
              <w:rPr>
                <w:rFonts w:hint="eastAsia" w:ascii="仿宋" w:hAnsi="仿宋" w:eastAsia="仿宋" w:cs="仿宋"/>
                <w:color w:val="000000"/>
                <w:sz w:val="24"/>
                <w:szCs w:val="24"/>
                <w:highlight w:val="none"/>
                <w:lang w:val="zh-CN" w:eastAsia="zh-CN"/>
              </w:rPr>
            </w:pPr>
            <w:r>
              <w:rPr>
                <w:rFonts w:hint="eastAsia" w:ascii="仿宋" w:hAnsi="仿宋" w:eastAsia="仿宋" w:cs="仿宋"/>
                <w:bCs/>
                <w:sz w:val="24"/>
                <w:szCs w:val="24"/>
              </w:rPr>
              <w:t>针对本项目有比较完善的组织架构及管理制度，清晰简练地列出主要管理流程，包括</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w:t>
            </w:r>
            <w:r>
              <w:rPr>
                <w:rFonts w:hint="eastAsia" w:ascii="仿宋" w:hAnsi="仿宋" w:eastAsia="仿宋" w:cs="仿宋"/>
                <w:bCs/>
                <w:sz w:val="24"/>
                <w:szCs w:val="24"/>
              </w:rPr>
              <w:t>运作流程图</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lang w:eastAsia="zh-CN"/>
              </w:rPr>
              <w:t>）</w:t>
            </w:r>
            <w:r>
              <w:rPr>
                <w:rFonts w:hint="eastAsia" w:ascii="仿宋" w:hAnsi="仿宋" w:eastAsia="仿宋" w:cs="仿宋"/>
                <w:bCs/>
                <w:sz w:val="24"/>
                <w:szCs w:val="24"/>
              </w:rPr>
              <w:t>激励机制</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lang w:eastAsia="zh-CN"/>
              </w:rPr>
              <w:t>）</w:t>
            </w:r>
            <w:r>
              <w:rPr>
                <w:rFonts w:hint="eastAsia" w:ascii="仿宋" w:hAnsi="仿宋" w:eastAsia="仿宋" w:cs="仿宋"/>
                <w:bCs/>
                <w:sz w:val="24"/>
                <w:szCs w:val="24"/>
              </w:rPr>
              <w:t>监督机制</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4</w:t>
            </w:r>
            <w:r>
              <w:rPr>
                <w:rFonts w:hint="eastAsia" w:ascii="仿宋" w:hAnsi="仿宋" w:eastAsia="仿宋" w:cs="仿宋"/>
                <w:bCs/>
                <w:sz w:val="24"/>
                <w:szCs w:val="24"/>
                <w:lang w:eastAsia="zh-CN"/>
              </w:rPr>
              <w:t>）</w:t>
            </w:r>
            <w:r>
              <w:rPr>
                <w:rFonts w:hint="eastAsia" w:ascii="仿宋" w:hAnsi="仿宋" w:eastAsia="仿宋" w:cs="仿宋"/>
                <w:bCs/>
                <w:sz w:val="24"/>
                <w:szCs w:val="24"/>
              </w:rPr>
              <w:t>自我约束机制</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5</w:t>
            </w:r>
            <w:r>
              <w:rPr>
                <w:rFonts w:hint="eastAsia" w:ascii="仿宋" w:hAnsi="仿宋" w:eastAsia="仿宋" w:cs="仿宋"/>
                <w:bCs/>
                <w:sz w:val="24"/>
                <w:szCs w:val="24"/>
                <w:lang w:eastAsia="zh-CN"/>
              </w:rPr>
              <w:t>）</w:t>
            </w:r>
            <w:r>
              <w:rPr>
                <w:rFonts w:hint="eastAsia" w:ascii="仿宋" w:hAnsi="仿宋" w:eastAsia="仿宋" w:cs="仿宋"/>
                <w:bCs/>
                <w:sz w:val="24"/>
                <w:szCs w:val="24"/>
              </w:rPr>
              <w:t>信息反馈渠道及处理机制</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每项</w:t>
            </w:r>
            <w:r>
              <w:rPr>
                <w:rFonts w:hint="eastAsia" w:ascii="仿宋" w:hAnsi="仿宋" w:eastAsia="仿宋" w:cs="仿宋"/>
                <w:color w:val="auto"/>
                <w:kern w:val="0"/>
                <w:sz w:val="24"/>
                <w:szCs w:val="24"/>
                <w:highlight w:val="none"/>
                <w:shd w:val="clear" w:color="auto" w:fill="auto"/>
                <w:lang w:val="en-US" w:eastAsia="zh-CN"/>
              </w:rPr>
              <w:t>方案内容完整且与项目匹配度好的得1分，每项方案内容存在欠缺或与项目匹配度一般的得0.5分。每项方案内容缺失严重或与项目不匹配的不得分。</w:t>
            </w:r>
            <w:r>
              <w:rPr>
                <w:rFonts w:hint="eastAsia" w:ascii="仿宋" w:hAnsi="仿宋" w:eastAsia="仿宋" w:cs="仿宋"/>
                <w:bCs/>
                <w:sz w:val="24"/>
                <w:szCs w:val="24"/>
              </w:rPr>
              <w:t>最多得</w:t>
            </w: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r>
              <w:rPr>
                <w:rFonts w:hint="eastAsia" w:ascii="仿宋" w:hAnsi="仿宋" w:eastAsia="仿宋" w:cs="仿宋"/>
                <w:bCs/>
                <w:sz w:val="24"/>
                <w:szCs w:val="24"/>
                <w:lang w:eastAsia="zh-CN"/>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F75C90">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67B9389C">
            <w:pPr>
              <w:spacing w:line="24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（主观）</w:t>
            </w:r>
          </w:p>
        </w:tc>
        <w:tc>
          <w:tcPr>
            <w:tcW w:w="1045" w:type="pct"/>
            <w:tcBorders>
              <w:left w:val="single" w:color="auto" w:sz="4" w:space="0"/>
              <w:right w:val="single" w:color="auto" w:sz="4" w:space="0"/>
              <w:tl2br w:val="nil"/>
              <w:tr2bl w:val="nil"/>
            </w:tcBorders>
            <w:noWrap w:val="0"/>
            <w:vAlign w:val="center"/>
          </w:tcPr>
          <w:p w14:paraId="269B928D">
            <w:pPr>
              <w:spacing w:line="240" w:lineRule="auto"/>
              <w:jc w:val="center"/>
              <w:outlineLvl w:val="0"/>
              <w:rPr>
                <w:rFonts w:hint="eastAsia" w:ascii="仿宋" w:hAnsi="仿宋" w:eastAsia="仿宋" w:cs="仿宋"/>
                <w:sz w:val="24"/>
                <w:szCs w:val="24"/>
                <w:highlight w:val="none"/>
              </w:rPr>
            </w:pPr>
            <w:r>
              <w:rPr>
                <w:rFonts w:hint="eastAsia" w:ascii="仿宋" w:hAnsi="仿宋" w:eastAsia="仿宋" w:cs="仿宋"/>
                <w:bCs/>
                <w:sz w:val="24"/>
                <w:szCs w:val="24"/>
                <w:lang w:val="en-US" w:eastAsia="zh-CN"/>
              </w:rPr>
              <w:t>组织架构</w:t>
            </w:r>
          </w:p>
        </w:tc>
      </w:tr>
      <w:tr w14:paraId="1AB9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0C7A6E">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5</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27EEF4">
            <w:pPr>
              <w:spacing w:line="240" w:lineRule="auto"/>
              <w:jc w:val="left"/>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Cs/>
                <w:sz w:val="24"/>
                <w:szCs w:val="24"/>
              </w:rPr>
              <w:t>对本项目的理解程度：包括对本项目所涉及到的现场实际情况的了解和调研、本项目的关键点和难点以及针对上述关键点、难点和其他可预见问题所提出的合理化建议和相应的解决措施。</w:t>
            </w:r>
            <w:r>
              <w:rPr>
                <w:rFonts w:hint="eastAsia" w:ascii="仿宋" w:hAnsi="仿宋" w:eastAsia="仿宋" w:cs="仿宋"/>
                <w:color w:val="auto"/>
                <w:kern w:val="0"/>
                <w:sz w:val="24"/>
                <w:szCs w:val="24"/>
                <w:highlight w:val="none"/>
                <w:shd w:val="clear" w:color="auto" w:fill="auto"/>
                <w:lang w:val="en-US" w:eastAsia="zh-CN"/>
              </w:rPr>
              <w:t>根据提供的方案内容的完整性、与项目的匹配性进行评分。方案内容完整且与项目匹配度好的得5分；方案内容基本完整且与项目匹配度较好的得</w:t>
            </w:r>
            <w:r>
              <w:rPr>
                <w:rFonts w:hint="eastAsia" w:ascii="仿宋" w:hAnsi="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val="en-US" w:eastAsia="zh-CN"/>
              </w:rPr>
              <w:t>分；方案内容存在欠缺或与项目匹配度一般的得</w:t>
            </w:r>
            <w:r>
              <w:rPr>
                <w:rFonts w:hint="eastAsia" w:ascii="仿宋" w:hAnsi="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val="en-US" w:eastAsia="zh-CN"/>
              </w:rPr>
              <w:t>分；方案内容缺失严重或与项目不匹配的不得分</w:t>
            </w:r>
            <w:r>
              <w:rPr>
                <w:rFonts w:hint="eastAsia" w:ascii="仿宋" w:hAnsi="仿宋" w:eastAsia="仿宋" w:cs="仿宋"/>
                <w:color w:val="auto"/>
                <w:highlight w:val="none"/>
                <w:lang w:val="zh-CN"/>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E5342F">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164ECCF1">
            <w:pPr>
              <w:spacing w:line="24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bCs/>
                <w:sz w:val="24"/>
                <w:szCs w:val="24"/>
              </w:rPr>
              <w:t>（主观）</w:t>
            </w:r>
          </w:p>
        </w:tc>
        <w:tc>
          <w:tcPr>
            <w:tcW w:w="1045" w:type="pct"/>
            <w:tcBorders>
              <w:left w:val="single" w:color="auto" w:sz="4" w:space="0"/>
              <w:right w:val="single" w:color="auto" w:sz="4" w:space="0"/>
              <w:tl2br w:val="nil"/>
              <w:tr2bl w:val="nil"/>
            </w:tcBorders>
            <w:noWrap w:val="0"/>
            <w:vAlign w:val="center"/>
          </w:tcPr>
          <w:p w14:paraId="38DC928F">
            <w:pPr>
              <w:spacing w:line="240" w:lineRule="auto"/>
              <w:jc w:val="center"/>
              <w:outlineLvl w:val="0"/>
              <w:rPr>
                <w:rFonts w:hint="eastAsia" w:ascii="仿宋" w:hAnsi="仿宋" w:eastAsia="仿宋" w:cs="仿宋"/>
                <w:sz w:val="24"/>
                <w:szCs w:val="24"/>
                <w:highlight w:val="none"/>
              </w:rPr>
            </w:pPr>
            <w:r>
              <w:rPr>
                <w:rFonts w:hint="eastAsia" w:ascii="仿宋" w:hAnsi="仿宋" w:eastAsia="仿宋" w:cs="仿宋"/>
                <w:bCs/>
                <w:sz w:val="24"/>
                <w:szCs w:val="24"/>
                <w:lang w:val="en-US" w:eastAsia="zh-CN"/>
              </w:rPr>
              <w:t>项目理解程度</w:t>
            </w:r>
          </w:p>
        </w:tc>
      </w:tr>
      <w:tr w14:paraId="5090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CFD3F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6</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D1D4B66">
            <w:pPr>
              <w:spacing w:line="240" w:lineRule="auto"/>
              <w:jc w:val="left"/>
              <w:rPr>
                <w:rFonts w:hint="default" w:ascii="仿宋" w:hAnsi="仿宋" w:eastAsia="仿宋" w:cs="仿宋"/>
                <w:b/>
                <w:bCs/>
                <w:color w:val="000000"/>
                <w:sz w:val="24"/>
                <w:szCs w:val="24"/>
                <w:highlight w:val="none"/>
                <w:lang w:val="en-US" w:eastAsia="zh-CN"/>
              </w:rPr>
            </w:pPr>
            <w:r>
              <w:rPr>
                <w:rFonts w:hint="eastAsia" w:ascii="仿宋" w:hAnsi="仿宋" w:eastAsia="仿宋" w:cs="仿宋"/>
                <w:bCs/>
                <w:sz w:val="24"/>
                <w:szCs w:val="24"/>
              </w:rPr>
              <w:t>应急响应方案：根据投标人提供的针对本项目（水质维护提升及水面保洁）水质恶化突发性事件、高温季节、防汛、渡汛的安全保证措施、重大活动创建和检查期间的应急响应管理</w:t>
            </w:r>
            <w:r>
              <w:rPr>
                <w:rFonts w:hint="eastAsia" w:ascii="仿宋" w:hAnsi="仿宋" w:eastAsia="仿宋" w:cs="仿宋"/>
                <w:bCs/>
                <w:sz w:val="24"/>
                <w:szCs w:val="24"/>
                <w:lang w:val="en-US" w:eastAsia="zh-CN"/>
              </w:rPr>
              <w:t>等</w:t>
            </w:r>
            <w:r>
              <w:rPr>
                <w:rFonts w:hint="eastAsia" w:ascii="仿宋" w:hAnsi="仿宋" w:eastAsia="仿宋" w:cs="仿宋"/>
                <w:bCs/>
                <w:sz w:val="24"/>
                <w:szCs w:val="24"/>
              </w:rPr>
              <w:t>内容的完整性、与项目的匹配性进行评分。方案内容完整且与项目匹配度好的得5分；方案内容基本完整且与项目匹配度较好的得</w:t>
            </w:r>
            <w:r>
              <w:rPr>
                <w:rFonts w:hint="eastAsia" w:ascii="仿宋" w:hAnsi="仿宋" w:cs="仿宋"/>
                <w:bCs/>
                <w:sz w:val="24"/>
                <w:szCs w:val="24"/>
                <w:lang w:val="en-US" w:eastAsia="zh-CN"/>
              </w:rPr>
              <w:t>3</w:t>
            </w:r>
            <w:r>
              <w:rPr>
                <w:rFonts w:hint="eastAsia" w:ascii="仿宋" w:hAnsi="仿宋" w:eastAsia="仿宋" w:cs="仿宋"/>
                <w:bCs/>
                <w:sz w:val="24"/>
                <w:szCs w:val="24"/>
              </w:rPr>
              <w:t>分；方案内容存在欠缺或与项目匹配度一般的得</w:t>
            </w:r>
            <w:r>
              <w:rPr>
                <w:rFonts w:hint="eastAsia" w:ascii="仿宋" w:hAnsi="仿宋" w:cs="仿宋"/>
                <w:bCs/>
                <w:sz w:val="24"/>
                <w:szCs w:val="24"/>
                <w:lang w:val="en-US" w:eastAsia="zh-CN"/>
              </w:rPr>
              <w:t>1</w:t>
            </w:r>
            <w:r>
              <w:rPr>
                <w:rFonts w:hint="eastAsia" w:ascii="仿宋" w:hAnsi="仿宋" w:eastAsia="仿宋" w:cs="仿宋"/>
                <w:bCs/>
                <w:sz w:val="24"/>
                <w:szCs w:val="24"/>
              </w:rPr>
              <w:t>分；方案内容缺失严重或与项目不匹配的不得分。</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23BD9C">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5E0482B3">
            <w:pPr>
              <w:spacing w:line="24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bCs/>
                <w:sz w:val="24"/>
                <w:szCs w:val="24"/>
              </w:rPr>
              <w:t>（主观）</w:t>
            </w:r>
          </w:p>
        </w:tc>
        <w:tc>
          <w:tcPr>
            <w:tcW w:w="1045" w:type="pct"/>
            <w:tcBorders>
              <w:left w:val="single" w:color="auto" w:sz="4" w:space="0"/>
              <w:right w:val="single" w:color="auto" w:sz="4" w:space="0"/>
              <w:tl2br w:val="nil"/>
              <w:tr2bl w:val="nil"/>
            </w:tcBorders>
            <w:noWrap w:val="0"/>
            <w:vAlign w:val="center"/>
          </w:tcPr>
          <w:p w14:paraId="56DD41D7">
            <w:pPr>
              <w:spacing w:line="240" w:lineRule="auto"/>
              <w:jc w:val="center"/>
              <w:outlineLvl w:val="0"/>
              <w:rPr>
                <w:rFonts w:hint="eastAsia" w:ascii="仿宋" w:hAnsi="仿宋" w:eastAsia="仿宋" w:cs="仿宋"/>
                <w:sz w:val="24"/>
                <w:szCs w:val="24"/>
                <w:highlight w:val="none"/>
              </w:rPr>
            </w:pPr>
            <w:r>
              <w:rPr>
                <w:rFonts w:hint="eastAsia" w:ascii="仿宋" w:hAnsi="仿宋" w:eastAsia="仿宋" w:cs="仿宋"/>
                <w:bCs/>
                <w:sz w:val="24"/>
                <w:szCs w:val="24"/>
                <w:lang w:val="en-US" w:eastAsia="zh-CN"/>
              </w:rPr>
              <w:t>应急方案</w:t>
            </w:r>
          </w:p>
        </w:tc>
      </w:tr>
      <w:tr w14:paraId="359E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0C65A7">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7</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AF63BAF">
            <w:pPr>
              <w:spacing w:line="240" w:lineRule="auto"/>
              <w:jc w:val="left"/>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Cs/>
                <w:sz w:val="24"/>
                <w:szCs w:val="24"/>
              </w:rPr>
              <w:t>生态培育稳定期养护管理方案：</w:t>
            </w:r>
            <w:r>
              <w:rPr>
                <w:rFonts w:hint="eastAsia" w:ascii="仿宋" w:hAnsi="仿宋" w:eastAsia="仿宋" w:cs="仿宋"/>
                <w:bCs/>
                <w:sz w:val="24"/>
                <w:szCs w:val="24"/>
                <w:lang w:val="en-US" w:eastAsia="zh-CN"/>
              </w:rPr>
              <w:t>根据投标人</w:t>
            </w:r>
            <w:r>
              <w:rPr>
                <w:rFonts w:hint="eastAsia" w:ascii="仿宋" w:hAnsi="仿宋" w:eastAsia="仿宋" w:cs="仿宋"/>
                <w:bCs/>
                <w:sz w:val="24"/>
                <w:szCs w:val="24"/>
                <w:lang w:val="zh-CN"/>
              </w:rPr>
              <w:t>提供的水体修复作业期间的日常管理制度</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内容的完整性、与项目的匹配性进行评分。方案内容完整且与项目匹配度好的得5分；方案内容基本完整且与项目匹配度较好的得</w:t>
            </w:r>
            <w:r>
              <w:rPr>
                <w:rFonts w:hint="eastAsia" w:ascii="仿宋" w:hAnsi="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val="en-US" w:eastAsia="zh-CN"/>
              </w:rPr>
              <w:t>分；方案内容存在欠缺或与项目匹配度一般的得</w:t>
            </w:r>
            <w:r>
              <w:rPr>
                <w:rFonts w:hint="eastAsia" w:ascii="仿宋" w:hAnsi="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val="en-US" w:eastAsia="zh-CN"/>
              </w:rPr>
              <w:t>分；方案内容缺失严重或与项目不匹配的不得分</w:t>
            </w:r>
            <w:r>
              <w:rPr>
                <w:rFonts w:hint="eastAsia" w:ascii="仿宋" w:hAnsi="仿宋" w:eastAsia="仿宋" w:cs="仿宋"/>
                <w:color w:val="auto"/>
                <w:highlight w:val="none"/>
                <w:lang w:val="zh-CN"/>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017EAE">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2D312BB8">
            <w:pPr>
              <w:spacing w:line="24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bCs/>
                <w:sz w:val="24"/>
                <w:szCs w:val="24"/>
              </w:rPr>
              <w:t>（主观）</w:t>
            </w:r>
          </w:p>
        </w:tc>
        <w:tc>
          <w:tcPr>
            <w:tcW w:w="1045" w:type="pct"/>
            <w:tcBorders>
              <w:top w:val="single" w:color="auto" w:sz="4" w:space="0"/>
              <w:left w:val="single" w:color="auto" w:sz="4" w:space="0"/>
              <w:right w:val="single" w:color="auto" w:sz="4" w:space="0"/>
              <w:tl2br w:val="nil"/>
              <w:tr2bl w:val="nil"/>
            </w:tcBorders>
            <w:noWrap w:val="0"/>
            <w:vAlign w:val="center"/>
          </w:tcPr>
          <w:p w14:paraId="7DED213C">
            <w:pPr>
              <w:spacing w:line="240" w:lineRule="auto"/>
              <w:jc w:val="center"/>
              <w:outlineLvl w:val="0"/>
              <w:rPr>
                <w:rFonts w:hint="eastAsia" w:ascii="仿宋" w:hAnsi="仿宋" w:eastAsia="仿宋" w:cs="仿宋"/>
                <w:sz w:val="24"/>
                <w:szCs w:val="24"/>
                <w:highlight w:val="none"/>
              </w:rPr>
            </w:pPr>
            <w:r>
              <w:rPr>
                <w:rFonts w:hint="eastAsia" w:ascii="仿宋" w:hAnsi="仿宋" w:eastAsia="仿宋" w:cs="仿宋"/>
                <w:bCs/>
                <w:sz w:val="24"/>
                <w:szCs w:val="24"/>
              </w:rPr>
              <w:t>生态培育</w:t>
            </w:r>
            <w:r>
              <w:rPr>
                <w:rFonts w:hint="eastAsia" w:ascii="仿宋" w:hAnsi="仿宋" w:eastAsia="仿宋" w:cs="仿宋"/>
                <w:bCs/>
                <w:sz w:val="24"/>
                <w:szCs w:val="24"/>
                <w:lang w:val="en-US" w:eastAsia="zh-CN"/>
              </w:rPr>
              <w:t>方案</w:t>
            </w:r>
          </w:p>
        </w:tc>
      </w:tr>
      <w:tr w14:paraId="3F0C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B7728F">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8</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57A497A">
            <w:pPr>
              <w:widowControl/>
              <w:spacing w:line="240" w:lineRule="auto"/>
              <w:jc w:val="left"/>
              <w:textAlignment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Cs/>
                <w:kern w:val="2"/>
                <w:sz w:val="24"/>
                <w:szCs w:val="24"/>
                <w:lang w:val="en-US" w:eastAsia="zh-CN" w:bidi="ar-SA"/>
              </w:rPr>
              <w:t>水质提升技术路线方案：根据投标人提供的针对不同河道的水质现状所采用的技术路线和养护工艺，从其技术路线和水质提升工艺的完整性、客观性、科学合理性等</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内容的完整性、与项目的匹配性进行评分。方案内容完整且与项目匹配度好的得5分；方案内容基本完整且与项目匹配度较好的得</w:t>
            </w:r>
            <w:r>
              <w:rPr>
                <w:rFonts w:hint="eastAsia" w:ascii="仿宋" w:hAnsi="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val="en-US" w:eastAsia="zh-CN"/>
              </w:rPr>
              <w:t>分；方案内容存在欠缺或与项目匹配度一般的得</w:t>
            </w:r>
            <w:r>
              <w:rPr>
                <w:rFonts w:hint="eastAsia" w:ascii="仿宋" w:hAnsi="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val="en-US" w:eastAsia="zh-CN"/>
              </w:rPr>
              <w:t>分；方案内容缺失严重或与项目不匹配的不得分</w:t>
            </w:r>
            <w:r>
              <w:rPr>
                <w:rFonts w:hint="eastAsia" w:ascii="仿宋" w:hAnsi="仿宋" w:eastAsia="仿宋" w:cs="仿宋"/>
                <w:color w:val="auto"/>
                <w:highlight w:val="none"/>
                <w:lang w:val="zh-CN"/>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7500D8">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69D54859">
            <w:pPr>
              <w:spacing w:line="24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bCs/>
                <w:sz w:val="24"/>
                <w:szCs w:val="24"/>
              </w:rPr>
              <w:t>（主观）</w:t>
            </w:r>
          </w:p>
        </w:tc>
        <w:tc>
          <w:tcPr>
            <w:tcW w:w="1045" w:type="pct"/>
            <w:tcBorders>
              <w:left w:val="single" w:color="auto" w:sz="4" w:space="0"/>
              <w:right w:val="single" w:color="auto" w:sz="4" w:space="0"/>
              <w:tl2br w:val="nil"/>
              <w:tr2bl w:val="nil"/>
            </w:tcBorders>
            <w:noWrap w:val="0"/>
            <w:vAlign w:val="center"/>
          </w:tcPr>
          <w:p w14:paraId="4C2118FE">
            <w:pPr>
              <w:widowControl/>
              <w:spacing w:line="240" w:lineRule="auto"/>
              <w:jc w:val="center"/>
              <w:textAlignment w:val="center"/>
              <w:rPr>
                <w:rFonts w:hint="eastAsia" w:ascii="仿宋" w:hAnsi="仿宋" w:eastAsia="仿宋" w:cs="仿宋"/>
                <w:sz w:val="24"/>
                <w:szCs w:val="24"/>
                <w:highlight w:val="none"/>
              </w:rPr>
            </w:pPr>
            <w:r>
              <w:rPr>
                <w:rFonts w:hint="eastAsia" w:ascii="仿宋" w:hAnsi="仿宋" w:eastAsia="仿宋" w:cs="仿宋"/>
                <w:bCs/>
                <w:sz w:val="24"/>
                <w:szCs w:val="24"/>
                <w:lang w:val="en-US" w:eastAsia="zh-CN"/>
              </w:rPr>
              <w:t>水质提升方案</w:t>
            </w:r>
          </w:p>
        </w:tc>
      </w:tr>
      <w:tr w14:paraId="15C1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1330E2">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9</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270BC2D">
            <w:pPr>
              <w:widowControl/>
              <w:spacing w:line="240" w:lineRule="auto"/>
              <w:jc w:val="left"/>
              <w:textAlignment w:val="center"/>
              <w:rPr>
                <w:rFonts w:hint="eastAsia" w:ascii="仿宋" w:hAnsi="仿宋" w:eastAsia="仿宋" w:cs="仿宋"/>
                <w:b/>
                <w:bCs/>
                <w:color w:val="000000"/>
                <w:sz w:val="24"/>
                <w:szCs w:val="24"/>
                <w:highlight w:val="none"/>
              </w:rPr>
            </w:pPr>
            <w:r>
              <w:rPr>
                <w:rFonts w:hint="eastAsia" w:ascii="仿宋" w:hAnsi="仿宋" w:eastAsia="仿宋" w:cs="仿宋"/>
                <w:bCs/>
                <w:kern w:val="2"/>
                <w:sz w:val="24"/>
                <w:szCs w:val="24"/>
                <w:lang w:val="en-US" w:eastAsia="zh-CN" w:bidi="ar-SA"/>
              </w:rPr>
              <w:t>水质保障方案：</w:t>
            </w:r>
            <w:r>
              <w:rPr>
                <w:rFonts w:hint="eastAsia" w:ascii="仿宋" w:hAnsi="仿宋" w:eastAsia="仿宋" w:cs="仿宋"/>
                <w:bCs/>
                <w:kern w:val="2"/>
                <w:sz w:val="24"/>
                <w:szCs w:val="24"/>
                <w:lang w:val="en-US" w:eastAsia="zh-CN" w:bidi="ar-SA"/>
              </w:rPr>
              <w:fldChar w:fldCharType="begin"/>
            </w:r>
            <w:r>
              <w:rPr>
                <w:rFonts w:hint="eastAsia" w:ascii="仿宋" w:hAnsi="仿宋" w:eastAsia="仿宋" w:cs="仿宋"/>
                <w:bCs/>
                <w:kern w:val="2"/>
                <w:sz w:val="24"/>
                <w:szCs w:val="24"/>
                <w:lang w:val="en-US" w:eastAsia="zh-CN" w:bidi="ar-SA"/>
              </w:rPr>
              <w:instrText xml:space="preserve"> = 1 \* GB3 </w:instrText>
            </w:r>
            <w:r>
              <w:rPr>
                <w:rFonts w:hint="eastAsia" w:ascii="仿宋" w:hAnsi="仿宋" w:eastAsia="仿宋" w:cs="仿宋"/>
                <w:bCs/>
                <w:kern w:val="2"/>
                <w:sz w:val="24"/>
                <w:szCs w:val="24"/>
                <w:lang w:val="en-US" w:eastAsia="zh-CN" w:bidi="ar-SA"/>
              </w:rPr>
              <w:fldChar w:fldCharType="separate"/>
            </w:r>
            <w:r>
              <w:rPr>
                <w:rFonts w:hint="eastAsia" w:ascii="仿宋" w:hAnsi="仿宋" w:eastAsia="仿宋" w:cs="仿宋"/>
                <w:bCs/>
                <w:kern w:val="2"/>
                <w:sz w:val="24"/>
                <w:szCs w:val="24"/>
                <w:lang w:val="en-US" w:eastAsia="zh-CN" w:bidi="ar-SA"/>
              </w:rPr>
              <w:t>①</w:t>
            </w:r>
            <w:r>
              <w:rPr>
                <w:rFonts w:hint="eastAsia" w:ascii="仿宋" w:hAnsi="仿宋" w:eastAsia="仿宋" w:cs="仿宋"/>
                <w:bCs/>
                <w:kern w:val="2"/>
                <w:sz w:val="24"/>
                <w:szCs w:val="24"/>
                <w:lang w:val="en-US" w:eastAsia="zh-CN" w:bidi="ar-SA"/>
              </w:rPr>
              <w:fldChar w:fldCharType="end"/>
            </w:r>
            <w:r>
              <w:rPr>
                <w:rFonts w:hint="eastAsia" w:ascii="仿宋" w:hAnsi="仿宋" w:eastAsia="仿宋" w:cs="仿宋"/>
                <w:bCs/>
                <w:kern w:val="2"/>
                <w:sz w:val="24"/>
                <w:szCs w:val="24"/>
                <w:lang w:val="en-US" w:eastAsia="zh-CN" w:bidi="ar-SA"/>
              </w:rPr>
              <w:t>三色预警维护方案；</w:t>
            </w:r>
            <w:r>
              <w:rPr>
                <w:rFonts w:hint="eastAsia" w:ascii="仿宋" w:hAnsi="仿宋" w:eastAsia="仿宋" w:cs="仿宋"/>
                <w:bCs/>
                <w:kern w:val="2"/>
                <w:sz w:val="24"/>
                <w:szCs w:val="24"/>
                <w:lang w:val="en-US" w:eastAsia="zh-CN" w:bidi="ar-SA"/>
              </w:rPr>
              <w:fldChar w:fldCharType="begin"/>
            </w:r>
            <w:r>
              <w:rPr>
                <w:rFonts w:hint="eastAsia" w:ascii="仿宋" w:hAnsi="仿宋" w:eastAsia="仿宋" w:cs="仿宋"/>
                <w:bCs/>
                <w:kern w:val="2"/>
                <w:sz w:val="24"/>
                <w:szCs w:val="24"/>
                <w:lang w:val="en-US" w:eastAsia="zh-CN" w:bidi="ar-SA"/>
              </w:rPr>
              <w:instrText xml:space="preserve"> = 2 \* GB3 </w:instrText>
            </w:r>
            <w:r>
              <w:rPr>
                <w:rFonts w:hint="eastAsia" w:ascii="仿宋" w:hAnsi="仿宋" w:eastAsia="仿宋" w:cs="仿宋"/>
                <w:bCs/>
                <w:kern w:val="2"/>
                <w:sz w:val="24"/>
                <w:szCs w:val="24"/>
                <w:lang w:val="en-US" w:eastAsia="zh-CN" w:bidi="ar-SA"/>
              </w:rPr>
              <w:fldChar w:fldCharType="separate"/>
            </w:r>
            <w:r>
              <w:rPr>
                <w:rFonts w:hint="eastAsia" w:ascii="仿宋" w:hAnsi="仿宋" w:eastAsia="仿宋" w:cs="仿宋"/>
                <w:bCs/>
                <w:kern w:val="2"/>
                <w:sz w:val="24"/>
                <w:szCs w:val="24"/>
                <w:lang w:val="en-US" w:eastAsia="zh-CN" w:bidi="ar-SA"/>
              </w:rPr>
              <w:t>②</w:t>
            </w:r>
            <w:r>
              <w:rPr>
                <w:rFonts w:hint="eastAsia" w:ascii="仿宋" w:hAnsi="仿宋" w:eastAsia="仿宋" w:cs="仿宋"/>
                <w:bCs/>
                <w:kern w:val="2"/>
                <w:sz w:val="24"/>
                <w:szCs w:val="24"/>
                <w:lang w:val="en-US" w:eastAsia="zh-CN" w:bidi="ar-SA"/>
              </w:rPr>
              <w:fldChar w:fldCharType="end"/>
            </w:r>
            <w:r>
              <w:rPr>
                <w:rFonts w:hint="eastAsia" w:ascii="仿宋" w:hAnsi="仿宋" w:eastAsia="仿宋" w:cs="仿宋"/>
                <w:bCs/>
                <w:kern w:val="2"/>
                <w:sz w:val="24"/>
                <w:szCs w:val="24"/>
                <w:lang w:val="en-US" w:eastAsia="zh-CN" w:bidi="ar-SA"/>
              </w:rPr>
              <w:t>生态修复方案；</w:t>
            </w:r>
            <w:r>
              <w:rPr>
                <w:rFonts w:hint="eastAsia" w:ascii="仿宋" w:hAnsi="仿宋" w:eastAsia="仿宋" w:cs="仿宋"/>
                <w:bCs/>
                <w:kern w:val="2"/>
                <w:sz w:val="24"/>
                <w:szCs w:val="24"/>
                <w:lang w:val="en-US" w:eastAsia="zh-CN" w:bidi="ar-SA"/>
              </w:rPr>
              <w:fldChar w:fldCharType="begin"/>
            </w:r>
            <w:r>
              <w:rPr>
                <w:rFonts w:hint="eastAsia" w:ascii="仿宋" w:hAnsi="仿宋" w:eastAsia="仿宋" w:cs="仿宋"/>
                <w:bCs/>
                <w:kern w:val="2"/>
                <w:sz w:val="24"/>
                <w:szCs w:val="24"/>
                <w:lang w:val="en-US" w:eastAsia="zh-CN" w:bidi="ar-SA"/>
              </w:rPr>
              <w:instrText xml:space="preserve"> = 3 \* GB3 </w:instrText>
            </w:r>
            <w:r>
              <w:rPr>
                <w:rFonts w:hint="eastAsia" w:ascii="仿宋" w:hAnsi="仿宋" w:eastAsia="仿宋" w:cs="仿宋"/>
                <w:bCs/>
                <w:kern w:val="2"/>
                <w:sz w:val="24"/>
                <w:szCs w:val="24"/>
                <w:lang w:val="en-US" w:eastAsia="zh-CN" w:bidi="ar-SA"/>
              </w:rPr>
              <w:fldChar w:fldCharType="separate"/>
            </w:r>
            <w:r>
              <w:rPr>
                <w:rFonts w:hint="eastAsia" w:ascii="仿宋" w:hAnsi="仿宋" w:eastAsia="仿宋" w:cs="仿宋"/>
                <w:bCs/>
                <w:kern w:val="2"/>
                <w:sz w:val="24"/>
                <w:szCs w:val="24"/>
                <w:lang w:val="en-US" w:eastAsia="zh-CN" w:bidi="ar-SA"/>
              </w:rPr>
              <w:t>③</w:t>
            </w:r>
            <w:r>
              <w:rPr>
                <w:rFonts w:hint="eastAsia" w:ascii="仿宋" w:hAnsi="仿宋" w:eastAsia="仿宋" w:cs="仿宋"/>
                <w:bCs/>
                <w:kern w:val="2"/>
                <w:sz w:val="24"/>
                <w:szCs w:val="24"/>
                <w:lang w:val="en-US" w:eastAsia="zh-CN" w:bidi="ar-SA"/>
              </w:rPr>
              <w:fldChar w:fldCharType="end"/>
            </w:r>
            <w:r>
              <w:rPr>
                <w:rFonts w:hint="eastAsia" w:ascii="仿宋" w:hAnsi="仿宋" w:eastAsia="仿宋" w:cs="仿宋"/>
                <w:bCs/>
                <w:kern w:val="2"/>
                <w:sz w:val="24"/>
                <w:szCs w:val="24"/>
                <w:lang w:val="en-US" w:eastAsia="zh-CN" w:bidi="ar-SA"/>
              </w:rPr>
              <w:t>排口治理方案；</w:t>
            </w:r>
            <w:r>
              <w:rPr>
                <w:rFonts w:hint="eastAsia" w:ascii="仿宋" w:hAnsi="仿宋" w:eastAsia="仿宋" w:cs="仿宋"/>
                <w:bCs/>
                <w:kern w:val="2"/>
                <w:sz w:val="24"/>
                <w:szCs w:val="24"/>
                <w:lang w:val="en-US" w:eastAsia="zh-CN" w:bidi="ar-SA"/>
              </w:rPr>
              <w:fldChar w:fldCharType="begin"/>
            </w:r>
            <w:r>
              <w:rPr>
                <w:rFonts w:hint="eastAsia" w:ascii="仿宋" w:hAnsi="仿宋" w:eastAsia="仿宋" w:cs="仿宋"/>
                <w:bCs/>
                <w:kern w:val="2"/>
                <w:sz w:val="24"/>
                <w:szCs w:val="24"/>
                <w:lang w:val="en-US" w:eastAsia="zh-CN" w:bidi="ar-SA"/>
              </w:rPr>
              <w:instrText xml:space="preserve"> = 4 \* GB3 </w:instrText>
            </w:r>
            <w:r>
              <w:rPr>
                <w:rFonts w:hint="eastAsia" w:ascii="仿宋" w:hAnsi="仿宋" w:eastAsia="仿宋" w:cs="仿宋"/>
                <w:bCs/>
                <w:kern w:val="2"/>
                <w:sz w:val="24"/>
                <w:szCs w:val="24"/>
                <w:lang w:val="en-US" w:eastAsia="zh-CN" w:bidi="ar-SA"/>
              </w:rPr>
              <w:fldChar w:fldCharType="separate"/>
            </w:r>
            <w:r>
              <w:rPr>
                <w:rFonts w:hint="eastAsia" w:ascii="仿宋" w:hAnsi="仿宋" w:eastAsia="仿宋" w:cs="仿宋"/>
                <w:bCs/>
                <w:kern w:val="2"/>
                <w:sz w:val="24"/>
                <w:szCs w:val="24"/>
                <w:lang w:val="en-US" w:eastAsia="zh-CN" w:bidi="ar-SA"/>
              </w:rPr>
              <w:t>④</w:t>
            </w:r>
            <w:r>
              <w:rPr>
                <w:rFonts w:hint="eastAsia" w:ascii="仿宋" w:hAnsi="仿宋" w:eastAsia="仿宋" w:cs="仿宋"/>
                <w:bCs/>
                <w:kern w:val="2"/>
                <w:sz w:val="24"/>
                <w:szCs w:val="24"/>
                <w:lang w:val="en-US" w:eastAsia="zh-CN" w:bidi="ar-SA"/>
              </w:rPr>
              <w:fldChar w:fldCharType="end"/>
            </w:r>
            <w:r>
              <w:rPr>
                <w:rFonts w:hint="eastAsia" w:ascii="仿宋" w:hAnsi="仿宋" w:eastAsia="仿宋" w:cs="仿宋"/>
                <w:bCs/>
                <w:kern w:val="2"/>
                <w:sz w:val="24"/>
                <w:szCs w:val="24"/>
                <w:lang w:val="en-US" w:eastAsia="zh-CN" w:bidi="ar-SA"/>
              </w:rPr>
              <w:t>增氧曝气系统方案、处理治安及其他突发事件；</w:t>
            </w:r>
            <w:r>
              <w:rPr>
                <w:rFonts w:hint="eastAsia" w:ascii="仿宋" w:hAnsi="仿宋" w:eastAsia="仿宋" w:cs="仿宋"/>
                <w:bCs/>
                <w:kern w:val="2"/>
                <w:sz w:val="24"/>
                <w:szCs w:val="24"/>
                <w:lang w:val="en-US" w:eastAsia="zh-CN" w:bidi="ar-SA"/>
              </w:rPr>
              <w:fldChar w:fldCharType="begin"/>
            </w:r>
            <w:r>
              <w:rPr>
                <w:rFonts w:hint="eastAsia" w:ascii="仿宋" w:hAnsi="仿宋" w:eastAsia="仿宋" w:cs="仿宋"/>
                <w:bCs/>
                <w:kern w:val="2"/>
                <w:sz w:val="24"/>
                <w:szCs w:val="24"/>
                <w:lang w:val="en-US" w:eastAsia="zh-CN" w:bidi="ar-SA"/>
              </w:rPr>
              <w:instrText xml:space="preserve"> = 5 \* GB3 </w:instrText>
            </w:r>
            <w:r>
              <w:rPr>
                <w:rFonts w:hint="eastAsia" w:ascii="仿宋" w:hAnsi="仿宋" w:eastAsia="仿宋" w:cs="仿宋"/>
                <w:bCs/>
                <w:kern w:val="2"/>
                <w:sz w:val="24"/>
                <w:szCs w:val="24"/>
                <w:lang w:val="en-US" w:eastAsia="zh-CN" w:bidi="ar-SA"/>
              </w:rPr>
              <w:fldChar w:fldCharType="separate"/>
            </w:r>
            <w:r>
              <w:rPr>
                <w:rFonts w:hint="eastAsia" w:ascii="仿宋" w:hAnsi="仿宋" w:eastAsia="仿宋" w:cs="仿宋"/>
                <w:bCs/>
                <w:kern w:val="2"/>
                <w:sz w:val="24"/>
                <w:szCs w:val="24"/>
                <w:lang w:val="en-US" w:eastAsia="zh-CN" w:bidi="ar-SA"/>
              </w:rPr>
              <w:t>⑤</w:t>
            </w:r>
            <w:r>
              <w:rPr>
                <w:rFonts w:hint="eastAsia" w:ascii="仿宋" w:hAnsi="仿宋" w:eastAsia="仿宋" w:cs="仿宋"/>
                <w:bCs/>
                <w:kern w:val="2"/>
                <w:sz w:val="24"/>
                <w:szCs w:val="24"/>
                <w:lang w:val="en-US" w:eastAsia="zh-CN" w:bidi="ar-SA"/>
              </w:rPr>
              <w:fldChar w:fldCharType="end"/>
            </w:r>
            <w:r>
              <w:rPr>
                <w:rFonts w:hint="eastAsia" w:ascii="仿宋" w:hAnsi="仿宋" w:eastAsia="仿宋" w:cs="仿宋"/>
                <w:bCs/>
                <w:kern w:val="2"/>
                <w:sz w:val="24"/>
                <w:szCs w:val="24"/>
                <w:lang w:val="en-US" w:eastAsia="zh-CN" w:bidi="ar-SA"/>
              </w:rPr>
              <w:t>微生物功能菌投加系统方案。方案完整、合理的，</w:t>
            </w:r>
            <w:r>
              <w:rPr>
                <w:rFonts w:hint="eastAsia" w:ascii="仿宋" w:hAnsi="仿宋" w:eastAsia="仿宋" w:cs="仿宋"/>
                <w:bCs/>
                <w:sz w:val="24"/>
                <w:szCs w:val="24"/>
                <w:lang w:val="en-US" w:eastAsia="zh-CN"/>
              </w:rPr>
              <w:t>每项</w:t>
            </w:r>
            <w:r>
              <w:rPr>
                <w:rFonts w:hint="eastAsia" w:ascii="仿宋" w:hAnsi="仿宋" w:eastAsia="仿宋" w:cs="仿宋"/>
                <w:color w:val="auto"/>
                <w:kern w:val="0"/>
                <w:sz w:val="24"/>
                <w:szCs w:val="24"/>
                <w:highlight w:val="none"/>
                <w:shd w:val="clear" w:color="auto" w:fill="auto"/>
                <w:lang w:val="en-US" w:eastAsia="zh-CN"/>
              </w:rPr>
              <w:t>方案内容完整且与项目匹配度好的得1分，每项方案内容存在欠缺或与项目匹配度一般的得0.5分。每项方案内容缺失严重或与项目不匹配的不得分。</w:t>
            </w:r>
            <w:r>
              <w:rPr>
                <w:rFonts w:hint="eastAsia" w:ascii="仿宋" w:hAnsi="仿宋" w:eastAsia="仿宋" w:cs="仿宋"/>
                <w:bCs/>
                <w:sz w:val="24"/>
                <w:szCs w:val="24"/>
              </w:rPr>
              <w:t>最多得</w:t>
            </w: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r>
              <w:rPr>
                <w:rFonts w:hint="eastAsia" w:ascii="仿宋" w:hAnsi="仿宋" w:eastAsia="仿宋" w:cs="仿宋"/>
                <w:bCs/>
                <w:sz w:val="24"/>
                <w:szCs w:val="24"/>
                <w:lang w:eastAsia="zh-CN"/>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BC4D1F">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42F193B3">
            <w:pPr>
              <w:spacing w:line="24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bCs/>
                <w:sz w:val="24"/>
                <w:szCs w:val="24"/>
              </w:rPr>
              <w:t>（主观）</w:t>
            </w:r>
          </w:p>
        </w:tc>
        <w:tc>
          <w:tcPr>
            <w:tcW w:w="1045" w:type="pct"/>
            <w:tcBorders>
              <w:left w:val="single" w:color="auto" w:sz="4" w:space="0"/>
              <w:right w:val="single" w:color="auto" w:sz="4" w:space="0"/>
              <w:tl2br w:val="nil"/>
              <w:tr2bl w:val="nil"/>
            </w:tcBorders>
            <w:noWrap w:val="0"/>
            <w:vAlign w:val="center"/>
          </w:tcPr>
          <w:p w14:paraId="68807BB8">
            <w:pPr>
              <w:widowControl/>
              <w:spacing w:line="240" w:lineRule="auto"/>
              <w:jc w:val="center"/>
              <w:textAlignment w:val="center"/>
              <w:rPr>
                <w:rFonts w:hint="eastAsia" w:ascii="仿宋" w:hAnsi="仿宋" w:eastAsia="仿宋" w:cs="仿宋"/>
                <w:sz w:val="24"/>
                <w:szCs w:val="24"/>
                <w:highlight w:val="none"/>
              </w:rPr>
            </w:pPr>
            <w:r>
              <w:rPr>
                <w:rFonts w:hint="eastAsia" w:ascii="仿宋" w:hAnsi="仿宋" w:eastAsia="仿宋" w:cs="仿宋"/>
                <w:bCs/>
                <w:kern w:val="2"/>
                <w:sz w:val="24"/>
                <w:szCs w:val="24"/>
                <w:lang w:val="en-US" w:eastAsia="zh-CN" w:bidi="ar-SA"/>
              </w:rPr>
              <w:t>水质保障方案</w:t>
            </w:r>
          </w:p>
        </w:tc>
      </w:tr>
      <w:tr w14:paraId="0F8C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EF8A9E">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10</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CDA512C">
            <w:pPr>
              <w:widowControl/>
              <w:spacing w:line="240" w:lineRule="auto"/>
              <w:jc w:val="left"/>
              <w:textAlignment w:val="center"/>
              <w:rPr>
                <w:rFonts w:hint="eastAsia" w:ascii="仿宋" w:hAnsi="仿宋" w:eastAsia="仿宋" w:cs="仿宋"/>
                <w:sz w:val="24"/>
                <w:szCs w:val="24"/>
                <w:highlight w:val="none"/>
              </w:rPr>
            </w:pPr>
            <w:r>
              <w:rPr>
                <w:rFonts w:hint="eastAsia" w:ascii="仿宋" w:hAnsi="仿宋" w:eastAsia="仿宋" w:cs="仿宋"/>
                <w:bCs/>
                <w:kern w:val="2"/>
                <w:sz w:val="24"/>
                <w:szCs w:val="24"/>
                <w:lang w:val="en-US" w:eastAsia="zh-CN" w:bidi="ar-SA"/>
              </w:rPr>
              <w:t>施工组织设计方案：根据投标人提供的施工组织设计方案、施工进度安排、文明和安全施工的质量保证措施、施工过程对本项目管理工作的影响性分析、验收方案等</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内容的完整性、与项目的匹配性进行评分。方案内容完整且与项目匹配度好的得5分；方案内容基本完整且与项目匹配度较好的得</w:t>
            </w:r>
            <w:r>
              <w:rPr>
                <w:rFonts w:hint="eastAsia" w:ascii="仿宋" w:hAnsi="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val="en-US" w:eastAsia="zh-CN"/>
              </w:rPr>
              <w:t>分；方案内容存在欠缺或与项目匹配度一般的得</w:t>
            </w:r>
            <w:r>
              <w:rPr>
                <w:rFonts w:hint="eastAsia" w:ascii="仿宋" w:hAnsi="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val="en-US" w:eastAsia="zh-CN"/>
              </w:rPr>
              <w:t>分；方案内容缺失严重或与项目不匹配的不得分</w:t>
            </w:r>
            <w:r>
              <w:rPr>
                <w:rFonts w:hint="eastAsia" w:ascii="仿宋" w:hAnsi="仿宋" w:eastAsia="仿宋" w:cs="仿宋"/>
                <w:color w:val="auto"/>
                <w:highlight w:val="none"/>
                <w:lang w:val="zh-CN"/>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41AF07">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0323174D">
            <w:pPr>
              <w:spacing w:line="24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（主观）</w:t>
            </w:r>
          </w:p>
        </w:tc>
        <w:tc>
          <w:tcPr>
            <w:tcW w:w="1045" w:type="pct"/>
            <w:tcBorders>
              <w:left w:val="single" w:color="auto" w:sz="4" w:space="0"/>
              <w:right w:val="single" w:color="auto" w:sz="4" w:space="0"/>
              <w:tl2br w:val="nil"/>
              <w:tr2bl w:val="nil"/>
            </w:tcBorders>
            <w:noWrap w:val="0"/>
            <w:vAlign w:val="center"/>
          </w:tcPr>
          <w:p w14:paraId="63F0F7B8">
            <w:pPr>
              <w:widowControl/>
              <w:spacing w:line="240" w:lineRule="auto"/>
              <w:jc w:val="center"/>
              <w:textAlignment w:val="center"/>
              <w:rPr>
                <w:rFonts w:hint="eastAsia" w:ascii="仿宋" w:hAnsi="仿宋" w:eastAsia="仿宋" w:cs="仿宋"/>
                <w:sz w:val="24"/>
                <w:szCs w:val="24"/>
                <w:highlight w:val="none"/>
              </w:rPr>
            </w:pPr>
            <w:r>
              <w:rPr>
                <w:rFonts w:hint="eastAsia" w:ascii="仿宋" w:hAnsi="仿宋" w:eastAsia="仿宋" w:cs="仿宋"/>
                <w:bCs/>
                <w:kern w:val="2"/>
                <w:sz w:val="24"/>
                <w:szCs w:val="24"/>
                <w:lang w:val="en-US" w:eastAsia="zh-CN" w:bidi="ar-SA"/>
              </w:rPr>
              <w:t>施工组织设计方案</w:t>
            </w:r>
          </w:p>
        </w:tc>
      </w:tr>
      <w:tr w14:paraId="2464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BE1CFD">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11</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57A092C">
            <w:pPr>
              <w:widowControl/>
              <w:spacing w:line="240" w:lineRule="auto"/>
              <w:jc w:val="left"/>
              <w:textAlignment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Cs/>
                <w:kern w:val="2"/>
                <w:sz w:val="24"/>
                <w:szCs w:val="24"/>
                <w:lang w:val="en-US" w:eastAsia="zh-CN" w:bidi="ar-SA"/>
              </w:rPr>
              <w:t>水生植物及管道维护服务方案：针对除枯死植株、植物补植、植物扶正、病虫害防治和监测、除草工程，包括枯死水生植物的清理、植物修剪、植物防护(防寒、旱、台、涝、高温等)、水生植物维护等提出合理化的方案及措施，根据方案及措施</w:t>
            </w:r>
            <w:r>
              <w:rPr>
                <w:rFonts w:hint="eastAsia" w:ascii="仿宋" w:hAnsi="仿宋" w:eastAsia="仿宋" w:cs="仿宋"/>
                <w:color w:val="auto"/>
                <w:kern w:val="0"/>
                <w:sz w:val="24"/>
                <w:szCs w:val="24"/>
                <w:highlight w:val="none"/>
                <w:shd w:val="clear" w:color="auto" w:fill="auto"/>
                <w:lang w:val="en-US" w:eastAsia="zh-CN"/>
              </w:rPr>
              <w:t>的完整性、与项目的匹配性进行评分。</w:t>
            </w:r>
            <w:r>
              <w:rPr>
                <w:rFonts w:hint="eastAsia" w:ascii="仿宋" w:hAnsi="仿宋" w:eastAsia="仿宋" w:cs="仿宋"/>
                <w:bCs/>
                <w:kern w:val="2"/>
                <w:sz w:val="24"/>
                <w:szCs w:val="24"/>
                <w:lang w:val="en-US" w:eastAsia="zh-CN" w:bidi="ar-SA"/>
              </w:rPr>
              <w:t>方案及措施</w:t>
            </w:r>
            <w:r>
              <w:rPr>
                <w:rFonts w:hint="eastAsia" w:ascii="仿宋" w:hAnsi="仿宋" w:eastAsia="仿宋" w:cs="仿宋"/>
                <w:color w:val="auto"/>
                <w:kern w:val="0"/>
                <w:sz w:val="24"/>
                <w:szCs w:val="24"/>
                <w:highlight w:val="none"/>
                <w:shd w:val="clear" w:color="auto" w:fill="auto"/>
                <w:lang w:val="en-US" w:eastAsia="zh-CN"/>
              </w:rPr>
              <w:t>完整且与项目匹配度好的得5分；</w:t>
            </w:r>
            <w:r>
              <w:rPr>
                <w:rFonts w:hint="eastAsia" w:ascii="仿宋" w:hAnsi="仿宋" w:eastAsia="仿宋" w:cs="仿宋"/>
                <w:bCs/>
                <w:kern w:val="2"/>
                <w:sz w:val="24"/>
                <w:szCs w:val="24"/>
                <w:lang w:val="en-US" w:eastAsia="zh-CN" w:bidi="ar-SA"/>
              </w:rPr>
              <w:t>方案及措施</w:t>
            </w:r>
            <w:r>
              <w:rPr>
                <w:rFonts w:hint="eastAsia" w:ascii="仿宋" w:hAnsi="仿宋" w:eastAsia="仿宋" w:cs="仿宋"/>
                <w:color w:val="auto"/>
                <w:kern w:val="0"/>
                <w:sz w:val="24"/>
                <w:szCs w:val="24"/>
                <w:highlight w:val="none"/>
                <w:shd w:val="clear" w:color="auto" w:fill="auto"/>
                <w:lang w:val="en-US" w:eastAsia="zh-CN"/>
              </w:rPr>
              <w:t>基本完整且与项目匹配度较好的得</w:t>
            </w:r>
            <w:r>
              <w:rPr>
                <w:rFonts w:hint="eastAsia" w:ascii="仿宋" w:hAnsi="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val="en-US" w:eastAsia="zh-CN"/>
              </w:rPr>
              <w:t>分；</w:t>
            </w:r>
            <w:r>
              <w:rPr>
                <w:rFonts w:hint="eastAsia" w:ascii="仿宋" w:hAnsi="仿宋" w:eastAsia="仿宋" w:cs="仿宋"/>
                <w:bCs/>
                <w:kern w:val="2"/>
                <w:sz w:val="24"/>
                <w:szCs w:val="24"/>
                <w:lang w:val="en-US" w:eastAsia="zh-CN" w:bidi="ar-SA"/>
              </w:rPr>
              <w:t>方案及措施</w:t>
            </w:r>
            <w:r>
              <w:rPr>
                <w:rFonts w:hint="eastAsia" w:ascii="仿宋" w:hAnsi="仿宋" w:eastAsia="仿宋" w:cs="仿宋"/>
                <w:color w:val="auto"/>
                <w:kern w:val="0"/>
                <w:sz w:val="24"/>
                <w:szCs w:val="24"/>
                <w:highlight w:val="none"/>
                <w:shd w:val="clear" w:color="auto" w:fill="auto"/>
                <w:lang w:val="en-US" w:eastAsia="zh-CN"/>
              </w:rPr>
              <w:t>存在欠缺或与项目匹配度一般的得</w:t>
            </w:r>
            <w:r>
              <w:rPr>
                <w:rFonts w:hint="eastAsia" w:ascii="仿宋" w:hAnsi="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val="en-US" w:eastAsia="zh-CN"/>
              </w:rPr>
              <w:t>分；</w:t>
            </w:r>
            <w:r>
              <w:rPr>
                <w:rFonts w:hint="eastAsia" w:ascii="仿宋" w:hAnsi="仿宋" w:eastAsia="仿宋" w:cs="仿宋"/>
                <w:bCs/>
                <w:kern w:val="2"/>
                <w:sz w:val="24"/>
                <w:szCs w:val="24"/>
                <w:lang w:val="en-US" w:eastAsia="zh-CN" w:bidi="ar-SA"/>
              </w:rPr>
              <w:t>方案及措施</w:t>
            </w:r>
            <w:r>
              <w:rPr>
                <w:rFonts w:hint="eastAsia" w:ascii="仿宋" w:hAnsi="仿宋" w:eastAsia="仿宋" w:cs="仿宋"/>
                <w:color w:val="auto"/>
                <w:kern w:val="0"/>
                <w:sz w:val="24"/>
                <w:szCs w:val="24"/>
                <w:highlight w:val="none"/>
                <w:shd w:val="clear" w:color="auto" w:fill="auto"/>
                <w:lang w:val="en-US" w:eastAsia="zh-CN"/>
              </w:rPr>
              <w:t>缺失严重或与项目不匹配的不得分</w:t>
            </w:r>
            <w:r>
              <w:rPr>
                <w:rFonts w:hint="eastAsia" w:ascii="仿宋" w:hAnsi="仿宋" w:eastAsia="仿宋" w:cs="仿宋"/>
                <w:color w:val="auto"/>
                <w:highlight w:val="none"/>
                <w:lang w:val="zh-CN"/>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A9B77A">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58F2C21D">
            <w:pPr>
              <w:widowControl/>
              <w:spacing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（主观）</w:t>
            </w:r>
          </w:p>
        </w:tc>
        <w:tc>
          <w:tcPr>
            <w:tcW w:w="1045" w:type="pct"/>
            <w:tcBorders>
              <w:left w:val="single" w:color="auto" w:sz="4" w:space="0"/>
              <w:right w:val="single" w:color="auto" w:sz="4" w:space="0"/>
              <w:tl2br w:val="nil"/>
              <w:tr2bl w:val="nil"/>
            </w:tcBorders>
            <w:noWrap w:val="0"/>
            <w:vAlign w:val="center"/>
          </w:tcPr>
          <w:p w14:paraId="75D99E08">
            <w:pPr>
              <w:widowControl/>
              <w:spacing w:line="240" w:lineRule="auto"/>
              <w:jc w:val="center"/>
              <w:textAlignment w:val="center"/>
              <w:rPr>
                <w:rFonts w:hint="eastAsia" w:ascii="仿宋" w:hAnsi="仿宋" w:eastAsia="仿宋" w:cs="仿宋"/>
                <w:sz w:val="24"/>
                <w:szCs w:val="24"/>
                <w:highlight w:val="none"/>
                <w:lang w:eastAsia="zh-CN"/>
              </w:rPr>
            </w:pPr>
            <w:r>
              <w:rPr>
                <w:rFonts w:hint="eastAsia" w:ascii="仿宋" w:hAnsi="仿宋" w:eastAsia="仿宋" w:cs="仿宋"/>
                <w:bCs/>
                <w:kern w:val="2"/>
                <w:sz w:val="24"/>
                <w:szCs w:val="24"/>
                <w:lang w:val="en-US" w:eastAsia="zh-CN" w:bidi="ar-SA"/>
              </w:rPr>
              <w:t>水生植物及管道维护服务方案</w:t>
            </w:r>
          </w:p>
        </w:tc>
      </w:tr>
      <w:tr w14:paraId="267C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F813D6">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12</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3197CA">
            <w:pPr>
              <w:spacing w:line="240" w:lineRule="auto"/>
              <w:jc w:val="left"/>
              <w:rPr>
                <w:rFonts w:hint="eastAsia" w:ascii="仿宋" w:hAnsi="仿宋" w:eastAsia="仿宋" w:cs="仿宋"/>
                <w:b w:val="0"/>
                <w:bCs w:val="0"/>
                <w:sz w:val="24"/>
                <w:szCs w:val="24"/>
                <w:highlight w:val="none"/>
              </w:rPr>
            </w:pPr>
            <w:r>
              <w:rPr>
                <w:rFonts w:hint="eastAsia" w:ascii="仿宋" w:hAnsi="仿宋" w:eastAsia="仿宋" w:cs="仿宋"/>
                <w:color w:val="auto"/>
                <w:kern w:val="0"/>
                <w:sz w:val="24"/>
                <w:szCs w:val="24"/>
                <w:highlight w:val="none"/>
                <w:shd w:val="clear" w:color="auto" w:fill="auto"/>
                <w:lang w:val="en-US" w:eastAsia="zh-CN"/>
              </w:rPr>
              <w:t>垃圾清运及处理方案：根据投标人对河道治理中产生的垃圾清运及处理的方案等内容的完整性、与项目的匹配性进行评分。方案内容完整且与项目匹配度好的得5分；方案内容基本完整且与项目匹配度较好的得</w:t>
            </w:r>
            <w:r>
              <w:rPr>
                <w:rFonts w:hint="eastAsia" w:ascii="仿宋" w:hAnsi="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val="en-US" w:eastAsia="zh-CN"/>
              </w:rPr>
              <w:t>分；方案内容存在欠缺或与项目匹配度一般的得</w:t>
            </w:r>
            <w:r>
              <w:rPr>
                <w:rFonts w:hint="eastAsia" w:ascii="仿宋" w:hAnsi="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val="en-US" w:eastAsia="zh-CN"/>
              </w:rPr>
              <w:t>分；方案内容缺失严重或与项目不匹配的不得分</w:t>
            </w:r>
            <w:r>
              <w:rPr>
                <w:rFonts w:hint="eastAsia" w:ascii="仿宋" w:hAnsi="仿宋" w:eastAsia="仿宋" w:cs="仿宋"/>
                <w:color w:val="auto"/>
                <w:kern w:val="0"/>
                <w:sz w:val="24"/>
                <w:szCs w:val="24"/>
                <w:highlight w:val="none"/>
                <w:shd w:val="clear" w:color="auto" w:fill="auto"/>
                <w:lang w:val="zh-CN" w:eastAsia="zh-CN"/>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FDEE05">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1CB6E156">
            <w:pPr>
              <w:widowControl/>
              <w:spacing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（主观）</w:t>
            </w:r>
          </w:p>
        </w:tc>
        <w:tc>
          <w:tcPr>
            <w:tcW w:w="1045" w:type="pct"/>
            <w:tcBorders>
              <w:left w:val="single" w:color="auto" w:sz="4" w:space="0"/>
              <w:right w:val="single" w:color="auto" w:sz="4" w:space="0"/>
              <w:tl2br w:val="nil"/>
              <w:tr2bl w:val="nil"/>
            </w:tcBorders>
            <w:noWrap w:val="0"/>
            <w:vAlign w:val="center"/>
          </w:tcPr>
          <w:p w14:paraId="6EC37B82">
            <w:pPr>
              <w:widowControl/>
              <w:spacing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bCs/>
                <w:kern w:val="2"/>
                <w:sz w:val="24"/>
                <w:szCs w:val="24"/>
                <w:lang w:val="en-US" w:eastAsia="zh-CN" w:bidi="ar-SA"/>
              </w:rPr>
              <w:t>垃圾清运及处理方案</w:t>
            </w:r>
          </w:p>
        </w:tc>
      </w:tr>
      <w:tr w14:paraId="07A5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85B4A5">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cs="仿宋"/>
                <w:sz w:val="24"/>
                <w:szCs w:val="24"/>
                <w:highlight w:val="none"/>
                <w:lang w:val="en-US" w:eastAsia="zh-CN"/>
              </w:rPr>
              <w:t>3</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95ED25">
            <w:pPr>
              <w:spacing w:line="240" w:lineRule="auto"/>
              <w:jc w:val="left"/>
              <w:rPr>
                <w:rFonts w:hint="eastAsia" w:ascii="仿宋" w:hAnsi="仿宋" w:eastAsia="仿宋" w:cs="仿宋"/>
                <w:b w:val="0"/>
                <w:bCs w:val="0"/>
                <w:sz w:val="24"/>
                <w:szCs w:val="24"/>
                <w:highlight w:val="none"/>
              </w:rPr>
            </w:pPr>
            <w:r>
              <w:rPr>
                <w:rFonts w:hint="eastAsia" w:ascii="仿宋" w:hAnsi="仿宋" w:eastAsia="仿宋" w:cs="仿宋"/>
                <w:bCs/>
                <w:kern w:val="2"/>
                <w:sz w:val="24"/>
                <w:szCs w:val="24"/>
                <w:lang w:val="en-US" w:eastAsia="zh-CN" w:bidi="ar-SA"/>
              </w:rPr>
              <w:t>日常巡查方案：根据投标人水质提升作业期间的日常巡查方案</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内容的完整性、与项目的匹配性进行评分。方案内容完整且与项目匹配度好的得5分；方案内容基本完整且与项目匹配度较好的得</w:t>
            </w:r>
            <w:r>
              <w:rPr>
                <w:rFonts w:hint="eastAsia" w:ascii="仿宋" w:hAnsi="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val="en-US" w:eastAsia="zh-CN"/>
              </w:rPr>
              <w:t>分；方案内容存在欠缺或与项目匹配度一般的得</w:t>
            </w:r>
            <w:r>
              <w:rPr>
                <w:rFonts w:hint="eastAsia" w:ascii="仿宋" w:hAnsi="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val="en-US" w:eastAsia="zh-CN"/>
              </w:rPr>
              <w:t>分；方案内容缺失严重或与项目不匹配的不得分</w:t>
            </w:r>
            <w:r>
              <w:rPr>
                <w:rFonts w:hint="eastAsia" w:ascii="仿宋" w:hAnsi="仿宋" w:eastAsia="仿宋" w:cs="仿宋"/>
                <w:color w:val="auto"/>
                <w:highlight w:val="none"/>
                <w:lang w:val="zh-CN"/>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5CB61C">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04B763E8">
            <w:pPr>
              <w:widowControl/>
              <w:spacing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（主观）</w:t>
            </w:r>
          </w:p>
        </w:tc>
        <w:tc>
          <w:tcPr>
            <w:tcW w:w="1045" w:type="pct"/>
            <w:tcBorders>
              <w:left w:val="single" w:color="auto" w:sz="4" w:space="0"/>
              <w:right w:val="single" w:color="auto" w:sz="4" w:space="0"/>
              <w:tl2br w:val="nil"/>
              <w:tr2bl w:val="nil"/>
            </w:tcBorders>
            <w:noWrap w:val="0"/>
            <w:vAlign w:val="center"/>
          </w:tcPr>
          <w:p w14:paraId="08794528">
            <w:pPr>
              <w:widowControl/>
              <w:spacing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bCs/>
                <w:kern w:val="2"/>
                <w:sz w:val="24"/>
                <w:szCs w:val="24"/>
                <w:lang w:val="en-US" w:eastAsia="zh-CN" w:bidi="ar-SA"/>
              </w:rPr>
              <w:t>日常巡查方案</w:t>
            </w:r>
          </w:p>
        </w:tc>
      </w:tr>
      <w:tr w14:paraId="724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BA5F0E">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cs="仿宋"/>
                <w:sz w:val="24"/>
                <w:szCs w:val="24"/>
                <w:highlight w:val="none"/>
                <w:lang w:val="en-US" w:eastAsia="zh-CN"/>
              </w:rPr>
              <w:t>4</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520219">
            <w:pPr>
              <w:spacing w:line="240" w:lineRule="auto"/>
              <w:jc w:val="left"/>
              <w:rPr>
                <w:rFonts w:hint="eastAsia" w:ascii="仿宋" w:hAnsi="仿宋" w:eastAsia="仿宋" w:cs="仿宋"/>
                <w:b w:val="0"/>
                <w:bCs w:val="0"/>
                <w:sz w:val="24"/>
                <w:szCs w:val="24"/>
                <w:highlight w:val="none"/>
              </w:rPr>
            </w:pPr>
            <w:r>
              <w:rPr>
                <w:rFonts w:hint="eastAsia" w:ascii="仿宋" w:hAnsi="仿宋" w:eastAsia="仿宋" w:cs="仿宋"/>
                <w:bCs/>
                <w:kern w:val="2"/>
                <w:sz w:val="24"/>
                <w:szCs w:val="24"/>
                <w:lang w:val="en-US" w:eastAsia="zh-CN" w:bidi="ar-SA"/>
              </w:rPr>
              <w:t>售后服务：根据投标人售后服务网点的设立以及提供的响应时间、到场时间和问题解决时长的情况等</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内容的完整性、与项目的匹配性进行评分。方案内容完整且与项目匹配度好的得5分；方案内容基本完整且与项目匹配度较好的得</w:t>
            </w:r>
            <w:r>
              <w:rPr>
                <w:rFonts w:hint="eastAsia" w:ascii="仿宋" w:hAnsi="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val="en-US" w:eastAsia="zh-CN"/>
              </w:rPr>
              <w:t>分；方案内容存在欠缺或与项目匹配度一般的得</w:t>
            </w:r>
            <w:r>
              <w:rPr>
                <w:rFonts w:hint="eastAsia" w:ascii="仿宋" w:hAnsi="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val="en-US" w:eastAsia="zh-CN"/>
              </w:rPr>
              <w:t>分；方案内容缺失严重或与项目不匹配的不得分</w:t>
            </w:r>
            <w:r>
              <w:rPr>
                <w:rFonts w:hint="eastAsia" w:ascii="仿宋" w:hAnsi="仿宋" w:eastAsia="仿宋" w:cs="仿宋"/>
                <w:color w:val="auto"/>
                <w:highlight w:val="none"/>
                <w:lang w:val="zh-CN"/>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6B3D177">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76A2B674">
            <w:pPr>
              <w:spacing w:line="24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（主观）</w:t>
            </w:r>
          </w:p>
        </w:tc>
        <w:tc>
          <w:tcPr>
            <w:tcW w:w="1045" w:type="pct"/>
            <w:tcBorders>
              <w:left w:val="single" w:color="auto" w:sz="4" w:space="0"/>
              <w:right w:val="single" w:color="auto" w:sz="4" w:space="0"/>
              <w:tl2br w:val="nil"/>
              <w:tr2bl w:val="nil"/>
            </w:tcBorders>
            <w:noWrap w:val="0"/>
            <w:vAlign w:val="center"/>
          </w:tcPr>
          <w:p w14:paraId="6D941555">
            <w:pPr>
              <w:widowControl/>
              <w:adjustRightInd/>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bCs/>
                <w:kern w:val="2"/>
                <w:sz w:val="24"/>
                <w:szCs w:val="24"/>
                <w:lang w:val="en-US" w:eastAsia="zh-CN" w:bidi="ar-SA"/>
              </w:rPr>
              <w:t>售后服务</w:t>
            </w:r>
          </w:p>
        </w:tc>
      </w:tr>
      <w:tr w14:paraId="5875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15C049">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15</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13DB6A">
            <w:pPr>
              <w:spacing w:line="240" w:lineRule="auto"/>
              <w:jc w:val="left"/>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Cs/>
                <w:kern w:val="2"/>
                <w:sz w:val="24"/>
                <w:szCs w:val="24"/>
                <w:lang w:val="en-US" w:eastAsia="zh-CN" w:bidi="ar-SA"/>
              </w:rPr>
              <w:t>根据投标人档案建立与保存措施；交接管理中标后的平稳过度工作，提供完整的工作交接等方案</w:t>
            </w:r>
            <w:r>
              <w:rPr>
                <w:rFonts w:hint="eastAsia" w:ascii="仿宋" w:hAnsi="仿宋" w:eastAsia="仿宋" w:cs="仿宋"/>
                <w:color w:val="auto"/>
                <w:kern w:val="0"/>
                <w:sz w:val="24"/>
                <w:szCs w:val="24"/>
                <w:highlight w:val="none"/>
                <w:shd w:val="clear" w:color="auto" w:fill="auto"/>
                <w:lang w:val="en-US" w:eastAsia="zh-CN"/>
              </w:rPr>
              <w:t>内容的完整性、与项目的匹配性进行评分。方案内容完整且与项目匹配度好的得5分；方案内容基本完整且与项目匹配度较好的得</w:t>
            </w:r>
            <w:r>
              <w:rPr>
                <w:rFonts w:hint="eastAsia" w:ascii="仿宋" w:hAnsi="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val="en-US" w:eastAsia="zh-CN"/>
              </w:rPr>
              <w:t>分；方案内容存在欠缺或与项目匹配度一般的得</w:t>
            </w:r>
            <w:r>
              <w:rPr>
                <w:rFonts w:hint="eastAsia" w:ascii="仿宋" w:hAnsi="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val="en-US" w:eastAsia="zh-CN"/>
              </w:rPr>
              <w:t>分；方案内容缺失严重或与项目不匹配的不得分</w:t>
            </w:r>
            <w:r>
              <w:rPr>
                <w:rFonts w:hint="eastAsia" w:ascii="仿宋" w:hAnsi="仿宋" w:eastAsia="仿宋" w:cs="仿宋"/>
                <w:color w:val="auto"/>
                <w:highlight w:val="none"/>
                <w:lang w:val="zh-CN"/>
              </w:rPr>
              <w:t>。</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91028D">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3694A7E4">
            <w:pPr>
              <w:spacing w:line="24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（主观）</w:t>
            </w:r>
          </w:p>
        </w:tc>
        <w:tc>
          <w:tcPr>
            <w:tcW w:w="1045" w:type="pct"/>
            <w:tcBorders>
              <w:left w:val="single" w:color="auto" w:sz="4" w:space="0"/>
              <w:right w:val="single" w:color="auto" w:sz="4" w:space="0"/>
              <w:tl2br w:val="nil"/>
              <w:tr2bl w:val="nil"/>
            </w:tcBorders>
            <w:noWrap w:val="0"/>
            <w:vAlign w:val="center"/>
          </w:tcPr>
          <w:p w14:paraId="1532BA97">
            <w:pPr>
              <w:widowControl/>
              <w:adjustRightInd/>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bCs/>
                <w:kern w:val="2"/>
                <w:sz w:val="24"/>
                <w:szCs w:val="24"/>
                <w:lang w:val="en-US" w:eastAsia="zh-CN" w:bidi="ar-SA"/>
              </w:rPr>
              <w:t>档案建立及保存</w:t>
            </w:r>
          </w:p>
        </w:tc>
      </w:tr>
      <w:tr w14:paraId="0359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D189416">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16</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2301AF5">
            <w:pPr>
              <w:spacing w:line="240" w:lineRule="auto"/>
              <w:jc w:val="left"/>
              <w:rPr>
                <w:rFonts w:hint="eastAsia" w:ascii="仿宋" w:hAnsi="仿宋" w:cs="仿宋"/>
                <w:b/>
                <w:bCs/>
                <w:color w:val="000000"/>
                <w:kern w:val="2"/>
                <w:sz w:val="24"/>
                <w:szCs w:val="24"/>
                <w:highlight w:val="none"/>
                <w:lang w:val="en-US" w:eastAsia="zh-CN" w:bidi="ar-SA"/>
              </w:rPr>
            </w:pPr>
            <w:r>
              <w:rPr>
                <w:rFonts w:hint="eastAsia" w:ascii="仿宋" w:hAnsi="仿宋" w:eastAsia="仿宋" w:cs="仿宋"/>
                <w:bCs/>
                <w:kern w:val="2"/>
                <w:sz w:val="24"/>
                <w:szCs w:val="24"/>
                <w:lang w:val="en-US" w:eastAsia="zh-CN" w:bidi="ar-SA"/>
              </w:rPr>
              <w:t>投标人拟派项目负责人具有高级工程师证书的得</w:t>
            </w:r>
            <w:r>
              <w:rPr>
                <w:rFonts w:hint="eastAsia" w:ascii="仿宋" w:hAnsi="仿宋" w:cs="仿宋"/>
                <w:bCs/>
                <w:kern w:val="2"/>
                <w:sz w:val="24"/>
                <w:szCs w:val="24"/>
                <w:lang w:val="en-US" w:eastAsia="zh-CN" w:bidi="ar-SA"/>
              </w:rPr>
              <w:t>4</w:t>
            </w:r>
            <w:r>
              <w:rPr>
                <w:rFonts w:hint="eastAsia" w:ascii="仿宋" w:hAnsi="仿宋" w:eastAsia="仿宋" w:cs="仿宋"/>
                <w:bCs/>
                <w:kern w:val="2"/>
                <w:sz w:val="24"/>
                <w:szCs w:val="24"/>
                <w:lang w:val="en-US" w:eastAsia="zh-CN" w:bidi="ar-SA"/>
              </w:rPr>
              <w:t>分，中级工程师证书的得</w:t>
            </w:r>
            <w:r>
              <w:rPr>
                <w:rFonts w:hint="eastAsia" w:ascii="仿宋" w:hAnsi="仿宋" w:cs="仿宋"/>
                <w:bCs/>
                <w:kern w:val="2"/>
                <w:sz w:val="24"/>
                <w:szCs w:val="24"/>
                <w:lang w:val="en-US" w:eastAsia="zh-CN" w:bidi="ar-SA"/>
              </w:rPr>
              <w:t>3</w:t>
            </w:r>
            <w:r>
              <w:rPr>
                <w:rFonts w:hint="eastAsia" w:ascii="仿宋" w:hAnsi="仿宋" w:eastAsia="仿宋" w:cs="仿宋"/>
                <w:bCs/>
                <w:kern w:val="2"/>
                <w:sz w:val="24"/>
                <w:szCs w:val="24"/>
                <w:lang w:val="en-US" w:eastAsia="zh-CN" w:bidi="ar-SA"/>
              </w:rPr>
              <w:t>分</w:t>
            </w:r>
            <w:r>
              <w:rPr>
                <w:rFonts w:hint="eastAsia" w:ascii="仿宋" w:hAnsi="仿宋" w:cs="仿宋"/>
                <w:bCs/>
                <w:kern w:val="2"/>
                <w:sz w:val="24"/>
                <w:szCs w:val="24"/>
                <w:lang w:val="en-US" w:eastAsia="zh-CN" w:bidi="ar-SA"/>
              </w:rPr>
              <w:t>；同时具备</w:t>
            </w:r>
            <w:r>
              <w:rPr>
                <w:rFonts w:hint="eastAsia" w:ascii="宋体" w:hAnsi="宋体" w:cs="仿宋_GB2312"/>
                <w:szCs w:val="21"/>
                <w:highlight w:val="none"/>
              </w:rPr>
              <w:t>注册环保工程师证书</w:t>
            </w:r>
            <w:r>
              <w:rPr>
                <w:rFonts w:hint="eastAsia" w:ascii="宋体" w:hAnsi="宋体" w:cs="仿宋_GB2312"/>
                <w:szCs w:val="21"/>
                <w:highlight w:val="none"/>
                <w:lang w:val="en-US" w:eastAsia="zh-CN"/>
              </w:rPr>
              <w:t>或注册安全工程师的得3分；本项最高得7分</w:t>
            </w:r>
            <w:r>
              <w:rPr>
                <w:rFonts w:hint="eastAsia" w:ascii="仿宋" w:hAnsi="仿宋" w:eastAsia="仿宋" w:cs="仿宋"/>
                <w:bCs/>
                <w:kern w:val="2"/>
                <w:sz w:val="24"/>
                <w:szCs w:val="24"/>
                <w:lang w:val="en-US" w:eastAsia="zh-CN" w:bidi="ar-SA"/>
              </w:rPr>
              <w:t>。（须提供项目负责人相关证书及社保部门出具的开标时间前连续三个月在本单位社保缴纳证明。）</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3738E5">
            <w:pPr>
              <w:spacing w:line="240" w:lineRule="auto"/>
              <w:jc w:val="center"/>
              <w:outlineLvl w:val="0"/>
              <w:rPr>
                <w:rFonts w:hint="eastAsia" w:ascii="仿宋" w:hAnsi="仿宋" w:eastAsia="仿宋" w:cs="仿宋"/>
                <w:bCs/>
                <w:sz w:val="24"/>
                <w:szCs w:val="24"/>
                <w:lang w:val="en-US" w:eastAsia="zh-CN"/>
              </w:rPr>
            </w:pPr>
            <w:r>
              <w:rPr>
                <w:rFonts w:hint="eastAsia" w:ascii="仿宋" w:hAnsi="仿宋" w:cs="仿宋"/>
                <w:bCs/>
                <w:sz w:val="24"/>
                <w:szCs w:val="24"/>
                <w:lang w:val="en-US" w:eastAsia="zh-CN"/>
              </w:rPr>
              <w:t>7</w:t>
            </w:r>
            <w:r>
              <w:rPr>
                <w:rFonts w:hint="eastAsia" w:ascii="仿宋" w:hAnsi="仿宋" w:eastAsia="仿宋" w:cs="仿宋"/>
                <w:bCs/>
                <w:sz w:val="24"/>
                <w:szCs w:val="24"/>
                <w:lang w:val="en-US" w:eastAsia="zh-CN"/>
              </w:rPr>
              <w:t>分</w:t>
            </w:r>
          </w:p>
          <w:p w14:paraId="75795F49">
            <w:pPr>
              <w:spacing w:line="24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bCs/>
                <w:sz w:val="24"/>
                <w:szCs w:val="24"/>
                <w:lang w:val="en-US" w:eastAsia="zh-CN"/>
              </w:rPr>
              <w:t>（客观）</w:t>
            </w:r>
          </w:p>
        </w:tc>
        <w:tc>
          <w:tcPr>
            <w:tcW w:w="1045" w:type="pct"/>
            <w:vMerge w:val="restart"/>
            <w:tcBorders>
              <w:left w:val="single" w:color="auto" w:sz="4" w:space="0"/>
              <w:right w:val="single" w:color="auto" w:sz="4" w:space="0"/>
              <w:tl2br w:val="nil"/>
              <w:tr2bl w:val="nil"/>
            </w:tcBorders>
            <w:noWrap w:val="0"/>
            <w:vAlign w:val="center"/>
          </w:tcPr>
          <w:p w14:paraId="2616D8AE">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lang w:val="en-US" w:eastAsia="zh-CN"/>
              </w:rPr>
              <w:t>项目组成人员</w:t>
            </w:r>
          </w:p>
        </w:tc>
      </w:tr>
      <w:tr w14:paraId="08E4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C859085">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17</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8AFF28">
            <w:pPr>
              <w:spacing w:line="240" w:lineRule="auto"/>
              <w:jc w:val="left"/>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Cs/>
                <w:kern w:val="2"/>
                <w:sz w:val="24"/>
                <w:szCs w:val="24"/>
                <w:lang w:val="en-US" w:eastAsia="zh-CN" w:bidi="ar-SA"/>
              </w:rPr>
              <w:t>投标人拟派技术负责人</w:t>
            </w:r>
            <w:r>
              <w:rPr>
                <w:rFonts w:hint="eastAsia" w:ascii="仿宋" w:hAnsi="仿宋" w:eastAsia="仿宋" w:cs="仿宋"/>
                <w:bCs/>
                <w:kern w:val="2"/>
                <w:sz w:val="24"/>
                <w:szCs w:val="24"/>
                <w:rtl w:val="0"/>
                <w:lang w:val="en-US" w:eastAsia="zh-CN" w:bidi="ar-SA"/>
              </w:rPr>
              <w:t>（不得兼任）</w:t>
            </w:r>
            <w:r>
              <w:rPr>
                <w:rFonts w:hint="eastAsia" w:ascii="仿宋" w:hAnsi="仿宋" w:eastAsia="仿宋" w:cs="仿宋"/>
                <w:bCs/>
                <w:kern w:val="2"/>
                <w:sz w:val="24"/>
                <w:szCs w:val="24"/>
                <w:lang w:val="en-US" w:eastAsia="zh-CN" w:bidi="ar-SA"/>
              </w:rPr>
              <w:t>具备高级工程师</w:t>
            </w:r>
            <w:r>
              <w:rPr>
                <w:rFonts w:hint="eastAsia" w:ascii="仿宋" w:hAnsi="仿宋" w:cs="仿宋"/>
                <w:bCs/>
                <w:kern w:val="2"/>
                <w:sz w:val="24"/>
                <w:szCs w:val="24"/>
                <w:lang w:val="en-US" w:eastAsia="zh-CN" w:bidi="ar-SA"/>
              </w:rPr>
              <w:t>得4分，</w:t>
            </w:r>
            <w:r>
              <w:rPr>
                <w:rFonts w:hint="eastAsia" w:ascii="仿宋" w:hAnsi="仿宋" w:eastAsia="仿宋" w:cs="仿宋"/>
                <w:bCs/>
                <w:kern w:val="2"/>
                <w:sz w:val="24"/>
                <w:szCs w:val="24"/>
                <w:lang w:val="en-US" w:eastAsia="zh-CN" w:bidi="ar-SA"/>
              </w:rPr>
              <w:t>中级</w:t>
            </w:r>
            <w:r>
              <w:rPr>
                <w:rFonts w:hint="eastAsia" w:ascii="仿宋" w:hAnsi="仿宋" w:cs="仿宋"/>
                <w:bCs/>
                <w:kern w:val="2"/>
                <w:sz w:val="24"/>
                <w:szCs w:val="24"/>
                <w:lang w:val="en-US" w:eastAsia="zh-CN" w:bidi="ar-SA"/>
              </w:rPr>
              <w:t>的</w:t>
            </w:r>
            <w:r>
              <w:rPr>
                <w:rFonts w:hint="eastAsia" w:ascii="仿宋" w:hAnsi="仿宋" w:eastAsia="仿宋" w:cs="仿宋"/>
                <w:bCs/>
                <w:kern w:val="2"/>
                <w:sz w:val="24"/>
                <w:szCs w:val="24"/>
                <w:lang w:val="en-US" w:eastAsia="zh-CN" w:bidi="ar-SA"/>
              </w:rPr>
              <w:t>得</w:t>
            </w:r>
            <w:r>
              <w:rPr>
                <w:rFonts w:hint="eastAsia" w:ascii="仿宋" w:hAnsi="仿宋" w:cs="仿宋"/>
                <w:bCs/>
                <w:kern w:val="2"/>
                <w:sz w:val="24"/>
                <w:szCs w:val="24"/>
                <w:lang w:val="en-US" w:eastAsia="zh-CN" w:bidi="ar-SA"/>
              </w:rPr>
              <w:t>3</w:t>
            </w:r>
            <w:r>
              <w:rPr>
                <w:rFonts w:hint="eastAsia" w:ascii="仿宋" w:hAnsi="仿宋" w:eastAsia="仿宋" w:cs="仿宋"/>
                <w:bCs/>
                <w:kern w:val="2"/>
                <w:sz w:val="24"/>
                <w:szCs w:val="24"/>
                <w:lang w:val="en-US" w:eastAsia="zh-CN" w:bidi="ar-SA"/>
              </w:rPr>
              <w:t>分；（须提供技术负责人相关证书及社保部门出具的开标时间前连续三个月在本单位社保缴纳证明。）</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10F81AB">
            <w:pPr>
              <w:spacing w:line="240" w:lineRule="auto"/>
              <w:jc w:val="center"/>
              <w:outlineLvl w:val="0"/>
              <w:rPr>
                <w:rFonts w:hint="eastAsia" w:ascii="仿宋" w:hAnsi="仿宋" w:eastAsia="仿宋" w:cs="仿宋"/>
                <w:bCs/>
                <w:sz w:val="24"/>
                <w:szCs w:val="24"/>
                <w:lang w:val="en-US" w:eastAsia="zh-CN"/>
              </w:rPr>
            </w:pPr>
            <w:r>
              <w:rPr>
                <w:rFonts w:hint="eastAsia" w:ascii="仿宋" w:hAnsi="仿宋" w:cs="仿宋"/>
                <w:bCs/>
                <w:sz w:val="24"/>
                <w:szCs w:val="24"/>
                <w:lang w:val="en-US" w:eastAsia="zh-CN"/>
              </w:rPr>
              <w:t>4</w:t>
            </w:r>
            <w:r>
              <w:rPr>
                <w:rFonts w:hint="eastAsia" w:ascii="仿宋" w:hAnsi="仿宋" w:eastAsia="仿宋" w:cs="仿宋"/>
                <w:bCs/>
                <w:sz w:val="24"/>
                <w:szCs w:val="24"/>
                <w:lang w:val="en-US" w:eastAsia="zh-CN"/>
              </w:rPr>
              <w:t>分</w:t>
            </w:r>
          </w:p>
          <w:p w14:paraId="08AFB734">
            <w:pPr>
              <w:spacing w:line="24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bCs/>
                <w:sz w:val="24"/>
                <w:szCs w:val="24"/>
                <w:lang w:val="en-US" w:eastAsia="zh-CN"/>
              </w:rPr>
              <w:t>（客观）</w:t>
            </w:r>
          </w:p>
        </w:tc>
        <w:tc>
          <w:tcPr>
            <w:tcW w:w="1045" w:type="pct"/>
            <w:vMerge w:val="continue"/>
            <w:tcBorders>
              <w:left w:val="single" w:color="auto" w:sz="4" w:space="0"/>
              <w:right w:val="single" w:color="auto" w:sz="4" w:space="0"/>
              <w:tl2br w:val="nil"/>
              <w:tr2bl w:val="nil"/>
            </w:tcBorders>
            <w:noWrap w:val="0"/>
            <w:vAlign w:val="center"/>
          </w:tcPr>
          <w:p w14:paraId="1EAAA1AA">
            <w:pPr>
              <w:snapToGrid w:val="0"/>
              <w:spacing w:line="240" w:lineRule="auto"/>
              <w:jc w:val="center"/>
              <w:rPr>
                <w:rFonts w:hint="eastAsia" w:ascii="仿宋" w:hAnsi="仿宋" w:eastAsia="仿宋" w:cs="仿宋"/>
                <w:sz w:val="24"/>
                <w:szCs w:val="24"/>
                <w:highlight w:val="none"/>
                <w:lang w:val="en-US" w:eastAsia="zh-CN"/>
              </w:rPr>
            </w:pPr>
          </w:p>
        </w:tc>
      </w:tr>
      <w:tr w14:paraId="24AD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5AD540">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18</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E44A3E">
            <w:pPr>
              <w:spacing w:line="240" w:lineRule="auto"/>
              <w:jc w:val="left"/>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lang w:val="en-US" w:eastAsia="zh-CN" w:bidi="ar-SA"/>
              </w:rPr>
              <w:t>拟派项目组人员中（除项目负责人及技术负责人外）具有高级工程师的每个得</w:t>
            </w:r>
            <w:r>
              <w:rPr>
                <w:rFonts w:hint="eastAsia" w:ascii="仿宋" w:hAnsi="仿宋" w:cs="仿宋"/>
                <w:bCs/>
                <w:kern w:val="2"/>
                <w:sz w:val="24"/>
                <w:szCs w:val="24"/>
                <w:highlight w:val="none"/>
                <w:lang w:val="en-US" w:eastAsia="zh-CN" w:bidi="ar-SA"/>
              </w:rPr>
              <w:t>2</w:t>
            </w:r>
            <w:r>
              <w:rPr>
                <w:rFonts w:hint="eastAsia" w:ascii="仿宋" w:hAnsi="仿宋" w:eastAsia="仿宋" w:cs="仿宋"/>
                <w:bCs/>
                <w:kern w:val="2"/>
                <w:sz w:val="24"/>
                <w:szCs w:val="24"/>
                <w:highlight w:val="none"/>
                <w:lang w:val="en-US" w:eastAsia="zh-CN" w:bidi="ar-SA"/>
              </w:rPr>
              <w:t>分，具有养护员的每个得1分。本项最高得</w:t>
            </w:r>
            <w:r>
              <w:rPr>
                <w:rFonts w:hint="eastAsia" w:ascii="仿宋" w:hAnsi="仿宋" w:cs="仿宋"/>
                <w:bCs/>
                <w:kern w:val="2"/>
                <w:sz w:val="24"/>
                <w:szCs w:val="24"/>
                <w:highlight w:val="none"/>
                <w:lang w:val="en-US" w:eastAsia="zh-CN" w:bidi="ar-SA"/>
              </w:rPr>
              <w:t>4</w:t>
            </w:r>
            <w:r>
              <w:rPr>
                <w:rFonts w:hint="eastAsia" w:ascii="仿宋" w:hAnsi="仿宋" w:eastAsia="仿宋" w:cs="仿宋"/>
                <w:bCs/>
                <w:kern w:val="2"/>
                <w:sz w:val="24"/>
                <w:szCs w:val="24"/>
                <w:highlight w:val="none"/>
                <w:lang w:val="en-US" w:eastAsia="zh-CN" w:bidi="ar-SA"/>
              </w:rPr>
              <w:t>分。（须提供上述人</w:t>
            </w:r>
            <w:r>
              <w:rPr>
                <w:rFonts w:hint="eastAsia" w:ascii="仿宋" w:hAnsi="仿宋" w:eastAsia="仿宋" w:cs="仿宋"/>
                <w:bCs/>
                <w:kern w:val="2"/>
                <w:sz w:val="24"/>
                <w:szCs w:val="24"/>
                <w:lang w:val="en-US" w:eastAsia="zh-CN" w:bidi="ar-SA"/>
              </w:rPr>
              <w:t>员相关证书及社保部门出具的开标时间前连续三个月在本单位社保缴纳证明。）</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5C1CCFD">
            <w:pPr>
              <w:spacing w:line="240" w:lineRule="auto"/>
              <w:jc w:val="center"/>
              <w:outlineLvl w:val="0"/>
              <w:rPr>
                <w:rFonts w:hint="eastAsia" w:ascii="仿宋" w:hAnsi="仿宋" w:eastAsia="仿宋" w:cs="仿宋"/>
                <w:bCs/>
                <w:sz w:val="24"/>
                <w:szCs w:val="24"/>
                <w:lang w:val="en-US" w:eastAsia="zh-CN"/>
              </w:rPr>
            </w:pPr>
            <w:r>
              <w:rPr>
                <w:rFonts w:hint="eastAsia" w:ascii="仿宋" w:hAnsi="仿宋" w:cs="仿宋"/>
                <w:bCs/>
                <w:sz w:val="24"/>
                <w:szCs w:val="24"/>
                <w:lang w:val="en-US" w:eastAsia="zh-CN"/>
              </w:rPr>
              <w:t>4</w:t>
            </w:r>
            <w:r>
              <w:rPr>
                <w:rFonts w:hint="eastAsia" w:ascii="仿宋" w:hAnsi="仿宋" w:eastAsia="仿宋" w:cs="仿宋"/>
                <w:bCs/>
                <w:sz w:val="24"/>
                <w:szCs w:val="24"/>
                <w:lang w:val="en-US" w:eastAsia="zh-CN"/>
              </w:rPr>
              <w:t>分</w:t>
            </w:r>
          </w:p>
          <w:p w14:paraId="3C3964C1">
            <w:pPr>
              <w:spacing w:line="24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bCs/>
                <w:sz w:val="24"/>
                <w:szCs w:val="24"/>
                <w:lang w:val="en-US" w:eastAsia="zh-CN"/>
              </w:rPr>
              <w:t>（客观）</w:t>
            </w:r>
          </w:p>
        </w:tc>
        <w:tc>
          <w:tcPr>
            <w:tcW w:w="1045" w:type="pct"/>
            <w:vMerge w:val="continue"/>
            <w:tcBorders>
              <w:left w:val="single" w:color="auto" w:sz="4" w:space="0"/>
              <w:right w:val="single" w:color="auto" w:sz="4" w:space="0"/>
              <w:tl2br w:val="nil"/>
              <w:tr2bl w:val="nil"/>
            </w:tcBorders>
            <w:noWrap w:val="0"/>
            <w:vAlign w:val="center"/>
          </w:tcPr>
          <w:p w14:paraId="6BA24739">
            <w:pPr>
              <w:snapToGrid w:val="0"/>
              <w:spacing w:line="240" w:lineRule="auto"/>
              <w:jc w:val="center"/>
              <w:rPr>
                <w:rFonts w:hint="eastAsia" w:ascii="仿宋" w:hAnsi="仿宋" w:eastAsia="仿宋" w:cs="仿宋"/>
                <w:sz w:val="24"/>
                <w:szCs w:val="24"/>
                <w:highlight w:val="none"/>
                <w:lang w:val="en-US" w:eastAsia="zh-CN"/>
              </w:rPr>
            </w:pPr>
          </w:p>
        </w:tc>
      </w:tr>
      <w:tr w14:paraId="362C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FFB5E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19</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66A0A30">
            <w:pPr>
              <w:spacing w:line="240" w:lineRule="auto"/>
              <w:jc w:val="left"/>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投标人承诺</w:t>
            </w:r>
            <w:r>
              <w:rPr>
                <w:rFonts w:hint="default" w:ascii="仿宋" w:hAnsi="仿宋" w:eastAsia="仿宋" w:cs="仿宋"/>
                <w:bCs/>
                <w:kern w:val="2"/>
                <w:sz w:val="24"/>
                <w:szCs w:val="24"/>
                <w:lang w:val="en-US" w:eastAsia="zh-CN" w:bidi="ar-SA"/>
              </w:rPr>
              <w:t>水质治理工作中投放的药剂满足</w:t>
            </w:r>
            <w:r>
              <w:rPr>
                <w:rFonts w:hint="eastAsia" w:ascii="仿宋" w:hAnsi="仿宋" w:eastAsia="仿宋" w:cs="仿宋"/>
                <w:bCs/>
                <w:kern w:val="2"/>
                <w:sz w:val="24"/>
                <w:szCs w:val="24"/>
                <w:lang w:val="en-US" w:eastAsia="zh-CN" w:bidi="ar-SA"/>
              </w:rPr>
              <w:t>相关法律法规要求，同时不得有</w:t>
            </w:r>
            <w:r>
              <w:rPr>
                <w:rFonts w:hint="default" w:ascii="仿宋" w:hAnsi="仿宋" w:eastAsia="仿宋" w:cs="仿宋"/>
                <w:bCs/>
                <w:kern w:val="2"/>
                <w:sz w:val="24"/>
                <w:szCs w:val="24"/>
                <w:lang w:val="en-US" w:eastAsia="zh-CN" w:bidi="ar-SA"/>
              </w:rPr>
              <w:t>危害鱼类和水质的急性毒性，不影响农业和养殖业生产用水安全</w:t>
            </w:r>
            <w:r>
              <w:rPr>
                <w:rFonts w:hint="eastAsia" w:ascii="仿宋" w:hAnsi="仿宋" w:eastAsia="仿宋" w:cs="仿宋"/>
                <w:bCs/>
                <w:kern w:val="2"/>
                <w:sz w:val="24"/>
                <w:szCs w:val="24"/>
                <w:lang w:val="en-US" w:eastAsia="zh-CN" w:bidi="ar-SA"/>
              </w:rPr>
              <w:t>得</w:t>
            </w:r>
            <w:r>
              <w:rPr>
                <w:rFonts w:hint="eastAsia" w:ascii="仿宋" w:hAnsi="仿宋" w:cs="仿宋"/>
                <w:bCs/>
                <w:kern w:val="2"/>
                <w:sz w:val="24"/>
                <w:szCs w:val="24"/>
                <w:lang w:val="en-US" w:eastAsia="zh-CN" w:bidi="ar-SA"/>
              </w:rPr>
              <w:t>3</w:t>
            </w:r>
            <w:r>
              <w:rPr>
                <w:rFonts w:hint="eastAsia" w:ascii="仿宋" w:hAnsi="仿宋" w:eastAsia="仿宋" w:cs="仿宋"/>
                <w:bCs/>
                <w:kern w:val="2"/>
                <w:sz w:val="24"/>
                <w:szCs w:val="24"/>
                <w:lang w:val="en-US" w:eastAsia="zh-CN" w:bidi="ar-SA"/>
              </w:rPr>
              <w:t>分，未承诺或承诺内容不全的不得分</w:t>
            </w:r>
            <w:r>
              <w:rPr>
                <w:rFonts w:hint="eastAsia" w:ascii="仿宋" w:hAnsi="仿宋" w:cs="仿宋"/>
                <w:bCs/>
                <w:kern w:val="2"/>
                <w:sz w:val="24"/>
                <w:szCs w:val="24"/>
                <w:lang w:val="en-US" w:eastAsia="zh-CN" w:bidi="ar-SA"/>
              </w:rPr>
              <w:t>，</w:t>
            </w:r>
            <w:r>
              <w:rPr>
                <w:rFonts w:hint="eastAsia" w:ascii="仿宋" w:hAnsi="仿宋" w:eastAsia="仿宋" w:cs="仿宋"/>
                <w:bCs/>
                <w:kern w:val="2"/>
                <w:sz w:val="24"/>
                <w:szCs w:val="24"/>
                <w:lang w:val="en-US" w:eastAsia="zh-CN" w:bidi="ar-SA"/>
              </w:rPr>
              <w:t>承诺</w:t>
            </w:r>
            <w:r>
              <w:rPr>
                <w:rFonts w:hint="eastAsia" w:ascii="仿宋" w:hAnsi="仿宋" w:cs="仿宋"/>
                <w:bCs/>
                <w:kern w:val="2"/>
                <w:sz w:val="24"/>
                <w:szCs w:val="24"/>
                <w:lang w:val="en-US" w:eastAsia="zh-CN" w:bidi="ar-SA"/>
              </w:rPr>
              <w:t>格式自拟。</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794C0E3">
            <w:pPr>
              <w:spacing w:line="240" w:lineRule="auto"/>
              <w:jc w:val="center"/>
              <w:outlineLvl w:val="0"/>
              <w:rPr>
                <w:rFonts w:hint="eastAsia" w:ascii="仿宋" w:hAnsi="仿宋" w:eastAsia="仿宋" w:cs="仿宋"/>
                <w:bCs/>
                <w:sz w:val="24"/>
                <w:szCs w:val="24"/>
                <w:lang w:val="en-US" w:eastAsia="zh-CN"/>
              </w:rPr>
            </w:pPr>
            <w:r>
              <w:rPr>
                <w:rFonts w:hint="eastAsia" w:ascii="仿宋" w:hAnsi="仿宋" w:cs="仿宋"/>
                <w:bCs/>
                <w:sz w:val="24"/>
                <w:szCs w:val="24"/>
                <w:lang w:val="en-US" w:eastAsia="zh-CN"/>
              </w:rPr>
              <w:t>3</w:t>
            </w:r>
            <w:r>
              <w:rPr>
                <w:rFonts w:hint="eastAsia" w:ascii="仿宋" w:hAnsi="仿宋" w:eastAsia="仿宋" w:cs="仿宋"/>
                <w:bCs/>
                <w:sz w:val="24"/>
                <w:szCs w:val="24"/>
                <w:lang w:val="en-US" w:eastAsia="zh-CN"/>
              </w:rPr>
              <w:t>分</w:t>
            </w:r>
          </w:p>
          <w:p w14:paraId="5FA93286">
            <w:pPr>
              <w:spacing w:line="240" w:lineRule="auto"/>
              <w:jc w:val="left"/>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（客观）</w:t>
            </w:r>
          </w:p>
        </w:tc>
        <w:tc>
          <w:tcPr>
            <w:tcW w:w="10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CEF011A">
            <w:pPr>
              <w:spacing w:line="240"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承诺</w:t>
            </w:r>
          </w:p>
        </w:tc>
      </w:tr>
      <w:tr w14:paraId="37E4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44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2FE192">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default" w:ascii="仿宋" w:hAnsi="仿宋" w:eastAsia="仿宋" w:cs="仿宋"/>
                <w:sz w:val="24"/>
                <w:szCs w:val="24"/>
                <w:highlight w:val="none"/>
                <w:lang w:val="en-US"/>
              </w:rPr>
            </w:pPr>
            <w:r>
              <w:rPr>
                <w:rFonts w:hint="eastAsia" w:ascii="仿宋" w:hAnsi="仿宋" w:cs="仿宋"/>
                <w:sz w:val="24"/>
                <w:szCs w:val="24"/>
                <w:highlight w:val="none"/>
                <w:lang w:val="en-US" w:eastAsia="zh-CN"/>
              </w:rPr>
              <w:t>20</w:t>
            </w:r>
          </w:p>
        </w:tc>
        <w:tc>
          <w:tcPr>
            <w:tcW w:w="28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BE7D05">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有效投标报价的最低价作为评标基准价，其最低报价为满分；按［投标报价得分=（评标基准价/投标报价）*</w:t>
            </w:r>
            <w:r>
              <w:rPr>
                <w:rFonts w:hint="eastAsia" w:ascii="仿宋" w:hAnsi="仿宋" w:eastAsia="仿宋" w:cs="仿宋"/>
                <w:sz w:val="24"/>
                <w:szCs w:val="24"/>
                <w:highlight w:val="none"/>
                <w:lang w:val="en-US" w:eastAsia="zh-CN" w:bidi="ar"/>
              </w:rPr>
              <w:t>10</w:t>
            </w:r>
            <w:r>
              <w:rPr>
                <w:rFonts w:hint="eastAsia" w:ascii="仿宋" w:hAnsi="仿宋" w:eastAsia="仿宋" w:cs="仿宋"/>
                <w:sz w:val="24"/>
                <w:szCs w:val="24"/>
                <w:highlight w:val="none"/>
                <w:lang w:bidi="ar"/>
              </w:rPr>
              <w:t>］的计算公式计算。</w:t>
            </w:r>
          </w:p>
          <w:p w14:paraId="17BF57B9">
            <w:pPr>
              <w:keepNext w:val="0"/>
              <w:keepLines w:val="0"/>
              <w:pageBreakBefore w:val="0"/>
              <w:widowControl/>
              <w:shd w:val="clear" w:color="auto" w:fill="FFFFFF"/>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lang w:bidi="ar"/>
              </w:rPr>
              <w:t>评标过程中，不得去掉报价中的最高报价和最低报价。因落实政府采购政策需要进行价格调整的，以调整后的价格计算评标基准价和投标报价。</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1BA7B6">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0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BB19A1">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14:paraId="52DAC53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8"/>
          <w:szCs w:val="28"/>
          <w:highlight w:val="none"/>
        </w:rPr>
      </w:pPr>
    </w:p>
    <w:p w14:paraId="5B1F78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bookmarkEnd w:id="25"/>
    </w:p>
    <w:p w14:paraId="4E830516">
      <w:pPr>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32"/>
        </w:rPr>
        <w:t>一、评标方法</w:t>
      </w:r>
    </w:p>
    <w:p w14:paraId="4CBBBD31">
      <w:pPr>
        <w:adjustRightInd/>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1.本项目采用综合评分法。</w:t>
      </w:r>
      <w:r>
        <w:rPr>
          <w:rFonts w:hint="eastAsia" w:ascii="仿宋_GB2312" w:hAnsi="仿宋_GB2312" w:eastAsia="仿宋_GB2312" w:cs="仿宋_GB2312"/>
          <w:kern w:val="0"/>
          <w:sz w:val="24"/>
        </w:rPr>
        <w:t>综合评分法，是指投标文件满足招标文件全部实质性要求，且按照评审因素的量化指标评审得分最高的投标人为中标候选人的评标方法。</w:t>
      </w:r>
    </w:p>
    <w:p w14:paraId="534A6C02">
      <w:pPr>
        <w:adjustRightInd/>
        <w:spacing w:line="360" w:lineRule="auto"/>
        <w:rPr>
          <w:rFonts w:ascii="仿宋_GB2312" w:hAnsi="仿宋_GB2312" w:eastAsia="仿宋_GB2312" w:cs="仿宋_GB2312"/>
          <w:kern w:val="0"/>
          <w:sz w:val="24"/>
        </w:rPr>
      </w:pPr>
      <w:r>
        <w:rPr>
          <w:rFonts w:hint="eastAsia" w:ascii="仿宋_GB2312" w:hAnsi="仿宋_GB2312" w:eastAsia="仿宋_GB2312" w:cs="仿宋_GB2312"/>
          <w:b/>
          <w:sz w:val="32"/>
        </w:rPr>
        <w:t>二、评标标准</w:t>
      </w:r>
    </w:p>
    <w:p w14:paraId="2E786FB4">
      <w:pPr>
        <w:spacing w:line="360" w:lineRule="auto"/>
        <w:ind w:firstLine="472" w:firstLineChars="196"/>
        <w:rPr>
          <w:rFonts w:ascii="仿宋_GB2312" w:hAnsi="仿宋_GB2312" w:eastAsia="仿宋_GB2312" w:cs="仿宋_GB2312"/>
          <w:b/>
          <w:sz w:val="24"/>
        </w:rPr>
      </w:pPr>
      <w:r>
        <w:rPr>
          <w:rFonts w:hint="eastAsia" w:ascii="仿宋_GB2312" w:hAnsi="仿宋_GB2312" w:eastAsia="仿宋_GB2312" w:cs="仿宋_GB2312"/>
          <w:b/>
          <w:sz w:val="24"/>
        </w:rPr>
        <w:t>2.</w:t>
      </w:r>
      <w:r>
        <w:rPr>
          <w:rFonts w:hint="eastAsia" w:ascii="仿宋_GB2312" w:hAnsi="仿宋_GB2312" w:eastAsia="仿宋_GB2312" w:cs="仿宋_GB2312"/>
          <w:sz w:val="21"/>
        </w:rPr>
        <w:t xml:space="preserve"> </w:t>
      </w:r>
      <w:r>
        <w:rPr>
          <w:rFonts w:hint="eastAsia" w:ascii="仿宋_GB2312" w:hAnsi="仿宋_GB2312" w:eastAsia="仿宋_GB2312" w:cs="仿宋_GB2312"/>
          <w:b/>
          <w:sz w:val="24"/>
        </w:rPr>
        <w:t>评标标准：</w:t>
      </w:r>
      <w:r>
        <w:rPr>
          <w:rFonts w:hint="eastAsia" w:ascii="仿宋_GB2312" w:hAnsi="仿宋_GB2312" w:eastAsia="仿宋_GB2312" w:cs="仿宋_GB2312"/>
          <w:kern w:val="0"/>
          <w:sz w:val="24"/>
        </w:rPr>
        <w:t>见评标办法前附表。</w:t>
      </w:r>
    </w:p>
    <w:p w14:paraId="44B0C8B3">
      <w:pPr>
        <w:spacing w:line="360" w:lineRule="auto"/>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三、评标程序</w:t>
      </w:r>
    </w:p>
    <w:p w14:paraId="130C91F1">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3.1符合性审查。</w:t>
      </w:r>
      <w:r>
        <w:rPr>
          <w:rFonts w:hint="eastAsia" w:ascii="仿宋_GB2312" w:hAnsi="仿宋_GB2312" w:eastAsia="仿宋_GB2312" w:cs="仿宋_GB2312"/>
          <w:kern w:val="0"/>
          <w:sz w:val="24"/>
        </w:rPr>
        <w:t>评标委员会应当对符合资格的投标人的投标文件进行符合性审查，以确定其是否满足招标文件的实质性要求。不满足招标文件的实质性要求的，投标无效。</w:t>
      </w:r>
    </w:p>
    <w:p w14:paraId="32B4A6E1">
      <w:pPr>
        <w:spacing w:line="360" w:lineRule="auto"/>
        <w:ind w:firstLine="472" w:firstLineChars="196"/>
        <w:rPr>
          <w:rFonts w:ascii="仿宋_GB2312" w:hAnsi="仿宋_GB2312" w:eastAsia="仿宋_GB2312" w:cs="仿宋_GB2312"/>
          <w:b/>
          <w:bCs/>
          <w:kern w:val="0"/>
          <w:sz w:val="24"/>
        </w:rPr>
      </w:pPr>
      <w:r>
        <w:rPr>
          <w:rFonts w:hint="eastAsia" w:ascii="仿宋_GB2312" w:hAnsi="仿宋_GB2312" w:eastAsia="仿宋_GB2312" w:cs="仿宋_GB2312"/>
          <w:b/>
          <w:kern w:val="0"/>
          <w:sz w:val="24"/>
        </w:rPr>
        <w:t>3.2 比较与评价。</w:t>
      </w:r>
      <w:r>
        <w:rPr>
          <w:rFonts w:hint="eastAsia" w:ascii="仿宋_GB2312" w:hAnsi="仿宋_GB2312" w:eastAsia="仿宋_GB2312" w:cs="仿宋_GB2312"/>
          <w:kern w:val="0"/>
          <w:sz w:val="24"/>
        </w:rPr>
        <w:t>评标委员会应当按照招标文件中规定的评标方法和标准，对符合性审查合格的投标文件进行商务和技术评估，综合比较与评价。</w:t>
      </w:r>
      <w:r>
        <w:rPr>
          <w:rFonts w:hint="eastAsia" w:ascii="仿宋_GB2312" w:hAnsi="仿宋_GB2312" w:eastAsia="仿宋_GB2312" w:cs="仿宋_GB2312"/>
          <w:b/>
          <w:bCs/>
          <w:kern w:val="0"/>
          <w:sz w:val="24"/>
        </w:rPr>
        <w:t>评审小组成员个人主观打分偏离所有评审小组成员主观打分平均值30%以上的，由评审委员会启动评分畸高、畸低行为认定程序。</w:t>
      </w:r>
    </w:p>
    <w:p w14:paraId="1D405CC2">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3.3汇总商务技术得分。</w:t>
      </w:r>
      <w:r>
        <w:rPr>
          <w:rFonts w:hint="eastAsia" w:ascii="仿宋_GB2312" w:hAnsi="仿宋_GB2312" w:eastAsia="仿宋_GB2312" w:cs="仿宋_GB2312"/>
          <w:kern w:val="0"/>
          <w:sz w:val="24"/>
        </w:rPr>
        <w:t>评标委员会各成员应当独立对每个投标人的商务和技术文件进行评价，并汇总商务技术得分情况。</w:t>
      </w:r>
    </w:p>
    <w:p w14:paraId="51AA9D71">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386EDB21">
      <w:pPr>
        <w:widowControl w:val="0"/>
        <w:adjustRightInd w:val="0"/>
        <w:spacing w:before="0" w:line="360" w:lineRule="auto"/>
        <w:ind w:firstLine="508" w:firstLineChars="212"/>
        <w:jc w:val="both"/>
        <w:rPr>
          <w:rFonts w:ascii="仿宋_GB2312" w:hAnsi="仿宋_GB2312" w:eastAsia="仿宋_GB2312" w:cs="仿宋_GB2312"/>
          <w:kern w:val="0"/>
          <w:sz w:val="24"/>
          <w:szCs w:val="20"/>
          <w:lang w:val="en-US" w:eastAsia="zh-CN" w:bidi="ar-SA"/>
        </w:rPr>
      </w:pPr>
      <w:r>
        <w:rPr>
          <w:rFonts w:hint="eastAsia" w:ascii="仿宋_GB2312" w:hAnsi="仿宋_GB2312" w:eastAsia="仿宋_GB2312" w:cs="仿宋_GB2312"/>
          <w:kern w:val="0"/>
          <w:sz w:val="24"/>
          <w:szCs w:val="20"/>
          <w:lang w:val="en-US" w:eastAsia="zh-CN" w:bidi="ar-SA"/>
        </w:rPr>
        <w:t>3.4.1投标文件报价出现前后不一致的，按照下列规定修正：</w:t>
      </w:r>
    </w:p>
    <w:p w14:paraId="5AEF811A">
      <w:pPr>
        <w:widowControl w:val="0"/>
        <w:adjustRightInd w:val="0"/>
        <w:spacing w:before="0" w:line="360" w:lineRule="auto"/>
        <w:ind w:firstLine="480" w:firstLineChars="200"/>
        <w:jc w:val="both"/>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3.4.1.1投标文件中开标一览表（报价表）内容与投标文件中相应内容不一致的，以开标一览表（报价表）为准;</w:t>
      </w:r>
    </w:p>
    <w:p w14:paraId="02654242">
      <w:pPr>
        <w:widowControl w:val="0"/>
        <w:adjustRightInd w:val="0"/>
        <w:spacing w:before="0" w:line="360" w:lineRule="auto"/>
        <w:ind w:firstLine="480" w:firstLineChars="200"/>
        <w:jc w:val="both"/>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3.4.1.2大写金额和小写金额不一致的，以大写金额为准;</w:t>
      </w:r>
    </w:p>
    <w:p w14:paraId="23466417">
      <w:pPr>
        <w:widowControl w:val="0"/>
        <w:adjustRightInd w:val="0"/>
        <w:spacing w:before="0" w:line="360" w:lineRule="auto"/>
        <w:ind w:firstLine="480" w:firstLineChars="200"/>
        <w:jc w:val="both"/>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3.4.1.3单价金额小数点或者百分比有明显错位的，以开标一览表（报价表）的总价为准，并修改单价;</w:t>
      </w:r>
    </w:p>
    <w:p w14:paraId="10833AC2">
      <w:pPr>
        <w:widowControl w:val="0"/>
        <w:adjustRightInd w:val="0"/>
        <w:spacing w:before="0" w:line="360" w:lineRule="auto"/>
        <w:ind w:firstLine="480" w:firstLineChars="200"/>
        <w:jc w:val="both"/>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3.4.1.4总价金额与按单价汇总金额不一致的，以单价金额计算结果为准。</w:t>
      </w:r>
    </w:p>
    <w:p w14:paraId="41FC05FE">
      <w:pPr>
        <w:widowControl w:val="0"/>
        <w:adjustRightInd w:val="0"/>
        <w:spacing w:before="0" w:line="360" w:lineRule="auto"/>
        <w:ind w:firstLine="480" w:firstLineChars="200"/>
        <w:jc w:val="both"/>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14:paraId="2783EC81">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5BEC494A">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1BB5B141">
      <w:pPr>
        <w:widowControl w:val="0"/>
        <w:adjustRightInd w:val="0"/>
        <w:spacing w:before="0" w:line="360" w:lineRule="auto"/>
        <w:ind w:firstLine="480" w:firstLineChars="200"/>
        <w:jc w:val="both"/>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8FE8F7">
      <w:pPr>
        <w:widowControl w:val="0"/>
        <w:adjustRightInd w:val="0"/>
        <w:spacing w:before="0" w:line="360" w:lineRule="auto"/>
        <w:ind w:firstLine="480" w:firstLineChars="200"/>
        <w:jc w:val="both"/>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C65FFA6">
      <w:pPr>
        <w:spacing w:line="360" w:lineRule="auto"/>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3.5排序与推荐。</w:t>
      </w:r>
      <w:r>
        <w:rPr>
          <w:rFonts w:hint="eastAsia" w:ascii="仿宋_GB2312" w:hAnsi="仿宋_GB2312" w:eastAsia="仿宋_GB2312" w:cs="仿宋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B505F1">
      <w:pPr>
        <w:spacing w:line="360" w:lineRule="auto"/>
        <w:ind w:firstLine="480" w:firstLineChars="200"/>
        <w:rPr>
          <w:rFonts w:ascii="仿宋_GB2312" w:hAnsi="仿宋_GB2312" w:eastAsia="仿宋_GB2312" w:cs="仿宋_GB2312"/>
          <w:b/>
          <w:kern w:val="0"/>
          <w:sz w:val="24"/>
        </w:rPr>
      </w:pPr>
      <w:r>
        <w:rPr>
          <w:rFonts w:hint="eastAsia" w:ascii="仿宋_GB2312" w:hAnsi="仿宋_GB2312" w:eastAsia="仿宋_GB2312" w:cs="仿宋_GB2312"/>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CE85D3">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3.6编写评标报告。</w:t>
      </w:r>
      <w:r>
        <w:rPr>
          <w:rFonts w:hint="eastAsia" w:ascii="仿宋_GB2312" w:hAnsi="仿宋_GB2312" w:eastAsia="仿宋_GB2312" w:cs="仿宋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ECB86C">
      <w:pPr>
        <w:widowControl w:val="0"/>
        <w:adjustRightInd w:val="0"/>
        <w:spacing w:before="0" w:line="360" w:lineRule="auto"/>
        <w:ind w:left="0" w:leftChars="0" w:firstLine="0" w:firstLineChars="0"/>
        <w:jc w:val="both"/>
        <w:rPr>
          <w:rFonts w:hint="eastAsia" w:ascii="仿宋_GB2312" w:hAnsi="仿宋_GB2312" w:eastAsia="仿宋_GB2312" w:cs="仿宋_GB2312"/>
          <w:b/>
          <w:kern w:val="0"/>
          <w:sz w:val="36"/>
          <w:szCs w:val="36"/>
          <w:lang w:val="en-US" w:eastAsia="zh-CN" w:bidi="ar-SA"/>
        </w:rPr>
      </w:pPr>
      <w:r>
        <w:rPr>
          <w:rFonts w:hint="eastAsia" w:ascii="仿宋_GB2312" w:hAnsi="仿宋_GB2312" w:eastAsia="仿宋_GB2312" w:cs="仿宋_GB2312"/>
          <w:b/>
          <w:kern w:val="0"/>
          <w:sz w:val="36"/>
          <w:szCs w:val="36"/>
          <w:lang w:val="en-US" w:eastAsia="zh-CN" w:bidi="ar-SA"/>
        </w:rPr>
        <w:t>四、评标中的其他事项</w:t>
      </w:r>
    </w:p>
    <w:p w14:paraId="320DC699">
      <w:pPr>
        <w:widowControl w:val="0"/>
        <w:adjustRightInd w:val="0"/>
        <w:spacing w:before="0" w:line="360" w:lineRule="auto"/>
        <w:ind w:firstLine="472" w:firstLineChars="196"/>
        <w:jc w:val="both"/>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b/>
          <w:kern w:val="0"/>
          <w:sz w:val="24"/>
          <w:szCs w:val="24"/>
          <w:lang w:val="en-US" w:eastAsia="zh-CN" w:bidi="ar-SA"/>
        </w:rPr>
        <w:t>4.1投标人澄清、说明或者补正。</w:t>
      </w:r>
      <w:r>
        <w:rPr>
          <w:rFonts w:hint="eastAsia" w:ascii="仿宋_GB2312" w:hAnsi="仿宋_GB2312" w:eastAsia="仿宋_GB2312" w:cs="仿宋_GB2312"/>
          <w:kern w:val="0"/>
          <w:sz w:val="24"/>
          <w:szCs w:val="24"/>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5D0EFD">
      <w:pPr>
        <w:widowControl w:val="0"/>
        <w:adjustRightInd w:val="0"/>
        <w:spacing w:line="360" w:lineRule="auto"/>
        <w:ind w:left="1021" w:leftChars="226" w:hanging="479" w:firstLineChars="0"/>
        <w:jc w:val="both"/>
        <w:rPr>
          <w:rFonts w:ascii="仿宋_GB2312" w:hAnsi="仿宋_GB2312" w:eastAsia="仿宋_GB2312" w:cs="仿宋_GB2312"/>
          <w:kern w:val="2"/>
          <w:sz w:val="24"/>
          <w:szCs w:val="21"/>
          <w:lang w:val="en-US" w:eastAsia="zh-CN" w:bidi="ar-SA"/>
        </w:rPr>
      </w:pPr>
      <w:r>
        <w:rPr>
          <w:rFonts w:hint="eastAsia" w:ascii="仿宋_GB2312" w:hAnsi="仿宋_GB2312" w:eastAsia="仿宋_GB2312" w:cs="仿宋_GB2312"/>
          <w:b/>
          <w:kern w:val="0"/>
          <w:sz w:val="24"/>
          <w:szCs w:val="24"/>
          <w:lang w:val="en-US" w:eastAsia="zh-CN" w:bidi="ar-SA"/>
        </w:rPr>
        <w:t>4.2投标无效。</w:t>
      </w:r>
      <w:r>
        <w:rPr>
          <w:rFonts w:hint="eastAsia" w:ascii="仿宋_GB2312" w:hAnsi="仿宋_GB2312" w:eastAsia="仿宋_GB2312" w:cs="仿宋_GB2312"/>
          <w:kern w:val="2"/>
          <w:sz w:val="24"/>
          <w:szCs w:val="21"/>
          <w:lang w:val="en-US" w:eastAsia="zh-CN" w:bidi="ar-SA"/>
        </w:rPr>
        <w:t>有下列情况之一的，投标无效：</w:t>
      </w:r>
    </w:p>
    <w:p w14:paraId="4B59D9E4">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4.2.1投标人不具备招标文件中规定的资格要求的（投标人未提供有效的资格文件的，未按照招标文件要求提供与资格条件相应的有效资格证明材料的，均视为投标人不具备招标文件中规定的资格要求）；</w:t>
      </w:r>
    </w:p>
    <w:p w14:paraId="53880974">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4.2.2投标文件未按照招标文件要求签署、盖章的；</w:t>
      </w:r>
    </w:p>
    <w:p w14:paraId="16AF7C00">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4.2.3采购人拟采购的产品属于政府强制采购的节能产品品目清单范围的，投标人相应的投标产品未获得国家确定的认证机构出具的、处于有效期之内的节能产品认证证书的；</w:t>
      </w:r>
    </w:p>
    <w:p w14:paraId="767FD1AE">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4.2.4投标文件含有采购人不能接受的附加条件的（</w:t>
      </w:r>
      <w:r>
        <w:rPr>
          <w:rFonts w:hint="eastAsia" w:ascii="仿宋_GB2312" w:hAnsi="仿宋_GB2312" w:eastAsia="仿宋_GB2312" w:cs="仿宋_GB2312"/>
          <w:kern w:val="0"/>
          <w:sz w:val="24"/>
          <w:lang w:val="zh-CN"/>
        </w:rPr>
        <w:t>投标人未按开标一览表（报价表）格式填写的，采购内容未包含在《开标一览表（报价表）》名称栏中</w:t>
      </w:r>
      <w:r>
        <w:rPr>
          <w:rFonts w:hint="eastAsia" w:ascii="仿宋_GB2312" w:hAnsi="仿宋_GB2312" w:eastAsia="仿宋_GB2312" w:cs="仿宋_GB2312"/>
          <w:kern w:val="0"/>
          <w:sz w:val="24"/>
        </w:rPr>
        <w:t>或数量少于采购需求的</w:t>
      </w:r>
      <w:r>
        <w:rPr>
          <w:rFonts w:hint="eastAsia" w:ascii="仿宋_GB2312" w:hAnsi="仿宋_GB2312" w:eastAsia="仿宋_GB2312" w:cs="仿宋_GB2312"/>
          <w:kern w:val="0"/>
          <w:sz w:val="24"/>
          <w:lang w:val="zh-CN"/>
        </w:rPr>
        <w:t>，投标人不能作出合理解释的，均视为投标文件含有采购人不能接受的附加条件</w:t>
      </w:r>
      <w:r>
        <w:rPr>
          <w:rFonts w:hint="eastAsia" w:ascii="仿宋_GB2312" w:hAnsi="仿宋_GB2312" w:eastAsia="仿宋_GB2312" w:cs="仿宋_GB2312"/>
          <w:kern w:val="0"/>
          <w:sz w:val="24"/>
        </w:rPr>
        <w:t>）；</w:t>
      </w:r>
    </w:p>
    <w:p w14:paraId="7D81F665">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4.2.5投标文件中承诺的投标有效期少于招标文件中载明的投标有效期的；</w:t>
      </w:r>
    </w:p>
    <w:p w14:paraId="5E3867E2">
      <w:pPr>
        <w:spacing w:line="360" w:lineRule="auto"/>
        <w:ind w:firstLine="480" w:firstLineChars="200"/>
        <w:rPr>
          <w:rFonts w:ascii="仿宋_GB2312" w:hAnsi="仿宋_GB2312" w:eastAsia="仿宋_GB2312" w:cs="仿宋_GB2312"/>
          <w:sz w:val="21"/>
        </w:rPr>
      </w:pPr>
      <w:r>
        <w:rPr>
          <w:rFonts w:hint="eastAsia" w:ascii="仿宋_GB2312" w:hAnsi="仿宋_GB2312" w:eastAsia="仿宋_GB2312" w:cs="仿宋_GB2312"/>
          <w:kern w:val="0"/>
          <w:sz w:val="24"/>
        </w:rPr>
        <w:t>4.2.6在原定投标有效期满之前，如果出现特殊情况，采购代理机构以书面形式通知投标人延长投标有效期，投标人拒绝延长的；</w:t>
      </w:r>
    </w:p>
    <w:p w14:paraId="6F8C680D">
      <w:pPr>
        <w:snapToGrid w:val="0"/>
        <w:spacing w:line="360" w:lineRule="auto"/>
        <w:ind w:firstLine="120" w:firstLine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4.2.7投标文件出现不是唯一的、有选择性投标报价的;</w:t>
      </w:r>
    </w:p>
    <w:p w14:paraId="47942475">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4.2.8投标报价超过招标文件中规定的预算金额或者最高限价的;</w:t>
      </w:r>
    </w:p>
    <w:p w14:paraId="5435AB64">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4.2.9报价明显低于其他通过符合性审查投标人的报价，有可能影响产品质量或者不能诚信履约的，未能按要求提供书面说明或者提交相关证明材料，不能证明其报价合理性的;</w:t>
      </w:r>
    </w:p>
    <w:p w14:paraId="396778E4">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4.2.10投标人对根据修正原则修正后的报价不确认的；</w:t>
      </w:r>
    </w:p>
    <w:p w14:paraId="75213EB7">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4.2.11投标人提供虚假材料投标的；</w:t>
      </w:r>
    </w:p>
    <w:p w14:paraId="08323ADC">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4.2.12投标人有恶意串通、妨碍其他投标人的竞争行为、损害采购人或者其他投标人的合法权益情形的；</w:t>
      </w:r>
    </w:p>
    <w:p w14:paraId="2AC2F00A">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4.2.13招标文件要求提供样品，投标人未提供样品或提供的样品不满足采购需求实质性条件的；</w:t>
      </w:r>
    </w:p>
    <w:p w14:paraId="5619034F">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4.2.14投标文件不满足招标文件的其它实质性要求的；</w:t>
      </w:r>
    </w:p>
    <w:p w14:paraId="380416A4">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4.2.15法律、法规、规章（适用本市的）及省级以上规范性文件（适用本市的）规定的其他无效情形。</w:t>
      </w:r>
    </w:p>
    <w:p w14:paraId="0FF54C34">
      <w:pPr>
        <w:widowControl w:val="0"/>
        <w:adjustRightInd w:val="0"/>
        <w:snapToGrid w:val="0"/>
        <w:spacing w:line="360" w:lineRule="auto"/>
        <w:ind w:firstLine="472" w:firstLineChars="196"/>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kern w:val="2"/>
          <w:sz w:val="24"/>
          <w:szCs w:val="24"/>
          <w:lang w:val="en-US" w:eastAsia="zh-CN" w:bidi="ar-SA"/>
        </w:rPr>
        <w:t>5.废标。</w:t>
      </w:r>
      <w:r>
        <w:rPr>
          <w:rFonts w:hint="eastAsia" w:ascii="仿宋_GB2312" w:hAnsi="仿宋_GB2312" w:eastAsia="仿宋_GB2312" w:cs="仿宋_GB2312"/>
          <w:kern w:val="2"/>
          <w:sz w:val="24"/>
          <w:szCs w:val="24"/>
          <w:lang w:val="en-US" w:eastAsia="zh-CN" w:bidi="ar-SA"/>
        </w:rPr>
        <w:t>根据《中华人民共和国政府采购法》第三十六条之规定，在采购中，出现下列情形之一的，应予废标：</w:t>
      </w:r>
    </w:p>
    <w:p w14:paraId="626F8F8A">
      <w:pPr>
        <w:widowControl w:val="0"/>
        <w:adjustRightInd w:val="0"/>
        <w:snapToGrid w:val="0"/>
        <w:spacing w:line="360" w:lineRule="auto"/>
        <w:ind w:firstLine="480" w:firstLineChars="20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5.1符合专业条件的供应商或者对招标文件作实质响应的供应商不足3家的；</w:t>
      </w:r>
    </w:p>
    <w:p w14:paraId="1645E29F">
      <w:pPr>
        <w:widowControl w:val="0"/>
        <w:adjustRightInd w:val="0"/>
        <w:snapToGrid w:val="0"/>
        <w:spacing w:line="360" w:lineRule="auto"/>
        <w:ind w:firstLine="480" w:firstLineChars="20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5.2出现影响采购公正的违法、违规行为的；</w:t>
      </w:r>
    </w:p>
    <w:p w14:paraId="01BA719B">
      <w:pPr>
        <w:widowControl w:val="0"/>
        <w:adjustRightInd w:val="0"/>
        <w:snapToGrid w:val="0"/>
        <w:spacing w:line="360" w:lineRule="auto"/>
        <w:ind w:firstLine="480" w:firstLineChars="20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5.3投标人的报价均超过了采购预算，采购人不能支付的；</w:t>
      </w:r>
    </w:p>
    <w:p w14:paraId="0DFE743C">
      <w:pPr>
        <w:widowControl w:val="0"/>
        <w:adjustRightInd w:val="0"/>
        <w:snapToGrid w:val="0"/>
        <w:spacing w:line="360" w:lineRule="auto"/>
        <w:ind w:firstLine="480" w:firstLineChars="20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5.4因重大变故，采购任务取消的。</w:t>
      </w:r>
    </w:p>
    <w:p w14:paraId="085D34A2">
      <w:pPr>
        <w:widowControl w:val="0"/>
        <w:adjustRightInd w:val="0"/>
        <w:snapToGrid w:val="0"/>
        <w:spacing w:line="360" w:lineRule="auto"/>
        <w:ind w:firstLine="480" w:firstLineChars="20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废标后，采购代理机构应当将废标理由通知所有投标人。</w:t>
      </w:r>
    </w:p>
    <w:p w14:paraId="5BA8BD34">
      <w:pPr>
        <w:widowControl w:val="0"/>
        <w:adjustRightInd w:val="0"/>
        <w:snapToGrid w:val="0"/>
        <w:spacing w:line="360" w:lineRule="auto"/>
        <w:ind w:firstLine="590" w:firstLineChars="245"/>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kern w:val="2"/>
          <w:sz w:val="24"/>
          <w:szCs w:val="24"/>
          <w:lang w:val="en-US" w:eastAsia="zh-CN" w:bidi="ar-SA"/>
        </w:rPr>
        <w:t>6.修改招标文件，重新组织采购活动。</w:t>
      </w:r>
      <w:r>
        <w:rPr>
          <w:rFonts w:hint="eastAsia" w:ascii="仿宋_GB2312" w:hAnsi="仿宋_GB2312" w:eastAsia="仿宋_GB2312" w:cs="仿宋_GB2312"/>
          <w:kern w:val="2"/>
          <w:sz w:val="24"/>
          <w:szCs w:val="24"/>
          <w:lang w:val="en-US" w:eastAsia="zh-CN" w:bidi="ar-S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1C0FE0">
      <w:pPr>
        <w:widowControl w:val="0"/>
        <w:adjustRightInd w:val="0"/>
        <w:snapToGrid w:val="0"/>
        <w:spacing w:line="360" w:lineRule="auto"/>
        <w:ind w:firstLine="590" w:firstLineChars="245"/>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kern w:val="0"/>
          <w:sz w:val="24"/>
          <w:szCs w:val="24"/>
          <w:lang w:val="en-US" w:eastAsia="zh-CN" w:bidi="ar-SA"/>
        </w:rPr>
        <w:t>7.重新开展采购。</w:t>
      </w:r>
      <w:r>
        <w:rPr>
          <w:rFonts w:hint="eastAsia" w:ascii="仿宋_GB2312" w:hAnsi="仿宋_GB2312" w:eastAsia="仿宋_GB2312" w:cs="仿宋_GB2312"/>
          <w:kern w:val="2"/>
          <w:sz w:val="24"/>
          <w:szCs w:val="24"/>
          <w:lang w:val="en-US" w:eastAsia="zh-CN" w:bidi="ar-SA"/>
        </w:rPr>
        <w:t>有政府采购法第七十一条、第七十二条规定的违法行为之一，影响或者可能影响中标结果的，依照下列规定处理：</w:t>
      </w:r>
    </w:p>
    <w:p w14:paraId="18B61FE2">
      <w:pPr>
        <w:widowControl w:val="0"/>
        <w:adjustRightInd w:val="0"/>
        <w:snapToGrid w:val="0"/>
        <w:spacing w:line="360" w:lineRule="auto"/>
        <w:ind w:firstLine="600" w:firstLineChars="25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7.1未确定中标供应商的，终止本次政府采购活动，重新开展政府采购活动。</w:t>
      </w:r>
    </w:p>
    <w:p w14:paraId="3818179E">
      <w:pPr>
        <w:widowControl w:val="0"/>
        <w:adjustRightInd w:val="0"/>
        <w:snapToGrid w:val="0"/>
        <w:spacing w:line="360" w:lineRule="auto"/>
        <w:ind w:firstLine="600" w:firstLineChars="25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7.2已确定中标供应商但尚未签订政府采购合同的，中标结果无效，从合格的中标候选人中另行确定中标人；没有合格的中标候选人的，重新开展政府采购活动。</w:t>
      </w:r>
    </w:p>
    <w:p w14:paraId="24478DE5">
      <w:pPr>
        <w:widowControl w:val="0"/>
        <w:adjustRightInd w:val="0"/>
        <w:snapToGrid w:val="0"/>
        <w:spacing w:line="360" w:lineRule="auto"/>
        <w:ind w:firstLine="600" w:firstLineChars="25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7.3政府采购合同已签订但尚未履行的，撤销合同，从合格的中标候选人中另行确定中标人；没有合格的中标候选人的，重新开展政府采购活动。</w:t>
      </w:r>
    </w:p>
    <w:p w14:paraId="10C95D82">
      <w:pPr>
        <w:widowControl w:val="0"/>
        <w:adjustRightInd w:val="0"/>
        <w:snapToGrid w:val="0"/>
        <w:spacing w:line="360" w:lineRule="auto"/>
        <w:ind w:firstLine="480" w:firstLineChars="20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7.4政府采购合同已经履行，给采购人、供应商造成损失的，由责任人承担赔偿责任。</w:t>
      </w:r>
    </w:p>
    <w:p w14:paraId="601997AC">
      <w:pPr>
        <w:snapToGrid w:val="0"/>
        <w:spacing w:line="360" w:lineRule="auto"/>
        <w:rPr>
          <w:rFonts w:ascii="仿宋_GB2312" w:hAnsi="仿宋_GB2312" w:eastAsia="仿宋_GB2312" w:cs="仿宋_GB2312"/>
        </w:rPr>
        <w:sectPr>
          <w:footerReference r:id="rId8" w:type="default"/>
          <w:pgSz w:w="11907" w:h="16840"/>
          <w:pgMar w:top="680" w:right="1417" w:bottom="471" w:left="1417" w:header="851" w:footer="851"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kern w:val="2"/>
          <w:sz w:val="24"/>
          <w:szCs w:val="24"/>
          <w:lang w:val="en-US" w:eastAsia="zh-CN" w:bidi="ar-SA"/>
        </w:rPr>
        <w:t>7.5政府采购当事人有其他违反政府采购法</w:t>
      </w:r>
      <w:r>
        <w:rPr>
          <w:rFonts w:hint="eastAsia" w:ascii="仿宋_GB2312" w:hAnsi="仿宋_GB2312" w:eastAsia="仿宋_GB2312" w:cs="仿宋_GB2312"/>
          <w:kern w:val="0"/>
          <w:sz w:val="24"/>
          <w:szCs w:val="24"/>
          <w:lang w:val="en-US" w:eastAsia="zh-CN" w:bidi="ar-SA"/>
        </w:rPr>
        <w:t>或者政府采购法实施条例等法律法规规定</w:t>
      </w:r>
      <w:r>
        <w:rPr>
          <w:rFonts w:hint="eastAsia" w:ascii="仿宋_GB2312" w:hAnsi="仿宋_GB2312" w:eastAsia="仿宋_GB2312" w:cs="仿宋_GB2312"/>
          <w:kern w:val="2"/>
          <w:sz w:val="24"/>
          <w:szCs w:val="24"/>
          <w:lang w:val="en-US" w:eastAsia="zh-CN" w:bidi="ar-SA"/>
        </w:rPr>
        <w:t>的行为，经改正后仍然影响或者可能影响中标结果或者依法被认定为中标无效的，依照7.1-7.4规定处理。</w:t>
      </w:r>
    </w:p>
    <w:p w14:paraId="07507DA5">
      <w:pPr>
        <w:pStyle w:val="3"/>
        <w:ind w:left="0" w:leftChars="0" w:firstLine="0" w:firstLineChars="0"/>
        <w:rPr>
          <w:rFonts w:hint="eastAsia"/>
        </w:rPr>
      </w:pPr>
      <w:bookmarkStart w:id="391" w:name="第五部分"/>
      <w:bookmarkStart w:id="392" w:name="_Toc86217003"/>
    </w:p>
    <w:p w14:paraId="2D61B8DA">
      <w:pPr>
        <w:spacing w:line="360" w:lineRule="auto"/>
        <w:jc w:val="center"/>
        <w:outlineLvl w:val="0"/>
        <w:rPr>
          <w:rFonts w:hint="eastAsia" w:ascii="仿宋_GB2312" w:hAnsi="仿宋_GB2312" w:eastAsia="仿宋_GB2312" w:cs="仿宋_GB2312"/>
          <w:b/>
          <w:sz w:val="24"/>
        </w:rPr>
      </w:pPr>
      <w:r>
        <w:rPr>
          <w:rFonts w:hint="eastAsia" w:ascii="仿宋" w:hAnsi="仿宋" w:eastAsia="仿宋" w:cs="仿宋"/>
          <w:b/>
          <w:color w:val="auto"/>
          <w:sz w:val="36"/>
          <w:szCs w:val="36"/>
          <w:highlight w:val="none"/>
        </w:rPr>
        <w:t xml:space="preserve">第五部分 </w:t>
      </w:r>
      <w:r>
        <w:rPr>
          <w:rFonts w:hint="eastAsia" w:ascii="仿宋_GB2312" w:hAnsi="仿宋_GB2312" w:eastAsia="仿宋_GB2312" w:cs="仿宋_GB2312"/>
          <w:b/>
          <w:sz w:val="36"/>
          <w:szCs w:val="36"/>
        </w:rPr>
        <w:t xml:space="preserve"> 拟签订的合同文本</w:t>
      </w:r>
    </w:p>
    <w:p w14:paraId="0F8F9734">
      <w:pPr>
        <w:spacing w:line="360" w:lineRule="auto"/>
        <w:ind w:left="720" w:firstLine="723" w:firstLineChars="200"/>
        <w:outlineLvl w:val="0"/>
        <w:rPr>
          <w:rFonts w:hint="eastAsia" w:ascii="仿宋_GB2312" w:hAnsi="仿宋_GB2312" w:eastAsia="仿宋_GB2312" w:cs="仿宋_GB2312"/>
          <w:b/>
          <w:sz w:val="36"/>
          <w:szCs w:val="20"/>
        </w:rPr>
      </w:pPr>
    </w:p>
    <w:p w14:paraId="645418DD">
      <w:pPr>
        <w:rPr>
          <w:rFonts w:ascii="仿宋_GB2312" w:hAnsi="仿宋_GB2312" w:eastAsia="仿宋_GB2312" w:cs="仿宋_GB2312"/>
          <w:sz w:val="24"/>
          <w:u w:val="single"/>
        </w:rPr>
      </w:pPr>
      <w:r>
        <w:rPr>
          <w:rFonts w:hint="eastAsia" w:ascii="仿宋_GB2312" w:hAnsi="仿宋_GB2312" w:eastAsia="仿宋_GB2312" w:cs="仿宋_GB2312"/>
          <w:sz w:val="24"/>
        </w:rPr>
        <w:t>合同编号：</w:t>
      </w:r>
      <w:r>
        <w:rPr>
          <w:rFonts w:hint="eastAsia" w:ascii="仿宋_GB2312" w:hAnsi="仿宋_GB2312" w:eastAsia="仿宋_GB2312" w:cs="仿宋_GB2312"/>
          <w:sz w:val="24"/>
          <w:u w:val="single"/>
        </w:rPr>
        <w:t xml:space="preserve">           </w:t>
      </w:r>
    </w:p>
    <w:p w14:paraId="0CD1D1B8">
      <w:pPr>
        <w:spacing w:line="480" w:lineRule="auto"/>
        <w:jc w:val="center"/>
        <w:rPr>
          <w:rFonts w:ascii="仿宋_GB2312" w:hAnsi="仿宋_GB2312" w:eastAsia="仿宋_GB2312" w:cs="仿宋_GB2312"/>
          <w:b/>
          <w:sz w:val="24"/>
        </w:rPr>
      </w:pPr>
    </w:p>
    <w:p w14:paraId="7486948B">
      <w:pPr>
        <w:spacing w:line="48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政府采购合同参考范本</w:t>
      </w:r>
    </w:p>
    <w:p w14:paraId="2EC73087">
      <w:pPr>
        <w:spacing w:line="48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（服务类）</w:t>
      </w:r>
    </w:p>
    <w:p w14:paraId="347372A9">
      <w:pPr>
        <w:pStyle w:val="701"/>
        <w:ind w:firstLine="2843" w:firstLineChars="1180"/>
        <w:rPr>
          <w:rFonts w:ascii="仿宋_GB2312" w:hAnsi="仿宋_GB2312" w:eastAsia="仿宋_GB2312" w:cs="仿宋_GB2312"/>
          <w:b/>
          <w:szCs w:val="24"/>
        </w:rPr>
      </w:pPr>
      <w:r>
        <w:rPr>
          <w:rFonts w:hint="eastAsia" w:ascii="仿宋_GB2312" w:hAnsi="仿宋_GB2312" w:eastAsia="仿宋_GB2312" w:cs="仿宋_GB2312"/>
          <w:b/>
          <w:szCs w:val="24"/>
        </w:rPr>
        <w:t>第一部分 合同书</w:t>
      </w:r>
    </w:p>
    <w:p w14:paraId="6292BEA2">
      <w:pPr>
        <w:pStyle w:val="701"/>
        <w:rPr>
          <w:rFonts w:ascii="仿宋_GB2312" w:hAnsi="仿宋_GB2312" w:eastAsia="仿宋_GB2312" w:cs="仿宋_GB2312"/>
          <w:szCs w:val="24"/>
        </w:rPr>
      </w:pPr>
    </w:p>
    <w:p w14:paraId="4D0EE1A6">
      <w:pPr>
        <w:pStyle w:val="701"/>
        <w:rPr>
          <w:rFonts w:ascii="仿宋_GB2312" w:hAnsi="仿宋_GB2312" w:eastAsia="仿宋_GB2312" w:cs="仿宋_GB2312"/>
          <w:szCs w:val="24"/>
        </w:rPr>
      </w:pPr>
    </w:p>
    <w:p w14:paraId="69E72EAA">
      <w:pPr>
        <w:spacing w:before="120" w:line="22" w:lineRule="atLeast"/>
        <w:rPr>
          <w:rFonts w:ascii="仿宋_GB2312" w:hAnsi="仿宋_GB2312" w:eastAsia="仿宋_GB2312" w:cs="仿宋_GB2312"/>
          <w:sz w:val="24"/>
        </w:rPr>
      </w:pPr>
    </w:p>
    <w:p w14:paraId="0EB8557F">
      <w:pPr>
        <w:spacing w:before="120" w:line="22" w:lineRule="atLeast"/>
        <w:ind w:left="960"/>
        <w:rPr>
          <w:rFonts w:ascii="仿宋_GB2312" w:hAnsi="仿宋_GB2312" w:eastAsia="仿宋_GB2312" w:cs="仿宋_GB2312"/>
          <w:sz w:val="24"/>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rPr>
        <w:t xml:space="preserve">                                   </w:t>
      </w:r>
    </w:p>
    <w:p w14:paraId="5CAC3FDB">
      <w:pPr>
        <w:pStyle w:val="598"/>
        <w:spacing w:before="120" w:line="22" w:lineRule="atLeast"/>
        <w:ind w:firstLine="960" w:firstLineChars="400"/>
        <w:rPr>
          <w:rFonts w:hint="eastAsia" w:hAnsi="仿宋_GB2312" w:cs="仿宋_GB2312"/>
          <w:szCs w:val="24"/>
        </w:rPr>
      </w:pPr>
    </w:p>
    <w:p w14:paraId="291FCDA2">
      <w:pPr>
        <w:pStyle w:val="598"/>
        <w:spacing w:before="120" w:line="22" w:lineRule="atLeast"/>
        <w:rPr>
          <w:rFonts w:hAnsi="仿宋_GB2312" w:cs="仿宋_GB2312"/>
          <w:szCs w:val="24"/>
        </w:rPr>
      </w:pPr>
    </w:p>
    <w:p w14:paraId="2EB89095">
      <w:pPr>
        <w:rPr>
          <w:rFonts w:ascii="仿宋_GB2312" w:hAnsi="仿宋_GB2312" w:eastAsia="仿宋_GB2312" w:cs="仿宋_GB2312"/>
          <w:sz w:val="24"/>
        </w:rPr>
      </w:pPr>
    </w:p>
    <w:p w14:paraId="4E935B82">
      <w:pPr>
        <w:spacing w:before="120" w:line="22" w:lineRule="atLeast"/>
        <w:ind w:left="960"/>
        <w:rPr>
          <w:rFonts w:ascii="仿宋_GB2312" w:hAnsi="仿宋_GB2312" w:eastAsia="仿宋_GB2312" w:cs="仿宋_GB2312"/>
          <w:sz w:val="24"/>
          <w:u w:val="single"/>
        </w:rPr>
      </w:pPr>
      <w:r>
        <w:rPr>
          <w:rFonts w:hint="eastAsia" w:ascii="仿宋_GB2312" w:hAnsi="仿宋_GB2312" w:eastAsia="仿宋_GB2312" w:cs="仿宋_GB2312"/>
          <w:sz w:val="24"/>
        </w:rPr>
        <w:t>甲方：</w:t>
      </w:r>
      <w:r>
        <w:rPr>
          <w:rFonts w:hint="eastAsia" w:ascii="仿宋_GB2312" w:hAnsi="仿宋_GB2312" w:eastAsia="仿宋_GB2312" w:cs="仿宋_GB2312"/>
          <w:sz w:val="24"/>
          <w:u w:val="single"/>
        </w:rPr>
        <w:t xml:space="preserve">                                       </w:t>
      </w:r>
    </w:p>
    <w:p w14:paraId="554A9071">
      <w:pPr>
        <w:spacing w:before="120" w:line="22" w:lineRule="atLeast"/>
        <w:rPr>
          <w:rFonts w:ascii="仿宋_GB2312" w:hAnsi="仿宋_GB2312" w:eastAsia="仿宋_GB2312" w:cs="仿宋_GB2312"/>
          <w:sz w:val="24"/>
        </w:rPr>
      </w:pPr>
    </w:p>
    <w:p w14:paraId="333019E2">
      <w:pPr>
        <w:spacing w:before="120" w:line="22" w:lineRule="atLeast"/>
        <w:ind w:left="960"/>
        <w:rPr>
          <w:rFonts w:ascii="仿宋_GB2312" w:hAnsi="仿宋_GB2312" w:eastAsia="仿宋_GB2312" w:cs="仿宋_GB2312"/>
          <w:sz w:val="24"/>
          <w:u w:val="single"/>
        </w:rPr>
      </w:pPr>
      <w:r>
        <w:rPr>
          <w:rFonts w:hint="eastAsia" w:ascii="仿宋_GB2312" w:hAnsi="仿宋_GB2312" w:eastAsia="仿宋_GB2312" w:cs="仿宋_GB2312"/>
          <w:sz w:val="24"/>
        </w:rPr>
        <w:t>乙方：</w:t>
      </w:r>
      <w:r>
        <w:rPr>
          <w:rFonts w:hint="eastAsia" w:ascii="仿宋_GB2312" w:hAnsi="仿宋_GB2312" w:eastAsia="仿宋_GB2312" w:cs="仿宋_GB2312"/>
          <w:sz w:val="24"/>
          <w:u w:val="single"/>
        </w:rPr>
        <w:t xml:space="preserve">                                       </w:t>
      </w:r>
    </w:p>
    <w:p w14:paraId="480BF5C8">
      <w:pPr>
        <w:spacing w:before="120" w:line="22" w:lineRule="atLeast"/>
        <w:rPr>
          <w:rFonts w:ascii="仿宋_GB2312" w:hAnsi="仿宋_GB2312" w:eastAsia="仿宋_GB2312" w:cs="仿宋_GB2312"/>
          <w:sz w:val="24"/>
        </w:rPr>
      </w:pPr>
    </w:p>
    <w:p w14:paraId="191BEEDA">
      <w:pPr>
        <w:spacing w:before="120" w:line="22" w:lineRule="atLeast"/>
        <w:ind w:firstLine="960" w:firstLineChars="400"/>
        <w:rPr>
          <w:rFonts w:ascii="仿宋_GB2312" w:hAnsi="仿宋_GB2312" w:eastAsia="仿宋_GB2312" w:cs="仿宋_GB2312"/>
          <w:sz w:val="24"/>
          <w:u w:val="single"/>
        </w:rPr>
      </w:pPr>
      <w:r>
        <w:rPr>
          <w:rFonts w:hint="eastAsia" w:ascii="仿宋_GB2312" w:hAnsi="仿宋_GB2312" w:eastAsia="仿宋_GB2312" w:cs="仿宋_GB2312"/>
          <w:sz w:val="24"/>
        </w:rPr>
        <w:t>签订地：</w:t>
      </w:r>
      <w:r>
        <w:rPr>
          <w:rFonts w:hint="eastAsia" w:ascii="仿宋_GB2312" w:hAnsi="仿宋_GB2312" w:eastAsia="仿宋_GB2312" w:cs="仿宋_GB2312"/>
          <w:sz w:val="24"/>
          <w:u w:val="single"/>
        </w:rPr>
        <w:t xml:space="preserve">                                     </w:t>
      </w:r>
    </w:p>
    <w:p w14:paraId="6CB980A7">
      <w:pPr>
        <w:spacing w:before="120" w:line="22" w:lineRule="atLeast"/>
        <w:rPr>
          <w:rFonts w:ascii="仿宋_GB2312" w:hAnsi="仿宋_GB2312" w:eastAsia="仿宋_GB2312" w:cs="仿宋_GB2312"/>
          <w:sz w:val="24"/>
        </w:rPr>
      </w:pPr>
    </w:p>
    <w:p w14:paraId="70E8D87C">
      <w:pPr>
        <w:spacing w:before="120" w:line="22" w:lineRule="atLeast"/>
        <w:ind w:firstLine="960" w:firstLineChars="400"/>
        <w:rPr>
          <w:rFonts w:ascii="仿宋_GB2312" w:hAnsi="仿宋_GB2312" w:eastAsia="仿宋_GB2312" w:cs="仿宋_GB2312"/>
          <w:sz w:val="24"/>
          <w:u w:val="single"/>
        </w:rPr>
      </w:pPr>
      <w:r>
        <w:rPr>
          <w:rFonts w:hint="eastAsia" w:ascii="仿宋_GB2312" w:hAnsi="仿宋_GB2312" w:eastAsia="仿宋_GB2312" w:cs="仿宋_GB2312"/>
          <w:sz w:val="24"/>
        </w:rPr>
        <w:t>签订日期：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3086849">
      <w:pPr>
        <w:widowControl/>
        <w:jc w:val="left"/>
        <w:rPr>
          <w:rFonts w:ascii="仿宋_GB2312" w:hAnsi="仿宋_GB2312" w:eastAsia="仿宋_GB2312" w:cs="仿宋_GB2312"/>
          <w:kern w:val="0"/>
          <w:sz w:val="24"/>
        </w:rPr>
        <w:sectPr>
          <w:pgSz w:w="11907" w:h="16840"/>
          <w:pgMar w:top="680" w:right="1417" w:bottom="471" w:left="1417" w:header="851" w:footer="851" w:gutter="0"/>
          <w:cols w:space="720" w:num="1"/>
        </w:sectPr>
      </w:pPr>
    </w:p>
    <w:p w14:paraId="57701840">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日</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以</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项目进行了采购。经</w:t>
      </w:r>
      <w:r>
        <w:rPr>
          <w:rFonts w:hint="eastAsia" w:ascii="仿宋_GB2312" w:hAnsi="仿宋_GB2312" w:eastAsia="仿宋_GB2312" w:cs="仿宋_GB2312"/>
          <w:sz w:val="24"/>
          <w:u w:val="single"/>
        </w:rPr>
        <w:t xml:space="preserve"> （相关评定主体名称） </w:t>
      </w:r>
      <w:r>
        <w:rPr>
          <w:rFonts w:hint="eastAsia" w:ascii="仿宋_GB2312" w:hAnsi="仿宋_GB2312" w:eastAsia="仿宋_GB2312" w:cs="仿宋_GB2312"/>
          <w:sz w:val="24"/>
        </w:rPr>
        <w:t>评定，</w:t>
      </w:r>
      <w:r>
        <w:rPr>
          <w:rFonts w:hint="eastAsia" w:ascii="仿宋_GB2312" w:hAnsi="仿宋_GB2312" w:eastAsia="仿宋_GB2312" w:cs="仿宋_GB2312"/>
          <w:sz w:val="24"/>
          <w:u w:val="single"/>
        </w:rPr>
        <w:t xml:space="preserve"> （中标供应商名称） </w:t>
      </w:r>
      <w:r>
        <w:rPr>
          <w:rFonts w:hint="eastAsia" w:ascii="仿宋_GB2312" w:hAnsi="仿宋_GB2312" w:eastAsia="仿宋_GB2312" w:cs="仿宋_GB2312"/>
          <w:sz w:val="24"/>
        </w:rPr>
        <w:t>为该项目中标供应商。现于中标通知书发出之日起十个工作日内，按照采购文件确定的事项签订本合同。</w:t>
      </w:r>
    </w:p>
    <w:p w14:paraId="50BD594A">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zh-CN"/>
        </w:rPr>
        <w:t>根据《中华人民共和国民法典》、《中华人民共和国政府采购法》等相关法律法规之规定，按照平等、自愿、公平、诚实信用和绿色的原则，经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(以下简称：甲方)和</w:t>
      </w:r>
      <w:r>
        <w:rPr>
          <w:rFonts w:hint="eastAsia" w:ascii="仿宋_GB2312" w:hAnsi="仿宋_GB2312" w:eastAsia="仿宋_GB2312" w:cs="仿宋_GB2312"/>
          <w:sz w:val="24"/>
          <w:u w:val="single"/>
        </w:rPr>
        <w:t xml:space="preserve"> （中标供应商名称） </w:t>
      </w:r>
      <w:r>
        <w:rPr>
          <w:rFonts w:hint="eastAsia" w:ascii="仿宋_GB2312" w:hAnsi="仿宋_GB2312" w:eastAsia="仿宋_GB2312" w:cs="仿宋_GB2312"/>
          <w:sz w:val="24"/>
          <w:lang w:val="zh-CN"/>
        </w:rPr>
        <w:t>(以下简称：乙方)协商一致，约定以下合同</w:t>
      </w:r>
      <w:r>
        <w:rPr>
          <w:rFonts w:hint="eastAsia" w:ascii="仿宋_GB2312" w:hAnsi="仿宋_GB2312" w:eastAsia="仿宋_GB2312" w:cs="仿宋_GB2312"/>
          <w:sz w:val="24"/>
        </w:rPr>
        <w:t>条款，以兹共同遵守、全面履行。</w:t>
      </w:r>
    </w:p>
    <w:p w14:paraId="4D2123F5">
      <w:pPr>
        <w:spacing w:line="560" w:lineRule="exact"/>
        <w:ind w:firstLine="482" w:firstLineChars="200"/>
        <w:outlineLvl w:val="0"/>
        <w:rPr>
          <w:rFonts w:hint="eastAsia" w:ascii="仿宋_GB2312" w:hAnsi="仿宋_GB2312" w:eastAsia="仿宋_GB2312" w:cs="仿宋_GB2312"/>
          <w:sz w:val="24"/>
        </w:rPr>
      </w:pPr>
      <w:bookmarkStart w:id="393" w:name="_Toc22967"/>
      <w:bookmarkStart w:id="394" w:name="_Toc15367"/>
      <w:bookmarkStart w:id="395" w:name="_Toc20421"/>
      <w:bookmarkStart w:id="396" w:name="_Toc19273"/>
      <w:bookmarkStart w:id="397" w:name="_Toc28855"/>
      <w:r>
        <w:rPr>
          <w:rFonts w:hint="eastAsia" w:ascii="仿宋_GB2312" w:hAnsi="仿宋_GB2312" w:eastAsia="仿宋_GB2312" w:cs="仿宋_GB2312"/>
          <w:b/>
          <w:sz w:val="24"/>
        </w:rPr>
        <w:t>1.1 合同组成部分</w:t>
      </w:r>
      <w:bookmarkEnd w:id="393"/>
      <w:bookmarkEnd w:id="394"/>
      <w:bookmarkEnd w:id="395"/>
      <w:bookmarkEnd w:id="396"/>
      <w:bookmarkEnd w:id="397"/>
    </w:p>
    <w:p w14:paraId="7B14326F">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5E36E7">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1.1.1 本合同及其补充合同、变更协议；</w:t>
      </w:r>
    </w:p>
    <w:p w14:paraId="6BED6A4D">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1.1.2 中标或者成交通知书；</w:t>
      </w:r>
    </w:p>
    <w:p w14:paraId="0DB5EC37">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1.1.3 投标或者响应文件（含澄清或者说明文件）；</w:t>
      </w:r>
    </w:p>
    <w:p w14:paraId="7165DD89">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1.1.4 采购文件（含澄清或者修改文件）；</w:t>
      </w:r>
    </w:p>
    <w:p w14:paraId="1607DA60">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1.1.5 其他相关采购文件。</w:t>
      </w:r>
    </w:p>
    <w:p w14:paraId="343E3BB2">
      <w:pPr>
        <w:spacing w:line="560" w:lineRule="exact"/>
        <w:ind w:firstLine="482" w:firstLineChars="200"/>
        <w:outlineLvl w:val="0"/>
        <w:rPr>
          <w:rFonts w:hint="eastAsia" w:ascii="仿宋_GB2312" w:hAnsi="仿宋_GB2312" w:eastAsia="仿宋_GB2312" w:cs="仿宋_GB2312"/>
          <w:b/>
          <w:sz w:val="24"/>
        </w:rPr>
      </w:pPr>
      <w:bookmarkStart w:id="398" w:name="_Toc22185"/>
      <w:bookmarkStart w:id="399" w:name="_Toc6311"/>
      <w:bookmarkStart w:id="400" w:name="_Toc18585"/>
      <w:bookmarkStart w:id="401" w:name="_Toc6773"/>
      <w:bookmarkStart w:id="402" w:name="_Toc2918"/>
      <w:r>
        <w:rPr>
          <w:rFonts w:hint="eastAsia" w:ascii="仿宋_GB2312" w:hAnsi="仿宋_GB2312" w:eastAsia="仿宋_GB2312" w:cs="仿宋_GB2312"/>
          <w:b/>
          <w:sz w:val="24"/>
        </w:rPr>
        <w:t>1.2 标的</w:t>
      </w:r>
      <w:bookmarkEnd w:id="398"/>
      <w:bookmarkEnd w:id="399"/>
      <w:bookmarkEnd w:id="400"/>
      <w:bookmarkEnd w:id="401"/>
      <w:bookmarkEnd w:id="402"/>
    </w:p>
    <w:p w14:paraId="3F828EBE">
      <w:pPr>
        <w:spacing w:line="560" w:lineRule="atLeas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1.2.1 服务内容：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717C0F49">
      <w:pPr>
        <w:spacing w:line="560" w:lineRule="atLeas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1.2.2 服务标准：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1A88BC7">
      <w:pPr>
        <w:spacing w:line="560" w:lineRule="atLeas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1.2.3 技术保障：</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BA3213E">
      <w:pPr>
        <w:spacing w:line="560" w:lineRule="atLeas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1.2.4 服务人员组成：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59840457">
      <w:pPr>
        <w:pStyle w:val="959"/>
        <w:spacing w:before="0" w:beforeAutospacing="0" w:after="0" w:afterAutospacing="0" w:line="560" w:lineRule="atLeast"/>
        <w:ind w:firstLine="480"/>
        <w:rPr>
          <w:rFonts w:hint="eastAsia" w:ascii="仿宋_GB2312" w:hAnsi="仿宋_GB2312" w:eastAsia="仿宋_GB2312" w:cs="仿宋_GB2312"/>
        </w:rPr>
      </w:pPr>
      <w:r>
        <w:rPr>
          <w:rFonts w:hint="eastAsia" w:ascii="仿宋_GB2312" w:hAnsi="仿宋_GB2312" w:eastAsia="仿宋_GB2312" w:cs="仿宋_GB2312"/>
        </w:rPr>
        <w:t>1.2.5合同</w:t>
      </w:r>
      <w:r>
        <w:rPr>
          <w:rFonts w:hint="eastAsia" w:ascii="仿宋_GB2312" w:hAnsi="仿宋_GB2312" w:eastAsia="仿宋_GB2312" w:cs="仿宋_GB2312"/>
          <w:u w:val="single"/>
        </w:rPr>
        <w:t xml:space="preserve">   </w:t>
      </w:r>
      <w:r>
        <w:rPr>
          <w:rFonts w:hint="eastAsia" w:ascii="仿宋_GB2312" w:hAnsi="仿宋_GB2312" w:eastAsia="仿宋_GB2312" w:cs="仿宋_GB2312"/>
        </w:rPr>
        <w:t>（是/否）涉及货物。若涉及货物的的，则：</w:t>
      </w:r>
    </w:p>
    <w:p w14:paraId="5A75AA98">
      <w:pPr>
        <w:spacing w:line="560" w:lineRule="atLeast"/>
        <w:ind w:firstLine="480" w:firstLineChars="200"/>
        <w:rPr>
          <w:rFonts w:hint="eastAsia" w:ascii="仿宋_GB2312" w:hAnsi="仿宋_GB2312" w:eastAsia="仿宋_GB2312" w:cs="仿宋_GB2312"/>
          <w:sz w:val="24"/>
          <w:u w:val="single"/>
        </w:rPr>
      </w:pPr>
      <w:bookmarkStart w:id="403" w:name="_Toc5635"/>
      <w:bookmarkStart w:id="404" w:name="_Toc21124"/>
      <w:bookmarkStart w:id="405" w:name="_Toc1386"/>
      <w:bookmarkStart w:id="406" w:name="_Toc4929"/>
      <w:bookmarkStart w:id="407" w:name="_Toc13918"/>
      <w:r>
        <w:rPr>
          <w:rFonts w:hint="eastAsia" w:ascii="仿宋_GB2312" w:hAnsi="仿宋_GB2312" w:eastAsia="仿宋_GB2312" w:cs="仿宋_GB2312"/>
          <w:sz w:val="24"/>
        </w:rPr>
        <w:t>1.2.5.1 货物名称、品牌、规格型号、花色：</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7BF887B">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1.2.5.2 货物数量：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35B90099">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1.2.5.3 货物质量：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254B74A1">
      <w:pPr>
        <w:spacing w:line="560" w:lineRule="exact"/>
        <w:ind w:firstLine="482" w:firstLineChars="200"/>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1.3 价款</w:t>
      </w:r>
      <w:bookmarkEnd w:id="403"/>
      <w:bookmarkEnd w:id="404"/>
      <w:bookmarkEnd w:id="405"/>
      <w:bookmarkEnd w:id="406"/>
      <w:bookmarkEnd w:id="407"/>
    </w:p>
    <w:p w14:paraId="13B8EB9E">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本项目采用以下第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条款规定的计价方式计价。</w:t>
      </w:r>
    </w:p>
    <w:p w14:paraId="37BEDB35">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1.3.1总价合同，本合同总价（含税）为：￥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w:t>
      </w:r>
    </w:p>
    <w:p w14:paraId="1BF0D114">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11F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292FE7F">
            <w:pPr>
              <w:pStyle w:val="32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402" w:type="dxa"/>
            <w:noWrap w:val="0"/>
            <w:vAlign w:val="center"/>
          </w:tcPr>
          <w:p w14:paraId="2345D23A">
            <w:pPr>
              <w:pStyle w:val="320"/>
              <w:spacing w:line="560" w:lineRule="exact"/>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分项名称</w:t>
            </w:r>
          </w:p>
        </w:tc>
        <w:tc>
          <w:tcPr>
            <w:tcW w:w="2552" w:type="dxa"/>
            <w:noWrap w:val="0"/>
            <w:vAlign w:val="center"/>
          </w:tcPr>
          <w:p w14:paraId="22889429">
            <w:pPr>
              <w:pStyle w:val="32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分项价格</w:t>
            </w:r>
          </w:p>
        </w:tc>
      </w:tr>
      <w:tr w14:paraId="22BF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8D62D93">
            <w:pPr>
              <w:pStyle w:val="320"/>
              <w:spacing w:line="560" w:lineRule="exact"/>
              <w:ind w:firstLine="200"/>
              <w:jc w:val="center"/>
              <w:rPr>
                <w:rFonts w:hint="eastAsia" w:ascii="仿宋_GB2312" w:hAnsi="仿宋_GB2312" w:eastAsia="仿宋_GB2312" w:cs="仿宋_GB2312"/>
                <w:sz w:val="24"/>
                <w:szCs w:val="24"/>
              </w:rPr>
            </w:pPr>
          </w:p>
        </w:tc>
        <w:tc>
          <w:tcPr>
            <w:tcW w:w="3402" w:type="dxa"/>
            <w:noWrap w:val="0"/>
            <w:vAlign w:val="center"/>
          </w:tcPr>
          <w:p w14:paraId="0109885A">
            <w:pPr>
              <w:pStyle w:val="320"/>
              <w:spacing w:line="560" w:lineRule="exact"/>
              <w:ind w:firstLine="200"/>
              <w:jc w:val="center"/>
              <w:rPr>
                <w:rFonts w:hint="eastAsia" w:ascii="仿宋_GB2312" w:hAnsi="仿宋_GB2312" w:eastAsia="仿宋_GB2312" w:cs="仿宋_GB2312"/>
                <w:sz w:val="24"/>
                <w:szCs w:val="24"/>
              </w:rPr>
            </w:pPr>
          </w:p>
        </w:tc>
        <w:tc>
          <w:tcPr>
            <w:tcW w:w="2552" w:type="dxa"/>
            <w:noWrap w:val="0"/>
            <w:vAlign w:val="center"/>
          </w:tcPr>
          <w:p w14:paraId="1541DCB9">
            <w:pPr>
              <w:pStyle w:val="320"/>
              <w:spacing w:line="560" w:lineRule="exact"/>
              <w:ind w:firstLine="200"/>
              <w:jc w:val="center"/>
              <w:rPr>
                <w:rFonts w:hint="eastAsia" w:ascii="仿宋_GB2312" w:hAnsi="仿宋_GB2312" w:eastAsia="仿宋_GB2312" w:cs="仿宋_GB2312"/>
                <w:sz w:val="24"/>
                <w:szCs w:val="24"/>
              </w:rPr>
            </w:pPr>
          </w:p>
        </w:tc>
      </w:tr>
      <w:tr w14:paraId="55EE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F50AD7C">
            <w:pPr>
              <w:pStyle w:val="320"/>
              <w:spacing w:line="560" w:lineRule="exact"/>
              <w:ind w:firstLine="200"/>
              <w:jc w:val="center"/>
              <w:rPr>
                <w:rFonts w:hint="eastAsia" w:ascii="仿宋_GB2312" w:hAnsi="仿宋_GB2312" w:eastAsia="仿宋_GB2312" w:cs="仿宋_GB2312"/>
                <w:sz w:val="24"/>
                <w:szCs w:val="24"/>
              </w:rPr>
            </w:pPr>
          </w:p>
        </w:tc>
        <w:tc>
          <w:tcPr>
            <w:tcW w:w="3402" w:type="dxa"/>
            <w:noWrap w:val="0"/>
            <w:vAlign w:val="center"/>
          </w:tcPr>
          <w:p w14:paraId="149B55AA">
            <w:pPr>
              <w:pStyle w:val="320"/>
              <w:spacing w:line="560" w:lineRule="exact"/>
              <w:ind w:firstLine="200"/>
              <w:jc w:val="center"/>
              <w:rPr>
                <w:rFonts w:hint="eastAsia" w:ascii="仿宋_GB2312" w:hAnsi="仿宋_GB2312" w:eastAsia="仿宋_GB2312" w:cs="仿宋_GB2312"/>
                <w:sz w:val="24"/>
                <w:szCs w:val="24"/>
              </w:rPr>
            </w:pPr>
          </w:p>
        </w:tc>
        <w:tc>
          <w:tcPr>
            <w:tcW w:w="2552" w:type="dxa"/>
            <w:noWrap w:val="0"/>
            <w:vAlign w:val="center"/>
          </w:tcPr>
          <w:p w14:paraId="2B8DC8BA">
            <w:pPr>
              <w:pStyle w:val="320"/>
              <w:spacing w:line="560" w:lineRule="exact"/>
              <w:ind w:firstLine="200"/>
              <w:jc w:val="center"/>
              <w:rPr>
                <w:rFonts w:hint="eastAsia" w:ascii="仿宋_GB2312" w:hAnsi="仿宋_GB2312" w:eastAsia="仿宋_GB2312" w:cs="仿宋_GB2312"/>
                <w:sz w:val="24"/>
                <w:szCs w:val="24"/>
              </w:rPr>
            </w:pPr>
          </w:p>
        </w:tc>
      </w:tr>
      <w:tr w14:paraId="6E72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C6426FB">
            <w:pPr>
              <w:pStyle w:val="320"/>
              <w:spacing w:line="560" w:lineRule="exact"/>
              <w:ind w:firstLine="200"/>
              <w:jc w:val="center"/>
              <w:rPr>
                <w:rFonts w:hint="eastAsia" w:ascii="仿宋_GB2312" w:hAnsi="仿宋_GB2312" w:eastAsia="仿宋_GB2312" w:cs="仿宋_GB2312"/>
                <w:sz w:val="24"/>
                <w:szCs w:val="24"/>
              </w:rPr>
            </w:pPr>
          </w:p>
        </w:tc>
        <w:tc>
          <w:tcPr>
            <w:tcW w:w="3402" w:type="dxa"/>
            <w:noWrap w:val="0"/>
            <w:vAlign w:val="center"/>
          </w:tcPr>
          <w:p w14:paraId="52D24858">
            <w:pPr>
              <w:pStyle w:val="320"/>
              <w:spacing w:line="560" w:lineRule="exact"/>
              <w:ind w:firstLine="200"/>
              <w:jc w:val="center"/>
              <w:rPr>
                <w:rFonts w:hint="eastAsia" w:ascii="仿宋_GB2312" w:hAnsi="仿宋_GB2312" w:eastAsia="仿宋_GB2312" w:cs="仿宋_GB2312"/>
                <w:sz w:val="24"/>
                <w:szCs w:val="24"/>
              </w:rPr>
            </w:pPr>
          </w:p>
        </w:tc>
        <w:tc>
          <w:tcPr>
            <w:tcW w:w="2552" w:type="dxa"/>
            <w:noWrap w:val="0"/>
            <w:vAlign w:val="center"/>
          </w:tcPr>
          <w:p w14:paraId="33011B9F">
            <w:pPr>
              <w:pStyle w:val="320"/>
              <w:spacing w:line="560" w:lineRule="exact"/>
              <w:ind w:firstLine="200"/>
              <w:jc w:val="center"/>
              <w:rPr>
                <w:rFonts w:hint="eastAsia" w:ascii="仿宋_GB2312" w:hAnsi="仿宋_GB2312" w:eastAsia="仿宋_GB2312" w:cs="仿宋_GB2312"/>
                <w:sz w:val="24"/>
                <w:szCs w:val="24"/>
              </w:rPr>
            </w:pPr>
          </w:p>
        </w:tc>
      </w:tr>
      <w:tr w14:paraId="6956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6A935FD">
            <w:pPr>
              <w:pStyle w:val="320"/>
              <w:spacing w:line="560" w:lineRule="exact"/>
              <w:ind w:firstLine="200"/>
              <w:jc w:val="center"/>
              <w:rPr>
                <w:rFonts w:hint="eastAsia" w:ascii="仿宋_GB2312" w:hAnsi="仿宋_GB2312" w:eastAsia="仿宋_GB2312" w:cs="仿宋_GB2312"/>
                <w:sz w:val="24"/>
                <w:szCs w:val="24"/>
              </w:rPr>
            </w:pPr>
          </w:p>
        </w:tc>
        <w:tc>
          <w:tcPr>
            <w:tcW w:w="3402" w:type="dxa"/>
            <w:noWrap w:val="0"/>
            <w:vAlign w:val="center"/>
          </w:tcPr>
          <w:p w14:paraId="2246D34C">
            <w:pPr>
              <w:pStyle w:val="320"/>
              <w:spacing w:line="560" w:lineRule="exact"/>
              <w:ind w:firstLine="200"/>
              <w:jc w:val="center"/>
              <w:rPr>
                <w:rFonts w:hint="eastAsia" w:ascii="仿宋_GB2312" w:hAnsi="仿宋_GB2312" w:eastAsia="仿宋_GB2312" w:cs="仿宋_GB2312"/>
                <w:sz w:val="24"/>
                <w:szCs w:val="24"/>
              </w:rPr>
            </w:pPr>
          </w:p>
        </w:tc>
        <w:tc>
          <w:tcPr>
            <w:tcW w:w="2552" w:type="dxa"/>
            <w:noWrap w:val="0"/>
            <w:vAlign w:val="center"/>
          </w:tcPr>
          <w:p w14:paraId="09882EF8">
            <w:pPr>
              <w:pStyle w:val="320"/>
              <w:spacing w:line="560" w:lineRule="exact"/>
              <w:ind w:firstLine="200"/>
              <w:jc w:val="center"/>
              <w:rPr>
                <w:rFonts w:hint="eastAsia" w:ascii="仿宋_GB2312" w:hAnsi="仿宋_GB2312" w:eastAsia="仿宋_GB2312" w:cs="仿宋_GB2312"/>
                <w:sz w:val="24"/>
                <w:szCs w:val="24"/>
              </w:rPr>
            </w:pPr>
          </w:p>
        </w:tc>
      </w:tr>
      <w:tr w14:paraId="5B5D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35DB508">
            <w:pPr>
              <w:pStyle w:val="320"/>
              <w:spacing w:line="560" w:lineRule="exact"/>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c>
          <w:tcPr>
            <w:tcW w:w="2552" w:type="dxa"/>
            <w:noWrap w:val="0"/>
            <w:vAlign w:val="center"/>
          </w:tcPr>
          <w:p w14:paraId="57C9CDEE">
            <w:pPr>
              <w:pStyle w:val="320"/>
              <w:spacing w:line="560" w:lineRule="exact"/>
              <w:ind w:firstLine="200"/>
              <w:jc w:val="center"/>
              <w:rPr>
                <w:rFonts w:hint="eastAsia" w:ascii="仿宋_GB2312" w:hAnsi="仿宋_GB2312" w:eastAsia="仿宋_GB2312" w:cs="仿宋_GB2312"/>
                <w:sz w:val="24"/>
                <w:szCs w:val="24"/>
              </w:rPr>
            </w:pPr>
          </w:p>
        </w:tc>
      </w:tr>
    </w:tbl>
    <w:p w14:paraId="09ED5B46">
      <w:pPr>
        <w:spacing w:line="560" w:lineRule="exact"/>
        <w:ind w:firstLine="480" w:firstLineChars="200"/>
        <w:rPr>
          <w:rFonts w:hint="eastAsia" w:ascii="仿宋_GB2312" w:hAnsi="仿宋_GB2312" w:eastAsia="仿宋_GB2312" w:cs="仿宋_GB2312"/>
          <w:sz w:val="24"/>
        </w:rPr>
      </w:pPr>
      <w:bookmarkStart w:id="408" w:name="_Toc14993"/>
      <w:bookmarkStart w:id="409" w:name="_Toc3654"/>
      <w:bookmarkStart w:id="410" w:name="_Toc26916"/>
      <w:bookmarkStart w:id="411" w:name="_Toc30506"/>
      <w:bookmarkStart w:id="412" w:name="_Toc30158"/>
      <w:r>
        <w:rPr>
          <w:rFonts w:hint="eastAsia" w:ascii="仿宋_GB2312" w:hAnsi="仿宋_GB2312" w:eastAsia="仿宋_GB2312" w:cs="仿宋_GB2312"/>
          <w:bCs/>
          <w:sz w:val="24"/>
        </w:rPr>
        <w:t>1.3.2单价合同，本合同单价（含税）标准为：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rPr>
        <w:t>。服务工作量的计量方式为：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rPr>
        <w:t>。单价合同，在合同履行期间内，根据实际完成的工作量据实结算，但结算总价上限不得超过预算金额或者双方确定的金额￥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w:t>
      </w:r>
    </w:p>
    <w:p w14:paraId="1A18A88F">
      <w:pPr>
        <w:pStyle w:val="3"/>
        <w:rPr>
          <w:rFonts w:hint="eastAsia" w:hAnsi="仿宋_GB2312" w:cs="仿宋_GB2312"/>
          <w:lang w:val="en-US"/>
        </w:rPr>
      </w:pPr>
      <w:r>
        <w:rPr>
          <w:rFonts w:hint="eastAsia" w:hAnsi="仿宋_GB2312" w:cs="仿宋_GB2312"/>
          <w:sz w:val="24"/>
          <w:lang w:val="en-US"/>
        </w:rPr>
        <w:t xml:space="preserve">    </w:t>
      </w:r>
      <w:r>
        <w:rPr>
          <w:rFonts w:hint="eastAsia" w:hAnsi="仿宋_GB2312" w:cs="仿宋_GB2312"/>
          <w:b w:val="0"/>
          <w:bCs w:val="0"/>
          <w:sz w:val="24"/>
          <w:lang w:val="en-US"/>
        </w:rPr>
        <w:t>1.3.3其他计价方式：</w:t>
      </w:r>
      <w:r>
        <w:rPr>
          <w:rFonts w:hint="eastAsia" w:hAnsi="仿宋_GB2312" w:cs="仿宋_GB2312"/>
          <w:b w:val="0"/>
          <w:bCs w:val="0"/>
          <w:sz w:val="24"/>
          <w:u w:val="single"/>
          <w:lang w:val="en-US"/>
        </w:rPr>
        <w:t xml:space="preserve">                   </w:t>
      </w:r>
      <w:r>
        <w:rPr>
          <w:rFonts w:hint="eastAsia" w:hAnsi="仿宋_GB2312" w:cs="仿宋_GB2312"/>
          <w:b w:val="0"/>
          <w:bCs w:val="0"/>
          <w:sz w:val="24"/>
        </w:rPr>
        <w:t>。</w:t>
      </w:r>
    </w:p>
    <w:bookmarkEnd w:id="408"/>
    <w:bookmarkEnd w:id="409"/>
    <w:bookmarkEnd w:id="410"/>
    <w:bookmarkEnd w:id="411"/>
    <w:bookmarkEnd w:id="412"/>
    <w:p w14:paraId="1B6B9BE9">
      <w:pPr>
        <w:pStyle w:val="959"/>
        <w:spacing w:before="0" w:beforeAutospacing="0" w:after="0" w:afterAutospacing="0" w:line="360" w:lineRule="auto"/>
        <w:ind w:firstLine="480"/>
        <w:rPr>
          <w:rFonts w:hint="eastAsia" w:ascii="仿宋_GB2312" w:hAnsi="仿宋_GB2312" w:eastAsia="仿宋_GB2312" w:cs="仿宋_GB2312"/>
          <w:b/>
        </w:rPr>
      </w:pPr>
      <w:bookmarkStart w:id="413" w:name="_Toc10340"/>
      <w:bookmarkStart w:id="414" w:name="_Toc1814"/>
      <w:bookmarkStart w:id="415" w:name="_Toc22618"/>
      <w:bookmarkStart w:id="416" w:name="_Toc31421"/>
      <w:bookmarkStart w:id="417" w:name="_Toc3625"/>
      <w:bookmarkStart w:id="418" w:name="_Toc4760"/>
      <w:bookmarkStart w:id="419" w:name="_Toc11108"/>
      <w:bookmarkStart w:id="420" w:name="_Toc8772"/>
      <w:r>
        <w:rPr>
          <w:rFonts w:hint="eastAsia" w:ascii="仿宋_GB2312" w:hAnsi="仿宋_GB2312" w:eastAsia="仿宋_GB2312" w:cs="仿宋_GB2312"/>
          <w:b/>
        </w:rPr>
        <w:t>1.4履约保证金</w:t>
      </w:r>
    </w:p>
    <w:p w14:paraId="054B92C6">
      <w:pPr>
        <w:pStyle w:val="959"/>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乙方</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（是/否）需要支付履约保证金。若需要支付履约保证金的，则：</w:t>
      </w:r>
    </w:p>
    <w:p w14:paraId="17B5B78A">
      <w:pPr>
        <w:spacing w:line="560" w:lineRule="exact"/>
        <w:ind w:firstLine="480" w:firstLineChars="200"/>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1.4.1履约保证金的比例为合同金额的</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14:paraId="1B10CAE1">
      <w:pPr>
        <w:spacing w:line="560" w:lineRule="exact"/>
        <w:ind w:firstLine="480" w:firstLineChars="200"/>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1.4.2履约保证金支付方式详见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14:paraId="3DC8AFF5">
      <w:pPr>
        <w:pStyle w:val="3"/>
        <w:tabs>
          <w:tab w:val="left" w:pos="0"/>
        </w:tabs>
        <w:spacing w:line="560" w:lineRule="exact"/>
        <w:ind w:left="0" w:firstLine="480" w:firstLineChars="200"/>
        <w:rPr>
          <w:rFonts w:hint="eastAsia" w:hAnsi="仿宋_GB2312" w:cs="仿宋_GB2312"/>
          <w:lang w:val="en-US"/>
        </w:rPr>
      </w:pPr>
      <w:r>
        <w:rPr>
          <w:rFonts w:hint="eastAsia" w:hAnsi="仿宋_GB2312" w:cs="仿宋_GB2312"/>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BC974D7">
      <w:pPr>
        <w:spacing w:line="560" w:lineRule="exact"/>
        <w:ind w:firstLine="480" w:firstLineChars="200"/>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1.4.4甲方在项目验收结束后及时退还履约保证金。甲方在项目通过验收之日起</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个工作日内将履约保证金无息退还乙方，逾期退还的，乙方可要求甲方支付违约金，违约金按每迟延退还一日的应退还而未退还金额的</w:t>
      </w:r>
      <w:r>
        <w:rPr>
          <w:rFonts w:hint="eastAsia" w:ascii="仿宋_GB2312" w:hAnsi="仿宋_GB2312" w:eastAsia="仿宋_GB2312" w:cs="仿宋_GB2312"/>
          <w:kern w:val="0"/>
          <w:sz w:val="24"/>
          <w:u w:val="single"/>
        </w:rPr>
        <w:t xml:space="preserve">  0.05（可根据情况修改）  </w:t>
      </w:r>
      <w:r>
        <w:rPr>
          <w:rFonts w:hint="eastAsia" w:ascii="仿宋_GB2312" w:hAnsi="仿宋_GB2312" w:eastAsia="仿宋_GB2312" w:cs="仿宋_GB2312"/>
          <w:kern w:val="0"/>
          <w:sz w:val="24"/>
        </w:rPr>
        <w:t>%计算，最高限额为本合同履约保证金的</w:t>
      </w:r>
      <w:r>
        <w:rPr>
          <w:rFonts w:hint="eastAsia" w:ascii="仿宋_GB2312" w:hAnsi="仿宋_GB2312" w:eastAsia="仿宋_GB2312" w:cs="仿宋_GB2312"/>
          <w:kern w:val="0"/>
          <w:sz w:val="24"/>
          <w:u w:val="single"/>
        </w:rPr>
        <w:t xml:space="preserve">  20  </w:t>
      </w:r>
      <w:r>
        <w:rPr>
          <w:rFonts w:hint="eastAsia" w:ascii="仿宋_GB2312" w:hAnsi="仿宋_GB2312" w:eastAsia="仿宋_GB2312" w:cs="仿宋_GB2312"/>
          <w:kern w:val="0"/>
          <w:sz w:val="24"/>
        </w:rPr>
        <w:t xml:space="preserve"> %。</w:t>
      </w:r>
    </w:p>
    <w:p w14:paraId="0F7E71D5">
      <w:pPr>
        <w:spacing w:line="560" w:lineRule="exact"/>
        <w:ind w:firstLine="482" w:firstLineChars="200"/>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1.5</w:t>
      </w:r>
      <w:bookmarkEnd w:id="413"/>
      <w:bookmarkEnd w:id="414"/>
      <w:bookmarkEnd w:id="415"/>
      <w:r>
        <w:rPr>
          <w:rFonts w:hint="eastAsia" w:ascii="仿宋_GB2312" w:hAnsi="仿宋_GB2312" w:eastAsia="仿宋_GB2312" w:cs="仿宋_GB2312"/>
          <w:b/>
          <w:sz w:val="24"/>
        </w:rPr>
        <w:t>预付款</w:t>
      </w:r>
    </w:p>
    <w:p w14:paraId="775CF0AF">
      <w:pPr>
        <w:pStyle w:val="959"/>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甲方</w:t>
      </w:r>
      <w:r>
        <w:rPr>
          <w:rFonts w:hint="eastAsia" w:ascii="仿宋_GB2312" w:hAnsi="仿宋_GB2312" w:eastAsia="仿宋_GB2312" w:cs="仿宋_GB2312"/>
          <w:u w:val="single"/>
        </w:rPr>
        <w:t xml:space="preserve">     </w:t>
      </w:r>
      <w:r>
        <w:rPr>
          <w:rFonts w:hint="eastAsia" w:ascii="仿宋_GB2312" w:hAnsi="仿宋_GB2312" w:eastAsia="仿宋_GB2312" w:cs="仿宋_GB2312"/>
        </w:rPr>
        <w:t>（是/否）需要支付预付款。若需要支付预付款的，则：</w:t>
      </w:r>
    </w:p>
    <w:p w14:paraId="06C9BF74">
      <w:pPr>
        <w:spacing w:line="56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1.5.1预付款比例、支付方式、时间详见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14:paraId="5C2ED2B5">
      <w:pPr>
        <w:pStyle w:val="959"/>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1.5.2预付款的扣回方式详见</w:t>
      </w:r>
      <w:r>
        <w:rPr>
          <w:rFonts w:hint="eastAsia" w:ascii="仿宋_GB2312" w:hAnsi="仿宋_GB2312" w:eastAsia="仿宋_GB2312" w:cs="仿宋_GB2312"/>
          <w:u w:val="single"/>
        </w:rPr>
        <w:t xml:space="preserve">    </w:t>
      </w:r>
      <w:r>
        <w:rPr>
          <w:rFonts w:hint="eastAsia" w:ascii="仿宋_GB2312" w:hAnsi="仿宋_GB2312" w:eastAsia="仿宋_GB2312" w:cs="仿宋_GB2312"/>
          <w:b/>
          <w:i/>
          <w:u w:val="single"/>
        </w:rPr>
        <w:t>合同专用条款</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14:paraId="1F416D66">
      <w:pPr>
        <w:pStyle w:val="959"/>
        <w:spacing w:before="0" w:beforeAutospacing="0" w:after="0" w:afterAutospacing="0" w:line="360" w:lineRule="auto"/>
        <w:ind w:firstLine="480"/>
        <w:rPr>
          <w:rFonts w:hint="eastAsia" w:ascii="仿宋_GB2312" w:hAnsi="仿宋_GB2312" w:eastAsia="仿宋_GB2312" w:cs="仿宋_GB2312"/>
          <w:u w:val="single"/>
        </w:rPr>
      </w:pPr>
      <w:r>
        <w:rPr>
          <w:rFonts w:hint="eastAsia" w:ascii="仿宋_GB2312" w:hAnsi="仿宋_GB2312" w:eastAsia="仿宋_GB2312" w:cs="仿宋_GB2312"/>
        </w:rPr>
        <w:t>1.5.3预付款的担保措施详见</w:t>
      </w:r>
      <w:r>
        <w:rPr>
          <w:rFonts w:hint="eastAsia" w:ascii="仿宋_GB2312" w:hAnsi="仿宋_GB2312" w:eastAsia="仿宋_GB2312" w:cs="仿宋_GB2312"/>
          <w:u w:val="single"/>
        </w:rPr>
        <w:t xml:space="preserve">    </w:t>
      </w:r>
      <w:r>
        <w:rPr>
          <w:rFonts w:hint="eastAsia" w:ascii="仿宋_GB2312" w:hAnsi="仿宋_GB2312" w:eastAsia="仿宋_GB2312" w:cs="仿宋_GB2312"/>
          <w:b/>
          <w:i/>
          <w:u w:val="single"/>
        </w:rPr>
        <w:t>合同专用条款</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14:paraId="16AF7BD3">
      <w:pPr>
        <w:pStyle w:val="959"/>
        <w:spacing w:before="0" w:beforeAutospacing="0" w:after="0" w:afterAutospacing="0" w:line="360" w:lineRule="auto"/>
        <w:ind w:firstLine="480"/>
        <w:rPr>
          <w:rFonts w:hint="eastAsia" w:ascii="仿宋_GB2312" w:hAnsi="仿宋_GB2312" w:eastAsia="仿宋_GB2312" w:cs="仿宋_GB2312"/>
          <w:b/>
          <w:bCs/>
        </w:rPr>
      </w:pPr>
      <w:r>
        <w:rPr>
          <w:rFonts w:hint="eastAsia" w:ascii="仿宋_GB2312" w:hAnsi="仿宋_GB2312" w:eastAsia="仿宋_GB2312" w:cs="仿宋_GB2312"/>
          <w:b/>
          <w:bCs/>
        </w:rPr>
        <w:t>1.6资金支付</w:t>
      </w:r>
    </w:p>
    <w:p w14:paraId="1E773D9F">
      <w:pPr>
        <w:pStyle w:val="959"/>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4A2BB67">
      <w:pPr>
        <w:spacing w:line="560" w:lineRule="exact"/>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1.6.2资金支付的方式、时间和条件详见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14F0A8A5">
      <w:pPr>
        <w:spacing w:line="560" w:lineRule="exact"/>
        <w:ind w:firstLine="482" w:firstLineChars="200"/>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1.7 履行期限、地点和方式</w:t>
      </w:r>
      <w:bookmarkEnd w:id="416"/>
      <w:bookmarkEnd w:id="417"/>
      <w:bookmarkEnd w:id="418"/>
      <w:bookmarkEnd w:id="419"/>
      <w:bookmarkEnd w:id="420"/>
    </w:p>
    <w:p w14:paraId="14E683B9">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1.7.1 服务交付（实施）的时间（期限）：</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43817A43">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1.7.2 服务交付（实施）的地点（地域范围）：</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70D7B70E">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1.7.3 服务交付（实施）的方式：</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293433D6">
      <w:pPr>
        <w:spacing w:line="560" w:lineRule="exact"/>
        <w:ind w:firstLine="480" w:firstLineChars="200"/>
        <w:outlineLvl w:val="0"/>
        <w:rPr>
          <w:rFonts w:hint="eastAsia" w:ascii="仿宋_GB2312" w:hAnsi="仿宋_GB2312" w:eastAsia="仿宋_GB2312" w:cs="仿宋_GB2312"/>
          <w:bCs/>
          <w:sz w:val="24"/>
        </w:rPr>
      </w:pPr>
      <w:bookmarkStart w:id="421" w:name="_Toc5698"/>
      <w:bookmarkStart w:id="422" w:name="_Toc8586"/>
      <w:bookmarkStart w:id="423" w:name="_Toc24662"/>
      <w:bookmarkStart w:id="424" w:name="_Toc2375"/>
      <w:bookmarkStart w:id="425" w:name="_Toc3079"/>
      <w:r>
        <w:rPr>
          <w:rFonts w:hint="eastAsia" w:ascii="仿宋_GB2312" w:hAnsi="仿宋_GB2312" w:eastAsia="仿宋_GB2312" w:cs="仿宋_GB2312"/>
          <w:bCs/>
          <w:sz w:val="24"/>
        </w:rPr>
        <w:t>1.7.4若服务涉及货物的，则货物的：</w:t>
      </w:r>
    </w:p>
    <w:p w14:paraId="208DA709">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1.7.4.1 交付期限：详见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7CBA92B9">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1.7.4.2 交付地点：</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2DCD2C99">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1.7.4.3 交付方式：</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4375B892">
      <w:pPr>
        <w:spacing w:line="560" w:lineRule="exact"/>
        <w:ind w:firstLine="482" w:firstLineChars="200"/>
        <w:outlineLvl w:val="0"/>
        <w:rPr>
          <w:rFonts w:hint="eastAsia" w:ascii="仿宋_GB2312" w:hAnsi="仿宋_GB2312" w:eastAsia="仿宋_GB2312" w:cs="仿宋_GB2312"/>
          <w:sz w:val="24"/>
          <w:u w:val="single"/>
        </w:rPr>
      </w:pPr>
      <w:r>
        <w:rPr>
          <w:rFonts w:hint="eastAsia" w:ascii="仿宋_GB2312" w:hAnsi="仿宋_GB2312" w:eastAsia="仿宋_GB2312" w:cs="仿宋_GB2312"/>
          <w:b/>
          <w:sz w:val="24"/>
        </w:rPr>
        <w:t>1.8违约责任</w:t>
      </w:r>
      <w:bookmarkEnd w:id="421"/>
      <w:bookmarkEnd w:id="422"/>
      <w:bookmarkEnd w:id="423"/>
      <w:bookmarkEnd w:id="424"/>
      <w:bookmarkEnd w:id="425"/>
    </w:p>
    <w:p w14:paraId="50938825">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_GB2312" w:hAnsi="仿宋_GB2312" w:eastAsia="仿宋_GB2312" w:cs="仿宋_GB2312"/>
          <w:sz w:val="24"/>
          <w:u w:val="single"/>
        </w:rPr>
        <w:t xml:space="preserve">0.05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20   </w:t>
      </w:r>
      <w:r>
        <w:rPr>
          <w:rFonts w:hint="eastAsia" w:ascii="仿宋_GB2312" w:hAnsi="仿宋_GB2312" w:eastAsia="仿宋_GB2312" w:cs="仿宋_GB2312"/>
          <w:sz w:val="24"/>
        </w:rPr>
        <w:t>%；迟延履行的违约金计算数额达到前述最高限额之日起，甲方有权在要求乙方支付违约金的同时，书面通知乙方解除本合同；</w:t>
      </w:r>
    </w:p>
    <w:p w14:paraId="5C9BB75C">
      <w:pPr>
        <w:pStyle w:val="3"/>
        <w:ind w:left="0" w:firstLine="480" w:firstLineChars="200"/>
        <w:rPr>
          <w:rFonts w:hint="eastAsia" w:hAnsi="仿宋_GB2312" w:cs="仿宋_GB2312"/>
          <w:b w:val="0"/>
          <w:bCs w:val="0"/>
          <w:sz w:val="24"/>
          <w:szCs w:val="24"/>
          <w:lang w:val="en-US"/>
        </w:rPr>
      </w:pPr>
      <w:r>
        <w:rPr>
          <w:rFonts w:hint="eastAsia" w:hAnsi="仿宋_GB2312" w:cs="仿宋_GB2312"/>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hAnsi="仿宋_GB2312" w:cs="仿宋_GB2312"/>
          <w:b w:val="0"/>
          <w:bCs w:val="0"/>
          <w:sz w:val="24"/>
          <w:szCs w:val="24"/>
          <w:u w:val="single"/>
          <w:lang w:val="en-US"/>
        </w:rPr>
        <w:t xml:space="preserve">  0.0</w:t>
      </w:r>
      <w:r>
        <w:rPr>
          <w:rFonts w:hint="eastAsia" w:hAnsi="仿宋_GB2312" w:cs="仿宋_GB2312"/>
          <w:b w:val="0"/>
          <w:bCs w:val="0"/>
          <w:sz w:val="24"/>
          <w:szCs w:val="24"/>
          <w:lang w:val="en-US"/>
        </w:rPr>
        <w:t xml:space="preserve">5（可根据情况修改） </w:t>
      </w:r>
      <w:r>
        <w:rPr>
          <w:rFonts w:hint="eastAsia" w:hAnsi="仿宋_GB2312" w:cs="仿宋_GB2312"/>
          <w:b w:val="0"/>
          <w:bCs w:val="0"/>
          <w:sz w:val="24"/>
          <w:szCs w:val="24"/>
          <w:u w:val="single"/>
          <w:lang w:val="en-US"/>
        </w:rPr>
        <w:t xml:space="preserve">  </w:t>
      </w:r>
      <w:r>
        <w:rPr>
          <w:rFonts w:hint="eastAsia" w:hAnsi="仿宋_GB2312" w:cs="仿宋_GB2312"/>
          <w:b w:val="0"/>
          <w:bCs w:val="0"/>
          <w:sz w:val="24"/>
          <w:szCs w:val="24"/>
          <w:lang w:val="en-US"/>
        </w:rPr>
        <w:t>%计算，最高限额为本合同总价的</w:t>
      </w:r>
      <w:r>
        <w:rPr>
          <w:rFonts w:hint="eastAsia" w:hAnsi="仿宋_GB2312" w:cs="仿宋_GB2312"/>
          <w:b w:val="0"/>
          <w:bCs w:val="0"/>
          <w:sz w:val="24"/>
          <w:szCs w:val="24"/>
          <w:u w:val="single"/>
          <w:lang w:val="en-US"/>
        </w:rPr>
        <w:t xml:space="preserve">  20  </w:t>
      </w:r>
      <w:r>
        <w:rPr>
          <w:rFonts w:hint="eastAsia" w:hAnsi="仿宋_GB2312" w:cs="仿宋_GB2312"/>
          <w:b w:val="0"/>
          <w:bCs w:val="0"/>
          <w:sz w:val="24"/>
          <w:szCs w:val="24"/>
          <w:lang w:val="en-US"/>
        </w:rPr>
        <w:t>%；迟延交付货物的违约金计算数额达到前述最高限额之日起，甲方有权在要求乙方支付违约金的同时，书面通知乙方解除本合同；</w:t>
      </w:r>
    </w:p>
    <w:p w14:paraId="75516589">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1.8.3除不可抗力外，如果甲方没有按照本合同约定的付款方式付款，那么乙方可要求甲方支付违约金，违约金按每迟延付款一日的应付而未付款的</w:t>
      </w:r>
      <w:r>
        <w:rPr>
          <w:rFonts w:hint="eastAsia" w:ascii="仿宋_GB2312" w:hAnsi="仿宋_GB2312" w:eastAsia="仿宋_GB2312" w:cs="仿宋_GB2312"/>
          <w:sz w:val="24"/>
          <w:u w:val="single"/>
        </w:rPr>
        <w:t xml:space="preserve">   0.05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20</w:t>
      </w:r>
      <w:r>
        <w:rPr>
          <w:rFonts w:hint="eastAsia" w:ascii="仿宋_GB2312" w:hAnsi="仿宋_GB2312" w:eastAsia="仿宋_GB2312" w:cs="仿宋_GB2312"/>
          <w:kern w:val="0"/>
          <w:sz w:val="24"/>
          <w:u w:val="single"/>
        </w:rPr>
        <w:t>（可根据情况修改）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%；迟延付款的违约金计算数额达到前述最高限额之日起，乙方有权在要求甲方支付违约金的同时，书面通知甲方解除本合同；</w:t>
      </w:r>
    </w:p>
    <w:p w14:paraId="3A689021">
      <w:pPr>
        <w:spacing w:line="560" w:lineRule="exact"/>
        <w:ind w:firstLine="480" w:firstLineChars="200"/>
        <w:rPr>
          <w:rFonts w:hint="eastAsia" w:ascii="仿宋_GB2312" w:hAnsi="仿宋_GB2312" w:eastAsia="仿宋_GB2312" w:cs="仿宋_GB2312"/>
          <w:sz w:val="24"/>
        </w:rPr>
      </w:pPr>
      <w:bookmarkStart w:id="426" w:name="_Toc18683"/>
      <w:bookmarkStart w:id="427" w:name="_Toc26807"/>
      <w:bookmarkStart w:id="428" w:name="_Toc30329"/>
      <w:bookmarkStart w:id="429" w:name="_Toc32454"/>
      <w:bookmarkStart w:id="430" w:name="_Toc9497"/>
      <w:r>
        <w:rPr>
          <w:rFonts w:hint="eastAsia" w:ascii="仿宋_GB2312" w:hAnsi="仿宋_GB2312" w:eastAsia="仿宋_GB2312" w:cs="仿宋_GB2312"/>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EAA18E0">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448F6BC">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7BF4A97">
      <w:pPr>
        <w:spacing w:line="560" w:lineRule="exact"/>
        <w:ind w:right="-480" w:rightChars="-200" w:firstLine="480" w:firstLineChars="200"/>
        <w:rPr>
          <w:rFonts w:hint="eastAsia" w:ascii="仿宋_GB2312" w:hAnsi="仿宋_GB2312" w:eastAsia="仿宋_GB2312" w:cs="仿宋_GB2312"/>
        </w:rPr>
      </w:pPr>
      <w:r>
        <w:rPr>
          <w:rFonts w:hint="eastAsia" w:ascii="仿宋_GB2312" w:hAnsi="仿宋_GB2312" w:eastAsia="仿宋_GB2312" w:cs="仿宋_GB2312"/>
          <w:sz w:val="24"/>
        </w:rPr>
        <w:t>1.8.7违约责任</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另有约定的，从其约定。</w:t>
      </w:r>
    </w:p>
    <w:bookmarkEnd w:id="426"/>
    <w:bookmarkEnd w:id="427"/>
    <w:bookmarkEnd w:id="428"/>
    <w:bookmarkEnd w:id="429"/>
    <w:bookmarkEnd w:id="430"/>
    <w:p w14:paraId="67E3BB5D">
      <w:pPr>
        <w:spacing w:line="560" w:lineRule="exact"/>
        <w:ind w:firstLine="482" w:firstLineChars="200"/>
        <w:outlineLvl w:val="0"/>
        <w:rPr>
          <w:rFonts w:hint="eastAsia" w:ascii="仿宋_GB2312" w:hAnsi="仿宋_GB2312" w:eastAsia="仿宋_GB2312" w:cs="仿宋_GB2312"/>
          <w:b/>
          <w:sz w:val="24"/>
        </w:rPr>
      </w:pPr>
      <w:bookmarkStart w:id="431" w:name="_Toc28375"/>
      <w:bookmarkStart w:id="432" w:name="_Toc15583"/>
      <w:bookmarkStart w:id="433" w:name="_Toc16021"/>
      <w:r>
        <w:rPr>
          <w:rFonts w:hint="eastAsia" w:ascii="仿宋_GB2312" w:hAnsi="仿宋_GB2312" w:eastAsia="仿宋_GB2312" w:cs="仿宋_GB2312"/>
          <w:b/>
          <w:sz w:val="24"/>
        </w:rPr>
        <w:t>1.9合同争议的解决</w:t>
      </w:r>
      <w:bookmarkEnd w:id="431"/>
      <w:bookmarkEnd w:id="432"/>
      <w:bookmarkEnd w:id="433"/>
    </w:p>
    <w:p w14:paraId="5AB2FB9B">
      <w:pPr>
        <w:spacing w:line="560" w:lineRule="exact"/>
        <w:ind w:left="-70" w:leftChars="-29" w:right="-480" w:rightChars="-200"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 xml:space="preserve">  本合同履行过程中发生的任何争议，双方当事人均可通过和解或者调解解决；不愿和解、调解或者和解、调解不成的，可以选择以下第</w:t>
      </w: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24"/>
        </w:rPr>
        <w:t>条款规定的方式解决：</w:t>
      </w:r>
    </w:p>
    <w:p w14:paraId="0EB439F3">
      <w:pPr>
        <w:spacing w:line="560" w:lineRule="exact"/>
        <w:ind w:left="-480" w:leftChars="-200" w:right="-480" w:rightChars="-200"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1.9.1 将争议提交</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仲裁委员会依申请仲裁时其现行有效的仲裁规则裁决；</w:t>
      </w:r>
    </w:p>
    <w:p w14:paraId="273B671B">
      <w:pPr>
        <w:spacing w:line="560" w:lineRule="exact"/>
        <w:ind w:left="-480" w:leftChars="-200" w:right="-480" w:rightChars="-200"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1.9.2 向</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人民法院起诉。</w:t>
      </w:r>
    </w:p>
    <w:p w14:paraId="02DDB985">
      <w:pPr>
        <w:spacing w:line="560" w:lineRule="exact"/>
        <w:ind w:firstLine="482" w:firstLineChars="200"/>
        <w:outlineLvl w:val="0"/>
        <w:rPr>
          <w:rFonts w:hint="eastAsia" w:ascii="仿宋_GB2312" w:hAnsi="仿宋_GB2312" w:eastAsia="仿宋_GB2312" w:cs="仿宋_GB2312"/>
          <w:b/>
          <w:sz w:val="24"/>
        </w:rPr>
      </w:pPr>
      <w:bookmarkStart w:id="434" w:name="_Toc11173"/>
      <w:bookmarkStart w:id="435" w:name="_Toc15322"/>
      <w:bookmarkStart w:id="436" w:name="_Toc7245"/>
      <w:r>
        <w:rPr>
          <w:rFonts w:hint="eastAsia" w:ascii="仿宋_GB2312" w:hAnsi="仿宋_GB2312" w:eastAsia="仿宋_GB2312" w:cs="仿宋_GB2312"/>
          <w:b/>
          <w:sz w:val="24"/>
        </w:rPr>
        <w:t>1.10 合同生效</w:t>
      </w:r>
      <w:bookmarkEnd w:id="434"/>
      <w:bookmarkEnd w:id="435"/>
      <w:bookmarkEnd w:id="436"/>
    </w:p>
    <w:p w14:paraId="540BD075">
      <w:pPr>
        <w:spacing w:line="560" w:lineRule="exact"/>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本合同自双方当事人盖章签字时生效。</w:t>
      </w:r>
    </w:p>
    <w:p w14:paraId="5E0A3298">
      <w:pPr>
        <w:autoSpaceDE w:val="0"/>
        <w:autoSpaceDN w:val="0"/>
        <w:spacing w:line="560" w:lineRule="exact"/>
        <w:rPr>
          <w:rFonts w:hint="eastAsia" w:ascii="仿宋_GB2312" w:hAnsi="仿宋_GB2312" w:eastAsia="仿宋_GB2312" w:cs="仿宋_GB2312"/>
          <w:sz w:val="24"/>
          <w:lang w:val="zh-CN"/>
        </w:rPr>
      </w:pPr>
    </w:p>
    <w:p w14:paraId="53C2AD6F">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b/>
          <w:sz w:val="24"/>
          <w:lang w:val="zh-CN"/>
        </w:rPr>
        <w:t>甲方</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b/>
          <w:sz w:val="24"/>
          <w:lang w:val="zh-CN"/>
        </w:rPr>
        <w:t xml:space="preserve">      乙方</w:t>
      </w:r>
      <w:r>
        <w:rPr>
          <w:rFonts w:hint="eastAsia" w:ascii="仿宋_GB2312" w:hAnsi="仿宋_GB2312" w:eastAsia="仿宋_GB2312" w:cs="仿宋_GB2312"/>
          <w:sz w:val="24"/>
          <w:lang w:val="zh-CN"/>
        </w:rPr>
        <w:t>：</w:t>
      </w:r>
    </w:p>
    <w:p w14:paraId="3EB460E0">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统一社会信用代码：                        统一社会信用代码或身份证号码：</w:t>
      </w:r>
    </w:p>
    <w:p w14:paraId="0885D6BC">
      <w:pPr>
        <w:autoSpaceDE w:val="0"/>
        <w:autoSpaceDN w:val="0"/>
        <w:spacing w:line="560" w:lineRule="exact"/>
        <w:rPr>
          <w:rFonts w:hint="eastAsia" w:ascii="仿宋_GB2312" w:hAnsi="仿宋_GB2312" w:eastAsia="仿宋_GB2312" w:cs="仿宋_GB2312"/>
          <w:sz w:val="24"/>
          <w:lang w:val="zh-CN"/>
        </w:rPr>
      </w:pPr>
    </w:p>
    <w:p w14:paraId="68AA35EE">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住所：                                   住所：</w:t>
      </w:r>
    </w:p>
    <w:p w14:paraId="220E2E32">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法定代表人或                             法定代表人或</w:t>
      </w:r>
    </w:p>
    <w:p w14:paraId="1863A78D">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授权代表（签字）：                       授权代表（签字）: </w:t>
      </w:r>
    </w:p>
    <w:p w14:paraId="1FB5CA61">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联系人：                                 联系人：</w:t>
      </w:r>
    </w:p>
    <w:p w14:paraId="78A826B2">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约定送达地址：                           约定送达地址：</w:t>
      </w:r>
    </w:p>
    <w:p w14:paraId="1EDB19FC">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邮政编码：                               邮政编码：</w:t>
      </w:r>
    </w:p>
    <w:p w14:paraId="2A1A40E1">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电话:                                    电话: </w:t>
      </w:r>
    </w:p>
    <w:p w14:paraId="239463B4">
      <w:pPr>
        <w:autoSpaceDE w:val="0"/>
        <w:autoSpaceDN w:val="0"/>
        <w:spacing w:line="56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传真:                                    传真:</w:t>
      </w:r>
    </w:p>
    <w:p w14:paraId="4EACA0BA">
      <w:pPr>
        <w:autoSpaceDE w:val="0"/>
        <w:autoSpaceDN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lang w:val="zh-CN"/>
        </w:rPr>
        <w:t>电子邮箱：                               电子邮箱：</w:t>
      </w:r>
    </w:p>
    <w:p w14:paraId="33F7B8EB">
      <w:pPr>
        <w:autoSpaceDE w:val="0"/>
        <w:autoSpaceDN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开户银行：                               开户银行： </w:t>
      </w:r>
    </w:p>
    <w:p w14:paraId="74AB8BAF">
      <w:pPr>
        <w:autoSpaceDE w:val="0"/>
        <w:autoSpaceDN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开户名称：                               开户名称： </w:t>
      </w:r>
    </w:p>
    <w:p w14:paraId="325B3FF2">
      <w:pPr>
        <w:autoSpaceDE w:val="0"/>
        <w:autoSpaceDN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开户账号：</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开户账号：</w:t>
      </w:r>
    </w:p>
    <w:p w14:paraId="21F74CF8">
      <w:pPr>
        <w:widowControl/>
        <w:spacing w:line="560" w:lineRule="exact"/>
        <w:jc w:val="left"/>
        <w:rPr>
          <w:rFonts w:hint="eastAsia" w:ascii="仿宋_GB2312" w:hAnsi="仿宋_GB2312" w:eastAsia="仿宋_GB2312" w:cs="仿宋_GB2312"/>
          <w:b/>
          <w:sz w:val="24"/>
        </w:rPr>
      </w:pPr>
    </w:p>
    <w:p w14:paraId="6F185FEE">
      <w:pPr>
        <w:widowControl/>
        <w:adjustRightInd/>
        <w:jc w:val="left"/>
        <w:rPr>
          <w:rFonts w:hint="eastAsia" w:ascii="仿宋_GB2312" w:hAnsi="仿宋_GB2312" w:eastAsia="仿宋_GB2312" w:cs="仿宋_GB2312"/>
          <w:b/>
          <w:sz w:val="24"/>
        </w:rPr>
      </w:pPr>
      <w:r>
        <w:rPr>
          <w:rFonts w:hint="eastAsia" w:ascii="仿宋_GB2312" w:hAnsi="仿宋_GB2312" w:eastAsia="仿宋_GB2312" w:cs="仿宋_GB2312"/>
          <w:b/>
        </w:rPr>
        <w:br w:type="page"/>
      </w:r>
    </w:p>
    <w:p w14:paraId="504B49D1">
      <w:pPr>
        <w:pStyle w:val="701"/>
        <w:spacing w:line="560" w:lineRule="exact"/>
        <w:ind w:firstLine="482"/>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第二部分 合同一般条款</w:t>
      </w:r>
    </w:p>
    <w:p w14:paraId="67E5F329">
      <w:pPr>
        <w:spacing w:line="560" w:lineRule="exact"/>
        <w:ind w:firstLine="482" w:firstLineChars="200"/>
        <w:outlineLvl w:val="0"/>
        <w:rPr>
          <w:rFonts w:hint="eastAsia" w:ascii="仿宋_GB2312" w:hAnsi="仿宋_GB2312" w:eastAsia="仿宋_GB2312" w:cs="仿宋_GB2312"/>
          <w:b/>
          <w:sz w:val="24"/>
        </w:rPr>
      </w:pPr>
      <w:bookmarkStart w:id="437" w:name="_Toc14021"/>
      <w:bookmarkStart w:id="438" w:name="_Toc25079"/>
      <w:bookmarkStart w:id="439" w:name="_Toc19680"/>
      <w:bookmarkStart w:id="440" w:name="_Toc31297"/>
      <w:bookmarkStart w:id="441" w:name="_Toc5228"/>
      <w:r>
        <w:rPr>
          <w:rFonts w:hint="eastAsia" w:ascii="仿宋_GB2312" w:hAnsi="仿宋_GB2312" w:eastAsia="仿宋_GB2312" w:cs="仿宋_GB2312"/>
          <w:b/>
          <w:sz w:val="24"/>
        </w:rPr>
        <w:t>2.1 定义</w:t>
      </w:r>
      <w:bookmarkEnd w:id="437"/>
      <w:bookmarkEnd w:id="438"/>
      <w:bookmarkEnd w:id="439"/>
      <w:bookmarkEnd w:id="440"/>
      <w:bookmarkEnd w:id="441"/>
    </w:p>
    <w:p w14:paraId="07EA9379">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本合同中的下列词语应按以下内容进行解释：</w:t>
      </w:r>
    </w:p>
    <w:p w14:paraId="24DE4D33">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 “合同”系指采购人和中标或成交供应商签订的载明双方当事人所达成的协议，并包括所有的附件、附录和构成合同的其他文件。</w:t>
      </w:r>
    </w:p>
    <w:p w14:paraId="0E3CFA80">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2.1.2 “合同价”系指根据合同约定，中标或成交供应商在完全履行合同义务后，采购人应支付给中标或成交供应商的价格。</w:t>
      </w:r>
    </w:p>
    <w:p w14:paraId="2076070F">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2.1.3 “服务”系指中标或成交供应商根据合同约定应向采购人履行的除货物和工程以外的其他政府采购对象，包括采购人自身需要的服务和向社会公众提供的公共服务。</w:t>
      </w:r>
    </w:p>
    <w:p w14:paraId="17FBDE09">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2.1.4 “甲方”系指与中标或成交供应商签署合同的采购人；采购人委托采购代理机构代表其与乙方签订合同的，采购人的授权委托书作为合同附件。</w:t>
      </w:r>
    </w:p>
    <w:p w14:paraId="1DACF2A4">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B0D92D2">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2.1.6 “现场”系指合同约定提供服务的地点。</w:t>
      </w:r>
    </w:p>
    <w:p w14:paraId="6141780F">
      <w:pPr>
        <w:spacing w:line="560" w:lineRule="exact"/>
        <w:ind w:firstLine="482" w:firstLineChars="200"/>
        <w:outlineLvl w:val="0"/>
        <w:rPr>
          <w:rFonts w:hint="eastAsia" w:ascii="仿宋_GB2312" w:hAnsi="仿宋_GB2312" w:eastAsia="仿宋_GB2312" w:cs="仿宋_GB2312"/>
          <w:b/>
          <w:sz w:val="24"/>
        </w:rPr>
      </w:pPr>
      <w:bookmarkStart w:id="442" w:name="_Toc31402"/>
      <w:bookmarkStart w:id="443" w:name="_Toc3769"/>
      <w:bookmarkStart w:id="444" w:name="_Toc23289"/>
      <w:bookmarkStart w:id="445" w:name="_Toc19539"/>
      <w:bookmarkStart w:id="446" w:name="_Toc16752"/>
      <w:r>
        <w:rPr>
          <w:rFonts w:hint="eastAsia" w:ascii="仿宋_GB2312" w:hAnsi="仿宋_GB2312" w:eastAsia="仿宋_GB2312" w:cs="仿宋_GB2312"/>
          <w:b/>
          <w:sz w:val="24"/>
        </w:rPr>
        <w:t>2.2 技术规范</w:t>
      </w:r>
      <w:bookmarkEnd w:id="442"/>
      <w:bookmarkEnd w:id="443"/>
      <w:bookmarkEnd w:id="444"/>
      <w:bookmarkEnd w:id="445"/>
      <w:bookmarkEnd w:id="446"/>
    </w:p>
    <w:p w14:paraId="49A6E2EC">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BE5E4D0">
      <w:pPr>
        <w:spacing w:line="560" w:lineRule="exact"/>
        <w:ind w:firstLine="482" w:firstLineChars="200"/>
        <w:outlineLvl w:val="0"/>
        <w:rPr>
          <w:rFonts w:hint="eastAsia" w:ascii="仿宋_GB2312" w:hAnsi="仿宋_GB2312" w:eastAsia="仿宋_GB2312" w:cs="仿宋_GB2312"/>
          <w:b/>
          <w:sz w:val="24"/>
        </w:rPr>
      </w:pPr>
      <w:bookmarkStart w:id="447" w:name="_Toc12412"/>
      <w:bookmarkStart w:id="448" w:name="_Toc9161"/>
      <w:bookmarkStart w:id="449" w:name="_Toc13673"/>
      <w:bookmarkStart w:id="450" w:name="_Toc4133"/>
      <w:bookmarkStart w:id="451" w:name="_Toc27945"/>
      <w:r>
        <w:rPr>
          <w:rFonts w:hint="eastAsia" w:ascii="仿宋_GB2312" w:hAnsi="仿宋_GB2312" w:eastAsia="仿宋_GB2312" w:cs="仿宋_GB2312"/>
          <w:b/>
          <w:sz w:val="24"/>
        </w:rPr>
        <w:t>2.3 知识产权</w:t>
      </w:r>
      <w:bookmarkEnd w:id="447"/>
      <w:bookmarkEnd w:id="448"/>
      <w:bookmarkEnd w:id="449"/>
      <w:bookmarkEnd w:id="450"/>
      <w:bookmarkEnd w:id="451"/>
    </w:p>
    <w:p w14:paraId="04A215D2">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F8F8F43">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2.3.2 合同涉及技术成果的归属和收益的分成办法的，详见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7C96D5E6">
      <w:pPr>
        <w:spacing w:line="56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2.4 履约检查和问题反馈</w:t>
      </w:r>
    </w:p>
    <w:p w14:paraId="3C99FAC3">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A52E08C">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2.4.2 合同履行期间，甲方有权将履行过程中出现的问题反馈给乙方，双方当事人应以书面形式约定需要完善和改进的内容。</w:t>
      </w:r>
    </w:p>
    <w:p w14:paraId="751FD1A7">
      <w:pPr>
        <w:spacing w:line="560" w:lineRule="exact"/>
        <w:ind w:firstLine="482" w:firstLineChars="200"/>
        <w:outlineLvl w:val="0"/>
        <w:rPr>
          <w:rFonts w:hint="eastAsia" w:ascii="仿宋_GB2312" w:hAnsi="仿宋_GB2312" w:eastAsia="仿宋_GB2312" w:cs="仿宋_GB2312"/>
          <w:b/>
          <w:sz w:val="24"/>
        </w:rPr>
      </w:pPr>
      <w:bookmarkStart w:id="452" w:name="_Toc26555"/>
      <w:bookmarkStart w:id="453" w:name="_Toc31233"/>
      <w:bookmarkStart w:id="454" w:name="_Toc15447"/>
      <w:bookmarkStart w:id="455" w:name="_Toc22011"/>
      <w:bookmarkStart w:id="456" w:name="_Toc32670"/>
      <w:r>
        <w:rPr>
          <w:rFonts w:hint="eastAsia" w:ascii="仿宋_GB2312" w:hAnsi="仿宋_GB2312" w:eastAsia="仿宋_GB2312" w:cs="仿宋_GB2312"/>
          <w:b/>
          <w:sz w:val="24"/>
        </w:rPr>
        <w:t>2.5 结算方式和付款条件</w:t>
      </w:r>
      <w:bookmarkEnd w:id="452"/>
      <w:bookmarkEnd w:id="453"/>
      <w:bookmarkEnd w:id="454"/>
      <w:bookmarkEnd w:id="455"/>
      <w:bookmarkEnd w:id="456"/>
    </w:p>
    <w:p w14:paraId="12663FCE">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4490CBF9">
      <w:pPr>
        <w:spacing w:line="560" w:lineRule="exact"/>
        <w:ind w:firstLine="482" w:firstLineChars="200"/>
        <w:outlineLvl w:val="0"/>
        <w:rPr>
          <w:rFonts w:hint="eastAsia" w:ascii="仿宋_GB2312" w:hAnsi="仿宋_GB2312" w:eastAsia="仿宋_GB2312" w:cs="仿宋_GB2312"/>
          <w:b/>
          <w:sz w:val="24"/>
        </w:rPr>
      </w:pPr>
      <w:bookmarkStart w:id="457" w:name="_Toc30507"/>
      <w:bookmarkStart w:id="458" w:name="_Toc16163"/>
      <w:bookmarkStart w:id="459" w:name="_Toc18990"/>
      <w:bookmarkStart w:id="460" w:name="_Toc13467"/>
      <w:bookmarkStart w:id="461" w:name="_Toc13154"/>
      <w:r>
        <w:rPr>
          <w:rFonts w:hint="eastAsia" w:ascii="仿宋_GB2312" w:hAnsi="仿宋_GB2312" w:eastAsia="仿宋_GB2312" w:cs="仿宋_GB2312"/>
          <w:b/>
          <w:sz w:val="24"/>
        </w:rPr>
        <w:t>2.6 技术资料和保密义务</w:t>
      </w:r>
      <w:bookmarkEnd w:id="457"/>
      <w:bookmarkEnd w:id="458"/>
      <w:bookmarkEnd w:id="459"/>
      <w:bookmarkEnd w:id="460"/>
      <w:bookmarkEnd w:id="461"/>
    </w:p>
    <w:p w14:paraId="4656E3DB">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2.6.1 乙方有权依据合同约定和项目需要，向甲方了解有关情况，调阅有关资料等，甲方应予积极配合；</w:t>
      </w:r>
    </w:p>
    <w:p w14:paraId="077CF613">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2.6.2 乙方有义务妥善保管和保护由甲方提供的前款信息和资料等；</w:t>
      </w:r>
    </w:p>
    <w:p w14:paraId="38B13227">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FE65F3B">
      <w:pPr>
        <w:spacing w:line="560" w:lineRule="exact"/>
        <w:ind w:firstLine="482" w:firstLineChars="200"/>
        <w:outlineLvl w:val="0"/>
        <w:rPr>
          <w:rFonts w:hint="eastAsia" w:ascii="仿宋_GB2312" w:hAnsi="仿宋_GB2312" w:eastAsia="仿宋_GB2312" w:cs="仿宋_GB2312"/>
          <w:b/>
          <w:sz w:val="24"/>
        </w:rPr>
      </w:pPr>
      <w:bookmarkStart w:id="462" w:name="_Toc19069"/>
      <w:r>
        <w:rPr>
          <w:rFonts w:hint="eastAsia" w:ascii="仿宋_GB2312" w:hAnsi="仿宋_GB2312" w:eastAsia="仿宋_GB2312" w:cs="仿宋_GB2312"/>
          <w:b/>
          <w:sz w:val="24"/>
        </w:rPr>
        <w:t>2.7 质量保证</w:t>
      </w:r>
      <w:bookmarkEnd w:id="462"/>
    </w:p>
    <w:p w14:paraId="3D2FD0B1">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2.7.1 乙方应建立和完善履行合同的内部质量保证体系，并提供相关内部规章制度给甲方，以便甲方进行监督检查；</w:t>
      </w:r>
    </w:p>
    <w:p w14:paraId="24687BE7">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2.7.2 乙方应保证履行合同的人员数量和素质、软件和硬件设备的配置、场地、环境和设施等满足全面履行合同的要求，并应接受甲方的监督检查。</w:t>
      </w:r>
    </w:p>
    <w:p w14:paraId="7369421E">
      <w:pPr>
        <w:spacing w:line="560" w:lineRule="exact"/>
        <w:ind w:firstLine="482" w:firstLineChars="200"/>
        <w:outlineLvl w:val="0"/>
        <w:rPr>
          <w:rFonts w:hint="eastAsia" w:ascii="仿宋_GB2312" w:hAnsi="仿宋_GB2312" w:eastAsia="仿宋_GB2312" w:cs="仿宋_GB2312"/>
          <w:b/>
          <w:sz w:val="24"/>
        </w:rPr>
      </w:pPr>
      <w:bookmarkStart w:id="463" w:name="_Toc22267"/>
      <w:r>
        <w:rPr>
          <w:rFonts w:hint="eastAsia" w:ascii="仿宋_GB2312" w:hAnsi="仿宋_GB2312" w:eastAsia="仿宋_GB2312" w:cs="仿宋_GB2312"/>
          <w:b/>
          <w:sz w:val="24"/>
        </w:rPr>
        <w:t>2.8 延迟履行</w:t>
      </w:r>
      <w:bookmarkEnd w:id="463"/>
    </w:p>
    <w:p w14:paraId="6452B802">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713E957">
      <w:pPr>
        <w:spacing w:line="560" w:lineRule="exact"/>
        <w:ind w:firstLine="482" w:firstLineChars="200"/>
        <w:outlineLvl w:val="0"/>
        <w:rPr>
          <w:rFonts w:hint="eastAsia" w:ascii="仿宋_GB2312" w:hAnsi="仿宋_GB2312" w:eastAsia="仿宋_GB2312" w:cs="仿宋_GB2312"/>
          <w:b/>
          <w:sz w:val="24"/>
        </w:rPr>
      </w:pPr>
      <w:bookmarkStart w:id="464" w:name="_Toc10611"/>
      <w:r>
        <w:rPr>
          <w:rFonts w:hint="eastAsia" w:ascii="仿宋_GB2312" w:hAnsi="仿宋_GB2312" w:eastAsia="仿宋_GB2312" w:cs="仿宋_GB2312"/>
          <w:b/>
          <w:sz w:val="24"/>
        </w:rPr>
        <w:t>2.9 合同变更</w:t>
      </w:r>
      <w:bookmarkEnd w:id="464"/>
    </w:p>
    <w:p w14:paraId="5973E6D3">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合同继续履行将损害国家利益和社会公共利益的，双方当事人应当以书面形式变更合同。有过错的一方应当承担赔偿责任，双方当事人都有过错的，各自承担相应的责任。</w:t>
      </w:r>
    </w:p>
    <w:p w14:paraId="2D36A1D2">
      <w:pPr>
        <w:spacing w:line="560" w:lineRule="exact"/>
        <w:ind w:firstLine="482" w:firstLineChars="200"/>
        <w:outlineLvl w:val="0"/>
        <w:rPr>
          <w:rFonts w:hint="eastAsia" w:ascii="仿宋_GB2312" w:hAnsi="仿宋_GB2312" w:eastAsia="仿宋_GB2312" w:cs="仿宋_GB2312"/>
          <w:b/>
          <w:sz w:val="24"/>
        </w:rPr>
      </w:pPr>
      <w:bookmarkStart w:id="465" w:name="_Toc26689"/>
      <w:bookmarkStart w:id="466" w:name="_Toc23368"/>
      <w:bookmarkStart w:id="467" w:name="_Toc42"/>
      <w:bookmarkStart w:id="468" w:name="_Toc10663"/>
      <w:bookmarkStart w:id="469" w:name="_Toc21830"/>
      <w:r>
        <w:rPr>
          <w:rFonts w:hint="eastAsia" w:ascii="仿宋_GB2312" w:hAnsi="仿宋_GB2312" w:eastAsia="仿宋_GB2312" w:cs="仿宋_GB2312"/>
          <w:b/>
          <w:sz w:val="24"/>
        </w:rPr>
        <w:t>2.10 合同转让和分包</w:t>
      </w:r>
      <w:bookmarkEnd w:id="465"/>
      <w:bookmarkEnd w:id="466"/>
      <w:bookmarkEnd w:id="467"/>
      <w:bookmarkEnd w:id="468"/>
      <w:bookmarkEnd w:id="469"/>
    </w:p>
    <w:p w14:paraId="7917D5A7">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232D520">
      <w:pPr>
        <w:spacing w:line="560" w:lineRule="exact"/>
        <w:ind w:firstLine="482" w:firstLineChars="200"/>
        <w:outlineLvl w:val="0"/>
        <w:rPr>
          <w:rFonts w:hint="eastAsia" w:ascii="仿宋_GB2312" w:hAnsi="仿宋_GB2312" w:eastAsia="仿宋_GB2312" w:cs="仿宋_GB2312"/>
          <w:b/>
          <w:sz w:val="24"/>
        </w:rPr>
      </w:pPr>
      <w:bookmarkStart w:id="470" w:name="_Toc4720"/>
      <w:bookmarkStart w:id="471" w:name="_Toc25571"/>
      <w:bookmarkStart w:id="472" w:name="_Toc14371"/>
      <w:bookmarkStart w:id="473" w:name="_Toc26633"/>
      <w:bookmarkStart w:id="474" w:name="_Toc32494"/>
      <w:r>
        <w:rPr>
          <w:rFonts w:hint="eastAsia" w:ascii="仿宋_GB2312" w:hAnsi="仿宋_GB2312" w:eastAsia="仿宋_GB2312" w:cs="仿宋_GB2312"/>
          <w:b/>
          <w:sz w:val="24"/>
        </w:rPr>
        <w:t>2.11 不可抗力</w:t>
      </w:r>
      <w:bookmarkEnd w:id="470"/>
      <w:bookmarkEnd w:id="471"/>
      <w:bookmarkEnd w:id="472"/>
      <w:bookmarkEnd w:id="473"/>
      <w:bookmarkEnd w:id="474"/>
    </w:p>
    <w:p w14:paraId="0B677007">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2.11.1如果任何一方遭遇法律规定的不可抗力，致使合同履行受阻时，履行合同的期限应予延长，延长的期限应相当于不可抗力所影响的时间；</w:t>
      </w:r>
    </w:p>
    <w:p w14:paraId="747A3E7C">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2.11.2 因不可抗力致使不能实现合同目的的，当事人可以解除合同；</w:t>
      </w:r>
    </w:p>
    <w:p w14:paraId="036EBA99">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2.11.3 因不可抗力致使合同有变更必要的，双方当事人应在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约定时间内以书面形式变更合同；</w:t>
      </w:r>
    </w:p>
    <w:p w14:paraId="0DD50D02">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2.11.4受不可抗力影响的一方在不可抗力发生后，应在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约定时间内以书面形式通知对方当事人，并在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约定时间内，将有关部门出具的证明文件送达对方当事人。</w:t>
      </w:r>
    </w:p>
    <w:p w14:paraId="1058C372">
      <w:pPr>
        <w:spacing w:line="560" w:lineRule="exact"/>
        <w:ind w:firstLine="482" w:firstLineChars="200"/>
        <w:outlineLvl w:val="0"/>
        <w:rPr>
          <w:rFonts w:hint="eastAsia" w:ascii="仿宋_GB2312" w:hAnsi="仿宋_GB2312" w:eastAsia="仿宋_GB2312" w:cs="仿宋_GB2312"/>
          <w:b/>
          <w:sz w:val="24"/>
        </w:rPr>
      </w:pPr>
      <w:bookmarkStart w:id="475" w:name="_Toc24465"/>
      <w:bookmarkStart w:id="476" w:name="_Toc23854"/>
      <w:bookmarkStart w:id="477" w:name="_Toc25783"/>
      <w:bookmarkStart w:id="478" w:name="_Toc3638"/>
      <w:bookmarkStart w:id="479" w:name="_Toc14115"/>
      <w:r>
        <w:rPr>
          <w:rFonts w:hint="eastAsia" w:ascii="仿宋_GB2312" w:hAnsi="仿宋_GB2312" w:eastAsia="仿宋_GB2312" w:cs="仿宋_GB2312"/>
          <w:b/>
          <w:sz w:val="24"/>
        </w:rPr>
        <w:t>2.12 税费</w:t>
      </w:r>
      <w:bookmarkEnd w:id="475"/>
      <w:bookmarkEnd w:id="476"/>
      <w:bookmarkEnd w:id="477"/>
      <w:bookmarkEnd w:id="478"/>
      <w:bookmarkEnd w:id="479"/>
    </w:p>
    <w:p w14:paraId="4F337922">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与合同有关的一切税费，均按照中华人民共和国法律的相关规定缴纳。</w:t>
      </w:r>
    </w:p>
    <w:p w14:paraId="18340B7F">
      <w:pPr>
        <w:spacing w:line="560" w:lineRule="exact"/>
        <w:ind w:firstLine="482" w:firstLineChars="200"/>
        <w:outlineLvl w:val="0"/>
        <w:rPr>
          <w:rFonts w:hint="eastAsia" w:ascii="仿宋_GB2312" w:hAnsi="仿宋_GB2312" w:eastAsia="仿宋_GB2312" w:cs="仿宋_GB2312"/>
          <w:b/>
          <w:sz w:val="24"/>
        </w:rPr>
      </w:pPr>
      <w:bookmarkStart w:id="480" w:name="_Toc26883"/>
      <w:bookmarkStart w:id="481" w:name="_Toc30105"/>
      <w:bookmarkStart w:id="482" w:name="_Toc14814"/>
      <w:bookmarkStart w:id="483" w:name="_Toc7315"/>
      <w:bookmarkStart w:id="484" w:name="_Toc25525"/>
      <w:r>
        <w:rPr>
          <w:rFonts w:hint="eastAsia" w:ascii="仿宋_GB2312" w:hAnsi="仿宋_GB2312" w:eastAsia="仿宋_GB2312" w:cs="仿宋_GB2312"/>
          <w:b/>
          <w:sz w:val="24"/>
        </w:rPr>
        <w:t>2.13 乙方破产</w:t>
      </w:r>
      <w:bookmarkEnd w:id="480"/>
      <w:bookmarkEnd w:id="481"/>
      <w:bookmarkEnd w:id="482"/>
      <w:bookmarkEnd w:id="483"/>
      <w:bookmarkEnd w:id="484"/>
    </w:p>
    <w:p w14:paraId="6898A4E8">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D42705">
      <w:pPr>
        <w:spacing w:line="560" w:lineRule="exact"/>
        <w:ind w:firstLine="482" w:firstLineChars="200"/>
        <w:outlineLvl w:val="0"/>
        <w:rPr>
          <w:rFonts w:hint="eastAsia" w:ascii="仿宋_GB2312" w:hAnsi="仿宋_GB2312" w:eastAsia="仿宋_GB2312" w:cs="仿宋_GB2312"/>
          <w:b/>
          <w:sz w:val="24"/>
        </w:rPr>
      </w:pPr>
      <w:bookmarkStart w:id="485" w:name="_Toc1123"/>
      <w:bookmarkStart w:id="486" w:name="_Toc23323"/>
      <w:bookmarkStart w:id="487" w:name="_Toc2016"/>
      <w:r>
        <w:rPr>
          <w:rFonts w:hint="eastAsia" w:ascii="仿宋_GB2312" w:hAnsi="仿宋_GB2312" w:eastAsia="仿宋_GB2312" w:cs="仿宋_GB2312"/>
          <w:b/>
          <w:sz w:val="24"/>
        </w:rPr>
        <w:t>2.14 合同中止、终止</w:t>
      </w:r>
      <w:bookmarkEnd w:id="485"/>
      <w:bookmarkEnd w:id="486"/>
      <w:bookmarkEnd w:id="487"/>
    </w:p>
    <w:p w14:paraId="1FC9DC5F">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2.14.1 双方当事人不得擅自中止或者终止合同；</w:t>
      </w:r>
    </w:p>
    <w:p w14:paraId="700E2109">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2.14.2合同继续履行将损害国家利益和社会公共利益的，双方当事人应当中止或者终止合同。有过错的一方应当承担赔偿责任，双方当事人都有过错的，各自承担相应的责任。</w:t>
      </w:r>
    </w:p>
    <w:p w14:paraId="0A2BA016">
      <w:pPr>
        <w:spacing w:line="560" w:lineRule="exact"/>
        <w:ind w:firstLine="482" w:firstLineChars="200"/>
        <w:outlineLvl w:val="0"/>
        <w:rPr>
          <w:rFonts w:hint="eastAsia" w:ascii="仿宋_GB2312" w:hAnsi="仿宋_GB2312" w:eastAsia="仿宋_GB2312" w:cs="仿宋_GB2312"/>
          <w:b/>
          <w:sz w:val="24"/>
        </w:rPr>
      </w:pPr>
      <w:bookmarkStart w:id="488" w:name="_Toc14525"/>
      <w:bookmarkStart w:id="489" w:name="_Toc1969"/>
      <w:bookmarkStart w:id="490" w:name="_Toc17363"/>
      <w:r>
        <w:rPr>
          <w:rFonts w:hint="eastAsia" w:ascii="仿宋_GB2312" w:hAnsi="仿宋_GB2312" w:eastAsia="仿宋_GB2312" w:cs="仿宋_GB2312"/>
          <w:b/>
          <w:sz w:val="24"/>
        </w:rPr>
        <w:t>2.15 检验和验收</w:t>
      </w:r>
      <w:bookmarkEnd w:id="488"/>
      <w:bookmarkEnd w:id="489"/>
      <w:bookmarkEnd w:id="490"/>
    </w:p>
    <w:p w14:paraId="29C73D6D">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2.15.1 乙方按照</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的约定，定期提交服务报告，甲方按照</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的约定进行定期验收；</w:t>
      </w:r>
    </w:p>
    <w:p w14:paraId="1CA5A65B">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43667CC">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2.15.3 检验和验收标准、程序等具体内容以及前述验收书的效力详见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i/>
          <w:sz w:val="24"/>
        </w:rPr>
        <w:t>。</w:t>
      </w:r>
    </w:p>
    <w:p w14:paraId="7BBF186E">
      <w:pPr>
        <w:spacing w:line="560" w:lineRule="exact"/>
        <w:ind w:firstLine="482" w:firstLineChars="200"/>
        <w:outlineLvl w:val="0"/>
        <w:rPr>
          <w:rFonts w:hint="eastAsia" w:ascii="仿宋_GB2312" w:hAnsi="仿宋_GB2312" w:eastAsia="仿宋_GB2312" w:cs="仿宋_GB2312"/>
          <w:b/>
          <w:sz w:val="24"/>
        </w:rPr>
      </w:pPr>
      <w:bookmarkStart w:id="491" w:name="_Toc2308"/>
      <w:bookmarkStart w:id="492" w:name="_Toc31892"/>
      <w:bookmarkStart w:id="493" w:name="_Toc25198"/>
      <w:bookmarkStart w:id="494" w:name="_Toc12666"/>
      <w:bookmarkStart w:id="495" w:name="_Toc9808"/>
      <w:r>
        <w:rPr>
          <w:rFonts w:hint="eastAsia" w:ascii="仿宋_GB2312" w:hAnsi="仿宋_GB2312" w:eastAsia="仿宋_GB2312" w:cs="仿宋_GB2312"/>
          <w:b/>
          <w:sz w:val="24"/>
        </w:rPr>
        <w:t>2.16 通知和送达</w:t>
      </w:r>
      <w:bookmarkEnd w:id="491"/>
      <w:bookmarkEnd w:id="492"/>
      <w:bookmarkEnd w:id="493"/>
      <w:bookmarkEnd w:id="494"/>
      <w:bookmarkEnd w:id="495"/>
    </w:p>
    <w:p w14:paraId="24158FCC">
      <w:pPr>
        <w:spacing w:line="560" w:lineRule="exact"/>
        <w:ind w:firstLine="480" w:firstLineChars="200"/>
        <w:rPr>
          <w:rFonts w:hint="eastAsia" w:ascii="仿宋_GB2312" w:hAnsi="仿宋_GB2312" w:eastAsia="仿宋_GB2312" w:cs="仿宋_GB2312"/>
          <w:sz w:val="24"/>
        </w:rPr>
      </w:pPr>
      <w:bookmarkStart w:id="496" w:name="_Toc27674"/>
      <w:bookmarkStart w:id="497" w:name="_Toc18401"/>
      <w:r>
        <w:rPr>
          <w:rFonts w:hint="eastAsia" w:ascii="仿宋_GB2312" w:hAnsi="仿宋_GB2312" w:eastAsia="仿宋_GB2312" w:cs="仿宋_GB2312"/>
          <w:sz w:val="24"/>
        </w:rPr>
        <w:t xml:space="preserve">2.17.1任何一方因履行合同而以合同第一部分尾部所列明的传真或电子邮件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发出的所有通知、文件、材料，均视为已向对方当事人送达；任何一方变更上述送达方式或者地址的，应于</w:t>
      </w:r>
      <w:r>
        <w:rPr>
          <w:rFonts w:hint="eastAsia" w:ascii="仿宋_GB2312" w:hAnsi="仿宋_GB2312" w:eastAsia="仿宋_GB2312" w:cs="仿宋_GB2312"/>
          <w:sz w:val="24"/>
          <w:u w:val="single"/>
        </w:rPr>
        <w:t>3</w:t>
      </w:r>
      <w:r>
        <w:rPr>
          <w:rFonts w:hint="eastAsia" w:ascii="仿宋_GB2312" w:hAnsi="仿宋_GB2312" w:eastAsia="仿宋_GB2312" w:cs="仿宋_GB2312"/>
          <w:sz w:val="24"/>
        </w:rPr>
        <w:t>个工作日内书面通知对方当事人，在对方当事人收到有关变更通知之前，变更前的约定送达方式或者地址仍视为有效。</w:t>
      </w:r>
    </w:p>
    <w:p w14:paraId="47B6DE72">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6"/>
      <w:bookmarkEnd w:id="497"/>
    </w:p>
    <w:p w14:paraId="58A83891">
      <w:pPr>
        <w:spacing w:line="560" w:lineRule="exact"/>
        <w:ind w:firstLine="482" w:firstLineChars="200"/>
        <w:outlineLvl w:val="0"/>
        <w:rPr>
          <w:rFonts w:hint="eastAsia" w:ascii="仿宋_GB2312" w:hAnsi="仿宋_GB2312" w:eastAsia="仿宋_GB2312" w:cs="仿宋_GB2312"/>
          <w:b/>
          <w:sz w:val="24"/>
        </w:rPr>
      </w:pPr>
      <w:bookmarkStart w:id="498" w:name="_Toc27644"/>
      <w:bookmarkStart w:id="499" w:name="_Toc5063"/>
      <w:bookmarkStart w:id="500" w:name="_Toc28906"/>
      <w:bookmarkStart w:id="501" w:name="_Toc20808"/>
      <w:bookmarkStart w:id="502" w:name="_Toc12254"/>
      <w:r>
        <w:rPr>
          <w:rFonts w:hint="eastAsia" w:ascii="仿宋_GB2312" w:hAnsi="仿宋_GB2312" w:eastAsia="仿宋_GB2312" w:cs="仿宋_GB2312"/>
          <w:b/>
          <w:sz w:val="24"/>
        </w:rPr>
        <w:t>2.17 合同使用的文字和适用的法律</w:t>
      </w:r>
      <w:bookmarkEnd w:id="498"/>
      <w:bookmarkEnd w:id="499"/>
      <w:bookmarkEnd w:id="500"/>
      <w:bookmarkEnd w:id="501"/>
      <w:bookmarkEnd w:id="502"/>
    </w:p>
    <w:p w14:paraId="588FE406">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2.17.1 合同使用汉语书就、变更和解释；</w:t>
      </w:r>
    </w:p>
    <w:p w14:paraId="6294AC48">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2.17.2 合同适用中华人民共和国法律。</w:t>
      </w:r>
    </w:p>
    <w:p w14:paraId="41455E1A">
      <w:pPr>
        <w:spacing w:line="560" w:lineRule="exact"/>
        <w:ind w:firstLine="482" w:firstLineChars="200"/>
        <w:outlineLvl w:val="0"/>
        <w:rPr>
          <w:rFonts w:hint="eastAsia" w:ascii="仿宋_GB2312" w:hAnsi="仿宋_GB2312" w:eastAsia="仿宋_GB2312" w:cs="仿宋_GB2312"/>
          <w:b/>
          <w:sz w:val="24"/>
        </w:rPr>
      </w:pPr>
      <w:bookmarkStart w:id="503" w:name="_Toc18540"/>
      <w:bookmarkStart w:id="504" w:name="_Toc4355"/>
      <w:bookmarkStart w:id="505" w:name="_Toc30599"/>
      <w:r>
        <w:rPr>
          <w:rFonts w:hint="eastAsia" w:ascii="仿宋_GB2312" w:hAnsi="仿宋_GB2312" w:eastAsia="仿宋_GB2312" w:cs="仿宋_GB2312"/>
          <w:b/>
          <w:sz w:val="24"/>
        </w:rPr>
        <w:t>2.18 计量单位</w:t>
      </w:r>
      <w:bookmarkEnd w:id="503"/>
      <w:bookmarkEnd w:id="504"/>
      <w:bookmarkEnd w:id="505"/>
    </w:p>
    <w:p w14:paraId="160DBE88">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除技术规范中另有规定外,合同的计量单位均使用国家法定计量单位。</w:t>
      </w:r>
    </w:p>
    <w:p w14:paraId="0435CB00">
      <w:pPr>
        <w:spacing w:line="56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2.19合同份数</w:t>
      </w:r>
    </w:p>
    <w:p w14:paraId="38C38A3C">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合同份数按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规定，每份均具有同等法律效力。</w:t>
      </w:r>
    </w:p>
    <w:p w14:paraId="7C61B948">
      <w:pPr>
        <w:spacing w:line="360" w:lineRule="auto"/>
        <w:jc w:val="center"/>
        <w:outlineLvl w:val="0"/>
        <w:rPr>
          <w:rFonts w:hint="eastAsia" w:ascii="仿宋_GB2312" w:hAnsi="仿宋_GB2312" w:eastAsia="仿宋_GB2312" w:cs="仿宋_GB2312"/>
          <w:b/>
          <w:sz w:val="24"/>
        </w:rPr>
      </w:pPr>
      <w:r>
        <w:rPr>
          <w:rFonts w:hint="eastAsia" w:ascii="仿宋_GB2312" w:hAnsi="仿宋_GB2312" w:eastAsia="仿宋_GB2312" w:cs="仿宋_GB2312"/>
          <w:kern w:val="0"/>
        </w:rPr>
        <w:br w:type="page"/>
      </w:r>
      <w:bookmarkStart w:id="506" w:name="_Toc331685784"/>
      <w:r>
        <w:rPr>
          <w:rFonts w:hint="eastAsia" w:ascii="仿宋_GB2312" w:hAnsi="仿宋_GB2312" w:eastAsia="仿宋_GB2312" w:cs="仿宋_GB2312"/>
          <w:b/>
          <w:sz w:val="24"/>
        </w:rPr>
        <w:t xml:space="preserve"> </w:t>
      </w:r>
      <w:bookmarkEnd w:id="506"/>
      <w:r>
        <w:rPr>
          <w:rFonts w:hint="eastAsia" w:ascii="仿宋_GB2312" w:hAnsi="仿宋_GB2312" w:eastAsia="仿宋_GB2312" w:cs="仿宋_GB2312"/>
          <w:b/>
          <w:sz w:val="24"/>
        </w:rPr>
        <w:t>第三部分  合同专用条款</w:t>
      </w:r>
    </w:p>
    <w:p w14:paraId="500452CE">
      <w:pPr>
        <w:spacing w:line="560" w:lineRule="exact"/>
        <w:ind w:left="-480" w:leftChars="-200" w:right="-480" w:rightChars="-20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9954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noWrap w:val="0"/>
            <w:vAlign w:val="center"/>
          </w:tcPr>
          <w:p w14:paraId="627DEFD4">
            <w:pPr>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条款号</w:t>
            </w:r>
          </w:p>
        </w:tc>
        <w:tc>
          <w:tcPr>
            <w:tcW w:w="8149" w:type="dxa"/>
            <w:noWrap w:val="0"/>
            <w:vAlign w:val="center"/>
          </w:tcPr>
          <w:p w14:paraId="17FE45F5">
            <w:pPr>
              <w:spacing w:line="360" w:lineRule="auto"/>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约定内容</w:t>
            </w:r>
          </w:p>
        </w:tc>
      </w:tr>
      <w:tr w14:paraId="3D8FF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F17FED6">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1.3.2</w:t>
            </w:r>
          </w:p>
        </w:tc>
        <w:tc>
          <w:tcPr>
            <w:tcW w:w="8149" w:type="dxa"/>
            <w:noWrap w:val="0"/>
            <w:vAlign w:val="center"/>
          </w:tcPr>
          <w:p w14:paraId="47E0E93F">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w:t>
            </w:r>
          </w:p>
        </w:tc>
      </w:tr>
      <w:tr w14:paraId="7498E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84" w:hRule="atLeast"/>
        </w:trPr>
        <w:tc>
          <w:tcPr>
            <w:tcW w:w="977" w:type="dxa"/>
            <w:tcBorders>
              <w:left w:val="single" w:color="auto" w:sz="4" w:space="0"/>
            </w:tcBorders>
            <w:noWrap w:val="0"/>
            <w:vAlign w:val="center"/>
          </w:tcPr>
          <w:p w14:paraId="496B9B4D">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1.4.2</w:t>
            </w:r>
          </w:p>
        </w:tc>
        <w:tc>
          <w:tcPr>
            <w:tcW w:w="8149" w:type="dxa"/>
            <w:noWrap w:val="0"/>
            <w:vAlign w:val="center"/>
          </w:tcPr>
          <w:p w14:paraId="5D98C29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1、合同签订后5个工作日内，中标人向采购人支付合同金额的1%作为履约保证金（履约保证金形式应以银行、保险公司出具的保函形式提供）。</w:t>
            </w:r>
          </w:p>
          <w:p w14:paraId="28EC2A0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2、项目全部义务履约完毕，履约保证金无息退还。（如有违约款项，则扣除相应违约款项后无息退还）</w:t>
            </w:r>
          </w:p>
        </w:tc>
      </w:tr>
      <w:tr w14:paraId="699E1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009C50B">
            <w:pPr>
              <w:spacing w:line="360" w:lineRule="auto"/>
              <w:rPr>
                <w:rFonts w:hint="eastAsia"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none"/>
              </w:rPr>
              <w:t xml:space="preserve">1.5.1 </w:t>
            </w:r>
          </w:p>
        </w:tc>
        <w:tc>
          <w:tcPr>
            <w:tcW w:w="8149" w:type="dxa"/>
            <w:noWrap w:val="0"/>
            <w:vAlign w:val="center"/>
          </w:tcPr>
          <w:p w14:paraId="6F8C626D">
            <w:pPr>
              <w:pStyle w:val="23"/>
              <w:keepNext w:val="0"/>
              <w:keepLines w:val="0"/>
              <w:pageBreakBefore w:val="0"/>
              <w:kinsoku/>
              <w:wordWrap/>
              <w:overflowPunct/>
              <w:topLinePunct w:val="0"/>
              <w:bidi w:val="0"/>
              <w:adjustRightInd w:val="0"/>
              <w:snapToGrid w:val="0"/>
              <w:spacing w:after="0" w:line="360" w:lineRule="auto"/>
              <w:ind w:right="0" w:rightChars="0"/>
              <w:textAlignment w:val="auto"/>
              <w:rPr>
                <w:rFonts w:hint="eastAsia" w:ascii="仿宋_GB2312" w:hAnsi="仿宋_GB2312" w:eastAsia="仿宋_GB2312" w:cs="仿宋_GB2312"/>
                <w:snapToGrid w:val="0"/>
                <w:color w:val="auto"/>
                <w:kern w:val="2"/>
                <w:sz w:val="24"/>
                <w:szCs w:val="20"/>
                <w:highlight w:val="yellow"/>
                <w:lang w:val="en-US" w:eastAsia="zh-CN" w:bidi="ar-SA"/>
              </w:rPr>
            </w:pPr>
            <w:r>
              <w:rPr>
                <w:rFonts w:hint="eastAsia" w:ascii="仿宋_GB2312" w:hAnsi="仿宋_GB2312" w:eastAsia="仿宋_GB2312" w:cs="仿宋_GB2312"/>
                <w:strike w:val="0"/>
                <w:color w:val="auto"/>
                <w:sz w:val="24"/>
                <w:szCs w:val="20"/>
                <w:highlight w:val="none"/>
                <w:lang w:val="en-US" w:eastAsia="zh-CN"/>
              </w:rPr>
              <w:t>/</w:t>
            </w:r>
          </w:p>
        </w:tc>
      </w:tr>
      <w:tr w14:paraId="63960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67BC656">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1.5.2</w:t>
            </w:r>
          </w:p>
        </w:tc>
        <w:tc>
          <w:tcPr>
            <w:tcW w:w="8149" w:type="dxa"/>
            <w:noWrap w:val="0"/>
            <w:vAlign w:val="center"/>
          </w:tcPr>
          <w:p w14:paraId="1D913E3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jc w:val="both"/>
              <w:textAlignment w:val="auto"/>
              <w:rPr>
                <w:rFonts w:hint="default" w:ascii="仿宋_GB2312" w:hAnsi="仿宋_GB2312" w:eastAsia="仿宋_GB2312" w:cs="仿宋_GB2312"/>
                <w:strike w:val="0"/>
                <w:color w:val="auto"/>
                <w:kern w:val="2"/>
                <w:sz w:val="24"/>
                <w:szCs w:val="20"/>
                <w:highlight w:val="none"/>
                <w:lang w:val="en-US" w:eastAsia="zh-CN" w:bidi="ar-SA"/>
              </w:rPr>
            </w:pPr>
            <w:r>
              <w:rPr>
                <w:rFonts w:hint="eastAsia" w:ascii="仿宋_GB2312" w:hAnsi="仿宋_GB2312" w:eastAsia="仿宋_GB2312" w:cs="仿宋_GB2312"/>
                <w:strike w:val="0"/>
                <w:color w:val="auto"/>
                <w:sz w:val="24"/>
                <w:szCs w:val="20"/>
                <w:highlight w:val="none"/>
                <w:lang w:val="en-US" w:eastAsia="zh-CN"/>
              </w:rPr>
              <w:t>/</w:t>
            </w:r>
          </w:p>
        </w:tc>
      </w:tr>
      <w:tr w14:paraId="077F3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7CDF78B">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1.5.3 </w:t>
            </w:r>
          </w:p>
        </w:tc>
        <w:tc>
          <w:tcPr>
            <w:tcW w:w="8149" w:type="dxa"/>
            <w:noWrap w:val="0"/>
            <w:vAlign w:val="center"/>
          </w:tcPr>
          <w:p w14:paraId="486BD58D">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仿宋_GB2312" w:hAnsi="仿宋_GB2312" w:eastAsia="仿宋_GB2312" w:cs="仿宋_GB2312"/>
                <w:strike w:val="0"/>
                <w:color w:val="auto"/>
                <w:kern w:val="2"/>
                <w:sz w:val="24"/>
                <w:szCs w:val="24"/>
                <w:highlight w:val="none"/>
                <w:lang w:val="en-US" w:eastAsia="zh-CN" w:bidi="ar-SA"/>
              </w:rPr>
            </w:pPr>
            <w:r>
              <w:rPr>
                <w:rFonts w:hint="eastAsia" w:ascii="仿宋_GB2312" w:hAnsi="仿宋_GB2312" w:eastAsia="仿宋_GB2312" w:cs="仿宋_GB2312"/>
                <w:strike w:val="0"/>
                <w:color w:val="auto"/>
                <w:sz w:val="24"/>
                <w:highlight w:val="none"/>
                <w:lang w:val="en-US" w:eastAsia="zh-CN"/>
              </w:rPr>
              <w:t>/</w:t>
            </w:r>
          </w:p>
        </w:tc>
      </w:tr>
      <w:tr w14:paraId="1529E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E9B52B9">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1.6.2</w:t>
            </w:r>
          </w:p>
        </w:tc>
        <w:tc>
          <w:tcPr>
            <w:tcW w:w="8149" w:type="dxa"/>
            <w:noWrap w:val="0"/>
            <w:vAlign w:val="center"/>
          </w:tcPr>
          <w:p w14:paraId="7748A6A1">
            <w:pPr>
              <w:pStyle w:val="2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合同签订并缴纳履约保证金后支付合同价的40%，剩余款项待服务期满且经决算审计后支付。</w:t>
            </w:r>
          </w:p>
        </w:tc>
      </w:tr>
      <w:tr w14:paraId="102EA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87FC55E">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1.7.1</w:t>
            </w:r>
          </w:p>
        </w:tc>
        <w:tc>
          <w:tcPr>
            <w:tcW w:w="8149" w:type="dxa"/>
            <w:noWrap w:val="0"/>
            <w:vAlign w:val="center"/>
          </w:tcPr>
          <w:p w14:paraId="46CBEA46">
            <w:pPr>
              <w:keepNext w:val="0"/>
              <w:keepLines w:val="0"/>
              <w:pageBreakBefore w:val="0"/>
              <w:kinsoku/>
              <w:wordWrap/>
              <w:overflowPunct/>
              <w:topLinePunct w:val="0"/>
              <w:bidi w:val="0"/>
              <w:adjustRightInd w:val="0"/>
              <w:snapToGrid w:val="0"/>
              <w:spacing w:line="360" w:lineRule="auto"/>
              <w:ind w:right="0" w:rightChars="0"/>
              <w:jc w:val="left"/>
              <w:textAlignment w:val="auto"/>
              <w:rPr>
                <w:rFonts w:hint="default" w:ascii="仿宋_GB2312" w:hAnsi="仿宋_GB2312" w:eastAsia="仿宋_GB2312" w:cs="仿宋_GB2312"/>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合同</w:t>
            </w:r>
            <w:r>
              <w:rPr>
                <w:rFonts w:hint="eastAsia" w:ascii="仿宋" w:hAnsi="仿宋" w:cs="仿宋"/>
                <w:b w:val="0"/>
                <w:bCs/>
                <w:color w:val="auto"/>
                <w:sz w:val="24"/>
                <w:szCs w:val="24"/>
                <w:highlight w:val="none"/>
                <w:lang w:val="en-US" w:eastAsia="zh-CN"/>
              </w:rPr>
              <w:t>签订之日至</w:t>
            </w:r>
            <w:r>
              <w:rPr>
                <w:rFonts w:hint="eastAsia" w:ascii="仿宋" w:hAnsi="仿宋" w:eastAsia="仿宋" w:cs="仿宋"/>
                <w:b w:val="0"/>
                <w:bCs/>
                <w:color w:val="auto"/>
                <w:sz w:val="24"/>
                <w:szCs w:val="24"/>
                <w:highlight w:val="none"/>
                <w:lang w:val="en-US" w:eastAsia="zh-CN"/>
              </w:rPr>
              <w:t>2025年9月14日（具体起止时间以合同签订为准）</w:t>
            </w:r>
          </w:p>
        </w:tc>
      </w:tr>
      <w:tr w14:paraId="65303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92FFBCF">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1.7.2</w:t>
            </w:r>
          </w:p>
        </w:tc>
        <w:tc>
          <w:tcPr>
            <w:tcW w:w="8149" w:type="dxa"/>
            <w:noWrap w:val="0"/>
            <w:vAlign w:val="center"/>
          </w:tcPr>
          <w:p w14:paraId="03D74E42">
            <w:pPr>
              <w:keepNext w:val="0"/>
              <w:keepLines w:val="0"/>
              <w:pageBreakBefore w:val="0"/>
              <w:kinsoku/>
              <w:wordWrap/>
              <w:overflowPunct/>
              <w:topLinePunct w:val="0"/>
              <w:bidi w:val="0"/>
              <w:adjustRightInd w:val="0"/>
              <w:snapToGrid w:val="0"/>
              <w:spacing w:line="360" w:lineRule="auto"/>
              <w:ind w:right="0" w:rightChars="0"/>
              <w:textAlignment w:val="auto"/>
              <w:rPr>
                <w:rFonts w:hint="default" w:ascii="仿宋_GB2312" w:hAnsi="仿宋_GB2312" w:eastAsia="方正书宋_GBK" w:cs="仿宋_GB2312"/>
                <w:kern w:val="2"/>
                <w:sz w:val="24"/>
                <w:szCs w:val="24"/>
                <w:highlight w:val="none"/>
                <w:lang w:val="en-US" w:eastAsia="zh-CN" w:bidi="ar-SA"/>
              </w:rPr>
            </w:pPr>
            <w:r>
              <w:rPr>
                <w:rFonts w:hint="eastAsia" w:ascii="仿宋" w:hAnsi="仿宋" w:eastAsia="仿宋" w:cs="仿宋"/>
                <w:color w:val="auto"/>
                <w:sz w:val="24"/>
                <w:highlight w:val="none"/>
                <w:lang w:val="en-US" w:eastAsia="zh-CN"/>
              </w:rPr>
              <w:t>钱塘区</w:t>
            </w:r>
            <w:r>
              <w:rPr>
                <w:rFonts w:hint="eastAsia" w:ascii="仿宋" w:hAnsi="仿宋" w:cs="仿宋"/>
                <w:color w:val="auto"/>
                <w:sz w:val="24"/>
                <w:highlight w:val="none"/>
                <w:lang w:val="en-US" w:eastAsia="zh-CN"/>
              </w:rPr>
              <w:t>义蓬街道</w:t>
            </w:r>
          </w:p>
        </w:tc>
      </w:tr>
      <w:tr w14:paraId="20AFC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6474D69">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1.7.3</w:t>
            </w:r>
          </w:p>
        </w:tc>
        <w:tc>
          <w:tcPr>
            <w:tcW w:w="8149" w:type="dxa"/>
            <w:noWrap w:val="0"/>
            <w:vAlign w:val="center"/>
          </w:tcPr>
          <w:p w14:paraId="4B9D6B04">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 w:hAnsi="仿宋" w:eastAsia="仿宋" w:cs="仿宋"/>
                <w:color w:val="auto"/>
                <w:sz w:val="24"/>
                <w:highlight w:val="none"/>
                <w:lang w:val="en-US" w:eastAsia="zh-CN"/>
              </w:rPr>
              <w:t>按甲方要求</w:t>
            </w:r>
          </w:p>
        </w:tc>
      </w:tr>
      <w:tr w14:paraId="0328F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205A346">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1.7.4.1</w:t>
            </w:r>
          </w:p>
        </w:tc>
        <w:tc>
          <w:tcPr>
            <w:tcW w:w="8149" w:type="dxa"/>
            <w:noWrap w:val="0"/>
            <w:vAlign w:val="center"/>
          </w:tcPr>
          <w:p w14:paraId="57C2B449">
            <w:pPr>
              <w:keepNext w:val="0"/>
              <w:keepLines w:val="0"/>
              <w:pageBreakBefore w:val="0"/>
              <w:kinsoku/>
              <w:wordWrap/>
              <w:overflowPunct/>
              <w:topLinePunct w:val="0"/>
              <w:bidi w:val="0"/>
              <w:adjustRightInd w:val="0"/>
              <w:snapToGrid w:val="0"/>
              <w:spacing w:line="360" w:lineRule="auto"/>
              <w:ind w:right="0" w:rightChars="0"/>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w:t>
            </w:r>
          </w:p>
        </w:tc>
      </w:tr>
      <w:tr w14:paraId="2DD16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87C5101">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1.7.4.2</w:t>
            </w:r>
          </w:p>
        </w:tc>
        <w:tc>
          <w:tcPr>
            <w:tcW w:w="8149" w:type="dxa"/>
            <w:noWrap w:val="0"/>
            <w:vAlign w:val="center"/>
          </w:tcPr>
          <w:p w14:paraId="50BE8ABB">
            <w:pPr>
              <w:keepNext w:val="0"/>
              <w:keepLines w:val="0"/>
              <w:pageBreakBefore w:val="0"/>
              <w:kinsoku/>
              <w:wordWrap/>
              <w:overflowPunct/>
              <w:topLinePunct w:val="0"/>
              <w:bidi w:val="0"/>
              <w:adjustRightInd w:val="0"/>
              <w:snapToGrid w:val="0"/>
              <w:spacing w:line="360" w:lineRule="auto"/>
              <w:ind w:right="0" w:rightChars="0"/>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w:t>
            </w:r>
          </w:p>
        </w:tc>
      </w:tr>
      <w:tr w14:paraId="739B7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31257D0F">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1.7.4.3</w:t>
            </w:r>
          </w:p>
        </w:tc>
        <w:tc>
          <w:tcPr>
            <w:tcW w:w="8149" w:type="dxa"/>
            <w:noWrap w:val="0"/>
            <w:vAlign w:val="center"/>
          </w:tcPr>
          <w:p w14:paraId="01BEA154">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w:t>
            </w:r>
          </w:p>
        </w:tc>
      </w:tr>
      <w:tr w14:paraId="0217A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9DB93D1">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1.8.7</w:t>
            </w:r>
          </w:p>
        </w:tc>
        <w:tc>
          <w:tcPr>
            <w:tcW w:w="8149" w:type="dxa"/>
            <w:noWrap w:val="0"/>
            <w:vAlign w:val="center"/>
          </w:tcPr>
          <w:p w14:paraId="02B30DA5">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w:t>
            </w:r>
          </w:p>
        </w:tc>
      </w:tr>
      <w:tr w14:paraId="539A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3077AE1">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1.9.1</w:t>
            </w:r>
          </w:p>
        </w:tc>
        <w:tc>
          <w:tcPr>
            <w:tcW w:w="8149" w:type="dxa"/>
            <w:noWrap w:val="0"/>
            <w:vAlign w:val="center"/>
          </w:tcPr>
          <w:p w14:paraId="20B577CE">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杭州仲裁委员会</w:t>
            </w:r>
          </w:p>
        </w:tc>
      </w:tr>
      <w:tr w14:paraId="3ECD3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3BA2A76">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1.9.2</w:t>
            </w:r>
          </w:p>
        </w:tc>
        <w:tc>
          <w:tcPr>
            <w:tcW w:w="8149" w:type="dxa"/>
            <w:noWrap w:val="0"/>
            <w:vAlign w:val="center"/>
          </w:tcPr>
          <w:p w14:paraId="46D5A337">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 w:hAnsi="仿宋" w:eastAsia="仿宋" w:cs="仿宋"/>
                <w:color w:val="auto"/>
                <w:sz w:val="24"/>
                <w:highlight w:val="none"/>
                <w:lang w:val="en-US" w:eastAsia="zh-CN"/>
              </w:rPr>
              <w:t>当地</w:t>
            </w:r>
          </w:p>
        </w:tc>
      </w:tr>
      <w:tr w14:paraId="47B09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32171E18">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2.3.2</w:t>
            </w:r>
          </w:p>
        </w:tc>
        <w:tc>
          <w:tcPr>
            <w:tcW w:w="8149" w:type="dxa"/>
            <w:noWrap w:val="0"/>
            <w:vAlign w:val="center"/>
          </w:tcPr>
          <w:p w14:paraId="56FED3BC">
            <w:pPr>
              <w:keepNext w:val="0"/>
              <w:keepLines w:val="0"/>
              <w:pageBreakBefore w:val="0"/>
              <w:kinsoku/>
              <w:wordWrap/>
              <w:overflowPunct/>
              <w:topLinePunct w:val="0"/>
              <w:bidi w:val="0"/>
              <w:adjustRightInd w:val="0"/>
              <w:snapToGrid w:val="0"/>
              <w:spacing w:line="360" w:lineRule="auto"/>
              <w:ind w:right="0" w:rightChars="0"/>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w:t>
            </w:r>
          </w:p>
        </w:tc>
      </w:tr>
      <w:tr w14:paraId="11070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25AD67A">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8149" w:type="dxa"/>
            <w:noWrap w:val="0"/>
            <w:vAlign w:val="center"/>
          </w:tcPr>
          <w:p w14:paraId="723B6B63">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同</w:t>
            </w:r>
            <w:r>
              <w:rPr>
                <w:rFonts w:hint="eastAsia" w:ascii="仿宋_GB2312" w:hAnsi="仿宋_GB2312" w:eastAsia="仿宋_GB2312" w:cs="仿宋_GB2312"/>
                <w:sz w:val="24"/>
                <w:highlight w:val="none"/>
              </w:rPr>
              <w:t>1.6.2</w:t>
            </w:r>
          </w:p>
        </w:tc>
      </w:tr>
      <w:tr w14:paraId="540A8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2BFFD13">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2.11.3</w:t>
            </w:r>
          </w:p>
        </w:tc>
        <w:tc>
          <w:tcPr>
            <w:tcW w:w="8149" w:type="dxa"/>
            <w:noWrap w:val="0"/>
            <w:vAlign w:val="center"/>
          </w:tcPr>
          <w:p w14:paraId="76300709">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rPr>
              <w:t>因不可抗力致使合同有变更必要的，双方当事人应在</w:t>
            </w:r>
            <w:r>
              <w:rPr>
                <w:rFonts w:hint="eastAsia" w:ascii="仿宋_GB2312" w:hAnsi="仿宋_GB2312" w:eastAsia="仿宋_GB2312" w:cs="仿宋_GB2312"/>
                <w:b w:val="0"/>
                <w:bCs/>
                <w:i w:val="0"/>
                <w:iCs/>
                <w:sz w:val="24"/>
                <w:highlight w:val="none"/>
                <w:u w:val="single"/>
                <w:lang w:val="en-US" w:eastAsia="zh-CN"/>
              </w:rPr>
              <w:t xml:space="preserve"> 7 </w:t>
            </w:r>
            <w:r>
              <w:rPr>
                <w:rFonts w:hint="eastAsia" w:ascii="仿宋_GB2312" w:hAnsi="仿宋_GB2312" w:eastAsia="仿宋_GB2312" w:cs="仿宋_GB2312"/>
                <w:sz w:val="24"/>
                <w:highlight w:val="none"/>
                <w:lang w:eastAsia="zh-CN"/>
              </w:rPr>
              <w:t>日</w:t>
            </w:r>
            <w:r>
              <w:rPr>
                <w:rFonts w:hint="eastAsia" w:ascii="仿宋_GB2312" w:hAnsi="仿宋_GB2312" w:eastAsia="仿宋_GB2312" w:cs="仿宋_GB2312"/>
                <w:sz w:val="24"/>
                <w:highlight w:val="none"/>
              </w:rPr>
              <w:t>内以书面形式变更合同</w:t>
            </w:r>
            <w:r>
              <w:rPr>
                <w:rFonts w:hint="eastAsia" w:ascii="仿宋_GB2312" w:hAnsi="仿宋_GB2312" w:eastAsia="仿宋_GB2312" w:cs="仿宋_GB2312"/>
                <w:sz w:val="24"/>
                <w:highlight w:val="none"/>
                <w:lang w:eastAsia="zh-CN"/>
              </w:rPr>
              <w:t>。</w:t>
            </w:r>
          </w:p>
        </w:tc>
      </w:tr>
      <w:tr w14:paraId="58285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top"/>
          </w:tcPr>
          <w:p w14:paraId="4B9DB00B">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2.11.4 </w:t>
            </w:r>
          </w:p>
        </w:tc>
        <w:tc>
          <w:tcPr>
            <w:tcW w:w="8149" w:type="dxa"/>
            <w:noWrap w:val="0"/>
            <w:vAlign w:val="top"/>
          </w:tcPr>
          <w:p w14:paraId="7D40AF5F">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rPr>
              <w:t>受不可抗力影响的一方在不可抗力发生后，应在</w:t>
            </w:r>
            <w:r>
              <w:rPr>
                <w:rFonts w:hint="eastAsia" w:ascii="仿宋_GB2312" w:hAnsi="仿宋_GB2312" w:eastAsia="仿宋_GB2312" w:cs="仿宋_GB2312"/>
                <w:b w:val="0"/>
                <w:bCs/>
                <w:i w:val="0"/>
                <w:iCs/>
                <w:sz w:val="24"/>
                <w:highlight w:val="none"/>
                <w:u w:val="single"/>
                <w:lang w:val="en-US" w:eastAsia="zh-CN"/>
              </w:rPr>
              <w:t xml:space="preserve"> 24 </w:t>
            </w:r>
            <w:r>
              <w:rPr>
                <w:rFonts w:hint="eastAsia" w:ascii="仿宋_GB2312" w:hAnsi="仿宋_GB2312" w:eastAsia="仿宋_GB2312" w:cs="仿宋_GB2312"/>
                <w:sz w:val="24"/>
                <w:highlight w:val="none"/>
                <w:lang w:eastAsia="zh-CN"/>
              </w:rPr>
              <w:t>小时</w:t>
            </w:r>
            <w:r>
              <w:rPr>
                <w:rFonts w:hint="eastAsia" w:ascii="仿宋_GB2312" w:hAnsi="仿宋_GB2312" w:eastAsia="仿宋_GB2312" w:cs="仿宋_GB2312"/>
                <w:sz w:val="24"/>
                <w:highlight w:val="none"/>
              </w:rPr>
              <w:t>内以书面形式通知对方当事人，并在</w:t>
            </w:r>
            <w:r>
              <w:rPr>
                <w:rFonts w:hint="eastAsia" w:ascii="仿宋_GB2312" w:hAnsi="仿宋_GB2312" w:eastAsia="仿宋_GB2312" w:cs="仿宋_GB2312"/>
                <w:b w:val="0"/>
                <w:bCs/>
                <w:i w:val="0"/>
                <w:iCs/>
                <w:sz w:val="24"/>
                <w:highlight w:val="none"/>
                <w:u w:val="single"/>
                <w:lang w:val="en-US" w:eastAsia="zh-CN"/>
              </w:rPr>
              <w:t xml:space="preserve"> 3 </w:t>
            </w:r>
            <w:r>
              <w:rPr>
                <w:rFonts w:hint="eastAsia" w:ascii="仿宋_GB2312" w:hAnsi="仿宋_GB2312" w:eastAsia="仿宋_GB2312" w:cs="仿宋_GB2312"/>
                <w:sz w:val="24"/>
                <w:highlight w:val="none"/>
                <w:lang w:eastAsia="zh-CN"/>
              </w:rPr>
              <w:t>日</w:t>
            </w:r>
            <w:r>
              <w:rPr>
                <w:rFonts w:hint="eastAsia" w:ascii="仿宋_GB2312" w:hAnsi="仿宋_GB2312" w:eastAsia="仿宋_GB2312" w:cs="仿宋_GB2312"/>
                <w:sz w:val="24"/>
                <w:highlight w:val="none"/>
              </w:rPr>
              <w:t>内，将有关部门出具的证明文件送达对方当事人。</w:t>
            </w:r>
          </w:p>
        </w:tc>
      </w:tr>
      <w:tr w14:paraId="7A41E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008B47B">
            <w:pPr>
              <w:spacing w:line="360" w:lineRule="auto"/>
              <w:rPr>
                <w:rFonts w:hint="eastAsia" w:ascii="仿宋_GB2312" w:hAnsi="仿宋_GB2312" w:eastAsia="仿宋_GB2312" w:cs="仿宋_GB2312"/>
                <w:sz w:val="24"/>
                <w:highlight w:val="yellow"/>
              </w:rPr>
            </w:pPr>
            <w:r>
              <w:rPr>
                <w:rFonts w:hint="eastAsia" w:ascii="仿宋_GB2312" w:hAnsi="仿宋_GB2312" w:eastAsia="仿宋_GB2312" w:cs="仿宋_GB2312"/>
                <w:sz w:val="24"/>
              </w:rPr>
              <w:t>2.15.1</w:t>
            </w:r>
          </w:p>
        </w:tc>
        <w:tc>
          <w:tcPr>
            <w:tcW w:w="8149" w:type="dxa"/>
            <w:noWrap w:val="0"/>
            <w:vAlign w:val="center"/>
          </w:tcPr>
          <w:p w14:paraId="486C37DC">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 w:hAnsi="仿宋" w:eastAsia="仿宋" w:cs="仿宋"/>
                <w:color w:val="auto"/>
                <w:sz w:val="24"/>
                <w:highlight w:val="none"/>
                <w:lang w:val="en-US" w:eastAsia="zh-CN"/>
              </w:rPr>
              <w:t>甲方；甲方要求</w:t>
            </w:r>
          </w:p>
        </w:tc>
      </w:tr>
      <w:tr w14:paraId="2D789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75FC103">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2.15.3</w:t>
            </w:r>
          </w:p>
        </w:tc>
        <w:tc>
          <w:tcPr>
            <w:tcW w:w="8149" w:type="dxa"/>
            <w:noWrap w:val="0"/>
            <w:vAlign w:val="center"/>
          </w:tcPr>
          <w:p w14:paraId="259BE898">
            <w:pPr>
              <w:pStyle w:val="27"/>
              <w:keepNext w:val="0"/>
              <w:keepLines w:val="0"/>
              <w:pageBreakBefore w:val="0"/>
              <w:kinsoku/>
              <w:wordWrap/>
              <w:overflowPunct/>
              <w:topLinePunct w:val="0"/>
              <w:bidi w:val="0"/>
              <w:adjustRightInd w:val="0"/>
              <w:snapToGrid w:val="0"/>
              <w:spacing w:line="360" w:lineRule="auto"/>
              <w:ind w:right="0" w:rightChars="0" w:firstLine="0" w:firstLineChars="0"/>
              <w:textAlignment w:val="auto"/>
              <w:rPr>
                <w:rFonts w:hint="eastAsia" w:ascii="Arial" w:hAnsi="Arial"/>
                <w:kern w:val="0"/>
                <w:sz w:val="18"/>
                <w:szCs w:val="20"/>
                <w:highlight w:val="none"/>
                <w:lang w:val="en-US" w:eastAsia="zh-CN" w:bidi="ar-SA"/>
              </w:rPr>
            </w:pPr>
            <w:r>
              <w:rPr>
                <w:rFonts w:hint="eastAsia" w:ascii="仿宋_GB2312" w:hAnsi="仿宋_GB2312" w:eastAsia="仿宋_GB2312" w:cs="仿宋_GB2312"/>
                <w:kern w:val="2"/>
                <w:sz w:val="24"/>
                <w:szCs w:val="24"/>
                <w:highlight w:val="none"/>
              </w:rPr>
              <w:t>根据</w:t>
            </w:r>
            <w:r>
              <w:rPr>
                <w:rFonts w:hint="eastAsia" w:ascii="仿宋_GB2312" w:hAnsi="仿宋_GB2312" w:eastAsia="仿宋_GB2312" w:cs="仿宋_GB2312"/>
                <w:kern w:val="2"/>
                <w:sz w:val="24"/>
                <w:szCs w:val="24"/>
                <w:highlight w:val="none"/>
                <w:lang w:eastAsia="zh-CN"/>
              </w:rPr>
              <w:t>甲方</w:t>
            </w:r>
            <w:r>
              <w:rPr>
                <w:rFonts w:hint="eastAsia" w:ascii="仿宋_GB2312" w:hAnsi="仿宋_GB2312" w:eastAsia="仿宋_GB2312" w:cs="仿宋_GB2312"/>
                <w:kern w:val="2"/>
                <w:sz w:val="24"/>
                <w:szCs w:val="24"/>
                <w:highlight w:val="none"/>
              </w:rPr>
              <w:t>认可的有关国家标准、行业标准、地方标准或者其他标准规范，结合招标文件及合同规定的验收评定标准等规范由</w:t>
            </w:r>
            <w:r>
              <w:rPr>
                <w:rFonts w:hint="eastAsia" w:ascii="仿宋_GB2312" w:hAnsi="仿宋_GB2312" w:eastAsia="仿宋_GB2312" w:cs="仿宋_GB2312"/>
                <w:kern w:val="2"/>
                <w:sz w:val="24"/>
                <w:szCs w:val="24"/>
                <w:highlight w:val="none"/>
                <w:lang w:eastAsia="zh-CN"/>
              </w:rPr>
              <w:t>甲方</w:t>
            </w:r>
            <w:r>
              <w:rPr>
                <w:rFonts w:hint="eastAsia" w:ascii="仿宋_GB2312" w:hAnsi="仿宋_GB2312" w:eastAsia="仿宋_GB2312" w:cs="仿宋_GB2312"/>
                <w:kern w:val="2"/>
                <w:sz w:val="24"/>
                <w:szCs w:val="24"/>
                <w:highlight w:val="none"/>
              </w:rPr>
              <w:t>组织验收。</w:t>
            </w:r>
          </w:p>
        </w:tc>
      </w:tr>
      <w:tr w14:paraId="47D13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noWrap w:val="0"/>
            <w:vAlign w:val="top"/>
          </w:tcPr>
          <w:p w14:paraId="695F9411">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2.19</w:t>
            </w:r>
          </w:p>
        </w:tc>
        <w:tc>
          <w:tcPr>
            <w:tcW w:w="8149" w:type="dxa"/>
            <w:noWrap w:val="0"/>
            <w:vAlign w:val="top"/>
          </w:tcPr>
          <w:p w14:paraId="0171F7E7">
            <w:pPr>
              <w:keepNext w:val="0"/>
              <w:keepLines w:val="0"/>
              <w:pageBreakBefore w:val="0"/>
              <w:kinsoku/>
              <w:wordWrap/>
              <w:overflowPunct/>
              <w:topLinePunct w:val="0"/>
              <w:bidi w:val="0"/>
              <w:adjustRightInd w:val="0"/>
              <w:snapToGrid w:val="0"/>
              <w:spacing w:line="360" w:lineRule="auto"/>
              <w:ind w:right="0" w:righ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本合同壹式陆份，甲方执叁份，乙方执叁份。</w:t>
            </w:r>
          </w:p>
        </w:tc>
      </w:tr>
    </w:tbl>
    <w:p w14:paraId="5591A303">
      <w:pPr>
        <w:pStyle w:val="26"/>
        <w:snapToGrid w:val="0"/>
        <w:spacing w:line="360" w:lineRule="auto"/>
        <w:rPr>
          <w:rFonts w:hint="eastAsia" w:ascii="仿宋" w:hAnsi="仿宋" w:eastAsia="仿宋" w:cs="仿宋"/>
          <w:color w:val="auto"/>
          <w:highlight w:val="none"/>
        </w:rPr>
      </w:pPr>
    </w:p>
    <w:p w14:paraId="49D58CEE">
      <w:pPr>
        <w:spacing w:line="360" w:lineRule="auto"/>
        <w:ind w:left="720" w:firstLine="723" w:firstLineChars="200"/>
        <w:outlineLvl w:val="0"/>
        <w:rPr>
          <w:rFonts w:hint="eastAsia" w:ascii="仿宋" w:hAnsi="仿宋" w:eastAsia="仿宋" w:cs="仿宋"/>
          <w:b/>
          <w:color w:val="auto"/>
          <w:sz w:val="36"/>
          <w:szCs w:val="20"/>
          <w:highlight w:val="none"/>
        </w:rPr>
      </w:pPr>
    </w:p>
    <w:p w14:paraId="27097F1F">
      <w:pPr>
        <w:spacing w:line="360" w:lineRule="auto"/>
        <w:ind w:left="720" w:firstLine="723" w:firstLineChars="200"/>
        <w:outlineLvl w:val="0"/>
        <w:rPr>
          <w:rFonts w:hint="eastAsia" w:ascii="仿宋" w:hAnsi="仿宋" w:eastAsia="仿宋" w:cs="仿宋"/>
          <w:b/>
          <w:color w:val="auto"/>
          <w:sz w:val="36"/>
          <w:szCs w:val="20"/>
          <w:highlight w:val="none"/>
        </w:rPr>
      </w:pPr>
    </w:p>
    <w:p w14:paraId="23E36D3B">
      <w:pPr>
        <w:pStyle w:val="6"/>
        <w:rPr>
          <w:rFonts w:hint="eastAsia" w:ascii="仿宋" w:hAnsi="仿宋" w:eastAsia="仿宋" w:cs="仿宋"/>
          <w:b/>
          <w:color w:val="auto"/>
          <w:sz w:val="36"/>
          <w:szCs w:val="20"/>
          <w:highlight w:val="none"/>
        </w:rPr>
      </w:pPr>
    </w:p>
    <w:p w14:paraId="5F556BB6">
      <w:pPr>
        <w:rPr>
          <w:rFonts w:hint="eastAsia" w:ascii="仿宋" w:hAnsi="仿宋" w:eastAsia="仿宋" w:cs="仿宋"/>
          <w:b/>
          <w:color w:val="auto"/>
          <w:sz w:val="36"/>
          <w:szCs w:val="20"/>
          <w:highlight w:val="none"/>
        </w:rPr>
      </w:pPr>
    </w:p>
    <w:p w14:paraId="34C8270D">
      <w:pPr>
        <w:pStyle w:val="6"/>
        <w:rPr>
          <w:rFonts w:hint="eastAsia" w:ascii="仿宋" w:hAnsi="仿宋" w:eastAsia="仿宋" w:cs="仿宋"/>
          <w:b/>
          <w:color w:val="auto"/>
          <w:sz w:val="36"/>
          <w:szCs w:val="20"/>
          <w:highlight w:val="none"/>
        </w:rPr>
      </w:pPr>
    </w:p>
    <w:p w14:paraId="39C43BAE">
      <w:pPr>
        <w:rPr>
          <w:rFonts w:hint="eastAsia" w:ascii="仿宋" w:hAnsi="仿宋" w:eastAsia="仿宋" w:cs="仿宋"/>
          <w:b/>
          <w:color w:val="auto"/>
          <w:sz w:val="36"/>
          <w:szCs w:val="20"/>
          <w:highlight w:val="none"/>
        </w:rPr>
      </w:pPr>
    </w:p>
    <w:p w14:paraId="26C1C2DA">
      <w:pPr>
        <w:pStyle w:val="6"/>
        <w:rPr>
          <w:rFonts w:hint="eastAsia" w:ascii="仿宋" w:hAnsi="仿宋" w:eastAsia="仿宋" w:cs="仿宋"/>
          <w:b/>
          <w:color w:val="auto"/>
          <w:sz w:val="36"/>
          <w:szCs w:val="20"/>
          <w:highlight w:val="none"/>
        </w:rPr>
      </w:pPr>
    </w:p>
    <w:p w14:paraId="5BB97A0D">
      <w:pPr>
        <w:rPr>
          <w:rFonts w:hint="eastAsia" w:ascii="仿宋" w:hAnsi="仿宋" w:eastAsia="仿宋" w:cs="仿宋"/>
          <w:b/>
          <w:color w:val="auto"/>
          <w:sz w:val="36"/>
          <w:szCs w:val="20"/>
          <w:highlight w:val="none"/>
        </w:rPr>
      </w:pPr>
    </w:p>
    <w:p w14:paraId="412D797A">
      <w:pPr>
        <w:pStyle w:val="81"/>
        <w:rPr>
          <w:rFonts w:hint="eastAsia" w:ascii="仿宋" w:hAnsi="仿宋" w:eastAsia="仿宋" w:cs="仿宋"/>
          <w:b/>
          <w:color w:val="auto"/>
          <w:sz w:val="36"/>
          <w:szCs w:val="20"/>
          <w:highlight w:val="none"/>
        </w:rPr>
      </w:pPr>
    </w:p>
    <w:p w14:paraId="0811A859">
      <w:pPr>
        <w:pStyle w:val="81"/>
        <w:rPr>
          <w:rFonts w:hint="eastAsia" w:ascii="仿宋" w:hAnsi="仿宋" w:eastAsia="仿宋" w:cs="仿宋"/>
          <w:b/>
          <w:color w:val="auto"/>
          <w:sz w:val="36"/>
          <w:szCs w:val="20"/>
          <w:highlight w:val="none"/>
        </w:rPr>
      </w:pPr>
    </w:p>
    <w:p w14:paraId="16222AD7">
      <w:pPr>
        <w:rPr>
          <w:rFonts w:hint="eastAsia"/>
        </w:rPr>
      </w:pPr>
    </w:p>
    <w:p w14:paraId="5540A35F">
      <w:pPr>
        <w:spacing w:line="360" w:lineRule="auto"/>
        <w:ind w:left="720" w:firstLine="723" w:firstLineChars="200"/>
        <w:outlineLvl w:val="0"/>
        <w:rPr>
          <w:rFonts w:hint="eastAsia" w:ascii="仿宋" w:hAnsi="仿宋" w:eastAsia="仿宋" w:cs="仿宋"/>
          <w:b/>
          <w:color w:val="auto"/>
          <w:sz w:val="36"/>
          <w:szCs w:val="20"/>
          <w:highlight w:val="none"/>
        </w:rPr>
      </w:pPr>
    </w:p>
    <w:p w14:paraId="107890C8">
      <w:pPr>
        <w:rPr>
          <w:rFonts w:hint="eastAsia" w:ascii="仿宋" w:hAnsi="仿宋" w:eastAsia="仿宋" w:cs="仿宋"/>
          <w:b/>
          <w:color w:val="auto"/>
          <w:sz w:val="36"/>
          <w:szCs w:val="20"/>
          <w:highlight w:val="none"/>
        </w:rPr>
      </w:pPr>
    </w:p>
    <w:p w14:paraId="2DB1C5F9">
      <w:pPr>
        <w:rPr>
          <w:rFonts w:hint="eastAsia" w:ascii="仿宋" w:hAnsi="仿宋" w:eastAsia="仿宋" w:cs="仿宋"/>
          <w:b/>
          <w:color w:val="auto"/>
          <w:sz w:val="36"/>
          <w:szCs w:val="20"/>
          <w:highlight w:val="none"/>
        </w:rPr>
      </w:pPr>
    </w:p>
    <w:p w14:paraId="74B7D2DF">
      <w:pPr>
        <w:pStyle w:val="3"/>
        <w:rPr>
          <w:rFonts w:hint="eastAsia" w:ascii="仿宋" w:hAnsi="仿宋" w:eastAsia="仿宋" w:cs="仿宋"/>
          <w:b/>
          <w:color w:val="auto"/>
          <w:sz w:val="36"/>
          <w:szCs w:val="20"/>
          <w:highlight w:val="none"/>
        </w:rPr>
      </w:pPr>
    </w:p>
    <w:p w14:paraId="26EEF1BA">
      <w:pPr>
        <w:rPr>
          <w:rFonts w:hint="eastAsia"/>
        </w:rPr>
      </w:pPr>
    </w:p>
    <w:p w14:paraId="5E9882F2">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1"/>
      <w:r>
        <w:rPr>
          <w:rFonts w:hint="eastAsia" w:ascii="仿宋" w:hAnsi="仿宋" w:eastAsia="仿宋" w:cs="仿宋"/>
          <w:b/>
          <w:color w:val="auto"/>
          <w:sz w:val="36"/>
          <w:szCs w:val="20"/>
          <w:highlight w:val="none"/>
        </w:rPr>
        <w:t xml:space="preserve"> </w:t>
      </w:r>
      <w:bookmarkEnd w:id="392"/>
      <w:r>
        <w:rPr>
          <w:rFonts w:hint="eastAsia" w:ascii="仿宋" w:hAnsi="仿宋" w:eastAsia="仿宋" w:cs="仿宋"/>
          <w:b/>
          <w:color w:val="auto"/>
          <w:sz w:val="36"/>
          <w:szCs w:val="20"/>
          <w:highlight w:val="none"/>
        </w:rPr>
        <w:t>应提交的有关格式范例</w:t>
      </w:r>
    </w:p>
    <w:p w14:paraId="00D5DD8A">
      <w:pPr>
        <w:spacing w:line="360" w:lineRule="auto"/>
        <w:jc w:val="center"/>
        <w:outlineLvl w:val="0"/>
        <w:rPr>
          <w:rFonts w:hint="eastAsia" w:ascii="仿宋" w:hAnsi="仿宋" w:eastAsia="仿宋" w:cs="仿宋"/>
          <w:b/>
          <w:color w:val="auto"/>
          <w:kern w:val="0"/>
          <w:sz w:val="36"/>
          <w:szCs w:val="36"/>
          <w:highlight w:val="none"/>
        </w:rPr>
      </w:pPr>
    </w:p>
    <w:p w14:paraId="0575A3E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9C4D03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8D51F7C">
      <w:pPr>
        <w:spacing w:line="360" w:lineRule="auto"/>
        <w:jc w:val="center"/>
        <w:outlineLvl w:val="0"/>
        <w:rPr>
          <w:rFonts w:hint="eastAsia" w:ascii="仿宋" w:hAnsi="仿宋" w:eastAsia="仿宋" w:cs="仿宋"/>
          <w:b/>
          <w:color w:val="auto"/>
          <w:kern w:val="0"/>
          <w:sz w:val="36"/>
          <w:szCs w:val="36"/>
          <w:highlight w:val="none"/>
        </w:rPr>
      </w:pPr>
    </w:p>
    <w:p w14:paraId="3BDA71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3C6A24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（2）联合协议（如果有）…………………………………………………（页码）</w:t>
      </w:r>
    </w:p>
    <w:p w14:paraId="6B03BB5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（3）落实政府采购政策需满足的资格要求（如果有）…………………（页码）</w:t>
      </w:r>
    </w:p>
    <w:p w14:paraId="7922CE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（4）本项目的特定资格要求（如果有）…………………………………（页码）</w:t>
      </w:r>
    </w:p>
    <w:p w14:paraId="1EBCCDEE">
      <w:pPr>
        <w:snapToGrid w:val="0"/>
        <w:spacing w:line="360" w:lineRule="auto"/>
        <w:ind w:firstLine="480" w:firstLineChars="200"/>
        <w:rPr>
          <w:rFonts w:hint="eastAsia" w:ascii="仿宋" w:hAnsi="仿宋" w:eastAsia="仿宋" w:cs="仿宋"/>
          <w:color w:val="auto"/>
          <w:sz w:val="24"/>
          <w:highlight w:val="none"/>
        </w:rPr>
      </w:pPr>
    </w:p>
    <w:p w14:paraId="15FC9163">
      <w:pPr>
        <w:spacing w:line="360" w:lineRule="auto"/>
        <w:ind w:firstLine="480" w:firstLineChars="200"/>
        <w:rPr>
          <w:rFonts w:hint="eastAsia" w:ascii="仿宋" w:hAnsi="仿宋" w:eastAsia="仿宋" w:cs="仿宋"/>
          <w:color w:val="auto"/>
          <w:sz w:val="24"/>
          <w:highlight w:val="none"/>
        </w:rPr>
      </w:pPr>
    </w:p>
    <w:p w14:paraId="107756A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38624E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9B8BA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137C378">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93E027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60E24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7B31B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C97ED2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CFD13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A0D8A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D925D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E3B603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DF56C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A002DA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599F46C">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BBABD3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6127E2E">
      <w:pPr>
        <w:pStyle w:val="24"/>
        <w:rPr>
          <w:rFonts w:hint="eastAsia"/>
          <w:highlight w:val="none"/>
        </w:rPr>
      </w:pPr>
    </w:p>
    <w:p w14:paraId="1DDDFF33">
      <w:pPr>
        <w:pStyle w:val="24"/>
        <w:rPr>
          <w:rFonts w:hint="eastAsia"/>
          <w:b/>
          <w:bCs/>
          <w:highlight w:val="none"/>
          <w:u w:val="single"/>
        </w:rPr>
      </w:pPr>
      <w:r>
        <w:rPr>
          <w:rFonts w:hint="eastAsia"/>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b/>
          <w:bCs/>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805AF37">
      <w:pPr>
        <w:rPr>
          <w:rFonts w:hint="eastAsia"/>
          <w:highlight w:val="none"/>
        </w:rPr>
      </w:pPr>
    </w:p>
    <w:p w14:paraId="64D49C6B">
      <w:pPr>
        <w:snapToGrid w:val="0"/>
        <w:spacing w:line="360" w:lineRule="auto"/>
        <w:ind w:right="480"/>
        <w:jc w:val="center"/>
        <w:rPr>
          <w:rFonts w:hint="eastAsia" w:ascii="仿宋" w:hAnsi="仿宋" w:eastAsia="仿宋" w:cs="仿宋"/>
          <w:b/>
          <w:color w:val="auto"/>
          <w:kern w:val="0"/>
          <w:sz w:val="32"/>
          <w:szCs w:val="32"/>
          <w:highlight w:val="none"/>
        </w:rPr>
      </w:pPr>
    </w:p>
    <w:p w14:paraId="5C0C630C">
      <w:pPr>
        <w:widowControl/>
        <w:spacing w:line="360" w:lineRule="auto"/>
        <w:ind w:firstLine="643" w:firstLineChars="200"/>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二、联合协议（如果有）</w:t>
      </w:r>
    </w:p>
    <w:p w14:paraId="096D80F8">
      <w:pPr>
        <w:widowControl/>
        <w:spacing w:line="360" w:lineRule="auto"/>
        <w:ind w:firstLine="482" w:firstLineChars="200"/>
        <w:jc w:val="left"/>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[以联合体形式投标的，提供联合协议（附件5）；本项目不接受联合体投标或者投标人不以联合体形式投标的，则不需要提供]</w:t>
      </w:r>
    </w:p>
    <w:p w14:paraId="06948350">
      <w:pPr>
        <w:pStyle w:val="3"/>
        <w:rPr>
          <w:rFonts w:hint="eastAsia" w:ascii="仿宋_GB2312" w:hAnsi="仿宋_GB2312" w:eastAsia="仿宋_GB2312" w:cs="仿宋_GB2312"/>
          <w:b/>
          <w:sz w:val="24"/>
          <w:highlight w:val="none"/>
        </w:rPr>
      </w:pPr>
    </w:p>
    <w:p w14:paraId="0943DC1A">
      <w:pPr>
        <w:rPr>
          <w:rFonts w:hint="eastAsia" w:ascii="仿宋_GB2312" w:hAnsi="仿宋_GB2312" w:eastAsia="仿宋_GB2312" w:cs="仿宋_GB2312"/>
          <w:b/>
          <w:sz w:val="24"/>
          <w:highlight w:val="none"/>
        </w:rPr>
      </w:pPr>
    </w:p>
    <w:p w14:paraId="41CCE2A5">
      <w:pPr>
        <w:pStyle w:val="3"/>
        <w:rPr>
          <w:highlight w:val="none"/>
        </w:rPr>
      </w:pPr>
    </w:p>
    <w:p w14:paraId="3D54362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、落实政府采购政策需满足的资格要求</w:t>
      </w:r>
    </w:p>
    <w:p w14:paraId="35E2D7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EF94DD7">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5C6E9D5C">
      <w:pPr>
        <w:widowControl/>
        <w:spacing w:line="360" w:lineRule="auto"/>
        <w:ind w:firstLine="480"/>
        <w:jc w:val="left"/>
        <w:rPr>
          <w:rFonts w:hint="eastAsia" w:ascii="仿宋" w:hAnsi="仿宋" w:eastAsia="仿宋" w:cs="仿宋"/>
          <w:color w:val="auto"/>
          <w:sz w:val="24"/>
          <w:highlight w:val="none"/>
        </w:rPr>
      </w:pPr>
    </w:p>
    <w:p w14:paraId="037EAB12">
      <w:pPr>
        <w:widowControl/>
        <w:spacing w:line="360" w:lineRule="auto"/>
        <w:ind w:firstLine="472" w:firstLineChars="196"/>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B.</w:t>
      </w:r>
      <w:r>
        <w:rPr>
          <w:rFonts w:hint="eastAsia" w:ascii="仿宋_GB2312" w:hAnsi="仿宋_GB2312" w:eastAsia="仿宋_GB2312" w:cs="仿宋_GB2312"/>
          <w:sz w:val="24"/>
          <w:highlight w:val="none"/>
        </w:rPr>
        <w:t>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1BF1AB13">
      <w:pPr>
        <w:spacing w:line="360" w:lineRule="auto"/>
        <w:ind w:firstLine="480" w:firstLineChars="200"/>
        <w:rPr>
          <w:rFonts w:ascii="仿宋_GB2312" w:hAnsi="仿宋_GB2312" w:eastAsia="仿宋_GB2312" w:cs="仿宋_GB2312"/>
          <w:sz w:val="24"/>
          <w:highlight w:val="none"/>
        </w:rPr>
      </w:pPr>
    </w:p>
    <w:p w14:paraId="1B4B845B">
      <w:pPr>
        <w:spacing w:line="360" w:lineRule="auto"/>
        <w:ind w:firstLine="482" w:firstLineChars="200"/>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C.</w:t>
      </w:r>
      <w:r>
        <w:rPr>
          <w:rFonts w:hint="eastAsia" w:ascii="仿宋_GB2312" w:hAnsi="仿宋_GB2312" w:eastAsia="仿宋_GB2312" w:cs="仿宋_GB2312"/>
          <w:sz w:val="24"/>
          <w:highlight w:val="none"/>
        </w:rPr>
        <w:t>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254B65CB">
      <w:pPr>
        <w:widowControl/>
        <w:spacing w:line="360" w:lineRule="auto"/>
        <w:ind w:left="150"/>
        <w:jc w:val="center"/>
        <w:rPr>
          <w:rFonts w:ascii="仿宋_GB2312" w:hAnsi="仿宋_GB2312" w:eastAsia="仿宋_GB2312" w:cs="仿宋_GB2312"/>
          <w:b/>
          <w:kern w:val="0"/>
          <w:sz w:val="32"/>
          <w:szCs w:val="32"/>
          <w:highlight w:val="none"/>
        </w:rPr>
      </w:pPr>
    </w:p>
    <w:p w14:paraId="18CB68F9">
      <w:pPr>
        <w:widowControl/>
        <w:spacing w:line="360" w:lineRule="auto"/>
        <w:ind w:left="150"/>
        <w:jc w:val="center"/>
        <w:rPr>
          <w:rFonts w:ascii="仿宋_GB2312" w:hAnsi="仿宋_GB2312" w:eastAsia="仿宋_GB2312" w:cs="仿宋_GB2312"/>
          <w:b/>
          <w:kern w:val="0"/>
          <w:sz w:val="32"/>
          <w:szCs w:val="32"/>
          <w:highlight w:val="none"/>
        </w:rPr>
      </w:pPr>
    </w:p>
    <w:p w14:paraId="4B06147A">
      <w:pPr>
        <w:widowControl/>
        <w:spacing w:line="360" w:lineRule="auto"/>
        <w:ind w:left="150"/>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四、本项目的特定资格要求（如果有）</w:t>
      </w:r>
    </w:p>
    <w:p w14:paraId="515BD295">
      <w:pPr>
        <w:spacing w:line="360" w:lineRule="auto"/>
        <w:jc w:val="center"/>
        <w:rPr>
          <w:rFonts w:ascii="仿宋_GB2312" w:hAnsi="仿宋_GB2312" w:eastAsia="仿宋_GB2312" w:cs="仿宋_GB2312"/>
          <w:b/>
          <w:kern w:val="0"/>
          <w:sz w:val="36"/>
          <w:szCs w:val="36"/>
          <w:highlight w:val="none"/>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sz w:val="24"/>
          <w:highlight w:val="none"/>
        </w:rPr>
        <w:t>（根据招标公告本项目的特定资格要求提供相应的材料；未要求的，无需提供）</w:t>
      </w:r>
    </w:p>
    <w:p w14:paraId="6750C852">
      <w:pPr>
        <w:snapToGrid w:val="0"/>
        <w:spacing w:before="50" w:after="50"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34E1495">
      <w:pPr>
        <w:spacing w:line="360" w:lineRule="auto"/>
        <w:jc w:val="center"/>
        <w:outlineLvl w:val="0"/>
        <w:rPr>
          <w:rFonts w:hint="eastAsia" w:ascii="仿宋" w:hAnsi="仿宋" w:eastAsia="仿宋" w:cs="仿宋"/>
          <w:b/>
          <w:color w:val="auto"/>
          <w:kern w:val="0"/>
          <w:sz w:val="24"/>
          <w:highlight w:val="none"/>
        </w:rPr>
      </w:pPr>
    </w:p>
    <w:p w14:paraId="4B9D5498">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DC66192">
      <w:pPr>
        <w:snapToGrid w:val="0"/>
        <w:spacing w:line="360" w:lineRule="auto"/>
        <w:ind w:left="547" w:leftChars="228"/>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（1）投标函………………………………………………………………………（页码）</w:t>
      </w:r>
    </w:p>
    <w:p w14:paraId="30DD9BD1">
      <w:pPr>
        <w:snapToGrid w:val="0"/>
        <w:spacing w:line="360" w:lineRule="auto"/>
        <w:ind w:left="547" w:leftChars="228"/>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（2）授权委托书或法定代表人（单位负责人、自然人本人）身份证明……（页码）</w:t>
      </w:r>
    </w:p>
    <w:p w14:paraId="2FEDEE0C">
      <w:pPr>
        <w:snapToGrid w:val="0"/>
        <w:spacing w:line="360" w:lineRule="auto"/>
        <w:ind w:left="547" w:leftChars="228"/>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（3）分包意向协议（如果有）…………………………………………………（页码）</w:t>
      </w:r>
    </w:p>
    <w:p w14:paraId="1C6A1293">
      <w:pPr>
        <w:snapToGrid w:val="0"/>
        <w:spacing w:line="360" w:lineRule="auto"/>
        <w:ind w:left="547" w:leftChars="228"/>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（4）符合性审查资料……………………………………………………………（页码）</w:t>
      </w:r>
    </w:p>
    <w:p w14:paraId="2923ECE7">
      <w:pPr>
        <w:snapToGrid w:val="0"/>
        <w:spacing w:line="360" w:lineRule="auto"/>
        <w:ind w:left="547" w:leftChars="228"/>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（5）评标标准相应的商务技术资料……………………………………………（页码）</w:t>
      </w:r>
    </w:p>
    <w:p w14:paraId="411A95DF">
      <w:pPr>
        <w:snapToGrid w:val="0"/>
        <w:spacing w:line="360" w:lineRule="auto"/>
        <w:ind w:left="547" w:leftChars="228"/>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（6）投标标的清单………………………………………………………………（页码）</w:t>
      </w:r>
    </w:p>
    <w:p w14:paraId="05DDADB7">
      <w:pPr>
        <w:snapToGrid w:val="0"/>
        <w:spacing w:line="360" w:lineRule="auto"/>
        <w:ind w:left="547" w:leftChars="228"/>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（7）商务技术偏离表……………………………………………………………（页码）</w:t>
      </w:r>
    </w:p>
    <w:p w14:paraId="1B662CF6">
      <w:pPr>
        <w:snapToGrid w:val="0"/>
        <w:spacing w:line="360" w:lineRule="auto"/>
        <w:ind w:left="547" w:leftChars="228"/>
        <w:rPr>
          <w:rFonts w:ascii="仿宋_GB2312" w:hAnsi="仿宋_GB2312" w:eastAsia="仿宋_GB2312" w:cs="仿宋_GB2312"/>
          <w:b/>
          <w:kern w:val="0"/>
          <w:sz w:val="32"/>
          <w:szCs w:val="32"/>
          <w:highlight w:val="none"/>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8</w:t>
      </w:r>
      <w:r>
        <w:rPr>
          <w:rFonts w:hint="eastAsia" w:ascii="仿宋_GB2312" w:hAnsi="仿宋_GB2312" w:eastAsia="仿宋_GB2312" w:cs="仿宋_GB2312"/>
          <w:sz w:val="24"/>
          <w:highlight w:val="none"/>
          <w:lang w:val="zh-CN"/>
        </w:rPr>
        <w:t>）政府采购供应商廉洁自律承诺书</w:t>
      </w:r>
      <w:r>
        <w:rPr>
          <w:rFonts w:hint="eastAsia" w:ascii="仿宋_GB2312" w:hAnsi="仿宋_GB2312" w:eastAsia="仿宋_GB2312" w:cs="仿宋_GB2312"/>
          <w:sz w:val="24"/>
          <w:highlight w:val="none"/>
        </w:rPr>
        <w:t>…………………………………………（页码）</w:t>
      </w:r>
    </w:p>
    <w:p w14:paraId="69F965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仿宋" w:hAnsi="仿宋" w:eastAsia="仿宋" w:cs="仿宋"/>
          <w:b/>
          <w:color w:val="auto"/>
          <w:kern w:val="0"/>
          <w:sz w:val="32"/>
          <w:szCs w:val="32"/>
          <w:highlight w:val="none"/>
        </w:rPr>
      </w:pPr>
    </w:p>
    <w:p w14:paraId="503FDF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F8D84B1">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79388C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683A1F2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878BFA6">
      <w:pPr>
        <w:snapToGrid w:val="0"/>
        <w:spacing w:line="360" w:lineRule="auto"/>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2、我方的投标文件包括以下内容：</w:t>
      </w:r>
    </w:p>
    <w:p w14:paraId="7B43F15B">
      <w:pPr>
        <w:snapToGrid w:val="0"/>
        <w:spacing w:line="360" w:lineRule="auto"/>
        <w:ind w:firstLine="720" w:firstLineChars="3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2.1资格文件：</w:t>
      </w:r>
    </w:p>
    <w:p w14:paraId="7E72CFAC">
      <w:pPr>
        <w:snapToGrid w:val="0"/>
        <w:spacing w:line="360" w:lineRule="auto"/>
        <w:ind w:left="48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2.1.1承诺函；</w:t>
      </w:r>
    </w:p>
    <w:p w14:paraId="2CACAE65">
      <w:pPr>
        <w:snapToGrid w:val="0"/>
        <w:spacing w:line="360" w:lineRule="auto"/>
        <w:ind w:left="480" w:leftChars="200" w:firstLine="480" w:firstLineChars="200"/>
        <w:rPr>
          <w:rFonts w:ascii="仿宋_GB2312" w:hAnsi="仿宋_GB2312" w:eastAsia="仿宋_GB2312" w:cs="仿宋_GB2312"/>
          <w:highlight w:val="none"/>
        </w:rPr>
      </w:pPr>
      <w:r>
        <w:rPr>
          <w:rFonts w:hint="eastAsia" w:ascii="仿宋_GB2312" w:hAnsi="仿宋_GB2312" w:eastAsia="仿宋_GB2312" w:cs="仿宋_GB2312"/>
          <w:sz w:val="24"/>
          <w:highlight w:val="none"/>
        </w:rPr>
        <w:t>2.1.2联合协议（如果有）；</w:t>
      </w:r>
    </w:p>
    <w:p w14:paraId="3DAC2D3B">
      <w:pPr>
        <w:snapToGrid w:val="0"/>
        <w:spacing w:line="360" w:lineRule="auto"/>
        <w:ind w:left="48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2.1.3落实政府采购政策需满足的资格要求（如果有）；</w:t>
      </w:r>
    </w:p>
    <w:p w14:paraId="54666CB5">
      <w:pPr>
        <w:snapToGrid w:val="0"/>
        <w:spacing w:line="360" w:lineRule="auto"/>
        <w:ind w:left="48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2.1.4本项目的特定资格要求（如果有）。</w:t>
      </w:r>
    </w:p>
    <w:p w14:paraId="6406F5B9">
      <w:pPr>
        <w:snapToGrid w:val="0"/>
        <w:spacing w:line="360" w:lineRule="auto"/>
        <w:ind w:firstLine="720" w:firstLineChars="300"/>
        <w:rPr>
          <w:rFonts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 xml:space="preserve"> </w:t>
      </w:r>
      <w:r>
        <w:rPr>
          <w:rFonts w:hint="eastAsia" w:ascii="仿宋_GB2312" w:hAnsi="仿宋_GB2312" w:eastAsia="仿宋_GB2312" w:cs="仿宋_GB2312"/>
          <w:sz w:val="24"/>
          <w:highlight w:val="none"/>
        </w:rPr>
        <w:t>商务技术</w:t>
      </w:r>
      <w:r>
        <w:rPr>
          <w:rFonts w:hint="eastAsia" w:ascii="仿宋_GB2312" w:hAnsi="仿宋_GB2312" w:eastAsia="仿宋_GB2312" w:cs="仿宋_GB2312"/>
          <w:sz w:val="24"/>
          <w:highlight w:val="none"/>
          <w:lang w:val="zh-CN"/>
        </w:rPr>
        <w:t>文件：</w:t>
      </w:r>
    </w:p>
    <w:p w14:paraId="31589197">
      <w:pPr>
        <w:snapToGrid w:val="0"/>
        <w:spacing w:line="360" w:lineRule="auto"/>
        <w:ind w:left="48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2.2.1投标函；</w:t>
      </w:r>
      <w:r>
        <w:rPr>
          <w:rFonts w:hint="eastAsia" w:ascii="仿宋_GB2312" w:hAnsi="仿宋_GB2312" w:eastAsia="仿宋_GB2312" w:cs="仿宋_GB2312"/>
          <w:sz w:val="24"/>
          <w:highlight w:val="none"/>
          <w:lang w:val="zh-CN"/>
        </w:rPr>
        <w:t xml:space="preserve"> </w:t>
      </w:r>
    </w:p>
    <w:p w14:paraId="39528422">
      <w:pPr>
        <w:snapToGrid w:val="0"/>
        <w:spacing w:line="360" w:lineRule="auto"/>
        <w:ind w:left="48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2.2.2授权委托书或法定代表人（单位负责人）身份证明；</w:t>
      </w:r>
    </w:p>
    <w:p w14:paraId="1DB58826">
      <w:pPr>
        <w:snapToGrid w:val="0"/>
        <w:spacing w:line="360" w:lineRule="auto"/>
        <w:ind w:left="48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2.2.3分包意向协议（如果有）；</w:t>
      </w:r>
    </w:p>
    <w:p w14:paraId="40A3D436">
      <w:pPr>
        <w:snapToGrid w:val="0"/>
        <w:spacing w:line="360" w:lineRule="auto"/>
        <w:ind w:left="48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2.2.4符合性审查资料；</w:t>
      </w:r>
    </w:p>
    <w:p w14:paraId="16BBAB1B">
      <w:pPr>
        <w:snapToGrid w:val="0"/>
        <w:spacing w:line="360" w:lineRule="auto"/>
        <w:ind w:left="48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2.2.5评标标准相应的商务技术资料；</w:t>
      </w:r>
    </w:p>
    <w:p w14:paraId="002CED09">
      <w:pPr>
        <w:snapToGrid w:val="0"/>
        <w:spacing w:line="360" w:lineRule="auto"/>
        <w:ind w:left="48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2.2.6投标标的清单；</w:t>
      </w:r>
    </w:p>
    <w:p w14:paraId="0C2459F8">
      <w:pPr>
        <w:snapToGrid w:val="0"/>
        <w:spacing w:line="360" w:lineRule="auto"/>
        <w:ind w:left="48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2.2.7商务技术偏离表；</w:t>
      </w:r>
    </w:p>
    <w:p w14:paraId="6E9A2320">
      <w:pPr>
        <w:snapToGrid w:val="0"/>
        <w:spacing w:line="360" w:lineRule="auto"/>
        <w:ind w:left="480" w:leftChars="200" w:firstLine="480" w:firstLineChars="200"/>
        <w:rPr>
          <w:rFonts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8</w:t>
      </w:r>
      <w:r>
        <w:rPr>
          <w:rFonts w:hint="eastAsia" w:ascii="仿宋_GB2312" w:hAnsi="仿宋_GB2312" w:eastAsia="仿宋_GB2312" w:cs="仿宋_GB2312"/>
          <w:sz w:val="24"/>
          <w:highlight w:val="none"/>
          <w:lang w:val="zh-CN"/>
        </w:rPr>
        <w:t>政府采购供应商廉洁自律承诺书；</w:t>
      </w:r>
    </w:p>
    <w:p w14:paraId="25E10A39">
      <w:pPr>
        <w:snapToGrid w:val="0"/>
        <w:spacing w:line="360" w:lineRule="auto"/>
        <w:ind w:firstLine="720" w:firstLineChars="3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3报价文件</w:t>
      </w:r>
    </w:p>
    <w:p w14:paraId="6DF2F205">
      <w:pPr>
        <w:snapToGrid w:val="0"/>
        <w:spacing w:line="360" w:lineRule="auto"/>
        <w:ind w:left="48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2.3.1开标一览表（报价表）；</w:t>
      </w:r>
    </w:p>
    <w:p w14:paraId="22F1D781">
      <w:pPr>
        <w:snapToGrid w:val="0"/>
        <w:spacing w:line="360" w:lineRule="auto"/>
        <w:ind w:left="48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2.3.2中小企业声明函（如果有）。</w:t>
      </w:r>
    </w:p>
    <w:p w14:paraId="15C30D38">
      <w:pPr>
        <w:snapToGrid w:val="0"/>
        <w:spacing w:line="360" w:lineRule="auto"/>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3、我方承诺除商务技术偏离表列出的偏离外，我方响应招标文件的全部要求。</w:t>
      </w:r>
    </w:p>
    <w:p w14:paraId="45EF92D6">
      <w:pPr>
        <w:snapToGrid w:val="0"/>
        <w:spacing w:line="360" w:lineRule="auto"/>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4、如我方中标，我方承诺：</w:t>
      </w:r>
    </w:p>
    <w:p w14:paraId="00D389A1">
      <w:pPr>
        <w:snapToGrid w:val="0"/>
        <w:spacing w:line="360" w:lineRule="auto"/>
        <w:ind w:left="240" w:leftChars="1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4.1在收到中标通知书后，在中标通知书规定的期限内与你方签订合同； </w:t>
      </w:r>
    </w:p>
    <w:p w14:paraId="4D23E236">
      <w:pPr>
        <w:snapToGrid w:val="0"/>
        <w:spacing w:line="360" w:lineRule="auto"/>
        <w:ind w:left="240" w:leftChars="1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4.2在签订合同时不向你方提出附加条件； </w:t>
      </w:r>
    </w:p>
    <w:p w14:paraId="638FD12D">
      <w:pPr>
        <w:snapToGrid w:val="0"/>
        <w:spacing w:line="360" w:lineRule="auto"/>
        <w:ind w:left="240" w:leftChars="1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4.3按照招标文件要求提交履约保证金； </w:t>
      </w:r>
    </w:p>
    <w:p w14:paraId="2FCEA1E3">
      <w:pPr>
        <w:snapToGrid w:val="0"/>
        <w:spacing w:line="360" w:lineRule="auto"/>
        <w:ind w:left="240" w:leftChars="1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4.4在合同约定的期限内完成合同规定的全部义务。 </w:t>
      </w:r>
    </w:p>
    <w:p w14:paraId="5D805012">
      <w:pPr>
        <w:snapToGrid w:val="0"/>
        <w:spacing w:line="360" w:lineRule="auto"/>
        <w:ind w:left="240" w:leftChars="1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5、其他补充说明:</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w:t>
      </w:r>
    </w:p>
    <w:p w14:paraId="2F6A3378">
      <w:pPr>
        <w:spacing w:line="360" w:lineRule="auto"/>
        <w:ind w:firstLine="3600" w:firstLineChars="15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投标人名称（电子签名）：                          </w:t>
      </w:r>
    </w:p>
    <w:p w14:paraId="43037FD0">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日期：  年   月   日</w:t>
      </w:r>
    </w:p>
    <w:p w14:paraId="64A5DE81">
      <w:pPr>
        <w:spacing w:line="360" w:lineRule="auto"/>
        <w:ind w:right="420"/>
        <w:rPr>
          <w:rFonts w:ascii="仿宋_GB2312" w:hAnsi="仿宋_GB2312" w:eastAsia="仿宋_GB2312" w:cs="仿宋_GB2312"/>
          <w:sz w:val="24"/>
          <w:highlight w:val="none"/>
        </w:rPr>
      </w:pPr>
    </w:p>
    <w:p w14:paraId="4C9F089F">
      <w:pPr>
        <w:spacing w:line="360" w:lineRule="auto"/>
        <w:ind w:right="42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注：按本格式和要求提供。</w:t>
      </w:r>
    </w:p>
    <w:p w14:paraId="34B835C5">
      <w:pPr>
        <w:snapToGrid w:val="0"/>
        <w:spacing w:line="360" w:lineRule="auto"/>
        <w:ind w:left="480" w:leftChars="200" w:firstLine="4200" w:firstLineChars="1750"/>
        <w:rPr>
          <w:rFonts w:hint="eastAsia" w:ascii="仿宋" w:hAnsi="仿宋" w:eastAsia="仿宋" w:cs="仿宋"/>
          <w:color w:val="auto"/>
          <w:kern w:val="0"/>
          <w:sz w:val="24"/>
          <w:highlight w:val="none"/>
          <w:u w:val="single"/>
          <w:lang w:val="zh-CN"/>
        </w:rPr>
      </w:pPr>
    </w:p>
    <w:p w14:paraId="48C23239">
      <w:pPr>
        <w:snapToGrid w:val="0"/>
        <w:spacing w:line="360" w:lineRule="auto"/>
        <w:jc w:val="center"/>
        <w:rPr>
          <w:rFonts w:hint="eastAsia" w:ascii="仿宋" w:hAnsi="仿宋" w:eastAsia="仿宋" w:cs="仿宋"/>
          <w:b/>
          <w:color w:val="auto"/>
          <w:kern w:val="0"/>
          <w:sz w:val="32"/>
          <w:szCs w:val="32"/>
          <w:highlight w:val="none"/>
          <w:lang w:val="zh-CN"/>
        </w:rPr>
      </w:pPr>
    </w:p>
    <w:p w14:paraId="47BE4F84">
      <w:pPr>
        <w:pStyle w:val="3"/>
        <w:rPr>
          <w:rFonts w:hint="eastAsia" w:ascii="仿宋" w:hAnsi="仿宋" w:eastAsia="仿宋" w:cs="仿宋"/>
          <w:b/>
          <w:color w:val="auto"/>
          <w:kern w:val="0"/>
          <w:sz w:val="32"/>
          <w:szCs w:val="32"/>
          <w:highlight w:val="none"/>
          <w:lang w:val="zh-CN"/>
        </w:rPr>
      </w:pPr>
    </w:p>
    <w:p w14:paraId="3BC38537">
      <w:pPr>
        <w:rPr>
          <w:rFonts w:hint="eastAsia" w:ascii="仿宋" w:hAnsi="仿宋" w:eastAsia="仿宋" w:cs="仿宋"/>
          <w:b/>
          <w:color w:val="auto"/>
          <w:kern w:val="0"/>
          <w:sz w:val="32"/>
          <w:szCs w:val="32"/>
          <w:highlight w:val="none"/>
          <w:lang w:val="zh-CN"/>
        </w:rPr>
      </w:pPr>
    </w:p>
    <w:p w14:paraId="1F7B4628">
      <w:pPr>
        <w:pStyle w:val="3"/>
        <w:rPr>
          <w:rFonts w:hint="eastAsia" w:ascii="仿宋" w:hAnsi="仿宋" w:eastAsia="仿宋" w:cs="仿宋"/>
          <w:b/>
          <w:color w:val="auto"/>
          <w:kern w:val="0"/>
          <w:sz w:val="32"/>
          <w:szCs w:val="32"/>
          <w:highlight w:val="none"/>
          <w:lang w:val="zh-CN"/>
        </w:rPr>
      </w:pPr>
    </w:p>
    <w:p w14:paraId="1175A6E1">
      <w:pPr>
        <w:rPr>
          <w:rFonts w:hint="eastAsia" w:ascii="仿宋" w:hAnsi="仿宋" w:eastAsia="仿宋" w:cs="仿宋"/>
          <w:b/>
          <w:color w:val="auto"/>
          <w:kern w:val="0"/>
          <w:sz w:val="32"/>
          <w:szCs w:val="32"/>
          <w:highlight w:val="none"/>
          <w:lang w:val="zh-CN"/>
        </w:rPr>
      </w:pPr>
    </w:p>
    <w:p w14:paraId="5511C707">
      <w:pPr>
        <w:pStyle w:val="3"/>
        <w:rPr>
          <w:rFonts w:hint="eastAsia" w:ascii="仿宋" w:hAnsi="仿宋" w:eastAsia="仿宋" w:cs="仿宋"/>
          <w:b/>
          <w:color w:val="auto"/>
          <w:kern w:val="0"/>
          <w:sz w:val="32"/>
          <w:szCs w:val="32"/>
          <w:highlight w:val="none"/>
          <w:lang w:val="zh-CN"/>
        </w:rPr>
      </w:pPr>
    </w:p>
    <w:p w14:paraId="676AA1EE">
      <w:pPr>
        <w:rPr>
          <w:rFonts w:hint="eastAsia" w:ascii="仿宋" w:hAnsi="仿宋" w:eastAsia="仿宋" w:cs="仿宋"/>
          <w:b/>
          <w:color w:val="auto"/>
          <w:kern w:val="0"/>
          <w:sz w:val="32"/>
          <w:szCs w:val="32"/>
          <w:highlight w:val="none"/>
          <w:lang w:val="zh-CN"/>
        </w:rPr>
      </w:pPr>
    </w:p>
    <w:p w14:paraId="20800B6C">
      <w:pPr>
        <w:pStyle w:val="3"/>
        <w:rPr>
          <w:rFonts w:hint="eastAsia" w:ascii="仿宋" w:hAnsi="仿宋" w:eastAsia="仿宋" w:cs="仿宋"/>
          <w:b/>
          <w:color w:val="auto"/>
          <w:kern w:val="0"/>
          <w:sz w:val="32"/>
          <w:szCs w:val="32"/>
          <w:highlight w:val="none"/>
          <w:lang w:val="zh-CN"/>
        </w:rPr>
      </w:pPr>
    </w:p>
    <w:p w14:paraId="049CFE9D">
      <w:pPr>
        <w:rPr>
          <w:rFonts w:hint="eastAsia" w:ascii="仿宋" w:hAnsi="仿宋" w:eastAsia="仿宋" w:cs="仿宋"/>
          <w:b/>
          <w:color w:val="auto"/>
          <w:kern w:val="0"/>
          <w:sz w:val="32"/>
          <w:szCs w:val="32"/>
          <w:highlight w:val="none"/>
          <w:lang w:val="zh-CN"/>
        </w:rPr>
      </w:pPr>
    </w:p>
    <w:p w14:paraId="7B8E711C">
      <w:pPr>
        <w:pStyle w:val="3"/>
        <w:rPr>
          <w:rFonts w:hint="eastAsia" w:ascii="仿宋" w:hAnsi="仿宋" w:eastAsia="仿宋" w:cs="仿宋"/>
          <w:b/>
          <w:color w:val="auto"/>
          <w:kern w:val="0"/>
          <w:sz w:val="32"/>
          <w:szCs w:val="32"/>
          <w:highlight w:val="none"/>
          <w:lang w:val="zh-CN"/>
        </w:rPr>
      </w:pPr>
    </w:p>
    <w:p w14:paraId="64D71B40">
      <w:pPr>
        <w:rPr>
          <w:rFonts w:hint="eastAsia" w:ascii="仿宋" w:hAnsi="仿宋" w:eastAsia="仿宋" w:cs="仿宋"/>
          <w:b/>
          <w:color w:val="auto"/>
          <w:kern w:val="0"/>
          <w:sz w:val="32"/>
          <w:szCs w:val="32"/>
          <w:highlight w:val="none"/>
          <w:lang w:val="zh-CN"/>
        </w:rPr>
      </w:pPr>
    </w:p>
    <w:p w14:paraId="15806FC0">
      <w:pPr>
        <w:pStyle w:val="3"/>
        <w:rPr>
          <w:rFonts w:hint="eastAsia" w:ascii="仿宋" w:hAnsi="仿宋" w:eastAsia="仿宋" w:cs="仿宋"/>
          <w:b/>
          <w:color w:val="auto"/>
          <w:kern w:val="0"/>
          <w:sz w:val="32"/>
          <w:szCs w:val="32"/>
          <w:highlight w:val="none"/>
          <w:lang w:val="zh-CN"/>
        </w:rPr>
      </w:pPr>
    </w:p>
    <w:p w14:paraId="5EB9A99A">
      <w:pPr>
        <w:rPr>
          <w:rFonts w:hint="eastAsia" w:ascii="仿宋" w:hAnsi="仿宋" w:eastAsia="仿宋" w:cs="仿宋"/>
          <w:b/>
          <w:color w:val="auto"/>
          <w:kern w:val="0"/>
          <w:sz w:val="32"/>
          <w:szCs w:val="32"/>
          <w:highlight w:val="none"/>
          <w:lang w:val="zh-CN"/>
        </w:rPr>
      </w:pPr>
    </w:p>
    <w:p w14:paraId="13819210">
      <w:pPr>
        <w:pStyle w:val="3"/>
        <w:rPr>
          <w:rFonts w:hint="eastAsia" w:ascii="仿宋" w:hAnsi="仿宋" w:eastAsia="仿宋" w:cs="仿宋"/>
          <w:b/>
          <w:color w:val="auto"/>
          <w:kern w:val="0"/>
          <w:sz w:val="32"/>
          <w:szCs w:val="32"/>
          <w:highlight w:val="none"/>
          <w:lang w:val="zh-CN"/>
        </w:rPr>
      </w:pPr>
    </w:p>
    <w:p w14:paraId="0AD4BC02">
      <w:pPr>
        <w:rPr>
          <w:rFonts w:hint="eastAsia" w:ascii="仿宋" w:hAnsi="仿宋" w:eastAsia="仿宋" w:cs="仿宋"/>
          <w:b/>
          <w:color w:val="auto"/>
          <w:kern w:val="0"/>
          <w:sz w:val="32"/>
          <w:szCs w:val="32"/>
          <w:highlight w:val="none"/>
          <w:lang w:val="zh-CN"/>
        </w:rPr>
      </w:pPr>
    </w:p>
    <w:p w14:paraId="5A68CF03">
      <w:pPr>
        <w:pStyle w:val="3"/>
        <w:rPr>
          <w:rFonts w:hint="eastAsia" w:ascii="仿宋" w:hAnsi="仿宋" w:eastAsia="仿宋" w:cs="仿宋"/>
          <w:b/>
          <w:color w:val="auto"/>
          <w:kern w:val="0"/>
          <w:sz w:val="32"/>
          <w:szCs w:val="32"/>
          <w:highlight w:val="none"/>
          <w:lang w:val="zh-CN"/>
        </w:rPr>
      </w:pPr>
    </w:p>
    <w:p w14:paraId="0AE9551F">
      <w:pPr>
        <w:pStyle w:val="3"/>
        <w:ind w:left="0" w:leftChars="0" w:firstLine="0" w:firstLineChars="0"/>
        <w:rPr>
          <w:rFonts w:hint="eastAsia" w:ascii="仿宋" w:hAnsi="仿宋" w:eastAsia="仿宋" w:cs="仿宋"/>
          <w:b/>
          <w:color w:val="auto"/>
          <w:kern w:val="0"/>
          <w:sz w:val="32"/>
          <w:szCs w:val="32"/>
          <w:highlight w:val="none"/>
          <w:lang w:val="zh-CN"/>
        </w:rPr>
      </w:pPr>
    </w:p>
    <w:p w14:paraId="334ECC18">
      <w:pPr>
        <w:rPr>
          <w:rFonts w:hint="eastAsia" w:ascii="仿宋" w:hAnsi="仿宋" w:eastAsia="仿宋" w:cs="仿宋"/>
          <w:b/>
          <w:color w:val="auto"/>
          <w:kern w:val="0"/>
          <w:sz w:val="32"/>
          <w:szCs w:val="32"/>
          <w:highlight w:val="none"/>
          <w:lang w:val="zh-CN"/>
        </w:rPr>
      </w:pPr>
    </w:p>
    <w:p w14:paraId="5CBF36C6">
      <w:pPr>
        <w:pStyle w:val="3"/>
        <w:rPr>
          <w:rFonts w:hint="eastAsia" w:ascii="仿宋" w:hAnsi="仿宋" w:eastAsia="仿宋" w:cs="仿宋"/>
          <w:b/>
          <w:color w:val="auto"/>
          <w:kern w:val="0"/>
          <w:sz w:val="32"/>
          <w:szCs w:val="32"/>
          <w:highlight w:val="none"/>
          <w:lang w:val="zh-CN"/>
        </w:rPr>
      </w:pPr>
    </w:p>
    <w:p w14:paraId="1F96086F">
      <w:pPr>
        <w:rPr>
          <w:rFonts w:hint="eastAsia" w:ascii="仿宋" w:hAnsi="仿宋" w:eastAsia="仿宋" w:cs="仿宋"/>
          <w:b/>
          <w:color w:val="auto"/>
          <w:kern w:val="0"/>
          <w:sz w:val="32"/>
          <w:szCs w:val="32"/>
          <w:highlight w:val="none"/>
          <w:lang w:val="zh-CN"/>
        </w:rPr>
      </w:pPr>
    </w:p>
    <w:p w14:paraId="32A5ACA4">
      <w:pPr>
        <w:pStyle w:val="3"/>
        <w:rPr>
          <w:rFonts w:hint="eastAsia" w:ascii="仿宋" w:hAnsi="仿宋" w:eastAsia="仿宋" w:cs="仿宋"/>
          <w:b/>
          <w:color w:val="auto"/>
          <w:kern w:val="0"/>
          <w:sz w:val="32"/>
          <w:szCs w:val="32"/>
          <w:highlight w:val="none"/>
          <w:lang w:val="zh-CN"/>
        </w:rPr>
      </w:pPr>
    </w:p>
    <w:p w14:paraId="7AA8F9A0">
      <w:pPr>
        <w:rPr>
          <w:rFonts w:hint="eastAsia"/>
          <w:highlight w:val="none"/>
          <w:lang w:val="zh-CN"/>
        </w:rPr>
      </w:pPr>
    </w:p>
    <w:p w14:paraId="4AAD6537">
      <w:pPr>
        <w:jc w:val="center"/>
        <w:rPr>
          <w:rFonts w:ascii="仿宋_GB2312" w:hAnsi="仿宋_GB2312" w:eastAsia="仿宋_GB2312" w:cs="仿宋_GB2312"/>
          <w:sz w:val="24"/>
          <w:highlight w:val="none"/>
        </w:rPr>
      </w:pPr>
      <w:r>
        <w:rPr>
          <w:rFonts w:hint="eastAsia" w:ascii="仿宋_GB2312" w:hAnsi="仿宋_GB2312" w:eastAsia="仿宋_GB2312" w:cs="仿宋_GB2312"/>
          <w:b/>
          <w:kern w:val="0"/>
          <w:sz w:val="32"/>
          <w:szCs w:val="32"/>
          <w:highlight w:val="none"/>
          <w:lang w:val="zh-CN"/>
        </w:rPr>
        <w:t>二、授权委托书或法定代表人（单位负责人、自然人本人）身份证明</w:t>
      </w:r>
      <w:r>
        <w:rPr>
          <w:rFonts w:hint="eastAsia" w:ascii="仿宋_GB2312" w:hAnsi="仿宋_GB2312" w:eastAsia="仿宋_GB2312" w:cs="仿宋_GB2312"/>
          <w:sz w:val="24"/>
          <w:highlight w:val="none"/>
        </w:rPr>
        <w:t xml:space="preserve">     </w:t>
      </w:r>
    </w:p>
    <w:p w14:paraId="091B4C8B">
      <w:pPr>
        <w:snapToGrid w:val="0"/>
        <w:spacing w:line="360" w:lineRule="auto"/>
        <w:ind w:firstLine="2872" w:firstLineChars="894"/>
        <w:rPr>
          <w:rFonts w:ascii="仿宋_GB2312" w:hAnsi="仿宋_GB2312" w:eastAsia="仿宋_GB2312" w:cs="仿宋_GB2312"/>
          <w:highlight w:val="none"/>
        </w:rPr>
      </w:pPr>
      <w:r>
        <w:rPr>
          <w:rFonts w:hint="eastAsia" w:ascii="仿宋_GB2312" w:hAnsi="仿宋_GB2312" w:eastAsia="仿宋_GB2312" w:cs="仿宋_GB2312"/>
          <w:b/>
          <w:kern w:val="0"/>
          <w:sz w:val="32"/>
          <w:szCs w:val="32"/>
          <w:highlight w:val="none"/>
          <w:lang w:val="zh-CN"/>
        </w:rPr>
        <w:t>授权委托书（适用于非联合体投标）</w:t>
      </w:r>
      <w:r>
        <w:rPr>
          <w:rFonts w:hint="eastAsia" w:ascii="仿宋_GB2312" w:hAnsi="仿宋_GB2312" w:eastAsia="仿宋_GB2312" w:cs="仿宋_GB2312"/>
          <w:highlight w:val="none"/>
        </w:rPr>
        <w:t xml:space="preserve">                               </w:t>
      </w:r>
    </w:p>
    <w:p w14:paraId="7C140BB2">
      <w:pPr>
        <w:snapToGrid w:val="0"/>
        <w:spacing w:line="360" w:lineRule="auto"/>
        <w:rPr>
          <w:rFonts w:ascii="仿宋_GB2312" w:hAnsi="仿宋_GB2312" w:eastAsia="仿宋_GB2312" w:cs="仿宋_GB2312"/>
          <w:kern w:val="0"/>
          <w:sz w:val="24"/>
          <w:highlight w:val="none"/>
        </w:rPr>
      </w:pPr>
      <w:r>
        <w:rPr>
          <w:rFonts w:hint="eastAsia" w:ascii="仿宋" w:hAnsi="仿宋" w:eastAsia="仿宋" w:cs="仿宋"/>
          <w:color w:val="auto"/>
          <w:sz w:val="24"/>
          <w:highlight w:val="none"/>
        </w:rPr>
        <w:t>（采购人）、（采购代理机构）</w:t>
      </w:r>
      <w:r>
        <w:rPr>
          <w:rFonts w:hint="eastAsia" w:ascii="仿宋_GB2312" w:hAnsi="仿宋_GB2312" w:eastAsia="仿宋_GB2312" w:cs="仿宋_GB2312"/>
          <w:kern w:val="0"/>
          <w:sz w:val="24"/>
          <w:highlight w:val="none"/>
          <w:lang w:val="zh-CN"/>
        </w:rPr>
        <w:t>：</w:t>
      </w:r>
    </w:p>
    <w:p w14:paraId="750A7A29">
      <w:pPr>
        <w:snapToGrid w:val="0"/>
        <w:spacing w:line="360" w:lineRule="auto"/>
        <w:ind w:firstLine="576"/>
        <w:rPr>
          <w:rFonts w:hint="eastAsia" w:ascii="仿宋" w:hAnsi="仿宋" w:eastAsia="仿宋" w:cs="仿宋"/>
          <w:color w:val="auto"/>
          <w:kern w:val="0"/>
          <w:sz w:val="24"/>
          <w:highlight w:val="none"/>
        </w:rPr>
      </w:pPr>
      <w:r>
        <w:rPr>
          <w:rFonts w:hint="eastAsia" w:ascii="仿宋_GB2312" w:hAnsi="仿宋_GB2312" w:eastAsia="仿宋_GB2312" w:cs="仿宋_GB2312"/>
          <w:kern w:val="0"/>
          <w:sz w:val="24"/>
          <w:highlight w:val="none"/>
        </w:rPr>
        <w:t>现</w:t>
      </w:r>
      <w:r>
        <w:rPr>
          <w:rFonts w:hint="eastAsia" w:ascii="仿宋_GB2312" w:hAnsi="仿宋_GB2312" w:eastAsia="仿宋_GB2312" w:cs="仿宋_GB2312"/>
          <w:kern w:val="0"/>
          <w:sz w:val="24"/>
          <w:highlight w:val="none"/>
          <w:lang w:val="zh-CN"/>
        </w:rPr>
        <w:t>委托</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（姓名）为我方代理人（身份证号码：</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，手机：</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56BE44C">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委托期限</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val="zh-CN"/>
        </w:rPr>
        <w:t>自</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日起至</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日止。</w:t>
      </w:r>
    </w:p>
    <w:p w14:paraId="0D84050D">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特此告知。</w:t>
      </w:r>
    </w:p>
    <w:p w14:paraId="554E1F17">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 xml:space="preserve">                                                 投标人名称(电子签名)：</w:t>
      </w:r>
    </w:p>
    <w:p w14:paraId="6C327298">
      <w:pPr>
        <w:snapToGrid w:val="0"/>
        <w:spacing w:line="360" w:lineRule="auto"/>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zh-CN"/>
        </w:rPr>
        <w:t xml:space="preserve">                                                 签发日期：  年  月   日</w:t>
      </w:r>
    </w:p>
    <w:p w14:paraId="335B0A7B">
      <w:pPr>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lang w:val="zh-CN"/>
        </w:rPr>
        <w:t xml:space="preserve">      </w:t>
      </w:r>
      <w:r>
        <w:rPr>
          <w:rFonts w:hint="eastAsia" w:ascii="仿宋_GB2312" w:hAnsi="仿宋_GB2312" w:eastAsia="仿宋_GB2312" w:cs="仿宋_GB2312"/>
          <w:b/>
          <w:kern w:val="0"/>
          <w:sz w:val="32"/>
          <w:szCs w:val="32"/>
          <w:highlight w:val="none"/>
        </w:rPr>
        <w:t xml:space="preserve"> </w:t>
      </w:r>
      <w:r>
        <w:rPr>
          <w:rFonts w:hint="eastAsia" w:ascii="仿宋_GB2312" w:hAnsi="仿宋_GB2312" w:eastAsia="仿宋_GB2312" w:cs="仿宋_GB2312"/>
          <w:b/>
          <w:kern w:val="0"/>
          <w:sz w:val="32"/>
          <w:szCs w:val="32"/>
          <w:highlight w:val="none"/>
          <w:lang w:val="zh-CN"/>
        </w:rPr>
        <w:t>授权委托书（适用于联合体投标）</w:t>
      </w:r>
    </w:p>
    <w:p w14:paraId="39B2CDAE">
      <w:pPr>
        <w:snapToGrid w:val="0"/>
        <w:spacing w:line="360" w:lineRule="auto"/>
        <w:rPr>
          <w:rFonts w:ascii="仿宋_GB2312" w:hAnsi="仿宋_GB2312" w:eastAsia="仿宋_GB2312" w:cs="仿宋_GB2312"/>
          <w:kern w:val="0"/>
          <w:sz w:val="24"/>
          <w:highlight w:val="none"/>
        </w:rPr>
      </w:pPr>
      <w:r>
        <w:rPr>
          <w:rFonts w:hint="eastAsia" w:ascii="仿宋" w:hAnsi="仿宋" w:eastAsia="仿宋" w:cs="仿宋"/>
          <w:color w:val="auto"/>
          <w:sz w:val="24"/>
          <w:highlight w:val="none"/>
        </w:rPr>
        <w:t>（采购人）、（采购代理机构）</w:t>
      </w:r>
      <w:r>
        <w:rPr>
          <w:rFonts w:hint="eastAsia" w:ascii="仿宋_GB2312" w:hAnsi="仿宋_GB2312" w:eastAsia="仿宋_GB2312" w:cs="仿宋_GB2312"/>
          <w:kern w:val="0"/>
          <w:sz w:val="24"/>
          <w:highlight w:val="none"/>
          <w:lang w:val="zh-CN"/>
        </w:rPr>
        <w:t>：</w:t>
      </w:r>
    </w:p>
    <w:p w14:paraId="75DB610B">
      <w:pPr>
        <w:snapToGrid w:val="0"/>
        <w:spacing w:line="360" w:lineRule="auto"/>
        <w:ind w:firstLine="576"/>
        <w:rPr>
          <w:rFonts w:hint="eastAsia" w:ascii="仿宋" w:hAnsi="仿宋" w:eastAsia="仿宋" w:cs="仿宋"/>
          <w:color w:val="auto"/>
          <w:kern w:val="0"/>
          <w:sz w:val="24"/>
          <w:highlight w:val="none"/>
        </w:rPr>
      </w:pPr>
      <w:r>
        <w:rPr>
          <w:rFonts w:hint="eastAsia" w:ascii="仿宋_GB2312" w:hAnsi="仿宋_GB2312" w:eastAsia="仿宋_GB2312" w:cs="仿宋_GB2312"/>
          <w:kern w:val="0"/>
          <w:sz w:val="24"/>
          <w:highlight w:val="none"/>
        </w:rPr>
        <w:t>现</w:t>
      </w:r>
      <w:r>
        <w:rPr>
          <w:rFonts w:hint="eastAsia" w:ascii="仿宋_GB2312" w:hAnsi="仿宋_GB2312" w:eastAsia="仿宋_GB2312" w:cs="仿宋_GB2312"/>
          <w:kern w:val="0"/>
          <w:sz w:val="24"/>
          <w:highlight w:val="none"/>
          <w:lang w:val="zh-CN"/>
        </w:rPr>
        <w:t>委托</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（姓名）为我方代理人（身份证号码：</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，手机：</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58195D7">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委托期限</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val="zh-CN"/>
        </w:rPr>
        <w:t>自</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日起至</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日止。</w:t>
      </w:r>
    </w:p>
    <w:p w14:paraId="17E7C8FE">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特此告知。</w:t>
      </w:r>
    </w:p>
    <w:p w14:paraId="0C7A9A70">
      <w:pPr>
        <w:rPr>
          <w:rFonts w:ascii="仿宋_GB2312" w:hAnsi="仿宋_GB2312" w:eastAsia="仿宋_GB2312" w:cs="仿宋_GB2312"/>
          <w:highlight w:val="none"/>
        </w:rPr>
      </w:pPr>
    </w:p>
    <w:p w14:paraId="27CD6229">
      <w:pPr>
        <w:snapToGrid w:val="0"/>
        <w:spacing w:line="360" w:lineRule="auto"/>
        <w:ind w:firstLine="5040" w:firstLineChars="21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联合体成员名称(电子签名/公章)：</w:t>
      </w:r>
    </w:p>
    <w:p w14:paraId="17A4FFC7">
      <w:pPr>
        <w:snapToGrid w:val="0"/>
        <w:spacing w:line="360" w:lineRule="auto"/>
        <w:ind w:firstLine="5040" w:firstLineChars="21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联合体成员名称(电子签名/公章)：</w:t>
      </w:r>
    </w:p>
    <w:p w14:paraId="3C1EA9E8">
      <w:pPr>
        <w:snapToGrid w:val="0"/>
        <w:spacing w:line="360" w:lineRule="auto"/>
        <w:ind w:firstLine="5760" w:firstLineChars="2400"/>
        <w:rPr>
          <w:rFonts w:ascii="仿宋_GB2312" w:hAnsi="仿宋_GB2312" w:eastAsia="仿宋_GB2312" w:cs="仿宋_GB2312"/>
          <w:highlight w:val="none"/>
        </w:rPr>
      </w:pPr>
      <w:r>
        <w:rPr>
          <w:rFonts w:hint="eastAsia" w:ascii="仿宋_GB2312" w:hAnsi="仿宋_GB2312" w:eastAsia="仿宋_GB2312" w:cs="仿宋_GB2312"/>
          <w:kern w:val="0"/>
          <w:sz w:val="24"/>
          <w:highlight w:val="none"/>
          <w:lang w:val="zh-CN"/>
        </w:rPr>
        <w:t>……</w:t>
      </w:r>
    </w:p>
    <w:p w14:paraId="01482EA6">
      <w:pPr>
        <w:snapToGrid w:val="0"/>
        <w:spacing w:line="360" w:lineRule="auto"/>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日期：  年  月   日</w:t>
      </w:r>
    </w:p>
    <w:p w14:paraId="5FE064BB">
      <w:pPr>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587B205">
      <w:pPr>
        <w:pStyle w:val="81"/>
        <w:jc w:val="right"/>
        <w:rPr>
          <w:rFonts w:hint="eastAsia" w:ascii="仿宋_GB2312" w:hAnsi="仿宋_GB2312" w:eastAsia="仿宋_GB2312" w:cs="仿宋_GB2312"/>
          <w:kern w:val="0"/>
          <w:sz w:val="24"/>
          <w:highlight w:val="none"/>
          <w:lang w:val="zh-CN"/>
        </w:rPr>
      </w:pPr>
    </w:p>
    <w:p w14:paraId="63FF3703">
      <w:pPr>
        <w:pStyle w:val="81"/>
        <w:jc w:val="right"/>
        <w:rPr>
          <w:rFonts w:hint="eastAsia" w:ascii="仿宋_GB2312" w:hAnsi="仿宋_GB2312" w:eastAsia="仿宋_GB2312" w:cs="仿宋_GB2312"/>
          <w:kern w:val="0"/>
          <w:sz w:val="24"/>
          <w:highlight w:val="none"/>
          <w:lang w:val="zh-CN"/>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kern w:val="0"/>
          <w:sz w:val="24"/>
          <w:highlight w:val="none"/>
          <w:lang w:val="zh-CN"/>
        </w:rPr>
        <w:t>日期：  年  月   日</w:t>
      </w:r>
    </w:p>
    <w:p w14:paraId="05DC0A0D">
      <w:pPr>
        <w:snapToGrid w:val="0"/>
        <w:spacing w:line="360" w:lineRule="auto"/>
        <w:rPr>
          <w:rFonts w:hint="eastAsia" w:ascii="仿宋" w:hAnsi="仿宋" w:eastAsia="仿宋" w:cs="仿宋"/>
          <w:color w:val="auto"/>
          <w:kern w:val="0"/>
          <w:sz w:val="24"/>
          <w:highlight w:val="none"/>
          <w:lang w:val="en-US" w:eastAsia="zh-CN"/>
        </w:rPr>
      </w:pPr>
      <w:r>
        <w:rPr>
          <w:rFonts w:hint="eastAsia" w:ascii="仿宋" w:hAnsi="仿宋" w:cs="仿宋"/>
          <w:color w:val="auto"/>
          <w:kern w:val="0"/>
          <w:sz w:val="24"/>
          <w:highlight w:val="none"/>
          <w:lang w:val="en-US" w:eastAsia="zh-CN"/>
        </w:rPr>
        <w:t>=</w:t>
      </w:r>
    </w:p>
    <w:p w14:paraId="228BC56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E35F356">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B0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B387826">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B47E8F5">
            <w:pPr>
              <w:pStyle w:val="151"/>
              <w:adjustRightInd w:val="0"/>
              <w:spacing w:line="360" w:lineRule="auto"/>
              <w:rPr>
                <w:rFonts w:hint="eastAsia" w:ascii="仿宋" w:hAnsi="仿宋" w:eastAsia="仿宋" w:cs="仿宋"/>
                <w:bCs/>
                <w:color w:val="auto"/>
                <w:sz w:val="24"/>
                <w:highlight w:val="none"/>
              </w:rPr>
            </w:pPr>
          </w:p>
        </w:tc>
      </w:tr>
    </w:tbl>
    <w:p w14:paraId="53E96E8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D2B00D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DC846B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8BE6FFE">
      <w:pPr>
        <w:jc w:val="center"/>
        <w:rPr>
          <w:rFonts w:hint="eastAsia" w:ascii="仿宋" w:hAnsi="仿宋" w:eastAsia="仿宋" w:cs="仿宋"/>
          <w:b/>
          <w:color w:val="auto"/>
          <w:kern w:val="0"/>
          <w:sz w:val="32"/>
          <w:szCs w:val="32"/>
          <w:highlight w:val="none"/>
        </w:rPr>
      </w:pPr>
    </w:p>
    <w:p w14:paraId="266590D8">
      <w:pPr>
        <w:jc w:val="center"/>
        <w:rPr>
          <w:rFonts w:hint="eastAsia" w:ascii="仿宋" w:hAnsi="仿宋" w:eastAsia="仿宋" w:cs="仿宋"/>
          <w:b/>
          <w:color w:val="auto"/>
          <w:kern w:val="0"/>
          <w:sz w:val="32"/>
          <w:szCs w:val="32"/>
          <w:highlight w:val="none"/>
        </w:rPr>
      </w:pPr>
    </w:p>
    <w:p w14:paraId="0C6B37F9">
      <w:pPr>
        <w:jc w:val="center"/>
        <w:rPr>
          <w:rFonts w:hint="eastAsia" w:ascii="仿宋" w:hAnsi="仿宋" w:eastAsia="仿宋" w:cs="仿宋"/>
          <w:b/>
          <w:color w:val="auto"/>
          <w:kern w:val="0"/>
          <w:sz w:val="32"/>
          <w:szCs w:val="32"/>
          <w:highlight w:val="none"/>
        </w:rPr>
      </w:pPr>
    </w:p>
    <w:p w14:paraId="548406AC">
      <w:pPr>
        <w:jc w:val="center"/>
        <w:rPr>
          <w:rFonts w:hint="eastAsia" w:ascii="仿宋" w:hAnsi="仿宋" w:eastAsia="仿宋" w:cs="仿宋"/>
          <w:b/>
          <w:color w:val="auto"/>
          <w:kern w:val="0"/>
          <w:sz w:val="32"/>
          <w:szCs w:val="32"/>
          <w:highlight w:val="none"/>
        </w:rPr>
      </w:pPr>
    </w:p>
    <w:p w14:paraId="69E2D681">
      <w:pPr>
        <w:jc w:val="center"/>
        <w:rPr>
          <w:rFonts w:hint="eastAsia" w:ascii="仿宋" w:hAnsi="仿宋" w:eastAsia="仿宋" w:cs="仿宋"/>
          <w:b/>
          <w:color w:val="auto"/>
          <w:kern w:val="0"/>
          <w:sz w:val="32"/>
          <w:szCs w:val="32"/>
          <w:highlight w:val="none"/>
        </w:rPr>
      </w:pPr>
    </w:p>
    <w:p w14:paraId="3730DF15">
      <w:pPr>
        <w:jc w:val="center"/>
        <w:rPr>
          <w:rFonts w:hint="eastAsia" w:ascii="仿宋" w:hAnsi="仿宋" w:eastAsia="仿宋" w:cs="仿宋"/>
          <w:b/>
          <w:color w:val="auto"/>
          <w:kern w:val="0"/>
          <w:sz w:val="32"/>
          <w:szCs w:val="32"/>
          <w:highlight w:val="none"/>
        </w:rPr>
      </w:pPr>
    </w:p>
    <w:p w14:paraId="33DDA717">
      <w:pPr>
        <w:jc w:val="center"/>
        <w:rPr>
          <w:rFonts w:hint="eastAsia" w:ascii="仿宋" w:hAnsi="仿宋" w:eastAsia="仿宋" w:cs="仿宋"/>
          <w:b/>
          <w:color w:val="auto"/>
          <w:kern w:val="0"/>
          <w:sz w:val="32"/>
          <w:szCs w:val="32"/>
          <w:highlight w:val="none"/>
        </w:rPr>
      </w:pPr>
    </w:p>
    <w:p w14:paraId="61443FD5">
      <w:pPr>
        <w:jc w:val="center"/>
        <w:rPr>
          <w:rFonts w:hint="eastAsia" w:ascii="仿宋" w:hAnsi="仿宋" w:eastAsia="仿宋" w:cs="仿宋"/>
          <w:b/>
          <w:color w:val="auto"/>
          <w:kern w:val="0"/>
          <w:sz w:val="32"/>
          <w:szCs w:val="32"/>
          <w:highlight w:val="none"/>
        </w:rPr>
      </w:pPr>
    </w:p>
    <w:p w14:paraId="5BCC9E01">
      <w:pPr>
        <w:jc w:val="center"/>
        <w:rPr>
          <w:rFonts w:hint="eastAsia" w:ascii="仿宋" w:hAnsi="仿宋" w:eastAsia="仿宋" w:cs="仿宋"/>
          <w:b/>
          <w:color w:val="auto"/>
          <w:kern w:val="0"/>
          <w:sz w:val="32"/>
          <w:szCs w:val="32"/>
          <w:highlight w:val="none"/>
        </w:rPr>
      </w:pPr>
    </w:p>
    <w:p w14:paraId="575B5AA6">
      <w:pPr>
        <w:jc w:val="center"/>
        <w:rPr>
          <w:rFonts w:hint="eastAsia" w:ascii="仿宋" w:hAnsi="仿宋" w:eastAsia="仿宋" w:cs="仿宋"/>
          <w:b/>
          <w:color w:val="auto"/>
          <w:kern w:val="0"/>
          <w:sz w:val="32"/>
          <w:szCs w:val="32"/>
          <w:highlight w:val="none"/>
        </w:rPr>
      </w:pPr>
    </w:p>
    <w:p w14:paraId="0F4FF8FC">
      <w:pPr>
        <w:jc w:val="center"/>
        <w:rPr>
          <w:rFonts w:hint="eastAsia" w:ascii="仿宋" w:hAnsi="仿宋" w:eastAsia="仿宋" w:cs="仿宋"/>
          <w:b/>
          <w:color w:val="auto"/>
          <w:kern w:val="0"/>
          <w:sz w:val="32"/>
          <w:szCs w:val="32"/>
          <w:highlight w:val="none"/>
        </w:rPr>
      </w:pPr>
    </w:p>
    <w:p w14:paraId="784FFEEB">
      <w:pPr>
        <w:pStyle w:val="3"/>
        <w:rPr>
          <w:rFonts w:hint="eastAsia"/>
          <w:highlight w:val="none"/>
        </w:rPr>
      </w:pPr>
    </w:p>
    <w:p w14:paraId="122CF925">
      <w:pPr>
        <w:jc w:val="center"/>
        <w:rPr>
          <w:rFonts w:hint="eastAsia" w:ascii="仿宋" w:hAnsi="仿宋" w:eastAsia="仿宋" w:cs="仿宋"/>
          <w:b/>
          <w:color w:val="auto"/>
          <w:kern w:val="0"/>
          <w:sz w:val="32"/>
          <w:szCs w:val="32"/>
          <w:highlight w:val="none"/>
        </w:rPr>
      </w:pPr>
    </w:p>
    <w:p w14:paraId="4BE44302">
      <w:pPr>
        <w:jc w:val="center"/>
        <w:rPr>
          <w:rFonts w:hint="eastAsia" w:ascii="仿宋" w:hAnsi="仿宋" w:eastAsia="仿宋" w:cs="仿宋"/>
          <w:b/>
          <w:color w:val="auto"/>
          <w:kern w:val="0"/>
          <w:sz w:val="32"/>
          <w:szCs w:val="32"/>
          <w:highlight w:val="none"/>
        </w:rPr>
      </w:pPr>
    </w:p>
    <w:p w14:paraId="36E3117D">
      <w:pPr>
        <w:snapToGrid w:val="0"/>
        <w:spacing w:line="360" w:lineRule="auto"/>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三、分包意向协议（如果有）</w:t>
      </w:r>
    </w:p>
    <w:p w14:paraId="194BB704">
      <w:pPr>
        <w:widowControl/>
        <w:spacing w:line="360" w:lineRule="auto"/>
        <w:ind w:firstLine="120" w:firstLineChars="5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b/>
          <w:sz w:val="24"/>
          <w:highlight w:val="none"/>
        </w:rPr>
        <w:t>中标后以分包方式履行合同的，提供分包意向协议(附件6)；采购人不同意分包或者投标人中标后不以分包方式履行合同的，则不需要提供。</w:t>
      </w:r>
      <w:r>
        <w:rPr>
          <w:rFonts w:hint="eastAsia" w:ascii="仿宋_GB2312" w:hAnsi="仿宋_GB2312" w:eastAsia="仿宋_GB2312" w:cs="仿宋_GB2312"/>
          <w:sz w:val="24"/>
          <w:highlight w:val="none"/>
        </w:rPr>
        <w:t>）</w:t>
      </w:r>
    </w:p>
    <w:p w14:paraId="58F4A8E4">
      <w:pPr>
        <w:pStyle w:val="3"/>
        <w:rPr>
          <w:rFonts w:hAnsi="仿宋_GB2312" w:cs="仿宋_GB2312"/>
          <w:highlight w:val="none"/>
        </w:rPr>
      </w:pPr>
    </w:p>
    <w:p w14:paraId="58BED834">
      <w:pPr>
        <w:rPr>
          <w:rFonts w:ascii="仿宋_GB2312" w:hAnsi="仿宋_GB2312" w:eastAsia="仿宋_GB2312" w:cs="仿宋_GB2312"/>
          <w:highlight w:val="none"/>
        </w:rPr>
      </w:pPr>
    </w:p>
    <w:p w14:paraId="2793C245">
      <w:pPr>
        <w:pStyle w:val="3"/>
        <w:rPr>
          <w:rFonts w:hAnsi="仿宋_GB2312" w:cs="仿宋_GB2312"/>
          <w:highlight w:val="none"/>
        </w:rPr>
      </w:pPr>
    </w:p>
    <w:p w14:paraId="2F4E7889">
      <w:pPr>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四、符合性审查资料</w:t>
      </w:r>
    </w:p>
    <w:p w14:paraId="09FE46E0">
      <w:pPr>
        <w:jc w:val="center"/>
        <w:rPr>
          <w:rFonts w:ascii="仿宋_GB2312" w:hAnsi="仿宋_GB2312" w:eastAsia="仿宋_GB2312" w:cs="仿宋_GB2312"/>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47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2F016E7">
            <w:pPr>
              <w:snapToGrid w:val="0"/>
              <w:spacing w:line="240" w:lineRule="atLeas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序号</w:t>
            </w:r>
          </w:p>
        </w:tc>
        <w:tc>
          <w:tcPr>
            <w:tcW w:w="4991" w:type="dxa"/>
            <w:vAlign w:val="center"/>
          </w:tcPr>
          <w:p w14:paraId="39F555FF">
            <w:pPr>
              <w:snapToGrid w:val="0"/>
              <w:spacing w:line="240" w:lineRule="atLeas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实质性要求</w:t>
            </w:r>
          </w:p>
        </w:tc>
        <w:tc>
          <w:tcPr>
            <w:tcW w:w="2551" w:type="dxa"/>
            <w:vAlign w:val="center"/>
          </w:tcPr>
          <w:p w14:paraId="4F0A5A39">
            <w:pPr>
              <w:snapToGrid w:val="0"/>
              <w:spacing w:line="240" w:lineRule="atLeas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需要提供的符合性审查资料</w:t>
            </w:r>
          </w:p>
        </w:tc>
        <w:tc>
          <w:tcPr>
            <w:tcW w:w="1418" w:type="dxa"/>
            <w:vAlign w:val="center"/>
          </w:tcPr>
          <w:p w14:paraId="7D18AE26">
            <w:pPr>
              <w:snapToGrid w:val="0"/>
              <w:spacing w:line="240" w:lineRule="atLeas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投标文件中的</w:t>
            </w:r>
          </w:p>
          <w:p w14:paraId="362C4528">
            <w:pPr>
              <w:snapToGrid w:val="0"/>
              <w:spacing w:line="240" w:lineRule="atLeas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页码位置</w:t>
            </w:r>
          </w:p>
        </w:tc>
      </w:tr>
      <w:tr w14:paraId="1637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2C5DBA">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4991" w:type="dxa"/>
          </w:tcPr>
          <w:p w14:paraId="261694B6">
            <w:pPr>
              <w:spacing w:line="360" w:lineRule="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投标文件按照招标文件要求签署、盖章。</w:t>
            </w:r>
          </w:p>
        </w:tc>
        <w:tc>
          <w:tcPr>
            <w:tcW w:w="2551" w:type="dxa"/>
            <w:vAlign w:val="center"/>
          </w:tcPr>
          <w:p w14:paraId="2D2A99D4">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需要使用电子签名或者签字盖章的投标文件的组成部分</w:t>
            </w:r>
          </w:p>
        </w:tc>
        <w:tc>
          <w:tcPr>
            <w:tcW w:w="1418" w:type="dxa"/>
          </w:tcPr>
          <w:p w14:paraId="408C44C3">
            <w:pPr>
              <w:rPr>
                <w:rFonts w:ascii="仿宋_GB2312" w:hAnsi="仿宋_GB2312" w:eastAsia="仿宋_GB2312" w:cs="仿宋_GB2312"/>
                <w:sz w:val="24"/>
                <w:highlight w:val="none"/>
              </w:rPr>
            </w:pPr>
          </w:p>
          <w:p w14:paraId="03058BC9">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见投标文件</w:t>
            </w:r>
          </w:p>
          <w:p w14:paraId="1B42894B">
            <w:pPr>
              <w:rPr>
                <w:rFonts w:ascii="仿宋_GB2312" w:hAnsi="仿宋_GB2312" w:eastAsia="仿宋_GB2312" w:cs="仿宋_GB2312"/>
                <w:highlight w:val="none"/>
              </w:rPr>
            </w:pPr>
            <w:r>
              <w:rPr>
                <w:rFonts w:hint="eastAsia" w:ascii="仿宋_GB2312" w:hAnsi="仿宋_GB2312" w:eastAsia="仿宋_GB2312" w:cs="仿宋_GB2312"/>
                <w:sz w:val="24"/>
                <w:highlight w:val="none"/>
              </w:rPr>
              <w:t>第</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页</w:t>
            </w:r>
          </w:p>
        </w:tc>
      </w:tr>
      <w:tr w14:paraId="62D2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F0F0AF">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4991" w:type="dxa"/>
          </w:tcPr>
          <w:p w14:paraId="26BE943F">
            <w:pPr>
              <w:spacing w:line="360" w:lineRule="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投标文件中承诺的投标有效期不少于招标文件中载明的投标有效期。</w:t>
            </w:r>
          </w:p>
        </w:tc>
        <w:tc>
          <w:tcPr>
            <w:tcW w:w="2551" w:type="dxa"/>
            <w:vAlign w:val="center"/>
          </w:tcPr>
          <w:p w14:paraId="06A43796">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投标函</w:t>
            </w:r>
          </w:p>
        </w:tc>
        <w:tc>
          <w:tcPr>
            <w:tcW w:w="1418" w:type="dxa"/>
          </w:tcPr>
          <w:p w14:paraId="6C276764">
            <w:pPr>
              <w:rPr>
                <w:rFonts w:ascii="仿宋_GB2312" w:hAnsi="仿宋_GB2312" w:eastAsia="仿宋_GB2312" w:cs="仿宋_GB2312"/>
                <w:highlight w:val="none"/>
              </w:rPr>
            </w:pPr>
            <w:r>
              <w:rPr>
                <w:rFonts w:hint="eastAsia" w:ascii="仿宋_GB2312" w:hAnsi="仿宋_GB2312" w:eastAsia="仿宋_GB2312" w:cs="仿宋_GB2312"/>
                <w:sz w:val="24"/>
                <w:highlight w:val="none"/>
              </w:rPr>
              <w:t>见投标文件第</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页</w:t>
            </w:r>
          </w:p>
        </w:tc>
      </w:tr>
      <w:tr w14:paraId="2C8A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0DFE25">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4991" w:type="dxa"/>
          </w:tcPr>
          <w:p w14:paraId="57FCE18B">
            <w:pPr>
              <w:spacing w:line="360" w:lineRule="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投标文件满足招标文件的其它实质性要求。</w:t>
            </w:r>
          </w:p>
        </w:tc>
        <w:tc>
          <w:tcPr>
            <w:tcW w:w="2551" w:type="dxa"/>
            <w:vAlign w:val="center"/>
          </w:tcPr>
          <w:p w14:paraId="07B67DC2">
            <w:pP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招标文件其它实质性要求相应的材料（“▲” 系指实质性要求条款，招标文件无其它实质性要求的，无需提供）</w:t>
            </w:r>
          </w:p>
        </w:tc>
        <w:tc>
          <w:tcPr>
            <w:tcW w:w="1418" w:type="dxa"/>
          </w:tcPr>
          <w:p w14:paraId="0F0B75A7">
            <w:pPr>
              <w:rPr>
                <w:rFonts w:ascii="仿宋_GB2312" w:hAnsi="仿宋_GB2312" w:eastAsia="仿宋_GB2312" w:cs="仿宋_GB2312"/>
                <w:highlight w:val="none"/>
              </w:rPr>
            </w:pPr>
            <w:r>
              <w:rPr>
                <w:rFonts w:hint="eastAsia" w:ascii="仿宋_GB2312" w:hAnsi="仿宋_GB2312" w:eastAsia="仿宋_GB2312" w:cs="仿宋_GB2312"/>
                <w:sz w:val="24"/>
                <w:highlight w:val="none"/>
              </w:rPr>
              <w:t>见投标文件第</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页</w:t>
            </w:r>
          </w:p>
        </w:tc>
      </w:tr>
    </w:tbl>
    <w:p w14:paraId="15A51EE9">
      <w:pPr>
        <w:spacing w:line="360" w:lineRule="auto"/>
        <w:ind w:right="42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注：按本格式和要求提供。</w:t>
      </w:r>
    </w:p>
    <w:p w14:paraId="44C46090">
      <w:pPr>
        <w:jc w:val="center"/>
        <w:rPr>
          <w:rFonts w:ascii="仿宋_GB2312" w:hAnsi="仿宋_GB2312" w:eastAsia="仿宋_GB2312" w:cs="仿宋_GB2312"/>
          <w:b/>
          <w:kern w:val="0"/>
          <w:sz w:val="32"/>
          <w:szCs w:val="32"/>
          <w:highlight w:val="none"/>
        </w:rPr>
      </w:pPr>
    </w:p>
    <w:p w14:paraId="4D9BB40A">
      <w:pPr>
        <w:snapToGrid w:val="0"/>
        <w:spacing w:line="360" w:lineRule="auto"/>
        <w:ind w:firstLine="576"/>
        <w:jc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 xml:space="preserve">投标人名称(电子签名)：                              </w:t>
      </w:r>
    </w:p>
    <w:p w14:paraId="22BB9D45">
      <w:pPr>
        <w:pStyle w:val="26"/>
        <w:rPr>
          <w:rFonts w:ascii="仿宋_GB2312" w:hAnsi="仿宋_GB2312" w:eastAsia="仿宋_GB2312" w:cs="仿宋_GB2312"/>
          <w:highlight w:val="none"/>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kern w:val="0"/>
          <w:highlight w:val="none"/>
          <w:lang w:val="zh-CN"/>
        </w:rPr>
        <w:t xml:space="preserve">                   </w:t>
      </w:r>
      <w:r>
        <w:rPr>
          <w:rFonts w:hint="eastAsia" w:ascii="仿宋_GB2312" w:hAnsi="仿宋_GB2312" w:eastAsia="仿宋_GB2312" w:cs="仿宋_GB2312"/>
          <w:kern w:val="0"/>
          <w:highlight w:val="none"/>
        </w:rPr>
        <w:t xml:space="preserve">       </w:t>
      </w:r>
      <w:r>
        <w:rPr>
          <w:rFonts w:hint="eastAsia" w:ascii="仿宋_GB2312" w:hAnsi="仿宋_GB2312" w:eastAsia="仿宋_GB2312" w:cs="仿宋_GB2312"/>
          <w:kern w:val="0"/>
          <w:highlight w:val="none"/>
          <w:lang w:val="zh-CN"/>
        </w:rPr>
        <w:t>日期：  年  月  日</w:t>
      </w:r>
    </w:p>
    <w:p w14:paraId="5D449494">
      <w:pPr>
        <w:jc w:val="center"/>
        <w:rPr>
          <w:rFonts w:ascii="仿宋_GB2312" w:hAnsi="仿宋_GB2312" w:eastAsia="仿宋_GB2312" w:cs="仿宋_GB2312"/>
          <w:highlight w:val="none"/>
        </w:rPr>
      </w:pPr>
      <w:r>
        <w:rPr>
          <w:rFonts w:hint="eastAsia" w:ascii="仿宋_GB2312" w:hAnsi="仿宋_GB2312" w:eastAsia="仿宋_GB2312" w:cs="仿宋_GB2312"/>
          <w:b/>
          <w:kern w:val="0"/>
          <w:sz w:val="32"/>
          <w:szCs w:val="32"/>
          <w:highlight w:val="none"/>
        </w:rPr>
        <w:t>五、评标标准相应的商务技术资料</w:t>
      </w:r>
    </w:p>
    <w:p w14:paraId="1E37BBB9">
      <w:pPr>
        <w:snapToGrid w:val="0"/>
        <w:spacing w:line="360" w:lineRule="auto"/>
        <w:jc w:val="left"/>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（按招标文件第四部分评标办法前附表中“投标文件中评标标准相应的商务技术资料目录”提供资料）</w:t>
      </w:r>
    </w:p>
    <w:p w14:paraId="6BFC4BF2">
      <w:pPr>
        <w:pStyle w:val="3"/>
        <w:rPr>
          <w:highlight w:val="none"/>
        </w:rPr>
      </w:pPr>
    </w:p>
    <w:p w14:paraId="40D6A756">
      <w:pPr>
        <w:snapToGrid w:val="0"/>
        <w:spacing w:line="360" w:lineRule="auto"/>
        <w:ind w:firstLine="576"/>
        <w:jc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 xml:space="preserve">投标人名称(电子签名)：                              </w:t>
      </w:r>
    </w:p>
    <w:p w14:paraId="3EEC9E6B">
      <w:pPr>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24"/>
          <w:highlight w:val="none"/>
          <w:lang w:val="zh-CN"/>
        </w:rPr>
        <w:t xml:space="preserve">                   日期：  年  月  日</w:t>
      </w:r>
    </w:p>
    <w:p w14:paraId="5E1F54FB">
      <w:pPr>
        <w:jc w:val="center"/>
        <w:rPr>
          <w:rFonts w:ascii="仿宋_GB2312" w:hAnsi="仿宋_GB2312" w:eastAsia="仿宋_GB2312" w:cs="仿宋_GB2312"/>
          <w:b/>
          <w:kern w:val="0"/>
          <w:sz w:val="32"/>
          <w:szCs w:val="32"/>
          <w:highlight w:val="none"/>
        </w:rPr>
      </w:pPr>
    </w:p>
    <w:p w14:paraId="37E617A9">
      <w:pPr>
        <w:ind w:firstLine="2891" w:firstLineChars="900"/>
        <w:rPr>
          <w:rFonts w:hint="eastAsia" w:ascii="仿宋_GB2312" w:hAnsi="仿宋_GB2312" w:eastAsia="仿宋_GB2312" w:cs="仿宋_GB2312"/>
          <w:b/>
          <w:kern w:val="0"/>
          <w:sz w:val="32"/>
          <w:szCs w:val="32"/>
          <w:highlight w:val="none"/>
        </w:rPr>
      </w:pPr>
    </w:p>
    <w:p w14:paraId="59D08734">
      <w:pPr>
        <w:ind w:firstLine="2891" w:firstLineChars="9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六、投标标的清单</w:t>
      </w:r>
    </w:p>
    <w:tbl>
      <w:tblPr>
        <w:tblStyle w:val="63"/>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14:paraId="1503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7A80F1">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D1F889B">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7854B860">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14:paraId="3FE50BB0">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14:paraId="205DEC98">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14:paraId="7027FF7D">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14:paraId="05431BA4">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备注</w:t>
            </w:r>
          </w:p>
        </w:tc>
      </w:tr>
      <w:tr w14:paraId="02CF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074966">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A831B0B">
            <w:pPr>
              <w:snapToGrid w:val="0"/>
              <w:spacing w:line="360" w:lineRule="auto"/>
              <w:jc w:val="center"/>
              <w:rPr>
                <w:rFonts w:hint="eastAsia" w:ascii="仿宋_GB2312" w:hAnsi="仿宋_GB2312" w:eastAsia="仿宋_GB2312" w:cs="仿宋_GB2312"/>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A9C7A95">
            <w:pPr>
              <w:snapToGrid w:val="0"/>
              <w:spacing w:line="360" w:lineRule="auto"/>
              <w:jc w:val="center"/>
              <w:rPr>
                <w:rFonts w:hint="eastAsia" w:ascii="仿宋_GB2312" w:hAnsi="仿宋_GB2312" w:eastAsia="仿宋_GB2312" w:cs="仿宋_GB2312"/>
                <w:sz w:val="24"/>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32EF904F">
            <w:pPr>
              <w:snapToGrid w:val="0"/>
              <w:spacing w:line="360" w:lineRule="auto"/>
              <w:jc w:val="center"/>
              <w:rPr>
                <w:rFonts w:hint="eastAsia" w:ascii="仿宋_GB2312" w:hAnsi="仿宋_GB2312" w:eastAsia="仿宋_GB2312" w:cs="仿宋_GB2312"/>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9381689">
            <w:pPr>
              <w:spacing w:line="360" w:lineRule="auto"/>
              <w:jc w:val="center"/>
              <w:rPr>
                <w:rFonts w:hint="eastAsia" w:ascii="仿宋_GB2312" w:hAnsi="仿宋_GB2312" w:eastAsia="仿宋_GB2312" w:cs="仿宋_GB2312"/>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4BA51954">
            <w:pPr>
              <w:spacing w:line="360" w:lineRule="auto"/>
              <w:jc w:val="center"/>
              <w:rPr>
                <w:rFonts w:hint="eastAsia" w:ascii="仿宋_GB2312" w:hAnsi="仿宋_GB2312" w:eastAsia="仿宋_GB2312" w:cs="仿宋_GB2312"/>
                <w:sz w:val="24"/>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246B3D37">
            <w:pPr>
              <w:spacing w:line="360" w:lineRule="auto"/>
              <w:jc w:val="center"/>
              <w:rPr>
                <w:rFonts w:hint="eastAsia" w:ascii="仿宋_GB2312" w:hAnsi="仿宋_GB2312" w:eastAsia="仿宋_GB2312" w:cs="仿宋_GB2312"/>
                <w:sz w:val="24"/>
                <w:highlight w:val="none"/>
              </w:rPr>
            </w:pPr>
          </w:p>
        </w:tc>
      </w:tr>
      <w:tr w14:paraId="0FB7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B52755">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EB91CF">
            <w:pPr>
              <w:snapToGrid w:val="0"/>
              <w:spacing w:line="360" w:lineRule="auto"/>
              <w:jc w:val="center"/>
              <w:rPr>
                <w:rFonts w:hint="eastAsia" w:ascii="仿宋_GB2312" w:hAnsi="仿宋_GB2312" w:eastAsia="仿宋_GB2312" w:cs="仿宋_GB2312"/>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A90FA46">
            <w:pPr>
              <w:snapToGrid w:val="0"/>
              <w:spacing w:line="360" w:lineRule="auto"/>
              <w:jc w:val="center"/>
              <w:rPr>
                <w:rFonts w:hint="eastAsia" w:ascii="仿宋_GB2312" w:hAnsi="仿宋_GB2312" w:eastAsia="仿宋_GB2312" w:cs="仿宋_GB2312"/>
                <w:sz w:val="24"/>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70314C8F">
            <w:pPr>
              <w:snapToGrid w:val="0"/>
              <w:spacing w:line="360" w:lineRule="auto"/>
              <w:jc w:val="center"/>
              <w:rPr>
                <w:rFonts w:hint="eastAsia" w:ascii="仿宋_GB2312" w:hAnsi="仿宋_GB2312" w:eastAsia="仿宋_GB2312" w:cs="仿宋_GB2312"/>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71D5CE15">
            <w:pPr>
              <w:spacing w:line="360" w:lineRule="auto"/>
              <w:jc w:val="center"/>
              <w:rPr>
                <w:rFonts w:hint="eastAsia" w:ascii="仿宋_GB2312" w:hAnsi="仿宋_GB2312" w:eastAsia="仿宋_GB2312" w:cs="仿宋_GB2312"/>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6852B261">
            <w:pPr>
              <w:spacing w:line="360" w:lineRule="auto"/>
              <w:jc w:val="center"/>
              <w:rPr>
                <w:rFonts w:hint="eastAsia" w:ascii="仿宋_GB2312" w:hAnsi="仿宋_GB2312" w:eastAsia="仿宋_GB2312" w:cs="仿宋_GB2312"/>
                <w:sz w:val="24"/>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AD51562">
            <w:pPr>
              <w:spacing w:line="360" w:lineRule="auto"/>
              <w:jc w:val="center"/>
              <w:rPr>
                <w:rFonts w:hint="eastAsia" w:ascii="仿宋_GB2312" w:hAnsi="仿宋_GB2312" w:eastAsia="仿宋_GB2312" w:cs="仿宋_GB2312"/>
                <w:sz w:val="24"/>
                <w:highlight w:val="none"/>
              </w:rPr>
            </w:pPr>
          </w:p>
        </w:tc>
      </w:tr>
      <w:tr w14:paraId="25B7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F51D90">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E329302">
            <w:pPr>
              <w:snapToGrid w:val="0"/>
              <w:spacing w:line="360" w:lineRule="auto"/>
              <w:jc w:val="center"/>
              <w:rPr>
                <w:rFonts w:hint="eastAsia" w:ascii="仿宋_GB2312" w:hAnsi="仿宋_GB2312" w:eastAsia="仿宋_GB2312" w:cs="仿宋_GB2312"/>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483A3AC">
            <w:pPr>
              <w:snapToGrid w:val="0"/>
              <w:spacing w:line="360" w:lineRule="auto"/>
              <w:jc w:val="center"/>
              <w:rPr>
                <w:rFonts w:hint="eastAsia" w:ascii="仿宋_GB2312" w:hAnsi="仿宋_GB2312" w:eastAsia="仿宋_GB2312" w:cs="仿宋_GB2312"/>
                <w:sz w:val="24"/>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326F7EBC">
            <w:pPr>
              <w:snapToGrid w:val="0"/>
              <w:spacing w:line="360" w:lineRule="auto"/>
              <w:jc w:val="center"/>
              <w:rPr>
                <w:rFonts w:hint="eastAsia" w:ascii="仿宋_GB2312" w:hAnsi="仿宋_GB2312" w:eastAsia="仿宋_GB2312" w:cs="仿宋_GB2312"/>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71E2152A">
            <w:pPr>
              <w:spacing w:line="360" w:lineRule="auto"/>
              <w:jc w:val="center"/>
              <w:rPr>
                <w:rFonts w:hint="eastAsia" w:ascii="仿宋_GB2312" w:hAnsi="仿宋_GB2312" w:eastAsia="仿宋_GB2312" w:cs="仿宋_GB2312"/>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7B858FDD">
            <w:pPr>
              <w:spacing w:line="360" w:lineRule="auto"/>
              <w:jc w:val="center"/>
              <w:rPr>
                <w:rFonts w:hint="eastAsia" w:ascii="仿宋_GB2312" w:hAnsi="仿宋_GB2312" w:eastAsia="仿宋_GB2312" w:cs="仿宋_GB2312"/>
                <w:sz w:val="24"/>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58445470">
            <w:pPr>
              <w:spacing w:line="360" w:lineRule="auto"/>
              <w:jc w:val="center"/>
              <w:rPr>
                <w:rFonts w:hint="eastAsia" w:ascii="仿宋_GB2312" w:hAnsi="仿宋_GB2312" w:eastAsia="仿宋_GB2312" w:cs="仿宋_GB2312"/>
                <w:sz w:val="24"/>
                <w:highlight w:val="none"/>
              </w:rPr>
            </w:pPr>
          </w:p>
        </w:tc>
      </w:tr>
    </w:tbl>
    <w:p w14:paraId="5C112AAA">
      <w:pPr>
        <w:spacing w:line="360" w:lineRule="auto"/>
        <w:ind w:right="42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注：按本格式和要求提供。</w:t>
      </w:r>
    </w:p>
    <w:p w14:paraId="0B5A95CB">
      <w:pPr>
        <w:snapToGrid w:val="0"/>
        <w:spacing w:line="360" w:lineRule="auto"/>
        <w:ind w:firstLine="576"/>
        <w:jc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 xml:space="preserve">投标人名称(电子签名)：                              </w:t>
      </w:r>
    </w:p>
    <w:p w14:paraId="4D5E3A5F">
      <w:pPr>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24"/>
          <w:highlight w:val="none"/>
          <w:lang w:val="zh-CN"/>
        </w:rPr>
        <w:t xml:space="preserve">                   日期：  年  月  日</w:t>
      </w:r>
    </w:p>
    <w:p w14:paraId="71F1DB6C">
      <w:pPr>
        <w:jc w:val="center"/>
        <w:rPr>
          <w:rFonts w:ascii="仿宋_GB2312" w:hAnsi="仿宋_GB2312" w:eastAsia="仿宋_GB2312" w:cs="仿宋_GB2312"/>
          <w:b/>
          <w:kern w:val="0"/>
          <w:sz w:val="32"/>
          <w:szCs w:val="32"/>
          <w:highlight w:val="none"/>
        </w:rPr>
      </w:pPr>
    </w:p>
    <w:p w14:paraId="696D01ED">
      <w:pPr>
        <w:jc w:val="center"/>
        <w:rPr>
          <w:rFonts w:hint="eastAsia" w:ascii="仿宋_GB2312" w:hAnsi="仿宋_GB2312" w:eastAsia="仿宋_GB2312" w:cs="仿宋_GB2312"/>
          <w:b/>
          <w:kern w:val="0"/>
          <w:sz w:val="32"/>
          <w:szCs w:val="32"/>
          <w:highlight w:val="none"/>
        </w:rPr>
      </w:pPr>
    </w:p>
    <w:p w14:paraId="60F199BD">
      <w:pPr>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A8A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9598F0">
            <w:pPr>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序号</w:t>
            </w:r>
          </w:p>
        </w:tc>
        <w:tc>
          <w:tcPr>
            <w:tcW w:w="3683" w:type="dxa"/>
          </w:tcPr>
          <w:p w14:paraId="345E253A">
            <w:pPr>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招标文件章节及具体内容</w:t>
            </w:r>
          </w:p>
        </w:tc>
        <w:tc>
          <w:tcPr>
            <w:tcW w:w="3546" w:type="dxa"/>
          </w:tcPr>
          <w:p w14:paraId="7F2C9156">
            <w:pPr>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投标文件章节及具体内容</w:t>
            </w:r>
          </w:p>
        </w:tc>
        <w:tc>
          <w:tcPr>
            <w:tcW w:w="1276" w:type="dxa"/>
          </w:tcPr>
          <w:p w14:paraId="21D2D1CB">
            <w:pPr>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偏离说明</w:t>
            </w:r>
          </w:p>
        </w:tc>
      </w:tr>
      <w:tr w14:paraId="0CCE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43694A">
            <w:pPr>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w:t>
            </w:r>
          </w:p>
        </w:tc>
        <w:tc>
          <w:tcPr>
            <w:tcW w:w="3683" w:type="dxa"/>
          </w:tcPr>
          <w:p w14:paraId="0DB07DCE">
            <w:pPr>
              <w:jc w:val="center"/>
              <w:rPr>
                <w:rFonts w:ascii="仿宋_GB2312" w:hAnsi="仿宋_GB2312" w:eastAsia="仿宋_GB2312" w:cs="仿宋_GB2312"/>
                <w:b/>
                <w:kern w:val="0"/>
                <w:sz w:val="32"/>
                <w:szCs w:val="32"/>
                <w:highlight w:val="none"/>
              </w:rPr>
            </w:pPr>
          </w:p>
        </w:tc>
        <w:tc>
          <w:tcPr>
            <w:tcW w:w="3546" w:type="dxa"/>
          </w:tcPr>
          <w:p w14:paraId="64B4454F">
            <w:pPr>
              <w:jc w:val="center"/>
              <w:rPr>
                <w:rFonts w:ascii="仿宋_GB2312" w:hAnsi="仿宋_GB2312" w:eastAsia="仿宋_GB2312" w:cs="仿宋_GB2312"/>
                <w:b/>
                <w:kern w:val="0"/>
                <w:sz w:val="32"/>
                <w:szCs w:val="32"/>
                <w:highlight w:val="none"/>
              </w:rPr>
            </w:pPr>
          </w:p>
        </w:tc>
        <w:tc>
          <w:tcPr>
            <w:tcW w:w="1276" w:type="dxa"/>
          </w:tcPr>
          <w:p w14:paraId="32B15A24">
            <w:pPr>
              <w:jc w:val="center"/>
              <w:rPr>
                <w:rFonts w:ascii="仿宋_GB2312" w:hAnsi="仿宋_GB2312" w:eastAsia="仿宋_GB2312" w:cs="仿宋_GB2312"/>
                <w:b/>
                <w:kern w:val="0"/>
                <w:sz w:val="32"/>
                <w:szCs w:val="32"/>
                <w:highlight w:val="none"/>
              </w:rPr>
            </w:pPr>
          </w:p>
        </w:tc>
      </w:tr>
      <w:tr w14:paraId="00F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DCC4A">
            <w:pPr>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tc>
        <w:tc>
          <w:tcPr>
            <w:tcW w:w="3683" w:type="dxa"/>
          </w:tcPr>
          <w:p w14:paraId="2CE62AEB">
            <w:pPr>
              <w:jc w:val="center"/>
              <w:rPr>
                <w:rFonts w:ascii="仿宋_GB2312" w:hAnsi="仿宋_GB2312" w:eastAsia="仿宋_GB2312" w:cs="仿宋_GB2312"/>
                <w:b/>
                <w:kern w:val="0"/>
                <w:sz w:val="32"/>
                <w:szCs w:val="32"/>
                <w:highlight w:val="none"/>
              </w:rPr>
            </w:pPr>
          </w:p>
        </w:tc>
        <w:tc>
          <w:tcPr>
            <w:tcW w:w="3546" w:type="dxa"/>
          </w:tcPr>
          <w:p w14:paraId="5FCFA71E">
            <w:pPr>
              <w:jc w:val="center"/>
              <w:rPr>
                <w:rFonts w:ascii="仿宋_GB2312" w:hAnsi="仿宋_GB2312" w:eastAsia="仿宋_GB2312" w:cs="仿宋_GB2312"/>
                <w:b/>
                <w:kern w:val="0"/>
                <w:sz w:val="32"/>
                <w:szCs w:val="32"/>
                <w:highlight w:val="none"/>
              </w:rPr>
            </w:pPr>
          </w:p>
        </w:tc>
        <w:tc>
          <w:tcPr>
            <w:tcW w:w="1276" w:type="dxa"/>
          </w:tcPr>
          <w:p w14:paraId="5E02BAF5">
            <w:pPr>
              <w:jc w:val="center"/>
              <w:rPr>
                <w:rFonts w:ascii="仿宋_GB2312" w:hAnsi="仿宋_GB2312" w:eastAsia="仿宋_GB2312" w:cs="仿宋_GB2312"/>
                <w:b/>
                <w:kern w:val="0"/>
                <w:sz w:val="32"/>
                <w:szCs w:val="32"/>
                <w:highlight w:val="none"/>
              </w:rPr>
            </w:pPr>
          </w:p>
        </w:tc>
      </w:tr>
      <w:tr w14:paraId="47BF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F1FA59">
            <w:pPr>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p>
        </w:tc>
        <w:tc>
          <w:tcPr>
            <w:tcW w:w="3683" w:type="dxa"/>
          </w:tcPr>
          <w:p w14:paraId="752B4133">
            <w:pPr>
              <w:jc w:val="center"/>
              <w:rPr>
                <w:rFonts w:ascii="仿宋_GB2312" w:hAnsi="仿宋_GB2312" w:eastAsia="仿宋_GB2312" w:cs="仿宋_GB2312"/>
                <w:b/>
                <w:kern w:val="0"/>
                <w:sz w:val="32"/>
                <w:szCs w:val="32"/>
                <w:highlight w:val="none"/>
              </w:rPr>
            </w:pPr>
          </w:p>
        </w:tc>
        <w:tc>
          <w:tcPr>
            <w:tcW w:w="3546" w:type="dxa"/>
          </w:tcPr>
          <w:p w14:paraId="4ACB1C7F">
            <w:pPr>
              <w:jc w:val="center"/>
              <w:rPr>
                <w:rFonts w:ascii="仿宋_GB2312" w:hAnsi="仿宋_GB2312" w:eastAsia="仿宋_GB2312" w:cs="仿宋_GB2312"/>
                <w:b/>
                <w:kern w:val="0"/>
                <w:sz w:val="32"/>
                <w:szCs w:val="32"/>
                <w:highlight w:val="none"/>
              </w:rPr>
            </w:pPr>
          </w:p>
        </w:tc>
        <w:tc>
          <w:tcPr>
            <w:tcW w:w="1276" w:type="dxa"/>
          </w:tcPr>
          <w:p w14:paraId="3E90668D">
            <w:pPr>
              <w:jc w:val="center"/>
              <w:rPr>
                <w:rFonts w:ascii="仿宋_GB2312" w:hAnsi="仿宋_GB2312" w:eastAsia="仿宋_GB2312" w:cs="仿宋_GB2312"/>
                <w:b/>
                <w:kern w:val="0"/>
                <w:sz w:val="32"/>
                <w:szCs w:val="32"/>
                <w:highlight w:val="none"/>
              </w:rPr>
            </w:pPr>
          </w:p>
        </w:tc>
      </w:tr>
    </w:tbl>
    <w:p w14:paraId="70213C20">
      <w:pPr>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投标人保证：除商务技术偏离表列出的偏离外，投标人响应招标文件的全部要求</w:t>
      </w:r>
    </w:p>
    <w:p w14:paraId="1908F350">
      <w:pPr>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注：按本格式和要求提供。</w:t>
      </w:r>
    </w:p>
    <w:p w14:paraId="7C8D1773">
      <w:pPr>
        <w:ind w:firstLine="1911" w:firstLineChars="595"/>
        <w:rPr>
          <w:rFonts w:ascii="仿宋_GB2312" w:hAnsi="仿宋_GB2312" w:eastAsia="仿宋_GB2312" w:cs="仿宋_GB2312"/>
          <w:b/>
          <w:kern w:val="0"/>
          <w:sz w:val="32"/>
          <w:szCs w:val="32"/>
          <w:highlight w:val="none"/>
        </w:rPr>
      </w:pPr>
    </w:p>
    <w:p w14:paraId="2B0FEF0C">
      <w:pPr>
        <w:snapToGrid w:val="0"/>
        <w:spacing w:line="360" w:lineRule="auto"/>
        <w:ind w:firstLine="576"/>
        <w:jc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 xml:space="preserve">投标人名称(电子签名)：                              </w:t>
      </w:r>
    </w:p>
    <w:p w14:paraId="7874130B">
      <w:pPr>
        <w:jc w:val="center"/>
        <w:rPr>
          <w:rFonts w:ascii="仿宋_GB2312" w:hAnsi="仿宋_GB2312" w:eastAsia="仿宋_GB2312" w:cs="仿宋_GB2312"/>
          <w:highlight w:val="none"/>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kern w:val="0"/>
          <w:sz w:val="24"/>
          <w:highlight w:val="none"/>
          <w:lang w:val="zh-CN"/>
        </w:rPr>
        <w:t xml:space="preserve">                   日期：  年  月  日</w:t>
      </w:r>
    </w:p>
    <w:p w14:paraId="03C88089">
      <w:pPr>
        <w:rPr>
          <w:rFonts w:hint="eastAsia" w:ascii="仿宋" w:hAnsi="仿宋" w:eastAsia="仿宋" w:cs="仿宋"/>
          <w:b/>
          <w:color w:val="auto"/>
          <w:kern w:val="0"/>
          <w:sz w:val="32"/>
          <w:szCs w:val="32"/>
          <w:highlight w:val="none"/>
        </w:rPr>
      </w:pPr>
    </w:p>
    <w:p w14:paraId="70B91012">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67BDD877">
      <w:pPr>
        <w:snapToGrid w:val="0"/>
        <w:spacing w:line="360" w:lineRule="auto"/>
        <w:rPr>
          <w:rFonts w:hint="eastAsia" w:ascii="仿宋" w:hAnsi="仿宋" w:eastAsia="仿宋" w:cs="仿宋"/>
          <w:color w:val="auto"/>
          <w:sz w:val="24"/>
          <w:highlight w:val="none"/>
        </w:rPr>
      </w:pPr>
    </w:p>
    <w:p w14:paraId="6F696DF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481110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C1E149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67B607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DB0371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3C0812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110CFB1">
      <w:pPr>
        <w:autoSpaceDE w:val="0"/>
        <w:autoSpaceDN w:val="0"/>
        <w:spacing w:line="360" w:lineRule="auto"/>
        <w:ind w:left="550"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EECCD1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C962C4D">
      <w:pPr>
        <w:autoSpaceDE w:val="0"/>
        <w:autoSpaceDN w:val="0"/>
        <w:spacing w:line="360" w:lineRule="auto"/>
        <w:ind w:left="550"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9F9868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9FAA74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3B4583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3D13A4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2DBE80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775341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A514B0D">
      <w:pPr>
        <w:spacing w:line="360" w:lineRule="auto"/>
        <w:ind w:left="528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6C501D4">
      <w:pPr>
        <w:spacing w:line="360" w:lineRule="auto"/>
        <w:jc w:val="center"/>
        <w:rPr>
          <w:rFonts w:hint="eastAsia" w:ascii="仿宋" w:hAnsi="仿宋" w:eastAsia="仿宋" w:cs="仿宋"/>
          <w:b/>
          <w:bCs/>
          <w:color w:val="auto"/>
          <w:sz w:val="24"/>
          <w:highlight w:val="none"/>
        </w:rPr>
      </w:pPr>
    </w:p>
    <w:p w14:paraId="3BFC13C3">
      <w:pPr>
        <w:spacing w:line="360" w:lineRule="auto"/>
        <w:jc w:val="center"/>
        <w:rPr>
          <w:rFonts w:hint="eastAsia" w:ascii="仿宋" w:hAnsi="仿宋" w:eastAsia="仿宋" w:cs="仿宋"/>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41F03FC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8BE242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F2F88EE">
      <w:pPr>
        <w:spacing w:line="360" w:lineRule="auto"/>
        <w:jc w:val="center"/>
        <w:outlineLvl w:val="0"/>
        <w:rPr>
          <w:rFonts w:hint="eastAsia" w:ascii="仿宋" w:hAnsi="仿宋" w:eastAsia="仿宋" w:cs="仿宋"/>
          <w:b/>
          <w:color w:val="auto"/>
          <w:kern w:val="0"/>
          <w:sz w:val="36"/>
          <w:szCs w:val="36"/>
          <w:highlight w:val="none"/>
        </w:rPr>
      </w:pPr>
    </w:p>
    <w:p w14:paraId="3145EB1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721771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08EACBFB">
      <w:pPr>
        <w:snapToGrid w:val="0"/>
        <w:spacing w:line="360" w:lineRule="auto"/>
        <w:ind w:right="480"/>
        <w:jc w:val="center"/>
        <w:rPr>
          <w:rFonts w:hint="eastAsia" w:ascii="仿宋" w:hAnsi="仿宋" w:eastAsia="仿宋" w:cs="仿宋"/>
          <w:b/>
          <w:color w:val="auto"/>
          <w:kern w:val="0"/>
          <w:sz w:val="32"/>
          <w:szCs w:val="32"/>
          <w:highlight w:val="none"/>
        </w:rPr>
      </w:pPr>
    </w:p>
    <w:p w14:paraId="13BB6936">
      <w:pPr>
        <w:snapToGrid w:val="0"/>
        <w:spacing w:line="360" w:lineRule="auto"/>
        <w:ind w:right="480"/>
        <w:jc w:val="center"/>
        <w:rPr>
          <w:rFonts w:hint="eastAsia" w:ascii="仿宋" w:hAnsi="仿宋" w:eastAsia="仿宋" w:cs="仿宋"/>
          <w:b/>
          <w:color w:val="auto"/>
          <w:kern w:val="0"/>
          <w:sz w:val="32"/>
          <w:szCs w:val="32"/>
          <w:highlight w:val="none"/>
        </w:rPr>
      </w:pPr>
    </w:p>
    <w:p w14:paraId="66618AB3">
      <w:pPr>
        <w:snapToGrid w:val="0"/>
        <w:spacing w:line="360" w:lineRule="auto"/>
        <w:ind w:right="480"/>
        <w:jc w:val="center"/>
        <w:rPr>
          <w:rFonts w:hint="eastAsia" w:ascii="仿宋" w:hAnsi="仿宋" w:eastAsia="仿宋" w:cs="仿宋"/>
          <w:b/>
          <w:color w:val="auto"/>
          <w:kern w:val="0"/>
          <w:sz w:val="32"/>
          <w:szCs w:val="32"/>
          <w:highlight w:val="none"/>
        </w:rPr>
      </w:pPr>
    </w:p>
    <w:p w14:paraId="78FFA871">
      <w:pPr>
        <w:snapToGrid w:val="0"/>
        <w:spacing w:line="360" w:lineRule="auto"/>
        <w:ind w:right="480"/>
        <w:jc w:val="center"/>
        <w:rPr>
          <w:rFonts w:hint="eastAsia" w:ascii="仿宋" w:hAnsi="仿宋" w:eastAsia="仿宋" w:cs="仿宋"/>
          <w:b/>
          <w:color w:val="auto"/>
          <w:kern w:val="0"/>
          <w:sz w:val="32"/>
          <w:szCs w:val="32"/>
          <w:highlight w:val="none"/>
        </w:rPr>
      </w:pPr>
    </w:p>
    <w:p w14:paraId="4EEABFA3">
      <w:pPr>
        <w:snapToGrid w:val="0"/>
        <w:spacing w:line="360" w:lineRule="auto"/>
        <w:ind w:right="480"/>
        <w:jc w:val="center"/>
        <w:rPr>
          <w:rFonts w:hint="eastAsia" w:ascii="仿宋" w:hAnsi="仿宋" w:eastAsia="仿宋" w:cs="仿宋"/>
          <w:b/>
          <w:color w:val="auto"/>
          <w:kern w:val="0"/>
          <w:sz w:val="32"/>
          <w:szCs w:val="32"/>
          <w:highlight w:val="none"/>
        </w:rPr>
      </w:pPr>
    </w:p>
    <w:p w14:paraId="1B44E66F">
      <w:pPr>
        <w:snapToGrid w:val="0"/>
        <w:spacing w:line="360" w:lineRule="auto"/>
        <w:ind w:right="480"/>
        <w:jc w:val="center"/>
        <w:rPr>
          <w:rFonts w:hint="eastAsia" w:ascii="仿宋" w:hAnsi="仿宋" w:eastAsia="仿宋" w:cs="仿宋"/>
          <w:b/>
          <w:color w:val="auto"/>
          <w:kern w:val="0"/>
          <w:sz w:val="32"/>
          <w:szCs w:val="32"/>
          <w:highlight w:val="none"/>
        </w:rPr>
      </w:pPr>
    </w:p>
    <w:p w14:paraId="4883A9EE">
      <w:pPr>
        <w:snapToGrid w:val="0"/>
        <w:spacing w:line="360" w:lineRule="auto"/>
        <w:ind w:right="480"/>
        <w:jc w:val="center"/>
        <w:rPr>
          <w:rFonts w:hint="eastAsia" w:ascii="仿宋" w:hAnsi="仿宋" w:eastAsia="仿宋" w:cs="仿宋"/>
          <w:b/>
          <w:color w:val="auto"/>
          <w:kern w:val="0"/>
          <w:sz w:val="32"/>
          <w:szCs w:val="32"/>
          <w:highlight w:val="none"/>
        </w:rPr>
      </w:pPr>
    </w:p>
    <w:p w14:paraId="4D344393">
      <w:pPr>
        <w:snapToGrid w:val="0"/>
        <w:spacing w:line="360" w:lineRule="auto"/>
        <w:ind w:right="480"/>
        <w:jc w:val="center"/>
        <w:rPr>
          <w:rFonts w:hint="eastAsia" w:ascii="仿宋" w:hAnsi="仿宋" w:eastAsia="仿宋" w:cs="仿宋"/>
          <w:b/>
          <w:color w:val="auto"/>
          <w:kern w:val="0"/>
          <w:sz w:val="32"/>
          <w:szCs w:val="32"/>
          <w:highlight w:val="none"/>
        </w:rPr>
      </w:pPr>
    </w:p>
    <w:p w14:paraId="02E23647">
      <w:pPr>
        <w:snapToGrid w:val="0"/>
        <w:spacing w:line="360" w:lineRule="auto"/>
        <w:ind w:right="480"/>
        <w:jc w:val="center"/>
        <w:rPr>
          <w:rFonts w:hint="eastAsia" w:ascii="仿宋" w:hAnsi="仿宋" w:eastAsia="仿宋" w:cs="仿宋"/>
          <w:b/>
          <w:color w:val="auto"/>
          <w:kern w:val="0"/>
          <w:sz w:val="32"/>
          <w:szCs w:val="32"/>
          <w:highlight w:val="none"/>
        </w:rPr>
      </w:pPr>
    </w:p>
    <w:p w14:paraId="4DCE3993">
      <w:pPr>
        <w:snapToGrid w:val="0"/>
        <w:spacing w:line="360" w:lineRule="auto"/>
        <w:ind w:right="480"/>
        <w:jc w:val="center"/>
        <w:rPr>
          <w:rFonts w:hint="eastAsia" w:ascii="仿宋" w:hAnsi="仿宋" w:eastAsia="仿宋" w:cs="仿宋"/>
          <w:b/>
          <w:color w:val="auto"/>
          <w:kern w:val="0"/>
          <w:sz w:val="32"/>
          <w:szCs w:val="32"/>
          <w:highlight w:val="none"/>
        </w:rPr>
      </w:pPr>
    </w:p>
    <w:p w14:paraId="2E8F0FD9">
      <w:pPr>
        <w:snapToGrid w:val="0"/>
        <w:spacing w:line="360" w:lineRule="auto"/>
        <w:ind w:right="480"/>
        <w:jc w:val="center"/>
        <w:rPr>
          <w:rFonts w:hint="eastAsia" w:ascii="仿宋" w:hAnsi="仿宋" w:eastAsia="仿宋" w:cs="仿宋"/>
          <w:b/>
          <w:color w:val="auto"/>
          <w:kern w:val="0"/>
          <w:sz w:val="32"/>
          <w:szCs w:val="32"/>
          <w:highlight w:val="none"/>
        </w:rPr>
      </w:pPr>
    </w:p>
    <w:p w14:paraId="49364304">
      <w:pPr>
        <w:snapToGrid w:val="0"/>
        <w:spacing w:line="360" w:lineRule="auto"/>
        <w:ind w:right="480"/>
        <w:jc w:val="center"/>
        <w:rPr>
          <w:rFonts w:hint="eastAsia" w:ascii="仿宋" w:hAnsi="仿宋" w:eastAsia="仿宋" w:cs="仿宋"/>
          <w:b/>
          <w:color w:val="auto"/>
          <w:kern w:val="0"/>
          <w:sz w:val="32"/>
          <w:szCs w:val="32"/>
          <w:highlight w:val="none"/>
        </w:rPr>
      </w:pPr>
    </w:p>
    <w:p w14:paraId="0A6DC3AF">
      <w:pPr>
        <w:snapToGrid w:val="0"/>
        <w:spacing w:line="360" w:lineRule="auto"/>
        <w:ind w:right="480"/>
        <w:jc w:val="center"/>
        <w:rPr>
          <w:rFonts w:hint="eastAsia" w:ascii="仿宋" w:hAnsi="仿宋" w:eastAsia="仿宋" w:cs="仿宋"/>
          <w:b/>
          <w:color w:val="auto"/>
          <w:kern w:val="0"/>
          <w:sz w:val="32"/>
          <w:szCs w:val="32"/>
          <w:highlight w:val="none"/>
        </w:rPr>
      </w:pPr>
    </w:p>
    <w:p w14:paraId="27FCA9CE">
      <w:pPr>
        <w:snapToGrid w:val="0"/>
        <w:spacing w:line="360" w:lineRule="auto"/>
        <w:ind w:right="480"/>
        <w:jc w:val="center"/>
        <w:rPr>
          <w:rFonts w:hint="eastAsia" w:ascii="仿宋" w:hAnsi="仿宋" w:eastAsia="仿宋" w:cs="仿宋"/>
          <w:b/>
          <w:color w:val="auto"/>
          <w:kern w:val="0"/>
          <w:sz w:val="32"/>
          <w:szCs w:val="32"/>
          <w:highlight w:val="none"/>
        </w:rPr>
      </w:pPr>
    </w:p>
    <w:p w14:paraId="114A4E33">
      <w:pPr>
        <w:snapToGrid w:val="0"/>
        <w:spacing w:line="360" w:lineRule="auto"/>
        <w:ind w:right="480"/>
        <w:jc w:val="center"/>
        <w:rPr>
          <w:rFonts w:hint="eastAsia" w:ascii="仿宋" w:hAnsi="仿宋" w:eastAsia="仿宋" w:cs="仿宋"/>
          <w:b/>
          <w:color w:val="auto"/>
          <w:kern w:val="0"/>
          <w:sz w:val="32"/>
          <w:szCs w:val="32"/>
          <w:highlight w:val="none"/>
        </w:rPr>
      </w:pPr>
    </w:p>
    <w:p w14:paraId="79C32C27">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E059B7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一、开标一览表（报价表）</w:t>
      </w:r>
    </w:p>
    <w:p w14:paraId="27451424">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lang w:eastAsia="zh-CN"/>
        </w:rPr>
        <w:t>杭州市钱塘区人民政府</w:t>
      </w:r>
      <w:r>
        <w:rPr>
          <w:rFonts w:hint="eastAsia" w:ascii="仿宋" w:hAnsi="仿宋" w:cs="仿宋"/>
          <w:sz w:val="24"/>
          <w:highlight w:val="none"/>
          <w:u w:val="single"/>
          <w:lang w:val="en-US" w:eastAsia="zh-CN"/>
        </w:rPr>
        <w:t>义蓬</w:t>
      </w:r>
      <w:r>
        <w:rPr>
          <w:rFonts w:hint="eastAsia" w:ascii="仿宋" w:hAnsi="仿宋" w:eastAsia="仿宋" w:cs="仿宋"/>
          <w:sz w:val="24"/>
          <w:highlight w:val="none"/>
          <w:u w:val="single"/>
          <w:lang w:eastAsia="zh-CN"/>
        </w:rPr>
        <w:t>街道办事处、浙江中合工程管理有限公司</w:t>
      </w:r>
      <w:r>
        <w:rPr>
          <w:rFonts w:hint="eastAsia" w:ascii="仿宋" w:hAnsi="仿宋" w:eastAsia="仿宋" w:cs="仿宋"/>
          <w:kern w:val="0"/>
          <w:sz w:val="24"/>
          <w:highlight w:val="none"/>
          <w:lang w:val="zh-CN"/>
        </w:rPr>
        <w:t>：</w:t>
      </w:r>
    </w:p>
    <w:p w14:paraId="64A155F8">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kern w:val="0"/>
          <w:sz w:val="24"/>
          <w:highlight w:val="none"/>
          <w:lang w:val="zh-CN"/>
        </w:rPr>
        <w:t>【项目编号：</w:t>
      </w:r>
      <w:r>
        <w:rPr>
          <w:rFonts w:hint="eastAsia" w:ascii="仿宋" w:hAnsi="仿宋" w:cs="仿宋"/>
          <w:kern w:val="0"/>
          <w:sz w:val="24"/>
          <w:highlight w:val="none"/>
          <w:lang w:val="en-US" w:eastAsia="zh-CN"/>
        </w:rPr>
        <w:t>**</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6D24C311">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30F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1D5DAF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noWrap w:val="0"/>
            <w:vAlign w:val="center"/>
          </w:tcPr>
          <w:p w14:paraId="68457C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noWrap w:val="0"/>
            <w:vAlign w:val="top"/>
          </w:tcPr>
          <w:p w14:paraId="3AB1DBDF">
            <w:pPr>
              <w:spacing w:line="360" w:lineRule="auto"/>
              <w:jc w:val="center"/>
              <w:rPr>
                <w:rFonts w:ascii="宋体" w:hAnsi="宋体" w:cs="宋体"/>
                <w:b/>
                <w:color w:val="auto"/>
                <w:sz w:val="24"/>
                <w:highlight w:val="none"/>
              </w:rPr>
            </w:pPr>
          </w:p>
          <w:p w14:paraId="241E0E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noWrap w:val="0"/>
            <w:vAlign w:val="center"/>
          </w:tcPr>
          <w:p w14:paraId="0A23AE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noWrap w:val="0"/>
            <w:vAlign w:val="center"/>
          </w:tcPr>
          <w:p w14:paraId="354FFE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noWrap w:val="0"/>
            <w:vAlign w:val="center"/>
          </w:tcPr>
          <w:p w14:paraId="69E224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noWrap w:val="0"/>
            <w:vAlign w:val="top"/>
          </w:tcPr>
          <w:p w14:paraId="0DD1AE73">
            <w:pPr>
              <w:spacing w:line="360" w:lineRule="auto"/>
              <w:jc w:val="center"/>
              <w:rPr>
                <w:rFonts w:ascii="宋体" w:hAnsi="宋体" w:cs="宋体"/>
                <w:b/>
                <w:color w:val="auto"/>
                <w:sz w:val="24"/>
                <w:highlight w:val="none"/>
              </w:rPr>
            </w:pPr>
          </w:p>
          <w:p w14:paraId="24B39C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noWrap w:val="0"/>
            <w:vAlign w:val="center"/>
          </w:tcPr>
          <w:p w14:paraId="4A738003">
            <w:pPr>
              <w:spacing w:line="360" w:lineRule="auto"/>
              <w:jc w:val="center"/>
              <w:rPr>
                <w:rFonts w:ascii="宋体" w:hAnsi="宋体" w:cs="宋体"/>
                <w:b/>
                <w:color w:val="auto"/>
                <w:sz w:val="24"/>
                <w:highlight w:val="none"/>
              </w:rPr>
            </w:pPr>
          </w:p>
          <w:p w14:paraId="388B2E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79403FE">
            <w:pPr>
              <w:spacing w:line="360" w:lineRule="auto"/>
              <w:jc w:val="center"/>
              <w:rPr>
                <w:rFonts w:ascii="宋体" w:hAnsi="宋体" w:cs="宋体"/>
                <w:b/>
                <w:color w:val="auto"/>
                <w:sz w:val="24"/>
                <w:highlight w:val="none"/>
              </w:rPr>
            </w:pPr>
          </w:p>
        </w:tc>
      </w:tr>
      <w:tr w14:paraId="2925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3723A1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noWrap w:val="0"/>
            <w:vAlign w:val="center"/>
          </w:tcPr>
          <w:p w14:paraId="211E59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noWrap w:val="0"/>
            <w:vAlign w:val="center"/>
          </w:tcPr>
          <w:p w14:paraId="544EE228">
            <w:pPr>
              <w:snapToGrid w:val="0"/>
              <w:spacing w:line="360" w:lineRule="auto"/>
              <w:jc w:val="center"/>
              <w:rPr>
                <w:rFonts w:ascii="宋体" w:hAnsi="宋体" w:cs="宋体"/>
                <w:color w:val="auto"/>
                <w:sz w:val="24"/>
                <w:highlight w:val="none"/>
              </w:rPr>
            </w:pPr>
          </w:p>
        </w:tc>
        <w:tc>
          <w:tcPr>
            <w:tcW w:w="2410" w:type="dxa"/>
            <w:noWrap w:val="0"/>
            <w:vAlign w:val="center"/>
          </w:tcPr>
          <w:p w14:paraId="7C3B4045">
            <w:pPr>
              <w:snapToGrid w:val="0"/>
              <w:spacing w:line="360" w:lineRule="auto"/>
              <w:jc w:val="center"/>
              <w:rPr>
                <w:rFonts w:ascii="宋体" w:hAnsi="宋体" w:cs="宋体"/>
                <w:color w:val="auto"/>
                <w:sz w:val="24"/>
                <w:highlight w:val="none"/>
              </w:rPr>
            </w:pPr>
          </w:p>
        </w:tc>
        <w:tc>
          <w:tcPr>
            <w:tcW w:w="2268" w:type="dxa"/>
            <w:noWrap w:val="0"/>
            <w:vAlign w:val="center"/>
          </w:tcPr>
          <w:p w14:paraId="0FC805C1">
            <w:pPr>
              <w:snapToGrid w:val="0"/>
              <w:spacing w:line="360" w:lineRule="auto"/>
              <w:jc w:val="center"/>
              <w:rPr>
                <w:rFonts w:ascii="宋体" w:hAnsi="宋体" w:cs="宋体"/>
                <w:color w:val="auto"/>
                <w:sz w:val="24"/>
                <w:highlight w:val="none"/>
              </w:rPr>
            </w:pPr>
          </w:p>
        </w:tc>
        <w:tc>
          <w:tcPr>
            <w:tcW w:w="2126" w:type="dxa"/>
            <w:noWrap w:val="0"/>
            <w:vAlign w:val="center"/>
          </w:tcPr>
          <w:p w14:paraId="4FECE317">
            <w:pPr>
              <w:spacing w:line="360" w:lineRule="auto"/>
              <w:jc w:val="center"/>
              <w:rPr>
                <w:rFonts w:ascii="宋体" w:hAnsi="宋体" w:cs="宋体"/>
                <w:color w:val="auto"/>
                <w:sz w:val="24"/>
                <w:highlight w:val="none"/>
              </w:rPr>
            </w:pPr>
          </w:p>
        </w:tc>
        <w:tc>
          <w:tcPr>
            <w:tcW w:w="2127" w:type="dxa"/>
            <w:noWrap w:val="0"/>
            <w:vAlign w:val="top"/>
          </w:tcPr>
          <w:p w14:paraId="364065C8">
            <w:pPr>
              <w:spacing w:line="360" w:lineRule="auto"/>
              <w:jc w:val="center"/>
              <w:rPr>
                <w:rFonts w:ascii="宋体" w:hAnsi="宋体" w:cs="宋体"/>
                <w:color w:val="auto"/>
                <w:sz w:val="24"/>
                <w:highlight w:val="none"/>
              </w:rPr>
            </w:pPr>
          </w:p>
        </w:tc>
        <w:tc>
          <w:tcPr>
            <w:tcW w:w="2126" w:type="dxa"/>
            <w:noWrap w:val="0"/>
            <w:vAlign w:val="center"/>
          </w:tcPr>
          <w:p w14:paraId="453E1FC2">
            <w:pPr>
              <w:spacing w:line="360" w:lineRule="auto"/>
              <w:jc w:val="center"/>
              <w:rPr>
                <w:rFonts w:ascii="宋体" w:hAnsi="宋体" w:cs="宋体"/>
                <w:color w:val="auto"/>
                <w:sz w:val="24"/>
                <w:highlight w:val="none"/>
              </w:rPr>
            </w:pPr>
          </w:p>
        </w:tc>
      </w:tr>
      <w:tr w14:paraId="470D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40D319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noWrap w:val="0"/>
            <w:vAlign w:val="center"/>
          </w:tcPr>
          <w:p w14:paraId="6AF620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noWrap w:val="0"/>
            <w:vAlign w:val="center"/>
          </w:tcPr>
          <w:p w14:paraId="72D008D3">
            <w:pPr>
              <w:snapToGrid w:val="0"/>
              <w:spacing w:line="360" w:lineRule="auto"/>
              <w:jc w:val="center"/>
              <w:rPr>
                <w:rFonts w:ascii="宋体" w:hAnsi="宋体" w:cs="宋体"/>
                <w:color w:val="auto"/>
                <w:sz w:val="24"/>
                <w:highlight w:val="none"/>
              </w:rPr>
            </w:pPr>
          </w:p>
        </w:tc>
        <w:tc>
          <w:tcPr>
            <w:tcW w:w="2410" w:type="dxa"/>
            <w:noWrap w:val="0"/>
            <w:vAlign w:val="center"/>
          </w:tcPr>
          <w:p w14:paraId="765A3134">
            <w:pPr>
              <w:snapToGrid w:val="0"/>
              <w:spacing w:line="360" w:lineRule="auto"/>
              <w:jc w:val="center"/>
              <w:rPr>
                <w:rFonts w:ascii="宋体" w:hAnsi="宋体" w:cs="宋体"/>
                <w:color w:val="auto"/>
                <w:sz w:val="24"/>
                <w:highlight w:val="none"/>
              </w:rPr>
            </w:pPr>
          </w:p>
        </w:tc>
        <w:tc>
          <w:tcPr>
            <w:tcW w:w="2268" w:type="dxa"/>
            <w:noWrap w:val="0"/>
            <w:vAlign w:val="center"/>
          </w:tcPr>
          <w:p w14:paraId="2BA5D257">
            <w:pPr>
              <w:snapToGrid w:val="0"/>
              <w:spacing w:line="360" w:lineRule="auto"/>
              <w:jc w:val="center"/>
              <w:rPr>
                <w:rFonts w:ascii="宋体" w:hAnsi="宋体" w:cs="宋体"/>
                <w:color w:val="auto"/>
                <w:sz w:val="24"/>
                <w:highlight w:val="none"/>
              </w:rPr>
            </w:pPr>
          </w:p>
        </w:tc>
        <w:tc>
          <w:tcPr>
            <w:tcW w:w="2126" w:type="dxa"/>
            <w:noWrap w:val="0"/>
            <w:vAlign w:val="center"/>
          </w:tcPr>
          <w:p w14:paraId="022C063B">
            <w:pPr>
              <w:spacing w:line="360" w:lineRule="auto"/>
              <w:jc w:val="center"/>
              <w:rPr>
                <w:rFonts w:ascii="宋体" w:hAnsi="宋体" w:cs="宋体"/>
                <w:color w:val="auto"/>
                <w:sz w:val="24"/>
                <w:highlight w:val="none"/>
              </w:rPr>
            </w:pPr>
          </w:p>
        </w:tc>
        <w:tc>
          <w:tcPr>
            <w:tcW w:w="2127" w:type="dxa"/>
            <w:noWrap w:val="0"/>
            <w:vAlign w:val="top"/>
          </w:tcPr>
          <w:p w14:paraId="0CC777BF">
            <w:pPr>
              <w:spacing w:line="360" w:lineRule="auto"/>
              <w:jc w:val="center"/>
              <w:rPr>
                <w:rFonts w:ascii="宋体" w:hAnsi="宋体" w:cs="宋体"/>
                <w:color w:val="auto"/>
                <w:sz w:val="24"/>
                <w:highlight w:val="none"/>
              </w:rPr>
            </w:pPr>
          </w:p>
        </w:tc>
        <w:tc>
          <w:tcPr>
            <w:tcW w:w="2126" w:type="dxa"/>
            <w:noWrap w:val="0"/>
            <w:vAlign w:val="center"/>
          </w:tcPr>
          <w:p w14:paraId="2678C5FE">
            <w:pPr>
              <w:spacing w:line="360" w:lineRule="auto"/>
              <w:jc w:val="center"/>
              <w:rPr>
                <w:rFonts w:ascii="宋体" w:hAnsi="宋体" w:cs="宋体"/>
                <w:color w:val="auto"/>
                <w:sz w:val="24"/>
                <w:highlight w:val="none"/>
              </w:rPr>
            </w:pPr>
          </w:p>
        </w:tc>
      </w:tr>
      <w:tr w14:paraId="7CD1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1A9F27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noWrap w:val="0"/>
            <w:vAlign w:val="center"/>
          </w:tcPr>
          <w:p w14:paraId="27D63E25">
            <w:pPr>
              <w:snapToGrid w:val="0"/>
              <w:spacing w:line="360" w:lineRule="auto"/>
              <w:jc w:val="center"/>
              <w:rPr>
                <w:rFonts w:ascii="宋体" w:hAnsi="宋体" w:cs="宋体"/>
                <w:color w:val="auto"/>
                <w:sz w:val="24"/>
                <w:highlight w:val="none"/>
              </w:rPr>
            </w:pPr>
          </w:p>
        </w:tc>
        <w:tc>
          <w:tcPr>
            <w:tcW w:w="2268" w:type="dxa"/>
            <w:noWrap w:val="0"/>
            <w:vAlign w:val="center"/>
          </w:tcPr>
          <w:p w14:paraId="55A6D261">
            <w:pPr>
              <w:snapToGrid w:val="0"/>
              <w:spacing w:line="360" w:lineRule="auto"/>
              <w:jc w:val="center"/>
              <w:rPr>
                <w:rFonts w:ascii="宋体" w:hAnsi="宋体" w:cs="宋体"/>
                <w:color w:val="auto"/>
                <w:sz w:val="24"/>
                <w:highlight w:val="none"/>
              </w:rPr>
            </w:pPr>
          </w:p>
        </w:tc>
        <w:tc>
          <w:tcPr>
            <w:tcW w:w="2410" w:type="dxa"/>
            <w:noWrap w:val="0"/>
            <w:vAlign w:val="center"/>
          </w:tcPr>
          <w:p w14:paraId="5F2F7BD9">
            <w:pPr>
              <w:snapToGrid w:val="0"/>
              <w:spacing w:line="360" w:lineRule="auto"/>
              <w:jc w:val="center"/>
              <w:rPr>
                <w:rFonts w:ascii="宋体" w:hAnsi="宋体" w:cs="宋体"/>
                <w:color w:val="auto"/>
                <w:sz w:val="24"/>
                <w:highlight w:val="none"/>
              </w:rPr>
            </w:pPr>
          </w:p>
        </w:tc>
        <w:tc>
          <w:tcPr>
            <w:tcW w:w="2268" w:type="dxa"/>
            <w:noWrap w:val="0"/>
            <w:vAlign w:val="center"/>
          </w:tcPr>
          <w:p w14:paraId="5950E684">
            <w:pPr>
              <w:snapToGrid w:val="0"/>
              <w:spacing w:line="360" w:lineRule="auto"/>
              <w:jc w:val="center"/>
              <w:rPr>
                <w:rFonts w:ascii="宋体" w:hAnsi="宋体" w:cs="宋体"/>
                <w:color w:val="auto"/>
                <w:sz w:val="24"/>
                <w:highlight w:val="none"/>
              </w:rPr>
            </w:pPr>
          </w:p>
        </w:tc>
        <w:tc>
          <w:tcPr>
            <w:tcW w:w="2126" w:type="dxa"/>
            <w:noWrap w:val="0"/>
            <w:vAlign w:val="center"/>
          </w:tcPr>
          <w:p w14:paraId="6F0B448F">
            <w:pPr>
              <w:spacing w:line="360" w:lineRule="auto"/>
              <w:jc w:val="center"/>
              <w:rPr>
                <w:rFonts w:ascii="宋体" w:hAnsi="宋体" w:cs="宋体"/>
                <w:color w:val="auto"/>
                <w:sz w:val="24"/>
                <w:highlight w:val="none"/>
              </w:rPr>
            </w:pPr>
          </w:p>
        </w:tc>
        <w:tc>
          <w:tcPr>
            <w:tcW w:w="2127" w:type="dxa"/>
            <w:noWrap w:val="0"/>
            <w:vAlign w:val="top"/>
          </w:tcPr>
          <w:p w14:paraId="09D3880B">
            <w:pPr>
              <w:spacing w:line="360" w:lineRule="auto"/>
              <w:jc w:val="center"/>
              <w:rPr>
                <w:rFonts w:ascii="宋体" w:hAnsi="宋体" w:cs="宋体"/>
                <w:color w:val="auto"/>
                <w:sz w:val="24"/>
                <w:highlight w:val="none"/>
              </w:rPr>
            </w:pPr>
          </w:p>
        </w:tc>
        <w:tc>
          <w:tcPr>
            <w:tcW w:w="2126" w:type="dxa"/>
            <w:noWrap w:val="0"/>
            <w:vAlign w:val="center"/>
          </w:tcPr>
          <w:p w14:paraId="1666102D">
            <w:pPr>
              <w:spacing w:line="360" w:lineRule="auto"/>
              <w:jc w:val="center"/>
              <w:rPr>
                <w:rFonts w:ascii="宋体" w:hAnsi="宋体" w:cs="宋体"/>
                <w:color w:val="auto"/>
                <w:sz w:val="24"/>
                <w:highlight w:val="none"/>
              </w:rPr>
            </w:pPr>
          </w:p>
        </w:tc>
      </w:tr>
      <w:tr w14:paraId="648C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5D69F146">
            <w:pPr>
              <w:spacing w:line="360" w:lineRule="auto"/>
              <w:jc w:val="center"/>
              <w:rPr>
                <w:rFonts w:ascii="宋体" w:hAnsi="宋体" w:cs="宋体"/>
                <w:color w:val="auto"/>
                <w:sz w:val="24"/>
                <w:highlight w:val="none"/>
              </w:rPr>
            </w:pPr>
          </w:p>
        </w:tc>
        <w:tc>
          <w:tcPr>
            <w:tcW w:w="992" w:type="dxa"/>
            <w:noWrap w:val="0"/>
            <w:vAlign w:val="center"/>
          </w:tcPr>
          <w:p w14:paraId="0C1648DC">
            <w:pPr>
              <w:snapToGrid w:val="0"/>
              <w:spacing w:line="360" w:lineRule="auto"/>
              <w:jc w:val="center"/>
              <w:rPr>
                <w:rFonts w:ascii="宋体" w:hAnsi="宋体" w:cs="宋体"/>
                <w:color w:val="auto"/>
                <w:sz w:val="24"/>
                <w:highlight w:val="none"/>
              </w:rPr>
            </w:pPr>
          </w:p>
        </w:tc>
        <w:tc>
          <w:tcPr>
            <w:tcW w:w="2268" w:type="dxa"/>
            <w:noWrap w:val="0"/>
            <w:vAlign w:val="center"/>
          </w:tcPr>
          <w:p w14:paraId="52361595">
            <w:pPr>
              <w:snapToGrid w:val="0"/>
              <w:spacing w:line="360" w:lineRule="auto"/>
              <w:jc w:val="center"/>
              <w:rPr>
                <w:rFonts w:ascii="宋体" w:hAnsi="宋体" w:cs="宋体"/>
                <w:color w:val="auto"/>
                <w:sz w:val="24"/>
                <w:highlight w:val="none"/>
              </w:rPr>
            </w:pPr>
          </w:p>
        </w:tc>
        <w:tc>
          <w:tcPr>
            <w:tcW w:w="2410" w:type="dxa"/>
            <w:noWrap w:val="0"/>
            <w:vAlign w:val="center"/>
          </w:tcPr>
          <w:p w14:paraId="472A4DC2">
            <w:pPr>
              <w:snapToGrid w:val="0"/>
              <w:spacing w:line="360" w:lineRule="auto"/>
              <w:jc w:val="center"/>
              <w:rPr>
                <w:rFonts w:ascii="宋体" w:hAnsi="宋体" w:cs="宋体"/>
                <w:color w:val="auto"/>
                <w:sz w:val="24"/>
                <w:highlight w:val="none"/>
              </w:rPr>
            </w:pPr>
          </w:p>
        </w:tc>
        <w:tc>
          <w:tcPr>
            <w:tcW w:w="2268" w:type="dxa"/>
            <w:noWrap w:val="0"/>
            <w:vAlign w:val="center"/>
          </w:tcPr>
          <w:p w14:paraId="2191D661">
            <w:pPr>
              <w:snapToGrid w:val="0"/>
              <w:spacing w:line="360" w:lineRule="auto"/>
              <w:jc w:val="center"/>
              <w:rPr>
                <w:rFonts w:ascii="宋体" w:hAnsi="宋体" w:cs="宋体"/>
                <w:color w:val="auto"/>
                <w:sz w:val="24"/>
                <w:highlight w:val="none"/>
              </w:rPr>
            </w:pPr>
          </w:p>
        </w:tc>
        <w:tc>
          <w:tcPr>
            <w:tcW w:w="2126" w:type="dxa"/>
            <w:noWrap w:val="0"/>
            <w:vAlign w:val="center"/>
          </w:tcPr>
          <w:p w14:paraId="3BDAED07">
            <w:pPr>
              <w:spacing w:line="360" w:lineRule="auto"/>
              <w:jc w:val="center"/>
              <w:rPr>
                <w:rFonts w:ascii="宋体" w:hAnsi="宋体" w:cs="宋体"/>
                <w:color w:val="auto"/>
                <w:sz w:val="24"/>
                <w:highlight w:val="none"/>
              </w:rPr>
            </w:pPr>
          </w:p>
        </w:tc>
        <w:tc>
          <w:tcPr>
            <w:tcW w:w="2127" w:type="dxa"/>
            <w:noWrap w:val="0"/>
            <w:vAlign w:val="top"/>
          </w:tcPr>
          <w:p w14:paraId="2BEC4926">
            <w:pPr>
              <w:spacing w:line="360" w:lineRule="auto"/>
              <w:jc w:val="center"/>
              <w:rPr>
                <w:rFonts w:ascii="宋体" w:hAnsi="宋体" w:cs="宋体"/>
                <w:color w:val="auto"/>
                <w:sz w:val="24"/>
                <w:highlight w:val="none"/>
              </w:rPr>
            </w:pPr>
          </w:p>
        </w:tc>
        <w:tc>
          <w:tcPr>
            <w:tcW w:w="2126" w:type="dxa"/>
            <w:noWrap w:val="0"/>
            <w:vAlign w:val="center"/>
          </w:tcPr>
          <w:p w14:paraId="5BCFA539">
            <w:pPr>
              <w:spacing w:line="360" w:lineRule="auto"/>
              <w:jc w:val="center"/>
              <w:rPr>
                <w:rFonts w:ascii="宋体" w:hAnsi="宋体" w:cs="宋体"/>
                <w:color w:val="auto"/>
                <w:sz w:val="24"/>
                <w:highlight w:val="none"/>
              </w:rPr>
            </w:pPr>
          </w:p>
        </w:tc>
      </w:tr>
      <w:tr w14:paraId="22FD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741FE271">
            <w:pPr>
              <w:spacing w:line="360" w:lineRule="auto"/>
              <w:jc w:val="center"/>
              <w:rPr>
                <w:rFonts w:ascii="宋体" w:hAnsi="宋体" w:cs="宋体"/>
                <w:color w:val="auto"/>
                <w:sz w:val="24"/>
                <w:highlight w:val="none"/>
              </w:rPr>
            </w:pPr>
          </w:p>
        </w:tc>
        <w:tc>
          <w:tcPr>
            <w:tcW w:w="992" w:type="dxa"/>
            <w:noWrap w:val="0"/>
            <w:vAlign w:val="center"/>
          </w:tcPr>
          <w:p w14:paraId="41EAEE66">
            <w:pPr>
              <w:snapToGrid w:val="0"/>
              <w:spacing w:line="360" w:lineRule="auto"/>
              <w:jc w:val="center"/>
              <w:rPr>
                <w:rFonts w:ascii="宋体" w:hAnsi="宋体" w:cs="宋体"/>
                <w:color w:val="auto"/>
                <w:sz w:val="24"/>
                <w:highlight w:val="none"/>
              </w:rPr>
            </w:pPr>
          </w:p>
        </w:tc>
        <w:tc>
          <w:tcPr>
            <w:tcW w:w="2268" w:type="dxa"/>
            <w:noWrap w:val="0"/>
            <w:vAlign w:val="center"/>
          </w:tcPr>
          <w:p w14:paraId="1203F62C">
            <w:pPr>
              <w:snapToGrid w:val="0"/>
              <w:spacing w:line="360" w:lineRule="auto"/>
              <w:jc w:val="center"/>
              <w:rPr>
                <w:rFonts w:ascii="宋体" w:hAnsi="宋体" w:cs="宋体"/>
                <w:color w:val="auto"/>
                <w:sz w:val="24"/>
                <w:highlight w:val="none"/>
              </w:rPr>
            </w:pPr>
          </w:p>
        </w:tc>
        <w:tc>
          <w:tcPr>
            <w:tcW w:w="2410" w:type="dxa"/>
            <w:noWrap w:val="0"/>
            <w:vAlign w:val="center"/>
          </w:tcPr>
          <w:p w14:paraId="4BB12E15">
            <w:pPr>
              <w:snapToGrid w:val="0"/>
              <w:spacing w:line="360" w:lineRule="auto"/>
              <w:jc w:val="center"/>
              <w:rPr>
                <w:rFonts w:ascii="宋体" w:hAnsi="宋体" w:cs="宋体"/>
                <w:color w:val="auto"/>
                <w:sz w:val="24"/>
                <w:highlight w:val="none"/>
              </w:rPr>
            </w:pPr>
          </w:p>
        </w:tc>
        <w:tc>
          <w:tcPr>
            <w:tcW w:w="2268" w:type="dxa"/>
            <w:noWrap w:val="0"/>
            <w:vAlign w:val="center"/>
          </w:tcPr>
          <w:p w14:paraId="31536FBE">
            <w:pPr>
              <w:snapToGrid w:val="0"/>
              <w:spacing w:line="360" w:lineRule="auto"/>
              <w:jc w:val="center"/>
              <w:rPr>
                <w:rFonts w:ascii="宋体" w:hAnsi="宋体" w:cs="宋体"/>
                <w:color w:val="auto"/>
                <w:sz w:val="24"/>
                <w:highlight w:val="none"/>
              </w:rPr>
            </w:pPr>
          </w:p>
        </w:tc>
        <w:tc>
          <w:tcPr>
            <w:tcW w:w="2126" w:type="dxa"/>
            <w:noWrap w:val="0"/>
            <w:vAlign w:val="center"/>
          </w:tcPr>
          <w:p w14:paraId="111458C3">
            <w:pPr>
              <w:spacing w:line="360" w:lineRule="auto"/>
              <w:jc w:val="center"/>
              <w:rPr>
                <w:rFonts w:ascii="宋体" w:hAnsi="宋体" w:cs="宋体"/>
                <w:color w:val="auto"/>
                <w:sz w:val="24"/>
                <w:highlight w:val="none"/>
              </w:rPr>
            </w:pPr>
          </w:p>
        </w:tc>
        <w:tc>
          <w:tcPr>
            <w:tcW w:w="2127" w:type="dxa"/>
            <w:noWrap w:val="0"/>
            <w:vAlign w:val="top"/>
          </w:tcPr>
          <w:p w14:paraId="384CABA9">
            <w:pPr>
              <w:spacing w:line="360" w:lineRule="auto"/>
              <w:jc w:val="center"/>
              <w:rPr>
                <w:rFonts w:ascii="宋体" w:hAnsi="宋体" w:cs="宋体"/>
                <w:color w:val="auto"/>
                <w:sz w:val="24"/>
                <w:highlight w:val="none"/>
              </w:rPr>
            </w:pPr>
          </w:p>
        </w:tc>
        <w:tc>
          <w:tcPr>
            <w:tcW w:w="2126" w:type="dxa"/>
            <w:noWrap w:val="0"/>
            <w:vAlign w:val="center"/>
          </w:tcPr>
          <w:p w14:paraId="055B17CC">
            <w:pPr>
              <w:spacing w:line="360" w:lineRule="auto"/>
              <w:jc w:val="center"/>
              <w:rPr>
                <w:rFonts w:ascii="宋体" w:hAnsi="宋体" w:cs="宋体"/>
                <w:color w:val="auto"/>
                <w:sz w:val="24"/>
                <w:highlight w:val="none"/>
              </w:rPr>
            </w:pPr>
          </w:p>
        </w:tc>
      </w:tr>
      <w:tr w14:paraId="6EB4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4FA52F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noWrap w:val="0"/>
            <w:vAlign w:val="top"/>
          </w:tcPr>
          <w:p w14:paraId="2F19D258">
            <w:pPr>
              <w:spacing w:line="360" w:lineRule="auto"/>
              <w:jc w:val="center"/>
              <w:rPr>
                <w:rFonts w:ascii="宋体" w:hAnsi="宋体" w:cs="宋体"/>
                <w:color w:val="auto"/>
                <w:sz w:val="24"/>
                <w:highlight w:val="none"/>
              </w:rPr>
            </w:pPr>
          </w:p>
        </w:tc>
      </w:tr>
      <w:tr w14:paraId="78CF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107F5F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noWrap w:val="0"/>
            <w:vAlign w:val="top"/>
          </w:tcPr>
          <w:p w14:paraId="5B22A277">
            <w:pPr>
              <w:spacing w:line="360" w:lineRule="auto"/>
              <w:jc w:val="center"/>
              <w:rPr>
                <w:rFonts w:ascii="宋体" w:hAnsi="宋体" w:cs="宋体"/>
                <w:color w:val="auto"/>
                <w:sz w:val="24"/>
                <w:highlight w:val="none"/>
              </w:rPr>
            </w:pPr>
          </w:p>
        </w:tc>
      </w:tr>
    </w:tbl>
    <w:p w14:paraId="66EE0E4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47B199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DFB920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58905E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E81CBD1">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B158D12">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7A41B986">
      <w:pPr>
        <w:autoSpaceDE w:val="0"/>
        <w:autoSpaceDN w:val="0"/>
        <w:spacing w:line="360" w:lineRule="auto"/>
        <w:ind w:left="2" w:leftChars="1" w:right="1120" w:firstLine="8880" w:firstLineChars="3700"/>
        <w:jc w:val="left"/>
        <w:rPr>
          <w:rFonts w:hint="eastAsia" w:ascii="仿宋" w:hAnsi="仿宋" w:eastAsia="仿宋" w:cs="仿宋"/>
          <w:color w:val="auto"/>
          <w:kern w:val="2"/>
          <w:sz w:val="32"/>
          <w:szCs w:val="32"/>
          <w:highlight w:val="none"/>
        </w:rPr>
        <w:sectPr>
          <w:headerReference r:id="rId18" w:type="first"/>
          <w:footerReference r:id="rId20" w:type="first"/>
          <w:headerReference r:id="rId17" w:type="default"/>
          <w:footerReference r:id="rId19" w:type="default"/>
          <w:pgSz w:w="16838" w:h="11906" w:orient="landscape"/>
          <w:pgMar w:top="1417" w:right="1276" w:bottom="539" w:left="1247" w:header="851" w:footer="992" w:gutter="0"/>
          <w:cols w:space="0" w:num="1"/>
          <w:titlePg/>
          <w:rtlGutter w:val="0"/>
          <w:docGrid w:linePitch="312" w:charSpace="0"/>
        </w:sectPr>
      </w:pPr>
      <w:r>
        <w:rPr>
          <w:rFonts w:hint="eastAsia" w:ascii="仿宋" w:hAnsi="仿宋" w:eastAsia="仿宋" w:cs="仿宋"/>
          <w:kern w:val="0"/>
          <w:sz w:val="24"/>
          <w:lang w:val="zh-CN"/>
        </w:rPr>
        <w:t xml:space="preserve">                                                                                                                                                                                                           </w:t>
      </w:r>
    </w:p>
    <w:p w14:paraId="58A21077">
      <w:pPr>
        <w:pStyle w:val="692"/>
        <w:keepNext w:val="0"/>
        <w:pageBreakBefore w:val="0"/>
        <w:tabs>
          <w:tab w:val="clear" w:pos="720"/>
        </w:tabs>
        <w:snapToGrid w:val="0"/>
        <w:spacing w:before="120" w:after="120"/>
        <w:ind w:firstLine="643"/>
        <w:outlineLvl w:val="9"/>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sz w:val="32"/>
          <w:szCs w:val="32"/>
        </w:rPr>
        <w:t>中小企业声明函（如果有）</w:t>
      </w:r>
    </w:p>
    <w:p w14:paraId="14AA36D9">
      <w:pPr>
        <w:widowControl/>
        <w:spacing w:line="360" w:lineRule="auto"/>
        <w:ind w:firstLine="120" w:firstLineChars="50"/>
        <w:jc w:val="left"/>
        <w:rPr>
          <w:rFonts w:ascii="仿宋_GB2312" w:hAnsi="仿宋_GB2312" w:eastAsia="仿宋_GB2312" w:cs="仿宋_GB2312"/>
          <w:b/>
          <w:sz w:val="24"/>
        </w:rPr>
      </w:pPr>
      <w:r>
        <w:rPr>
          <w:rFonts w:hint="eastAsia" w:ascii="仿宋_GB2312" w:hAnsi="仿宋_GB2312"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9C89F72">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1A36C0F4">
      <w:pPr>
        <w:spacing w:line="360" w:lineRule="auto"/>
        <w:ind w:right="420" w:firstLine="3614" w:firstLineChars="1000"/>
        <w:rPr>
          <w:rFonts w:hint="eastAsia" w:ascii="仿宋" w:hAnsi="仿宋" w:eastAsia="仿宋" w:cs="仿宋"/>
          <w:b/>
          <w:color w:val="auto"/>
          <w:kern w:val="0"/>
          <w:sz w:val="36"/>
          <w:szCs w:val="36"/>
          <w:highlight w:val="none"/>
        </w:rPr>
      </w:pPr>
    </w:p>
    <w:p w14:paraId="75884876">
      <w:pPr>
        <w:spacing w:line="360" w:lineRule="auto"/>
        <w:ind w:right="420" w:firstLine="3614" w:firstLineChars="1000"/>
        <w:rPr>
          <w:rFonts w:hint="eastAsia" w:ascii="仿宋" w:hAnsi="仿宋" w:eastAsia="仿宋" w:cs="仿宋"/>
          <w:b/>
          <w:color w:val="auto"/>
          <w:kern w:val="0"/>
          <w:sz w:val="36"/>
          <w:szCs w:val="36"/>
          <w:highlight w:val="none"/>
        </w:rPr>
      </w:pPr>
    </w:p>
    <w:p w14:paraId="6ADCACF4">
      <w:pPr>
        <w:spacing w:line="360" w:lineRule="auto"/>
        <w:ind w:right="420" w:firstLine="3614" w:firstLineChars="1000"/>
        <w:rPr>
          <w:rFonts w:hint="eastAsia" w:ascii="仿宋" w:hAnsi="仿宋" w:eastAsia="仿宋" w:cs="仿宋"/>
          <w:b/>
          <w:color w:val="auto"/>
          <w:kern w:val="0"/>
          <w:sz w:val="36"/>
          <w:szCs w:val="36"/>
          <w:highlight w:val="none"/>
        </w:rPr>
      </w:pPr>
    </w:p>
    <w:p w14:paraId="42153FBC">
      <w:pPr>
        <w:spacing w:line="360" w:lineRule="auto"/>
        <w:ind w:right="420" w:firstLine="3614" w:firstLineChars="1000"/>
        <w:rPr>
          <w:rFonts w:hint="eastAsia" w:ascii="仿宋" w:hAnsi="仿宋" w:eastAsia="仿宋" w:cs="仿宋"/>
          <w:b/>
          <w:color w:val="auto"/>
          <w:kern w:val="0"/>
          <w:sz w:val="36"/>
          <w:szCs w:val="36"/>
          <w:highlight w:val="none"/>
        </w:rPr>
      </w:pPr>
    </w:p>
    <w:p w14:paraId="6B01B4D3">
      <w:pPr>
        <w:spacing w:line="360" w:lineRule="auto"/>
        <w:ind w:right="420" w:firstLine="3614" w:firstLineChars="1000"/>
        <w:rPr>
          <w:rFonts w:hint="eastAsia" w:ascii="仿宋" w:hAnsi="仿宋" w:eastAsia="仿宋" w:cs="仿宋"/>
          <w:b/>
          <w:color w:val="auto"/>
          <w:kern w:val="0"/>
          <w:sz w:val="36"/>
          <w:szCs w:val="36"/>
          <w:highlight w:val="none"/>
        </w:rPr>
      </w:pPr>
    </w:p>
    <w:p w14:paraId="19D5A2FF">
      <w:pPr>
        <w:spacing w:line="360" w:lineRule="auto"/>
        <w:ind w:right="420" w:firstLine="3614" w:firstLineChars="1000"/>
        <w:rPr>
          <w:rFonts w:hint="eastAsia" w:ascii="仿宋" w:hAnsi="仿宋" w:eastAsia="仿宋" w:cs="仿宋"/>
          <w:b/>
          <w:color w:val="auto"/>
          <w:kern w:val="0"/>
          <w:sz w:val="36"/>
          <w:szCs w:val="36"/>
          <w:highlight w:val="none"/>
        </w:rPr>
      </w:pPr>
    </w:p>
    <w:p w14:paraId="79B711E9">
      <w:pPr>
        <w:spacing w:line="360" w:lineRule="auto"/>
        <w:ind w:right="420" w:firstLine="3614" w:firstLineChars="1000"/>
        <w:rPr>
          <w:rFonts w:hint="eastAsia" w:ascii="仿宋" w:hAnsi="仿宋" w:eastAsia="仿宋" w:cs="仿宋"/>
          <w:b/>
          <w:color w:val="auto"/>
          <w:kern w:val="0"/>
          <w:sz w:val="36"/>
          <w:szCs w:val="36"/>
          <w:highlight w:val="none"/>
        </w:rPr>
      </w:pPr>
    </w:p>
    <w:p w14:paraId="29B8082F">
      <w:pPr>
        <w:spacing w:line="360" w:lineRule="auto"/>
        <w:ind w:right="420" w:firstLine="3614" w:firstLineChars="1000"/>
        <w:rPr>
          <w:rFonts w:hint="eastAsia" w:ascii="仿宋" w:hAnsi="仿宋" w:eastAsia="仿宋" w:cs="仿宋"/>
          <w:b/>
          <w:color w:val="auto"/>
          <w:kern w:val="0"/>
          <w:sz w:val="36"/>
          <w:szCs w:val="36"/>
          <w:highlight w:val="none"/>
        </w:rPr>
      </w:pPr>
    </w:p>
    <w:p w14:paraId="674771FD">
      <w:pPr>
        <w:spacing w:line="360" w:lineRule="auto"/>
        <w:ind w:right="420" w:firstLine="3614" w:firstLineChars="1000"/>
        <w:rPr>
          <w:rFonts w:hint="eastAsia" w:ascii="仿宋" w:hAnsi="仿宋" w:eastAsia="仿宋" w:cs="仿宋"/>
          <w:b/>
          <w:color w:val="auto"/>
          <w:kern w:val="0"/>
          <w:sz w:val="36"/>
          <w:szCs w:val="36"/>
          <w:highlight w:val="none"/>
        </w:rPr>
      </w:pPr>
    </w:p>
    <w:p w14:paraId="3952D416">
      <w:pPr>
        <w:spacing w:line="360" w:lineRule="auto"/>
        <w:ind w:right="420" w:firstLine="3614" w:firstLineChars="1000"/>
        <w:rPr>
          <w:rFonts w:hint="eastAsia" w:ascii="仿宋" w:hAnsi="仿宋" w:eastAsia="仿宋" w:cs="仿宋"/>
          <w:b/>
          <w:color w:val="auto"/>
          <w:kern w:val="0"/>
          <w:sz w:val="36"/>
          <w:szCs w:val="36"/>
          <w:highlight w:val="none"/>
        </w:rPr>
      </w:pPr>
    </w:p>
    <w:p w14:paraId="43FAAE56">
      <w:pPr>
        <w:spacing w:line="360" w:lineRule="auto"/>
        <w:ind w:right="420" w:firstLine="3614" w:firstLineChars="1000"/>
        <w:rPr>
          <w:rFonts w:hint="eastAsia" w:ascii="仿宋" w:hAnsi="仿宋" w:eastAsia="仿宋" w:cs="仿宋"/>
          <w:b/>
          <w:color w:val="auto"/>
          <w:kern w:val="0"/>
          <w:sz w:val="36"/>
          <w:szCs w:val="36"/>
          <w:highlight w:val="none"/>
        </w:rPr>
      </w:pPr>
    </w:p>
    <w:p w14:paraId="42A2D540">
      <w:pPr>
        <w:spacing w:line="360" w:lineRule="auto"/>
        <w:ind w:right="420" w:firstLine="3614" w:firstLineChars="1000"/>
        <w:rPr>
          <w:rFonts w:hint="eastAsia" w:ascii="仿宋" w:hAnsi="仿宋" w:eastAsia="仿宋" w:cs="仿宋"/>
          <w:b/>
          <w:color w:val="auto"/>
          <w:kern w:val="0"/>
          <w:sz w:val="36"/>
          <w:szCs w:val="36"/>
          <w:highlight w:val="none"/>
        </w:rPr>
      </w:pPr>
    </w:p>
    <w:p w14:paraId="6C00A8E5">
      <w:pPr>
        <w:spacing w:line="360" w:lineRule="auto"/>
        <w:ind w:right="420" w:firstLine="3614" w:firstLineChars="1000"/>
        <w:rPr>
          <w:rFonts w:hint="eastAsia" w:ascii="仿宋" w:hAnsi="仿宋" w:eastAsia="仿宋" w:cs="仿宋"/>
          <w:b/>
          <w:color w:val="auto"/>
          <w:kern w:val="0"/>
          <w:sz w:val="36"/>
          <w:szCs w:val="36"/>
          <w:highlight w:val="none"/>
        </w:rPr>
      </w:pPr>
    </w:p>
    <w:p w14:paraId="35A9D575">
      <w:pPr>
        <w:spacing w:line="360" w:lineRule="auto"/>
        <w:ind w:right="420" w:firstLine="3614" w:firstLineChars="1000"/>
        <w:rPr>
          <w:rFonts w:hint="eastAsia" w:ascii="仿宋" w:hAnsi="仿宋" w:eastAsia="仿宋" w:cs="仿宋"/>
          <w:b/>
          <w:color w:val="auto"/>
          <w:kern w:val="0"/>
          <w:sz w:val="36"/>
          <w:szCs w:val="36"/>
          <w:highlight w:val="none"/>
        </w:rPr>
      </w:pPr>
    </w:p>
    <w:p w14:paraId="4FB7BB3E">
      <w:pPr>
        <w:spacing w:line="360" w:lineRule="auto"/>
        <w:ind w:right="420" w:firstLine="3614" w:firstLineChars="1000"/>
        <w:rPr>
          <w:rFonts w:hint="eastAsia" w:ascii="仿宋" w:hAnsi="仿宋" w:eastAsia="仿宋" w:cs="仿宋"/>
          <w:b/>
          <w:color w:val="auto"/>
          <w:kern w:val="0"/>
          <w:sz w:val="36"/>
          <w:szCs w:val="36"/>
          <w:highlight w:val="none"/>
        </w:rPr>
      </w:pPr>
    </w:p>
    <w:p w14:paraId="6206B026">
      <w:pPr>
        <w:spacing w:line="360" w:lineRule="auto"/>
        <w:ind w:right="420" w:firstLine="3614" w:firstLineChars="1000"/>
        <w:rPr>
          <w:rFonts w:hint="eastAsia" w:ascii="仿宋" w:hAnsi="仿宋" w:eastAsia="仿宋" w:cs="仿宋"/>
          <w:b/>
          <w:color w:val="auto"/>
          <w:kern w:val="0"/>
          <w:sz w:val="36"/>
          <w:szCs w:val="36"/>
          <w:highlight w:val="none"/>
        </w:rPr>
      </w:pPr>
    </w:p>
    <w:p w14:paraId="33D5DA27">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关于钱塘区政府采购支持中小企业信用融资相关事项通知</w:t>
      </w:r>
    </w:p>
    <w:p w14:paraId="025A6212">
      <w:pPr>
        <w:spacing w:line="360" w:lineRule="auto"/>
        <w:jc w:val="center"/>
        <w:rPr>
          <w:rFonts w:hint="eastAsia" w:ascii="仿宋" w:hAnsi="仿宋" w:eastAsia="仿宋" w:cs="仿宋"/>
          <w:b/>
          <w:color w:val="auto"/>
          <w:szCs w:val="21"/>
          <w:highlight w:val="none"/>
        </w:rPr>
      </w:pPr>
    </w:p>
    <w:p w14:paraId="6878D77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361329B9">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14:paraId="787D3AE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14:paraId="75BDEDD9">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14:paraId="32D8DF0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请登陆杭州钱塘新区管理委员会官网（http://qt.hangzhou.gov.cn） “公告公示”专栏，查看信用融资政策文件及各相关银行服务方案。</w:t>
      </w:r>
    </w:p>
    <w:p w14:paraId="2A5737C1">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14:paraId="3C226B9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14:paraId="18F83C3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14:paraId="0301C3E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14:paraId="7EEF0AC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14:paraId="36CB896E">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14:paraId="1F19852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14:paraId="2D10C315">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63"/>
        <w:tblW w:w="0" w:type="auto"/>
        <w:tblInd w:w="95" w:type="dxa"/>
        <w:tblLayout w:type="fixed"/>
        <w:tblCellMar>
          <w:top w:w="0" w:type="dxa"/>
          <w:left w:w="108" w:type="dxa"/>
          <w:bottom w:w="0" w:type="dxa"/>
          <w:right w:w="108" w:type="dxa"/>
        </w:tblCellMar>
      </w:tblPr>
      <w:tblGrid>
        <w:gridCol w:w="1080"/>
        <w:gridCol w:w="3020"/>
        <w:gridCol w:w="1420"/>
        <w:gridCol w:w="3220"/>
      </w:tblGrid>
      <w:tr w14:paraId="55C828D9">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346C3CB0">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3C4B725D">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105E95B2">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424477D0">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14:paraId="1B22C79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22DB0F55">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14:paraId="69B1CA9A">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14:paraId="05342F2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14:paraId="2B9B918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14:paraId="22D9FEA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402D334">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14:paraId="7AE6C3C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14:paraId="22711FDA">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14:paraId="2FB95871">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14:paraId="661EF0D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0AA2F12">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14:paraId="221EBF5A">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w:t>
            </w:r>
            <w:r>
              <w:rPr>
                <w:rFonts w:hint="eastAsia" w:ascii="仿宋" w:hAnsi="仿宋" w:cs="仿宋"/>
                <w:color w:val="auto"/>
                <w:kern w:val="0"/>
                <w:sz w:val="24"/>
                <w:highlight w:val="none"/>
                <w:lang w:eastAsia="zh-CN"/>
              </w:rPr>
              <w:t>义蓬</w:t>
            </w:r>
            <w:r>
              <w:rPr>
                <w:rFonts w:hint="eastAsia" w:ascii="仿宋" w:hAnsi="仿宋" w:eastAsia="仿宋" w:cs="仿宋"/>
                <w:color w:val="auto"/>
                <w:kern w:val="0"/>
                <w:sz w:val="24"/>
                <w:highlight w:val="none"/>
              </w:rPr>
              <w:t>支行</w:t>
            </w:r>
          </w:p>
        </w:tc>
        <w:tc>
          <w:tcPr>
            <w:tcW w:w="1420" w:type="dxa"/>
            <w:tcBorders>
              <w:top w:val="nil"/>
              <w:left w:val="nil"/>
              <w:bottom w:val="single" w:color="auto" w:sz="4" w:space="0"/>
              <w:right w:val="single" w:color="auto" w:sz="4" w:space="0"/>
            </w:tcBorders>
            <w:noWrap/>
            <w:vAlign w:val="center"/>
          </w:tcPr>
          <w:p w14:paraId="34AD643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14:paraId="4334026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14:paraId="3EC39BB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9AB8885">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14:paraId="5A56480A">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14:paraId="35A7D561">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14:paraId="326E9CF9">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14:paraId="312A2BC3">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14:paraId="593918F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14:paraId="4616CFC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23850BDA">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14:paraId="6BC8AA4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14:paraId="381E7D7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14:paraId="49962A2A">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14:paraId="5793BD7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7F40D46">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14:paraId="48F4E573">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14:paraId="2EC740F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14:paraId="3A50ECE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14:paraId="03FF2C7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2DDED3D">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14:paraId="0D4E30D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14:paraId="24A02AF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14:paraId="19CC783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13735710338</w:t>
            </w:r>
          </w:p>
        </w:tc>
      </w:tr>
      <w:tr w14:paraId="34D201AB">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21549DC5">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14:paraId="4130E29B">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14:paraId="616B3C0D">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14:paraId="090A6D11">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14:paraId="35BEC059">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4982F516">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14:paraId="2DB2FF1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w:t>
            </w:r>
            <w:r>
              <w:rPr>
                <w:rFonts w:hint="eastAsia" w:ascii="仿宋" w:hAnsi="仿宋" w:cs="仿宋"/>
                <w:color w:val="auto"/>
                <w:kern w:val="0"/>
                <w:sz w:val="24"/>
                <w:highlight w:val="none"/>
                <w:lang w:eastAsia="zh-CN"/>
              </w:rPr>
              <w:t>义蓬</w:t>
            </w:r>
            <w:r>
              <w:rPr>
                <w:rFonts w:hint="eastAsia" w:ascii="仿宋" w:hAnsi="仿宋" w:eastAsia="仿宋" w:cs="仿宋"/>
                <w:color w:val="auto"/>
                <w:kern w:val="0"/>
                <w:sz w:val="24"/>
                <w:highlight w:val="none"/>
              </w:rPr>
              <w:t>支行</w:t>
            </w:r>
          </w:p>
        </w:tc>
        <w:tc>
          <w:tcPr>
            <w:tcW w:w="1420" w:type="dxa"/>
            <w:tcBorders>
              <w:top w:val="nil"/>
              <w:left w:val="nil"/>
              <w:bottom w:val="single" w:color="auto" w:sz="4" w:space="0"/>
              <w:right w:val="single" w:color="auto" w:sz="4" w:space="0"/>
            </w:tcBorders>
            <w:noWrap/>
            <w:vAlign w:val="center"/>
          </w:tcPr>
          <w:p w14:paraId="5107C1A8">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14:paraId="13C6234D">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14:paraId="1A0C26E7">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0ED16825">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14:paraId="0A09CD9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14:paraId="2261D6B6">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14:paraId="3F1B2D36">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14:paraId="4105F27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14:paraId="2330FB99">
            <w:pPr>
              <w:widowControl/>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14:paraId="02AA4052">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2FFF59EC">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2BA5E1B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10DCA24D">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53CC42A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14:paraId="47572961">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2FADB555">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1C70C3A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2ACAD631">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39A0D95F">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14:paraId="5E164ABB">
      <w:pPr>
        <w:spacing w:line="360" w:lineRule="auto"/>
        <w:ind w:left="5060" w:hanging="5060" w:hangingChars="2100"/>
        <w:rPr>
          <w:rFonts w:hint="eastAsia" w:ascii="仿宋" w:hAnsi="仿宋" w:eastAsia="仿宋" w:cs="仿宋"/>
          <w:b/>
          <w:bCs/>
          <w:color w:val="auto"/>
          <w:kern w:val="0"/>
          <w:sz w:val="24"/>
          <w:highlight w:val="none"/>
        </w:rPr>
      </w:pPr>
    </w:p>
    <w:p w14:paraId="72F53E58">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07" w:name="_Toc465665161"/>
      <w:r>
        <w:rPr>
          <w:rFonts w:hint="eastAsia" w:ascii="仿宋" w:hAnsi="仿宋" w:eastAsia="仿宋" w:cs="仿宋"/>
          <w:color w:val="auto"/>
          <w:highlight w:val="none"/>
        </w:rPr>
        <w:t>附件</w:t>
      </w:r>
      <w:bookmarkEnd w:id="507"/>
    </w:p>
    <w:p w14:paraId="3AFA403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4C97939">
      <w:pPr>
        <w:spacing w:line="360" w:lineRule="auto"/>
        <w:jc w:val="center"/>
        <w:rPr>
          <w:rFonts w:hint="eastAsia" w:ascii="仿宋" w:hAnsi="仿宋" w:eastAsia="仿宋" w:cs="仿宋"/>
          <w:b/>
          <w:color w:val="auto"/>
          <w:spacing w:val="6"/>
          <w:sz w:val="32"/>
          <w:szCs w:val="32"/>
          <w:highlight w:val="none"/>
        </w:rPr>
      </w:pPr>
      <w:bookmarkStart w:id="508" w:name="OLE_LINK14"/>
      <w:bookmarkStart w:id="509" w:name="OLE_LINK13"/>
      <w:r>
        <w:rPr>
          <w:rFonts w:hint="eastAsia" w:ascii="仿宋" w:hAnsi="仿宋" w:eastAsia="仿宋" w:cs="仿宋"/>
          <w:b/>
          <w:color w:val="auto"/>
          <w:spacing w:val="6"/>
          <w:sz w:val="32"/>
          <w:szCs w:val="32"/>
          <w:highlight w:val="none"/>
        </w:rPr>
        <w:t>残疾人福利性单位声明函</w:t>
      </w:r>
    </w:p>
    <w:bookmarkEnd w:id="508"/>
    <w:bookmarkEnd w:id="509"/>
    <w:p w14:paraId="6A0FE1C2">
      <w:pPr>
        <w:spacing w:line="360" w:lineRule="auto"/>
        <w:rPr>
          <w:rFonts w:hint="eastAsia" w:ascii="仿宋" w:hAnsi="仿宋" w:eastAsia="仿宋" w:cs="仿宋"/>
          <w:b/>
          <w:color w:val="auto"/>
          <w:spacing w:val="6"/>
          <w:sz w:val="30"/>
          <w:szCs w:val="30"/>
          <w:highlight w:val="none"/>
        </w:rPr>
      </w:pPr>
    </w:p>
    <w:p w14:paraId="0C0A95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15A0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176515B">
      <w:pPr>
        <w:spacing w:line="360" w:lineRule="auto"/>
        <w:ind w:firstLine="480" w:firstLineChars="200"/>
        <w:rPr>
          <w:rFonts w:hint="eastAsia" w:ascii="仿宋" w:hAnsi="仿宋" w:eastAsia="仿宋" w:cs="仿宋"/>
          <w:color w:val="auto"/>
          <w:sz w:val="24"/>
          <w:highlight w:val="none"/>
        </w:rPr>
      </w:pPr>
    </w:p>
    <w:p w14:paraId="2F32A567">
      <w:pPr>
        <w:spacing w:line="360" w:lineRule="auto"/>
        <w:ind w:firstLine="480" w:firstLineChars="200"/>
        <w:rPr>
          <w:rFonts w:hint="eastAsia" w:ascii="仿宋" w:hAnsi="仿宋" w:eastAsia="仿宋" w:cs="仿宋"/>
          <w:color w:val="auto"/>
          <w:sz w:val="24"/>
          <w:highlight w:val="none"/>
        </w:rPr>
      </w:pPr>
    </w:p>
    <w:p w14:paraId="3324386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7C9FC1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2A3314D">
      <w:pPr>
        <w:spacing w:line="360" w:lineRule="auto"/>
        <w:ind w:firstLine="480" w:firstLineChars="200"/>
        <w:rPr>
          <w:rFonts w:hint="eastAsia" w:ascii="仿宋" w:hAnsi="仿宋" w:eastAsia="仿宋" w:cs="仿宋"/>
          <w:color w:val="auto"/>
          <w:sz w:val="24"/>
          <w:highlight w:val="none"/>
        </w:rPr>
      </w:pPr>
    </w:p>
    <w:p w14:paraId="4AEE3F0D">
      <w:pPr>
        <w:spacing w:line="360" w:lineRule="auto"/>
        <w:ind w:firstLine="480" w:firstLineChars="200"/>
        <w:rPr>
          <w:rFonts w:hint="eastAsia" w:ascii="仿宋" w:hAnsi="仿宋" w:eastAsia="仿宋" w:cs="仿宋"/>
          <w:color w:val="auto"/>
          <w:highlight w:val="none"/>
        </w:rPr>
      </w:pPr>
    </w:p>
    <w:p w14:paraId="5186D53F">
      <w:pPr>
        <w:spacing w:line="360" w:lineRule="auto"/>
        <w:ind w:firstLine="480" w:firstLineChars="200"/>
        <w:rPr>
          <w:rFonts w:hint="eastAsia" w:ascii="仿宋" w:hAnsi="仿宋" w:eastAsia="仿宋" w:cs="仿宋"/>
          <w:color w:val="auto"/>
          <w:highlight w:val="none"/>
        </w:rPr>
      </w:pPr>
    </w:p>
    <w:p w14:paraId="1513FEFA">
      <w:pPr>
        <w:spacing w:line="360" w:lineRule="auto"/>
        <w:ind w:firstLine="480" w:firstLineChars="200"/>
        <w:rPr>
          <w:rFonts w:hint="eastAsia" w:ascii="仿宋" w:hAnsi="仿宋" w:eastAsia="仿宋" w:cs="仿宋"/>
          <w:color w:val="auto"/>
          <w:highlight w:val="none"/>
        </w:rPr>
      </w:pPr>
    </w:p>
    <w:p w14:paraId="689A1992">
      <w:pPr>
        <w:spacing w:line="360" w:lineRule="auto"/>
        <w:ind w:firstLine="480" w:firstLineChars="200"/>
        <w:rPr>
          <w:rFonts w:hint="eastAsia" w:ascii="仿宋" w:hAnsi="仿宋" w:eastAsia="仿宋" w:cs="仿宋"/>
          <w:color w:val="auto"/>
          <w:highlight w:val="none"/>
        </w:rPr>
      </w:pPr>
    </w:p>
    <w:p w14:paraId="2B93DD76">
      <w:pPr>
        <w:spacing w:line="360" w:lineRule="auto"/>
        <w:rPr>
          <w:rFonts w:hint="eastAsia" w:ascii="仿宋" w:hAnsi="仿宋" w:eastAsia="仿宋" w:cs="仿宋"/>
          <w:b/>
          <w:color w:val="auto"/>
          <w:sz w:val="24"/>
          <w:highlight w:val="none"/>
        </w:rPr>
      </w:pPr>
    </w:p>
    <w:p w14:paraId="161AD556">
      <w:pPr>
        <w:spacing w:line="360" w:lineRule="auto"/>
        <w:rPr>
          <w:rFonts w:hint="eastAsia" w:ascii="仿宋" w:hAnsi="仿宋" w:eastAsia="仿宋" w:cs="仿宋"/>
          <w:b/>
          <w:color w:val="auto"/>
          <w:sz w:val="24"/>
          <w:highlight w:val="none"/>
        </w:rPr>
      </w:pPr>
    </w:p>
    <w:p w14:paraId="195A2E82">
      <w:pPr>
        <w:spacing w:line="360" w:lineRule="auto"/>
        <w:rPr>
          <w:rFonts w:hint="eastAsia" w:ascii="仿宋" w:hAnsi="仿宋" w:eastAsia="仿宋" w:cs="仿宋"/>
          <w:b/>
          <w:color w:val="auto"/>
          <w:sz w:val="24"/>
          <w:highlight w:val="none"/>
        </w:rPr>
      </w:pPr>
    </w:p>
    <w:p w14:paraId="76C656F3">
      <w:pPr>
        <w:spacing w:line="360" w:lineRule="auto"/>
        <w:rPr>
          <w:rFonts w:hint="eastAsia" w:ascii="仿宋" w:hAnsi="仿宋" w:eastAsia="仿宋" w:cs="仿宋"/>
          <w:b/>
          <w:color w:val="auto"/>
          <w:sz w:val="24"/>
          <w:highlight w:val="none"/>
        </w:rPr>
      </w:pPr>
    </w:p>
    <w:p w14:paraId="63B8586A">
      <w:pPr>
        <w:spacing w:line="360" w:lineRule="auto"/>
        <w:rPr>
          <w:rFonts w:hint="eastAsia" w:ascii="仿宋" w:hAnsi="仿宋" w:eastAsia="仿宋" w:cs="仿宋"/>
          <w:b/>
          <w:color w:val="auto"/>
          <w:sz w:val="24"/>
          <w:highlight w:val="none"/>
        </w:rPr>
      </w:pPr>
    </w:p>
    <w:p w14:paraId="1B64866C">
      <w:pPr>
        <w:spacing w:line="360" w:lineRule="auto"/>
        <w:rPr>
          <w:rFonts w:hint="eastAsia" w:ascii="仿宋" w:hAnsi="仿宋" w:eastAsia="仿宋" w:cs="仿宋"/>
          <w:b/>
          <w:color w:val="auto"/>
          <w:sz w:val="24"/>
          <w:highlight w:val="none"/>
        </w:rPr>
      </w:pPr>
    </w:p>
    <w:p w14:paraId="2C8A4107">
      <w:pPr>
        <w:spacing w:line="360" w:lineRule="auto"/>
        <w:rPr>
          <w:rFonts w:hint="eastAsia" w:ascii="仿宋" w:hAnsi="仿宋" w:eastAsia="仿宋" w:cs="仿宋"/>
          <w:b/>
          <w:color w:val="auto"/>
          <w:sz w:val="24"/>
          <w:highlight w:val="none"/>
        </w:rPr>
      </w:pPr>
    </w:p>
    <w:p w14:paraId="0D666C6E">
      <w:pPr>
        <w:spacing w:line="360" w:lineRule="auto"/>
        <w:rPr>
          <w:rFonts w:hint="eastAsia" w:ascii="仿宋" w:hAnsi="仿宋" w:eastAsia="仿宋" w:cs="仿宋"/>
          <w:b/>
          <w:color w:val="auto"/>
          <w:sz w:val="24"/>
          <w:highlight w:val="none"/>
        </w:rPr>
      </w:pPr>
    </w:p>
    <w:p w14:paraId="3FEF2A1B">
      <w:pPr>
        <w:spacing w:line="360" w:lineRule="auto"/>
        <w:rPr>
          <w:rFonts w:hint="eastAsia" w:ascii="仿宋" w:hAnsi="仿宋" w:eastAsia="仿宋" w:cs="仿宋"/>
          <w:b/>
          <w:color w:val="auto"/>
          <w:sz w:val="24"/>
          <w:highlight w:val="none"/>
        </w:rPr>
      </w:pPr>
    </w:p>
    <w:p w14:paraId="6678B4A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D7D3F0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48852B4">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234491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909FC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FDF51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0758B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4B7ECB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F850E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CF0D6D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7C2A4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BAF3C2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22AEFA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D3DFA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E2FF14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1AA2B3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8FFB00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62085A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4ECC6B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E7562F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2CF7AC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1243F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C0C558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14FAEA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A0515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CD71F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F62A918">
      <w:pPr>
        <w:spacing w:line="360" w:lineRule="auto"/>
        <w:jc w:val="center"/>
        <w:rPr>
          <w:rFonts w:hint="eastAsia" w:ascii="仿宋" w:hAnsi="仿宋" w:eastAsia="仿宋" w:cs="仿宋"/>
          <w:b/>
          <w:bCs/>
          <w:color w:val="auto"/>
          <w:sz w:val="24"/>
          <w:highlight w:val="none"/>
        </w:rPr>
      </w:pPr>
    </w:p>
    <w:p w14:paraId="7DA63E5A">
      <w:pPr>
        <w:spacing w:line="360" w:lineRule="auto"/>
        <w:rPr>
          <w:rFonts w:hint="eastAsia" w:ascii="仿宋" w:hAnsi="仿宋" w:eastAsia="仿宋" w:cs="仿宋"/>
          <w:b/>
          <w:color w:val="auto"/>
          <w:sz w:val="24"/>
          <w:highlight w:val="none"/>
        </w:rPr>
      </w:pPr>
    </w:p>
    <w:p w14:paraId="2883846A">
      <w:pPr>
        <w:spacing w:line="360" w:lineRule="auto"/>
        <w:rPr>
          <w:rFonts w:hint="eastAsia" w:ascii="仿宋" w:hAnsi="仿宋" w:eastAsia="仿宋" w:cs="仿宋"/>
          <w:b/>
          <w:color w:val="auto"/>
          <w:sz w:val="24"/>
          <w:highlight w:val="none"/>
        </w:rPr>
      </w:pPr>
    </w:p>
    <w:p w14:paraId="65A843DE">
      <w:pPr>
        <w:spacing w:line="360" w:lineRule="auto"/>
        <w:rPr>
          <w:rFonts w:hint="eastAsia" w:ascii="仿宋" w:hAnsi="仿宋" w:eastAsia="仿宋" w:cs="仿宋"/>
          <w:b/>
          <w:color w:val="auto"/>
          <w:sz w:val="24"/>
          <w:highlight w:val="none"/>
        </w:rPr>
      </w:pPr>
    </w:p>
    <w:p w14:paraId="74E0758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C4FFFF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0A184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E674BF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5FC1E9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7A78A1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EC0E17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8DBF7B">
      <w:pPr>
        <w:widowControl/>
        <w:spacing w:line="360" w:lineRule="auto"/>
        <w:ind w:firstLine="600" w:firstLineChars="200"/>
        <w:jc w:val="left"/>
        <w:rPr>
          <w:rFonts w:hint="eastAsia" w:ascii="仿宋" w:hAnsi="仿宋" w:eastAsia="仿宋" w:cs="仿宋"/>
          <w:color w:val="auto"/>
          <w:sz w:val="30"/>
          <w:szCs w:val="30"/>
          <w:highlight w:val="none"/>
        </w:rPr>
      </w:pPr>
    </w:p>
    <w:p w14:paraId="3313A0F0">
      <w:pPr>
        <w:spacing w:line="360" w:lineRule="auto"/>
        <w:jc w:val="center"/>
        <w:rPr>
          <w:rFonts w:hint="eastAsia" w:ascii="仿宋" w:hAnsi="仿宋" w:eastAsia="仿宋" w:cs="仿宋"/>
          <w:b/>
          <w:color w:val="auto"/>
          <w:spacing w:val="6"/>
          <w:sz w:val="32"/>
          <w:szCs w:val="32"/>
          <w:highlight w:val="none"/>
        </w:rPr>
      </w:pPr>
    </w:p>
    <w:p w14:paraId="1EF8292B">
      <w:pPr>
        <w:spacing w:line="360" w:lineRule="auto"/>
        <w:jc w:val="center"/>
        <w:rPr>
          <w:rFonts w:hint="eastAsia" w:ascii="仿宋" w:hAnsi="仿宋" w:eastAsia="仿宋" w:cs="仿宋"/>
          <w:b/>
          <w:color w:val="auto"/>
          <w:spacing w:val="6"/>
          <w:sz w:val="32"/>
          <w:szCs w:val="32"/>
          <w:highlight w:val="none"/>
        </w:rPr>
      </w:pPr>
    </w:p>
    <w:p w14:paraId="29F18540">
      <w:pPr>
        <w:spacing w:line="360" w:lineRule="auto"/>
        <w:jc w:val="center"/>
        <w:rPr>
          <w:rFonts w:hint="eastAsia" w:ascii="仿宋" w:hAnsi="仿宋" w:eastAsia="仿宋" w:cs="仿宋"/>
          <w:b/>
          <w:color w:val="auto"/>
          <w:spacing w:val="6"/>
          <w:sz w:val="32"/>
          <w:szCs w:val="32"/>
          <w:highlight w:val="none"/>
        </w:rPr>
      </w:pPr>
    </w:p>
    <w:p w14:paraId="35E782DA">
      <w:pPr>
        <w:spacing w:line="360" w:lineRule="auto"/>
        <w:jc w:val="center"/>
        <w:rPr>
          <w:rFonts w:hint="eastAsia" w:ascii="仿宋" w:hAnsi="仿宋" w:eastAsia="仿宋" w:cs="仿宋"/>
          <w:b/>
          <w:color w:val="auto"/>
          <w:spacing w:val="6"/>
          <w:sz w:val="32"/>
          <w:szCs w:val="32"/>
          <w:highlight w:val="none"/>
        </w:rPr>
      </w:pPr>
    </w:p>
    <w:p w14:paraId="6CFCDE17">
      <w:pPr>
        <w:spacing w:line="360" w:lineRule="auto"/>
        <w:jc w:val="center"/>
        <w:rPr>
          <w:rFonts w:hint="eastAsia" w:ascii="仿宋" w:hAnsi="仿宋" w:eastAsia="仿宋" w:cs="仿宋"/>
          <w:b/>
          <w:color w:val="auto"/>
          <w:spacing w:val="6"/>
          <w:sz w:val="32"/>
          <w:szCs w:val="32"/>
          <w:highlight w:val="none"/>
        </w:rPr>
      </w:pPr>
    </w:p>
    <w:p w14:paraId="12EB55EE">
      <w:pPr>
        <w:spacing w:line="360" w:lineRule="auto"/>
        <w:jc w:val="center"/>
        <w:rPr>
          <w:rFonts w:hint="eastAsia" w:ascii="仿宋" w:hAnsi="仿宋" w:eastAsia="仿宋" w:cs="仿宋"/>
          <w:b/>
          <w:color w:val="auto"/>
          <w:spacing w:val="6"/>
          <w:sz w:val="32"/>
          <w:szCs w:val="32"/>
          <w:highlight w:val="none"/>
        </w:rPr>
      </w:pPr>
    </w:p>
    <w:p w14:paraId="1A6F7C0C">
      <w:pPr>
        <w:spacing w:line="360" w:lineRule="auto"/>
        <w:jc w:val="center"/>
        <w:rPr>
          <w:rFonts w:hint="eastAsia" w:ascii="仿宋" w:hAnsi="仿宋" w:eastAsia="仿宋" w:cs="仿宋"/>
          <w:b/>
          <w:color w:val="auto"/>
          <w:spacing w:val="6"/>
          <w:sz w:val="32"/>
          <w:szCs w:val="32"/>
          <w:highlight w:val="none"/>
        </w:rPr>
      </w:pPr>
    </w:p>
    <w:p w14:paraId="5FC1550B">
      <w:pPr>
        <w:spacing w:line="360" w:lineRule="auto"/>
        <w:jc w:val="center"/>
        <w:rPr>
          <w:rFonts w:hint="eastAsia" w:ascii="仿宋" w:hAnsi="仿宋" w:eastAsia="仿宋" w:cs="仿宋"/>
          <w:b/>
          <w:color w:val="auto"/>
          <w:spacing w:val="6"/>
          <w:sz w:val="32"/>
          <w:szCs w:val="32"/>
          <w:highlight w:val="none"/>
        </w:rPr>
      </w:pPr>
    </w:p>
    <w:p w14:paraId="64573777">
      <w:pPr>
        <w:spacing w:line="360" w:lineRule="auto"/>
        <w:jc w:val="center"/>
        <w:rPr>
          <w:rFonts w:hint="eastAsia" w:ascii="仿宋" w:hAnsi="仿宋" w:eastAsia="仿宋" w:cs="仿宋"/>
          <w:b/>
          <w:color w:val="auto"/>
          <w:spacing w:val="6"/>
          <w:sz w:val="32"/>
          <w:szCs w:val="32"/>
          <w:highlight w:val="none"/>
        </w:rPr>
      </w:pPr>
    </w:p>
    <w:p w14:paraId="474FD8BC">
      <w:pPr>
        <w:spacing w:line="360" w:lineRule="auto"/>
        <w:jc w:val="center"/>
        <w:rPr>
          <w:rFonts w:hint="eastAsia" w:ascii="仿宋" w:hAnsi="仿宋" w:eastAsia="仿宋" w:cs="仿宋"/>
          <w:b/>
          <w:color w:val="auto"/>
          <w:spacing w:val="6"/>
          <w:sz w:val="32"/>
          <w:szCs w:val="32"/>
          <w:highlight w:val="none"/>
        </w:rPr>
      </w:pPr>
    </w:p>
    <w:p w14:paraId="7974F3F3">
      <w:pPr>
        <w:spacing w:line="360" w:lineRule="auto"/>
        <w:jc w:val="center"/>
        <w:rPr>
          <w:rFonts w:hint="eastAsia" w:ascii="仿宋" w:hAnsi="仿宋" w:eastAsia="仿宋" w:cs="仿宋"/>
          <w:b/>
          <w:color w:val="auto"/>
          <w:spacing w:val="6"/>
          <w:sz w:val="32"/>
          <w:szCs w:val="32"/>
          <w:highlight w:val="none"/>
        </w:rPr>
      </w:pPr>
    </w:p>
    <w:p w14:paraId="3A276721">
      <w:pPr>
        <w:spacing w:line="360" w:lineRule="auto"/>
        <w:jc w:val="center"/>
        <w:rPr>
          <w:rFonts w:hint="eastAsia" w:ascii="仿宋" w:hAnsi="仿宋" w:eastAsia="仿宋" w:cs="仿宋"/>
          <w:b/>
          <w:color w:val="auto"/>
          <w:spacing w:val="6"/>
          <w:sz w:val="32"/>
          <w:szCs w:val="32"/>
          <w:highlight w:val="none"/>
        </w:rPr>
      </w:pPr>
    </w:p>
    <w:p w14:paraId="4897882E">
      <w:pPr>
        <w:spacing w:line="360" w:lineRule="auto"/>
        <w:jc w:val="left"/>
        <w:rPr>
          <w:rFonts w:hint="eastAsia" w:ascii="仿宋" w:hAnsi="仿宋" w:eastAsia="仿宋" w:cs="仿宋"/>
          <w:b/>
          <w:color w:val="auto"/>
          <w:spacing w:val="6"/>
          <w:sz w:val="32"/>
          <w:szCs w:val="32"/>
          <w:highlight w:val="none"/>
        </w:rPr>
      </w:pPr>
    </w:p>
    <w:p w14:paraId="3B5CDB9B">
      <w:pPr>
        <w:spacing w:line="360" w:lineRule="auto"/>
        <w:jc w:val="left"/>
        <w:rPr>
          <w:rFonts w:hint="eastAsia" w:ascii="仿宋" w:hAnsi="仿宋" w:eastAsia="仿宋" w:cs="仿宋"/>
          <w:b/>
          <w:color w:val="auto"/>
          <w:spacing w:val="6"/>
          <w:sz w:val="32"/>
          <w:szCs w:val="32"/>
          <w:highlight w:val="none"/>
        </w:rPr>
      </w:pPr>
    </w:p>
    <w:p w14:paraId="65651191">
      <w:pPr>
        <w:pStyle w:val="3"/>
        <w:rPr>
          <w:rFonts w:hint="eastAsia"/>
        </w:rPr>
      </w:pPr>
    </w:p>
    <w:p w14:paraId="225FE986">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2C29B0E">
      <w:pPr>
        <w:spacing w:line="360" w:lineRule="auto"/>
        <w:jc w:val="center"/>
        <w:rPr>
          <w:rFonts w:hint="eastAsia" w:ascii="仿宋" w:hAnsi="仿宋" w:eastAsia="仿宋" w:cs="仿宋"/>
          <w:b/>
          <w:color w:val="auto"/>
          <w:sz w:val="24"/>
          <w:highlight w:val="none"/>
        </w:rPr>
      </w:pPr>
    </w:p>
    <w:p w14:paraId="6C750DC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416FF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1F8922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01275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72B030">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B6C29F8">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F27CE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953EE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124287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AAA30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97EC2B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35A24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1526F8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005A2B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D5FE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6F40E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24C2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1A210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0CD073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5047C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69C1D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D4B4AC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8C2F55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B5F51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5324E6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E6E5E7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01F00F1">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B336F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47BF7F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986A0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CE3E90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6AD591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8852C6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9384A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607E23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EEF3A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E5DF4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77DF37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F24BC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D3FFA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EBD8713">
      <w:pPr>
        <w:spacing w:line="360" w:lineRule="auto"/>
        <w:rPr>
          <w:rFonts w:hint="eastAsia" w:ascii="仿宋" w:hAnsi="仿宋" w:eastAsia="仿宋" w:cs="仿宋"/>
          <w:b/>
          <w:color w:val="auto"/>
          <w:sz w:val="24"/>
          <w:highlight w:val="none"/>
        </w:rPr>
      </w:pPr>
    </w:p>
    <w:p w14:paraId="4F87D629">
      <w:pPr>
        <w:spacing w:line="360" w:lineRule="auto"/>
        <w:rPr>
          <w:rFonts w:hint="eastAsia" w:ascii="仿宋" w:hAnsi="仿宋" w:eastAsia="仿宋" w:cs="仿宋"/>
          <w:b/>
          <w:color w:val="auto"/>
          <w:sz w:val="24"/>
          <w:highlight w:val="none"/>
        </w:rPr>
      </w:pPr>
    </w:p>
    <w:p w14:paraId="70109C6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67F466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38555B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CF4B84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581EE7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0537C2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7FB40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8BBB16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7F0F804">
      <w:pPr>
        <w:spacing w:line="360" w:lineRule="auto"/>
        <w:rPr>
          <w:rFonts w:hint="eastAsia" w:ascii="仿宋" w:hAnsi="仿宋" w:eastAsia="仿宋" w:cs="仿宋"/>
          <w:b/>
          <w:color w:val="auto"/>
          <w:sz w:val="24"/>
          <w:highlight w:val="none"/>
        </w:rPr>
      </w:pPr>
    </w:p>
    <w:p w14:paraId="17D76C01">
      <w:pPr>
        <w:autoSpaceDE w:val="0"/>
        <w:autoSpaceDN w:val="0"/>
        <w:jc w:val="both"/>
        <w:rPr>
          <w:rFonts w:hint="eastAsia" w:ascii="仿宋" w:hAnsi="仿宋" w:eastAsia="仿宋" w:cs="仿宋"/>
          <w:b/>
          <w:color w:val="auto"/>
          <w:spacing w:val="6"/>
          <w:sz w:val="32"/>
          <w:szCs w:val="32"/>
          <w:highlight w:val="none"/>
        </w:rPr>
      </w:pPr>
    </w:p>
    <w:p w14:paraId="236585B8">
      <w:pPr>
        <w:pStyle w:val="3"/>
        <w:rPr>
          <w:rFonts w:hint="eastAsia"/>
        </w:rPr>
      </w:pPr>
    </w:p>
    <w:p w14:paraId="69049C78">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50987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87BC8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FA108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C690B23">
      <w:pPr>
        <w:spacing w:line="360" w:lineRule="auto"/>
        <w:ind w:firstLine="494"/>
        <w:rPr>
          <w:rFonts w:hint="eastAsia" w:ascii="仿宋" w:hAnsi="仿宋" w:eastAsia="仿宋" w:cs="仿宋"/>
          <w:color w:val="auto"/>
          <w:sz w:val="24"/>
          <w:highlight w:val="none"/>
        </w:rPr>
      </w:pPr>
    </w:p>
    <w:p w14:paraId="529BBF03">
      <w:pPr>
        <w:spacing w:line="360" w:lineRule="auto"/>
        <w:ind w:firstLine="494"/>
        <w:rPr>
          <w:rFonts w:hint="eastAsia" w:ascii="仿宋" w:hAnsi="仿宋" w:eastAsia="仿宋" w:cs="仿宋"/>
          <w:color w:val="auto"/>
          <w:sz w:val="24"/>
          <w:highlight w:val="none"/>
        </w:rPr>
      </w:pPr>
    </w:p>
    <w:p w14:paraId="7BA902B1">
      <w:pPr>
        <w:spacing w:line="360" w:lineRule="auto"/>
        <w:ind w:firstLine="494"/>
        <w:rPr>
          <w:rFonts w:hint="eastAsia" w:ascii="仿宋" w:hAnsi="仿宋" w:eastAsia="仿宋" w:cs="仿宋"/>
          <w:color w:val="auto"/>
          <w:sz w:val="24"/>
          <w:highlight w:val="none"/>
        </w:rPr>
      </w:pPr>
    </w:p>
    <w:p w14:paraId="3BA2D332">
      <w:pPr>
        <w:spacing w:line="360" w:lineRule="auto"/>
        <w:ind w:firstLine="494"/>
        <w:rPr>
          <w:rFonts w:hint="eastAsia" w:ascii="仿宋" w:hAnsi="仿宋" w:eastAsia="仿宋" w:cs="仿宋"/>
          <w:color w:val="auto"/>
          <w:sz w:val="24"/>
          <w:highlight w:val="none"/>
        </w:rPr>
      </w:pPr>
    </w:p>
    <w:p w14:paraId="5E61C69A">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058A76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3DA3C14">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0AF7346">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36B5046">
      <w:pPr>
        <w:autoSpaceDE w:val="0"/>
        <w:autoSpaceDN w:val="0"/>
        <w:jc w:val="center"/>
        <w:rPr>
          <w:rFonts w:hint="eastAsia" w:ascii="仿宋" w:hAnsi="仿宋" w:eastAsia="仿宋" w:cs="仿宋"/>
          <w:b/>
          <w:color w:val="auto"/>
          <w:spacing w:val="6"/>
          <w:sz w:val="32"/>
          <w:szCs w:val="32"/>
          <w:highlight w:val="none"/>
        </w:rPr>
      </w:pPr>
    </w:p>
    <w:p w14:paraId="4C664CB2">
      <w:pPr>
        <w:autoSpaceDE w:val="0"/>
        <w:autoSpaceDN w:val="0"/>
        <w:jc w:val="center"/>
        <w:rPr>
          <w:rFonts w:hint="eastAsia" w:ascii="仿宋" w:hAnsi="仿宋" w:eastAsia="仿宋" w:cs="仿宋"/>
          <w:b/>
          <w:color w:val="auto"/>
          <w:spacing w:val="6"/>
          <w:sz w:val="32"/>
          <w:szCs w:val="32"/>
          <w:highlight w:val="none"/>
        </w:rPr>
      </w:pPr>
    </w:p>
    <w:p w14:paraId="36755DD1">
      <w:pPr>
        <w:autoSpaceDE w:val="0"/>
        <w:autoSpaceDN w:val="0"/>
        <w:jc w:val="center"/>
        <w:rPr>
          <w:rFonts w:hint="eastAsia" w:ascii="仿宋" w:hAnsi="仿宋" w:eastAsia="仿宋" w:cs="仿宋"/>
          <w:b/>
          <w:color w:val="auto"/>
          <w:spacing w:val="6"/>
          <w:sz w:val="32"/>
          <w:szCs w:val="32"/>
          <w:highlight w:val="none"/>
        </w:rPr>
      </w:pPr>
    </w:p>
    <w:p w14:paraId="6D774648">
      <w:pPr>
        <w:autoSpaceDE w:val="0"/>
        <w:autoSpaceDN w:val="0"/>
        <w:jc w:val="center"/>
        <w:rPr>
          <w:rFonts w:hint="eastAsia" w:ascii="仿宋" w:hAnsi="仿宋" w:eastAsia="仿宋" w:cs="仿宋"/>
          <w:b/>
          <w:color w:val="auto"/>
          <w:spacing w:val="6"/>
          <w:sz w:val="32"/>
          <w:szCs w:val="32"/>
          <w:highlight w:val="none"/>
        </w:rPr>
      </w:pPr>
    </w:p>
    <w:p w14:paraId="202FD254">
      <w:pPr>
        <w:autoSpaceDE w:val="0"/>
        <w:autoSpaceDN w:val="0"/>
        <w:jc w:val="center"/>
        <w:rPr>
          <w:rFonts w:hint="eastAsia" w:ascii="仿宋" w:hAnsi="仿宋" w:eastAsia="仿宋" w:cs="仿宋"/>
          <w:b/>
          <w:color w:val="auto"/>
          <w:spacing w:val="6"/>
          <w:sz w:val="32"/>
          <w:szCs w:val="32"/>
          <w:highlight w:val="none"/>
        </w:rPr>
      </w:pPr>
    </w:p>
    <w:p w14:paraId="173A56E1">
      <w:pPr>
        <w:autoSpaceDE w:val="0"/>
        <w:autoSpaceDN w:val="0"/>
        <w:jc w:val="center"/>
        <w:rPr>
          <w:rFonts w:hint="eastAsia" w:ascii="仿宋" w:hAnsi="仿宋" w:eastAsia="仿宋" w:cs="仿宋"/>
          <w:b/>
          <w:color w:val="auto"/>
          <w:spacing w:val="6"/>
          <w:sz w:val="32"/>
          <w:szCs w:val="32"/>
          <w:highlight w:val="none"/>
        </w:rPr>
      </w:pPr>
    </w:p>
    <w:p w14:paraId="7DBBB449">
      <w:pPr>
        <w:autoSpaceDE w:val="0"/>
        <w:autoSpaceDN w:val="0"/>
        <w:jc w:val="center"/>
        <w:rPr>
          <w:rFonts w:hint="eastAsia" w:ascii="仿宋" w:hAnsi="仿宋" w:eastAsia="仿宋" w:cs="仿宋"/>
          <w:b/>
          <w:color w:val="auto"/>
          <w:spacing w:val="6"/>
          <w:sz w:val="32"/>
          <w:szCs w:val="32"/>
          <w:highlight w:val="none"/>
        </w:rPr>
      </w:pPr>
    </w:p>
    <w:p w14:paraId="6810CAB7">
      <w:pPr>
        <w:autoSpaceDE w:val="0"/>
        <w:autoSpaceDN w:val="0"/>
        <w:jc w:val="center"/>
        <w:rPr>
          <w:rFonts w:hint="eastAsia" w:ascii="仿宋" w:hAnsi="仿宋" w:eastAsia="仿宋" w:cs="仿宋"/>
          <w:b/>
          <w:color w:val="auto"/>
          <w:spacing w:val="6"/>
          <w:sz w:val="32"/>
          <w:szCs w:val="32"/>
          <w:highlight w:val="none"/>
        </w:rPr>
      </w:pPr>
    </w:p>
    <w:p w14:paraId="0B7A49CD">
      <w:pPr>
        <w:autoSpaceDE w:val="0"/>
        <w:autoSpaceDN w:val="0"/>
        <w:jc w:val="center"/>
        <w:rPr>
          <w:rFonts w:hint="eastAsia" w:ascii="仿宋" w:hAnsi="仿宋" w:eastAsia="仿宋" w:cs="仿宋"/>
          <w:b/>
          <w:color w:val="auto"/>
          <w:spacing w:val="6"/>
          <w:sz w:val="32"/>
          <w:szCs w:val="32"/>
          <w:highlight w:val="none"/>
        </w:rPr>
      </w:pPr>
    </w:p>
    <w:p w14:paraId="4350FC7E">
      <w:pPr>
        <w:autoSpaceDE w:val="0"/>
        <w:autoSpaceDN w:val="0"/>
        <w:jc w:val="center"/>
        <w:rPr>
          <w:rFonts w:hint="eastAsia" w:ascii="仿宋" w:hAnsi="仿宋" w:eastAsia="仿宋" w:cs="仿宋"/>
          <w:b/>
          <w:color w:val="auto"/>
          <w:spacing w:val="6"/>
          <w:sz w:val="32"/>
          <w:szCs w:val="32"/>
          <w:highlight w:val="none"/>
        </w:rPr>
      </w:pPr>
    </w:p>
    <w:p w14:paraId="1F85080E">
      <w:pPr>
        <w:autoSpaceDE w:val="0"/>
        <w:autoSpaceDN w:val="0"/>
        <w:jc w:val="center"/>
        <w:rPr>
          <w:rFonts w:hint="eastAsia" w:ascii="仿宋" w:hAnsi="仿宋" w:eastAsia="仿宋" w:cs="仿宋"/>
          <w:b/>
          <w:color w:val="auto"/>
          <w:spacing w:val="6"/>
          <w:sz w:val="32"/>
          <w:szCs w:val="32"/>
          <w:highlight w:val="none"/>
        </w:rPr>
      </w:pPr>
    </w:p>
    <w:p w14:paraId="5BF91399">
      <w:pPr>
        <w:autoSpaceDE w:val="0"/>
        <w:autoSpaceDN w:val="0"/>
        <w:jc w:val="center"/>
        <w:rPr>
          <w:rFonts w:hint="eastAsia" w:ascii="仿宋" w:hAnsi="仿宋" w:eastAsia="仿宋" w:cs="仿宋"/>
          <w:b/>
          <w:color w:val="auto"/>
          <w:spacing w:val="6"/>
          <w:sz w:val="32"/>
          <w:szCs w:val="32"/>
          <w:highlight w:val="none"/>
        </w:rPr>
      </w:pPr>
    </w:p>
    <w:p w14:paraId="234E256C">
      <w:pPr>
        <w:autoSpaceDE w:val="0"/>
        <w:autoSpaceDN w:val="0"/>
        <w:jc w:val="center"/>
        <w:rPr>
          <w:rFonts w:hint="eastAsia" w:ascii="仿宋" w:hAnsi="仿宋" w:eastAsia="仿宋" w:cs="仿宋"/>
          <w:b/>
          <w:color w:val="auto"/>
          <w:spacing w:val="6"/>
          <w:sz w:val="32"/>
          <w:szCs w:val="32"/>
          <w:highlight w:val="none"/>
        </w:rPr>
      </w:pPr>
    </w:p>
    <w:p w14:paraId="3BE1F24C">
      <w:pPr>
        <w:autoSpaceDE w:val="0"/>
        <w:autoSpaceDN w:val="0"/>
        <w:jc w:val="center"/>
        <w:rPr>
          <w:rFonts w:hint="eastAsia" w:ascii="仿宋" w:hAnsi="仿宋" w:eastAsia="仿宋" w:cs="仿宋"/>
          <w:b/>
          <w:color w:val="auto"/>
          <w:spacing w:val="6"/>
          <w:sz w:val="32"/>
          <w:szCs w:val="32"/>
          <w:highlight w:val="none"/>
        </w:rPr>
      </w:pPr>
    </w:p>
    <w:p w14:paraId="7E616F14">
      <w:pPr>
        <w:autoSpaceDE w:val="0"/>
        <w:autoSpaceDN w:val="0"/>
        <w:jc w:val="center"/>
        <w:rPr>
          <w:rFonts w:hint="eastAsia" w:ascii="仿宋" w:hAnsi="仿宋" w:eastAsia="仿宋" w:cs="仿宋"/>
          <w:b/>
          <w:color w:val="auto"/>
          <w:spacing w:val="6"/>
          <w:sz w:val="32"/>
          <w:szCs w:val="32"/>
          <w:highlight w:val="none"/>
        </w:rPr>
      </w:pPr>
    </w:p>
    <w:p w14:paraId="4205D258">
      <w:pPr>
        <w:autoSpaceDE w:val="0"/>
        <w:autoSpaceDN w:val="0"/>
        <w:jc w:val="center"/>
        <w:rPr>
          <w:rFonts w:hint="eastAsia" w:ascii="仿宋" w:hAnsi="仿宋" w:eastAsia="仿宋" w:cs="仿宋"/>
          <w:b/>
          <w:color w:val="auto"/>
          <w:spacing w:val="6"/>
          <w:sz w:val="32"/>
          <w:szCs w:val="32"/>
          <w:highlight w:val="none"/>
        </w:rPr>
      </w:pPr>
    </w:p>
    <w:p w14:paraId="3A3B6DED">
      <w:pPr>
        <w:autoSpaceDE w:val="0"/>
        <w:autoSpaceDN w:val="0"/>
        <w:jc w:val="center"/>
        <w:rPr>
          <w:rFonts w:hint="eastAsia" w:ascii="仿宋" w:hAnsi="仿宋" w:eastAsia="仿宋" w:cs="仿宋"/>
          <w:b/>
          <w:color w:val="auto"/>
          <w:spacing w:val="6"/>
          <w:sz w:val="32"/>
          <w:szCs w:val="32"/>
          <w:highlight w:val="none"/>
        </w:rPr>
      </w:pPr>
    </w:p>
    <w:p w14:paraId="43C67DD8">
      <w:pPr>
        <w:autoSpaceDE w:val="0"/>
        <w:autoSpaceDN w:val="0"/>
        <w:jc w:val="both"/>
        <w:rPr>
          <w:rFonts w:hint="eastAsia" w:ascii="仿宋" w:hAnsi="仿宋" w:eastAsia="仿宋" w:cs="仿宋"/>
          <w:b/>
          <w:color w:val="auto"/>
          <w:spacing w:val="6"/>
          <w:sz w:val="32"/>
          <w:szCs w:val="32"/>
          <w:highlight w:val="none"/>
        </w:rPr>
      </w:pPr>
    </w:p>
    <w:p w14:paraId="4FD4EC10">
      <w:pPr>
        <w:autoSpaceDE w:val="0"/>
        <w:autoSpaceDN w:val="0"/>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spacing w:val="6"/>
          <w:sz w:val="32"/>
          <w:szCs w:val="32"/>
        </w:rPr>
        <w:t>附件5：</w:t>
      </w:r>
      <w:r>
        <w:rPr>
          <w:rFonts w:hint="eastAsia" w:ascii="仿宋_GB2312" w:hAnsi="仿宋_GB2312" w:eastAsia="仿宋_GB2312" w:cs="仿宋_GB2312"/>
          <w:b/>
          <w:kern w:val="0"/>
          <w:sz w:val="32"/>
          <w:szCs w:val="32"/>
          <w:lang w:val="zh-CN"/>
        </w:rPr>
        <w:t>联合协议</w:t>
      </w:r>
    </w:p>
    <w:p w14:paraId="6B852272">
      <w:pPr>
        <w:widowControl/>
        <w:spacing w:line="360"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（以联合体形式投标的，提供联合协议；本项目不接受联合体投标或者投标人不以联合体形式投标的，则不需要提供）</w:t>
      </w:r>
    </w:p>
    <w:p w14:paraId="35E8044E">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w:t>
      </w:r>
      <w:r>
        <w:rPr>
          <w:rFonts w:hint="eastAsia" w:ascii="仿宋_GB2312" w:hAnsi="仿宋_GB2312" w:eastAsia="仿宋_GB2312" w:cs="仿宋_GB2312"/>
          <w:kern w:val="0"/>
          <w:sz w:val="24"/>
          <w:highlight w:val="none"/>
          <w:lang w:val="zh-CN"/>
        </w:rPr>
        <w:t>标人的身份</w:t>
      </w:r>
      <w:r>
        <w:rPr>
          <w:rFonts w:hint="eastAsia" w:ascii="仿宋_GB2312" w:hAnsi="仿宋_GB2312" w:eastAsia="仿宋_GB2312" w:cs="仿宋_GB2312"/>
          <w:kern w:val="0"/>
          <w:sz w:val="24"/>
          <w:highlight w:val="none"/>
          <w:u w:val="none"/>
        </w:rPr>
        <w:t>参加</w:t>
      </w:r>
      <w:r>
        <w:rPr>
          <w:rFonts w:hint="eastAsia" w:ascii="仿宋" w:hAnsi="仿宋" w:eastAsia="仿宋" w:cs="仿宋"/>
          <w:color w:val="auto"/>
          <w:sz w:val="24"/>
          <w:highlight w:val="none"/>
        </w:rPr>
        <w:t>（项目名称）【招标编号：（采购编号）】</w:t>
      </w:r>
      <w:r>
        <w:rPr>
          <w:rFonts w:hint="eastAsia" w:ascii="仿宋_GB2312" w:hAnsi="仿宋_GB2312" w:eastAsia="仿宋_GB2312" w:cs="仿宋_GB2312"/>
          <w:kern w:val="0"/>
          <w:sz w:val="24"/>
          <w:highlight w:val="none"/>
          <w:lang w:val="zh-CN"/>
        </w:rPr>
        <w:t>投</w:t>
      </w:r>
      <w:r>
        <w:rPr>
          <w:rFonts w:hint="eastAsia" w:ascii="仿宋_GB2312" w:hAnsi="仿宋_GB2312" w:eastAsia="仿宋_GB2312" w:cs="仿宋_GB2312"/>
          <w:kern w:val="0"/>
          <w:sz w:val="24"/>
          <w:lang w:val="zh-CN"/>
        </w:rPr>
        <w:t xml:space="preserve">标。 </w:t>
      </w:r>
    </w:p>
    <w:p w14:paraId="7D8B5C5E">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14:paraId="7FFEBA11">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授权代表根据招标文件规定及投标内容而对采购人、采购代理机构所作的任何合法承诺，包括书面澄清及相应等均对联合投标各方产生约束力。</w:t>
      </w:r>
    </w:p>
    <w:p w14:paraId="0BD5F2F7">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p>
    <w:p w14:paraId="543DD605">
      <w:pPr>
        <w:snapToGrid w:val="0"/>
        <w:spacing w:line="360" w:lineRule="auto"/>
        <w:ind w:firstLine="576"/>
        <w:rPr>
          <w:rFonts w:ascii="仿宋_GB2312" w:hAnsi="仿宋_GB2312" w:eastAsia="仿宋_GB2312" w:cs="仿宋_GB2312"/>
          <w:kern w:val="0"/>
          <w:sz w:val="24"/>
          <w:lang w:val="zh-CN"/>
        </w:rPr>
      </w:pPr>
      <w:bookmarkStart w:id="510" w:name="_Hlk101134295"/>
      <w:r>
        <w:rPr>
          <w:rFonts w:hint="eastAsia" w:ascii="仿宋_GB2312" w:hAnsi="仿宋_GB2312" w:eastAsia="仿宋_GB2312" w:cs="仿宋_GB2312"/>
          <w:kern w:val="0"/>
          <w:sz w:val="24"/>
          <w:u w:val="single"/>
        </w:rPr>
        <w:t>（联合体成员1）</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w:t>
      </w:r>
    </w:p>
    <w:p w14:paraId="43242475">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（联合体成员2）</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w:t>
      </w:r>
    </w:p>
    <w:p w14:paraId="0891EDDD">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w:t>
      </w:r>
    </w:p>
    <w:bookmarkEnd w:id="510"/>
    <w:p w14:paraId="487FECA7">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四、联合体成员中小企业合同份额。</w:t>
      </w:r>
    </w:p>
    <w:p w14:paraId="59FCEEF8">
      <w:pPr>
        <w:snapToGrid w:val="0"/>
        <w:spacing w:line="360" w:lineRule="auto"/>
        <w:ind w:firstLine="576"/>
        <w:rPr>
          <w:rFonts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1、</w:t>
      </w:r>
      <w:r>
        <w:rPr>
          <w:rFonts w:hint="eastAsia" w:ascii="仿宋_GB2312" w:hAnsi="仿宋_GB2312" w:eastAsia="仿宋_GB2312" w:cs="仿宋_GB2312"/>
          <w:kern w:val="0"/>
          <w:sz w:val="24"/>
          <w:u w:val="single"/>
        </w:rPr>
        <w:t>（联合体成员X,……）</w:t>
      </w:r>
      <w:r>
        <w:rPr>
          <w:rFonts w:hint="eastAsia" w:ascii="仿宋_GB2312" w:hAnsi="仿宋_GB2312" w:eastAsia="仿宋_GB2312" w:cs="仿宋_GB2312"/>
          <w:kern w:val="0"/>
          <w:sz w:val="24"/>
        </w:rPr>
        <w:t>提供的</w:t>
      </w:r>
      <w:r>
        <w:rPr>
          <w:rFonts w:hint="eastAsia" w:ascii="仿宋_GB2312" w:hAnsi="仿宋_GB2312" w:eastAsia="仿宋_GB2312" w:cs="仿宋_GB2312"/>
          <w:kern w:val="0"/>
          <w:sz w:val="24"/>
          <w:lang w:eastAsia="zh-CN"/>
        </w:rPr>
        <w:t>服务</w:t>
      </w:r>
      <w:r>
        <w:rPr>
          <w:rFonts w:hint="eastAsia" w:ascii="仿宋_GB2312" w:hAnsi="仿宋_GB2312" w:eastAsia="仿宋_GB2312" w:cs="仿宋_GB2312"/>
          <w:kern w:val="0"/>
          <w:sz w:val="24"/>
        </w:rPr>
        <w:t>由小微企业</w:t>
      </w:r>
      <w:r>
        <w:rPr>
          <w:rFonts w:hint="eastAsia" w:ascii="仿宋_GB2312" w:hAnsi="仿宋_GB2312" w:eastAsia="仿宋_GB2312" w:cs="仿宋_GB2312"/>
          <w:kern w:val="0"/>
          <w:sz w:val="24"/>
          <w:lang w:eastAsia="zh-CN"/>
        </w:rPr>
        <w:t>承接</w:t>
      </w:r>
      <w:r>
        <w:rPr>
          <w:rFonts w:hint="eastAsia" w:ascii="仿宋_GB2312" w:hAnsi="仿宋_GB2312" w:eastAsia="仿宋_GB2312" w:cs="仿宋_GB2312"/>
          <w:kern w:val="0"/>
          <w:sz w:val="24"/>
        </w:rPr>
        <w:t>，其合同份额占到合同总金额</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14:paraId="1AC78097">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sz w:val="24"/>
        </w:rPr>
        <w:t>2、中小企业合同金额达到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kern w:val="0"/>
          <w:sz w:val="24"/>
          <w:lang w:val="zh-CN"/>
        </w:rPr>
        <w:t>）</w:t>
      </w:r>
    </w:p>
    <w:p w14:paraId="1A7D77A6">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14:paraId="1C01C236">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14:paraId="4D90B3D8">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14:paraId="6FE032F4">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14:paraId="4F1B420E">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3、本协议提交采购人、采购代理机构后，联合体各方不得以任何形式对上述内容进行修改或撤销。</w:t>
      </w:r>
    </w:p>
    <w:p w14:paraId="29FE6914">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14:paraId="55D54097">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14:paraId="54223EA8">
      <w:pPr>
        <w:snapToGrid w:val="0"/>
        <w:spacing w:line="360" w:lineRule="auto"/>
        <w:ind w:right="960"/>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14:paraId="4B722663">
      <w:pPr>
        <w:snapToGrid w:val="0"/>
        <w:spacing w:line="360" w:lineRule="auto"/>
        <w:ind w:firstLine="5040" w:firstLineChars="2100"/>
        <w:rPr>
          <w:rFonts w:ascii="仿宋_GB2312" w:hAnsi="仿宋_GB2312" w:eastAsia="仿宋_GB2312" w:cs="仿宋_GB2312"/>
          <w:kern w:val="0"/>
          <w:sz w:val="24"/>
          <w:lang w:val="zh-CN"/>
        </w:rPr>
      </w:pPr>
    </w:p>
    <w:p w14:paraId="4C7A4DD8">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14:paraId="5333D44F">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14:paraId="5B9E9143">
      <w:pPr>
        <w:snapToGrid w:val="0"/>
        <w:spacing w:line="360" w:lineRule="auto"/>
        <w:ind w:firstLine="3666" w:firstLineChars="1100"/>
        <w:rPr>
          <w:rFonts w:ascii="仿宋_GB2312" w:hAnsi="仿宋_GB2312" w:eastAsia="仿宋_GB2312" w:cs="仿宋_GB2312"/>
          <w:b/>
          <w:spacing w:val="6"/>
          <w:sz w:val="32"/>
          <w:szCs w:val="32"/>
        </w:rPr>
        <w:sectPr>
          <w:pgSz w:w="11906" w:h="16838"/>
          <w:pgMar w:top="680" w:right="1417" w:bottom="471" w:left="1418" w:header="851" w:footer="992" w:gutter="0"/>
          <w:pgBorders>
            <w:top w:val="none" w:sz="0" w:space="0"/>
            <w:left w:val="none" w:sz="0" w:space="0"/>
            <w:bottom w:val="none" w:sz="0" w:space="0"/>
            <w:right w:val="none" w:sz="0" w:space="0"/>
          </w:pgBorders>
          <w:cols w:space="720" w:num="1"/>
          <w:titlePg/>
          <w:docGrid w:linePitch="312" w:charSpace="0"/>
        </w:sectPr>
      </w:pPr>
    </w:p>
    <w:p w14:paraId="222D1A7B">
      <w:pPr>
        <w:snapToGrid w:val="0"/>
        <w:spacing w:line="360" w:lineRule="auto"/>
        <w:ind w:firstLine="3666" w:firstLineChars="1100"/>
        <w:rPr>
          <w:rFonts w:ascii="仿宋_GB2312" w:hAnsi="仿宋_GB2312" w:eastAsia="仿宋_GB2312" w:cs="仿宋_GB2312"/>
          <w:b/>
          <w:kern w:val="0"/>
          <w:sz w:val="32"/>
          <w:szCs w:val="32"/>
        </w:rPr>
      </w:pPr>
      <w:r>
        <w:rPr>
          <w:rFonts w:hint="eastAsia" w:ascii="仿宋_GB2312" w:hAnsi="仿宋_GB2312" w:eastAsia="仿宋_GB2312" w:cs="仿宋_GB2312"/>
          <w:b/>
          <w:spacing w:val="6"/>
          <w:sz w:val="32"/>
          <w:szCs w:val="32"/>
        </w:rPr>
        <w:t>附件6：</w:t>
      </w:r>
      <w:r>
        <w:rPr>
          <w:rFonts w:hint="eastAsia" w:ascii="仿宋_GB2312" w:hAnsi="仿宋_GB2312" w:eastAsia="仿宋_GB2312" w:cs="仿宋_GB2312"/>
          <w:b/>
          <w:kern w:val="0"/>
          <w:sz w:val="32"/>
          <w:szCs w:val="32"/>
        </w:rPr>
        <w:t>分包意向协议</w:t>
      </w:r>
    </w:p>
    <w:p w14:paraId="693FA5AD">
      <w:pPr>
        <w:widowControl/>
        <w:spacing w:line="360" w:lineRule="auto"/>
        <w:ind w:firstLine="120" w:firstLineChars="5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14:paraId="3DE31445">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 w:hAnsi="仿宋" w:eastAsia="仿宋" w:cs="仿宋"/>
          <w:color w:val="auto"/>
          <w:sz w:val="24"/>
          <w:highlight w:val="none"/>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 xml:space="preserve">。 </w:t>
      </w:r>
    </w:p>
    <w:p w14:paraId="0C06EFAC">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14:paraId="0B2DE8AC">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（分包供应商1名称）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（分包供应商1名称），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14:paraId="1376341D">
      <w:pPr>
        <w:pStyle w:val="3"/>
        <w:ind w:left="758" w:leftChars="316" w:firstLine="229" w:firstLineChars="95"/>
        <w:rPr>
          <w:rFonts w:hAnsi="仿宋_GB2312" w:cs="仿宋_GB2312"/>
          <w:kern w:val="0"/>
          <w:sz w:val="24"/>
          <w:szCs w:val="24"/>
        </w:rPr>
      </w:pPr>
      <w:r>
        <w:rPr>
          <w:rFonts w:hint="eastAsia" w:hAnsi="仿宋_GB2312" w:cs="仿宋_GB2312"/>
          <w:kern w:val="0"/>
          <w:sz w:val="24"/>
          <w:szCs w:val="24"/>
        </w:rPr>
        <w:t>……</w:t>
      </w:r>
    </w:p>
    <w:p w14:paraId="01CF619D">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二、分包供应商中小企业合同份额</w:t>
      </w:r>
    </w:p>
    <w:p w14:paraId="0ED88C03">
      <w:pPr>
        <w:snapToGrid w:val="0"/>
        <w:spacing w:line="360" w:lineRule="auto"/>
        <w:ind w:firstLine="576"/>
        <w:rPr>
          <w:rFonts w:ascii="仿宋_GB2312" w:hAnsi="仿宋_GB2312" w:eastAsia="仿宋_GB2312" w:cs="仿宋_GB2312"/>
          <w:b/>
          <w:kern w:val="0"/>
          <w:sz w:val="24"/>
          <w:lang w:val="zh-CN"/>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u w:val="single"/>
        </w:rPr>
        <w:t>（分包供应商X,……）提供的</w:t>
      </w:r>
      <w:r>
        <w:rPr>
          <w:rFonts w:hint="eastAsia" w:ascii="仿宋_GB2312" w:hAnsi="仿宋_GB2312" w:eastAsia="仿宋_GB2312" w:cs="仿宋_GB2312"/>
          <w:kern w:val="0"/>
          <w:sz w:val="24"/>
          <w:u w:val="single"/>
          <w:lang w:eastAsia="zh-CN"/>
        </w:rPr>
        <w:t>服务</w:t>
      </w:r>
      <w:r>
        <w:rPr>
          <w:rFonts w:hint="eastAsia" w:ascii="仿宋_GB2312" w:hAnsi="仿宋_GB2312" w:eastAsia="仿宋_GB2312" w:cs="仿宋_GB2312"/>
          <w:kern w:val="0"/>
          <w:sz w:val="24"/>
          <w:u w:val="single"/>
        </w:rPr>
        <w:t>全部</w:t>
      </w:r>
      <w:r>
        <w:rPr>
          <w:rFonts w:hint="eastAsia" w:ascii="仿宋_GB2312" w:hAnsi="仿宋_GB2312" w:eastAsia="仿宋_GB2312" w:cs="仿宋_GB2312"/>
          <w:kern w:val="0"/>
          <w:sz w:val="24"/>
          <w:highlight w:val="none"/>
          <w:u w:val="single"/>
        </w:rPr>
        <w:t>由（中型或小型或微型），</w:t>
      </w:r>
      <w:r>
        <w:rPr>
          <w:rFonts w:hint="eastAsia" w:ascii="仿宋_GB2312" w:hAnsi="仿宋_GB2312" w:eastAsia="仿宋_GB2312" w:cs="仿宋_GB2312"/>
          <w:kern w:val="0"/>
          <w:sz w:val="24"/>
          <w:highlight w:val="none"/>
        </w:rPr>
        <w:t>其</w:t>
      </w:r>
      <w:r>
        <w:rPr>
          <w:rFonts w:hint="eastAsia" w:ascii="仿宋_GB2312" w:hAnsi="仿宋_GB2312" w:eastAsia="仿宋_GB2312" w:cs="仿宋_GB2312"/>
          <w:kern w:val="0"/>
          <w:sz w:val="24"/>
        </w:rPr>
        <w:t>合同份额占到合同总金额</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14:paraId="4BB6F137">
      <w:pPr>
        <w:spacing w:line="360" w:lineRule="auto"/>
        <w:ind w:firstLine="480" w:firstLineChars="200"/>
        <w:rPr>
          <w:rFonts w:ascii="仿宋_GB2312" w:hAnsi="仿宋_GB2312" w:eastAsia="仿宋_GB2312" w:cs="仿宋_GB2312"/>
          <w:b/>
          <w:bCs/>
          <w:kern w:val="0"/>
          <w:sz w:val="24"/>
          <w:lang w:val="zh-CN"/>
        </w:rPr>
      </w:pPr>
      <w:r>
        <w:rPr>
          <w:rFonts w:hint="eastAsia" w:ascii="仿宋_GB2312" w:hAnsi="仿宋_GB2312" w:eastAsia="仿宋_GB2312" w:cs="仿宋_GB2312"/>
          <w:sz w:val="24"/>
        </w:rPr>
        <w:t>2、</w:t>
      </w:r>
      <w:bookmarkStart w:id="511" w:name="_Hlk101133173"/>
      <w:r>
        <w:rPr>
          <w:rFonts w:hint="eastAsia" w:ascii="仿宋_GB2312" w:hAnsi="仿宋_GB2312" w:eastAsia="仿宋_GB2312" w:cs="仿宋_GB2312"/>
          <w:sz w:val="24"/>
        </w:rPr>
        <w:t>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要求合同分包形式参加的项目或采购包，供应商按招标文件第一部分招标公告申请人的资格要求中规定的</w:t>
      </w:r>
      <w:r>
        <w:rPr>
          <w:rFonts w:hint="eastAsia" w:ascii="仿宋_GB2312" w:hAnsi="仿宋_GB2312" w:eastAsia="仿宋_GB2312" w:cs="仿宋_GB2312"/>
          <w:b/>
          <w:kern w:val="0"/>
          <w:sz w:val="24"/>
          <w:lang w:val="zh-CN"/>
        </w:rPr>
        <w:t>分包意向协议</w:t>
      </w:r>
      <w:r>
        <w:rPr>
          <w:rFonts w:hint="eastAsia" w:ascii="仿宋_GB2312" w:hAnsi="仿宋_GB2312" w:eastAsia="仿宋_GB2312" w:cs="仿宋_GB2312"/>
          <w:b/>
          <w:bCs/>
          <w:sz w:val="24"/>
        </w:rPr>
        <w:t>中中小企业、小微企业合同金额应当达到的比例要求填写。</w:t>
      </w:r>
      <w:r>
        <w:rPr>
          <w:rFonts w:hint="eastAsia" w:ascii="仿宋_GB2312" w:hAnsi="仿宋_GB2312" w:eastAsia="仿宋_GB2312" w:cs="仿宋_GB2312"/>
          <w:b/>
          <w:bCs/>
          <w:kern w:val="0"/>
          <w:sz w:val="24"/>
          <w:lang w:val="zh-CN"/>
        </w:rPr>
        <w:t>）</w:t>
      </w:r>
      <w:bookmarkEnd w:id="511"/>
    </w:p>
    <w:p w14:paraId="3AB205A4">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三、分包工作履行期限、地点、方式</w:t>
      </w:r>
    </w:p>
    <w:p w14:paraId="1FEDF0A7">
      <w:pPr>
        <w:snapToGrid w:val="0"/>
        <w:ind w:firstLine="576"/>
        <w:rPr>
          <w:rFonts w:ascii="仿宋_GB2312" w:hAnsi="仿宋_GB2312" w:eastAsia="仿宋_GB2312" w:cs="仿宋_GB2312"/>
          <w:u w:val="single"/>
        </w:rPr>
      </w:pPr>
      <w:r>
        <w:rPr>
          <w:rFonts w:hint="eastAsia" w:ascii="仿宋_GB2312" w:hAnsi="仿宋_GB2312" w:eastAsia="仿宋_GB2312" w:cs="仿宋_GB2312"/>
          <w:u w:val="single"/>
        </w:rPr>
        <w:t xml:space="preserve">                                                                                  </w:t>
      </w:r>
    </w:p>
    <w:p w14:paraId="2C55511D">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四、质量</w:t>
      </w:r>
    </w:p>
    <w:p w14:paraId="5C445BDF">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14:paraId="3941D1CD">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五、价款或者报酬</w:t>
      </w:r>
    </w:p>
    <w:p w14:paraId="1E3605C2">
      <w:pPr>
        <w:snapToGrid w:val="0"/>
        <w:ind w:left="655" w:leftChars="273"/>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14:paraId="51FB5B04">
      <w:pPr>
        <w:snapToGrid w:val="0"/>
        <w:ind w:left="655" w:leftChars="273"/>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六、违约责任</w:t>
      </w:r>
    </w:p>
    <w:p w14:paraId="1680AB2B">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14:paraId="59D48F4D">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七、争议解决的办法</w:t>
      </w:r>
    </w:p>
    <w:p w14:paraId="07E930C4">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14:paraId="6CC113F5">
      <w:pPr>
        <w:snapToGrid w:val="0"/>
        <w:spacing w:line="360" w:lineRule="auto"/>
        <w:ind w:left="5861" w:leftChars="342" w:hanging="5040" w:hanging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w:t>
      </w:r>
    </w:p>
    <w:p w14:paraId="79AAB673">
      <w:pPr>
        <w:snapToGrid w:val="0"/>
        <w:spacing w:line="360" w:lineRule="auto"/>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分包供应商名称(电子签名/公章)：</w:t>
      </w:r>
    </w:p>
    <w:p w14:paraId="42B8FAA4">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14:paraId="09F30B4B">
      <w:pPr>
        <w:autoSpaceDE w:val="0"/>
        <w:autoSpaceDN w:val="0"/>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14:paraId="685DE648">
      <w:pPr>
        <w:autoSpaceDE w:val="0"/>
        <w:autoSpaceDN w:val="0"/>
        <w:rPr>
          <w:rFonts w:ascii="仿宋_GB2312" w:hAnsi="仿宋_GB2312" w:eastAsia="仿宋_GB2312" w:cs="仿宋_GB2312"/>
          <w:b/>
          <w:spacing w:val="6"/>
          <w:sz w:val="32"/>
          <w:szCs w:val="32"/>
        </w:rPr>
      </w:pPr>
      <w:r>
        <w:rPr>
          <w:rFonts w:hint="eastAsia" w:ascii="仿宋_GB2312" w:hAnsi="仿宋_GB2312" w:eastAsia="仿宋_GB2312" w:cs="仿宋_GB2312"/>
          <w:sz w:val="24"/>
        </w:rPr>
        <w:t>注：按本格式和要求提供。</w:t>
      </w:r>
    </w:p>
    <w:p w14:paraId="667276EB">
      <w:pPr>
        <w:pStyle w:val="3"/>
        <w:rPr>
          <w:rFonts w:hAnsi="仿宋_GB2312" w:cs="仿宋_GB2312"/>
        </w:rPr>
        <w:sectPr>
          <w:pgSz w:w="11906" w:h="16838"/>
          <w:pgMar w:top="680" w:right="1417" w:bottom="471" w:left="1418" w:header="851" w:footer="992" w:gutter="0"/>
          <w:pgBorders>
            <w:top w:val="none" w:sz="0" w:space="0"/>
            <w:left w:val="none" w:sz="0" w:space="0"/>
            <w:bottom w:val="none" w:sz="0" w:space="0"/>
            <w:right w:val="none" w:sz="0" w:space="0"/>
          </w:pgBorders>
          <w:cols w:space="720" w:num="1"/>
          <w:titlePg/>
          <w:docGrid w:linePitch="312" w:charSpace="0"/>
        </w:sectPr>
      </w:pPr>
    </w:p>
    <w:p w14:paraId="754D36BA">
      <w:pPr>
        <w:autoSpaceDE w:val="0"/>
        <w:autoSpaceDN w:val="0"/>
        <w:jc w:val="center"/>
        <w:rPr>
          <w:rFonts w:ascii="仿宋_GB2312" w:hAnsi="仿宋_GB2312" w:eastAsia="仿宋_GB2312" w:cs="仿宋_GB2312"/>
          <w:b/>
          <w:sz w:val="32"/>
          <w:szCs w:val="32"/>
        </w:rPr>
      </w:pPr>
      <w:r>
        <w:rPr>
          <w:rFonts w:hint="eastAsia" w:ascii="仿宋_GB2312" w:hAnsi="仿宋_GB2312" w:eastAsia="仿宋_GB2312" w:cs="仿宋_GB2312"/>
          <w:b/>
          <w:spacing w:val="6"/>
          <w:sz w:val="32"/>
          <w:szCs w:val="32"/>
        </w:rPr>
        <w:t>附件7：</w:t>
      </w:r>
      <w:r>
        <w:rPr>
          <w:rFonts w:hint="eastAsia" w:ascii="仿宋_GB2312" w:hAnsi="仿宋_GB2312" w:eastAsia="仿宋_GB2312" w:cs="仿宋_GB2312"/>
          <w:b/>
          <w:sz w:val="32"/>
          <w:szCs w:val="32"/>
        </w:rPr>
        <w:t>中小企业声明函</w:t>
      </w:r>
    </w:p>
    <w:p w14:paraId="7F86536F">
      <w:pPr>
        <w:spacing w:line="360" w:lineRule="auto"/>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中小企业声明函</w:t>
      </w:r>
      <w:r>
        <w:rPr>
          <w:rFonts w:hint="eastAsia" w:ascii="仿宋_GB2312" w:hAnsi="仿宋_GB2312" w:eastAsia="仿宋_GB2312" w:cs="仿宋_GB2312"/>
          <w:b/>
          <w:sz w:val="32"/>
          <w:szCs w:val="32"/>
          <w:lang w:eastAsia="zh-CN"/>
        </w:rPr>
        <w:t>（服务）</w:t>
      </w:r>
    </w:p>
    <w:p w14:paraId="6310498A">
      <w:pPr>
        <w:numPr>
          <w:ilvl w:val="0"/>
          <w:numId w:val="0"/>
        </w:numPr>
        <w:spacing w:line="360" w:lineRule="auto"/>
        <w:ind w:left="400" w:leftChars="0"/>
        <w:rPr>
          <w:rFonts w:hint="eastAsia" w:ascii="仿宋_GB2312" w:hAnsi="仿宋_GB2312" w:eastAsia="仿宋_GB2312" w:cs="仿宋_GB2312"/>
          <w:sz w:val="24"/>
        </w:rPr>
      </w:pPr>
      <w:r>
        <w:rPr>
          <w:rFonts w:hint="eastAsia" w:ascii="仿宋_GB2312" w:hAnsi="仿宋_GB2312" w:eastAsia="仿宋_GB2312" w:cs="仿宋_GB2312"/>
          <w:sz w:val="24"/>
        </w:rPr>
        <w:t xml:space="preserve">本公司（联合体）郑重声明，根据《政府采购促进中小企业发展管理办法》（财库﹝2020﹞46 号）的规定，本公司（联合体）参加 </w:t>
      </w:r>
      <w:r>
        <w:rPr>
          <w:rFonts w:hint="eastAsia" w:ascii="仿宋_GB2312" w:hAnsi="仿宋_GB2312" w:eastAsia="仿宋_GB2312" w:cs="仿宋_GB2312"/>
          <w:sz w:val="24"/>
          <w:u w:val="single"/>
          <w:lang w:val="en" w:eastAsia="zh-CN"/>
        </w:rPr>
        <w:t>杭州市钱塘区人民政府义蓬街道办事处</w:t>
      </w:r>
      <w:r>
        <w:rPr>
          <w:rFonts w:hint="eastAsia" w:ascii="仿宋_GB2312" w:hAnsi="仿宋_GB2312" w:eastAsia="仿宋_GB2312" w:cs="仿宋_GB2312"/>
          <w:sz w:val="24"/>
        </w:rPr>
        <w:t xml:space="preserve">的 </w:t>
      </w:r>
      <w:r>
        <w:rPr>
          <w:rFonts w:hint="eastAsia" w:ascii="仿宋" w:hAnsi="仿宋" w:eastAsia="仿宋" w:cs="仿宋"/>
          <w:color w:val="auto"/>
          <w:sz w:val="24"/>
          <w:highlight w:val="none"/>
          <w:u w:val="single"/>
        </w:rPr>
        <w:t>（项目名称）</w:t>
      </w:r>
      <w:r>
        <w:rPr>
          <w:rFonts w:hint="eastAsia" w:ascii="仿宋_GB2312" w:hAnsi="仿宋_GB2312" w:eastAsia="仿宋_GB2312" w:cs="仿宋_GB2312"/>
          <w:sz w:val="24"/>
        </w:rPr>
        <w:t xml:space="preserve"> 采购活动，服务全部由符合政策要求的中小企业承接</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相关企业（含联合体中的中小企业、签订分包意向协议的中小企业）的具体情况如下：</w:t>
      </w:r>
    </w:p>
    <w:p w14:paraId="63284DF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1.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 xml:space="preserve">（企业名称）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（中型企业、小型企业、微型企业） </w:t>
      </w:r>
      <w:r>
        <w:rPr>
          <w:rFonts w:hint="eastAsia" w:ascii="仿宋_GB2312" w:hAnsi="仿宋_GB2312" w:eastAsia="仿宋_GB2312" w:cs="仿宋_GB2312"/>
          <w:sz w:val="24"/>
        </w:rPr>
        <w:t>；</w:t>
      </w:r>
    </w:p>
    <w:p w14:paraId="6D598BE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2.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 xml:space="preserve">（企业名称）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（中型企业、小型企业、微型企业） </w:t>
      </w:r>
      <w:r>
        <w:rPr>
          <w:rFonts w:hint="eastAsia" w:ascii="仿宋_GB2312" w:hAnsi="仿宋_GB2312" w:eastAsia="仿宋_GB2312" w:cs="仿宋_GB2312"/>
          <w:sz w:val="24"/>
        </w:rPr>
        <w:t>；</w:t>
      </w:r>
    </w:p>
    <w:p w14:paraId="3B10A49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p>
    <w:p w14:paraId="6267DAD3">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14:paraId="3F84A582">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14:paraId="49FF5985">
      <w:pPr>
        <w:snapToGrid w:val="0"/>
        <w:spacing w:line="360" w:lineRule="auto"/>
        <w:ind w:firstLine="5160" w:firstLineChars="215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14:paraId="4CA33B96">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14:paraId="6C8EE786">
      <w:pPr>
        <w:spacing w:line="360" w:lineRule="auto"/>
        <w:jc w:val="left"/>
        <w:rPr>
          <w:rFonts w:ascii="仿宋_GB2312" w:hAnsi="仿宋_GB2312" w:eastAsia="仿宋_GB2312" w:cs="仿宋_GB2312"/>
          <w:sz w:val="18"/>
          <w:szCs w:val="18"/>
        </w:rPr>
      </w:pPr>
      <w:r>
        <w:rPr>
          <w:rFonts w:hint="eastAsia" w:ascii="仿宋_GB2312" w:hAnsi="仿宋_GB2312" w:eastAsia="仿宋_GB2312" w:cs="仿宋_GB2312"/>
          <w:szCs w:val="21"/>
        </w:rPr>
        <w:t>从业人员、营业收入、资产总额填报上一年度数据，无上一年度数据的新成立企业可不填报。</w:t>
      </w:r>
    </w:p>
    <w:p w14:paraId="0AD125F4">
      <w:pPr>
        <w:spacing w:line="360" w:lineRule="auto"/>
        <w:ind w:right="420" w:firstLine="480" w:firstLineChars="200"/>
        <w:rPr>
          <w:rFonts w:ascii="仿宋_GB2312" w:hAnsi="仿宋_GB2312" w:eastAsia="仿宋_GB2312" w:cs="仿宋_GB2312"/>
          <w:sz w:val="24"/>
        </w:rPr>
      </w:pPr>
      <w:r>
        <w:rPr>
          <w:rFonts w:hint="eastAsia" w:ascii="仿宋_GB2312" w:hAnsi="仿宋_GB2312" w:eastAsia="仿宋_GB2312" w:cs="仿宋_GB2312"/>
          <w:sz w:val="24"/>
        </w:rPr>
        <w:t>注：</w:t>
      </w:r>
    </w:p>
    <w:p w14:paraId="05658464">
      <w:pPr>
        <w:spacing w:line="360" w:lineRule="auto"/>
        <w:ind w:right="420" w:firstLine="480" w:firstLineChars="200"/>
        <w:rPr>
          <w:rFonts w:ascii="仿宋_GB2312" w:hAnsi="仿宋_GB2312" w:eastAsia="仿宋_GB2312" w:cs="仿宋_GB2312"/>
          <w:sz w:val="24"/>
        </w:rPr>
      </w:pPr>
      <w:r>
        <w:rPr>
          <w:rFonts w:hint="eastAsia" w:ascii="仿宋_GB2312" w:hAnsi="仿宋_GB2312" w:eastAsia="仿宋_GB2312" w:cs="仿宋_GB2312"/>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78B2A1C1">
      <w:pPr>
        <w:spacing w:line="360" w:lineRule="auto"/>
        <w:ind w:right="420" w:firstLine="480" w:firstLineChars="200"/>
        <w:rPr>
          <w:rFonts w:hint="eastAsia" w:ascii="仿宋" w:hAnsi="仿宋" w:eastAsia="仿宋" w:cs="仿宋"/>
          <w:bCs/>
          <w:color w:val="auto"/>
          <w:sz w:val="24"/>
          <w:highlight w:val="none"/>
        </w:rPr>
      </w:pPr>
      <w:r>
        <w:rPr>
          <w:rFonts w:hint="eastAsia" w:ascii="仿宋_GB2312" w:hAnsi="仿宋_GB2312" w:eastAsia="仿宋_GB2312"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134" w:bottom="1247" w:left="1134"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书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77C5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D279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2" w:name="_Toc36110187"/>
    <w:bookmarkStart w:id="513" w:name="_Toc164085800"/>
    <w:bookmarkStart w:id="514" w:name="_Toc131845147"/>
    <w:bookmarkStart w:id="515" w:name="_Toc91899912"/>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1C05">
    <w:pPr>
      <w:pStyle w:val="42"/>
      <w:framePr w:wrap="around" w:vAnchor="text" w:hAnchor="margin" w:xAlign="right" w:y="1"/>
      <w:rPr>
        <w:rStyle w:val="73"/>
      </w:rPr>
    </w:pPr>
    <w:r>
      <w:fldChar w:fldCharType="begin"/>
    </w:r>
    <w:r>
      <w:rPr>
        <w:rStyle w:val="73"/>
      </w:rPr>
      <w:instrText xml:space="preserve">PAGE  </w:instrText>
    </w:r>
    <w:r>
      <w:fldChar w:fldCharType="end"/>
    </w:r>
  </w:p>
  <w:p w14:paraId="4C3AF13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CE9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3F555">
    <w:pPr>
      <w:widowControl w:val="0"/>
      <w:adjustRightInd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zh-CN" w:eastAsia="zh-CN" w:bidi="ar-SA"/>
      </w:rPr>
      <w:t xml:space="preserve"> </w:t>
    </w:r>
    <w:r>
      <w:rPr>
        <w:rFonts w:ascii="Times New Roman" w:hAnsi="Times New Roman" w:eastAsia="宋体" w:cs="Times New Roman"/>
        <w:b/>
        <w:bCs/>
        <w:kern w:val="2"/>
        <w:sz w:val="18"/>
        <w:szCs w:val="18"/>
        <w:lang w:val="en-US" w:eastAsia="zh-CN" w:bidi="ar-SA"/>
      </w:rPr>
      <w:fldChar w:fldCharType="begin"/>
    </w:r>
    <w:r>
      <w:rPr>
        <w:rFonts w:ascii="Times New Roman" w:hAnsi="Times New Roman" w:eastAsia="宋体" w:cs="Times New Roman"/>
        <w:b/>
        <w:bCs/>
        <w:kern w:val="2"/>
        <w:sz w:val="18"/>
        <w:szCs w:val="18"/>
        <w:lang w:val="en-US" w:eastAsia="zh-CN" w:bidi="ar-SA"/>
      </w:rPr>
      <w:instrText xml:space="preserve">PAGE  \* Arabic  \* MERGEFORMAT</w:instrText>
    </w:r>
    <w:r>
      <w:rPr>
        <w:rFonts w:ascii="Times New Roman" w:hAnsi="Times New Roman" w:eastAsia="宋体" w:cs="Times New Roman"/>
        <w:b/>
        <w:bCs/>
        <w:kern w:val="2"/>
        <w:sz w:val="18"/>
        <w:szCs w:val="18"/>
        <w:lang w:val="en-US" w:eastAsia="zh-CN" w:bidi="ar-SA"/>
      </w:rPr>
      <w:fldChar w:fldCharType="separate"/>
    </w:r>
    <w:r>
      <w:rPr>
        <w:rFonts w:ascii="Times New Roman" w:hAnsi="Times New Roman" w:eastAsia="宋体" w:cs="Times New Roman"/>
        <w:b/>
        <w:bCs/>
        <w:kern w:val="2"/>
        <w:sz w:val="18"/>
        <w:szCs w:val="18"/>
        <w:lang w:val="zh-CN" w:eastAsia="zh-CN" w:bidi="ar-SA"/>
      </w:rPr>
      <w:t>31</w:t>
    </w:r>
    <w:r>
      <w:rPr>
        <w:rFonts w:ascii="Times New Roman" w:hAnsi="Times New Roman" w:eastAsia="宋体" w:cs="Times New Roman"/>
        <w:b/>
        <w:bCs/>
        <w:kern w:val="2"/>
        <w:sz w:val="18"/>
        <w:szCs w:val="18"/>
        <w:lang w:val="en-US" w:eastAsia="zh-CN" w:bidi="ar-SA"/>
      </w:rPr>
      <w:fldChar w:fldCharType="end"/>
    </w:r>
    <w:r>
      <w:rPr>
        <w:rFonts w:ascii="Times New Roman" w:hAnsi="Times New Roman" w:eastAsia="宋体" w:cs="Times New Roman"/>
        <w:kern w:val="2"/>
        <w:sz w:val="18"/>
        <w:szCs w:val="18"/>
        <w:lang w:val="zh-CN" w:eastAsia="zh-CN" w:bidi="ar-SA"/>
      </w:rPr>
      <w:t xml:space="preserve"> / </w:t>
    </w:r>
    <w:r>
      <w:rPr>
        <w:rFonts w:ascii="Times New Roman" w:hAnsi="Times New Roman" w:eastAsia="宋体" w:cs="Times New Roman"/>
        <w:b/>
        <w:bCs/>
        <w:kern w:val="2"/>
        <w:sz w:val="18"/>
        <w:szCs w:val="18"/>
        <w:lang w:val="en-US" w:eastAsia="zh-CN" w:bidi="ar-SA"/>
      </w:rPr>
      <w:fldChar w:fldCharType="begin"/>
    </w:r>
    <w:r>
      <w:rPr>
        <w:rFonts w:ascii="Times New Roman" w:hAnsi="Times New Roman" w:eastAsia="宋体" w:cs="Times New Roman"/>
        <w:b/>
        <w:bCs/>
        <w:kern w:val="2"/>
        <w:sz w:val="18"/>
        <w:szCs w:val="18"/>
        <w:lang w:val="en-US" w:eastAsia="zh-CN" w:bidi="ar-SA"/>
      </w:rPr>
      <w:instrText xml:space="preserve">NUMPAGES  \* Arabic  \* MERGEFORMAT</w:instrText>
    </w:r>
    <w:r>
      <w:rPr>
        <w:rFonts w:ascii="Times New Roman" w:hAnsi="Times New Roman" w:eastAsia="宋体" w:cs="Times New Roman"/>
        <w:b/>
        <w:bCs/>
        <w:kern w:val="2"/>
        <w:sz w:val="18"/>
        <w:szCs w:val="18"/>
        <w:lang w:val="en-US" w:eastAsia="zh-CN" w:bidi="ar-SA"/>
      </w:rPr>
      <w:fldChar w:fldCharType="separate"/>
    </w:r>
    <w:r>
      <w:rPr>
        <w:rFonts w:ascii="Times New Roman" w:hAnsi="Times New Roman" w:eastAsia="宋体" w:cs="Times New Roman"/>
        <w:b/>
        <w:bCs/>
        <w:kern w:val="2"/>
        <w:sz w:val="18"/>
        <w:szCs w:val="18"/>
        <w:lang w:val="zh-CN" w:eastAsia="zh-CN" w:bidi="ar-SA"/>
      </w:rPr>
      <w:t>91</w:t>
    </w:r>
    <w:r>
      <w:rPr>
        <w:rFonts w:ascii="Times New Roman" w:hAnsi="Times New Roman" w:eastAsia="宋体" w:cs="Times New Roman"/>
        <w:b/>
        <w:bCs/>
        <w:kern w:val="2"/>
        <w:sz w:val="18"/>
        <w:szCs w:val="18"/>
        <w:lang w:val="en-US" w:eastAsia="zh-CN" w:bidi="ar-SA"/>
      </w:rPr>
      <w:fldChar w:fldCharType="end"/>
    </w:r>
  </w:p>
  <w:p w14:paraId="33EE5C81">
    <w:pPr>
      <w:widowControl w:val="0"/>
      <w:adjustRightInd w:val="0"/>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F428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3C4EDD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1A2F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262E99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FBD1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677A337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823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661F4F4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6EBB">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1E8FB">
    <w:pPr>
      <w:pStyle w:val="43"/>
      <w:pBdr>
        <w:bottom w:val="single" w:color="auto" w:sz="6" w:space="4"/>
      </w:pBdr>
      <w:tabs>
        <w:tab w:val="right" w:pos="9040"/>
        <w:tab w:val="clear" w:pos="8306"/>
      </w:tabs>
      <w:ind w:right="-617" w:rightChars="-257"/>
      <w:jc w:val="right"/>
    </w:pPr>
    <w:r>
      <w:t></w:t>
    </w:r>
    <w:r>
      <w:rPr>
        <w:rFonts w:hint="eastAsia"/>
      </w:rPr>
      <w:t xml:space="preserve">       </w:t>
    </w:r>
    <w:r>
      <w:t>杭州市</w:t>
    </w:r>
    <w:r>
      <w:rPr>
        <w:rFonts w:hint="eastAsia"/>
        <w:lang w:val="en-US" w:eastAsia="zh-CN"/>
      </w:rPr>
      <w:t>钱塘区</w:t>
    </w:r>
    <w:r>
      <w:t>政府采购公开招标文件</w:t>
    </w:r>
  </w:p>
  <w:p w14:paraId="2AFC353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ACC08">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en-US" w:eastAsia="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D89FD">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7394224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0ACD">
    <w:pPr>
      <w:pStyle w:val="43"/>
    </w:pPr>
    <w:r>
      <w:t></w:t>
    </w:r>
    <w:r>
      <w:rPr>
        <w:rFonts w:hint="eastAsia"/>
      </w:rPr>
      <w:t xml:space="preserve">         </w:t>
    </w:r>
  </w:p>
  <w:p w14:paraId="4D637AB5">
    <w:pPr>
      <w:pStyle w:val="43"/>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18374">
    <w:pPr>
      <w:pStyle w:val="43"/>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14:paraId="79E99D5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8BA5">
    <w:pPr>
      <w:pStyle w:val="43"/>
      <w:jc w:val="right"/>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4CA9">
    <w:pPr>
      <w:pStyle w:val="43"/>
      <w:jc w:val="right"/>
      <w:rPr>
        <w:rFonts w:ascii="仿宋_GB2312" w:eastAsia="仿宋_GB2312"/>
        <w:b/>
        <w:i/>
        <w:iCs/>
        <w:u w:val="single"/>
      </w:rPr>
    </w:pPr>
    <w:r>
      <w:t>杭州市</w:t>
    </w:r>
    <w:r>
      <w:rPr>
        <w:rFonts w:hint="eastAsia"/>
        <w:lang w:val="en-US" w:eastAsia="zh-CN"/>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F020">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E51F3"/>
    <w:multiLevelType w:val="singleLevel"/>
    <w:tmpl w:val="8CCE51F3"/>
    <w:lvl w:ilvl="0" w:tentative="0">
      <w:start w:val="3"/>
      <w:numFmt w:val="chineseCounting"/>
      <w:suff w:val="space"/>
      <w:lvlText w:val="第%1部分"/>
      <w:lvlJc w:val="left"/>
      <w:rPr>
        <w:rFonts w:hint="eastAsia"/>
      </w:rPr>
    </w:lvl>
  </w:abstractNum>
  <w:abstractNum w:abstractNumId="1">
    <w:nsid w:val="F4CF58BF"/>
    <w:multiLevelType w:val="singleLevel"/>
    <w:tmpl w:val="F4CF58BF"/>
    <w:lvl w:ilvl="0" w:tentative="0">
      <w:start w:val="5"/>
      <w:numFmt w:val="chineseCounting"/>
      <w:suff w:val="nothing"/>
      <w:lvlText w:val="%1、"/>
      <w:lvlJc w:val="left"/>
      <w:rPr>
        <w:rFonts w:hint="eastAsia"/>
      </w:rPr>
    </w:lvl>
  </w:abstractNum>
  <w:abstractNum w:abstractNumId="2">
    <w:nsid w:val="1AC59C86"/>
    <w:multiLevelType w:val="singleLevel"/>
    <w:tmpl w:val="1AC59C86"/>
    <w:lvl w:ilvl="0" w:tentative="0">
      <w:start w:val="2"/>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6F3B"/>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A7A"/>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8FF"/>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AD2"/>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65C22"/>
    <w:rsid w:val="016A347B"/>
    <w:rsid w:val="017C039A"/>
    <w:rsid w:val="018F2EE2"/>
    <w:rsid w:val="019F7441"/>
    <w:rsid w:val="01AE0EEA"/>
    <w:rsid w:val="01B37585"/>
    <w:rsid w:val="01C75BB3"/>
    <w:rsid w:val="01D55165"/>
    <w:rsid w:val="01DF6BF8"/>
    <w:rsid w:val="01EC2C57"/>
    <w:rsid w:val="023A32B8"/>
    <w:rsid w:val="023B6CB2"/>
    <w:rsid w:val="025129DE"/>
    <w:rsid w:val="0269000C"/>
    <w:rsid w:val="026B2E25"/>
    <w:rsid w:val="0273010D"/>
    <w:rsid w:val="02824D4D"/>
    <w:rsid w:val="028F164E"/>
    <w:rsid w:val="0293255D"/>
    <w:rsid w:val="02DA018C"/>
    <w:rsid w:val="02DC4B10"/>
    <w:rsid w:val="02DD76CE"/>
    <w:rsid w:val="02E84657"/>
    <w:rsid w:val="02F36323"/>
    <w:rsid w:val="02F5619C"/>
    <w:rsid w:val="02FC44FD"/>
    <w:rsid w:val="0321400D"/>
    <w:rsid w:val="0326446A"/>
    <w:rsid w:val="032D5555"/>
    <w:rsid w:val="033243F7"/>
    <w:rsid w:val="034B2E38"/>
    <w:rsid w:val="036634D2"/>
    <w:rsid w:val="03990047"/>
    <w:rsid w:val="03A762C0"/>
    <w:rsid w:val="03B15391"/>
    <w:rsid w:val="03DD35E4"/>
    <w:rsid w:val="04076900"/>
    <w:rsid w:val="041A5A3B"/>
    <w:rsid w:val="04205325"/>
    <w:rsid w:val="042311BA"/>
    <w:rsid w:val="042B157A"/>
    <w:rsid w:val="044A0B40"/>
    <w:rsid w:val="044C330C"/>
    <w:rsid w:val="048F763B"/>
    <w:rsid w:val="049F330E"/>
    <w:rsid w:val="04AA775C"/>
    <w:rsid w:val="04AF1889"/>
    <w:rsid w:val="04BC7924"/>
    <w:rsid w:val="04D75109"/>
    <w:rsid w:val="04DC7BB8"/>
    <w:rsid w:val="04F55751"/>
    <w:rsid w:val="04F66F48"/>
    <w:rsid w:val="05251E14"/>
    <w:rsid w:val="052A0AC7"/>
    <w:rsid w:val="05326871"/>
    <w:rsid w:val="053E4A03"/>
    <w:rsid w:val="05575746"/>
    <w:rsid w:val="05720B50"/>
    <w:rsid w:val="05776166"/>
    <w:rsid w:val="05A16594"/>
    <w:rsid w:val="05A7762D"/>
    <w:rsid w:val="05C25634"/>
    <w:rsid w:val="05C55124"/>
    <w:rsid w:val="05DE0936"/>
    <w:rsid w:val="05F83E3E"/>
    <w:rsid w:val="060E5941"/>
    <w:rsid w:val="06110FAF"/>
    <w:rsid w:val="06400C4E"/>
    <w:rsid w:val="06493CA7"/>
    <w:rsid w:val="065546FA"/>
    <w:rsid w:val="065A3ABE"/>
    <w:rsid w:val="065A6178"/>
    <w:rsid w:val="06691F53"/>
    <w:rsid w:val="066B5037"/>
    <w:rsid w:val="066C4CFD"/>
    <w:rsid w:val="066F1CF3"/>
    <w:rsid w:val="067D155B"/>
    <w:rsid w:val="06802705"/>
    <w:rsid w:val="06930BB8"/>
    <w:rsid w:val="069A6270"/>
    <w:rsid w:val="06D939D5"/>
    <w:rsid w:val="06E74D44"/>
    <w:rsid w:val="06FC2DC7"/>
    <w:rsid w:val="071D537B"/>
    <w:rsid w:val="07245D42"/>
    <w:rsid w:val="07256D45"/>
    <w:rsid w:val="07264C62"/>
    <w:rsid w:val="07373DFF"/>
    <w:rsid w:val="073C1416"/>
    <w:rsid w:val="075C1AB8"/>
    <w:rsid w:val="077878FD"/>
    <w:rsid w:val="0779354C"/>
    <w:rsid w:val="07866B35"/>
    <w:rsid w:val="07BD64DF"/>
    <w:rsid w:val="07D72EEC"/>
    <w:rsid w:val="07E94B80"/>
    <w:rsid w:val="08061376"/>
    <w:rsid w:val="081340BE"/>
    <w:rsid w:val="08452D77"/>
    <w:rsid w:val="085658B8"/>
    <w:rsid w:val="086401F8"/>
    <w:rsid w:val="08751CAA"/>
    <w:rsid w:val="087E436A"/>
    <w:rsid w:val="087E4C40"/>
    <w:rsid w:val="08823AF5"/>
    <w:rsid w:val="089748FF"/>
    <w:rsid w:val="08A435E9"/>
    <w:rsid w:val="08B374B6"/>
    <w:rsid w:val="08D66AD6"/>
    <w:rsid w:val="08DA33A3"/>
    <w:rsid w:val="08E31652"/>
    <w:rsid w:val="08E80F13"/>
    <w:rsid w:val="08F1667E"/>
    <w:rsid w:val="0900410E"/>
    <w:rsid w:val="090D3E5F"/>
    <w:rsid w:val="09134260"/>
    <w:rsid w:val="09335624"/>
    <w:rsid w:val="093F6F9B"/>
    <w:rsid w:val="0944690F"/>
    <w:rsid w:val="09535675"/>
    <w:rsid w:val="095900C1"/>
    <w:rsid w:val="095F057D"/>
    <w:rsid w:val="09642282"/>
    <w:rsid w:val="096D7C7F"/>
    <w:rsid w:val="09733572"/>
    <w:rsid w:val="09772C16"/>
    <w:rsid w:val="098353B5"/>
    <w:rsid w:val="09A92330"/>
    <w:rsid w:val="09B06B87"/>
    <w:rsid w:val="09C120A6"/>
    <w:rsid w:val="09C13146"/>
    <w:rsid w:val="09C262A2"/>
    <w:rsid w:val="09C849CE"/>
    <w:rsid w:val="09E04166"/>
    <w:rsid w:val="09F00295"/>
    <w:rsid w:val="09F14739"/>
    <w:rsid w:val="0A142DE9"/>
    <w:rsid w:val="0A1C0718"/>
    <w:rsid w:val="0A3E7710"/>
    <w:rsid w:val="0A5B7E63"/>
    <w:rsid w:val="0A981059"/>
    <w:rsid w:val="0AA374A5"/>
    <w:rsid w:val="0AAB7649"/>
    <w:rsid w:val="0ABC5606"/>
    <w:rsid w:val="0ACA278E"/>
    <w:rsid w:val="0ACC2AB1"/>
    <w:rsid w:val="0ACF434F"/>
    <w:rsid w:val="0AEC4F01"/>
    <w:rsid w:val="0B0C35CA"/>
    <w:rsid w:val="0B15276E"/>
    <w:rsid w:val="0B30404E"/>
    <w:rsid w:val="0B3A3EBE"/>
    <w:rsid w:val="0B4668ED"/>
    <w:rsid w:val="0B48482D"/>
    <w:rsid w:val="0B4C6C14"/>
    <w:rsid w:val="0B4F677E"/>
    <w:rsid w:val="0B5D7BAD"/>
    <w:rsid w:val="0B631A88"/>
    <w:rsid w:val="0B683D45"/>
    <w:rsid w:val="0B7F3F11"/>
    <w:rsid w:val="0B884417"/>
    <w:rsid w:val="0B8D0F28"/>
    <w:rsid w:val="0BC014FA"/>
    <w:rsid w:val="0BF6188C"/>
    <w:rsid w:val="0BF73C91"/>
    <w:rsid w:val="0C0F6D61"/>
    <w:rsid w:val="0C170175"/>
    <w:rsid w:val="0C353956"/>
    <w:rsid w:val="0C474AE5"/>
    <w:rsid w:val="0C540FAF"/>
    <w:rsid w:val="0C571A41"/>
    <w:rsid w:val="0C5C1171"/>
    <w:rsid w:val="0C5E1CBC"/>
    <w:rsid w:val="0C615B50"/>
    <w:rsid w:val="0C662B30"/>
    <w:rsid w:val="0C66658E"/>
    <w:rsid w:val="0C827929"/>
    <w:rsid w:val="0C8445DA"/>
    <w:rsid w:val="0C85560D"/>
    <w:rsid w:val="0C87121B"/>
    <w:rsid w:val="0C9E222B"/>
    <w:rsid w:val="0CC007F7"/>
    <w:rsid w:val="0CD8573D"/>
    <w:rsid w:val="0CFE707A"/>
    <w:rsid w:val="0D063BDA"/>
    <w:rsid w:val="0D08375F"/>
    <w:rsid w:val="0D184CFB"/>
    <w:rsid w:val="0D1B19F6"/>
    <w:rsid w:val="0D232EDB"/>
    <w:rsid w:val="0D4A7419"/>
    <w:rsid w:val="0D580CD3"/>
    <w:rsid w:val="0D7F4582"/>
    <w:rsid w:val="0D827401"/>
    <w:rsid w:val="0D84094E"/>
    <w:rsid w:val="0D8A00E9"/>
    <w:rsid w:val="0D8D589E"/>
    <w:rsid w:val="0DA01C73"/>
    <w:rsid w:val="0DAC63FA"/>
    <w:rsid w:val="0DD57ECE"/>
    <w:rsid w:val="0DD63300"/>
    <w:rsid w:val="0DF50604"/>
    <w:rsid w:val="0DF702FE"/>
    <w:rsid w:val="0E060E51"/>
    <w:rsid w:val="0E5604B2"/>
    <w:rsid w:val="0E6D5D79"/>
    <w:rsid w:val="0E9D0089"/>
    <w:rsid w:val="0EB803EE"/>
    <w:rsid w:val="0EDC2BF8"/>
    <w:rsid w:val="0EF94D4B"/>
    <w:rsid w:val="0F073156"/>
    <w:rsid w:val="0F182768"/>
    <w:rsid w:val="0F4958DC"/>
    <w:rsid w:val="0F515DF7"/>
    <w:rsid w:val="0F596BA8"/>
    <w:rsid w:val="0F6248D2"/>
    <w:rsid w:val="0F693536"/>
    <w:rsid w:val="0F7B0511"/>
    <w:rsid w:val="0F7B76D9"/>
    <w:rsid w:val="0F816ACD"/>
    <w:rsid w:val="0F87344A"/>
    <w:rsid w:val="0F9832DB"/>
    <w:rsid w:val="0FB76C18"/>
    <w:rsid w:val="0FBF3FD2"/>
    <w:rsid w:val="0FBF7FF3"/>
    <w:rsid w:val="0FDF5034"/>
    <w:rsid w:val="10001163"/>
    <w:rsid w:val="10646583"/>
    <w:rsid w:val="1072498F"/>
    <w:rsid w:val="10727C56"/>
    <w:rsid w:val="107D43E9"/>
    <w:rsid w:val="107D4B15"/>
    <w:rsid w:val="108A3C80"/>
    <w:rsid w:val="108F0808"/>
    <w:rsid w:val="10A049F6"/>
    <w:rsid w:val="10BC06C0"/>
    <w:rsid w:val="10C26171"/>
    <w:rsid w:val="10E548CC"/>
    <w:rsid w:val="10F33360"/>
    <w:rsid w:val="10FC16EA"/>
    <w:rsid w:val="110F1D40"/>
    <w:rsid w:val="1111746F"/>
    <w:rsid w:val="11155FA7"/>
    <w:rsid w:val="11266F33"/>
    <w:rsid w:val="11403485"/>
    <w:rsid w:val="116E59D2"/>
    <w:rsid w:val="11833402"/>
    <w:rsid w:val="118963A1"/>
    <w:rsid w:val="11B147AE"/>
    <w:rsid w:val="11B86CCE"/>
    <w:rsid w:val="11C6522A"/>
    <w:rsid w:val="11E104CC"/>
    <w:rsid w:val="11E20309"/>
    <w:rsid w:val="11EC3A38"/>
    <w:rsid w:val="11FF551A"/>
    <w:rsid w:val="120328B4"/>
    <w:rsid w:val="12255233"/>
    <w:rsid w:val="12530213"/>
    <w:rsid w:val="125D4C68"/>
    <w:rsid w:val="127723A9"/>
    <w:rsid w:val="127B43A8"/>
    <w:rsid w:val="12862074"/>
    <w:rsid w:val="12883966"/>
    <w:rsid w:val="129245E0"/>
    <w:rsid w:val="129E45B4"/>
    <w:rsid w:val="12A85BB1"/>
    <w:rsid w:val="12D81596"/>
    <w:rsid w:val="12E56E05"/>
    <w:rsid w:val="12F126A5"/>
    <w:rsid w:val="13072A44"/>
    <w:rsid w:val="13394B76"/>
    <w:rsid w:val="13477178"/>
    <w:rsid w:val="135F4BE2"/>
    <w:rsid w:val="13777DA9"/>
    <w:rsid w:val="139B1A0A"/>
    <w:rsid w:val="139D25C7"/>
    <w:rsid w:val="13BF3CE4"/>
    <w:rsid w:val="14081BDD"/>
    <w:rsid w:val="141008D8"/>
    <w:rsid w:val="14125FE6"/>
    <w:rsid w:val="141F00F5"/>
    <w:rsid w:val="142624B3"/>
    <w:rsid w:val="14357918"/>
    <w:rsid w:val="145F46B7"/>
    <w:rsid w:val="146D271E"/>
    <w:rsid w:val="147321EF"/>
    <w:rsid w:val="14830684"/>
    <w:rsid w:val="14884E45"/>
    <w:rsid w:val="14982588"/>
    <w:rsid w:val="149A5AD9"/>
    <w:rsid w:val="149A6173"/>
    <w:rsid w:val="14A405FA"/>
    <w:rsid w:val="14A7619D"/>
    <w:rsid w:val="14C52BB9"/>
    <w:rsid w:val="14CB202B"/>
    <w:rsid w:val="14D07641"/>
    <w:rsid w:val="150536C3"/>
    <w:rsid w:val="150C1963"/>
    <w:rsid w:val="150F1F18"/>
    <w:rsid w:val="151447A0"/>
    <w:rsid w:val="153576D5"/>
    <w:rsid w:val="15485429"/>
    <w:rsid w:val="154A6454"/>
    <w:rsid w:val="15602773"/>
    <w:rsid w:val="15762120"/>
    <w:rsid w:val="159348F7"/>
    <w:rsid w:val="159D5775"/>
    <w:rsid w:val="15A07014"/>
    <w:rsid w:val="15A42F27"/>
    <w:rsid w:val="15AE1730"/>
    <w:rsid w:val="15AF7257"/>
    <w:rsid w:val="15B43CCC"/>
    <w:rsid w:val="15E2762C"/>
    <w:rsid w:val="15F20C1E"/>
    <w:rsid w:val="15F335E7"/>
    <w:rsid w:val="15FD4466"/>
    <w:rsid w:val="1638724C"/>
    <w:rsid w:val="163879C5"/>
    <w:rsid w:val="1658169C"/>
    <w:rsid w:val="16A8729C"/>
    <w:rsid w:val="16B33777"/>
    <w:rsid w:val="16BC70A7"/>
    <w:rsid w:val="16C6339E"/>
    <w:rsid w:val="16CD4677"/>
    <w:rsid w:val="171C6B6E"/>
    <w:rsid w:val="17285513"/>
    <w:rsid w:val="172F2D79"/>
    <w:rsid w:val="17557BEF"/>
    <w:rsid w:val="17563E2E"/>
    <w:rsid w:val="17696E04"/>
    <w:rsid w:val="17A16EC5"/>
    <w:rsid w:val="17B521EA"/>
    <w:rsid w:val="17CA75AF"/>
    <w:rsid w:val="17D349C1"/>
    <w:rsid w:val="1830729E"/>
    <w:rsid w:val="18323663"/>
    <w:rsid w:val="183811AC"/>
    <w:rsid w:val="183F0D66"/>
    <w:rsid w:val="18477C1A"/>
    <w:rsid w:val="185F0FC1"/>
    <w:rsid w:val="18664544"/>
    <w:rsid w:val="1870062C"/>
    <w:rsid w:val="18817102"/>
    <w:rsid w:val="18830A15"/>
    <w:rsid w:val="18852B28"/>
    <w:rsid w:val="188B5321"/>
    <w:rsid w:val="188B7B07"/>
    <w:rsid w:val="188C5EAB"/>
    <w:rsid w:val="18AD2173"/>
    <w:rsid w:val="18B1529D"/>
    <w:rsid w:val="194E0F99"/>
    <w:rsid w:val="19564572"/>
    <w:rsid w:val="195C774C"/>
    <w:rsid w:val="197E61E3"/>
    <w:rsid w:val="19932372"/>
    <w:rsid w:val="19A20DD5"/>
    <w:rsid w:val="19A6605E"/>
    <w:rsid w:val="19AB6C74"/>
    <w:rsid w:val="19AE03F1"/>
    <w:rsid w:val="19C239FC"/>
    <w:rsid w:val="1A071A03"/>
    <w:rsid w:val="1A1F16AE"/>
    <w:rsid w:val="1A3B5C77"/>
    <w:rsid w:val="1A407C9B"/>
    <w:rsid w:val="1A6A6690"/>
    <w:rsid w:val="1A984BAD"/>
    <w:rsid w:val="1AA7450E"/>
    <w:rsid w:val="1AA749A0"/>
    <w:rsid w:val="1AB8220E"/>
    <w:rsid w:val="1AD1641F"/>
    <w:rsid w:val="1AE4166C"/>
    <w:rsid w:val="1AF06CFB"/>
    <w:rsid w:val="1AF11B8D"/>
    <w:rsid w:val="1B11359C"/>
    <w:rsid w:val="1B2A271F"/>
    <w:rsid w:val="1B4A1EFB"/>
    <w:rsid w:val="1B530544"/>
    <w:rsid w:val="1B713184"/>
    <w:rsid w:val="1B723200"/>
    <w:rsid w:val="1B894423"/>
    <w:rsid w:val="1BA209CF"/>
    <w:rsid w:val="1BB4777D"/>
    <w:rsid w:val="1BC81072"/>
    <w:rsid w:val="1BD75AB8"/>
    <w:rsid w:val="1BE13EE2"/>
    <w:rsid w:val="1C0459C2"/>
    <w:rsid w:val="1C13053F"/>
    <w:rsid w:val="1C1B3B4A"/>
    <w:rsid w:val="1C1C4F1A"/>
    <w:rsid w:val="1C3D6766"/>
    <w:rsid w:val="1C421C93"/>
    <w:rsid w:val="1C6201FC"/>
    <w:rsid w:val="1C88086E"/>
    <w:rsid w:val="1C92024C"/>
    <w:rsid w:val="1CB25FAA"/>
    <w:rsid w:val="1CBA27B2"/>
    <w:rsid w:val="1CBD494F"/>
    <w:rsid w:val="1CC96B83"/>
    <w:rsid w:val="1CDF7469"/>
    <w:rsid w:val="1D266CE1"/>
    <w:rsid w:val="1D2B18B9"/>
    <w:rsid w:val="1D3963AF"/>
    <w:rsid w:val="1D3F269C"/>
    <w:rsid w:val="1D441EE7"/>
    <w:rsid w:val="1D6A673C"/>
    <w:rsid w:val="1D796AC8"/>
    <w:rsid w:val="1D9247AE"/>
    <w:rsid w:val="1D944134"/>
    <w:rsid w:val="1D9E652E"/>
    <w:rsid w:val="1DB567EC"/>
    <w:rsid w:val="1DDC5AED"/>
    <w:rsid w:val="1DEF6D8A"/>
    <w:rsid w:val="1DF51A98"/>
    <w:rsid w:val="1E193E07"/>
    <w:rsid w:val="1E3D060F"/>
    <w:rsid w:val="1E3F7D2E"/>
    <w:rsid w:val="1E4134E4"/>
    <w:rsid w:val="1E4939F3"/>
    <w:rsid w:val="1E5062B3"/>
    <w:rsid w:val="1E523514"/>
    <w:rsid w:val="1E560BB7"/>
    <w:rsid w:val="1E714A66"/>
    <w:rsid w:val="1E802593"/>
    <w:rsid w:val="1E8E28AE"/>
    <w:rsid w:val="1E9516DF"/>
    <w:rsid w:val="1EA703CC"/>
    <w:rsid w:val="1EB7330C"/>
    <w:rsid w:val="1ED007AB"/>
    <w:rsid w:val="1F0A0FF3"/>
    <w:rsid w:val="1F264A2D"/>
    <w:rsid w:val="1F325180"/>
    <w:rsid w:val="1F5771FF"/>
    <w:rsid w:val="1FC05C69"/>
    <w:rsid w:val="1FC35DD8"/>
    <w:rsid w:val="1FCF6E73"/>
    <w:rsid w:val="1FD44489"/>
    <w:rsid w:val="1FE83A91"/>
    <w:rsid w:val="1FE868A9"/>
    <w:rsid w:val="20034907"/>
    <w:rsid w:val="200F3851"/>
    <w:rsid w:val="20173E4B"/>
    <w:rsid w:val="20450EE3"/>
    <w:rsid w:val="204E48BC"/>
    <w:rsid w:val="20711CD8"/>
    <w:rsid w:val="207B4905"/>
    <w:rsid w:val="208921B3"/>
    <w:rsid w:val="20973DEB"/>
    <w:rsid w:val="209C5078"/>
    <w:rsid w:val="20A774A8"/>
    <w:rsid w:val="20AC2D10"/>
    <w:rsid w:val="20B26522"/>
    <w:rsid w:val="20B44310"/>
    <w:rsid w:val="211116EB"/>
    <w:rsid w:val="21350F58"/>
    <w:rsid w:val="215D2B5A"/>
    <w:rsid w:val="216133FC"/>
    <w:rsid w:val="21D56769"/>
    <w:rsid w:val="21E14C3C"/>
    <w:rsid w:val="21E302F6"/>
    <w:rsid w:val="21E40288"/>
    <w:rsid w:val="21E52EF3"/>
    <w:rsid w:val="21FB5D7B"/>
    <w:rsid w:val="220B1C3D"/>
    <w:rsid w:val="221072CF"/>
    <w:rsid w:val="221D1D20"/>
    <w:rsid w:val="22334A87"/>
    <w:rsid w:val="22401962"/>
    <w:rsid w:val="229949F1"/>
    <w:rsid w:val="22A55C69"/>
    <w:rsid w:val="22A87507"/>
    <w:rsid w:val="22BE6801"/>
    <w:rsid w:val="233500BF"/>
    <w:rsid w:val="23377FF7"/>
    <w:rsid w:val="236B425F"/>
    <w:rsid w:val="23836192"/>
    <w:rsid w:val="23901F29"/>
    <w:rsid w:val="239962AA"/>
    <w:rsid w:val="239C0061"/>
    <w:rsid w:val="23B908A4"/>
    <w:rsid w:val="23BC1356"/>
    <w:rsid w:val="23E87AD7"/>
    <w:rsid w:val="23E95BEF"/>
    <w:rsid w:val="23F72873"/>
    <w:rsid w:val="23F8607F"/>
    <w:rsid w:val="23FA1FE5"/>
    <w:rsid w:val="23FD0064"/>
    <w:rsid w:val="245375B0"/>
    <w:rsid w:val="24642C0A"/>
    <w:rsid w:val="247E195A"/>
    <w:rsid w:val="247E49C4"/>
    <w:rsid w:val="24802433"/>
    <w:rsid w:val="24913CFE"/>
    <w:rsid w:val="249E7A14"/>
    <w:rsid w:val="24B22173"/>
    <w:rsid w:val="24B95AD9"/>
    <w:rsid w:val="24BE24DA"/>
    <w:rsid w:val="24CC572F"/>
    <w:rsid w:val="24CF5825"/>
    <w:rsid w:val="24CF6FCD"/>
    <w:rsid w:val="24D663E6"/>
    <w:rsid w:val="24D77F2B"/>
    <w:rsid w:val="24D804D4"/>
    <w:rsid w:val="24E22A16"/>
    <w:rsid w:val="25292B82"/>
    <w:rsid w:val="253908EB"/>
    <w:rsid w:val="253D487F"/>
    <w:rsid w:val="25845AE4"/>
    <w:rsid w:val="258A1146"/>
    <w:rsid w:val="258B00E2"/>
    <w:rsid w:val="25981AB5"/>
    <w:rsid w:val="25A917A6"/>
    <w:rsid w:val="25BE27CC"/>
    <w:rsid w:val="25DD571A"/>
    <w:rsid w:val="25F54D01"/>
    <w:rsid w:val="25F74A5C"/>
    <w:rsid w:val="2600781F"/>
    <w:rsid w:val="2609650F"/>
    <w:rsid w:val="2628662C"/>
    <w:rsid w:val="262D45DE"/>
    <w:rsid w:val="26891855"/>
    <w:rsid w:val="268D2755"/>
    <w:rsid w:val="26A53EF9"/>
    <w:rsid w:val="26A94201"/>
    <w:rsid w:val="26AC274F"/>
    <w:rsid w:val="26B26BA7"/>
    <w:rsid w:val="26C304D5"/>
    <w:rsid w:val="26EB3002"/>
    <w:rsid w:val="27044A29"/>
    <w:rsid w:val="271D34C8"/>
    <w:rsid w:val="273E043A"/>
    <w:rsid w:val="274C2B57"/>
    <w:rsid w:val="27595274"/>
    <w:rsid w:val="276142BF"/>
    <w:rsid w:val="27783712"/>
    <w:rsid w:val="27907362"/>
    <w:rsid w:val="27930616"/>
    <w:rsid w:val="27952750"/>
    <w:rsid w:val="27A34F67"/>
    <w:rsid w:val="27AB1F74"/>
    <w:rsid w:val="27B24123"/>
    <w:rsid w:val="28044029"/>
    <w:rsid w:val="28333E1D"/>
    <w:rsid w:val="283F090E"/>
    <w:rsid w:val="28454BD6"/>
    <w:rsid w:val="28455253"/>
    <w:rsid w:val="28551971"/>
    <w:rsid w:val="285B1C53"/>
    <w:rsid w:val="285C326E"/>
    <w:rsid w:val="285F60AF"/>
    <w:rsid w:val="289F7086"/>
    <w:rsid w:val="28C32028"/>
    <w:rsid w:val="28CC490F"/>
    <w:rsid w:val="28DA0759"/>
    <w:rsid w:val="28DE40AA"/>
    <w:rsid w:val="28E05C4D"/>
    <w:rsid w:val="28E31299"/>
    <w:rsid w:val="290B023E"/>
    <w:rsid w:val="291E22D1"/>
    <w:rsid w:val="291E49C7"/>
    <w:rsid w:val="29266E45"/>
    <w:rsid w:val="29345E77"/>
    <w:rsid w:val="294C65AD"/>
    <w:rsid w:val="2963612E"/>
    <w:rsid w:val="29806583"/>
    <w:rsid w:val="298B3C4C"/>
    <w:rsid w:val="29AE7AF9"/>
    <w:rsid w:val="29B91B25"/>
    <w:rsid w:val="29F26D24"/>
    <w:rsid w:val="29F82F90"/>
    <w:rsid w:val="2A15033F"/>
    <w:rsid w:val="2A1662C1"/>
    <w:rsid w:val="2A1C7367"/>
    <w:rsid w:val="2A2815FA"/>
    <w:rsid w:val="2A325A8B"/>
    <w:rsid w:val="2A4509B5"/>
    <w:rsid w:val="2A481CFC"/>
    <w:rsid w:val="2A503C36"/>
    <w:rsid w:val="2A6D6092"/>
    <w:rsid w:val="2A783C63"/>
    <w:rsid w:val="2A7D76B4"/>
    <w:rsid w:val="2B0100FD"/>
    <w:rsid w:val="2B1020EE"/>
    <w:rsid w:val="2B437463"/>
    <w:rsid w:val="2B45448D"/>
    <w:rsid w:val="2B5260DB"/>
    <w:rsid w:val="2B5B5A5F"/>
    <w:rsid w:val="2B67536E"/>
    <w:rsid w:val="2B7807EE"/>
    <w:rsid w:val="2B7B2D90"/>
    <w:rsid w:val="2BA03472"/>
    <w:rsid w:val="2BBF00EC"/>
    <w:rsid w:val="2BC36A66"/>
    <w:rsid w:val="2BC37CFD"/>
    <w:rsid w:val="2BD5237F"/>
    <w:rsid w:val="2BD61589"/>
    <w:rsid w:val="2BE536CE"/>
    <w:rsid w:val="2BE758D9"/>
    <w:rsid w:val="2C09049E"/>
    <w:rsid w:val="2C0A4D8F"/>
    <w:rsid w:val="2C0A653C"/>
    <w:rsid w:val="2C181117"/>
    <w:rsid w:val="2C191F85"/>
    <w:rsid w:val="2C587C1E"/>
    <w:rsid w:val="2C5D75B5"/>
    <w:rsid w:val="2C736DD8"/>
    <w:rsid w:val="2C797CD0"/>
    <w:rsid w:val="2C8B4122"/>
    <w:rsid w:val="2C923DA9"/>
    <w:rsid w:val="2CE82D6F"/>
    <w:rsid w:val="2CFC0B7C"/>
    <w:rsid w:val="2D173C07"/>
    <w:rsid w:val="2D343236"/>
    <w:rsid w:val="2D4C1961"/>
    <w:rsid w:val="2D524C40"/>
    <w:rsid w:val="2DBD0A88"/>
    <w:rsid w:val="2DD15014"/>
    <w:rsid w:val="2DE50644"/>
    <w:rsid w:val="2DED6716"/>
    <w:rsid w:val="2DF72DE4"/>
    <w:rsid w:val="2DFA0DC5"/>
    <w:rsid w:val="2E0220AF"/>
    <w:rsid w:val="2E1126DF"/>
    <w:rsid w:val="2E1B3283"/>
    <w:rsid w:val="2E3B3926"/>
    <w:rsid w:val="2E4B082A"/>
    <w:rsid w:val="2E556795"/>
    <w:rsid w:val="2E563BF7"/>
    <w:rsid w:val="2E5D4E86"/>
    <w:rsid w:val="2E5D790B"/>
    <w:rsid w:val="2E7035CF"/>
    <w:rsid w:val="2E9A3C18"/>
    <w:rsid w:val="2EBB0FEE"/>
    <w:rsid w:val="2EC63002"/>
    <w:rsid w:val="2F0A6B38"/>
    <w:rsid w:val="2F124686"/>
    <w:rsid w:val="2F1750AC"/>
    <w:rsid w:val="2F5A34F6"/>
    <w:rsid w:val="2F642A08"/>
    <w:rsid w:val="2F787B90"/>
    <w:rsid w:val="2F886979"/>
    <w:rsid w:val="2F946CCB"/>
    <w:rsid w:val="2F951DFB"/>
    <w:rsid w:val="2F9652B7"/>
    <w:rsid w:val="2FB7088F"/>
    <w:rsid w:val="2FD25781"/>
    <w:rsid w:val="2FFD7934"/>
    <w:rsid w:val="30534F57"/>
    <w:rsid w:val="305B1897"/>
    <w:rsid w:val="30733ACD"/>
    <w:rsid w:val="308C3862"/>
    <w:rsid w:val="309379D8"/>
    <w:rsid w:val="309F1F4A"/>
    <w:rsid w:val="30A05CC2"/>
    <w:rsid w:val="30A270F7"/>
    <w:rsid w:val="30CD2C66"/>
    <w:rsid w:val="30D36097"/>
    <w:rsid w:val="30D90298"/>
    <w:rsid w:val="30DF1478"/>
    <w:rsid w:val="30EC586F"/>
    <w:rsid w:val="31083F93"/>
    <w:rsid w:val="31264419"/>
    <w:rsid w:val="31464ABB"/>
    <w:rsid w:val="31490FC3"/>
    <w:rsid w:val="31554CFE"/>
    <w:rsid w:val="318A0E4C"/>
    <w:rsid w:val="31905D36"/>
    <w:rsid w:val="319375DC"/>
    <w:rsid w:val="319C6071"/>
    <w:rsid w:val="319C7F9D"/>
    <w:rsid w:val="31AC537E"/>
    <w:rsid w:val="31D7650C"/>
    <w:rsid w:val="31DC7DE2"/>
    <w:rsid w:val="31E3679B"/>
    <w:rsid w:val="31E732FD"/>
    <w:rsid w:val="32517576"/>
    <w:rsid w:val="32545E86"/>
    <w:rsid w:val="326233E9"/>
    <w:rsid w:val="32656374"/>
    <w:rsid w:val="328D5B94"/>
    <w:rsid w:val="32A01FA9"/>
    <w:rsid w:val="32BE5C2C"/>
    <w:rsid w:val="32FB6478"/>
    <w:rsid w:val="33263B3F"/>
    <w:rsid w:val="334E24B3"/>
    <w:rsid w:val="334F7120"/>
    <w:rsid w:val="336963EB"/>
    <w:rsid w:val="337230F3"/>
    <w:rsid w:val="33727DEA"/>
    <w:rsid w:val="33816EEB"/>
    <w:rsid w:val="33846123"/>
    <w:rsid w:val="338813BB"/>
    <w:rsid w:val="33DE722D"/>
    <w:rsid w:val="33EB55CD"/>
    <w:rsid w:val="33EC194A"/>
    <w:rsid w:val="33EC4C02"/>
    <w:rsid w:val="340D2360"/>
    <w:rsid w:val="3410665D"/>
    <w:rsid w:val="34124E23"/>
    <w:rsid w:val="341365A3"/>
    <w:rsid w:val="34211214"/>
    <w:rsid w:val="342B1616"/>
    <w:rsid w:val="342C7F98"/>
    <w:rsid w:val="342E63AB"/>
    <w:rsid w:val="343155AF"/>
    <w:rsid w:val="344B50E2"/>
    <w:rsid w:val="34787E91"/>
    <w:rsid w:val="34950E68"/>
    <w:rsid w:val="34986E94"/>
    <w:rsid w:val="34AF62C9"/>
    <w:rsid w:val="34BA37F6"/>
    <w:rsid w:val="34C46423"/>
    <w:rsid w:val="34CB4388"/>
    <w:rsid w:val="34DF325D"/>
    <w:rsid w:val="34E95E89"/>
    <w:rsid w:val="34FA6E12"/>
    <w:rsid w:val="34FD36E3"/>
    <w:rsid w:val="351B7034"/>
    <w:rsid w:val="353428FA"/>
    <w:rsid w:val="353F5AA9"/>
    <w:rsid w:val="356E638F"/>
    <w:rsid w:val="358D2CB9"/>
    <w:rsid w:val="358D5588"/>
    <w:rsid w:val="35BA6262"/>
    <w:rsid w:val="35D91634"/>
    <w:rsid w:val="36017203"/>
    <w:rsid w:val="360C2F1F"/>
    <w:rsid w:val="360D1549"/>
    <w:rsid w:val="36107446"/>
    <w:rsid w:val="361909F0"/>
    <w:rsid w:val="36383C2B"/>
    <w:rsid w:val="363A3B40"/>
    <w:rsid w:val="364A2958"/>
    <w:rsid w:val="364D069A"/>
    <w:rsid w:val="365302AE"/>
    <w:rsid w:val="36607A0A"/>
    <w:rsid w:val="366A4187"/>
    <w:rsid w:val="366E227C"/>
    <w:rsid w:val="366F2E0D"/>
    <w:rsid w:val="367B6A5C"/>
    <w:rsid w:val="367E6AA5"/>
    <w:rsid w:val="368F553E"/>
    <w:rsid w:val="36A74ADA"/>
    <w:rsid w:val="36AD60D5"/>
    <w:rsid w:val="36B224F9"/>
    <w:rsid w:val="36CD06D8"/>
    <w:rsid w:val="36D36DF1"/>
    <w:rsid w:val="36D6068F"/>
    <w:rsid w:val="36EC0CC9"/>
    <w:rsid w:val="370C12F5"/>
    <w:rsid w:val="37153EE7"/>
    <w:rsid w:val="371D36CD"/>
    <w:rsid w:val="373F410B"/>
    <w:rsid w:val="37557E0A"/>
    <w:rsid w:val="376822D6"/>
    <w:rsid w:val="37751C56"/>
    <w:rsid w:val="378B76CC"/>
    <w:rsid w:val="37BA1D5F"/>
    <w:rsid w:val="37C30C14"/>
    <w:rsid w:val="37EE7094"/>
    <w:rsid w:val="37FC4126"/>
    <w:rsid w:val="382316B2"/>
    <w:rsid w:val="38262F33"/>
    <w:rsid w:val="38296C89"/>
    <w:rsid w:val="383002EB"/>
    <w:rsid w:val="38586797"/>
    <w:rsid w:val="3894435E"/>
    <w:rsid w:val="38B7004D"/>
    <w:rsid w:val="38BB18EB"/>
    <w:rsid w:val="38BC0149"/>
    <w:rsid w:val="38D87D1C"/>
    <w:rsid w:val="38EF0EF7"/>
    <w:rsid w:val="393022D9"/>
    <w:rsid w:val="39636459"/>
    <w:rsid w:val="396B7F6C"/>
    <w:rsid w:val="39B417A9"/>
    <w:rsid w:val="39B966BF"/>
    <w:rsid w:val="39FC5695"/>
    <w:rsid w:val="3A006D8E"/>
    <w:rsid w:val="3A1C285D"/>
    <w:rsid w:val="3A3651E5"/>
    <w:rsid w:val="3A547712"/>
    <w:rsid w:val="3A5E2E76"/>
    <w:rsid w:val="3A685AA2"/>
    <w:rsid w:val="3A6F0BDF"/>
    <w:rsid w:val="3A744481"/>
    <w:rsid w:val="3A8221A0"/>
    <w:rsid w:val="3A824DB6"/>
    <w:rsid w:val="3A8C7BEF"/>
    <w:rsid w:val="3A906246"/>
    <w:rsid w:val="3B0C4680"/>
    <w:rsid w:val="3B221D3B"/>
    <w:rsid w:val="3B2349B7"/>
    <w:rsid w:val="3B392F9B"/>
    <w:rsid w:val="3B616CFF"/>
    <w:rsid w:val="3B6259F6"/>
    <w:rsid w:val="3B7017EA"/>
    <w:rsid w:val="3B976654"/>
    <w:rsid w:val="3BC01EFC"/>
    <w:rsid w:val="3BCA786A"/>
    <w:rsid w:val="3BD31E2F"/>
    <w:rsid w:val="3BD625E2"/>
    <w:rsid w:val="3BF15831"/>
    <w:rsid w:val="3BF36F22"/>
    <w:rsid w:val="3C047A4D"/>
    <w:rsid w:val="3C105946"/>
    <w:rsid w:val="3C471448"/>
    <w:rsid w:val="3C526A0A"/>
    <w:rsid w:val="3C5B35E6"/>
    <w:rsid w:val="3C5F759A"/>
    <w:rsid w:val="3C6C525A"/>
    <w:rsid w:val="3C795D45"/>
    <w:rsid w:val="3C9963E7"/>
    <w:rsid w:val="3CAD1E92"/>
    <w:rsid w:val="3CCE23CB"/>
    <w:rsid w:val="3CD17D17"/>
    <w:rsid w:val="3CD967E3"/>
    <w:rsid w:val="3CE56CCD"/>
    <w:rsid w:val="3CF96EA3"/>
    <w:rsid w:val="3D092ABE"/>
    <w:rsid w:val="3D163594"/>
    <w:rsid w:val="3D3C7F39"/>
    <w:rsid w:val="3D440F09"/>
    <w:rsid w:val="3D4504A0"/>
    <w:rsid w:val="3D662991"/>
    <w:rsid w:val="3D8734BB"/>
    <w:rsid w:val="3D962926"/>
    <w:rsid w:val="3D9A11D4"/>
    <w:rsid w:val="3DA16D89"/>
    <w:rsid w:val="3DA364BE"/>
    <w:rsid w:val="3DAF5C29"/>
    <w:rsid w:val="3DB54E2C"/>
    <w:rsid w:val="3DC56607"/>
    <w:rsid w:val="3DE041CB"/>
    <w:rsid w:val="3E0D48F6"/>
    <w:rsid w:val="3E1868B4"/>
    <w:rsid w:val="3E377251"/>
    <w:rsid w:val="3E42664B"/>
    <w:rsid w:val="3E5A7334"/>
    <w:rsid w:val="3E6F7297"/>
    <w:rsid w:val="3E720C9E"/>
    <w:rsid w:val="3E7569E0"/>
    <w:rsid w:val="3E7B5D6B"/>
    <w:rsid w:val="3E843E66"/>
    <w:rsid w:val="3E88226F"/>
    <w:rsid w:val="3E8F51FE"/>
    <w:rsid w:val="3E926F87"/>
    <w:rsid w:val="3E9A59DE"/>
    <w:rsid w:val="3EA03A5D"/>
    <w:rsid w:val="3EAF4836"/>
    <w:rsid w:val="3EC33DFA"/>
    <w:rsid w:val="3ECE746E"/>
    <w:rsid w:val="3EF90B81"/>
    <w:rsid w:val="3F0538C0"/>
    <w:rsid w:val="3F060E16"/>
    <w:rsid w:val="3F1D1096"/>
    <w:rsid w:val="3F2F0234"/>
    <w:rsid w:val="3F401855"/>
    <w:rsid w:val="3F6031EC"/>
    <w:rsid w:val="3F6363FE"/>
    <w:rsid w:val="3F756B8F"/>
    <w:rsid w:val="3F7B6278"/>
    <w:rsid w:val="3F81250C"/>
    <w:rsid w:val="3F95482B"/>
    <w:rsid w:val="3FB3156E"/>
    <w:rsid w:val="3FFB181F"/>
    <w:rsid w:val="400022D9"/>
    <w:rsid w:val="40181D19"/>
    <w:rsid w:val="4019356B"/>
    <w:rsid w:val="401C35B7"/>
    <w:rsid w:val="401E5FF4"/>
    <w:rsid w:val="403A09BD"/>
    <w:rsid w:val="40592157"/>
    <w:rsid w:val="406E1CAE"/>
    <w:rsid w:val="40860A30"/>
    <w:rsid w:val="40913477"/>
    <w:rsid w:val="4096091E"/>
    <w:rsid w:val="40970E8F"/>
    <w:rsid w:val="40A0133A"/>
    <w:rsid w:val="40B05AAD"/>
    <w:rsid w:val="40C31A53"/>
    <w:rsid w:val="40FF545D"/>
    <w:rsid w:val="410067C8"/>
    <w:rsid w:val="4105229D"/>
    <w:rsid w:val="410A78B3"/>
    <w:rsid w:val="41250249"/>
    <w:rsid w:val="4135050E"/>
    <w:rsid w:val="414A5F02"/>
    <w:rsid w:val="417E3DFD"/>
    <w:rsid w:val="41806702"/>
    <w:rsid w:val="418F0D2A"/>
    <w:rsid w:val="41A444BF"/>
    <w:rsid w:val="41A87593"/>
    <w:rsid w:val="41D01505"/>
    <w:rsid w:val="41D80075"/>
    <w:rsid w:val="41E9396D"/>
    <w:rsid w:val="41F30347"/>
    <w:rsid w:val="42474939"/>
    <w:rsid w:val="424C3C57"/>
    <w:rsid w:val="425012F6"/>
    <w:rsid w:val="42613FF3"/>
    <w:rsid w:val="42660D96"/>
    <w:rsid w:val="42756FAE"/>
    <w:rsid w:val="42857F51"/>
    <w:rsid w:val="428667D2"/>
    <w:rsid w:val="42987AED"/>
    <w:rsid w:val="42C102E6"/>
    <w:rsid w:val="42CD1CE0"/>
    <w:rsid w:val="42E1381E"/>
    <w:rsid w:val="42ED6459"/>
    <w:rsid w:val="42F51E9D"/>
    <w:rsid w:val="42F62DE5"/>
    <w:rsid w:val="42FE58DD"/>
    <w:rsid w:val="43087E22"/>
    <w:rsid w:val="43174B3D"/>
    <w:rsid w:val="43415CBD"/>
    <w:rsid w:val="434B790E"/>
    <w:rsid w:val="4360274F"/>
    <w:rsid w:val="4368157D"/>
    <w:rsid w:val="4369300C"/>
    <w:rsid w:val="43721740"/>
    <w:rsid w:val="437A2EFB"/>
    <w:rsid w:val="437C436D"/>
    <w:rsid w:val="43947908"/>
    <w:rsid w:val="43977AB6"/>
    <w:rsid w:val="43994F1E"/>
    <w:rsid w:val="439B0949"/>
    <w:rsid w:val="439C056B"/>
    <w:rsid w:val="43A3342B"/>
    <w:rsid w:val="43A63197"/>
    <w:rsid w:val="43BC29BB"/>
    <w:rsid w:val="43C77C27"/>
    <w:rsid w:val="43DE09EE"/>
    <w:rsid w:val="44002FAD"/>
    <w:rsid w:val="441D54B8"/>
    <w:rsid w:val="444B1747"/>
    <w:rsid w:val="444E5A56"/>
    <w:rsid w:val="445A645C"/>
    <w:rsid w:val="447D039C"/>
    <w:rsid w:val="4488419C"/>
    <w:rsid w:val="449101DD"/>
    <w:rsid w:val="44953938"/>
    <w:rsid w:val="44DE1391"/>
    <w:rsid w:val="44E679FE"/>
    <w:rsid w:val="44FF5255"/>
    <w:rsid w:val="451B225C"/>
    <w:rsid w:val="452410C9"/>
    <w:rsid w:val="45317DFB"/>
    <w:rsid w:val="45433394"/>
    <w:rsid w:val="45554E75"/>
    <w:rsid w:val="456D3CE4"/>
    <w:rsid w:val="4579042C"/>
    <w:rsid w:val="457F0571"/>
    <w:rsid w:val="457F108D"/>
    <w:rsid w:val="458043A8"/>
    <w:rsid w:val="45851176"/>
    <w:rsid w:val="459D20E0"/>
    <w:rsid w:val="45AE13B7"/>
    <w:rsid w:val="45C63B94"/>
    <w:rsid w:val="45CA13BF"/>
    <w:rsid w:val="45D466E2"/>
    <w:rsid w:val="45E87A96"/>
    <w:rsid w:val="45F8417E"/>
    <w:rsid w:val="46004DE1"/>
    <w:rsid w:val="460A1F68"/>
    <w:rsid w:val="460E7DA5"/>
    <w:rsid w:val="46402DFD"/>
    <w:rsid w:val="46422483"/>
    <w:rsid w:val="4642364B"/>
    <w:rsid w:val="4659254A"/>
    <w:rsid w:val="465B0637"/>
    <w:rsid w:val="465E3F0D"/>
    <w:rsid w:val="466A16E6"/>
    <w:rsid w:val="466A3D31"/>
    <w:rsid w:val="46893F2B"/>
    <w:rsid w:val="46B575C9"/>
    <w:rsid w:val="46C4686E"/>
    <w:rsid w:val="47150D60"/>
    <w:rsid w:val="471F398D"/>
    <w:rsid w:val="474349B2"/>
    <w:rsid w:val="475E05D7"/>
    <w:rsid w:val="47785793"/>
    <w:rsid w:val="477B778F"/>
    <w:rsid w:val="478203EC"/>
    <w:rsid w:val="478A34FC"/>
    <w:rsid w:val="479223B1"/>
    <w:rsid w:val="47A13F1B"/>
    <w:rsid w:val="47A73327"/>
    <w:rsid w:val="47B025FA"/>
    <w:rsid w:val="47F92430"/>
    <w:rsid w:val="4809698F"/>
    <w:rsid w:val="4811697D"/>
    <w:rsid w:val="484C4889"/>
    <w:rsid w:val="48537D92"/>
    <w:rsid w:val="48627FD5"/>
    <w:rsid w:val="487A3E25"/>
    <w:rsid w:val="488B5503"/>
    <w:rsid w:val="48937E21"/>
    <w:rsid w:val="489A0361"/>
    <w:rsid w:val="48B94FF3"/>
    <w:rsid w:val="48E37AAB"/>
    <w:rsid w:val="48FD4B4C"/>
    <w:rsid w:val="4908230F"/>
    <w:rsid w:val="490A68E0"/>
    <w:rsid w:val="490B41C9"/>
    <w:rsid w:val="491055FE"/>
    <w:rsid w:val="495F5B3E"/>
    <w:rsid w:val="496F77D7"/>
    <w:rsid w:val="497654FD"/>
    <w:rsid w:val="4996003A"/>
    <w:rsid w:val="49A66CF3"/>
    <w:rsid w:val="49B64211"/>
    <w:rsid w:val="49BE56DF"/>
    <w:rsid w:val="49C16F7D"/>
    <w:rsid w:val="49CF3474"/>
    <w:rsid w:val="49D56585"/>
    <w:rsid w:val="49F6167F"/>
    <w:rsid w:val="4A064FA0"/>
    <w:rsid w:val="4A080708"/>
    <w:rsid w:val="4A16615C"/>
    <w:rsid w:val="4A1A388C"/>
    <w:rsid w:val="4A225C6E"/>
    <w:rsid w:val="4A3D4856"/>
    <w:rsid w:val="4A4424D7"/>
    <w:rsid w:val="4A675D7F"/>
    <w:rsid w:val="4AB82D0F"/>
    <w:rsid w:val="4AC62A9D"/>
    <w:rsid w:val="4AEB7664"/>
    <w:rsid w:val="4AFD7C19"/>
    <w:rsid w:val="4B0567D1"/>
    <w:rsid w:val="4B236AAE"/>
    <w:rsid w:val="4B2E4C36"/>
    <w:rsid w:val="4B2E6CE4"/>
    <w:rsid w:val="4B530E69"/>
    <w:rsid w:val="4B616322"/>
    <w:rsid w:val="4B707271"/>
    <w:rsid w:val="4B9739F7"/>
    <w:rsid w:val="4BDF36EB"/>
    <w:rsid w:val="4BEE2503"/>
    <w:rsid w:val="4BF50902"/>
    <w:rsid w:val="4C2100F3"/>
    <w:rsid w:val="4C245A30"/>
    <w:rsid w:val="4C2757BD"/>
    <w:rsid w:val="4C7C718B"/>
    <w:rsid w:val="4C806C7C"/>
    <w:rsid w:val="4C997D3D"/>
    <w:rsid w:val="4CB6685F"/>
    <w:rsid w:val="4CC367FE"/>
    <w:rsid w:val="4CC72A3A"/>
    <w:rsid w:val="4CDE27F3"/>
    <w:rsid w:val="4CEC60BF"/>
    <w:rsid w:val="4D001B6A"/>
    <w:rsid w:val="4D077F3C"/>
    <w:rsid w:val="4D122BF3"/>
    <w:rsid w:val="4D123355"/>
    <w:rsid w:val="4D211BAD"/>
    <w:rsid w:val="4D243AAB"/>
    <w:rsid w:val="4D2A3B31"/>
    <w:rsid w:val="4D312C52"/>
    <w:rsid w:val="4D5E7A8A"/>
    <w:rsid w:val="4D7F5185"/>
    <w:rsid w:val="4D905305"/>
    <w:rsid w:val="4D964A72"/>
    <w:rsid w:val="4D9C1254"/>
    <w:rsid w:val="4DC332C4"/>
    <w:rsid w:val="4DDE62FD"/>
    <w:rsid w:val="4DF80A94"/>
    <w:rsid w:val="4E2023C2"/>
    <w:rsid w:val="4E351802"/>
    <w:rsid w:val="4E4C6050"/>
    <w:rsid w:val="4E523A78"/>
    <w:rsid w:val="4E5D3ACD"/>
    <w:rsid w:val="4E5F0F4B"/>
    <w:rsid w:val="4E673416"/>
    <w:rsid w:val="4E793892"/>
    <w:rsid w:val="4E800872"/>
    <w:rsid w:val="4E854A1D"/>
    <w:rsid w:val="4E9609D8"/>
    <w:rsid w:val="4EBD474A"/>
    <w:rsid w:val="4EC569ED"/>
    <w:rsid w:val="4ED50EA1"/>
    <w:rsid w:val="4EEC050C"/>
    <w:rsid w:val="4F104EC3"/>
    <w:rsid w:val="4F147E6A"/>
    <w:rsid w:val="4F47354A"/>
    <w:rsid w:val="4F701B08"/>
    <w:rsid w:val="4F911C54"/>
    <w:rsid w:val="4F9F6A34"/>
    <w:rsid w:val="4FDA66A3"/>
    <w:rsid w:val="4FE60E67"/>
    <w:rsid w:val="4FE625E0"/>
    <w:rsid w:val="4FF41295"/>
    <w:rsid w:val="501A2F43"/>
    <w:rsid w:val="5021480F"/>
    <w:rsid w:val="503A5393"/>
    <w:rsid w:val="503F0BFC"/>
    <w:rsid w:val="50724B2D"/>
    <w:rsid w:val="50962ECB"/>
    <w:rsid w:val="50A42E38"/>
    <w:rsid w:val="50A4577F"/>
    <w:rsid w:val="50A538CF"/>
    <w:rsid w:val="50B53FBE"/>
    <w:rsid w:val="50B73D1F"/>
    <w:rsid w:val="50BD5BC9"/>
    <w:rsid w:val="50C11EEE"/>
    <w:rsid w:val="50C25AB5"/>
    <w:rsid w:val="50CE1332"/>
    <w:rsid w:val="50E40117"/>
    <w:rsid w:val="50E85C10"/>
    <w:rsid w:val="50E97CFC"/>
    <w:rsid w:val="50FA4028"/>
    <w:rsid w:val="51024103"/>
    <w:rsid w:val="5105097F"/>
    <w:rsid w:val="51085492"/>
    <w:rsid w:val="510D65B7"/>
    <w:rsid w:val="511157AB"/>
    <w:rsid w:val="5142540C"/>
    <w:rsid w:val="51497F84"/>
    <w:rsid w:val="518832C8"/>
    <w:rsid w:val="51A0432A"/>
    <w:rsid w:val="51A86090"/>
    <w:rsid w:val="51B7396D"/>
    <w:rsid w:val="51DB38BF"/>
    <w:rsid w:val="51EF45A7"/>
    <w:rsid w:val="521265C8"/>
    <w:rsid w:val="522E4CC3"/>
    <w:rsid w:val="52412A09"/>
    <w:rsid w:val="5244713B"/>
    <w:rsid w:val="52615633"/>
    <w:rsid w:val="526702B9"/>
    <w:rsid w:val="526F3A1A"/>
    <w:rsid w:val="52977FD4"/>
    <w:rsid w:val="529C2335"/>
    <w:rsid w:val="52A25790"/>
    <w:rsid w:val="52A96B6F"/>
    <w:rsid w:val="52B45975"/>
    <w:rsid w:val="52C378C2"/>
    <w:rsid w:val="52D94AA4"/>
    <w:rsid w:val="52E53CDC"/>
    <w:rsid w:val="52EA3A62"/>
    <w:rsid w:val="52EC6E19"/>
    <w:rsid w:val="52ED4596"/>
    <w:rsid w:val="52F50BB8"/>
    <w:rsid w:val="53097272"/>
    <w:rsid w:val="53544462"/>
    <w:rsid w:val="536113AB"/>
    <w:rsid w:val="5397158E"/>
    <w:rsid w:val="53AA2830"/>
    <w:rsid w:val="53B51901"/>
    <w:rsid w:val="53EB113C"/>
    <w:rsid w:val="54013861"/>
    <w:rsid w:val="540C7047"/>
    <w:rsid w:val="541F321E"/>
    <w:rsid w:val="544467E1"/>
    <w:rsid w:val="54487265"/>
    <w:rsid w:val="544D6070"/>
    <w:rsid w:val="54605E1E"/>
    <w:rsid w:val="54656D67"/>
    <w:rsid w:val="547A0C40"/>
    <w:rsid w:val="54B3506A"/>
    <w:rsid w:val="54CA0D16"/>
    <w:rsid w:val="54DD4057"/>
    <w:rsid w:val="54E7490F"/>
    <w:rsid w:val="550764A4"/>
    <w:rsid w:val="550B2BF6"/>
    <w:rsid w:val="55214EB5"/>
    <w:rsid w:val="552D7E98"/>
    <w:rsid w:val="55364EFD"/>
    <w:rsid w:val="55423DE2"/>
    <w:rsid w:val="555D3FFE"/>
    <w:rsid w:val="555D4828"/>
    <w:rsid w:val="557A4C8B"/>
    <w:rsid w:val="558931E1"/>
    <w:rsid w:val="55923347"/>
    <w:rsid w:val="55925180"/>
    <w:rsid w:val="55983B1B"/>
    <w:rsid w:val="559B2D78"/>
    <w:rsid w:val="559F5436"/>
    <w:rsid w:val="55A8164C"/>
    <w:rsid w:val="55A8376B"/>
    <w:rsid w:val="55AE6607"/>
    <w:rsid w:val="55DC29B6"/>
    <w:rsid w:val="55DD4241"/>
    <w:rsid w:val="55EC1538"/>
    <w:rsid w:val="56066443"/>
    <w:rsid w:val="561C5C67"/>
    <w:rsid w:val="562468CA"/>
    <w:rsid w:val="562B40FC"/>
    <w:rsid w:val="563E1B99"/>
    <w:rsid w:val="56486A5C"/>
    <w:rsid w:val="566B6D1E"/>
    <w:rsid w:val="566F1F48"/>
    <w:rsid w:val="568B53F9"/>
    <w:rsid w:val="568C7211"/>
    <w:rsid w:val="56BA5480"/>
    <w:rsid w:val="56BC2FA6"/>
    <w:rsid w:val="56CA56C3"/>
    <w:rsid w:val="57032A2C"/>
    <w:rsid w:val="57053291"/>
    <w:rsid w:val="570F5219"/>
    <w:rsid w:val="573A1111"/>
    <w:rsid w:val="575D12B5"/>
    <w:rsid w:val="57610A87"/>
    <w:rsid w:val="577B1140"/>
    <w:rsid w:val="577B7F21"/>
    <w:rsid w:val="577F181B"/>
    <w:rsid w:val="57921984"/>
    <w:rsid w:val="579737F0"/>
    <w:rsid w:val="57AB7B30"/>
    <w:rsid w:val="57AF5251"/>
    <w:rsid w:val="57B26373"/>
    <w:rsid w:val="57B63F04"/>
    <w:rsid w:val="57CB64E6"/>
    <w:rsid w:val="57CD20C2"/>
    <w:rsid w:val="57D675AB"/>
    <w:rsid w:val="57D95FDD"/>
    <w:rsid w:val="57DD4F82"/>
    <w:rsid w:val="588A050B"/>
    <w:rsid w:val="58917D2F"/>
    <w:rsid w:val="5894085C"/>
    <w:rsid w:val="58AE4F0C"/>
    <w:rsid w:val="58B85899"/>
    <w:rsid w:val="58BC54DF"/>
    <w:rsid w:val="58D173B3"/>
    <w:rsid w:val="58E363A9"/>
    <w:rsid w:val="58F85DEC"/>
    <w:rsid w:val="59013DDD"/>
    <w:rsid w:val="594471C3"/>
    <w:rsid w:val="595E1678"/>
    <w:rsid w:val="596D5BD4"/>
    <w:rsid w:val="597E3DD8"/>
    <w:rsid w:val="598D6C40"/>
    <w:rsid w:val="59A04E1D"/>
    <w:rsid w:val="59E7033A"/>
    <w:rsid w:val="59ED41B0"/>
    <w:rsid w:val="59EE6F2C"/>
    <w:rsid w:val="59EF5441"/>
    <w:rsid w:val="59F80043"/>
    <w:rsid w:val="59FD190B"/>
    <w:rsid w:val="5A09252F"/>
    <w:rsid w:val="5A0B2778"/>
    <w:rsid w:val="5A105AE3"/>
    <w:rsid w:val="5A186745"/>
    <w:rsid w:val="5A2A7C7B"/>
    <w:rsid w:val="5A3E2560"/>
    <w:rsid w:val="5A5D3B6E"/>
    <w:rsid w:val="5A637A76"/>
    <w:rsid w:val="5A6D33BA"/>
    <w:rsid w:val="5A712320"/>
    <w:rsid w:val="5A755946"/>
    <w:rsid w:val="5A792B1F"/>
    <w:rsid w:val="5A874767"/>
    <w:rsid w:val="5A8E2EAB"/>
    <w:rsid w:val="5A92474A"/>
    <w:rsid w:val="5A9304C2"/>
    <w:rsid w:val="5A9A3DBD"/>
    <w:rsid w:val="5A9D63A1"/>
    <w:rsid w:val="5AAD6F28"/>
    <w:rsid w:val="5AC5776F"/>
    <w:rsid w:val="5AD22D98"/>
    <w:rsid w:val="5AD63A24"/>
    <w:rsid w:val="5B0E18F6"/>
    <w:rsid w:val="5B151649"/>
    <w:rsid w:val="5B1C4013"/>
    <w:rsid w:val="5B21454D"/>
    <w:rsid w:val="5B2E1A1D"/>
    <w:rsid w:val="5B510A5B"/>
    <w:rsid w:val="5B843A1C"/>
    <w:rsid w:val="5B873E3F"/>
    <w:rsid w:val="5BA02688"/>
    <w:rsid w:val="5BAA161F"/>
    <w:rsid w:val="5BB80FBB"/>
    <w:rsid w:val="5C02690E"/>
    <w:rsid w:val="5C196DA7"/>
    <w:rsid w:val="5C205C9B"/>
    <w:rsid w:val="5C2A048C"/>
    <w:rsid w:val="5C2F5FC8"/>
    <w:rsid w:val="5C3D2493"/>
    <w:rsid w:val="5C80234E"/>
    <w:rsid w:val="5C8A680C"/>
    <w:rsid w:val="5C9127DF"/>
    <w:rsid w:val="5CC337CD"/>
    <w:rsid w:val="5D0C4701"/>
    <w:rsid w:val="5D0D6309"/>
    <w:rsid w:val="5D0F0395"/>
    <w:rsid w:val="5D221076"/>
    <w:rsid w:val="5D292A17"/>
    <w:rsid w:val="5D397964"/>
    <w:rsid w:val="5D5A391C"/>
    <w:rsid w:val="5D5B3481"/>
    <w:rsid w:val="5D5F10C0"/>
    <w:rsid w:val="5D794C68"/>
    <w:rsid w:val="5D891B7B"/>
    <w:rsid w:val="5DAD38EE"/>
    <w:rsid w:val="5DB1138B"/>
    <w:rsid w:val="5DE51034"/>
    <w:rsid w:val="5E006862"/>
    <w:rsid w:val="5E0207B9"/>
    <w:rsid w:val="5E1834A1"/>
    <w:rsid w:val="5E261785"/>
    <w:rsid w:val="5E2C5875"/>
    <w:rsid w:val="5E335564"/>
    <w:rsid w:val="5E4A7017"/>
    <w:rsid w:val="5E552BBA"/>
    <w:rsid w:val="5E5B12F6"/>
    <w:rsid w:val="5E611C10"/>
    <w:rsid w:val="5E6F6B50"/>
    <w:rsid w:val="5E7924E3"/>
    <w:rsid w:val="5E973525"/>
    <w:rsid w:val="5EAE1426"/>
    <w:rsid w:val="5ECC7AFE"/>
    <w:rsid w:val="5EFC7377"/>
    <w:rsid w:val="5F06174D"/>
    <w:rsid w:val="5F205F8A"/>
    <w:rsid w:val="5F2711D9"/>
    <w:rsid w:val="5F2C38F8"/>
    <w:rsid w:val="5F3A3602"/>
    <w:rsid w:val="5F4B1102"/>
    <w:rsid w:val="5F6277C6"/>
    <w:rsid w:val="5F6661A5"/>
    <w:rsid w:val="5F6D0B1D"/>
    <w:rsid w:val="5F8D0B82"/>
    <w:rsid w:val="5FA6729D"/>
    <w:rsid w:val="5FA82666"/>
    <w:rsid w:val="5FCC5339"/>
    <w:rsid w:val="5FE34A5B"/>
    <w:rsid w:val="5FE4307B"/>
    <w:rsid w:val="5FF90DC7"/>
    <w:rsid w:val="5FFE1E36"/>
    <w:rsid w:val="60232584"/>
    <w:rsid w:val="603911C4"/>
    <w:rsid w:val="604D4D4A"/>
    <w:rsid w:val="605204D7"/>
    <w:rsid w:val="6062696C"/>
    <w:rsid w:val="607330CE"/>
    <w:rsid w:val="60825176"/>
    <w:rsid w:val="609F2AC4"/>
    <w:rsid w:val="609F6606"/>
    <w:rsid w:val="60A2320D"/>
    <w:rsid w:val="60BD0047"/>
    <w:rsid w:val="60D525EF"/>
    <w:rsid w:val="60DC5CFB"/>
    <w:rsid w:val="60FA2EE8"/>
    <w:rsid w:val="61054A27"/>
    <w:rsid w:val="610A52BC"/>
    <w:rsid w:val="61120162"/>
    <w:rsid w:val="61140A35"/>
    <w:rsid w:val="611D2366"/>
    <w:rsid w:val="612956DC"/>
    <w:rsid w:val="61421856"/>
    <w:rsid w:val="61502C69"/>
    <w:rsid w:val="615227C4"/>
    <w:rsid w:val="61630BEE"/>
    <w:rsid w:val="61654E3F"/>
    <w:rsid w:val="61767EFC"/>
    <w:rsid w:val="6182292A"/>
    <w:rsid w:val="61926DDD"/>
    <w:rsid w:val="619863BE"/>
    <w:rsid w:val="619F7F92"/>
    <w:rsid w:val="61A30182"/>
    <w:rsid w:val="61A83401"/>
    <w:rsid w:val="61CB6793"/>
    <w:rsid w:val="61F94C26"/>
    <w:rsid w:val="62000E56"/>
    <w:rsid w:val="62483940"/>
    <w:rsid w:val="624F3E49"/>
    <w:rsid w:val="62632286"/>
    <w:rsid w:val="628439B1"/>
    <w:rsid w:val="62885958"/>
    <w:rsid w:val="62AA788E"/>
    <w:rsid w:val="62CA79B8"/>
    <w:rsid w:val="62F40B65"/>
    <w:rsid w:val="62FC2CFE"/>
    <w:rsid w:val="63024505"/>
    <w:rsid w:val="630E4B89"/>
    <w:rsid w:val="632717A7"/>
    <w:rsid w:val="63400ABB"/>
    <w:rsid w:val="635B1DB5"/>
    <w:rsid w:val="63711FED"/>
    <w:rsid w:val="63880DDC"/>
    <w:rsid w:val="638D750D"/>
    <w:rsid w:val="639D7CBB"/>
    <w:rsid w:val="63AC6CC0"/>
    <w:rsid w:val="63B3765E"/>
    <w:rsid w:val="63B76AE1"/>
    <w:rsid w:val="63BC45E5"/>
    <w:rsid w:val="63C4349A"/>
    <w:rsid w:val="63EC71C5"/>
    <w:rsid w:val="63F303BE"/>
    <w:rsid w:val="64055776"/>
    <w:rsid w:val="641A690B"/>
    <w:rsid w:val="64240056"/>
    <w:rsid w:val="643B782A"/>
    <w:rsid w:val="643E143A"/>
    <w:rsid w:val="648B6EEF"/>
    <w:rsid w:val="64921FD5"/>
    <w:rsid w:val="64BF60B1"/>
    <w:rsid w:val="64C158BF"/>
    <w:rsid w:val="64CE2EAA"/>
    <w:rsid w:val="64F16511"/>
    <w:rsid w:val="64F25582"/>
    <w:rsid w:val="64FC67DF"/>
    <w:rsid w:val="650054DB"/>
    <w:rsid w:val="6502427A"/>
    <w:rsid w:val="652679F8"/>
    <w:rsid w:val="652C04B0"/>
    <w:rsid w:val="653A3114"/>
    <w:rsid w:val="653C3090"/>
    <w:rsid w:val="653E5637"/>
    <w:rsid w:val="65457BCE"/>
    <w:rsid w:val="654F3237"/>
    <w:rsid w:val="65854376"/>
    <w:rsid w:val="658767BE"/>
    <w:rsid w:val="65892531"/>
    <w:rsid w:val="65A36159"/>
    <w:rsid w:val="65D025CA"/>
    <w:rsid w:val="65D57BE0"/>
    <w:rsid w:val="65D774B5"/>
    <w:rsid w:val="65F20792"/>
    <w:rsid w:val="65FF1B98"/>
    <w:rsid w:val="66195831"/>
    <w:rsid w:val="66285F62"/>
    <w:rsid w:val="662A4220"/>
    <w:rsid w:val="662E75B1"/>
    <w:rsid w:val="66342C2E"/>
    <w:rsid w:val="663E784C"/>
    <w:rsid w:val="665054B9"/>
    <w:rsid w:val="66576847"/>
    <w:rsid w:val="665925BF"/>
    <w:rsid w:val="66707909"/>
    <w:rsid w:val="668B6A45"/>
    <w:rsid w:val="66CD36E6"/>
    <w:rsid w:val="66DB1413"/>
    <w:rsid w:val="67136C12"/>
    <w:rsid w:val="672B5A94"/>
    <w:rsid w:val="672F3F24"/>
    <w:rsid w:val="673E055F"/>
    <w:rsid w:val="67551CE3"/>
    <w:rsid w:val="677156E7"/>
    <w:rsid w:val="67A22552"/>
    <w:rsid w:val="67B22DCC"/>
    <w:rsid w:val="67BE71AA"/>
    <w:rsid w:val="67D90273"/>
    <w:rsid w:val="67DE5875"/>
    <w:rsid w:val="67E55852"/>
    <w:rsid w:val="67EB1AB4"/>
    <w:rsid w:val="67FA1285"/>
    <w:rsid w:val="6825309F"/>
    <w:rsid w:val="6833385C"/>
    <w:rsid w:val="683A3D2B"/>
    <w:rsid w:val="684B418A"/>
    <w:rsid w:val="68551F4F"/>
    <w:rsid w:val="68633281"/>
    <w:rsid w:val="6868073D"/>
    <w:rsid w:val="68774B26"/>
    <w:rsid w:val="687C10C9"/>
    <w:rsid w:val="687F015B"/>
    <w:rsid w:val="68840C16"/>
    <w:rsid w:val="68876EFB"/>
    <w:rsid w:val="68884654"/>
    <w:rsid w:val="689478DF"/>
    <w:rsid w:val="689A2A1B"/>
    <w:rsid w:val="689F102B"/>
    <w:rsid w:val="689F444F"/>
    <w:rsid w:val="68B96DBB"/>
    <w:rsid w:val="68BA6CFF"/>
    <w:rsid w:val="68BE495C"/>
    <w:rsid w:val="68CA2805"/>
    <w:rsid w:val="68E937A3"/>
    <w:rsid w:val="690D7F75"/>
    <w:rsid w:val="69111FC0"/>
    <w:rsid w:val="69247D13"/>
    <w:rsid w:val="693B7D5A"/>
    <w:rsid w:val="693E15D3"/>
    <w:rsid w:val="69513A22"/>
    <w:rsid w:val="69561038"/>
    <w:rsid w:val="69627681"/>
    <w:rsid w:val="69766FE4"/>
    <w:rsid w:val="6977531D"/>
    <w:rsid w:val="69A300BA"/>
    <w:rsid w:val="69A51678"/>
    <w:rsid w:val="69A7626C"/>
    <w:rsid w:val="69AE66C0"/>
    <w:rsid w:val="69B12712"/>
    <w:rsid w:val="69CC2BFF"/>
    <w:rsid w:val="69CE6E20"/>
    <w:rsid w:val="69D41F5D"/>
    <w:rsid w:val="69EC54F9"/>
    <w:rsid w:val="69FD55B8"/>
    <w:rsid w:val="6A050368"/>
    <w:rsid w:val="6A0B1C62"/>
    <w:rsid w:val="6A2406C8"/>
    <w:rsid w:val="6A37493D"/>
    <w:rsid w:val="6A3824EC"/>
    <w:rsid w:val="6A5A184D"/>
    <w:rsid w:val="6A5C10CF"/>
    <w:rsid w:val="6A5D1F52"/>
    <w:rsid w:val="6A667CB9"/>
    <w:rsid w:val="6A7C687C"/>
    <w:rsid w:val="6A82511C"/>
    <w:rsid w:val="6A9A3191"/>
    <w:rsid w:val="6ADE0BD1"/>
    <w:rsid w:val="6AE83F12"/>
    <w:rsid w:val="6AE96859"/>
    <w:rsid w:val="6B147746"/>
    <w:rsid w:val="6B24787C"/>
    <w:rsid w:val="6B4C0909"/>
    <w:rsid w:val="6B573233"/>
    <w:rsid w:val="6B574999"/>
    <w:rsid w:val="6B5B6274"/>
    <w:rsid w:val="6B6C069F"/>
    <w:rsid w:val="6B935D53"/>
    <w:rsid w:val="6B99520C"/>
    <w:rsid w:val="6BA50981"/>
    <w:rsid w:val="6BAA7419"/>
    <w:rsid w:val="6BFD721F"/>
    <w:rsid w:val="6C0535E9"/>
    <w:rsid w:val="6C097901"/>
    <w:rsid w:val="6C0E1756"/>
    <w:rsid w:val="6C196F71"/>
    <w:rsid w:val="6C226FCB"/>
    <w:rsid w:val="6C2E3BA6"/>
    <w:rsid w:val="6C30791F"/>
    <w:rsid w:val="6C31226F"/>
    <w:rsid w:val="6C313697"/>
    <w:rsid w:val="6C44786E"/>
    <w:rsid w:val="6C4C513F"/>
    <w:rsid w:val="6C552F0B"/>
    <w:rsid w:val="6C5A07E8"/>
    <w:rsid w:val="6C755C79"/>
    <w:rsid w:val="6C757A27"/>
    <w:rsid w:val="6C88775B"/>
    <w:rsid w:val="6C8B0840"/>
    <w:rsid w:val="6C8C67B7"/>
    <w:rsid w:val="6C9D744C"/>
    <w:rsid w:val="6C9F0987"/>
    <w:rsid w:val="6CB04975"/>
    <w:rsid w:val="6CE33A9C"/>
    <w:rsid w:val="6D167928"/>
    <w:rsid w:val="6D26299B"/>
    <w:rsid w:val="6D3C0545"/>
    <w:rsid w:val="6D4772EC"/>
    <w:rsid w:val="6D8819DC"/>
    <w:rsid w:val="6D9078AF"/>
    <w:rsid w:val="6DAA3FEF"/>
    <w:rsid w:val="6DC0172B"/>
    <w:rsid w:val="6DCB690C"/>
    <w:rsid w:val="6DD41A5B"/>
    <w:rsid w:val="6DD444DF"/>
    <w:rsid w:val="6DDB1B0C"/>
    <w:rsid w:val="6DF43C2E"/>
    <w:rsid w:val="6DF51CA3"/>
    <w:rsid w:val="6E001573"/>
    <w:rsid w:val="6E2A70EC"/>
    <w:rsid w:val="6E4A39F8"/>
    <w:rsid w:val="6E5A6DD8"/>
    <w:rsid w:val="6E8335BD"/>
    <w:rsid w:val="6E8E12EF"/>
    <w:rsid w:val="6E972936"/>
    <w:rsid w:val="6E9A5523"/>
    <w:rsid w:val="6EAB5982"/>
    <w:rsid w:val="6EB74327"/>
    <w:rsid w:val="6ED446C5"/>
    <w:rsid w:val="6F2A2D4B"/>
    <w:rsid w:val="6F2A7D94"/>
    <w:rsid w:val="6F5B1156"/>
    <w:rsid w:val="6F6A3147"/>
    <w:rsid w:val="6F8331F1"/>
    <w:rsid w:val="6F906926"/>
    <w:rsid w:val="6F9A118C"/>
    <w:rsid w:val="6FA36659"/>
    <w:rsid w:val="6FAE1A09"/>
    <w:rsid w:val="6FCC5197"/>
    <w:rsid w:val="6FD75BF8"/>
    <w:rsid w:val="7012558D"/>
    <w:rsid w:val="70253512"/>
    <w:rsid w:val="707723D0"/>
    <w:rsid w:val="709F6AD5"/>
    <w:rsid w:val="70BD6A24"/>
    <w:rsid w:val="70CC4DD8"/>
    <w:rsid w:val="70D06A63"/>
    <w:rsid w:val="70E21403"/>
    <w:rsid w:val="70F5661B"/>
    <w:rsid w:val="71224CEB"/>
    <w:rsid w:val="71233EF6"/>
    <w:rsid w:val="712B2DAA"/>
    <w:rsid w:val="71360107"/>
    <w:rsid w:val="713752AB"/>
    <w:rsid w:val="713B688E"/>
    <w:rsid w:val="71867A4F"/>
    <w:rsid w:val="71B5658F"/>
    <w:rsid w:val="71CF7BDA"/>
    <w:rsid w:val="71D43752"/>
    <w:rsid w:val="71E35433"/>
    <w:rsid w:val="71E74F23"/>
    <w:rsid w:val="71F1796A"/>
    <w:rsid w:val="72154626"/>
    <w:rsid w:val="7218332F"/>
    <w:rsid w:val="721C27FE"/>
    <w:rsid w:val="72262B5D"/>
    <w:rsid w:val="72283FF7"/>
    <w:rsid w:val="722D0A37"/>
    <w:rsid w:val="722E7212"/>
    <w:rsid w:val="723A0474"/>
    <w:rsid w:val="724C67D0"/>
    <w:rsid w:val="725923E4"/>
    <w:rsid w:val="726245AA"/>
    <w:rsid w:val="726C5429"/>
    <w:rsid w:val="72864BF7"/>
    <w:rsid w:val="729023FC"/>
    <w:rsid w:val="729F75AC"/>
    <w:rsid w:val="72B8241C"/>
    <w:rsid w:val="72C15774"/>
    <w:rsid w:val="72E42103"/>
    <w:rsid w:val="72F50DA2"/>
    <w:rsid w:val="730C2768"/>
    <w:rsid w:val="737F118B"/>
    <w:rsid w:val="7386076C"/>
    <w:rsid w:val="73B07597"/>
    <w:rsid w:val="73C0646E"/>
    <w:rsid w:val="73D17C39"/>
    <w:rsid w:val="73D704BF"/>
    <w:rsid w:val="73DE2356"/>
    <w:rsid w:val="742222F5"/>
    <w:rsid w:val="74476126"/>
    <w:rsid w:val="74511C71"/>
    <w:rsid w:val="74706664"/>
    <w:rsid w:val="747F3682"/>
    <w:rsid w:val="74956EB9"/>
    <w:rsid w:val="749C4185"/>
    <w:rsid w:val="74AB3134"/>
    <w:rsid w:val="74B15375"/>
    <w:rsid w:val="74D177C5"/>
    <w:rsid w:val="74DA48CB"/>
    <w:rsid w:val="75067759"/>
    <w:rsid w:val="750D06C4"/>
    <w:rsid w:val="751A1C96"/>
    <w:rsid w:val="752E6DCD"/>
    <w:rsid w:val="7551380D"/>
    <w:rsid w:val="75581C94"/>
    <w:rsid w:val="75600BE5"/>
    <w:rsid w:val="7564475C"/>
    <w:rsid w:val="756E3266"/>
    <w:rsid w:val="7583797F"/>
    <w:rsid w:val="75894543"/>
    <w:rsid w:val="75AC6324"/>
    <w:rsid w:val="75B55338"/>
    <w:rsid w:val="75BB0783"/>
    <w:rsid w:val="75CD2682"/>
    <w:rsid w:val="75CD61DE"/>
    <w:rsid w:val="75D20F1D"/>
    <w:rsid w:val="75D56A86"/>
    <w:rsid w:val="75DA2C18"/>
    <w:rsid w:val="75F54412"/>
    <w:rsid w:val="760F2C9B"/>
    <w:rsid w:val="761D08E0"/>
    <w:rsid w:val="765D347C"/>
    <w:rsid w:val="767D5E56"/>
    <w:rsid w:val="768129FD"/>
    <w:rsid w:val="76826699"/>
    <w:rsid w:val="76986314"/>
    <w:rsid w:val="76C87133"/>
    <w:rsid w:val="76CC46E8"/>
    <w:rsid w:val="76CD08D5"/>
    <w:rsid w:val="76DB4B92"/>
    <w:rsid w:val="76E9489D"/>
    <w:rsid w:val="77052AA4"/>
    <w:rsid w:val="77136511"/>
    <w:rsid w:val="77340A39"/>
    <w:rsid w:val="77343640"/>
    <w:rsid w:val="77351FD0"/>
    <w:rsid w:val="773F135E"/>
    <w:rsid w:val="77444E34"/>
    <w:rsid w:val="77472422"/>
    <w:rsid w:val="77510F5D"/>
    <w:rsid w:val="777F31F2"/>
    <w:rsid w:val="778B08AF"/>
    <w:rsid w:val="779F1DFC"/>
    <w:rsid w:val="77AB6AA4"/>
    <w:rsid w:val="77CB499F"/>
    <w:rsid w:val="77D1700D"/>
    <w:rsid w:val="77EC04CC"/>
    <w:rsid w:val="78003D06"/>
    <w:rsid w:val="78212811"/>
    <w:rsid w:val="786460E7"/>
    <w:rsid w:val="78775729"/>
    <w:rsid w:val="78A42DB0"/>
    <w:rsid w:val="78A656AB"/>
    <w:rsid w:val="78B2245C"/>
    <w:rsid w:val="78CD4747"/>
    <w:rsid w:val="78E172CC"/>
    <w:rsid w:val="78E71CAD"/>
    <w:rsid w:val="78EA1D1F"/>
    <w:rsid w:val="78EF290F"/>
    <w:rsid w:val="78F148D9"/>
    <w:rsid w:val="78F61EF0"/>
    <w:rsid w:val="7904172F"/>
    <w:rsid w:val="790740FD"/>
    <w:rsid w:val="790C526F"/>
    <w:rsid w:val="790F6B0E"/>
    <w:rsid w:val="790F7E27"/>
    <w:rsid w:val="792A231A"/>
    <w:rsid w:val="79316829"/>
    <w:rsid w:val="79421A53"/>
    <w:rsid w:val="795332BF"/>
    <w:rsid w:val="7967694A"/>
    <w:rsid w:val="797E66A9"/>
    <w:rsid w:val="79A97383"/>
    <w:rsid w:val="79D41D23"/>
    <w:rsid w:val="79E27E8B"/>
    <w:rsid w:val="79F850CE"/>
    <w:rsid w:val="79FD443C"/>
    <w:rsid w:val="7A020420"/>
    <w:rsid w:val="7A15284A"/>
    <w:rsid w:val="7A1D1975"/>
    <w:rsid w:val="7A2A00A3"/>
    <w:rsid w:val="7A3E5150"/>
    <w:rsid w:val="7A41472A"/>
    <w:rsid w:val="7A4670D6"/>
    <w:rsid w:val="7A534B63"/>
    <w:rsid w:val="7A615382"/>
    <w:rsid w:val="7A635363"/>
    <w:rsid w:val="7A67303B"/>
    <w:rsid w:val="7A850E5E"/>
    <w:rsid w:val="7AAB1D04"/>
    <w:rsid w:val="7AAF05A8"/>
    <w:rsid w:val="7ABA4368"/>
    <w:rsid w:val="7AD05746"/>
    <w:rsid w:val="7AEF309B"/>
    <w:rsid w:val="7B257FFD"/>
    <w:rsid w:val="7B2C39A7"/>
    <w:rsid w:val="7B343476"/>
    <w:rsid w:val="7B476A33"/>
    <w:rsid w:val="7B5A2978"/>
    <w:rsid w:val="7B5A7E4C"/>
    <w:rsid w:val="7B667AF9"/>
    <w:rsid w:val="7B7468F8"/>
    <w:rsid w:val="7BA9149B"/>
    <w:rsid w:val="7BC938EC"/>
    <w:rsid w:val="7BD66146"/>
    <w:rsid w:val="7BEE0103"/>
    <w:rsid w:val="7C0A0FE4"/>
    <w:rsid w:val="7C254906"/>
    <w:rsid w:val="7C4E5B9F"/>
    <w:rsid w:val="7C590818"/>
    <w:rsid w:val="7C7272B1"/>
    <w:rsid w:val="7C7C10F6"/>
    <w:rsid w:val="7C835B8E"/>
    <w:rsid w:val="7C853BEA"/>
    <w:rsid w:val="7C881368"/>
    <w:rsid w:val="7CD40756"/>
    <w:rsid w:val="7CE27788"/>
    <w:rsid w:val="7CF278DA"/>
    <w:rsid w:val="7D0C32F1"/>
    <w:rsid w:val="7D0F408D"/>
    <w:rsid w:val="7D1D3EEF"/>
    <w:rsid w:val="7D491C6C"/>
    <w:rsid w:val="7D5429C0"/>
    <w:rsid w:val="7D5D253D"/>
    <w:rsid w:val="7D6D05DE"/>
    <w:rsid w:val="7D6E6D43"/>
    <w:rsid w:val="7D9677FD"/>
    <w:rsid w:val="7DAE0FEB"/>
    <w:rsid w:val="7DB57A34"/>
    <w:rsid w:val="7DDAA029"/>
    <w:rsid w:val="7DE60973"/>
    <w:rsid w:val="7DEF0916"/>
    <w:rsid w:val="7DFB432E"/>
    <w:rsid w:val="7E17093E"/>
    <w:rsid w:val="7E1E5218"/>
    <w:rsid w:val="7E452050"/>
    <w:rsid w:val="7E4C02D3"/>
    <w:rsid w:val="7E9A4E1F"/>
    <w:rsid w:val="7EA7723A"/>
    <w:rsid w:val="7EF56FBB"/>
    <w:rsid w:val="7EFF551E"/>
    <w:rsid w:val="7F0768EB"/>
    <w:rsid w:val="7F143BEC"/>
    <w:rsid w:val="7F22175F"/>
    <w:rsid w:val="7F2C5FB2"/>
    <w:rsid w:val="7F3823EB"/>
    <w:rsid w:val="7F715AF2"/>
    <w:rsid w:val="7F78540D"/>
    <w:rsid w:val="7F886E69"/>
    <w:rsid w:val="7F954211"/>
    <w:rsid w:val="7FC26792"/>
    <w:rsid w:val="7FC732C5"/>
    <w:rsid w:val="7FFD3B6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styleId="27">
    <w:name w:val="envelope return"/>
    <w:basedOn w:val="1"/>
    <w:qFormat/>
    <w:uiPriority w:val="0"/>
    <w:pPr>
      <w:widowControl/>
      <w:spacing w:line="220" w:lineRule="atLeast"/>
      <w:ind w:firstLine="181"/>
      <w:jc w:val="left"/>
      <w:textAlignment w:val="baseline"/>
    </w:pPr>
    <w:rPr>
      <w:rFonts w:ascii="Arial" w:hAnsi="Arial"/>
      <w:kern w:val="0"/>
      <w:sz w:val="18"/>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宋体" w:eastAsia="仿宋" w:cs="Arial"/>
      <w:snapToGrid w:val="0"/>
      <w:sz w:val="24"/>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0"/>
    <w:qFormat/>
    <w:uiPriority w:val="0"/>
    <w:rPr>
      <w:b/>
      <w:bCs/>
    </w:rPr>
  </w:style>
  <w:style w:type="paragraph" w:styleId="62">
    <w:name w:val="Body Text First Indent 2"/>
    <w:basedOn w:val="26"/>
    <w:next w:val="24"/>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_Style 3"/>
    <w:basedOn w:val="1"/>
    <w:qFormat/>
    <w:uiPriority w:val="0"/>
    <w:pPr>
      <w:adjustRightInd/>
      <w:ind w:firstLine="420" w:firstLineChars="200"/>
    </w:pPr>
    <w:rPr>
      <w:rFonts w:eastAsia="仿宋_GB2312"/>
      <w:sz w:val="28"/>
    </w:rPr>
  </w:style>
  <w:style w:type="character" w:customStyle="1" w:styleId="82">
    <w:name w:val="标题 1 Char"/>
    <w:link w:val="2"/>
    <w:qFormat/>
    <w:uiPriority w:val="9"/>
    <w:rPr>
      <w:b/>
      <w:bCs/>
      <w:kern w:val="44"/>
      <w:sz w:val="44"/>
      <w:szCs w:val="44"/>
    </w:rPr>
  </w:style>
  <w:style w:type="character" w:customStyle="1" w:styleId="83">
    <w:name w:val="标题 2 Char"/>
    <w:qFormat/>
    <w:uiPriority w:val="0"/>
    <w:rPr>
      <w:rFonts w:ascii="Arial" w:hAnsi="Arial" w:eastAsia="黑体"/>
      <w:b/>
      <w:kern w:val="2"/>
      <w:sz w:val="32"/>
      <w:lang w:val="en-US" w:eastAsia="zh-CN"/>
    </w:rPr>
  </w:style>
  <w:style w:type="character" w:customStyle="1" w:styleId="84">
    <w:name w:val="标题 4 Char"/>
    <w:qFormat/>
    <w:uiPriority w:val="0"/>
    <w:rPr>
      <w:rFonts w:ascii="Arial" w:hAnsi="Arial" w:eastAsia="黑体"/>
      <w:b/>
      <w:kern w:val="2"/>
      <w:sz w:val="28"/>
    </w:rPr>
  </w:style>
  <w:style w:type="character" w:customStyle="1" w:styleId="85">
    <w:name w:val="标题 3 字符"/>
    <w:qFormat/>
    <w:uiPriority w:val="9"/>
    <w:rPr>
      <w:b/>
      <w:bCs/>
      <w:kern w:val="2"/>
      <w:sz w:val="32"/>
      <w:szCs w:val="32"/>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basedOn w:val="70"/>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宋体" w:eastAsia="仿宋" w:cs="Arial"/>
      <w:snapToGrid w:val="0"/>
      <w:kern w:val="2"/>
      <w:sz w:val="24"/>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next w:val="23"/>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_Style 468"/>
    <w:basedOn w:val="1"/>
    <w:next w:val="259"/>
    <w:qFormat/>
    <w:uiPriority w:val="99"/>
    <w:pPr>
      <w:adjustRightInd w:val="0"/>
      <w:spacing w:line="360" w:lineRule="auto"/>
      <w:ind w:firstLine="200" w:firstLineChars="200"/>
    </w:pPr>
    <w:rPr>
      <w:rFonts w:ascii="宋体" w:hAnsi="宋体" w:eastAsia="宋体" w:cs="Times New Roman"/>
      <w:kern w:val="0"/>
      <w:sz w:val="20"/>
    </w:rPr>
  </w:style>
  <w:style w:type="character" w:customStyle="1" w:styleId="964">
    <w:name w:val="ca-1"/>
    <w:qFormat/>
    <w:uiPriority w:val="0"/>
  </w:style>
  <w:style w:type="character" w:customStyle="1" w:styleId="965">
    <w:name w:val="无"/>
    <w:qFormat/>
    <w:uiPriority w:val="0"/>
  </w:style>
  <w:style w:type="paragraph" w:customStyle="1" w:styleId="96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15850</Words>
  <Characters>17152</Characters>
  <Lines>287</Lines>
  <Paragraphs>81</Paragraphs>
  <TotalTime>14</TotalTime>
  <ScaleCrop>false</ScaleCrop>
  <LinksUpToDate>false</LinksUpToDate>
  <CharactersWithSpaces>17594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cp:lastModifiedBy>
  <cp:lastPrinted>2024-12-03T06:55:00Z</cp:lastPrinted>
  <dcterms:modified xsi:type="dcterms:W3CDTF">2025-02-26T09:41:00Z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CBB313E8EA02465CA3066E206CA69DE7_13</vt:lpwstr>
  </property>
  <property fmtid="{D5CDD505-2E9C-101B-9397-08002B2CF9AE}" pid="5" name="KSOTemplateDocerSaveRecord">
    <vt:lpwstr>eyJoZGlkIjoiYzk1NzQ0M2RiN2Y4NWRiZDYxZDU3MWZiNWJjZThmMmIiLCJ1c2VySWQiOiI5MjU0MDg3MDMifQ==</vt:lpwstr>
  </property>
</Properties>
</file>