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CACDE">
      <w:pPr>
        <w:shd w:val="clear"/>
        <w:wordWrap/>
        <w:topLinePunct w:val="0"/>
        <w:bidi w:val="0"/>
        <w:spacing w:line="360" w:lineRule="auto"/>
        <w:jc w:val="center"/>
        <w:rPr>
          <w:rFonts w:hint="eastAsia" w:ascii="仿宋" w:hAnsi="仿宋" w:eastAsia="仿宋" w:cs="仿宋"/>
          <w:b/>
          <w:color w:val="auto"/>
          <w:sz w:val="24"/>
          <w:highlight w:val="none"/>
        </w:rPr>
      </w:pPr>
    </w:p>
    <w:p w14:paraId="7AA6EBDF">
      <w:pPr>
        <w:shd w:val="clear"/>
        <w:wordWrap/>
        <w:topLinePunct w:val="0"/>
        <w:bidi w:val="0"/>
        <w:adjustRightInd/>
        <w:spacing w:line="360" w:lineRule="auto"/>
        <w:jc w:val="center"/>
        <w:rPr>
          <w:rFonts w:hint="eastAsia" w:ascii="仿宋" w:hAnsi="仿宋" w:eastAsia="仿宋" w:cs="仿宋"/>
          <w:color w:val="auto"/>
          <w:sz w:val="48"/>
          <w:szCs w:val="48"/>
          <w:highlight w:val="none"/>
        </w:rPr>
      </w:pPr>
    </w:p>
    <w:p w14:paraId="13702114">
      <w:pPr>
        <w:pStyle w:val="27"/>
        <w:wordWrap/>
        <w:topLinePunct w:val="0"/>
        <w:bidi w:val="0"/>
        <w:spacing w:line="360" w:lineRule="auto"/>
        <w:jc w:val="center"/>
        <w:rPr>
          <w:rFonts w:hint="eastAsia" w:ascii="仿宋" w:hAnsi="仿宋" w:eastAsia="仿宋" w:cs="仿宋"/>
          <w:color w:val="auto"/>
          <w:kern w:val="2"/>
          <w:sz w:val="48"/>
          <w:szCs w:val="48"/>
          <w:highlight w:val="none"/>
          <w:lang w:val="en-US" w:eastAsia="zh-CN" w:bidi="ar-SA"/>
        </w:rPr>
      </w:pPr>
      <w:r>
        <w:rPr>
          <w:rFonts w:hint="eastAsia" w:ascii="仿宋" w:hAnsi="仿宋" w:eastAsia="仿宋" w:cs="仿宋"/>
          <w:color w:val="auto"/>
          <w:kern w:val="2"/>
          <w:sz w:val="48"/>
          <w:szCs w:val="48"/>
          <w:highlight w:val="none"/>
          <w:lang w:val="en-US" w:eastAsia="zh-CN" w:bidi="ar-SA"/>
        </w:rPr>
        <w:t>沙堤社区党群服务中心改造项目</w:t>
      </w:r>
    </w:p>
    <w:p w14:paraId="724F3006">
      <w:pPr>
        <w:pStyle w:val="27"/>
        <w:wordWrap/>
        <w:topLinePunct w:val="0"/>
        <w:bidi w:val="0"/>
        <w:spacing w:line="360" w:lineRule="auto"/>
        <w:jc w:val="center"/>
        <w:rPr>
          <w:rFonts w:hint="eastAsia" w:ascii="仿宋" w:hAnsi="仿宋" w:eastAsia="仿宋" w:cs="仿宋"/>
          <w:color w:val="auto"/>
          <w:kern w:val="2"/>
          <w:sz w:val="48"/>
          <w:szCs w:val="48"/>
          <w:highlight w:val="none"/>
          <w:lang w:val="en-US" w:eastAsia="zh-CN" w:bidi="ar-SA"/>
        </w:rPr>
      </w:pPr>
    </w:p>
    <w:p w14:paraId="6F952514">
      <w:pPr>
        <w:pStyle w:val="27"/>
        <w:wordWrap/>
        <w:topLinePunct w:val="0"/>
        <w:bidi w:val="0"/>
        <w:spacing w:line="360" w:lineRule="auto"/>
        <w:jc w:val="center"/>
        <w:rPr>
          <w:rFonts w:hint="eastAsia" w:ascii="仿宋" w:hAnsi="仿宋" w:eastAsia="仿宋" w:cs="仿宋"/>
          <w:color w:val="auto"/>
          <w:kern w:val="2"/>
          <w:sz w:val="48"/>
          <w:szCs w:val="48"/>
          <w:highlight w:val="none"/>
          <w:lang w:val="en-US" w:eastAsia="zh-CN" w:bidi="ar-SA"/>
        </w:rPr>
      </w:pPr>
    </w:p>
    <w:p w14:paraId="617B475E">
      <w:pPr>
        <w:shd w:val="clear"/>
        <w:wordWrap/>
        <w:topLinePunct w:val="0"/>
        <w:bidi w:val="0"/>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竞争性磋商文件</w:t>
      </w:r>
    </w:p>
    <w:p w14:paraId="66148222">
      <w:pPr>
        <w:wordWrap/>
        <w:topLinePunct w:val="0"/>
        <w:bidi w:val="0"/>
        <w:spacing w:line="360" w:lineRule="auto"/>
        <w:rPr>
          <w:rFonts w:hint="eastAsia" w:ascii="仿宋" w:hAnsi="仿宋" w:eastAsia="仿宋" w:cs="仿宋"/>
          <w:color w:val="auto"/>
        </w:rPr>
      </w:pPr>
    </w:p>
    <w:p w14:paraId="1BBA1FC4">
      <w:pPr>
        <w:shd w:val="clear"/>
        <w:wordWrap/>
        <w:topLinePunct w:val="0"/>
        <w:bidi w:val="0"/>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14:paraId="1A7D1772">
      <w:pPr>
        <w:shd w:val="clear"/>
        <w:wordWrap/>
        <w:topLinePunct w:val="0"/>
        <w:bidi w:val="0"/>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编号:QTCG-CS-2024-</w:t>
      </w:r>
      <w:r>
        <w:rPr>
          <w:rFonts w:hint="eastAsia" w:ascii="仿宋" w:hAnsi="仿宋" w:eastAsia="仿宋" w:cs="仿宋"/>
          <w:color w:val="auto"/>
          <w:sz w:val="30"/>
          <w:szCs w:val="30"/>
          <w:highlight w:val="none"/>
          <w:lang w:val="en-US" w:eastAsia="zh-CN"/>
        </w:rPr>
        <w:t>049</w:t>
      </w:r>
    </w:p>
    <w:p w14:paraId="636B7457">
      <w:pPr>
        <w:shd w:val="clear"/>
        <w:wordWrap/>
        <w:topLinePunct w:val="0"/>
        <w:bidi w:val="0"/>
        <w:adjustRightInd/>
        <w:spacing w:line="360" w:lineRule="auto"/>
        <w:rPr>
          <w:rFonts w:hint="eastAsia" w:ascii="仿宋" w:hAnsi="仿宋" w:eastAsia="仿宋" w:cs="仿宋"/>
          <w:color w:val="auto"/>
          <w:sz w:val="28"/>
          <w:szCs w:val="20"/>
          <w:highlight w:val="none"/>
        </w:rPr>
      </w:pPr>
    </w:p>
    <w:p w14:paraId="1F421693">
      <w:pPr>
        <w:shd w:val="clear"/>
        <w:wordWrap/>
        <w:topLinePunct w:val="0"/>
        <w:bidi w:val="0"/>
        <w:spacing w:line="360" w:lineRule="auto"/>
        <w:jc w:val="center"/>
        <w:rPr>
          <w:rFonts w:hint="eastAsia" w:ascii="仿宋" w:hAnsi="仿宋" w:eastAsia="仿宋" w:cs="仿宋"/>
          <w:b/>
          <w:color w:val="auto"/>
          <w:sz w:val="44"/>
          <w:szCs w:val="44"/>
          <w:highlight w:val="none"/>
        </w:rPr>
      </w:pPr>
    </w:p>
    <w:p w14:paraId="69C0D327">
      <w:pPr>
        <w:shd w:val="clear"/>
        <w:wordWrap/>
        <w:topLinePunct w:val="0"/>
        <w:bidi w:val="0"/>
        <w:spacing w:line="360" w:lineRule="auto"/>
        <w:jc w:val="center"/>
        <w:rPr>
          <w:rFonts w:hint="eastAsia" w:ascii="仿宋" w:hAnsi="仿宋" w:eastAsia="仿宋" w:cs="仿宋"/>
          <w:b/>
          <w:color w:val="auto"/>
          <w:sz w:val="44"/>
          <w:szCs w:val="44"/>
          <w:highlight w:val="none"/>
        </w:rPr>
      </w:pPr>
    </w:p>
    <w:p w14:paraId="7219E4F5">
      <w:pPr>
        <w:shd w:val="clear"/>
        <w:wordWrap/>
        <w:topLinePunct w:val="0"/>
        <w:bidi w:val="0"/>
        <w:spacing w:line="360" w:lineRule="auto"/>
        <w:jc w:val="center"/>
        <w:rPr>
          <w:rFonts w:hint="eastAsia" w:ascii="仿宋" w:hAnsi="仿宋" w:eastAsia="仿宋" w:cs="仿宋"/>
          <w:color w:val="auto"/>
          <w:sz w:val="24"/>
          <w:highlight w:val="none"/>
        </w:rPr>
      </w:pPr>
    </w:p>
    <w:p w14:paraId="6A3C1971">
      <w:pPr>
        <w:shd w:val="clear"/>
        <w:wordWrap/>
        <w:topLinePunct w:val="0"/>
        <w:bidi w:val="0"/>
        <w:spacing w:line="360" w:lineRule="auto"/>
        <w:jc w:val="center"/>
        <w:rPr>
          <w:rFonts w:hint="eastAsia" w:ascii="仿宋" w:hAnsi="仿宋" w:eastAsia="仿宋" w:cs="仿宋"/>
          <w:color w:val="auto"/>
          <w:sz w:val="24"/>
          <w:highlight w:val="none"/>
        </w:rPr>
      </w:pPr>
    </w:p>
    <w:p w14:paraId="71300D7E">
      <w:pPr>
        <w:shd w:val="clear"/>
        <w:wordWrap/>
        <w:topLinePunct w:val="0"/>
        <w:bidi w:val="0"/>
        <w:spacing w:line="360" w:lineRule="auto"/>
        <w:rPr>
          <w:rFonts w:hint="eastAsia" w:ascii="仿宋" w:hAnsi="仿宋" w:eastAsia="仿宋" w:cs="仿宋"/>
          <w:color w:val="auto"/>
          <w:sz w:val="32"/>
          <w:szCs w:val="32"/>
          <w:highlight w:val="none"/>
        </w:rPr>
      </w:pPr>
    </w:p>
    <w:p w14:paraId="6ABB5746">
      <w:pPr>
        <w:shd w:val="clear"/>
        <w:wordWrap/>
        <w:topLinePunct w:val="0"/>
        <w:bidi w:val="0"/>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杭州市钱塘区人民政府义蓬街道办事处</w:t>
      </w:r>
    </w:p>
    <w:p w14:paraId="2FE8FA0B">
      <w:pPr>
        <w:shd w:val="clear"/>
        <w:wordWrap/>
        <w:topLinePunct w:val="0"/>
        <w:bidi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浙江中合工程管理有限公司</w:t>
      </w:r>
    </w:p>
    <w:p w14:paraId="7BCAF81C">
      <w:pPr>
        <w:shd w:val="clear"/>
        <w:wordWrap/>
        <w:topLinePunct w:val="0"/>
        <w:bidi w:val="0"/>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九</w:t>
      </w:r>
      <w:r>
        <w:rPr>
          <w:rFonts w:hint="eastAsia" w:ascii="仿宋" w:hAnsi="仿宋" w:eastAsia="仿宋" w:cs="仿宋"/>
          <w:bCs/>
          <w:color w:val="auto"/>
          <w:sz w:val="32"/>
          <w:szCs w:val="32"/>
          <w:highlight w:val="none"/>
        </w:rPr>
        <w:t>月</w:t>
      </w:r>
    </w:p>
    <w:p w14:paraId="65F4D6A0">
      <w:pPr>
        <w:shd w:val="clear"/>
        <w:wordWrap/>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06495E25">
      <w:pPr>
        <w:shd w:val="clear"/>
        <w:wordWrap/>
        <w:topLinePunct w:val="0"/>
        <w:bidi w:val="0"/>
        <w:spacing w:line="360" w:lineRule="auto"/>
        <w:jc w:val="center"/>
        <w:rPr>
          <w:rFonts w:hint="eastAsia" w:ascii="仿宋" w:hAnsi="仿宋" w:eastAsia="仿宋" w:cs="仿宋"/>
          <w:color w:val="auto"/>
          <w:sz w:val="24"/>
          <w:highlight w:val="none"/>
        </w:rPr>
      </w:pPr>
    </w:p>
    <w:p w14:paraId="292E4AC2">
      <w:pPr>
        <w:shd w:val="clear"/>
        <w:wordWrap/>
        <w:topLinePunct w:val="0"/>
        <w:bidi w:val="0"/>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6FB7B34">
      <w:pPr>
        <w:shd w:val="clear"/>
        <w:wordWrap/>
        <w:topLinePunct w:val="0"/>
        <w:bidi w:val="0"/>
        <w:spacing w:line="360" w:lineRule="auto"/>
        <w:rPr>
          <w:rFonts w:hint="eastAsia" w:ascii="仿宋" w:hAnsi="仿宋" w:eastAsia="仿宋" w:cs="仿宋"/>
          <w:color w:val="auto"/>
          <w:sz w:val="32"/>
          <w:szCs w:val="32"/>
          <w:highlight w:val="none"/>
        </w:rPr>
      </w:pPr>
    </w:p>
    <w:p w14:paraId="5AC4BDF0">
      <w:pPr>
        <w:shd w:val="clear"/>
        <w:wordWrap/>
        <w:topLinePunct w:val="0"/>
        <w:bidi w:val="0"/>
        <w:spacing w:line="360" w:lineRule="auto"/>
        <w:rPr>
          <w:rFonts w:hint="eastAsia" w:ascii="仿宋" w:hAnsi="仿宋" w:eastAsia="仿宋" w:cs="仿宋"/>
          <w:color w:val="auto"/>
          <w:sz w:val="32"/>
          <w:szCs w:val="32"/>
          <w:highlight w:val="none"/>
        </w:rPr>
      </w:pPr>
    </w:p>
    <w:p w14:paraId="5CD07581">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竞争性磋商公告</w:t>
      </w:r>
    </w:p>
    <w:p w14:paraId="092AE034">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供应商须知</w:t>
      </w:r>
    </w:p>
    <w:p w14:paraId="6FA0264B">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6C945BF">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评审办法</w:t>
      </w:r>
    </w:p>
    <w:p w14:paraId="46DEC259">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6EBEA5A9">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6977640">
      <w:pPr>
        <w:shd w:val="clear"/>
        <w:wordWrap/>
        <w:topLinePunct w:val="0"/>
        <w:bidi w:val="0"/>
        <w:spacing w:line="360" w:lineRule="auto"/>
        <w:ind w:firstLine="1280" w:firstLineChars="400"/>
        <w:rPr>
          <w:rFonts w:hint="eastAsia" w:ascii="仿宋" w:hAnsi="仿宋" w:eastAsia="仿宋" w:cs="仿宋"/>
          <w:color w:val="auto"/>
          <w:sz w:val="32"/>
          <w:szCs w:val="32"/>
          <w:highlight w:val="none"/>
        </w:rPr>
      </w:pPr>
    </w:p>
    <w:p w14:paraId="517117D2">
      <w:pPr>
        <w:shd w:val="clear"/>
        <w:wordWrap/>
        <w:topLinePunct w:val="0"/>
        <w:bidi w:val="0"/>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6DD672BA">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14E0A536">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0B5419F7">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1957EC07">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3053182A">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3F21E7DD">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2070685C">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56340D22">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42BB3CFE">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05AAE7F3">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29732D6F">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3ADB73D5">
      <w:pPr>
        <w:shd w:val="clear"/>
        <w:wordWrap/>
        <w:topLinePunct w:val="0"/>
        <w:bidi w:val="0"/>
        <w:spacing w:line="360" w:lineRule="auto"/>
        <w:ind w:firstLine="549" w:firstLineChars="229"/>
        <w:rPr>
          <w:rFonts w:hint="eastAsia" w:ascii="仿宋" w:hAnsi="仿宋" w:eastAsia="仿宋" w:cs="仿宋"/>
          <w:color w:val="auto"/>
          <w:sz w:val="24"/>
          <w:highlight w:val="none"/>
        </w:rPr>
      </w:pPr>
    </w:p>
    <w:p w14:paraId="0949CE3E">
      <w:pPr>
        <w:shd w:val="clear"/>
        <w:wordWrap/>
        <w:topLinePunct w:val="0"/>
        <w:bidi w:val="0"/>
        <w:spacing w:line="360" w:lineRule="auto"/>
        <w:rPr>
          <w:rFonts w:hint="eastAsia" w:ascii="仿宋" w:hAnsi="仿宋" w:eastAsia="仿宋" w:cs="仿宋"/>
          <w:color w:val="auto"/>
          <w:sz w:val="24"/>
          <w:highlight w:val="none"/>
        </w:rPr>
      </w:pPr>
    </w:p>
    <w:p w14:paraId="15BD167B">
      <w:pPr>
        <w:shd w:val="clear"/>
        <w:wordWrap/>
        <w:topLinePunct w:val="0"/>
        <w:bidi w:val="0"/>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竞争性磋商公告</w:t>
      </w:r>
    </w:p>
    <w:p w14:paraId="36C1B095">
      <w:pPr>
        <w:pBdr>
          <w:top w:val="single" w:color="auto" w:sz="4" w:space="1"/>
          <w:left w:val="single" w:color="auto" w:sz="4" w:space="4"/>
          <w:bottom w:val="single" w:color="auto" w:sz="4" w:space="1"/>
          <w:right w:val="single" w:color="auto" w:sz="4" w:space="4"/>
        </w:pBd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AC6351A">
      <w:pPr>
        <w:pBdr>
          <w:top w:val="single" w:color="auto" w:sz="4" w:space="1"/>
          <w:left w:val="single" w:color="auto" w:sz="4" w:space="4"/>
          <w:bottom w:val="single" w:color="auto" w:sz="4" w:space="1"/>
          <w:right w:val="single" w:color="auto" w:sz="4" w:space="4"/>
        </w:pBdr>
        <w:shd w:val="clear"/>
        <w:wordWrap/>
        <w:topLinePunct w:val="0"/>
        <w:bidi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b w:val="0"/>
          <w:bCs w:val="0"/>
          <w:color w:val="auto"/>
          <w:sz w:val="24"/>
          <w:szCs w:val="24"/>
          <w:highlight w:val="none"/>
          <w:u w:val="single"/>
          <w:lang w:val="en-US" w:eastAsia="zh-CN"/>
        </w:rPr>
        <w:t>沙堤社区党群服务中心改造项目</w:t>
      </w:r>
      <w:r>
        <w:rPr>
          <w:rFonts w:hint="eastAsia" w:ascii="仿宋" w:hAnsi="仿宋" w:eastAsia="仿宋" w:cs="仿宋"/>
          <w:color w:val="auto"/>
          <w:sz w:val="24"/>
          <w:highlight w:val="none"/>
        </w:rPr>
        <w:t>采购项目的潜在供应商应在政采云平台（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20"/>
          <w:rFonts w:hint="eastAsia" w:ascii="仿宋" w:hAnsi="仿宋" w:eastAsia="仿宋" w:cs="仿宋"/>
          <w:snapToGrid/>
          <w:color w:val="auto"/>
          <w:kern w:val="2"/>
          <w:sz w:val="24"/>
          <w:szCs w:val="24"/>
          <w:highlight w:val="none"/>
        </w:rPr>
        <w:t>https://www.zcygov.cn/）获取（下载）采购文件，并于</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提交（上传）响应文件。</w:t>
      </w:r>
    </w:p>
    <w:p w14:paraId="3CD2DE3F">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50AF28D9">
      <w:pPr>
        <w:shd w:val="clear"/>
        <w:wordWrap/>
        <w:topLinePunct w:val="0"/>
        <w:bidi w:val="0"/>
        <w:snapToGrid w:val="0"/>
        <w:spacing w:line="360" w:lineRule="auto"/>
        <w:ind w:firstLine="482" w:firstLineChars="200"/>
        <w:jc w:val="both"/>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项目编号：QTCG-CS-2024-</w:t>
      </w:r>
      <w:r>
        <w:rPr>
          <w:rFonts w:hint="eastAsia" w:ascii="仿宋" w:hAnsi="仿宋" w:eastAsia="仿宋" w:cs="仿宋"/>
          <w:b/>
          <w:color w:val="auto"/>
          <w:sz w:val="24"/>
          <w:highlight w:val="none"/>
          <w:lang w:val="en-US" w:eastAsia="zh-CN"/>
        </w:rPr>
        <w:t>049</w:t>
      </w:r>
    </w:p>
    <w:p w14:paraId="1FC053B5">
      <w:pPr>
        <w:pStyle w:val="27"/>
        <w:wordWrap/>
        <w:topLinePunct w:val="0"/>
        <w:bidi w:val="0"/>
        <w:spacing w:line="360" w:lineRule="auto"/>
        <w:ind w:firstLine="482" w:firstLineChars="2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color w:val="auto"/>
          <w:sz w:val="24"/>
          <w:highlight w:val="none"/>
        </w:rPr>
        <w:t>项目名称：</w:t>
      </w:r>
      <w:r>
        <w:rPr>
          <w:rFonts w:hint="eastAsia" w:ascii="仿宋" w:hAnsi="仿宋" w:eastAsia="仿宋" w:cs="仿宋"/>
          <w:b w:val="0"/>
          <w:bCs w:val="0"/>
          <w:color w:val="auto"/>
          <w:sz w:val="24"/>
          <w:szCs w:val="24"/>
          <w:highlight w:val="none"/>
          <w:lang w:val="en-US" w:eastAsia="zh-CN"/>
        </w:rPr>
        <w:t>沙堤社区党群服务中心改造项目</w:t>
      </w:r>
    </w:p>
    <w:p w14:paraId="0B9FC309">
      <w:pPr>
        <w:shd w:val="clear"/>
        <w:wordWrap/>
        <w:topLinePunct w:val="0"/>
        <w:bidi w:val="0"/>
        <w:snapToGrid w:val="0"/>
        <w:spacing w:line="360" w:lineRule="auto"/>
        <w:ind w:firstLine="482" w:firstLineChars="200"/>
        <w:jc w:val="both"/>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u w:val="single"/>
        </w:rPr>
        <w:t>1926769</w:t>
      </w:r>
      <w:r>
        <w:rPr>
          <w:rFonts w:hint="eastAsia" w:ascii="仿宋" w:hAnsi="仿宋" w:eastAsia="仿宋" w:cs="仿宋"/>
          <w:b/>
          <w:color w:val="auto"/>
          <w:sz w:val="24"/>
          <w:highlight w:val="none"/>
          <w:lang w:val="en-US" w:eastAsia="zh-CN"/>
        </w:rPr>
        <w:t>元</w:t>
      </w:r>
    </w:p>
    <w:p w14:paraId="4FBEC260">
      <w:pPr>
        <w:shd w:val="clear"/>
        <w:wordWrap/>
        <w:topLinePunct w:val="0"/>
        <w:bidi w:val="0"/>
        <w:snapToGrid w:val="0"/>
        <w:spacing w:line="360" w:lineRule="auto"/>
        <w:ind w:firstLine="482" w:firstLineChars="200"/>
        <w:jc w:val="both"/>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u w:val="single"/>
        </w:rPr>
        <w:t>1734092</w:t>
      </w:r>
      <w:r>
        <w:rPr>
          <w:rFonts w:hint="eastAsia" w:ascii="仿宋" w:hAnsi="仿宋" w:eastAsia="仿宋" w:cs="仿宋"/>
          <w:b/>
          <w:color w:val="auto"/>
          <w:sz w:val="24"/>
          <w:highlight w:val="none"/>
          <w:lang w:val="en-US" w:eastAsia="zh-CN"/>
        </w:rPr>
        <w:t>元</w:t>
      </w:r>
    </w:p>
    <w:p w14:paraId="6DFF9510">
      <w:pPr>
        <w:pStyle w:val="27"/>
        <w:wordWrap/>
        <w:topLinePunct w:val="0"/>
        <w:bidi w:val="0"/>
        <w:spacing w:line="360" w:lineRule="auto"/>
        <w:ind w:firstLine="482" w:firstLineChars="200"/>
        <w:jc w:val="both"/>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val="0"/>
          <w:color w:val="auto"/>
          <w:sz w:val="24"/>
          <w:szCs w:val="24"/>
          <w:highlight w:val="none"/>
          <w:lang w:val="en-US" w:eastAsia="zh-CN"/>
        </w:rPr>
        <w:t>沙堤社区党群服务中心改造项目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val="0"/>
          <w:color w:val="auto"/>
          <w:sz w:val="24"/>
          <w:szCs w:val="24"/>
          <w:highlight w:val="none"/>
          <w:lang w:val="en-US" w:eastAsia="zh-CN"/>
        </w:rPr>
        <w:t>沙堤社区党群服务中心改造项目</w:t>
      </w:r>
      <w:r>
        <w:rPr>
          <w:rFonts w:hint="eastAsia" w:ascii="仿宋" w:hAnsi="仿宋" w:eastAsia="仿宋" w:cs="仿宋"/>
          <w:bCs/>
          <w:snapToGrid/>
          <w:color w:val="auto"/>
          <w:kern w:val="2"/>
          <w:sz w:val="24"/>
          <w:szCs w:val="24"/>
          <w:highlight w:val="none"/>
        </w:rPr>
        <w:t>的竞争性磋商文件、工程量清单及施工图范围内的所有内容。详见采购文件第三部分采购需求。</w:t>
      </w:r>
    </w:p>
    <w:p w14:paraId="47CF5E32">
      <w:pPr>
        <w:pStyle w:val="21"/>
        <w:shd w:val="clear"/>
        <w:wordWrap/>
        <w:topLinePunct w:val="0"/>
        <w:bidi w:val="0"/>
        <w:snapToGrid w:val="0"/>
        <w:spacing w:before="0" w:line="360" w:lineRule="auto"/>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u w:val="single"/>
          <w:lang w:val="en-US" w:eastAsia="zh-CN"/>
        </w:rPr>
        <w:t>60</w:t>
      </w:r>
      <w:r>
        <w:rPr>
          <w:rFonts w:hint="eastAsia" w:ascii="仿宋" w:hAnsi="仿宋" w:eastAsia="仿宋" w:cs="仿宋"/>
          <w:bCs/>
          <w:snapToGrid/>
          <w:color w:val="auto"/>
          <w:kern w:val="2"/>
          <w:sz w:val="24"/>
          <w:szCs w:val="24"/>
          <w:highlight w:val="none"/>
          <w:lang w:val="en-US" w:eastAsia="zh-CN" w:bidi="ar-SA"/>
        </w:rPr>
        <w:t>日历天</w:t>
      </w:r>
    </w:p>
    <w:p w14:paraId="38B6D54E">
      <w:pPr>
        <w:pStyle w:val="5"/>
        <w:shd w:val="clear"/>
        <w:wordWrap/>
        <w:topLinePunct w:val="0"/>
        <w:bidi w:val="0"/>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w:t>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r>
            <w:rPr>
              <w:rFonts w:hint="eastAsia" w:ascii="仿宋" w:hAnsi="仿宋" w:eastAsia="仿宋" w:cs="仿宋"/>
              <w:b/>
              <w:bCs/>
              <w:color w:val="auto"/>
              <w:sz w:val="24"/>
              <w:highlight w:val="none"/>
            </w:rPr>
            <w:t>是</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否</w:t>
          </w:r>
          <w:r>
            <w:rPr>
              <w:rFonts w:hint="eastAsia" w:ascii="仿宋" w:hAnsi="仿宋" w:eastAsia="仿宋" w:cs="仿宋"/>
              <w:color w:val="auto"/>
              <w:kern w:val="0"/>
              <w:sz w:val="24"/>
              <w:highlight w:val="none"/>
            </w:rPr>
            <w:t>。</w:t>
          </w:r>
        </w:sdtContent>
      </w:sdt>
    </w:p>
    <w:p w14:paraId="5B330AA6">
      <w:pPr>
        <w:pStyle w:val="21"/>
        <w:shd w:val="clear"/>
        <w:wordWrap/>
        <w:topLinePunct w:val="0"/>
        <w:bidi w:val="0"/>
        <w:snapToGrid w:val="0"/>
        <w:spacing w:before="0" w:line="360" w:lineRule="auto"/>
        <w:ind w:firstLine="482"/>
        <w:outlineLvl w:val="2"/>
        <w:rPr>
          <w:rFonts w:hint="eastAsia" w:ascii="仿宋" w:hAnsi="仿宋" w:eastAsia="仿宋" w:cs="仿宋"/>
          <w:b/>
          <w:color w:val="auto"/>
          <w:highlight w:val="none"/>
        </w:rPr>
      </w:pPr>
      <w:r>
        <w:rPr>
          <w:rFonts w:hint="eastAsia" w:ascii="仿宋" w:hAnsi="仿宋" w:eastAsia="仿宋" w:cs="仿宋"/>
          <w:b/>
          <w:color w:val="auto"/>
          <w:highlight w:val="none"/>
        </w:rPr>
        <w:t>注：不得限制大中型企业与小微企业组成联合体参与。</w:t>
      </w:r>
    </w:p>
    <w:p w14:paraId="18D62008">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11" w:name="_Hlk101132948"/>
      <w:r>
        <w:rPr>
          <w:rFonts w:hint="eastAsia" w:ascii="仿宋" w:hAnsi="仿宋" w:eastAsia="仿宋" w:cs="仿宋"/>
          <w:b/>
          <w:color w:val="auto"/>
          <w:sz w:val="24"/>
          <w:highlight w:val="none"/>
        </w:rPr>
        <w:t>申请人的资格要求</w:t>
      </w:r>
      <w:bookmarkEnd w:id="11"/>
      <w:r>
        <w:rPr>
          <w:rFonts w:hint="eastAsia" w:ascii="仿宋" w:hAnsi="仿宋" w:eastAsia="仿宋" w:cs="仿宋"/>
          <w:b/>
          <w:color w:val="auto"/>
          <w:sz w:val="24"/>
          <w:highlight w:val="none"/>
        </w:rPr>
        <w:t>：</w:t>
      </w:r>
    </w:p>
    <w:p w14:paraId="65EE93AB">
      <w:pPr>
        <w:shd w:val="clear"/>
        <w:wordWrap/>
        <w:topLinePunct w:val="0"/>
        <w:bidi w:val="0"/>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A55147B">
      <w:pPr>
        <w:shd w:val="clear"/>
        <w:wordWrap/>
        <w:topLinePunct w:val="0"/>
        <w:bidi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2.以联合体形式参与的，提供联合协议(本项目不接受联合体或者供应商不以联合体形式参与的，则不需要提供) ；</w:t>
      </w:r>
    </w:p>
    <w:p w14:paraId="373596D7">
      <w:pPr>
        <w:shd w:val="clear"/>
        <w:wordWrap/>
        <w:topLinePunct w:val="0"/>
        <w:bidi w:val="0"/>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C5FBFBF">
      <w:pPr>
        <w:shd w:val="clear"/>
        <w:wordWrap/>
        <w:topLinePunct w:val="0"/>
        <w:bidi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02470430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sz w:val="24"/>
          <w:highlight w:val="none"/>
        </w:rPr>
        <w:t>无；</w:t>
      </w:r>
    </w:p>
    <w:p w14:paraId="103910F4">
      <w:pPr>
        <w:shd w:val="clear"/>
        <w:wordWrap/>
        <w:topLinePunct w:val="0"/>
        <w:bidi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218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4950E7BE">
      <w:pPr>
        <w:shd w:val="clear"/>
        <w:wordWrap/>
        <w:topLinePunct w:val="0"/>
        <w:bidi w:val="0"/>
        <w:spacing w:line="360" w:lineRule="auto"/>
        <w:ind w:firstLine="897" w:firstLineChars="374"/>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9247305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sz w:val="24"/>
          <w:highlight w:val="none"/>
        </w:rPr>
        <w:t>工程全部由符合政策要求的中小企业承建，提供中小企业声明函；</w:t>
      </w:r>
    </w:p>
    <w:p w14:paraId="6D03F70D">
      <w:pPr>
        <w:shd w:val="clear"/>
        <w:wordWrap/>
        <w:topLinePunct w:val="0"/>
        <w:bidi w:val="0"/>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152604937"/>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8300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sz w:val="24"/>
          <w:highlight w:val="none"/>
        </w:rPr>
        <w:t>工程全部由符合政策要求的小微企业承建，提供中小企业声明函；</w:t>
      </w:r>
    </w:p>
    <w:p w14:paraId="4FDDA408">
      <w:pPr>
        <w:shd w:val="clear"/>
        <w:wordWrap/>
        <w:topLinePunct w:val="0"/>
        <w:bidi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8560779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bookmarkStart w:id="12" w:name="_Hlk101132524"/>
        </w:sdtContent>
      </w:sdt>
      <w:r>
        <w:rPr>
          <w:rFonts w:hint="eastAsia" w:ascii="仿宋" w:hAnsi="仿宋" w:eastAsia="仿宋" w:cs="仿宋"/>
          <w:color w:val="auto"/>
          <w:sz w:val="24"/>
          <w:highlight w:val="none"/>
        </w:rPr>
        <w:t>要求以联合体形式参加，提供联合协议和中小企业声明函，联合协议中中小企业合同金额应当达到%，小微企业合同金额应当达到%;</w:t>
      </w:r>
      <w:r>
        <w:rPr>
          <w:rFonts w:hint="eastAsia" w:ascii="仿宋" w:hAnsi="仿宋" w:eastAsia="仿宋" w:cs="仿宋"/>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仿宋" w:hAnsi="仿宋" w:eastAsia="仿宋" w:cs="仿宋"/>
          <w:color w:val="auto"/>
          <w:sz w:val="24"/>
          <w:highlight w:val="none"/>
        </w:rPr>
        <w:t>；</w:t>
      </w:r>
    </w:p>
    <w:bookmarkEnd w:id="12"/>
    <w:p w14:paraId="3A301DEA">
      <w:pPr>
        <w:shd w:val="clear"/>
        <w:wordWrap/>
        <w:topLinePunct w:val="0"/>
        <w:bidi w:val="0"/>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要求合同分包，提供分包意向协议和中小企业声明函，分包意向协议中中小企业合同金额应当达到达到% ，小微企业合同金额应当达到% ;</w:t>
      </w:r>
      <w:r>
        <w:rPr>
          <w:rFonts w:hint="eastAsia" w:ascii="仿宋" w:hAnsi="仿宋" w:eastAsia="仿宋" w:cs="仿宋"/>
          <w:color w:val="auto"/>
          <w:spacing w:val="8"/>
          <w:kern w:val="0"/>
          <w:sz w:val="24"/>
          <w:highlight w:val="none"/>
        </w:rPr>
        <w:t>如果供应商本身提供所有标的均由中小企业承建，视同符合了资格条件，无需再向中小企业分包，无需提供分包意向协议</w:t>
      </w:r>
      <w:r>
        <w:rPr>
          <w:rFonts w:hint="eastAsia" w:ascii="仿宋" w:hAnsi="仿宋" w:eastAsia="仿宋" w:cs="仿宋"/>
          <w:color w:val="auto"/>
          <w:sz w:val="24"/>
          <w:highlight w:val="none"/>
        </w:rPr>
        <w:t>；</w:t>
      </w:r>
    </w:p>
    <w:p w14:paraId="3F2F15DA">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b w:val="0"/>
          <w:bCs w:val="0"/>
          <w:color w:val="auto"/>
          <w:spacing w:val="8"/>
          <w:kern w:val="0"/>
          <w:sz w:val="24"/>
          <w:highlight w:val="none"/>
        </w:rPr>
        <w:t>（1）</w:t>
      </w:r>
      <w:r>
        <w:rPr>
          <w:rFonts w:hint="eastAsia" w:ascii="仿宋" w:hAnsi="仿宋" w:eastAsia="仿宋" w:cs="仿宋"/>
          <w:b w:val="0"/>
          <w:bCs w:val="0"/>
          <w:color w:val="auto"/>
          <w:spacing w:val="8"/>
          <w:kern w:val="0"/>
          <w:sz w:val="24"/>
          <w:highlight w:val="none"/>
          <w:lang w:eastAsia="zh-CN"/>
        </w:rPr>
        <w:t>具备专业承包-建筑装修装饰工程-二级及以上资质</w:t>
      </w:r>
      <w:r>
        <w:rPr>
          <w:rFonts w:hint="eastAsia" w:ascii="仿宋" w:hAnsi="仿宋" w:eastAsia="仿宋" w:cs="仿宋"/>
          <w:b w:val="0"/>
          <w:bCs w:val="0"/>
          <w:color w:val="auto"/>
          <w:spacing w:val="8"/>
          <w:kern w:val="0"/>
          <w:sz w:val="24"/>
          <w:highlight w:val="none"/>
        </w:rPr>
        <w:t>，并具有安全生产许可证的独立法人；（2）项目负责人为建筑工程专业贰级及以上注册建造师，同时具有“三类人员”B类证书。</w:t>
      </w:r>
      <w:r>
        <w:rPr>
          <w:rFonts w:hint="eastAsia" w:ascii="仿宋" w:hAnsi="仿宋" w:eastAsia="仿宋" w:cs="仿宋"/>
          <w:color w:val="auto"/>
          <w:spacing w:val="8"/>
          <w:kern w:val="0"/>
          <w:sz w:val="24"/>
          <w:highlight w:val="none"/>
        </w:rPr>
        <w:t>（3）项目安全负责人具有“三类人员”证书</w:t>
      </w:r>
      <w:r>
        <w:rPr>
          <w:rFonts w:hint="eastAsia" w:ascii="仿宋" w:hAnsi="仿宋" w:eastAsia="仿宋" w:cs="仿宋"/>
          <w:color w:val="auto"/>
          <w:spacing w:val="8"/>
          <w:kern w:val="0"/>
          <w:sz w:val="24"/>
          <w:highlight w:val="none"/>
          <w:lang w:eastAsia="zh-CN"/>
        </w:rPr>
        <w:t>（该人员不得拟派本项目的其他管理人员重复）。</w:t>
      </w:r>
      <w:r>
        <w:rPr>
          <w:rFonts w:hint="eastAsia" w:ascii="仿宋" w:hAnsi="仿宋" w:eastAsia="仿宋" w:cs="仿宋"/>
          <w:color w:val="auto"/>
          <w:spacing w:val="8"/>
          <w:kern w:val="0"/>
          <w:sz w:val="24"/>
          <w:highlight w:val="none"/>
        </w:rPr>
        <w:t>（4）、具有有效的企业《营业执照》、企业《资质证书》、企业《安全生产许可证》。</w:t>
      </w:r>
      <w:r>
        <w:rPr>
          <w:rFonts w:hint="eastAsia" w:ascii="仿宋" w:hAnsi="仿宋" w:eastAsia="仿宋" w:cs="仿宋"/>
          <w:color w:val="auto"/>
          <w:spacing w:val="8"/>
          <w:kern w:val="0"/>
          <w:sz w:val="24"/>
          <w:highlight w:val="none"/>
          <w:lang w:eastAsia="zh-CN"/>
        </w:rPr>
        <w:t>（</w:t>
      </w:r>
      <w:r>
        <w:rPr>
          <w:rFonts w:hint="eastAsia" w:ascii="仿宋" w:hAnsi="仿宋" w:eastAsia="仿宋" w:cs="仿宋"/>
          <w:color w:val="auto"/>
          <w:spacing w:val="8"/>
          <w:kern w:val="0"/>
          <w:sz w:val="24"/>
          <w:highlight w:val="none"/>
          <w:lang w:val="en-US" w:eastAsia="zh-CN"/>
        </w:rPr>
        <w:t>5</w:t>
      </w:r>
      <w:r>
        <w:rPr>
          <w:rFonts w:hint="eastAsia" w:ascii="仿宋" w:hAnsi="仿宋" w:eastAsia="仿宋" w:cs="仿宋"/>
          <w:color w:val="auto"/>
          <w:spacing w:val="8"/>
          <w:kern w:val="0"/>
          <w:sz w:val="24"/>
          <w:highlight w:val="none"/>
          <w:lang w:eastAsia="zh-CN"/>
        </w:rPr>
        <w:t>）</w:t>
      </w:r>
      <w:r>
        <w:rPr>
          <w:rFonts w:hint="eastAsia" w:ascii="仿宋" w:hAnsi="仿宋" w:eastAsia="仿宋" w:cs="仿宋"/>
          <w:color w:val="auto"/>
          <w:spacing w:val="8"/>
          <w:kern w:val="0"/>
          <w:sz w:val="24"/>
          <w:highlight w:val="none"/>
        </w:rPr>
        <w:t>在</w:t>
      </w:r>
      <w:r>
        <w:rPr>
          <w:rFonts w:hint="eastAsia" w:ascii="仿宋" w:hAnsi="仿宋" w:eastAsia="仿宋" w:cs="仿宋"/>
          <w:color w:val="auto"/>
          <w:spacing w:val="8"/>
          <w:kern w:val="0"/>
          <w:sz w:val="24"/>
          <w:highlight w:val="none"/>
        </w:rPr>
        <w:t>投标截止日存在在其他任何在建合同工程上担任项目负责人的，不得以拟派项目负责人的身份参加本次投标。在建合同工程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p>
    <w:p w14:paraId="6848DA46">
      <w:pPr>
        <w:shd w:val="clear"/>
        <w:wordWrap/>
        <w:topLinePunct w:val="0"/>
        <w:bidi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DBFB564">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三、获取采购文件 </w:t>
      </w:r>
    </w:p>
    <w:p w14:paraId="1A04E2EA">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2192F083">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C47964A">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9708668">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828444A">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四、响应文件提交（上传）</w:t>
      </w:r>
    </w:p>
    <w:p w14:paraId="606F73A6">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截止时间：</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点30分</w:t>
      </w:r>
      <w:r>
        <w:rPr>
          <w:rFonts w:hint="eastAsia" w:ascii="仿宋" w:hAnsi="仿宋" w:eastAsia="仿宋" w:cs="仿宋"/>
          <w:color w:val="auto"/>
          <w:sz w:val="24"/>
          <w:highlight w:val="none"/>
        </w:rPr>
        <w:t>（北京时间）</w:t>
      </w:r>
    </w:p>
    <w:p w14:paraId="0037A605">
      <w:pPr>
        <w:shd w:val="clear"/>
        <w:wordWrap/>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43C88DC7">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五、响应文件开启 </w:t>
      </w:r>
    </w:p>
    <w:p w14:paraId="17A21159">
      <w:pPr>
        <w:shd w:val="clear"/>
        <w:wordWrap/>
        <w:topLinePunct w:val="0"/>
        <w:bidi w:val="0"/>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开启时间：</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20</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点30分</w:t>
      </w:r>
    </w:p>
    <w:p w14:paraId="62F7C66D">
      <w:pPr>
        <w:shd w:val="clear"/>
        <w:wordWrap/>
        <w:topLinePunct w:val="0"/>
        <w:bidi w:val="0"/>
        <w:spacing w:line="360" w:lineRule="auto"/>
        <w:ind w:firstLine="482" w:firstLineChars="20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val="en-US" w:eastAsia="zh-CN"/>
        </w:rPr>
        <w:t>/</w:t>
      </w:r>
    </w:p>
    <w:p w14:paraId="23577888">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14:paraId="116C03B8">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自本公告发布之日起3个工作日。</w:t>
      </w:r>
    </w:p>
    <w:p w14:paraId="43A07DEB">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6A84A2DF">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448346F">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783A6B6">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8443AE">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1A5AAA03">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（3）钱塘区政府采购支持中小企业信用融资</w:t>
      </w:r>
    </w:p>
    <w:p w14:paraId="71E4333B">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A.为支持和促进中小企业发展，进一步发挥政府采购政策功能，杭州市钱塘区财政 局发布了《关于钱塘新区政府采购支持中小企业信用融资有关事项的通知》，供应商若 有融资意向，详见《关于钱塘区政府采购支持中小企业信用融资相关事项通知》，或登 录杭州钱塘新区管理委员会官网（http://qt.hangzhou.gov.cn） “公告公示”专栏， 查看信用融资政策文件及各相关银行服务方案。 B.供应商中标后也可在“政采云”平台申请政采贷：操作路径：登录政采云平台 - 金融服务中心 -【融资服务】，可在热门申请中选择产品直接申请，也可点击云智贷匹 配适合产品进行申请，或者在可申请项目中根据该项目进行申请。 </w:t>
      </w:r>
    </w:p>
    <w:p w14:paraId="4DF9790F">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CC83A2">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14:paraId="1F761A20">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17A85F7C">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杭州市钱塘区人民政府义蓬街道办事处</w:t>
      </w:r>
    </w:p>
    <w:p w14:paraId="3833EED9">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杭州市钱塘区义府大街668号</w:t>
      </w:r>
    </w:p>
    <w:p w14:paraId="5D0A68F4">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630EA3C0">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项目联系人（询问）：金先生</w:t>
      </w:r>
    </w:p>
    <w:p w14:paraId="5F4EE91B">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项目联系方式（询问）：0571-87086608</w:t>
      </w:r>
    </w:p>
    <w:p w14:paraId="21D95ACF">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质疑联系人：杨女士</w:t>
      </w:r>
    </w:p>
    <w:p w14:paraId="03BA72D4">
      <w:pPr>
        <w:pageBreakBefore w:val="0"/>
        <w:shd w:val="clear"/>
        <w:kinsoku/>
        <w:wordWrap/>
        <w:overflowPunct/>
        <w:topLinePunct w:val="0"/>
        <w:autoSpaceDE/>
        <w:autoSpaceDN/>
        <w:bidi w:val="0"/>
        <w:spacing w:beforeAutospacing="0" w:afterAutospacing="0" w:line="360" w:lineRule="auto"/>
        <w:ind w:left="0" w:leftChars="0" w:right="0" w:righ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质疑联系方式：0571-86701955</w:t>
      </w:r>
    </w:p>
    <w:p w14:paraId="390356BD">
      <w:pP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6114EEFB">
      <w:pP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称：浙江中合工程管理有限公司</w:t>
      </w:r>
    </w:p>
    <w:p w14:paraId="63EB5FA7">
      <w:pP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址：萧山区盈丰街道浙江民营企业发展大厦B座</w:t>
      </w:r>
    </w:p>
    <w:p w14:paraId="5A60365D">
      <w:pP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4CCAE399">
      <w:pPr>
        <w:shd w:val="clear"/>
        <w:wordWrap/>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项目联系人（询问）：诸女士     　　　　　　　　　　</w:t>
      </w:r>
    </w:p>
    <w:p w14:paraId="1F7C26C9">
      <w:pPr>
        <w:shd w:val="clear"/>
        <w:wordWrap/>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项目联系方式（询问）：15381712570</w:t>
      </w:r>
    </w:p>
    <w:p w14:paraId="06EEC420">
      <w:pPr>
        <w:shd w:val="clear"/>
        <w:wordWrap/>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质疑联系人：沈女士</w:t>
      </w:r>
    </w:p>
    <w:p w14:paraId="78D24A67">
      <w:pPr>
        <w:shd w:val="clear"/>
        <w:wordWrap/>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质疑联系方式：13575709399</w:t>
      </w:r>
    </w:p>
    <w:p w14:paraId="64301B6A">
      <w:pPr>
        <w:shd w:val="clear"/>
        <w:wordWrap/>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3.同级政府采购监督管理部门            </w:t>
      </w:r>
    </w:p>
    <w:p w14:paraId="3F9E1916">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称：杭州市钱塘区财政局、浙江省政府采购行政裁决服务中心(杭州) </w:t>
      </w:r>
    </w:p>
    <w:p w14:paraId="641EDE54">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址：杭州市上城区四季青街道新业路市民之家GO3办公室 (快递仅限ems或顺丰)</w:t>
      </w:r>
    </w:p>
    <w:p w14:paraId="0FAC6FA6">
      <w:pPr>
        <w:shd w:val="clear"/>
        <w:wordWrap/>
        <w:topLinePunct w:val="0"/>
        <w:bidi w:val="0"/>
        <w:spacing w:line="360" w:lineRule="auto"/>
        <w:ind w:left="719" w:leftChars="228" w:hanging="240" w:hanging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789183F3">
      <w:pPr>
        <w:shd w:val="clear"/>
        <w:wordWrap/>
        <w:topLinePunct w:val="0"/>
        <w:bidi w:val="0"/>
        <w:spacing w:line="360" w:lineRule="auto"/>
        <w:ind w:left="719" w:leftChars="228"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 ：朱女士、王女士 </w:t>
      </w:r>
    </w:p>
    <w:p w14:paraId="0C28EF41">
      <w:pPr>
        <w:shd w:val="clear"/>
        <w:wordWrap/>
        <w:topLinePunct w:val="0"/>
        <w:bidi w:val="0"/>
        <w:spacing w:line="360" w:lineRule="auto"/>
        <w:ind w:left="719" w:leftChars="228" w:hanging="240" w:hanging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14:paraId="2412C1D0">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404A0155">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03C501D">
      <w:pPr>
        <w:pStyle w:val="11"/>
        <w:shd w:val="clear"/>
        <w:wordWrap/>
        <w:topLinePunct w:val="0"/>
        <w:bidi w:val="0"/>
        <w:spacing w:line="360" w:lineRule="auto"/>
        <w:jc w:val="center"/>
        <w:rPr>
          <w:rFonts w:hint="eastAsia" w:ascii="仿宋" w:hAnsi="仿宋" w:eastAsia="仿宋" w:cs="仿宋"/>
          <w:b/>
          <w:snapToGrid/>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p w14:paraId="29E67B65">
      <w:pPr>
        <w:pStyle w:val="11"/>
        <w:shd w:val="clear"/>
        <w:wordWrap/>
        <w:topLinePunct w:val="0"/>
        <w:bidi w:val="0"/>
        <w:spacing w:line="360" w:lineRule="auto"/>
        <w:jc w:val="center"/>
        <w:rPr>
          <w:rFonts w:hint="eastAsia" w:ascii="仿宋" w:hAnsi="仿宋" w:eastAsia="仿宋" w:cs="仿宋"/>
          <w:b/>
          <w:snapToGrid/>
          <w:color w:val="auto"/>
          <w:sz w:val="36"/>
          <w:szCs w:val="20"/>
          <w:highlight w:val="none"/>
        </w:rPr>
      </w:pPr>
      <w:r>
        <w:rPr>
          <w:rFonts w:hint="eastAsia" w:ascii="仿宋" w:hAnsi="仿宋" w:eastAsia="仿宋" w:cs="仿宋"/>
          <w:b/>
          <w:snapToGrid/>
          <w:color w:val="auto"/>
          <w:sz w:val="36"/>
          <w:szCs w:val="20"/>
          <w:highlight w:val="none"/>
        </w:rPr>
        <w:t>第二部分</w:t>
      </w:r>
      <w:bookmarkEnd w:id="8"/>
      <w:r>
        <w:rPr>
          <w:rFonts w:hint="eastAsia" w:ascii="仿宋" w:hAnsi="仿宋" w:eastAsia="仿宋" w:cs="仿宋"/>
          <w:b/>
          <w:snapToGrid/>
          <w:color w:val="auto"/>
          <w:sz w:val="36"/>
          <w:szCs w:val="20"/>
          <w:highlight w:val="none"/>
        </w:rPr>
        <w:t xml:space="preserve"> 供应商须知</w:t>
      </w:r>
      <w:bookmarkEnd w:id="9"/>
    </w:p>
    <w:p w14:paraId="3C7A4DF6">
      <w:pPr>
        <w:shd w:val="clear"/>
        <w:wordWrap/>
        <w:topLinePunct w:val="0"/>
        <w:bidi w:val="0"/>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16"/>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9"/>
        <w:gridCol w:w="2107"/>
        <w:gridCol w:w="6974"/>
      </w:tblGrid>
      <w:tr w14:paraId="01B6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tcPr>
          <w:p w14:paraId="1BEA3335">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107" w:type="dxa"/>
            <w:vAlign w:val="center"/>
          </w:tcPr>
          <w:p w14:paraId="0983C165">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974" w:type="dxa"/>
            <w:vAlign w:val="center"/>
          </w:tcPr>
          <w:p w14:paraId="2659DE60">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0E85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771327D8">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107" w:type="dxa"/>
            <w:vAlign w:val="center"/>
          </w:tcPr>
          <w:p w14:paraId="7E311503">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974" w:type="dxa"/>
            <w:vAlign w:val="center"/>
          </w:tcPr>
          <w:p w14:paraId="158B9DD6">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工程</w:t>
            </w:r>
            <w:r>
              <w:rPr>
                <w:rFonts w:hint="eastAsia" w:ascii="仿宋" w:hAnsi="仿宋" w:eastAsia="仿宋" w:cs="仿宋"/>
                <w:color w:val="auto"/>
                <w:sz w:val="24"/>
                <w:highlight w:val="none"/>
              </w:rPr>
              <w:t>类</w:t>
            </w:r>
          </w:p>
        </w:tc>
      </w:tr>
      <w:tr w14:paraId="38A2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6" w:hRule="atLeast"/>
        </w:trPr>
        <w:tc>
          <w:tcPr>
            <w:tcW w:w="719" w:type="dxa"/>
            <w:vAlign w:val="center"/>
          </w:tcPr>
          <w:p w14:paraId="56A2D072">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107" w:type="dxa"/>
            <w:vAlign w:val="center"/>
          </w:tcPr>
          <w:p w14:paraId="6CCB94E4">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974" w:type="dxa"/>
            <w:vAlign w:val="center"/>
          </w:tcPr>
          <w:p w14:paraId="63D425DB">
            <w:pPr>
              <w:pStyle w:val="27"/>
              <w:wordWrap/>
              <w:topLinePunct w:val="0"/>
              <w:bidi w:val="0"/>
              <w:spacing w:line="360" w:lineRule="auto"/>
              <w:jc w:val="both"/>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shd w:val="clear"/>
              </w:rPr>
              <w:t>（1）标的：</w:t>
            </w:r>
            <w:r>
              <w:rPr>
                <w:rFonts w:hint="eastAsia" w:ascii="仿宋" w:hAnsi="仿宋" w:eastAsia="仿宋" w:cs="仿宋"/>
                <w:color w:val="auto"/>
                <w:kern w:val="0"/>
                <w:sz w:val="24"/>
                <w:highlight w:val="none"/>
                <w:u w:val="single"/>
                <w:shd w:val="clear"/>
                <w:lang w:val="en-US" w:eastAsia="zh-CN"/>
              </w:rPr>
              <w:t>沙堤社区党群服务中心改造项目</w:t>
            </w:r>
            <w:r>
              <w:rPr>
                <w:rFonts w:hint="eastAsia" w:ascii="仿宋" w:hAnsi="仿宋" w:eastAsia="仿宋" w:cs="仿宋"/>
                <w:color w:val="auto"/>
                <w:kern w:val="0"/>
                <w:sz w:val="24"/>
                <w:highlight w:val="none"/>
                <w:shd w:val="clear"/>
              </w:rPr>
              <w:t>，属于</w:t>
            </w:r>
            <w:r>
              <w:rPr>
                <w:rFonts w:hint="eastAsia" w:ascii="仿宋" w:hAnsi="仿宋" w:eastAsia="仿宋" w:cs="仿宋"/>
                <w:color w:val="auto"/>
                <w:kern w:val="0"/>
                <w:sz w:val="24"/>
                <w:highlight w:val="none"/>
                <w:u w:val="single"/>
                <w:shd w:val="clear"/>
              </w:rPr>
              <w:t>建筑业</w:t>
            </w:r>
            <w:r>
              <w:rPr>
                <w:rFonts w:hint="eastAsia" w:ascii="仿宋" w:hAnsi="仿宋" w:eastAsia="仿宋" w:cs="仿宋"/>
                <w:color w:val="auto"/>
                <w:kern w:val="0"/>
                <w:sz w:val="24"/>
                <w:highlight w:val="none"/>
                <w:shd w:val="clear"/>
              </w:rPr>
              <w:t>行业</w:t>
            </w:r>
            <w:r>
              <w:rPr>
                <w:rFonts w:hint="eastAsia" w:ascii="仿宋" w:hAnsi="仿宋" w:eastAsia="仿宋" w:cs="仿宋"/>
                <w:color w:val="auto"/>
                <w:kern w:val="0"/>
                <w:sz w:val="24"/>
                <w:highlight w:val="none"/>
              </w:rPr>
              <w:t>；</w:t>
            </w:r>
          </w:p>
        </w:tc>
      </w:tr>
      <w:tr w14:paraId="1AA5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41C2C917">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107" w:type="dxa"/>
            <w:vAlign w:val="center"/>
          </w:tcPr>
          <w:p w14:paraId="3BAA7B0C">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974" w:type="dxa"/>
            <w:vAlign w:val="center"/>
          </w:tcPr>
          <w:p w14:paraId="70313A55">
            <w:pPr>
              <w:pageBreakBefore w:val="0"/>
              <w:widowControl w:val="0"/>
              <w:kinsoku/>
              <w:wordWrap/>
              <w:overflowPunct/>
              <w:topLinePunct w:val="0"/>
              <w:autoSpaceDE/>
              <w:autoSpaceDN/>
              <w:bidi w:val="0"/>
              <w:spacing w:line="360" w:lineRule="auto"/>
              <w:ind w:left="0"/>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本项目不允许采购进口产品。</w:t>
            </w:r>
          </w:p>
          <w:p w14:paraId="437896A9">
            <w:pPr>
              <w:shd w:val="clear"/>
              <w:wordWrap/>
              <w:topLinePunct w:val="0"/>
              <w:bidi w:val="0"/>
              <w:snapToGrid w:val="0"/>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69257748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kern w:val="0"/>
                <w:sz w:val="24"/>
                <w:highlight w:val="none"/>
              </w:rPr>
              <w:t>采购进口产品。</w:t>
            </w:r>
          </w:p>
        </w:tc>
      </w:tr>
      <w:tr w14:paraId="4A2D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68" w:hRule="atLeast"/>
        </w:trPr>
        <w:tc>
          <w:tcPr>
            <w:tcW w:w="719" w:type="dxa"/>
            <w:vAlign w:val="center"/>
          </w:tcPr>
          <w:p w14:paraId="77E01C76">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107" w:type="dxa"/>
            <w:vAlign w:val="center"/>
          </w:tcPr>
          <w:p w14:paraId="402470F5">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974" w:type="dxa"/>
            <w:vAlign w:val="center"/>
          </w:tcPr>
          <w:p w14:paraId="345285D5">
            <w:pPr>
              <w:pageBreakBefore w:val="0"/>
              <w:widowControl w:val="0"/>
              <w:kinsoku/>
              <w:wordWrap/>
              <w:overflowPunct/>
              <w:topLinePunct w:val="0"/>
              <w:autoSpaceDE/>
              <w:autoSpaceDN/>
              <w:bidi w:val="0"/>
              <w:snapToGrid w:val="0"/>
              <w:spacing w:line="360" w:lineRule="auto"/>
              <w:ind w:left="0"/>
              <w:textAlignment w:val="auto"/>
              <w:rPr>
                <w:rFonts w:hint="eastAsia" w:ascii="仿宋" w:hAnsi="仿宋" w:eastAsia="仿宋" w:cs="仿宋"/>
                <w:b/>
                <w:bCs/>
                <w:color w:val="auto"/>
                <w:sz w:val="24"/>
                <w:szCs w:val="24"/>
                <w:highlight w:val="none"/>
              </w:rPr>
            </w:pPr>
            <w:sdt>
              <w:sdtPr>
                <w:rPr>
                  <w:rFonts w:hint="eastAsia" w:ascii="仿宋" w:hAnsi="仿宋" w:eastAsia="仿宋" w:cs="仿宋"/>
                  <w:color w:val="auto"/>
                  <w:kern w:val="0"/>
                  <w:sz w:val="24"/>
                  <w:highlight w:val="none"/>
                </w:rPr>
                <w:id w:val="14747468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697814F7">
            <w:pPr>
              <w:pageBreakBefore w:val="0"/>
              <w:widowControl w:val="0"/>
              <w:kinsoku/>
              <w:wordWrap/>
              <w:overflowPunct/>
              <w:topLinePunct w:val="0"/>
              <w:autoSpaceDE/>
              <w:autoSpaceDN/>
              <w:bidi w:val="0"/>
              <w:spacing w:line="360" w:lineRule="auto"/>
              <w:ind w:left="0"/>
              <w:textAlignment w:val="auto"/>
              <w:rPr>
                <w:rFonts w:hint="eastAsia"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474631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B</w:t>
            </w:r>
            <w:r>
              <w:rPr>
                <w:rFonts w:hint="eastAsia" w:ascii="仿宋" w:hAnsi="仿宋" w:eastAsia="仿宋" w:cs="仿宋"/>
                <w:b/>
                <w:bCs/>
                <w:color w:val="auto"/>
                <w:sz w:val="24"/>
                <w:highlight w:val="none"/>
                <w:lang w:val="en-US" w:eastAsia="zh-CN"/>
              </w:rPr>
              <w:t>同意大型企业向小微企业、中型企业向小微企业、小微企业向小微企业合理分包。</w:t>
            </w:r>
          </w:p>
          <w:p w14:paraId="3397D7E2">
            <w:pPr>
              <w:pageBreakBefore w:val="0"/>
              <w:widowControl w:val="0"/>
              <w:kinsoku/>
              <w:wordWrap/>
              <w:overflowPunct/>
              <w:topLinePunct w:val="0"/>
              <w:autoSpaceDE/>
              <w:autoSpaceDN/>
              <w:bidi w:val="0"/>
              <w:spacing w:line="360" w:lineRule="auto"/>
              <w:ind w:left="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7509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lang w:val="en-US" w:eastAsia="zh-CN"/>
              </w:rPr>
              <w:t>C</w:t>
            </w:r>
            <w:r>
              <w:rPr>
                <w:rFonts w:hint="eastAsia" w:ascii="仿宋" w:hAnsi="仿宋" w:eastAsia="仿宋" w:cs="仿宋"/>
                <w:color w:val="auto"/>
                <w:sz w:val="24"/>
                <w:highlight w:val="none"/>
              </w:rPr>
              <w:t>不同意分包。</w:t>
            </w:r>
          </w:p>
          <w:p w14:paraId="08B38951">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14:paraId="7CBBA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1EAA37AB">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107" w:type="dxa"/>
            <w:vAlign w:val="center"/>
          </w:tcPr>
          <w:p w14:paraId="3D668730">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磋商前答疑会或现场考察</w:t>
            </w:r>
          </w:p>
        </w:tc>
        <w:tc>
          <w:tcPr>
            <w:tcW w:w="6974" w:type="dxa"/>
            <w:vAlign w:val="center"/>
          </w:tcPr>
          <w:p w14:paraId="34021AD4">
            <w:pPr>
              <w:pageBreakBefore w:val="0"/>
              <w:widowControl w:val="0"/>
              <w:kinsoku/>
              <w:wordWrap/>
              <w:overflowPunct/>
              <w:topLinePunct w:val="0"/>
              <w:autoSpaceDE/>
              <w:autoSpaceDN/>
              <w:bidi w:val="0"/>
              <w:spacing w:line="360" w:lineRule="auto"/>
              <w:ind w:left="0"/>
              <w:textAlignment w:val="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61270"/>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00632F0D">
            <w:pPr>
              <w:shd w:val="clear"/>
              <w:wordWrap/>
              <w:topLinePunct w:val="0"/>
              <w:bidi w:val="0"/>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14:paraId="7EE2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47303F17">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107" w:type="dxa"/>
            <w:vAlign w:val="center"/>
          </w:tcPr>
          <w:p w14:paraId="206EEDFA">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974" w:type="dxa"/>
            <w:vAlign w:val="center"/>
          </w:tcPr>
          <w:p w14:paraId="5FA14967">
            <w:pPr>
              <w:shd w:val="clear"/>
              <w:wordWrap/>
              <w:topLinePunct w:val="0"/>
              <w:bidi w:val="0"/>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147459872"/>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tc>
      </w:tr>
      <w:tr w14:paraId="1E63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7F3D8236">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107" w:type="dxa"/>
            <w:vAlign w:val="center"/>
          </w:tcPr>
          <w:p w14:paraId="1059A436">
            <w:pPr>
              <w:shd w:val="clear"/>
              <w:wordWrap/>
              <w:topLinePunct w:val="0"/>
              <w:bidi w:val="0"/>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974" w:type="dxa"/>
            <w:vAlign w:val="center"/>
          </w:tcPr>
          <w:p w14:paraId="66697374">
            <w:pPr>
              <w:shd w:val="clear"/>
              <w:wordWrap/>
              <w:topLinePunct w:val="0"/>
              <w:bidi w:val="0"/>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421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6AFD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restart"/>
            <w:vAlign w:val="center"/>
          </w:tcPr>
          <w:p w14:paraId="7C558366">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107" w:type="dxa"/>
            <w:vMerge w:val="restart"/>
            <w:vAlign w:val="center"/>
          </w:tcPr>
          <w:p w14:paraId="56EA05D5">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供应商应当提供的资格、资信证明文件</w:t>
            </w:r>
          </w:p>
        </w:tc>
        <w:tc>
          <w:tcPr>
            <w:tcW w:w="6974" w:type="dxa"/>
            <w:vAlign w:val="center"/>
          </w:tcPr>
          <w:p w14:paraId="2AD01A99">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（1）资格证明文件：见采购文件第二部分11.1。</w:t>
            </w:r>
          </w:p>
          <w:p w14:paraId="6B27AAC6">
            <w:pPr>
              <w:shd w:val="clear"/>
              <w:wordWrap/>
              <w:topLinePunct w:val="0"/>
              <w:bidi w:val="0"/>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供应商未提供有效的资格证明文件的，视为供应商不具备采购文件中规定的资格要求，响应文件无效。</w:t>
            </w:r>
          </w:p>
        </w:tc>
      </w:tr>
      <w:tr w14:paraId="1AEBC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continue"/>
            <w:vAlign w:val="center"/>
          </w:tcPr>
          <w:p w14:paraId="171FD93A">
            <w:pPr>
              <w:shd w:val="clear"/>
              <w:wordWrap/>
              <w:topLinePunct w:val="0"/>
              <w:bidi w:val="0"/>
              <w:snapToGrid w:val="0"/>
              <w:spacing w:line="360" w:lineRule="auto"/>
              <w:jc w:val="center"/>
              <w:rPr>
                <w:rFonts w:hint="eastAsia" w:ascii="仿宋" w:hAnsi="仿宋" w:eastAsia="仿宋" w:cs="仿宋"/>
                <w:color w:val="auto"/>
                <w:sz w:val="24"/>
                <w:highlight w:val="none"/>
              </w:rPr>
            </w:pPr>
          </w:p>
        </w:tc>
        <w:tc>
          <w:tcPr>
            <w:tcW w:w="2107" w:type="dxa"/>
            <w:vMerge w:val="continue"/>
            <w:vAlign w:val="center"/>
          </w:tcPr>
          <w:p w14:paraId="74287BC6">
            <w:pPr>
              <w:shd w:val="clear"/>
              <w:wordWrap/>
              <w:topLinePunct w:val="0"/>
              <w:bidi w:val="0"/>
              <w:snapToGrid w:val="0"/>
              <w:spacing w:line="360" w:lineRule="auto"/>
              <w:jc w:val="center"/>
              <w:rPr>
                <w:rFonts w:hint="eastAsia" w:ascii="仿宋" w:hAnsi="仿宋" w:eastAsia="仿宋" w:cs="仿宋"/>
                <w:b/>
                <w:color w:val="auto"/>
                <w:sz w:val="24"/>
                <w:highlight w:val="none"/>
              </w:rPr>
            </w:pPr>
          </w:p>
        </w:tc>
        <w:tc>
          <w:tcPr>
            <w:tcW w:w="6974" w:type="dxa"/>
            <w:vAlign w:val="center"/>
          </w:tcPr>
          <w:p w14:paraId="7486A5C0">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（2）资信证明文件：根据采购文件第四部分评审标准提供。</w:t>
            </w:r>
          </w:p>
        </w:tc>
      </w:tr>
      <w:tr w14:paraId="1A2A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40F38FD8">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2107" w:type="dxa"/>
            <w:vAlign w:val="center"/>
          </w:tcPr>
          <w:p w14:paraId="1A305758">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974" w:type="dxa"/>
            <w:vAlign w:val="center"/>
          </w:tcPr>
          <w:p w14:paraId="44D507BE">
            <w:pPr>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A20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66E5B437">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2107" w:type="dxa"/>
            <w:vAlign w:val="center"/>
          </w:tcPr>
          <w:p w14:paraId="211F86B2">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974" w:type="dxa"/>
            <w:vAlign w:val="center"/>
          </w:tcPr>
          <w:p w14:paraId="62C9847D">
            <w:pPr>
              <w:shd w:val="clear"/>
              <w:wordWrap/>
              <w:topLinePunct w:val="0"/>
              <w:bidi w:val="0"/>
              <w:snapToGrid w:val="0"/>
              <w:spacing w:line="360" w:lineRule="auto"/>
              <w:ind w:firstLine="0" w:firstLineChars="0"/>
              <w:jc w:val="both"/>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报价单是报价的唯一载体</w:t>
            </w:r>
            <w:r>
              <w:rPr>
                <w:rFonts w:hint="eastAsia" w:ascii="仿宋" w:hAnsi="仿宋" w:eastAsia="仿宋" w:cs="仿宋"/>
                <w:color w:val="auto"/>
                <w:kern w:val="0"/>
                <w:sz w:val="24"/>
                <w:highlight w:val="none"/>
                <w:lang w:val="zh-CN"/>
              </w:rPr>
              <w:t>。响应文件中价格全部采用人民币报价。采购文件未列明，而供应商认为必需的费用也需列入报价。</w:t>
            </w:r>
          </w:p>
          <w:p w14:paraId="6BB3A334">
            <w:pPr>
              <w:shd w:val="clear"/>
              <w:wordWrap/>
              <w:topLinePunct w:val="0"/>
              <w:bidi w:val="0"/>
              <w:snapToGrid w:val="0"/>
              <w:spacing w:line="360" w:lineRule="auto"/>
              <w:ind w:firstLine="0" w:firstLineChars="0"/>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提醒：验收时检测费用由采购人承担，不包含在总价中。</w:t>
            </w:r>
          </w:p>
          <w:p w14:paraId="474AD45C">
            <w:pPr>
              <w:shd w:val="clear"/>
              <w:wordWrap/>
              <w:topLinePunct w:val="0"/>
              <w:bidi w:val="0"/>
              <w:snapToGrid w:val="0"/>
              <w:spacing w:line="360" w:lineRule="auto"/>
              <w:ind w:firstLine="0" w:firstLineChars="0"/>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最后报价出现下列情形的，响应文件无效：</w:t>
            </w:r>
          </w:p>
          <w:p w14:paraId="559D1786">
            <w:pPr>
              <w:shd w:val="clear"/>
              <w:wordWrap/>
              <w:topLinePunct w:val="0"/>
              <w:bidi w:val="0"/>
              <w:snapToGrid w:val="0"/>
              <w:spacing w:line="360" w:lineRule="auto"/>
              <w:ind w:firstLine="0" w:firstLineChars="0"/>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响应文件出现不是唯一的、有选择性最后报价的；</w:t>
            </w:r>
          </w:p>
          <w:p w14:paraId="2314A932">
            <w:pPr>
              <w:shd w:val="clear"/>
              <w:wordWrap/>
              <w:topLinePunct w:val="0"/>
              <w:bidi w:val="0"/>
              <w:snapToGrid w:val="0"/>
              <w:spacing w:line="360" w:lineRule="auto"/>
              <w:ind w:firstLine="0" w:firstLineChars="0"/>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最后报价超过采购文件中规定的预算金额或者最高限价的;</w:t>
            </w:r>
          </w:p>
          <w:p w14:paraId="5D71116D">
            <w:pPr>
              <w:shd w:val="clear"/>
              <w:wordWrap/>
              <w:topLinePunct w:val="0"/>
              <w:bidi w:val="0"/>
              <w:snapToGrid w:val="0"/>
              <w:spacing w:line="360" w:lineRule="auto"/>
              <w:ind w:firstLine="0" w:firstLineChars="0"/>
              <w:jc w:val="both"/>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en-US" w:eastAsia="zh-CN"/>
              </w:rPr>
              <w:t>最后</w:t>
            </w:r>
            <w:r>
              <w:rPr>
                <w:rFonts w:hint="eastAsia" w:ascii="仿宋" w:hAnsi="仿宋" w:eastAsia="仿宋" w:cs="仿宋"/>
                <w:b/>
                <w:color w:val="auto"/>
                <w:kern w:val="0"/>
                <w:sz w:val="24"/>
                <w:highlight w:val="none"/>
                <w:lang w:val="zh-CN"/>
              </w:rPr>
              <w:t>报价明显低于其他通过符合性审查供应商的报价，有可能影响产品质量或者不能诚信履约的，未能按要求提供书面说明或者提交相关证明材料证明其报价合理性的;</w:t>
            </w:r>
          </w:p>
          <w:p w14:paraId="00DBCD15">
            <w:pPr>
              <w:shd w:val="clear"/>
              <w:wordWrap/>
              <w:topLinePunct w:val="0"/>
              <w:bidi w:val="0"/>
              <w:snapToGrid w:val="0"/>
              <w:spacing w:line="360" w:lineRule="auto"/>
              <w:ind w:firstLine="0" w:firstLineChars="0"/>
              <w:jc w:val="both"/>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供应商对根据修正原则修正后的报价不确认的。</w:t>
            </w:r>
          </w:p>
        </w:tc>
      </w:tr>
      <w:tr w14:paraId="3D9BA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restart"/>
            <w:vAlign w:val="center"/>
          </w:tcPr>
          <w:p w14:paraId="05165398">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2107" w:type="dxa"/>
            <w:vMerge w:val="restart"/>
            <w:vAlign w:val="center"/>
          </w:tcPr>
          <w:p w14:paraId="6B62B97A">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974" w:type="dxa"/>
            <w:vAlign w:val="center"/>
          </w:tcPr>
          <w:p w14:paraId="6DBF9D17">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1A1F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Merge w:val="continue"/>
            <w:vAlign w:val="center"/>
          </w:tcPr>
          <w:p w14:paraId="7B65EA92">
            <w:pPr>
              <w:shd w:val="clear"/>
              <w:wordWrap/>
              <w:topLinePunct w:val="0"/>
              <w:bidi w:val="0"/>
              <w:spacing w:line="360" w:lineRule="auto"/>
              <w:ind w:firstLine="420" w:firstLineChars="200"/>
              <w:jc w:val="center"/>
              <w:rPr>
                <w:rFonts w:hint="eastAsia" w:ascii="仿宋" w:hAnsi="仿宋" w:eastAsia="仿宋" w:cs="仿宋"/>
                <w:color w:val="auto"/>
                <w:highlight w:val="none"/>
              </w:rPr>
            </w:pPr>
          </w:p>
        </w:tc>
        <w:tc>
          <w:tcPr>
            <w:tcW w:w="2107" w:type="dxa"/>
            <w:vMerge w:val="continue"/>
            <w:vAlign w:val="center"/>
          </w:tcPr>
          <w:p w14:paraId="0C3431AF">
            <w:pPr>
              <w:shd w:val="clear"/>
              <w:wordWrap/>
              <w:topLinePunct w:val="0"/>
              <w:bidi w:val="0"/>
              <w:snapToGrid w:val="0"/>
              <w:spacing w:line="360" w:lineRule="auto"/>
              <w:jc w:val="center"/>
              <w:rPr>
                <w:rFonts w:hint="eastAsia" w:ascii="仿宋" w:hAnsi="仿宋" w:eastAsia="仿宋" w:cs="仿宋"/>
                <w:color w:val="auto"/>
                <w:highlight w:val="none"/>
              </w:rPr>
            </w:pPr>
          </w:p>
        </w:tc>
        <w:tc>
          <w:tcPr>
            <w:tcW w:w="6974" w:type="dxa"/>
            <w:vAlign w:val="center"/>
          </w:tcPr>
          <w:p w14:paraId="5F9F629B">
            <w:pPr>
              <w:shd w:val="clear"/>
              <w:wordWrap/>
              <w:topLinePunct w:val="0"/>
              <w:bidi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E2E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7B778D88">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2107" w:type="dxa"/>
            <w:vAlign w:val="center"/>
          </w:tcPr>
          <w:p w14:paraId="0BCD02A7">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备份响应文件送达地点和签收人员</w:t>
            </w:r>
          </w:p>
        </w:tc>
        <w:tc>
          <w:tcPr>
            <w:tcW w:w="6974" w:type="dxa"/>
            <w:vAlign w:val="center"/>
          </w:tcPr>
          <w:p w14:paraId="4984EC26">
            <w:pPr>
              <w:pStyle w:val="11"/>
              <w:shd w:val="clear"/>
              <w:wordWrap/>
              <w:topLinePunct w:val="0"/>
              <w:bidi w:val="0"/>
              <w:spacing w:line="360" w:lineRule="auto"/>
              <w:rPr>
                <w:rFonts w:hint="eastAsia" w:ascii="仿宋" w:hAnsi="仿宋" w:eastAsia="仿宋" w:cs="仿宋"/>
                <w:snapToGrid w:val="0"/>
                <w:color w:val="auto"/>
                <w:kern w:val="28"/>
                <w:sz w:val="24"/>
                <w:szCs w:val="24"/>
                <w:highlight w:val="none"/>
                <w:u w:val="single"/>
                <w:lang w:val="en-US" w:eastAsia="zh-CN" w:bidi="ar-SA"/>
              </w:rPr>
            </w:pPr>
            <w:r>
              <w:rPr>
                <w:rFonts w:hint="eastAsia" w:ascii="仿宋" w:hAnsi="仿宋" w:eastAsia="仿宋" w:cs="仿宋"/>
                <w:color w:val="auto"/>
                <w:kern w:val="28"/>
                <w:sz w:val="24"/>
                <w:szCs w:val="24"/>
                <w:highlight w:val="none"/>
              </w:rPr>
              <w:t>备份响应文件送达地点：</w:t>
            </w:r>
            <w:r>
              <w:rPr>
                <w:rFonts w:hint="eastAsia" w:ascii="仿宋" w:hAnsi="仿宋" w:eastAsia="仿宋" w:cs="仿宋"/>
                <w:snapToGrid w:val="0"/>
                <w:color w:val="auto"/>
                <w:kern w:val="28"/>
                <w:sz w:val="24"/>
                <w:szCs w:val="24"/>
                <w:highlight w:val="none"/>
                <w:u w:val="single"/>
                <w:lang w:val="en-US" w:eastAsia="zh-CN" w:bidi="ar-SA"/>
              </w:rPr>
              <w:t>不收取。</w:t>
            </w:r>
          </w:p>
          <w:p w14:paraId="538D3191">
            <w:pPr>
              <w:pStyle w:val="11"/>
              <w:shd w:val="clear"/>
              <w:wordWrap/>
              <w:topLinePunct w:val="0"/>
              <w:bidi w:val="0"/>
              <w:spacing w:line="360" w:lineRule="auto"/>
              <w:rPr>
                <w:rFonts w:hint="eastAsia" w:ascii="仿宋" w:hAnsi="仿宋" w:eastAsia="仿宋" w:cs="仿宋"/>
                <w:color w:val="auto"/>
                <w:kern w:val="28"/>
                <w:sz w:val="24"/>
                <w:highlight w:val="none"/>
              </w:rPr>
            </w:pPr>
            <w:r>
              <w:rPr>
                <w:rFonts w:hint="eastAsia" w:ascii="仿宋" w:hAnsi="仿宋" w:eastAsia="仿宋" w:cs="仿宋"/>
                <w:b/>
                <w:snapToGrid/>
                <w:color w:val="auto"/>
                <w:kern w:val="2"/>
                <w:sz w:val="24"/>
                <w:szCs w:val="24"/>
                <w:highlight w:val="none"/>
                <w:lang w:val="en-US" w:eastAsia="zh-CN" w:bidi="ar-SA"/>
              </w:rPr>
              <w:t>采购人、采购机构不强制或变相强制投标人提交备份投标文件。</w:t>
            </w:r>
          </w:p>
        </w:tc>
      </w:tr>
      <w:tr w14:paraId="5CF4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8" w:hRule="atLeast"/>
        </w:trPr>
        <w:tc>
          <w:tcPr>
            <w:tcW w:w="719" w:type="dxa"/>
            <w:vAlign w:val="center"/>
          </w:tcPr>
          <w:p w14:paraId="08EE650F">
            <w:pPr>
              <w:shd w:val="clear"/>
              <w:wordWrap/>
              <w:topLinePunct w:val="0"/>
              <w:bidi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p>
        </w:tc>
        <w:tc>
          <w:tcPr>
            <w:tcW w:w="2107" w:type="dxa"/>
            <w:vAlign w:val="center"/>
          </w:tcPr>
          <w:p w14:paraId="027DD32A">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代理服务费</w:t>
            </w:r>
          </w:p>
        </w:tc>
        <w:tc>
          <w:tcPr>
            <w:tcW w:w="6974" w:type="dxa"/>
            <w:vAlign w:val="center"/>
          </w:tcPr>
          <w:p w14:paraId="604BB552">
            <w:pP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shd w:val="clear"/>
              </w:rPr>
              <w:t>本项目采购代理服务费10597</w:t>
            </w:r>
            <w:r>
              <w:rPr>
                <w:rFonts w:hint="eastAsia" w:ascii="仿宋" w:hAnsi="仿宋" w:eastAsia="仿宋" w:cs="仿宋"/>
                <w:color w:val="auto"/>
                <w:sz w:val="24"/>
                <w:highlight w:val="none"/>
                <w:shd w:val="clear"/>
              </w:rPr>
              <w:t>元，</w:t>
            </w:r>
            <w:r>
              <w:rPr>
                <w:rFonts w:hint="eastAsia" w:ascii="仿宋" w:hAnsi="仿宋" w:eastAsia="仿宋" w:cs="仿宋"/>
                <w:snapToGrid w:val="0"/>
                <w:color w:val="auto"/>
                <w:kern w:val="28"/>
                <w:sz w:val="24"/>
                <w:highlight w:val="none"/>
                <w:shd w:val="clear"/>
              </w:rPr>
              <w:t>由中标人支付。中标人应在接到中标通知书后两个工作日内向采购代理机构支付采购代理服务费。</w:t>
            </w:r>
            <w:r>
              <w:rPr>
                <w:rFonts w:hint="eastAsia" w:ascii="仿宋" w:hAnsi="仿宋" w:eastAsia="仿宋" w:cs="仿宋"/>
                <w:color w:val="auto"/>
                <w:sz w:val="24"/>
                <w:highlight w:val="none"/>
              </w:rPr>
              <w:t>采购代理服务费须包含在投标报价中，并以人民币方式支付。</w:t>
            </w:r>
            <w:r>
              <w:rPr>
                <w:rFonts w:hint="eastAsia" w:ascii="仿宋" w:hAnsi="仿宋" w:eastAsia="仿宋" w:cs="仿宋"/>
                <w:snapToGrid w:val="0"/>
                <w:color w:val="auto"/>
                <w:kern w:val="28"/>
                <w:sz w:val="24"/>
                <w:highlight w:val="none"/>
                <w:lang w:val="en-US" w:eastAsia="zh-CN"/>
              </w:rPr>
              <w:t xml:space="preserve">                                                                                                                                                                                                                                                                                                                                                                                                                                                                                                                                                                                                                                                              </w:t>
            </w:r>
          </w:p>
        </w:tc>
      </w:tr>
      <w:tr w14:paraId="2646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9" w:type="dxa"/>
            <w:vAlign w:val="center"/>
          </w:tcPr>
          <w:p w14:paraId="139AB79F">
            <w:pPr>
              <w:shd w:val="clear"/>
              <w:wordWrap/>
              <w:topLinePunct w:val="0"/>
              <w:bidi w:val="0"/>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2107" w:type="dxa"/>
            <w:vAlign w:val="center"/>
          </w:tcPr>
          <w:p w14:paraId="13D7D11D">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其它说明</w:t>
            </w:r>
          </w:p>
        </w:tc>
        <w:tc>
          <w:tcPr>
            <w:tcW w:w="6974" w:type="dxa"/>
            <w:vAlign w:val="center"/>
          </w:tcPr>
          <w:p w14:paraId="18DC80FD">
            <w:pPr>
              <w:shd w:val="clear"/>
              <w:wordWrap/>
              <w:topLinePunct w:val="0"/>
              <w:bidi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p>
        </w:tc>
      </w:tr>
    </w:tbl>
    <w:p w14:paraId="10B04367">
      <w:pP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b/>
          <w:color w:val="auto"/>
          <w:sz w:val="32"/>
          <w:szCs w:val="20"/>
          <w:highlight w:val="none"/>
        </w:rPr>
        <w:br w:type="page"/>
      </w:r>
    </w:p>
    <w:bookmarkEnd w:id="10"/>
    <w:p w14:paraId="45EA3DE8">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t>一、总则</w:t>
      </w:r>
    </w:p>
    <w:p w14:paraId="5133F2AD">
      <w:pPr>
        <w:shd w:val="clear"/>
        <w:wordWrap/>
        <w:topLinePunct w:val="0"/>
        <w:bidi w:val="0"/>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099BB588">
      <w:pPr>
        <w:shd w:val="clear"/>
        <w:wordWrap/>
        <w:topLinePunct w:val="0"/>
        <w:bidi w:val="0"/>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276BF0DC">
      <w:pPr>
        <w:shd w:val="clear"/>
        <w:wordWrap/>
        <w:topLinePunct w:val="0"/>
        <w:bidi w:val="0"/>
        <w:snapToGrid w:val="0"/>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1017367">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“采购人”系指竞争性磋商公告中载明的本项目的采购人。</w:t>
      </w:r>
    </w:p>
    <w:p w14:paraId="0F170629">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“采购机构”系指竞争性磋商公告中载明的本项目的采购机构。</w:t>
      </w:r>
    </w:p>
    <w:p w14:paraId="3D656225">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“供应商”系指是指提交响应文件和报价、参与竞争性磋商采购活动的法人、其他组织或者自然人。</w:t>
      </w:r>
    </w:p>
    <w:p w14:paraId="0FC2BD56">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E351210">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527ECDE">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37C9A799">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775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sdt>
            <w:sdtPr>
              <w:rPr>
                <w:rFonts w:hint="eastAsia" w:ascii="仿宋" w:hAnsi="仿宋" w:eastAsia="仿宋" w:cs="仿宋"/>
                <w:color w:val="auto"/>
                <w:kern w:val="0"/>
                <w:sz w:val="24"/>
                <w:highlight w:val="none"/>
              </w:rPr>
              <w:id w:val="147473262"/>
              <w:showingPlcHdr/>
            </w:sdtPr>
            <w:sdtEndPr>
              <w:rPr>
                <w:rFonts w:hint="eastAsia" w:ascii="仿宋" w:hAnsi="仿宋" w:eastAsia="仿宋" w:cs="仿宋"/>
                <w:color w:val="auto"/>
                <w:kern w:val="0"/>
                <w:sz w:val="24"/>
                <w:highlight w:val="none"/>
              </w:rPr>
            </w:sdtEndPr>
            <w:sdtContent/>
          </w:sdt>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系指不适用本项目的要求，“※”系指磋商过程中可能实质性变动的内容。</w:t>
      </w:r>
    </w:p>
    <w:p w14:paraId="45F05861">
      <w:pPr>
        <w:shd w:val="clear"/>
        <w:wordWrap/>
        <w:topLinePunct w:val="0"/>
        <w:bidi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063CD9FA">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697038CD">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5445C3E">
      <w:pPr>
        <w:shd w:val="clear"/>
        <w:wordWrap/>
        <w:topLinePunct w:val="0"/>
        <w:bidi w:val="0"/>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0C29F761">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修缮、装修类项目采购建材的，采购人应将绿色建筑和绿色建材性能、指标等作为实质性条件纳入采购文件和合同。</w:t>
      </w:r>
    </w:p>
    <w:p w14:paraId="0372A347">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C3CC41F">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4385E59">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2347BE">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2802B6A">
      <w:pPr>
        <w:widowControl/>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在政府采购活动中，供应商提供的工程符合下列情形的，享受中小企业扶持政策：</w:t>
      </w:r>
      <w:r>
        <w:rPr>
          <w:rFonts w:hint="eastAsia" w:ascii="仿宋" w:hAnsi="仿宋" w:eastAsia="仿宋" w:cs="仿宋"/>
          <w:color w:val="auto"/>
          <w:sz w:val="24"/>
          <w:highlight w:val="none"/>
        </w:rPr>
        <w:t>在工程采购项目中，工程由中小企业承建，即工程施工单位为中小企业</w:t>
      </w:r>
      <w:r>
        <w:rPr>
          <w:rFonts w:hint="eastAsia" w:ascii="仿宋" w:hAnsi="仿宋" w:eastAsia="仿宋" w:cs="仿宋"/>
          <w:color w:val="auto"/>
          <w:kern w:val="0"/>
          <w:sz w:val="24"/>
          <w:highlight w:val="none"/>
        </w:rPr>
        <w:t>。</w:t>
      </w:r>
    </w:p>
    <w:p w14:paraId="54924CCC">
      <w:pPr>
        <w:widowControl/>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1AE17E81">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5"/>
      <w:r>
        <w:rPr>
          <w:rFonts w:hint="eastAsia" w:ascii="仿宋" w:hAnsi="仿宋" w:eastAsia="仿宋" w:cs="仿宋"/>
          <w:color w:val="auto"/>
          <w:sz w:val="24"/>
          <w:highlight w:val="none"/>
        </w:rPr>
        <w:t>，对联合体或者大中型企业的报价给予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0619D41A">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7FF0847D">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904AD2">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588F3C28">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00AC257C">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09649AF5">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20AFAC6B">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1F82B857">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11AC3661">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2E59DC9F">
      <w:pPr>
        <w:shd w:val="clear"/>
        <w:wordWrap/>
        <w:topLinePunct w:val="0"/>
        <w:bidi w:val="0"/>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5E391CC1">
      <w:pPr>
        <w:shd w:val="clear"/>
        <w:wordWrap/>
        <w:topLinePunct w:val="0"/>
        <w:autoSpaceDE w:val="0"/>
        <w:autoSpaceDN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14:paraId="660605C1">
      <w:pPr>
        <w:shd w:val="clear"/>
        <w:wordWrap/>
        <w:topLinePunct w:val="0"/>
        <w:autoSpaceDE w:val="0"/>
        <w:autoSpaceDN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E3B82E">
      <w:pPr>
        <w:shd w:val="clear"/>
        <w:wordWrap/>
        <w:topLinePunct w:val="0"/>
        <w:autoSpaceDE w:val="0"/>
        <w:autoSpaceDN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14:paraId="28259851">
      <w:pPr>
        <w:pStyle w:val="11"/>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.1提出质疑的供应商应当是参与所质疑项目采购活动的供应商。潜在供应商已依法获取其可质疑的采购文件的，可以对该文件提出质疑。</w:t>
      </w:r>
    </w:p>
    <w:p w14:paraId="730D7210">
      <w:pPr>
        <w:pStyle w:val="11"/>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4FA42144">
      <w:pPr>
        <w:pStyle w:val="5"/>
        <w:shd w:val="clear"/>
        <w:wordWrap/>
        <w:topLinePunct w:val="0"/>
        <w:bidi w:val="0"/>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4.2.2.1对采购文件提出质疑的，质疑期限为供应商获得采购文件之日或者采购文件公告期限届满之日起计算。</w:t>
      </w:r>
    </w:p>
    <w:p w14:paraId="76B5030A">
      <w:pPr>
        <w:pStyle w:val="11"/>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w:t>
      </w:r>
    </w:p>
    <w:p w14:paraId="078061A3">
      <w:pPr>
        <w:pStyle w:val="11"/>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14:paraId="1582C1FC">
      <w:pPr>
        <w:pStyle w:val="11"/>
        <w:shd w:val="clear"/>
        <w:wordWrap/>
        <w:topLinePunct w:val="0"/>
        <w:bidi w:val="0"/>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14:paraId="26BC5198">
      <w:pPr>
        <w:pStyle w:val="11"/>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4.2.3.1供应商的姓名或者名称、地址、邮编、联系人及联系电话；</w:t>
      </w:r>
    </w:p>
    <w:p w14:paraId="6DC3C5FD">
      <w:pPr>
        <w:pStyle w:val="11"/>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4.2.3.2质疑项目的名称、编号；</w:t>
      </w:r>
    </w:p>
    <w:p w14:paraId="5F1F0E7C">
      <w:pPr>
        <w:pStyle w:val="11"/>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4.2.3.3具体、明确的质疑事项和与质疑事项相关的请求；</w:t>
      </w:r>
    </w:p>
    <w:p w14:paraId="68FED306">
      <w:pPr>
        <w:pStyle w:val="11"/>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4.2.3.4事实依据；</w:t>
      </w:r>
    </w:p>
    <w:p w14:paraId="0B640448">
      <w:pPr>
        <w:pStyle w:val="11"/>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4.2.3.5必要的法律依据；</w:t>
      </w:r>
    </w:p>
    <w:p w14:paraId="362B5D47">
      <w:pPr>
        <w:pStyle w:val="11"/>
        <w:shd w:val="clear"/>
        <w:wordWrap/>
        <w:topLinePunct w:val="0"/>
        <w:bidi w:val="0"/>
        <w:snapToGrid w:val="0"/>
        <w:spacing w:line="360" w:lineRule="auto"/>
        <w:ind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14:paraId="6A37C6FC">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38FE659">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C69D06B">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4.2.4对同一采购程序环节的质疑，供应商须在法定质疑期内一次性提出。</w:t>
      </w:r>
    </w:p>
    <w:p w14:paraId="39D69EA2">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AD77D0B">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659F5012">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14:paraId="6FD12B61">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162CF980">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0A02B861">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14:paraId="22A324D4">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14:paraId="166E0C36">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36AF62CC">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4.4在线质疑、投诉。</w:t>
      </w:r>
    </w:p>
    <w:p w14:paraId="74D732F2">
      <w:pPr>
        <w:pStyle w:val="22"/>
        <w:shd w:val="clear" w:color="auto"/>
        <w:wordWrap/>
        <w:topLinePunct w:val="0"/>
        <w:bidi w:val="0"/>
        <w:adjustRightInd w:val="0"/>
        <w:snapToGrid w:val="0"/>
        <w:spacing w:before="0" w:beforeAutospacing="0" w:after="0" w:afterAutospacing="0" w:line="360" w:lineRule="auto"/>
        <w:ind w:firstLine="480" w:firstLineChars="200"/>
        <w:contextualSpacing/>
        <w:rPr>
          <w:rFonts w:hint="eastAsia" w:ascii="仿宋" w:hAnsi="仿宋" w:eastAsia="仿宋" w:cs="仿宋"/>
          <w:color w:val="auto"/>
          <w:highlight w:val="none"/>
        </w:rPr>
      </w:pPr>
      <w:r>
        <w:rPr>
          <w:rFonts w:hint="eastAsia" w:ascii="仿宋" w:hAnsi="仿宋" w:eastAsia="仿宋" w:cs="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8F72FA">
      <w:pPr>
        <w:pStyle w:val="21"/>
        <w:shd w:val="clear"/>
        <w:wordWrap/>
        <w:topLinePunct w:val="0"/>
        <w:bidi w:val="0"/>
        <w:snapToGrid w:val="0"/>
        <w:spacing w:before="0" w:line="360" w:lineRule="auto"/>
        <w:ind w:firstLine="360"/>
        <w:rPr>
          <w:rFonts w:hint="eastAsia" w:ascii="仿宋" w:hAnsi="仿宋" w:eastAsia="仿宋" w:cs="仿宋"/>
          <w:color w:val="auto"/>
          <w:sz w:val="18"/>
          <w:szCs w:val="18"/>
          <w:highlight w:val="none"/>
        </w:rPr>
      </w:pPr>
    </w:p>
    <w:p w14:paraId="3596301C">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二、采购文件的构成、澄清、修改</w:t>
      </w:r>
    </w:p>
    <w:p w14:paraId="0FBBE303">
      <w:pPr>
        <w:pStyle w:val="11"/>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5．采购文件的构成</w:t>
      </w:r>
    </w:p>
    <w:p w14:paraId="23DF0588">
      <w:pPr>
        <w:pStyle w:val="11"/>
        <w:shd w:val="clear"/>
        <w:wordWrap/>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采购文件包括下列文件及附件：</w:t>
      </w:r>
    </w:p>
    <w:p w14:paraId="4C5E98C5">
      <w:pPr>
        <w:pStyle w:val="11"/>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5.1.1竞争性磋商公告；</w:t>
      </w:r>
    </w:p>
    <w:p w14:paraId="52737689">
      <w:pPr>
        <w:pStyle w:val="11"/>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5.1.2供应商须知；</w:t>
      </w:r>
    </w:p>
    <w:p w14:paraId="355DBAB5">
      <w:pPr>
        <w:pStyle w:val="11"/>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279DB822">
      <w:pPr>
        <w:pStyle w:val="11"/>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5.1.4评审办法；</w:t>
      </w:r>
    </w:p>
    <w:p w14:paraId="28B4449B">
      <w:pPr>
        <w:pStyle w:val="11"/>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08682B0">
      <w:pPr>
        <w:pStyle w:val="11"/>
        <w:shd w:val="clear"/>
        <w:tabs>
          <w:tab w:val="left" w:pos="840"/>
        </w:tabs>
        <w:wordWrap/>
        <w:topLinePunct w:val="0"/>
        <w:bidi w:val="0"/>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19818064">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澄清或者修改的内容为采购文件的组成部分</w:t>
      </w:r>
      <w:r>
        <w:rPr>
          <w:rFonts w:hint="eastAsia" w:ascii="仿宋" w:hAnsi="仿宋" w:eastAsia="仿宋" w:cs="仿宋"/>
          <w:color w:val="auto"/>
          <w:sz w:val="24"/>
          <w:highlight w:val="none"/>
        </w:rPr>
        <w:t>。</w:t>
      </w:r>
    </w:p>
    <w:p w14:paraId="062ADDA1">
      <w:pPr>
        <w:pStyle w:val="11"/>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采购文件的澄清、修改</w:t>
      </w:r>
    </w:p>
    <w:p w14:paraId="530C7B92">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6.1已获取采购文件的潜在供应商，若有问题需要澄清，应于响应文件提交（上传）截止时间前，以书面形式向采购机构提出。</w:t>
      </w:r>
    </w:p>
    <w:p w14:paraId="0D6A2F6F">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70E264D">
      <w:pPr>
        <w:pStyle w:val="6"/>
        <w:shd w:val="clear"/>
        <w:wordWrap/>
        <w:topLinePunct w:val="0"/>
        <w:bidi w:val="0"/>
        <w:spacing w:line="360" w:lineRule="auto"/>
        <w:rPr>
          <w:rFonts w:hint="eastAsia" w:ascii="仿宋" w:hAnsi="仿宋" w:eastAsia="仿宋" w:cs="仿宋"/>
          <w:color w:val="auto"/>
          <w:sz w:val="18"/>
          <w:szCs w:val="18"/>
          <w:highlight w:val="none"/>
          <w:lang w:val="en-US"/>
        </w:rPr>
      </w:pPr>
    </w:p>
    <w:p w14:paraId="1271B566">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三、提交响应文件</w:t>
      </w:r>
    </w:p>
    <w:p w14:paraId="62175BDD">
      <w:pPr>
        <w:pStyle w:val="11"/>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采购文件的获取</w:t>
      </w:r>
    </w:p>
    <w:p w14:paraId="39C64C7A">
      <w:pPr>
        <w:shd w:val="clear"/>
        <w:wordWrap/>
        <w:topLinePunct w:val="0"/>
        <w:bidi w:val="0"/>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详见竞争性磋商公告中获取采购文件的时间期限、地点、方式及采购文件售价。</w:t>
      </w:r>
    </w:p>
    <w:p w14:paraId="58A8C1BC">
      <w:pPr>
        <w:pStyle w:val="11"/>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8.磋商前答疑会或现场考察</w:t>
      </w:r>
    </w:p>
    <w:p w14:paraId="06C814F3">
      <w:pPr>
        <w:pStyle w:val="11"/>
        <w:shd w:val="clear"/>
        <w:wordWrap/>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采购人组织潜在供应商现场考察或者召开磋商前答疑会的，潜在供应商按第二部分供应商须知前附表的规定参加现场考察或者磋商前答疑会。</w:t>
      </w:r>
    </w:p>
    <w:p w14:paraId="60A9121D">
      <w:pPr>
        <w:pStyle w:val="11"/>
        <w:shd w:val="clear"/>
        <w:wordWrap/>
        <w:topLinePunct w:val="0"/>
        <w:bidi w:val="0"/>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9.磋商保证金</w:t>
      </w:r>
    </w:p>
    <w:p w14:paraId="68FB8D00">
      <w:pPr>
        <w:pStyle w:val="5"/>
        <w:shd w:val="clear"/>
        <w:wordWrap/>
        <w:topLinePunct w:val="0"/>
        <w:bidi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本项目不需缴纳磋商保证金。</w:t>
      </w:r>
    </w:p>
    <w:p w14:paraId="122D1F4B">
      <w:pPr>
        <w:pStyle w:val="11"/>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响应文件的语言</w:t>
      </w:r>
    </w:p>
    <w:p w14:paraId="37EDA392">
      <w:pPr>
        <w:shd w:val="clear"/>
        <w:wordWrap/>
        <w:topLinePunct w:val="0"/>
        <w:autoSpaceDE w:val="0"/>
        <w:autoSpaceDN w:val="0"/>
        <w:bidi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14:paraId="1EB957C1">
      <w:pPr>
        <w:pStyle w:val="11"/>
        <w:shd w:val="clear"/>
        <w:wordWrap/>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响应文件的组成</w:t>
      </w:r>
    </w:p>
    <w:p w14:paraId="0D47B01D">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AAB9470">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3CFB5F0F">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6" w:name="_Hlk101259339"/>
      <w:r>
        <w:rPr>
          <w:rFonts w:hint="eastAsia" w:ascii="仿宋" w:hAnsi="仿宋" w:eastAsia="仿宋" w:cs="仿宋"/>
          <w:snapToGrid w:val="0"/>
          <w:color w:val="auto"/>
          <w:kern w:val="28"/>
          <w:sz w:val="24"/>
          <w:szCs w:val="20"/>
          <w:highlight w:val="none"/>
        </w:rPr>
        <w:t>联合协议</w:t>
      </w:r>
      <w:bookmarkStart w:id="17" w:name="_Hlk101257010"/>
      <w:r>
        <w:rPr>
          <w:rFonts w:hint="eastAsia" w:ascii="仿宋" w:hAnsi="仿宋" w:eastAsia="仿宋" w:cs="仿宋"/>
          <w:snapToGrid w:val="0"/>
          <w:color w:val="auto"/>
          <w:kern w:val="28"/>
          <w:sz w:val="24"/>
          <w:szCs w:val="20"/>
          <w:highlight w:val="none"/>
        </w:rPr>
        <w:t>（如果有)</w:t>
      </w:r>
      <w:bookmarkEnd w:id="16"/>
      <w:bookmarkEnd w:id="17"/>
      <w:r>
        <w:rPr>
          <w:rFonts w:hint="eastAsia" w:ascii="仿宋" w:hAnsi="仿宋" w:eastAsia="仿宋" w:cs="仿宋"/>
          <w:snapToGrid w:val="0"/>
          <w:color w:val="auto"/>
          <w:kern w:val="28"/>
          <w:sz w:val="24"/>
          <w:szCs w:val="20"/>
          <w:highlight w:val="none"/>
        </w:rPr>
        <w:t>；</w:t>
      </w:r>
    </w:p>
    <w:p w14:paraId="29C29F53">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BC84CE1">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14DC322">
      <w:pPr>
        <w:shd w:val="clear"/>
        <w:wordWrap/>
        <w:topLinePunct w:val="0"/>
        <w:bidi w:val="0"/>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1D3EC6A1">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11.2.1响应函；</w:t>
      </w:r>
    </w:p>
    <w:p w14:paraId="22C682E8">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376C7D27">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2E3C2B78">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0BF4165E">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11.2.5评审标准相应的商务技术资料；</w:t>
      </w:r>
    </w:p>
    <w:p w14:paraId="3921E716">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11.2.6商务技术偏离表；</w:t>
      </w:r>
    </w:p>
    <w:p w14:paraId="1EA85E7E">
      <w:pPr>
        <w:shd w:val="clear"/>
        <w:wordWrap/>
        <w:topLinePunct w:val="0"/>
        <w:bidi w:val="0"/>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6B04AA99">
      <w:pPr>
        <w:shd w:val="clear"/>
        <w:wordWrap/>
        <w:topLinePunct w:val="0"/>
        <w:bidi w:val="0"/>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2EC4F10C">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11.3.1报价单；</w:t>
      </w:r>
    </w:p>
    <w:p w14:paraId="0ACC70D5">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11.3.2已标价工程量清单；</w:t>
      </w:r>
    </w:p>
    <w:p w14:paraId="71EC1428">
      <w:pPr>
        <w:shd w:val="clear"/>
        <w:wordWrap/>
        <w:topLinePunct w:val="0"/>
        <w:bidi w:val="0"/>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11.3.3中小企业声明函。</w:t>
      </w:r>
    </w:p>
    <w:p w14:paraId="26FA4D89">
      <w:pPr>
        <w:shd w:val="clear"/>
        <w:wordWrap/>
        <w:topLinePunct w:val="0"/>
        <w:bidi w:val="0"/>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响应文件含有采购人不能接受的附加条件的，响应文件无效；</w:t>
      </w:r>
    </w:p>
    <w:p w14:paraId="05214B26">
      <w:pPr>
        <w:shd w:val="clear"/>
        <w:wordWrap/>
        <w:topLinePunct w:val="0"/>
        <w:bidi w:val="0"/>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供应商提供虚假材料的，响应文件无效。</w:t>
      </w:r>
    </w:p>
    <w:p w14:paraId="6982B384">
      <w:pPr>
        <w:pStyle w:val="21"/>
        <w:shd w:val="clear"/>
        <w:wordWrap/>
        <w:topLinePunct w:val="0"/>
        <w:bidi w:val="0"/>
        <w:snapToGrid w:val="0"/>
        <w:spacing w:before="0" w:line="360" w:lineRule="auto"/>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响应文件的编制</w:t>
      </w:r>
    </w:p>
    <w:p w14:paraId="47C030D2">
      <w:pPr>
        <w:shd w:val="clear"/>
        <w:wordWrap/>
        <w:topLinePunct w:val="0"/>
        <w:bidi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E323F21">
      <w:pPr>
        <w:shd w:val="clear"/>
        <w:wordWrap/>
        <w:topLinePunct w:val="0"/>
        <w:bidi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7D1912C9">
      <w:pPr>
        <w:shd w:val="clear"/>
        <w:wordWrap/>
        <w:topLinePunct w:val="0"/>
        <w:bidi w:val="0"/>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55ACD44">
      <w:pPr>
        <w:shd w:val="clear"/>
        <w:wordWrap/>
        <w:topLinePunct w:val="0"/>
        <w:bidi w:val="0"/>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13.响应文件的签署、盖章</w:t>
      </w:r>
    </w:p>
    <w:p w14:paraId="536B826B">
      <w:pPr>
        <w:pStyle w:val="21"/>
        <w:shd w:val="clear"/>
        <w:wordWrap/>
        <w:topLinePunct w:val="0"/>
        <w:bidi w:val="0"/>
        <w:snapToGrid w:val="0"/>
        <w:spacing w:before="0" w:line="360" w:lineRule="auto"/>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13.1响应文件按照采购文件第六部分格式要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▲供应商的响应文件未按照采购文件要求签署、盖章的，其响应文件无效</w:t>
      </w:r>
      <w:r>
        <w:rPr>
          <w:rFonts w:hint="eastAsia" w:ascii="仿宋" w:hAnsi="仿宋" w:eastAsia="仿宋" w:cs="仿宋"/>
          <w:color w:val="auto"/>
          <w:szCs w:val="24"/>
          <w:highlight w:val="none"/>
        </w:rPr>
        <w:t>。</w:t>
      </w:r>
    </w:p>
    <w:p w14:paraId="6C9436E4">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795EFD79">
      <w:pPr>
        <w:pStyle w:val="21"/>
        <w:shd w:val="clear"/>
        <w:wordWrap/>
        <w:topLinePunct w:val="0"/>
        <w:bidi w:val="0"/>
        <w:snapToGrid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13.3采购文件对响应文件签署、盖章的要求适用于电子签名。</w:t>
      </w:r>
    </w:p>
    <w:p w14:paraId="59ED037A">
      <w:pPr>
        <w:pStyle w:val="21"/>
        <w:shd w:val="clear"/>
        <w:wordWrap/>
        <w:topLinePunct w:val="0"/>
        <w:bidi w:val="0"/>
        <w:snapToGrid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响应文件的提交、补充、修改、撤回</w:t>
      </w:r>
    </w:p>
    <w:p w14:paraId="1D62A466">
      <w:pPr>
        <w:pStyle w:val="21"/>
        <w:shd w:val="clear"/>
        <w:wordWrap/>
        <w:topLinePunct w:val="0"/>
        <w:bidi w:val="0"/>
        <w:snapToGrid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9D18DB5">
      <w:pPr>
        <w:pStyle w:val="21"/>
        <w:shd w:val="clear"/>
        <w:wordWrap/>
        <w:topLinePunct w:val="0"/>
        <w:bidi w:val="0"/>
        <w:snapToGrid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4166096">
      <w:pPr>
        <w:pStyle w:val="21"/>
        <w:shd w:val="clear"/>
        <w:wordWrap/>
        <w:topLinePunct w:val="0"/>
        <w:bidi w:val="0"/>
        <w:snapToGrid w:val="0"/>
        <w:spacing w:before="0" w:line="360"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31537578">
      <w:pPr>
        <w:pStyle w:val="11"/>
        <w:shd w:val="clear"/>
        <w:wordWrap/>
        <w:topLinePunct w:val="0"/>
        <w:bidi w:val="0"/>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15.备份响应文件</w:t>
      </w:r>
    </w:p>
    <w:p w14:paraId="3DC70898">
      <w:pPr>
        <w:pStyle w:val="11"/>
        <w:shd w:val="clear"/>
        <w:wordWrap/>
        <w:topLinePunct w:val="0"/>
        <w:bidi w:val="0"/>
        <w:snapToGrid w:val="0"/>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color w:val="auto"/>
          <w:sz w:val="24"/>
          <w:szCs w:val="24"/>
          <w:highlight w:val="none"/>
        </w:rPr>
        <w:t>但采购人、采购机构不强制或变相强制供应商提交备份响应文件。</w:t>
      </w:r>
    </w:p>
    <w:p w14:paraId="5548F6E0">
      <w:pPr>
        <w:pStyle w:val="11"/>
        <w:shd w:val="clear"/>
        <w:wordWrap/>
        <w:topLinePunct w:val="0"/>
        <w:bidi w:val="0"/>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15.2备份响应文件须在“政采云投标客户端”制作生成，并储存在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存储、密封规定的备份响应文件将被视为无效或者被拒绝接收。</w:t>
      </w:r>
    </w:p>
    <w:p w14:paraId="5140384C">
      <w:pPr>
        <w:pStyle w:val="11"/>
        <w:shd w:val="clear"/>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26A88CD5">
      <w:pPr>
        <w:pStyle w:val="11"/>
        <w:shd w:val="clear"/>
        <w:wordWrap/>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color w:val="auto"/>
          <w:sz w:val="24"/>
          <w:szCs w:val="24"/>
          <w:highlight w:val="none"/>
        </w:rPr>
        <w:t>采购文件第二部分供应商须知前附表规定的备份响应文件送达地点；</w:t>
      </w:r>
      <w:r>
        <w:rPr>
          <w:rFonts w:hint="eastAsia" w:ascii="仿宋" w:hAnsi="仿宋" w:eastAsia="仿宋" w:cs="仿宋"/>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6740593D">
      <w:pPr>
        <w:pStyle w:val="11"/>
        <w:shd w:val="clear"/>
        <w:wordWrap/>
        <w:topLinePunct w:val="0"/>
        <w:bidi w:val="0"/>
        <w:snapToGrid w:val="0"/>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15.5供应商仅提交备份响应文件，未在电子交易平台传输递交响应文件的，响应文件无效。</w:t>
      </w:r>
    </w:p>
    <w:p w14:paraId="4926C6DA">
      <w:pPr>
        <w:pStyle w:val="21"/>
        <w:shd w:val="clear"/>
        <w:wordWrap/>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16.响应文件的无效处理</w:t>
      </w:r>
    </w:p>
    <w:p w14:paraId="08DC0D7E">
      <w:pPr>
        <w:pStyle w:val="8"/>
        <w:shd w:val="clear"/>
        <w:wordWrap/>
        <w:topLinePunct w:val="0"/>
        <w:bidi w:val="0"/>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有采购文件第四部分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的情形之一的，响应文件无效：</w:t>
      </w:r>
    </w:p>
    <w:p w14:paraId="415994AF">
      <w:pPr>
        <w:pStyle w:val="21"/>
        <w:shd w:val="clear"/>
        <w:wordWrap/>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17.响应文件有效期</w:t>
      </w:r>
    </w:p>
    <w:p w14:paraId="68520991">
      <w:pPr>
        <w:shd w:val="clear"/>
        <w:wordWrap/>
        <w:topLinePunct w:val="0"/>
        <w:bidi w:val="0"/>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17.1响应文件有效期为从提交响应文件的截止之日起90天。▲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诺的响应文件有效期少于采购文件中载明的响应文件有效期的，响应文件无效。</w:t>
      </w:r>
    </w:p>
    <w:p w14:paraId="4135FA67">
      <w:pPr>
        <w:pStyle w:val="21"/>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17.2响应文件合格投递后，自响应文件提交截止时间起，在响应文件有效期内有效。</w:t>
      </w:r>
    </w:p>
    <w:p w14:paraId="3F47F917">
      <w:pPr>
        <w:pStyle w:val="21"/>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0F61E2A2">
      <w:pPr>
        <w:pStyle w:val="21"/>
        <w:shd w:val="clear"/>
        <w:wordWrap/>
        <w:topLinePunct w:val="0"/>
        <w:bidi w:val="0"/>
        <w:spacing w:before="0" w:line="360" w:lineRule="auto"/>
        <w:ind w:firstLine="643"/>
        <w:rPr>
          <w:rFonts w:hint="eastAsia" w:ascii="仿宋" w:hAnsi="仿宋" w:eastAsia="仿宋" w:cs="仿宋"/>
          <w:b/>
          <w:color w:val="auto"/>
          <w:sz w:val="32"/>
          <w:highlight w:val="none"/>
        </w:rPr>
      </w:pPr>
    </w:p>
    <w:p w14:paraId="48A49A91">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四、响应文件开启、资格审查与信用信息查询</w:t>
      </w:r>
    </w:p>
    <w:p w14:paraId="669B6703">
      <w:pPr>
        <w:pStyle w:val="23"/>
        <w:shd w:val="clear"/>
        <w:wordWrap/>
        <w:topLinePunct w:val="0"/>
        <w:bidi w:val="0"/>
        <w:spacing w:before="0" w:line="360" w:lineRule="auto"/>
        <w:ind w:left="0" w:firstLine="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18.响应文件开启</w:t>
      </w:r>
    </w:p>
    <w:p w14:paraId="5FA37C8E">
      <w:pPr>
        <w:pStyle w:val="23"/>
        <w:shd w:val="clear"/>
        <w:wordWrap/>
        <w:topLinePunct w:val="0"/>
        <w:bidi w:val="0"/>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18.1采购机构按照采购文件规定的时间通过电子交易平台组织响应文件开启，所有供应商均应当准时在线参加。供应商不足3家的，不得开启。</w:t>
      </w:r>
    </w:p>
    <w:p w14:paraId="4165E4CA">
      <w:pPr>
        <w:pStyle w:val="23"/>
        <w:shd w:val="clear"/>
        <w:wordWrap/>
        <w:topLinePunct w:val="0"/>
        <w:bidi w:val="0"/>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14:paraId="7E9C7F07">
      <w:pPr>
        <w:pStyle w:val="23"/>
        <w:shd w:val="clear"/>
        <w:wordWrap/>
        <w:topLinePunct w:val="0"/>
        <w:bidi w:val="0"/>
        <w:snapToGrid w:val="0"/>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bCs/>
          <w:color w:val="auto"/>
          <w:sz w:val="24"/>
          <w:highlight w:val="none"/>
        </w:rPr>
        <w:t>响应文件未按时解密，供应商提供了备份响应文件的，以备份响应文件作为依据，否则视为响应文件撤回。响应文件已按时解密的，备份响应文件自动失效。</w:t>
      </w:r>
    </w:p>
    <w:p w14:paraId="7A2A9DE3">
      <w:pPr>
        <w:pStyle w:val="23"/>
        <w:shd w:val="clear"/>
        <w:wordWrap/>
        <w:topLinePunct w:val="0"/>
        <w:bidi w:val="0"/>
        <w:spacing w:before="0" w:line="360" w:lineRule="auto"/>
        <w:ind w:left="0" w:firstLine="0"/>
        <w:contextualSpacing/>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19、资格审查</w:t>
      </w:r>
    </w:p>
    <w:p w14:paraId="6EBA7743">
      <w:pPr>
        <w:pStyle w:val="21"/>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19.1响应文件开启后，采购人或采购机构将依法对供应商的资格进行审查。</w:t>
      </w:r>
    </w:p>
    <w:p w14:paraId="600A1158">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采购人或采购机构依据法律法规和采购文件的规定，对供应商的资格进行审查。</w:t>
      </w:r>
    </w:p>
    <w:p w14:paraId="245B057C">
      <w:pPr>
        <w:pStyle w:val="21"/>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19.3供应商未按照采购文件要求提供与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供应商不具备采购文件中规定的资格要求，其响应文件无效。</w:t>
      </w:r>
    </w:p>
    <w:p w14:paraId="55182856">
      <w:pPr>
        <w:pStyle w:val="21"/>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4对未通过资格审查的供应商，采购人或采购机构告知其未通过的原因。</w:t>
      </w:r>
    </w:p>
    <w:p w14:paraId="55A00466">
      <w:pPr>
        <w:pStyle w:val="21"/>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5合格供应商不足3家的，不再评审。</w:t>
      </w:r>
    </w:p>
    <w:p w14:paraId="61628912">
      <w:pPr>
        <w:pStyle w:val="21"/>
        <w:shd w:val="clear"/>
        <w:wordWrap/>
        <w:topLinePunct w:val="0"/>
        <w:bidi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1F862D10">
      <w:pPr>
        <w:pStyle w:val="21"/>
        <w:shd w:val="clear"/>
        <w:wordWrap/>
        <w:topLinePunct w:val="0"/>
        <w:bidi w:val="0"/>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14:paraId="658EB9A3">
      <w:pPr>
        <w:pStyle w:val="21"/>
        <w:shd w:val="clear"/>
        <w:wordWrap/>
        <w:topLinePunct w:val="0"/>
        <w:bidi w:val="0"/>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20.2信用信息查询记录和证据留存的具体方式：现场查询的供应商的信用记录、查询结果经确认后将与采购文件一起存档。</w:t>
      </w:r>
    </w:p>
    <w:p w14:paraId="7A5E846E">
      <w:pPr>
        <w:pStyle w:val="21"/>
        <w:shd w:val="clear"/>
        <w:wordWrap/>
        <w:topLinePunct w:val="0"/>
        <w:bidi w:val="0"/>
        <w:spacing w:before="0" w:line="360" w:lineRule="auto"/>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4C2AED6E">
      <w:pPr>
        <w:pStyle w:val="21"/>
        <w:shd w:val="clear"/>
        <w:wordWrap/>
        <w:topLinePunct w:val="0"/>
        <w:bidi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72AF42BA">
      <w:pPr>
        <w:pStyle w:val="21"/>
        <w:shd w:val="clear"/>
        <w:wordWrap/>
        <w:topLinePunct w:val="0"/>
        <w:bidi w:val="0"/>
        <w:spacing w:before="0" w:line="360" w:lineRule="auto"/>
        <w:ind w:firstLine="0" w:firstLineChars="0"/>
        <w:rPr>
          <w:rFonts w:hint="eastAsia" w:ascii="仿宋" w:hAnsi="仿宋" w:eastAsia="仿宋" w:cs="仿宋"/>
          <w:color w:val="auto"/>
          <w:kern w:val="0"/>
          <w:szCs w:val="24"/>
          <w:highlight w:val="none"/>
        </w:rPr>
      </w:pPr>
    </w:p>
    <w:p w14:paraId="0A779FA2">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五、评审</w:t>
      </w:r>
    </w:p>
    <w:p w14:paraId="178062D9">
      <w:pPr>
        <w:shd w:val="clear"/>
        <w:wordWrap/>
        <w:topLinePunct w:val="0"/>
        <w:bidi w:val="0"/>
        <w:spacing w:line="360" w:lineRule="auto"/>
        <w:rPr>
          <w:rFonts w:hint="eastAsia" w:ascii="仿宋" w:hAnsi="仿宋" w:eastAsia="仿宋" w:cs="仿宋"/>
          <w:b/>
          <w:color w:val="auto"/>
          <w:sz w:val="24"/>
          <w:highlight w:val="none"/>
        </w:rPr>
      </w:pPr>
      <w:bookmarkStart w:id="18"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color w:val="auto"/>
          <w:sz w:val="24"/>
          <w:highlight w:val="none"/>
        </w:rPr>
        <w:t>详见采购文件第四部分评审办法。</w:t>
      </w:r>
    </w:p>
    <w:p w14:paraId="369CC940">
      <w:pPr>
        <w:shd w:val="clear"/>
        <w:wordWrap/>
        <w:topLinePunct w:val="0"/>
        <w:bidi w:val="0"/>
        <w:spacing w:line="360" w:lineRule="auto"/>
        <w:rPr>
          <w:rFonts w:hint="eastAsia" w:ascii="仿宋" w:hAnsi="仿宋" w:eastAsia="仿宋" w:cs="仿宋"/>
          <w:b/>
          <w:color w:val="auto"/>
          <w:sz w:val="24"/>
          <w:highlight w:val="none"/>
        </w:rPr>
      </w:pPr>
    </w:p>
    <w:p w14:paraId="4644C6DC">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六、成交供应商确定</w:t>
      </w:r>
    </w:p>
    <w:p w14:paraId="285BB67E">
      <w:pPr>
        <w:pStyle w:val="8"/>
        <w:shd w:val="clear"/>
        <w:wordWrap/>
        <w:topLinePunct w:val="0"/>
        <w:bidi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确定成交供应商</w:t>
      </w:r>
    </w:p>
    <w:p w14:paraId="261F07C8">
      <w:pPr>
        <w:pStyle w:val="21"/>
        <w:shd w:val="clear"/>
        <w:wordWrap/>
        <w:topLinePunct w:val="0"/>
        <w:bidi w:val="0"/>
        <w:snapToGrid w:val="0"/>
        <w:spacing w:before="0" w:line="360" w:lineRule="auto"/>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797713B">
      <w:pPr>
        <w:pStyle w:val="21"/>
        <w:shd w:val="clear"/>
        <w:wordWrap/>
        <w:topLinePunct w:val="0"/>
        <w:bidi w:val="0"/>
        <w:snapToGrid w:val="0"/>
        <w:spacing w:before="0" w:line="360"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成交通知与成交结果公告</w:t>
      </w:r>
    </w:p>
    <w:p w14:paraId="28F9B13B">
      <w:pPr>
        <w:widowControl/>
        <w:shd w:val="clear" w:color="auto"/>
        <w:wordWrap/>
        <w:topLinePunct w:val="0"/>
        <w:bidi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23.1自成交供应商确定之日起2个工作日内，采购机构通过电子交易平台向成交供应商发出成交通知书，同时编制发布采购结果公告。采购机构也可以以纸质形式进行成交通知。</w:t>
      </w:r>
    </w:p>
    <w:p w14:paraId="6FE32777">
      <w:pPr>
        <w:widowControl/>
        <w:shd w:val="clear" w:color="auto"/>
        <w:wordWrap/>
        <w:topLinePunct w:val="0"/>
        <w:bidi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59AAACA">
      <w:pPr>
        <w:widowControl/>
        <w:shd w:val="clear" w:color="auto"/>
        <w:wordWrap/>
        <w:topLinePunct w:val="0"/>
        <w:bidi w:val="0"/>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3526A820">
      <w:pPr>
        <w:shd w:val="clear"/>
        <w:wordWrap/>
        <w:topLinePunct w:val="0"/>
        <w:bidi w:val="0"/>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77885681">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七、合同授予</w:t>
      </w:r>
    </w:p>
    <w:p w14:paraId="50802AD2">
      <w:pPr>
        <w:pStyle w:val="8"/>
        <w:shd w:val="clear"/>
        <w:wordWrap/>
        <w:topLinePunct w:val="0"/>
        <w:bidi w:val="0"/>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3EF70408">
      <w:pPr>
        <w:pStyle w:val="8"/>
        <w:shd w:val="clear"/>
        <w:wordWrap/>
        <w:topLinePunct w:val="0"/>
        <w:bidi w:val="0"/>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FF931DF">
      <w:pPr>
        <w:widowControl/>
        <w:shd w:val="clear" w:color="auto"/>
        <w:wordWrap/>
        <w:topLinePunct w:val="0"/>
        <w:bidi w:val="0"/>
        <w:snapToGrid w:val="0"/>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采购人与成交供应商应当</w:t>
      </w:r>
      <w:r>
        <w:rPr>
          <w:rFonts w:hint="eastAsia" w:ascii="仿宋" w:hAnsi="仿宋" w:eastAsia="仿宋" w:cs="仿宋"/>
          <w:color w:val="auto"/>
          <w:kern w:val="0"/>
          <w:sz w:val="24"/>
          <w:highlight w:val="none"/>
          <w:lang w:val="en-US" w:eastAsia="zh-CN"/>
        </w:rPr>
        <w:t>在</w:t>
      </w:r>
      <w:r>
        <w:rPr>
          <w:rFonts w:hint="eastAsia" w:ascii="仿宋" w:hAnsi="仿宋" w:eastAsia="仿宋" w:cs="仿宋"/>
          <w:color w:val="auto"/>
          <w:kern w:val="0"/>
          <w:sz w:val="24"/>
          <w:highlight w:val="none"/>
        </w:rPr>
        <w:t>采购结果公告后</w:t>
      </w:r>
      <w:r>
        <w:rPr>
          <w:rFonts w:hint="eastAsia" w:ascii="仿宋" w:hAnsi="仿宋" w:eastAsia="仿宋" w:cs="仿宋"/>
          <w:color w:val="auto"/>
          <w:kern w:val="0"/>
          <w:sz w:val="24"/>
          <w:highlight w:val="none"/>
          <w:lang w:val="en-US" w:eastAsia="zh-CN"/>
        </w:rPr>
        <w:t>10天内</w:t>
      </w:r>
      <w:r>
        <w:rPr>
          <w:rFonts w:hint="eastAsia" w:ascii="仿宋" w:hAnsi="仿宋" w:eastAsia="仿宋" w:cs="仿宋"/>
          <w:color w:val="auto"/>
          <w:kern w:val="0"/>
          <w:sz w:val="24"/>
          <w:highlight w:val="none"/>
        </w:rPr>
        <w:t>，按照采购文件确定的事项签订政府采购合同，并</w:t>
      </w:r>
      <w:r>
        <w:rPr>
          <w:rFonts w:hint="eastAsia" w:ascii="仿宋" w:hAnsi="仿宋" w:eastAsia="仿宋" w:cs="仿宋"/>
          <w:color w:val="auto"/>
          <w:kern w:val="0"/>
          <w:sz w:val="24"/>
          <w:highlight w:val="none"/>
          <w:lang w:val="en-US" w:eastAsia="zh-CN"/>
        </w:rPr>
        <w:t>将</w:t>
      </w:r>
      <w:r>
        <w:rPr>
          <w:rFonts w:hint="eastAsia" w:ascii="仿宋" w:hAnsi="仿宋" w:eastAsia="仿宋" w:cs="仿宋"/>
          <w:color w:val="auto"/>
          <w:kern w:val="0"/>
          <w:sz w:val="24"/>
          <w:highlight w:val="none"/>
        </w:rPr>
        <w:t>政府采购合同在浙江政府采购网上公告。鼓励有条件的采购人视情缩减采购合同签订时限，提高采购效率，杜绝“冷、硬、横、推”等不当行为。除不可抗力等特殊情况外，原则上应当在采购结果公告后10</w:t>
      </w:r>
      <w:r>
        <w:rPr>
          <w:rFonts w:hint="eastAsia" w:ascii="仿宋" w:hAnsi="仿宋" w:eastAsia="仿宋" w:cs="仿宋"/>
          <w:color w:val="auto"/>
          <w:kern w:val="0"/>
          <w:sz w:val="24"/>
          <w:highlight w:val="none"/>
          <w:lang w:val="en-US" w:eastAsia="zh-CN"/>
        </w:rPr>
        <w:t>天</w:t>
      </w:r>
      <w:r>
        <w:rPr>
          <w:rFonts w:hint="eastAsia" w:ascii="仿宋" w:hAnsi="仿宋" w:eastAsia="仿宋" w:cs="仿宋"/>
          <w:color w:val="auto"/>
          <w:kern w:val="0"/>
          <w:sz w:val="24"/>
          <w:highlight w:val="none"/>
        </w:rPr>
        <w:t>内，与成交供应商按照采购文件确定的事项签订政府采购合同。确有特殊情况无法及时签订合同的，应在10天内通过政采云平台申请合同缓签。</w:t>
      </w:r>
    </w:p>
    <w:p w14:paraId="61DCA990">
      <w:pPr>
        <w:pStyle w:val="21"/>
        <w:shd w:val="clear"/>
        <w:wordWrap/>
        <w:topLinePunct w:val="0"/>
        <w:bidi w:val="0"/>
        <w:snapToGrid w:val="0"/>
        <w:spacing w:before="0"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0A5D19FA">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37A3F4F3">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25.4成交供应商拒绝与采购人签订合同的，采购人可以按照评审报告推荐的成交候选人名单排序，确定下一候选人为成交供应商，也可以重新开展政府采购活动。</w:t>
      </w:r>
    </w:p>
    <w:p w14:paraId="328C2F57">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25.5采购合同由采购人与成交供应商根据采购文件、响应文件等内容通过政府采购电子交易平台在线签订，自动备案。</w:t>
      </w:r>
    </w:p>
    <w:p w14:paraId="4262F533">
      <w:pPr>
        <w:pStyle w:val="8"/>
        <w:shd w:val="clear"/>
        <w:wordWrap/>
        <w:topLinePunct w:val="0"/>
        <w:bidi w:val="0"/>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334B48F6">
      <w:pPr>
        <w:shd w:val="clear"/>
        <w:tabs>
          <w:tab w:val="left" w:pos="0"/>
        </w:tabs>
        <w:wordWrap/>
        <w:topLinePunct w:val="0"/>
        <w:bidi w:val="0"/>
        <w:snapToGrid w:val="0"/>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对杭州市政府采购网公布的供应商履约评价为满分的供应商应当免收履约保证金。拟签订的合同文本要求成交供应商提交履约保证金的，供应商应当以</w:t>
      </w:r>
      <w:r>
        <w:rPr>
          <w:rFonts w:hint="eastAsia" w:ascii="仿宋" w:hAnsi="仿宋" w:eastAsia="仿宋" w:cs="仿宋"/>
          <w:color w:val="auto"/>
          <w:kern w:val="0"/>
          <w:sz w:val="24"/>
          <w:highlight w:val="none"/>
          <w:lang w:val="en-US" w:eastAsia="zh-CN"/>
        </w:rPr>
        <w:t>保函</w:t>
      </w:r>
      <w:r>
        <w:rPr>
          <w:rFonts w:hint="eastAsia" w:ascii="仿宋" w:hAnsi="仿宋" w:eastAsia="仿宋" w:cs="仿宋"/>
          <w:color w:val="auto"/>
          <w:kern w:val="0"/>
          <w:sz w:val="24"/>
          <w:highlight w:val="none"/>
        </w:rPr>
        <w:t>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color w:val="auto"/>
          <w:sz w:val="24"/>
          <w:highlight w:val="none"/>
          <w:lang w:eastAsia="zh-CN"/>
        </w:rPr>
        <w:t>，同时积极鼓励供应商以电子履约保函形式提供履约担保</w:t>
      </w:r>
      <w:r>
        <w:rPr>
          <w:rFonts w:hint="eastAsia" w:ascii="仿宋" w:hAnsi="仿宋" w:eastAsia="仿宋" w:cs="仿宋"/>
          <w:color w:val="auto"/>
          <w:sz w:val="24"/>
          <w:highlight w:val="none"/>
        </w:rPr>
        <w:t>。采购人不得拒收履约保函，项目验收结束后应及时退还，延迟退还的，应当按照合同约定和法律规定承担相应的赔偿责任。</w:t>
      </w:r>
    </w:p>
    <w:p w14:paraId="79935A16">
      <w:pPr>
        <w:shd w:val="clear"/>
        <w:wordWrap/>
        <w:topLinePunct w:val="0"/>
        <w:bidi w:val="0"/>
        <w:snapToGrid w:val="0"/>
        <w:spacing w:line="360" w:lineRule="auto"/>
        <w:ind w:firstLine="3357" w:firstLineChars="1045"/>
        <w:rPr>
          <w:rFonts w:hint="eastAsia" w:ascii="仿宋" w:hAnsi="仿宋" w:eastAsia="仿宋" w:cs="仿宋"/>
          <w:b/>
          <w:color w:val="auto"/>
          <w:sz w:val="32"/>
          <w:highlight w:val="none"/>
        </w:rPr>
      </w:pPr>
    </w:p>
    <w:p w14:paraId="6E89CF49">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14:paraId="310F2013">
      <w:pPr>
        <w:pStyle w:val="21"/>
        <w:shd w:val="clear"/>
        <w:wordWrap/>
        <w:topLinePunct w:val="0"/>
        <w:bidi w:val="0"/>
        <w:snapToGrid w:val="0"/>
        <w:spacing w:before="0"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77BD99BB">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14:paraId="61A72254">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14:paraId="2ED95F4E">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14:paraId="59FEB897">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14:paraId="44F48EDB">
      <w:pPr>
        <w:pStyle w:val="21"/>
        <w:shd w:val="clear"/>
        <w:wordWrap/>
        <w:topLinePunct w:val="0"/>
        <w:bidi w:val="0"/>
        <w:snapToGrid w:val="0"/>
        <w:spacing w:before="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14:paraId="74D044DC">
      <w:pPr>
        <w:pStyle w:val="21"/>
        <w:shd w:val="clear"/>
        <w:wordWrap/>
        <w:topLinePunct w:val="0"/>
        <w:bidi w:val="0"/>
        <w:snapToGrid w:val="0"/>
        <w:spacing w:before="0" w:line="36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2A8DC53">
      <w:pPr>
        <w:shd w:val="clear"/>
        <w:tabs>
          <w:tab w:val="left" w:pos="0"/>
        </w:tabs>
        <w:wordWrap/>
        <w:topLinePunct w:val="0"/>
        <w:bidi w:val="0"/>
        <w:spacing w:line="360" w:lineRule="auto"/>
        <w:ind w:firstLine="480"/>
        <w:rPr>
          <w:rFonts w:hint="eastAsia" w:ascii="仿宋" w:hAnsi="仿宋" w:eastAsia="仿宋" w:cs="仿宋"/>
          <w:color w:val="auto"/>
          <w:sz w:val="24"/>
          <w:highlight w:val="none"/>
        </w:rPr>
      </w:pPr>
    </w:p>
    <w:p w14:paraId="33D0A34E">
      <w:pPr>
        <w:shd w:val="clear"/>
        <w:wordWrap/>
        <w:topLinePunct w:val="0"/>
        <w:bidi w:val="0"/>
        <w:snapToGrid w:val="0"/>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14:paraId="2AA4E874">
      <w:pPr>
        <w:pStyle w:val="8"/>
        <w:shd w:val="clear"/>
        <w:wordWrap/>
        <w:topLinePunct w:val="0"/>
        <w:bidi w:val="0"/>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14:paraId="4849F46D">
      <w:pPr>
        <w:shd w:val="clear"/>
        <w:tabs>
          <w:tab w:val="left" w:pos="0"/>
        </w:tabs>
        <w:wordWrap/>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F98F8E">
      <w:pPr>
        <w:shd w:val="clear"/>
        <w:tabs>
          <w:tab w:val="left" w:pos="0"/>
        </w:tabs>
        <w:wordWrap/>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29.2采购人可以邀请参加本项目的其他供应商或者第三方机构参与验收。参与验收的供应商或者第三方机构的意见作为验收书的参考资料一并存档。</w:t>
      </w:r>
    </w:p>
    <w:p w14:paraId="3975C1FA">
      <w:pPr>
        <w:shd w:val="clear"/>
        <w:tabs>
          <w:tab w:val="left" w:pos="0"/>
        </w:tabs>
        <w:wordWrap/>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3AE25D">
      <w:pPr>
        <w:shd w:val="clear"/>
        <w:tabs>
          <w:tab w:val="left" w:pos="0"/>
        </w:tabs>
        <w:wordWrap/>
        <w:topLinePunct w:val="0"/>
        <w:bidi w:val="0"/>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D8042F2">
      <w:pPr>
        <w:shd w:val="clear"/>
        <w:tabs>
          <w:tab w:val="left" w:pos="0"/>
        </w:tabs>
        <w:wordWrap/>
        <w:topLinePunct w:val="0"/>
        <w:bidi w:val="0"/>
        <w:spacing w:line="360" w:lineRule="auto"/>
        <w:ind w:firstLine="480"/>
        <w:rPr>
          <w:rFonts w:hint="eastAsia" w:ascii="仿宋" w:hAnsi="仿宋" w:eastAsia="仿宋" w:cs="仿宋"/>
          <w:color w:val="auto"/>
          <w:kern w:val="0"/>
          <w:sz w:val="24"/>
          <w:highlight w:val="none"/>
        </w:rPr>
        <w:sectPr>
          <w:pgSz w:w="11906" w:h="16838"/>
          <w:pgMar w:top="1440" w:right="1080" w:bottom="1440" w:left="1080" w:header="851" w:footer="992" w:gutter="0"/>
          <w:cols w:space="720" w:num="1"/>
          <w:titlePg/>
          <w:docGrid w:linePitch="312" w:charSpace="0"/>
        </w:sectPr>
      </w:pPr>
      <w:bookmarkStart w:id="19" w:name="_Hlt74730295"/>
      <w:bookmarkEnd w:id="19"/>
      <w:bookmarkStart w:id="20" w:name="_Hlt68057669"/>
      <w:bookmarkEnd w:id="20"/>
      <w:bookmarkStart w:id="21" w:name="_Hlt75236290"/>
      <w:bookmarkEnd w:id="21"/>
      <w:bookmarkStart w:id="22" w:name="_Hlt68073093"/>
      <w:bookmarkEnd w:id="22"/>
      <w:bookmarkStart w:id="23" w:name="_Hlt74729768"/>
      <w:bookmarkEnd w:id="23"/>
      <w:bookmarkStart w:id="24" w:name="_Hlt75236011"/>
      <w:bookmarkEnd w:id="24"/>
      <w:bookmarkStart w:id="25" w:name="_Hlt74714665"/>
      <w:bookmarkEnd w:id="25"/>
      <w:bookmarkStart w:id="26" w:name="_Hlt75236101"/>
      <w:bookmarkEnd w:id="26"/>
      <w:bookmarkStart w:id="27" w:name="_Hlt68403820"/>
      <w:bookmarkEnd w:id="27"/>
      <w:bookmarkStart w:id="28" w:name="_Hlt68072998"/>
      <w:bookmarkEnd w:id="28"/>
      <w:bookmarkStart w:id="29" w:name="_Hlt74707468"/>
      <w:bookmarkEnd w:id="29"/>
      <w:bookmarkStart w:id="30" w:name="_Hlt68072990"/>
      <w:bookmarkEnd w:id="30"/>
    </w:p>
    <w:bookmarkEnd w:id="13"/>
    <w:bookmarkEnd w:id="14"/>
    <w:p w14:paraId="54E0259A">
      <w:pPr>
        <w:pStyle w:val="11"/>
        <w:shd w:val="clear"/>
        <w:wordWrap/>
        <w:topLinePunct w:val="0"/>
        <w:bidi w:val="0"/>
        <w:spacing w:line="360" w:lineRule="auto"/>
        <w:jc w:val="center"/>
        <w:rPr>
          <w:rFonts w:hint="eastAsia" w:ascii="仿宋" w:hAnsi="仿宋" w:eastAsia="仿宋" w:cs="仿宋"/>
          <w:b/>
          <w:snapToGrid/>
          <w:color w:val="auto"/>
          <w:sz w:val="36"/>
          <w:szCs w:val="20"/>
          <w:highlight w:val="none"/>
        </w:rPr>
      </w:pPr>
      <w:bookmarkStart w:id="31" w:name="第四部分"/>
      <w:r>
        <w:rPr>
          <w:rFonts w:hint="eastAsia" w:ascii="仿宋" w:hAnsi="仿宋" w:eastAsia="仿宋" w:cs="仿宋"/>
          <w:b/>
          <w:snapToGrid/>
          <w:color w:val="auto"/>
          <w:sz w:val="36"/>
          <w:szCs w:val="20"/>
          <w:highlight w:val="none"/>
        </w:rPr>
        <w:t>第三部分 采购需求</w:t>
      </w:r>
    </w:p>
    <w:p w14:paraId="3127DBFA">
      <w:pPr>
        <w:shd w:val="clear"/>
        <w:wordWrap/>
        <w:topLinePunct w:val="0"/>
        <w:bidi w:val="0"/>
        <w:spacing w:line="360" w:lineRule="auto"/>
        <w:ind w:firstLine="140" w:firstLineChar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一、总则</w:t>
      </w:r>
    </w:p>
    <w:p w14:paraId="1E54E4CA">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1.本技术规范要求提出的是最低限度的基本技术要求，并未对所有技术细节作出规定，供应商应提供符合本技术要求和国家标准、行业标准的优质施工。</w:t>
      </w:r>
    </w:p>
    <w:p w14:paraId="0FDE7D60">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提供的施工与本技术要求不一致时，供应商应在响应文件中予以说明，并由磋商小组鉴定供应商施工能否达到要求。如供应商没有在响应文件中提出异议，则视为供应商提供的施工完全按照本磋商文件要求。</w:t>
      </w:r>
    </w:p>
    <w:p w14:paraId="74A28DB4">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3.技术要求及标准的执行</w:t>
      </w:r>
    </w:p>
    <w:p w14:paraId="2BAF53DF">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供的施工应标明所执行的质量标准，若同一标准已颁发新标准，则按最新标准执行。若同一施工同时有几个标准（国际标准、国家标准、行业标准、企业标准等），则按最高层次的标准执行。供应商须按国家有关规定及标准完成本项目所需做的所有施工。</w:t>
      </w:r>
    </w:p>
    <w:p w14:paraId="03AF493C">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二、项目概况</w:t>
      </w:r>
    </w:p>
    <w:p w14:paraId="346988FB">
      <w:pPr>
        <w:pStyle w:val="27"/>
        <w:wordWrap/>
        <w:topLinePunct w:val="0"/>
        <w:bidi w:val="0"/>
        <w:spacing w:line="360" w:lineRule="auto"/>
        <w:ind w:firstLine="240" w:firstLineChars="100"/>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sz w:val="24"/>
          <w:highlight w:val="none"/>
        </w:rPr>
        <w:t>采购项目：</w:t>
      </w:r>
      <w:r>
        <w:rPr>
          <w:rFonts w:hint="eastAsia" w:ascii="仿宋" w:hAnsi="仿宋" w:eastAsia="仿宋" w:cs="仿宋"/>
          <w:b w:val="0"/>
          <w:bCs w:val="0"/>
          <w:color w:val="auto"/>
          <w:sz w:val="24"/>
          <w:szCs w:val="24"/>
          <w:highlight w:val="none"/>
          <w:lang w:val="en-US" w:eastAsia="zh-CN"/>
        </w:rPr>
        <w:t>沙堤社区党群服务中心改造项目</w:t>
      </w:r>
    </w:p>
    <w:p w14:paraId="26E21606">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▲采购预算：人民币</w:t>
      </w:r>
      <w:r>
        <w:rPr>
          <w:rFonts w:hint="eastAsia" w:ascii="仿宋" w:hAnsi="仿宋" w:eastAsia="仿宋" w:cs="仿宋"/>
          <w:b/>
          <w:color w:val="auto"/>
          <w:sz w:val="24"/>
          <w:highlight w:val="none"/>
          <w:u w:val="single"/>
        </w:rPr>
        <w:t>1926769</w:t>
      </w:r>
      <w:r>
        <w:rPr>
          <w:rFonts w:hint="eastAsia" w:ascii="仿宋" w:hAnsi="仿宋" w:eastAsia="仿宋" w:cs="仿宋"/>
          <w:color w:val="auto"/>
          <w:sz w:val="24"/>
          <w:highlight w:val="none"/>
        </w:rPr>
        <w:t>元</w:t>
      </w:r>
    </w:p>
    <w:p w14:paraId="3D6D2707">
      <w:pPr>
        <w:shd w:val="clear"/>
        <w:wordWrap/>
        <w:topLinePunct w:val="0"/>
        <w:bidi w:val="0"/>
        <w:spacing w:line="360" w:lineRule="auto"/>
        <w:ind w:firstLine="120" w:firstLineChars="50"/>
        <w:rPr>
          <w:rFonts w:hint="eastAsia"/>
          <w:color w:val="auto"/>
          <w:highlight w:val="none"/>
        </w:rPr>
      </w:pPr>
      <w:r>
        <w:rPr>
          <w:rFonts w:hint="eastAsia" w:ascii="仿宋" w:hAnsi="仿宋" w:eastAsia="仿宋" w:cs="仿宋"/>
          <w:color w:val="auto"/>
          <w:sz w:val="24"/>
          <w:highlight w:val="none"/>
        </w:rPr>
        <w:t>▲最高限价：人民币</w:t>
      </w:r>
      <w:r>
        <w:rPr>
          <w:rFonts w:hint="eastAsia" w:ascii="仿宋" w:hAnsi="仿宋" w:eastAsia="仿宋" w:cs="仿宋"/>
          <w:b/>
          <w:color w:val="auto"/>
          <w:sz w:val="24"/>
          <w:highlight w:val="none"/>
          <w:u w:val="single"/>
        </w:rPr>
        <w:t>1734092</w:t>
      </w:r>
      <w:r>
        <w:rPr>
          <w:rFonts w:hint="eastAsia" w:ascii="仿宋" w:hAnsi="仿宋" w:eastAsia="仿宋" w:cs="仿宋"/>
          <w:color w:val="auto"/>
          <w:sz w:val="24"/>
          <w:highlight w:val="none"/>
        </w:rPr>
        <w:t>元</w:t>
      </w:r>
    </w:p>
    <w:p w14:paraId="5348C5D7">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▲工期：</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日历天</w:t>
      </w:r>
    </w:p>
    <w:p w14:paraId="72DA3842">
      <w:pPr>
        <w:shd w:val="clear"/>
        <w:wordWrap/>
        <w:topLinePunct w:val="0"/>
        <w:bidi w:val="0"/>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▲质量目标：合格</w:t>
      </w:r>
    </w:p>
    <w:p w14:paraId="33EB1E36">
      <w:pPr>
        <w:shd w:val="clear"/>
        <w:wordWrap/>
        <w:topLinePunct w:val="0"/>
        <w:bidi w:val="0"/>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三、采购范围及要求</w:t>
      </w:r>
    </w:p>
    <w:p w14:paraId="00A70AE5">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1.采购范围：本工程为</w:t>
      </w:r>
      <w:r>
        <w:rPr>
          <w:rFonts w:hint="eastAsia" w:ascii="仿宋" w:hAnsi="仿宋" w:eastAsia="仿宋" w:cs="仿宋"/>
          <w:color w:val="auto"/>
          <w:sz w:val="24"/>
          <w:highlight w:val="none"/>
          <w:lang w:eastAsia="zh-CN"/>
        </w:rPr>
        <w:t>沙堤社区党群服务中心改造项目</w:t>
      </w:r>
      <w:r>
        <w:rPr>
          <w:rFonts w:hint="eastAsia" w:ascii="仿宋" w:hAnsi="仿宋" w:eastAsia="仿宋" w:cs="仿宋"/>
          <w:color w:val="auto"/>
          <w:sz w:val="24"/>
          <w:highlight w:val="none"/>
        </w:rPr>
        <w:t>，主要工作内容为</w:t>
      </w:r>
      <w:r>
        <w:rPr>
          <w:rFonts w:hint="eastAsia" w:ascii="仿宋" w:hAnsi="仿宋" w:eastAsia="仿宋" w:cs="仿宋"/>
          <w:color w:val="auto"/>
          <w:sz w:val="24"/>
          <w:highlight w:val="none"/>
          <w:lang w:eastAsia="zh-CN"/>
        </w:rPr>
        <w:t>沙堤社区党群服务中心改造项目</w:t>
      </w:r>
      <w:r>
        <w:rPr>
          <w:rFonts w:hint="eastAsia" w:ascii="仿宋" w:hAnsi="仿宋" w:eastAsia="仿宋" w:cs="仿宋"/>
          <w:color w:val="auto"/>
          <w:sz w:val="24"/>
          <w:highlight w:val="none"/>
        </w:rPr>
        <w:t>的竞争性磋商文件、工程量清单及施工图范围内的所有内容。</w:t>
      </w:r>
    </w:p>
    <w:p w14:paraId="03AFD1FF">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2．采购要求：实行包工、包料、包质量、包工期、包安全文明施工总承包。</w:t>
      </w:r>
    </w:p>
    <w:p w14:paraId="4EE74757">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3.质量要求：符合现行国家有关工程施工验收规范和标准的合格要求。</w:t>
      </w:r>
    </w:p>
    <w:p w14:paraId="7889C9D6">
      <w:pPr>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四、其他</w:t>
      </w:r>
    </w:p>
    <w:p w14:paraId="75BDC3CC">
      <w:pPr>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1.现行国家、省、市有关工程设计规范，强制性标准；</w:t>
      </w:r>
    </w:p>
    <w:p w14:paraId="57BF1BEF">
      <w:pPr>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2.与本工程有关的资料和供应商现场踏勘后的实际情况和业主要求。</w:t>
      </w:r>
    </w:p>
    <w:p w14:paraId="7A1B1B47">
      <w:pPr>
        <w:shd w:val="clear"/>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3.供应商应按第七章“工程量清单”的要求填写相应表格。</w:t>
      </w:r>
    </w:p>
    <w:p w14:paraId="68378974">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4.计价方法统一以《建设工程工程量清单计价规范》（GB50500—2013）规定的项目编码、项目名称、计量单位、工程量计算规则为依据，并根据《浙江省建设工程计价规则》（2018 版），以采购人给出的工程量清单内容，参照浙江省 2018 版计价依据，结合项目具体条件和企业定额，自主报价。</w:t>
      </w:r>
    </w:p>
    <w:p w14:paraId="3DD71E0F">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5.除非采购人对竞争性磋商文件予以修改，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6270F614">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6.措施项目（包括施工技术措施和施工组织措施）是为完成工程项目施工，发生于该工程施工前和施工过程中技术、生活、安全等方面的非工程实体项目。</w:t>
      </w:r>
    </w:p>
    <w:p w14:paraId="276CB10A">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7.供应商应对所有的措施项目按“措施项目分析表”进行报价分析，措施费用为包干费用。</w:t>
      </w:r>
    </w:p>
    <w:p w14:paraId="203802AC">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8.规费是指国家及地方政府规定必须交纳的费用，包括工程排污费、社会保障费、住房公积金、危险作业意外伤害保险费等。</w:t>
      </w:r>
    </w:p>
    <w:p w14:paraId="057C99B4">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.供应商需充分考虑以下影响因素，由此产生的费用计入磋商报价中：</w:t>
      </w:r>
    </w:p>
    <w:p w14:paraId="199866B0">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工程量清单报价时应仔细阅读竞争性磋商文件，结合竞争性磋商文件、设计及施工规范、当地质检部门的质量验收规定进行报价，并应包含各项目所有工序的费用总和，另需采用的技术措施费等要考虑在综合单价或措施费中，否则，视同优惠。如供应商对清单有任何疑问，应在规定时限内书面提出，否则视作无异议。</w:t>
      </w:r>
    </w:p>
    <w:p w14:paraId="292EABF4">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本工程量清单子目报价要求各供应商根据工程量清单项目特征内容综合报价，对于没有在清单中列出的工作内容或清单描述不够详尽之处，要求各供应商根据施工规范结合现场等在相应子目中综合考虑，今后不做调整。</w:t>
      </w:r>
    </w:p>
    <w:p w14:paraId="70A51789">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、本工程采用包工、包料、包工期、包质量、包安全的形式，根据中标价一次性 (固定总价) 包干，施工期间如遇国家政策性调价，市场材料价格发生变化等，本工程均不予调整。设计变更工程量同意按实调整，但均按中标让利率让利。</w:t>
      </w:r>
    </w:p>
    <w:p w14:paraId="020E2B3A">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r>
        <w:rPr>
          <w:rFonts w:hint="eastAsia" w:ascii="仿宋" w:hAnsi="仿宋" w:eastAsia="仿宋" w:cs="仿宋"/>
          <w:color w:val="auto"/>
          <w:sz w:val="24"/>
          <w:highlight w:val="none"/>
        </w:rPr>
        <w:t>、本工程由中标单位实行总承包，不得转包，一旦发现转包者，招标人有权终止承包合同，并向施工单位索赔转包造价10%的罚款。</w:t>
      </w:r>
    </w:p>
    <w:p w14:paraId="7830378B">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投标人在投标文件中明确的项目负责人必须到位，不能更换，同时，项目负责人必须在施工现场到岗，且每月至少要到岗25天，到岗期间每天不少于8小时，否则视为未到岗，缺席一天扣300元，并列入考核内容，和招标人另行签订管理合同。中标人在收到中标通知书后2天内必须进场施工，收取中标通知书后5天内不进场施工招标人可终止合同且扣除全部履约保证金（招标人同意延迟开工除外），期间发生的一切费用由中标人承担。中标人拒绝或者拖延与招标人签订合同的，招标人有权取消中标人的中标资格。</w:t>
      </w:r>
    </w:p>
    <w:p w14:paraId="3BF02CF3">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、进场材料须由监理单位验收合格后方可施工。</w:t>
      </w:r>
    </w:p>
    <w:p w14:paraId="1DBB459F">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、中标人在履约合同过程中，若出现三次以上施工检查不合格（包括质量、安全、工期等），招标人有权终止合同。</w:t>
      </w:r>
    </w:p>
    <w:p w14:paraId="346008B3">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、安全文明施工要求</w:t>
      </w:r>
    </w:p>
    <w:p w14:paraId="7F1BA353">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（1）施工现场用水、用电、施工便道由中标人自行解决，费用自理。</w:t>
      </w:r>
    </w:p>
    <w:p w14:paraId="3708BBD7">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（2）中标人负责施工期间与各经营户关系的协调。</w:t>
      </w:r>
    </w:p>
    <w:p w14:paraId="3B714CE7">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（3）中标人必须严格遵守安全、文明施工的操作规程，完善相关制度，落实安全措施，做好各项保险等工作，在工程开展期间发生安全事故均由中标人负责。</w:t>
      </w:r>
    </w:p>
    <w:p w14:paraId="717BB5CB">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（4）本工程凡涉及治安、市政、市容、环保、交通、计划生育、所在地承包户关系协调等问题和费用均由中标人负责解决并承担经济支出。</w:t>
      </w:r>
    </w:p>
    <w:p w14:paraId="44A7D520">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（5）施工时不得损坏一切公共设施，如有损坏必须照价赔偿或修复，费用由中标人承担。</w:t>
      </w:r>
    </w:p>
    <w:p w14:paraId="2B7118CD">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（6）施工期间应在显眼且安全的地方设置告示牌，告示牌的内容包括施工内容、施工工期、施工单位、项目负责人姓名与联系方式等。</w:t>
      </w:r>
    </w:p>
    <w:p w14:paraId="41529174">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7）施工期间，实行封闭管理，施工地段和施工设计范围必须设置有效安全设施和标志、标牌、警示灯，施工场地内外（材料、人员、车辆交通等）的安全责任由中标人负责，如发生各种事故，一切法律及经济责任由中标人承担，与招标人无涉。工程施工中和竣工后因质量问题而引发的事故一切法律责任及经济责任由中标人承担。</w:t>
      </w:r>
    </w:p>
    <w:p w14:paraId="655E8FEE">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（8）现场用电的安装、设置、使用必须符合规范要求，现场用电接线及安装电器作业必须由电工完成，他人不得随意乱接乱挂，发现电线老化，破皮等要及时整改。</w:t>
      </w:r>
    </w:p>
    <w:p w14:paraId="53F78539">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（9）在施工过程中应注意环境卫生，确保工地现场周围的清洁、施工废料及时清理干净。</w:t>
      </w:r>
    </w:p>
    <w:p w14:paraId="24DFCA33">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10）所有施工工作人员的用工手续、保险手续需齐全，费用由中标方承担，施工人员上下班途中及施工期间发生的一切安全事故责任由中标人自行负责，与招标人无涉。施工现场必须按规定正确戴好安全帽；各相关工种必须按规定持证上岗。</w:t>
      </w:r>
    </w:p>
    <w:p w14:paraId="148E9CBB">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（11）中标人应委派专人负责交通安全，引导过往车辆和行人通行，确保无交通安全事故发生，如发生交通安全事故，一切法律及经济责任由中标人承担，与招标人无涉。</w:t>
      </w:r>
    </w:p>
    <w:p w14:paraId="68546D2E">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（12）施工现场、土方及建筑材料运输途中等与本工程相关的所有安全事宜均由中标人负责，并承担由此支出的一切费用。</w:t>
      </w:r>
    </w:p>
    <w:p w14:paraId="2C6EEEB4">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五、施工技术要求</w:t>
      </w:r>
    </w:p>
    <w:p w14:paraId="708B1DC5">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▲六、商务要求</w:t>
      </w:r>
    </w:p>
    <w:p w14:paraId="5F30D23C">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工期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60</w:t>
      </w:r>
      <w:r>
        <w:rPr>
          <w:rFonts w:hint="eastAsia" w:ascii="仿宋" w:hAnsi="仿宋" w:eastAsia="仿宋" w:cs="仿宋"/>
          <w:color w:val="auto"/>
          <w:sz w:val="24"/>
          <w:highlight w:val="none"/>
          <w:u w:val="none"/>
        </w:rPr>
        <w:t>日历天</w:t>
      </w:r>
    </w:p>
    <w:p w14:paraId="57D1C5F1">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质保期(保修期)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p>
    <w:p w14:paraId="71E9C773">
      <w:pPr>
        <w:pageBreakBefore w:val="0"/>
        <w:kinsoku/>
        <w:wordWrap/>
        <w:overflowPunct/>
        <w:topLinePunct w:val="0"/>
        <w:autoSpaceDE/>
        <w:autoSpaceDN/>
        <w:bidi w:val="0"/>
        <w:snapToGrid w:val="0"/>
        <w:spacing w:line="360" w:lineRule="auto"/>
        <w:ind w:left="420" w:leftChars="200" w:firstLine="0" w:firstLineChars="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付款方式：</w:t>
      </w:r>
      <w:r>
        <w:rPr>
          <w:rFonts w:hint="eastAsia" w:ascii="仿宋_GB2312" w:hAnsi="仿宋" w:eastAsia="仿宋_GB2312" w:cs="仿宋_GB2312"/>
          <w:color w:val="auto"/>
          <w:sz w:val="24"/>
          <w:highlight w:val="none"/>
          <w:lang w:val="en-US" w:eastAsia="zh-CN"/>
        </w:rPr>
        <w:t>1、合同签订后，中标人支付合同价的1%作为履约保证金</w:t>
      </w:r>
      <w:r>
        <w:rPr>
          <w:rFonts w:hint="eastAsia" w:ascii="仿宋" w:hAnsi="仿宋" w:eastAsia="仿宋" w:cs="仿宋"/>
          <w:color w:val="auto"/>
          <w:sz w:val="24"/>
          <w:highlight w:val="none"/>
        </w:rPr>
        <w:t>（履约保证金形式应以银行、保险公司出具的保函形式提供）</w:t>
      </w:r>
      <w:r>
        <w:rPr>
          <w:rFonts w:hint="eastAsia" w:ascii="仿宋_GB2312" w:hAnsi="仿宋" w:eastAsia="仿宋_GB2312" w:cs="仿宋_GB2312"/>
          <w:color w:val="auto"/>
          <w:sz w:val="24"/>
          <w:highlight w:val="none"/>
          <w:lang w:val="en-US" w:eastAsia="zh-CN"/>
        </w:rPr>
        <w:t>。2、</w:t>
      </w:r>
      <w:r>
        <w:rPr>
          <w:rFonts w:hint="eastAsia" w:ascii="仿宋" w:hAnsi="仿宋" w:eastAsia="仿宋" w:cs="仿宋"/>
          <w:color w:val="auto"/>
          <w:sz w:val="24"/>
          <w:highlight w:val="none"/>
          <w:lang w:val="en-US" w:eastAsia="zh-CN"/>
        </w:rPr>
        <w:t>自合同生效之日起，中标人先向采购人支付合同40%的预付款保函（应当以支票、汇票、本票或者金融机构、担保机构出具的保函等非现金形式提交。鼓励和支持供应商以银行、保险公司出具的保函形式提供），待采购人收到预付款保函后，采购人向中标人预付合同总价的40%。（签订合同时，乙方提出不要求预付款或降低预付款比例的，可不适用该条款）其它详见合同条款格式部分，竣工验收合格后支付至合同价的70%；工程竣工验收合格满一年且审计完成、完整的资料归档后支付至审计价的 98.5%，剩余1.5%二年后按审计价结清。</w:t>
      </w:r>
    </w:p>
    <w:p w14:paraId="5C6906F9">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七、其他要求</w:t>
      </w:r>
    </w:p>
    <w:p w14:paraId="129BE8B8">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1.本磋商文件中带“▲”的条款内容，为本次磋商的实质性内容，供应商必须全部响应，否则将作无效标处理。“★”的条款内容为重要性条款。</w:t>
      </w:r>
    </w:p>
    <w:p w14:paraId="642F9E82">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2.磋商响应供应商认为优于磋商需求的其他相关证明材料。</w:t>
      </w:r>
    </w:p>
    <w:p w14:paraId="5ECAC21A">
      <w:pPr>
        <w:shd w:val="clear"/>
        <w:spacing w:line="360" w:lineRule="auto"/>
        <w:ind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3.磋商报价要求：总报价指包括为完成本项目服务所支付的人工费、材料费、机械费、制作标书费、税费及其他一切费用。</w:t>
      </w:r>
    </w:p>
    <w:p w14:paraId="330C9232">
      <w:pPr>
        <w:widowControl/>
        <w:shd w:val="clear"/>
        <w:wordWrap/>
        <w:topLinePunct w:val="0"/>
        <w:bidi w:val="0"/>
        <w:spacing w:line="360" w:lineRule="auto"/>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4.文件中所提的是基本服务要求，供应商应根据相关法律法规及采购人机构特点，提供更为完善的服务。</w:t>
      </w:r>
    </w:p>
    <w:p w14:paraId="6234E71C">
      <w:pPr>
        <w:shd w:val="clear"/>
        <w:wordWrap/>
        <w:topLinePunct w:val="0"/>
        <w:bidi w:val="0"/>
        <w:spacing w:line="360" w:lineRule="auto"/>
        <w:rPr>
          <w:rFonts w:hint="eastAsia" w:ascii="仿宋" w:hAnsi="仿宋" w:eastAsia="仿宋" w:cs="仿宋"/>
          <w:snapToGrid w:val="0"/>
          <w:color w:val="auto"/>
          <w:kern w:val="0"/>
          <w:sz w:val="24"/>
          <w:highlight w:val="none"/>
        </w:rPr>
      </w:pPr>
    </w:p>
    <w:p w14:paraId="2F131CA6">
      <w:pPr>
        <w:shd w:val="clear"/>
        <w:wordWrap/>
        <w:topLinePunct w:val="0"/>
        <w:bidi w:val="0"/>
        <w:snapToGrid w:val="0"/>
        <w:spacing w:line="360" w:lineRule="auto"/>
        <w:jc w:val="center"/>
        <w:rPr>
          <w:rFonts w:hint="eastAsia" w:ascii="仿宋" w:hAnsi="仿宋" w:eastAsia="仿宋" w:cs="仿宋"/>
          <w:b/>
          <w:color w:val="auto"/>
          <w:sz w:val="36"/>
          <w:szCs w:val="20"/>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20"/>
          <w:highlight w:val="none"/>
        </w:rPr>
        <w:t>第四部分</w:t>
      </w:r>
      <w:bookmarkStart w:id="32" w:name="_Toc184314476"/>
      <w:bookmarkEnd w:id="32"/>
      <w:bookmarkStart w:id="33" w:name="_Toc184312115"/>
      <w:bookmarkEnd w:id="33"/>
      <w:bookmarkStart w:id="34" w:name="_Toc184310281"/>
      <w:bookmarkEnd w:id="34"/>
      <w:bookmarkStart w:id="35" w:name="_Toc184310322"/>
      <w:bookmarkEnd w:id="35"/>
      <w:bookmarkStart w:id="36" w:name="_Toc184314446"/>
      <w:bookmarkEnd w:id="36"/>
      <w:bookmarkStart w:id="37" w:name="_Toc184310315"/>
      <w:bookmarkEnd w:id="37"/>
      <w:bookmarkStart w:id="38" w:name="_Toc184310331"/>
      <w:bookmarkEnd w:id="38"/>
      <w:bookmarkStart w:id="39" w:name="_Toc184308039"/>
      <w:bookmarkEnd w:id="39"/>
      <w:bookmarkStart w:id="40" w:name="_Toc184313263"/>
      <w:bookmarkEnd w:id="40"/>
      <w:bookmarkStart w:id="41" w:name="_Toc184313265"/>
      <w:bookmarkEnd w:id="41"/>
      <w:bookmarkStart w:id="42" w:name="_Toc184313277"/>
      <w:bookmarkEnd w:id="42"/>
      <w:bookmarkStart w:id="43" w:name="_Toc184313309"/>
      <w:bookmarkEnd w:id="43"/>
      <w:bookmarkStart w:id="44" w:name="_Toc184312069"/>
      <w:bookmarkEnd w:id="44"/>
      <w:bookmarkStart w:id="45" w:name="_Toc184312128"/>
      <w:bookmarkEnd w:id="45"/>
      <w:bookmarkStart w:id="46" w:name="_Toc184314416"/>
      <w:bookmarkEnd w:id="46"/>
      <w:bookmarkStart w:id="47" w:name="_Toc184308076"/>
      <w:bookmarkEnd w:id="47"/>
      <w:bookmarkStart w:id="48" w:name="_Toc184310337"/>
      <w:bookmarkEnd w:id="48"/>
      <w:bookmarkStart w:id="49" w:name="_Toc184314423"/>
      <w:bookmarkEnd w:id="49"/>
      <w:bookmarkStart w:id="50" w:name="_Toc184310279"/>
      <w:bookmarkEnd w:id="50"/>
      <w:bookmarkStart w:id="51" w:name="_Toc184312116"/>
      <w:bookmarkEnd w:id="51"/>
      <w:bookmarkStart w:id="52" w:name="_Toc184310307"/>
      <w:bookmarkEnd w:id="52"/>
      <w:bookmarkStart w:id="53" w:name="_Toc184312125"/>
      <w:bookmarkEnd w:id="53"/>
      <w:bookmarkStart w:id="54" w:name="_Toc184310341"/>
      <w:bookmarkEnd w:id="54"/>
      <w:bookmarkStart w:id="55" w:name="_Toc184310314"/>
      <w:bookmarkEnd w:id="55"/>
      <w:bookmarkStart w:id="56" w:name="_Toc184308053"/>
      <w:bookmarkEnd w:id="56"/>
      <w:bookmarkStart w:id="57" w:name="_Toc184313266"/>
      <w:bookmarkEnd w:id="57"/>
      <w:bookmarkStart w:id="58" w:name="_Toc184313295"/>
      <w:bookmarkEnd w:id="58"/>
      <w:bookmarkStart w:id="59" w:name="_Toc184312085"/>
      <w:bookmarkEnd w:id="59"/>
      <w:bookmarkStart w:id="60" w:name="_Toc184312067"/>
      <w:bookmarkEnd w:id="60"/>
      <w:bookmarkStart w:id="61" w:name="_Toc184314419"/>
      <w:bookmarkEnd w:id="61"/>
      <w:bookmarkStart w:id="62" w:name="_Toc184308058"/>
      <w:bookmarkEnd w:id="62"/>
      <w:bookmarkStart w:id="63" w:name="_Toc184310329"/>
      <w:bookmarkEnd w:id="63"/>
      <w:bookmarkStart w:id="64" w:name="_Toc184314482"/>
      <w:bookmarkEnd w:id="64"/>
      <w:bookmarkStart w:id="65" w:name="_Toc184313283"/>
      <w:bookmarkEnd w:id="65"/>
      <w:bookmarkStart w:id="66" w:name="_Toc184313275"/>
      <w:bookmarkEnd w:id="66"/>
      <w:bookmarkStart w:id="67" w:name="_Toc184308044"/>
      <w:bookmarkEnd w:id="67"/>
      <w:bookmarkStart w:id="68" w:name="_Toc184308055"/>
      <w:bookmarkEnd w:id="68"/>
      <w:bookmarkStart w:id="69" w:name="_Toc184314427"/>
      <w:bookmarkEnd w:id="69"/>
      <w:bookmarkStart w:id="70" w:name="_Toc184314467"/>
      <w:bookmarkEnd w:id="70"/>
      <w:bookmarkStart w:id="71" w:name="_Toc184314415"/>
      <w:bookmarkEnd w:id="71"/>
      <w:bookmarkStart w:id="72" w:name="_Toc184314471"/>
      <w:bookmarkEnd w:id="72"/>
      <w:bookmarkStart w:id="73" w:name="_Toc184313271"/>
      <w:bookmarkEnd w:id="73"/>
      <w:bookmarkStart w:id="74" w:name="_Toc184310327"/>
      <w:bookmarkEnd w:id="74"/>
      <w:bookmarkStart w:id="75" w:name="_Toc184314458"/>
      <w:bookmarkEnd w:id="75"/>
      <w:bookmarkStart w:id="76" w:name="_Toc184314468"/>
      <w:bookmarkEnd w:id="76"/>
      <w:bookmarkStart w:id="77" w:name="_Toc184310285"/>
      <w:bookmarkEnd w:id="77"/>
      <w:bookmarkStart w:id="78" w:name="_Toc184313243"/>
      <w:bookmarkEnd w:id="78"/>
      <w:bookmarkStart w:id="79" w:name="_Toc184314453"/>
      <w:bookmarkEnd w:id="79"/>
      <w:bookmarkStart w:id="80" w:name="_Toc184310333"/>
      <w:bookmarkEnd w:id="80"/>
      <w:bookmarkStart w:id="81" w:name="_Toc184310313"/>
      <w:bookmarkEnd w:id="81"/>
      <w:bookmarkStart w:id="82" w:name="_Toc184310290"/>
      <w:bookmarkEnd w:id="82"/>
      <w:bookmarkStart w:id="83" w:name="_Toc184314469"/>
      <w:bookmarkEnd w:id="83"/>
      <w:bookmarkStart w:id="84" w:name="_Toc184308101"/>
      <w:bookmarkEnd w:id="84"/>
      <w:bookmarkStart w:id="85" w:name="_Toc184312073"/>
      <w:bookmarkEnd w:id="85"/>
      <w:bookmarkStart w:id="86" w:name="_Toc184314418"/>
      <w:bookmarkEnd w:id="86"/>
      <w:bookmarkStart w:id="87" w:name="_Toc184314442"/>
      <w:bookmarkEnd w:id="87"/>
      <w:bookmarkStart w:id="88" w:name="_Toc184308046"/>
      <w:bookmarkEnd w:id="88"/>
      <w:bookmarkStart w:id="89" w:name="_Toc184313294"/>
      <w:bookmarkEnd w:id="89"/>
      <w:bookmarkStart w:id="90" w:name="_Toc184313255"/>
      <w:bookmarkEnd w:id="90"/>
      <w:bookmarkStart w:id="91" w:name="_Toc184312124"/>
      <w:bookmarkEnd w:id="91"/>
      <w:bookmarkStart w:id="92" w:name="_Toc184312118"/>
      <w:bookmarkEnd w:id="92"/>
      <w:bookmarkStart w:id="93" w:name="_Toc184313293"/>
      <w:bookmarkEnd w:id="93"/>
      <w:bookmarkStart w:id="94" w:name="_Toc184310300"/>
      <w:bookmarkEnd w:id="94"/>
      <w:bookmarkStart w:id="95" w:name="_Toc184312104"/>
      <w:bookmarkEnd w:id="95"/>
      <w:bookmarkStart w:id="96" w:name="_Toc184308067"/>
      <w:bookmarkEnd w:id="96"/>
      <w:bookmarkStart w:id="97" w:name="_Toc184310286"/>
      <w:bookmarkEnd w:id="97"/>
      <w:bookmarkStart w:id="98" w:name="_Toc184313262"/>
      <w:bookmarkEnd w:id="98"/>
      <w:bookmarkStart w:id="99" w:name="_Toc184308096"/>
      <w:bookmarkEnd w:id="99"/>
      <w:bookmarkStart w:id="100" w:name="_Toc184308091"/>
      <w:bookmarkEnd w:id="100"/>
      <w:bookmarkStart w:id="101" w:name="_Toc184313264"/>
      <w:bookmarkEnd w:id="101"/>
      <w:bookmarkStart w:id="102" w:name="_Toc184312091"/>
      <w:bookmarkEnd w:id="102"/>
      <w:bookmarkStart w:id="103" w:name="_Toc184313290"/>
      <w:bookmarkEnd w:id="103"/>
      <w:bookmarkStart w:id="104" w:name="_Toc184308038"/>
      <w:bookmarkEnd w:id="104"/>
      <w:bookmarkStart w:id="105" w:name="_Toc184310275"/>
      <w:bookmarkEnd w:id="105"/>
      <w:bookmarkStart w:id="106" w:name="_Toc184310338"/>
      <w:bookmarkEnd w:id="106"/>
      <w:bookmarkStart w:id="107" w:name="_Toc184312126"/>
      <w:bookmarkEnd w:id="107"/>
      <w:bookmarkStart w:id="108" w:name="_Toc184313269"/>
      <w:bookmarkEnd w:id="108"/>
      <w:bookmarkStart w:id="109" w:name="_Toc184308049"/>
      <w:bookmarkEnd w:id="109"/>
      <w:bookmarkStart w:id="110" w:name="_Toc184308054"/>
      <w:bookmarkEnd w:id="110"/>
      <w:bookmarkStart w:id="111" w:name="_Toc184314429"/>
      <w:bookmarkEnd w:id="111"/>
      <w:bookmarkStart w:id="112" w:name="_Toc184308083"/>
      <w:bookmarkEnd w:id="112"/>
      <w:bookmarkStart w:id="113" w:name="_Toc184308051"/>
      <w:bookmarkEnd w:id="113"/>
      <w:bookmarkStart w:id="114" w:name="_Toc184308045"/>
      <w:bookmarkEnd w:id="114"/>
      <w:bookmarkStart w:id="115" w:name="_Toc184312113"/>
      <w:bookmarkEnd w:id="115"/>
      <w:bookmarkStart w:id="116" w:name="_Toc184313297"/>
      <w:bookmarkEnd w:id="116"/>
      <w:bookmarkStart w:id="117" w:name="_Toc184308105"/>
      <w:bookmarkEnd w:id="117"/>
      <w:bookmarkStart w:id="118" w:name="_Toc184310340"/>
      <w:bookmarkEnd w:id="118"/>
      <w:bookmarkStart w:id="119" w:name="_Toc184312110"/>
      <w:bookmarkEnd w:id="119"/>
      <w:bookmarkStart w:id="120" w:name="_Toc184314455"/>
      <w:bookmarkEnd w:id="120"/>
      <w:bookmarkStart w:id="121" w:name="_Toc184308106"/>
      <w:bookmarkEnd w:id="121"/>
      <w:bookmarkStart w:id="122" w:name="_Toc184314479"/>
      <w:bookmarkEnd w:id="122"/>
      <w:bookmarkStart w:id="123" w:name="_Toc184310293"/>
      <w:bookmarkEnd w:id="123"/>
      <w:bookmarkStart w:id="124" w:name="_Toc184308107"/>
      <w:bookmarkEnd w:id="124"/>
      <w:bookmarkStart w:id="125" w:name="_Toc184313281"/>
      <w:bookmarkEnd w:id="125"/>
      <w:bookmarkStart w:id="126" w:name="_Toc184310326"/>
      <w:bookmarkEnd w:id="126"/>
      <w:bookmarkStart w:id="127" w:name="_Toc184313305"/>
      <w:bookmarkEnd w:id="127"/>
      <w:bookmarkStart w:id="128" w:name="_Toc184312103"/>
      <w:bookmarkEnd w:id="128"/>
      <w:bookmarkStart w:id="129" w:name="_Toc184310332"/>
      <w:bookmarkEnd w:id="129"/>
      <w:bookmarkStart w:id="130" w:name="_Toc184314473"/>
      <w:bookmarkEnd w:id="130"/>
      <w:bookmarkStart w:id="131" w:name="_Toc184313273"/>
      <w:bookmarkEnd w:id="131"/>
      <w:bookmarkStart w:id="132" w:name="_Toc184313288"/>
      <w:bookmarkEnd w:id="132"/>
      <w:bookmarkStart w:id="133" w:name="_Toc184312074"/>
      <w:bookmarkEnd w:id="133"/>
      <w:bookmarkStart w:id="134" w:name="_Toc184308066"/>
      <w:bookmarkEnd w:id="134"/>
      <w:bookmarkStart w:id="135" w:name="_Toc184310310"/>
      <w:bookmarkEnd w:id="135"/>
      <w:bookmarkStart w:id="136" w:name="_Toc184312112"/>
      <w:bookmarkEnd w:id="136"/>
      <w:bookmarkStart w:id="137" w:name="_Toc184313299"/>
      <w:bookmarkEnd w:id="137"/>
      <w:bookmarkStart w:id="138" w:name="_Toc184312076"/>
      <w:bookmarkEnd w:id="138"/>
      <w:bookmarkStart w:id="139" w:name="_Toc184312089"/>
      <w:bookmarkEnd w:id="139"/>
      <w:bookmarkStart w:id="140" w:name="_Toc184314478"/>
      <w:bookmarkEnd w:id="140"/>
      <w:bookmarkStart w:id="141" w:name="_Toc184310297"/>
      <w:bookmarkEnd w:id="141"/>
      <w:bookmarkStart w:id="142" w:name="_Toc184310324"/>
      <w:bookmarkEnd w:id="142"/>
      <w:bookmarkStart w:id="143" w:name="_Toc184312097"/>
      <w:bookmarkEnd w:id="143"/>
      <w:bookmarkStart w:id="144" w:name="_Toc184310288"/>
      <w:bookmarkEnd w:id="144"/>
      <w:bookmarkStart w:id="145" w:name="_Toc184308087"/>
      <w:bookmarkEnd w:id="145"/>
      <w:bookmarkStart w:id="146" w:name="_Toc184313249"/>
      <w:bookmarkEnd w:id="146"/>
      <w:bookmarkStart w:id="147" w:name="_Toc184312080"/>
      <w:bookmarkEnd w:id="147"/>
      <w:bookmarkStart w:id="148" w:name="_Toc184313284"/>
      <w:bookmarkEnd w:id="148"/>
      <w:bookmarkStart w:id="149" w:name="_Toc184314475"/>
      <w:bookmarkEnd w:id="149"/>
      <w:bookmarkStart w:id="150" w:name="_Toc184314445"/>
      <w:bookmarkEnd w:id="150"/>
      <w:bookmarkStart w:id="151" w:name="_Toc184310321"/>
      <w:bookmarkEnd w:id="151"/>
      <w:bookmarkStart w:id="152" w:name="_Toc184313250"/>
      <w:bookmarkEnd w:id="152"/>
      <w:bookmarkStart w:id="153" w:name="_Toc184314461"/>
      <w:bookmarkEnd w:id="153"/>
      <w:bookmarkStart w:id="154" w:name="_Toc184308037"/>
      <w:bookmarkEnd w:id="154"/>
      <w:bookmarkStart w:id="155" w:name="_Toc184312114"/>
      <w:bookmarkEnd w:id="155"/>
      <w:bookmarkStart w:id="156" w:name="_Toc184314428"/>
      <w:bookmarkEnd w:id="156"/>
      <w:bookmarkStart w:id="157" w:name="_Toc184314436"/>
      <w:bookmarkEnd w:id="157"/>
      <w:bookmarkStart w:id="158" w:name="_Toc184314443"/>
      <w:bookmarkEnd w:id="158"/>
      <w:bookmarkStart w:id="159" w:name="_Toc184313300"/>
      <w:bookmarkEnd w:id="159"/>
      <w:bookmarkStart w:id="160" w:name="_Toc184314438"/>
      <w:bookmarkEnd w:id="160"/>
      <w:bookmarkStart w:id="161" w:name="_Toc184308082"/>
      <w:bookmarkEnd w:id="161"/>
      <w:bookmarkStart w:id="162" w:name="_Toc184314420"/>
      <w:bookmarkEnd w:id="162"/>
      <w:bookmarkStart w:id="163" w:name="_Toc184312138"/>
      <w:bookmarkEnd w:id="163"/>
      <w:bookmarkStart w:id="164" w:name="_Toc184308050"/>
      <w:bookmarkEnd w:id="164"/>
      <w:bookmarkStart w:id="165" w:name="_Toc184314456"/>
      <w:bookmarkEnd w:id="165"/>
      <w:bookmarkStart w:id="166" w:name="_Toc184312109"/>
      <w:bookmarkEnd w:id="166"/>
      <w:bookmarkStart w:id="167" w:name="_Toc184313296"/>
      <w:bookmarkEnd w:id="167"/>
      <w:bookmarkStart w:id="168" w:name="_Toc184312122"/>
      <w:bookmarkEnd w:id="168"/>
      <w:bookmarkStart w:id="169" w:name="_Toc184312129"/>
      <w:bookmarkEnd w:id="169"/>
      <w:bookmarkStart w:id="170" w:name="_Toc184308095"/>
      <w:bookmarkEnd w:id="170"/>
      <w:bookmarkStart w:id="171" w:name="_Toc184313272"/>
      <w:bookmarkEnd w:id="171"/>
      <w:bookmarkStart w:id="172" w:name="_Toc184314441"/>
      <w:bookmarkEnd w:id="172"/>
      <w:bookmarkStart w:id="173" w:name="_Toc184308052"/>
      <w:bookmarkEnd w:id="173"/>
      <w:bookmarkStart w:id="174" w:name="_Toc184314412"/>
      <w:bookmarkEnd w:id="174"/>
      <w:bookmarkStart w:id="175" w:name="_Toc184308041"/>
      <w:bookmarkEnd w:id="175"/>
      <w:bookmarkStart w:id="176" w:name="_Toc184310289"/>
      <w:bookmarkEnd w:id="176"/>
      <w:bookmarkStart w:id="177" w:name="_Toc184312119"/>
      <w:bookmarkEnd w:id="177"/>
      <w:bookmarkStart w:id="178" w:name="_Toc184314481"/>
      <w:bookmarkEnd w:id="178"/>
      <w:bookmarkStart w:id="179" w:name="_Toc184310343"/>
      <w:bookmarkEnd w:id="179"/>
      <w:bookmarkStart w:id="180" w:name="_Toc184312102"/>
      <w:bookmarkEnd w:id="180"/>
      <w:bookmarkStart w:id="181" w:name="_Toc184314466"/>
      <w:bookmarkEnd w:id="181"/>
      <w:bookmarkStart w:id="182" w:name="_Toc184312094"/>
      <w:bookmarkEnd w:id="182"/>
      <w:bookmarkStart w:id="183" w:name="_Toc184310309"/>
      <w:bookmarkEnd w:id="183"/>
      <w:bookmarkStart w:id="184" w:name="_Toc184310308"/>
      <w:bookmarkEnd w:id="184"/>
      <w:bookmarkStart w:id="185" w:name="_Toc184308060"/>
      <w:bookmarkEnd w:id="185"/>
      <w:bookmarkStart w:id="186" w:name="_Toc184308064"/>
      <w:bookmarkEnd w:id="186"/>
      <w:bookmarkStart w:id="187" w:name="_Toc184308099"/>
      <w:bookmarkEnd w:id="187"/>
      <w:bookmarkStart w:id="188" w:name="_Toc184313240"/>
      <w:bookmarkEnd w:id="188"/>
      <w:bookmarkStart w:id="189" w:name="_Toc184308075"/>
      <w:bookmarkEnd w:id="189"/>
      <w:bookmarkStart w:id="190" w:name="_Toc184314449"/>
      <w:bookmarkEnd w:id="190"/>
      <w:bookmarkStart w:id="191" w:name="_Toc184313310"/>
      <w:bookmarkEnd w:id="191"/>
      <w:bookmarkStart w:id="192" w:name="_Toc184313244"/>
      <w:bookmarkEnd w:id="192"/>
      <w:bookmarkStart w:id="193" w:name="_Toc184308108"/>
      <w:bookmarkEnd w:id="193"/>
      <w:bookmarkStart w:id="194" w:name="_Toc184313268"/>
      <w:bookmarkEnd w:id="194"/>
      <w:bookmarkStart w:id="195" w:name="_Toc184313282"/>
      <w:bookmarkEnd w:id="195"/>
      <w:bookmarkStart w:id="196" w:name="_Toc184308084"/>
      <w:bookmarkEnd w:id="196"/>
      <w:bookmarkStart w:id="197" w:name="_Toc184313287"/>
      <w:bookmarkEnd w:id="197"/>
      <w:bookmarkStart w:id="198" w:name="_Toc184310280"/>
      <w:bookmarkEnd w:id="198"/>
      <w:bookmarkStart w:id="199" w:name="_Toc184314452"/>
      <w:bookmarkEnd w:id="199"/>
      <w:bookmarkStart w:id="200" w:name="_Toc184310319"/>
      <w:bookmarkEnd w:id="200"/>
      <w:bookmarkStart w:id="201" w:name="_Toc184310306"/>
      <w:bookmarkEnd w:id="201"/>
      <w:bookmarkStart w:id="202" w:name="_Toc184308071"/>
      <w:bookmarkEnd w:id="202"/>
      <w:bookmarkStart w:id="203" w:name="_Toc184313270"/>
      <w:bookmarkEnd w:id="203"/>
      <w:bookmarkStart w:id="204" w:name="_Toc184308090"/>
      <w:bookmarkEnd w:id="204"/>
      <w:bookmarkStart w:id="205" w:name="_Toc184310342"/>
      <w:bookmarkEnd w:id="205"/>
      <w:bookmarkStart w:id="206" w:name="_Toc184308074"/>
      <w:bookmarkEnd w:id="206"/>
      <w:bookmarkStart w:id="207" w:name="_Toc184312111"/>
      <w:bookmarkEnd w:id="207"/>
      <w:bookmarkStart w:id="208" w:name="_Toc184313239"/>
      <w:bookmarkEnd w:id="208"/>
      <w:bookmarkStart w:id="209" w:name="_Toc184314454"/>
      <w:bookmarkEnd w:id="209"/>
      <w:bookmarkStart w:id="210" w:name="_Toc184314472"/>
      <w:bookmarkEnd w:id="210"/>
      <w:bookmarkStart w:id="211" w:name="_Toc184314451"/>
      <w:bookmarkEnd w:id="211"/>
      <w:bookmarkStart w:id="212" w:name="_Toc184310277"/>
      <w:bookmarkEnd w:id="212"/>
      <w:bookmarkStart w:id="213" w:name="_Toc184308092"/>
      <w:bookmarkEnd w:id="213"/>
      <w:bookmarkStart w:id="214" w:name="_Toc184308068"/>
      <w:bookmarkEnd w:id="214"/>
      <w:bookmarkStart w:id="215" w:name="_Toc184310282"/>
      <w:bookmarkEnd w:id="215"/>
      <w:bookmarkStart w:id="216" w:name="_Toc184314432"/>
      <w:bookmarkEnd w:id="216"/>
      <w:bookmarkStart w:id="217" w:name="_Toc184308093"/>
      <w:bookmarkEnd w:id="217"/>
      <w:bookmarkStart w:id="218" w:name="_Toc184310295"/>
      <w:bookmarkEnd w:id="218"/>
      <w:bookmarkStart w:id="219" w:name="_Toc184314421"/>
      <w:bookmarkEnd w:id="219"/>
      <w:bookmarkStart w:id="220" w:name="_Toc184314430"/>
      <w:bookmarkEnd w:id="220"/>
      <w:bookmarkStart w:id="221" w:name="_Toc184310339"/>
      <w:bookmarkEnd w:id="221"/>
      <w:bookmarkStart w:id="222" w:name="_Toc184314462"/>
      <w:bookmarkEnd w:id="222"/>
      <w:bookmarkStart w:id="223" w:name="_Toc184312121"/>
      <w:bookmarkEnd w:id="223"/>
      <w:bookmarkStart w:id="224" w:name="_Toc184314417"/>
      <w:bookmarkEnd w:id="224"/>
      <w:bookmarkStart w:id="225" w:name="_Toc184312078"/>
      <w:bookmarkEnd w:id="225"/>
      <w:bookmarkStart w:id="226" w:name="_Toc184313307"/>
      <w:bookmarkEnd w:id="226"/>
      <w:bookmarkStart w:id="227" w:name="_Toc184312107"/>
      <w:bookmarkEnd w:id="227"/>
      <w:bookmarkStart w:id="228" w:name="_Toc184308062"/>
      <w:bookmarkEnd w:id="228"/>
      <w:bookmarkStart w:id="229" w:name="_Toc184313246"/>
      <w:bookmarkEnd w:id="229"/>
      <w:bookmarkStart w:id="230" w:name="_Toc184314413"/>
      <w:bookmarkEnd w:id="230"/>
      <w:bookmarkStart w:id="231" w:name="_Toc184312071"/>
      <w:bookmarkEnd w:id="231"/>
      <w:bookmarkStart w:id="232" w:name="_Toc184308089"/>
      <w:bookmarkEnd w:id="232"/>
      <w:bookmarkStart w:id="233" w:name="_Toc184313252"/>
      <w:bookmarkEnd w:id="233"/>
      <w:bookmarkStart w:id="234" w:name="_Toc184314410"/>
      <w:bookmarkEnd w:id="234"/>
      <w:bookmarkStart w:id="235" w:name="_Toc184308073"/>
      <w:bookmarkEnd w:id="235"/>
      <w:bookmarkStart w:id="236" w:name="_Toc184312070"/>
      <w:bookmarkEnd w:id="236"/>
      <w:bookmarkStart w:id="237" w:name="_Toc184314411"/>
      <w:bookmarkEnd w:id="237"/>
      <w:bookmarkStart w:id="238" w:name="_Toc184308088"/>
      <w:bookmarkEnd w:id="238"/>
      <w:bookmarkStart w:id="239" w:name="_Toc184308069"/>
      <w:bookmarkEnd w:id="239"/>
      <w:bookmarkStart w:id="240" w:name="_Toc184314448"/>
      <w:bookmarkEnd w:id="240"/>
      <w:bookmarkStart w:id="241" w:name="_Toc184312132"/>
      <w:bookmarkEnd w:id="241"/>
      <w:bookmarkStart w:id="242" w:name="_Toc184313261"/>
      <w:bookmarkEnd w:id="242"/>
      <w:bookmarkStart w:id="243" w:name="_Toc184308094"/>
      <w:bookmarkEnd w:id="243"/>
      <w:bookmarkStart w:id="244" w:name="_Toc184312072"/>
      <w:bookmarkEnd w:id="244"/>
      <w:bookmarkStart w:id="245" w:name="_Toc184313248"/>
      <w:bookmarkEnd w:id="245"/>
      <w:bookmarkStart w:id="246" w:name="_Toc184312108"/>
      <w:bookmarkEnd w:id="246"/>
      <w:bookmarkStart w:id="247" w:name="_Toc184310276"/>
      <w:bookmarkEnd w:id="247"/>
      <w:bookmarkStart w:id="248" w:name="_Toc184312127"/>
      <w:bookmarkEnd w:id="248"/>
      <w:bookmarkStart w:id="249" w:name="_Toc184314433"/>
      <w:bookmarkEnd w:id="249"/>
      <w:bookmarkStart w:id="250" w:name="_Toc184314447"/>
      <w:bookmarkEnd w:id="250"/>
      <w:bookmarkStart w:id="251" w:name="_Toc184313278"/>
      <w:bookmarkEnd w:id="251"/>
      <w:bookmarkStart w:id="252" w:name="_Toc184312135"/>
      <w:bookmarkEnd w:id="252"/>
      <w:bookmarkStart w:id="253" w:name="_Toc184313251"/>
      <w:bookmarkEnd w:id="253"/>
      <w:bookmarkStart w:id="254" w:name="_Toc184313303"/>
      <w:bookmarkEnd w:id="254"/>
      <w:bookmarkStart w:id="255" w:name="_Toc184308081"/>
      <w:bookmarkEnd w:id="255"/>
      <w:bookmarkStart w:id="256" w:name="_Toc184314463"/>
      <w:bookmarkEnd w:id="256"/>
      <w:bookmarkStart w:id="257" w:name="_Toc184310330"/>
      <w:bookmarkEnd w:id="257"/>
      <w:bookmarkStart w:id="258" w:name="_Toc184308043"/>
      <w:bookmarkEnd w:id="258"/>
      <w:bookmarkStart w:id="259" w:name="_Toc184310278"/>
      <w:bookmarkEnd w:id="259"/>
      <w:bookmarkStart w:id="260" w:name="_Toc184308072"/>
      <w:bookmarkEnd w:id="260"/>
      <w:bookmarkStart w:id="261" w:name="_Toc184314464"/>
      <w:bookmarkEnd w:id="261"/>
      <w:bookmarkStart w:id="262" w:name="_Toc184308078"/>
      <w:bookmarkEnd w:id="262"/>
      <w:bookmarkStart w:id="263" w:name="_Toc184310283"/>
      <w:bookmarkEnd w:id="263"/>
      <w:bookmarkStart w:id="264" w:name="_Toc184312131"/>
      <w:bookmarkEnd w:id="264"/>
      <w:bookmarkStart w:id="265" w:name="_Toc184314450"/>
      <w:bookmarkEnd w:id="265"/>
      <w:bookmarkStart w:id="266" w:name="_Toc184310274"/>
      <w:bookmarkEnd w:id="266"/>
      <w:bookmarkStart w:id="267" w:name="_Toc184312096"/>
      <w:bookmarkEnd w:id="267"/>
      <w:bookmarkStart w:id="268" w:name="_Toc184313257"/>
      <w:bookmarkEnd w:id="268"/>
      <w:bookmarkStart w:id="269" w:name="_Toc184314434"/>
      <w:bookmarkEnd w:id="269"/>
      <w:bookmarkStart w:id="270" w:name="_Toc184314431"/>
      <w:bookmarkEnd w:id="270"/>
      <w:bookmarkStart w:id="271" w:name="_Toc184314460"/>
      <w:bookmarkEnd w:id="271"/>
      <w:bookmarkStart w:id="272" w:name="_Toc184314459"/>
      <w:bookmarkEnd w:id="272"/>
      <w:bookmarkStart w:id="273" w:name="_Toc184313260"/>
      <w:bookmarkEnd w:id="273"/>
      <w:bookmarkStart w:id="274" w:name="_Toc184310299"/>
      <w:bookmarkEnd w:id="274"/>
      <w:bookmarkStart w:id="275" w:name="_Toc184308097"/>
      <w:bookmarkEnd w:id="275"/>
      <w:bookmarkStart w:id="276" w:name="_Toc184310304"/>
      <w:bookmarkEnd w:id="276"/>
      <w:bookmarkStart w:id="277" w:name="_Toc184314426"/>
      <w:bookmarkEnd w:id="277"/>
      <w:bookmarkStart w:id="278" w:name="_Toc184312086"/>
      <w:bookmarkEnd w:id="278"/>
      <w:bookmarkStart w:id="279" w:name="_Toc184312081"/>
      <w:bookmarkEnd w:id="279"/>
      <w:bookmarkStart w:id="280" w:name="_Toc184314422"/>
      <w:bookmarkEnd w:id="280"/>
      <w:bookmarkStart w:id="281" w:name="_Toc184308079"/>
      <w:bookmarkEnd w:id="281"/>
      <w:bookmarkStart w:id="282" w:name="_Toc184312068"/>
      <w:bookmarkEnd w:id="282"/>
      <w:bookmarkStart w:id="283" w:name="_Toc184310287"/>
      <w:bookmarkEnd w:id="283"/>
      <w:bookmarkStart w:id="284" w:name="_Toc184312133"/>
      <w:bookmarkEnd w:id="284"/>
      <w:bookmarkStart w:id="285" w:name="_Toc184308070"/>
      <w:bookmarkEnd w:id="285"/>
      <w:bookmarkStart w:id="286" w:name="_Toc184314465"/>
      <w:bookmarkEnd w:id="286"/>
      <w:bookmarkStart w:id="287" w:name="_Toc184312100"/>
      <w:bookmarkEnd w:id="287"/>
      <w:bookmarkStart w:id="288" w:name="_Toc184314474"/>
      <w:bookmarkEnd w:id="288"/>
      <w:bookmarkStart w:id="289" w:name="_Toc184312079"/>
      <w:bookmarkEnd w:id="289"/>
      <w:bookmarkStart w:id="290" w:name="_Toc184308042"/>
      <w:bookmarkEnd w:id="290"/>
      <w:bookmarkStart w:id="291" w:name="_Toc184310292"/>
      <w:bookmarkEnd w:id="291"/>
      <w:bookmarkStart w:id="292" w:name="_Toc184313245"/>
      <w:bookmarkEnd w:id="292"/>
      <w:bookmarkStart w:id="293" w:name="_Toc184313247"/>
      <w:bookmarkEnd w:id="293"/>
      <w:bookmarkStart w:id="294" w:name="_Toc184313308"/>
      <w:bookmarkEnd w:id="294"/>
      <w:bookmarkStart w:id="295" w:name="_Toc184313279"/>
      <w:bookmarkEnd w:id="295"/>
      <w:bookmarkStart w:id="296" w:name="_Toc184312120"/>
      <w:bookmarkEnd w:id="296"/>
      <w:bookmarkStart w:id="297" w:name="_Toc184308047"/>
      <w:bookmarkEnd w:id="297"/>
      <w:bookmarkStart w:id="298" w:name="_Toc184312123"/>
      <w:bookmarkEnd w:id="298"/>
      <w:bookmarkStart w:id="299" w:name="_Toc184312139"/>
      <w:bookmarkEnd w:id="299"/>
      <w:bookmarkStart w:id="300" w:name="_Toc184310316"/>
      <w:bookmarkEnd w:id="300"/>
      <w:bookmarkStart w:id="301" w:name="_Toc184312083"/>
      <w:bookmarkEnd w:id="301"/>
      <w:bookmarkStart w:id="302" w:name="_Toc184308080"/>
      <w:bookmarkEnd w:id="302"/>
      <w:bookmarkStart w:id="303" w:name="_Toc184313292"/>
      <w:bookmarkEnd w:id="303"/>
      <w:bookmarkStart w:id="304" w:name="_Toc184312084"/>
      <w:bookmarkEnd w:id="304"/>
      <w:bookmarkStart w:id="305" w:name="_Toc184308103"/>
      <w:bookmarkEnd w:id="305"/>
      <w:bookmarkStart w:id="306" w:name="_Toc184312092"/>
      <w:bookmarkEnd w:id="306"/>
      <w:bookmarkStart w:id="307" w:name="_Toc184313285"/>
      <w:bookmarkEnd w:id="307"/>
      <w:bookmarkStart w:id="308" w:name="_Toc184314480"/>
      <w:bookmarkEnd w:id="308"/>
      <w:bookmarkStart w:id="309" w:name="_Toc184312088"/>
      <w:bookmarkEnd w:id="309"/>
      <w:bookmarkStart w:id="310" w:name="_Toc184314470"/>
      <w:bookmarkEnd w:id="310"/>
      <w:bookmarkStart w:id="311" w:name="_Toc184312082"/>
      <w:bookmarkEnd w:id="311"/>
      <w:bookmarkStart w:id="312" w:name="_Toc184312105"/>
      <w:bookmarkEnd w:id="312"/>
      <w:bookmarkStart w:id="313" w:name="_Toc184308104"/>
      <w:bookmarkEnd w:id="313"/>
      <w:bookmarkStart w:id="314" w:name="_Toc184310272"/>
      <w:bookmarkEnd w:id="314"/>
      <w:bookmarkStart w:id="315" w:name="_Toc184313306"/>
      <w:bookmarkEnd w:id="315"/>
      <w:bookmarkStart w:id="316" w:name="_Toc184313280"/>
      <w:bookmarkEnd w:id="316"/>
      <w:bookmarkStart w:id="317" w:name="_Toc184313302"/>
      <w:bookmarkEnd w:id="317"/>
      <w:bookmarkStart w:id="318" w:name="_Toc184312075"/>
      <w:bookmarkEnd w:id="318"/>
      <w:bookmarkStart w:id="319" w:name="_Toc184313238"/>
      <w:bookmarkEnd w:id="319"/>
      <w:bookmarkStart w:id="320" w:name="_Toc184312137"/>
      <w:bookmarkEnd w:id="320"/>
      <w:bookmarkStart w:id="321" w:name="_Toc184314440"/>
      <w:bookmarkEnd w:id="321"/>
      <w:bookmarkStart w:id="322" w:name="_Toc184308065"/>
      <w:bookmarkEnd w:id="322"/>
      <w:bookmarkStart w:id="323" w:name="_Toc184313259"/>
      <w:bookmarkEnd w:id="323"/>
      <w:bookmarkStart w:id="324" w:name="_Toc184314435"/>
      <w:bookmarkEnd w:id="324"/>
      <w:bookmarkStart w:id="325" w:name="_Toc184312095"/>
      <w:bookmarkEnd w:id="325"/>
      <w:bookmarkStart w:id="326" w:name="_Toc184308063"/>
      <w:bookmarkEnd w:id="326"/>
      <w:bookmarkStart w:id="327" w:name="_Toc184313289"/>
      <w:bookmarkEnd w:id="327"/>
      <w:bookmarkStart w:id="328" w:name="_Toc184310303"/>
      <w:bookmarkEnd w:id="328"/>
      <w:bookmarkStart w:id="329" w:name="_Toc184312117"/>
      <w:bookmarkEnd w:id="329"/>
      <w:bookmarkStart w:id="330" w:name="_Toc184310344"/>
      <w:bookmarkEnd w:id="330"/>
      <w:bookmarkStart w:id="331" w:name="_Toc184310325"/>
      <w:bookmarkEnd w:id="331"/>
      <w:bookmarkStart w:id="332" w:name="_Toc184313253"/>
      <w:bookmarkEnd w:id="332"/>
      <w:bookmarkStart w:id="333" w:name="_Toc184310312"/>
      <w:bookmarkEnd w:id="333"/>
      <w:bookmarkStart w:id="334" w:name="_Toc184310323"/>
      <w:bookmarkEnd w:id="334"/>
      <w:bookmarkStart w:id="335" w:name="_Toc184310318"/>
      <w:bookmarkEnd w:id="335"/>
      <w:bookmarkStart w:id="336" w:name="_Toc184314437"/>
      <w:bookmarkEnd w:id="336"/>
      <w:bookmarkStart w:id="337" w:name="_Toc184308086"/>
      <w:bookmarkEnd w:id="337"/>
      <w:bookmarkStart w:id="338" w:name="_Toc184310320"/>
      <w:bookmarkEnd w:id="338"/>
      <w:bookmarkStart w:id="339" w:name="_Toc184310273"/>
      <w:bookmarkEnd w:id="339"/>
      <w:bookmarkStart w:id="340" w:name="_Toc184313256"/>
      <w:bookmarkEnd w:id="340"/>
      <w:bookmarkStart w:id="341" w:name="_Toc184308085"/>
      <w:bookmarkEnd w:id="341"/>
      <w:bookmarkStart w:id="342" w:name="_Toc184313242"/>
      <w:bookmarkEnd w:id="342"/>
      <w:bookmarkStart w:id="343" w:name="_Toc184312098"/>
      <w:bookmarkEnd w:id="343"/>
      <w:bookmarkStart w:id="344" w:name="_Toc184312136"/>
      <w:bookmarkEnd w:id="344"/>
      <w:bookmarkStart w:id="345" w:name="_Toc184308061"/>
      <w:bookmarkEnd w:id="345"/>
      <w:bookmarkStart w:id="346" w:name="_Toc184308040"/>
      <w:bookmarkEnd w:id="346"/>
      <w:bookmarkStart w:id="347" w:name="_Toc184313274"/>
      <w:bookmarkEnd w:id="347"/>
      <w:bookmarkStart w:id="348" w:name="_Toc184314424"/>
      <w:bookmarkEnd w:id="348"/>
      <w:bookmarkStart w:id="349" w:name="_Toc184308102"/>
      <w:bookmarkEnd w:id="349"/>
      <w:bookmarkStart w:id="350" w:name="_Toc184313291"/>
      <w:bookmarkEnd w:id="350"/>
      <w:bookmarkStart w:id="351" w:name="_Toc184308100"/>
      <w:bookmarkEnd w:id="351"/>
      <w:bookmarkStart w:id="352" w:name="_Toc184313258"/>
      <w:bookmarkEnd w:id="352"/>
      <w:bookmarkStart w:id="353" w:name="_Toc184310328"/>
      <w:bookmarkEnd w:id="353"/>
      <w:bookmarkStart w:id="354" w:name="_Toc184310305"/>
      <w:bookmarkEnd w:id="354"/>
      <w:bookmarkStart w:id="355" w:name="_Toc184312093"/>
      <w:bookmarkEnd w:id="355"/>
      <w:bookmarkStart w:id="356" w:name="_Toc184313276"/>
      <w:bookmarkEnd w:id="356"/>
      <w:bookmarkStart w:id="357" w:name="_Toc184313298"/>
      <w:bookmarkEnd w:id="357"/>
      <w:bookmarkStart w:id="358" w:name="_Toc184314425"/>
      <w:bookmarkEnd w:id="358"/>
      <w:bookmarkStart w:id="359" w:name="_Toc184314439"/>
      <w:bookmarkEnd w:id="359"/>
      <w:bookmarkStart w:id="360" w:name="_Toc184308059"/>
      <w:bookmarkEnd w:id="360"/>
      <w:bookmarkStart w:id="361" w:name="_Toc184308057"/>
      <w:bookmarkEnd w:id="361"/>
      <w:bookmarkStart w:id="362" w:name="_Toc184314414"/>
      <w:bookmarkEnd w:id="362"/>
      <w:bookmarkStart w:id="363" w:name="_Toc184310336"/>
      <w:bookmarkEnd w:id="363"/>
      <w:bookmarkStart w:id="364" w:name="_Toc184310302"/>
      <w:bookmarkEnd w:id="364"/>
      <w:bookmarkStart w:id="365" w:name="_Toc184310334"/>
      <w:bookmarkEnd w:id="365"/>
      <w:bookmarkStart w:id="366" w:name="_Toc184310284"/>
      <w:bookmarkEnd w:id="366"/>
      <w:bookmarkStart w:id="367" w:name="_Toc184310294"/>
      <w:bookmarkEnd w:id="367"/>
      <w:bookmarkStart w:id="368" w:name="_Toc184312130"/>
      <w:bookmarkEnd w:id="368"/>
      <w:bookmarkStart w:id="369" w:name="_Toc184313304"/>
      <w:bookmarkEnd w:id="369"/>
      <w:bookmarkStart w:id="370" w:name="_Toc184313267"/>
      <w:bookmarkEnd w:id="370"/>
      <w:bookmarkStart w:id="371" w:name="_Toc184313254"/>
      <w:bookmarkEnd w:id="371"/>
      <w:bookmarkStart w:id="372" w:name="_Toc184312134"/>
      <w:bookmarkEnd w:id="372"/>
      <w:bookmarkStart w:id="373" w:name="_Toc184312090"/>
      <w:bookmarkEnd w:id="373"/>
      <w:bookmarkStart w:id="374" w:name="_Toc184312077"/>
      <w:bookmarkEnd w:id="374"/>
      <w:bookmarkStart w:id="375" w:name="_Toc184310291"/>
      <w:bookmarkEnd w:id="375"/>
      <w:bookmarkStart w:id="376" w:name="_Toc184308098"/>
      <w:bookmarkEnd w:id="376"/>
      <w:bookmarkStart w:id="377" w:name="_Toc184310311"/>
      <w:bookmarkEnd w:id="377"/>
      <w:bookmarkStart w:id="378" w:name="_Toc184313241"/>
      <w:bookmarkEnd w:id="378"/>
      <w:bookmarkStart w:id="379" w:name="_Toc184308056"/>
      <w:bookmarkEnd w:id="379"/>
      <w:bookmarkStart w:id="380" w:name="_Toc184314444"/>
      <w:bookmarkEnd w:id="380"/>
      <w:bookmarkStart w:id="381" w:name="_Toc184313301"/>
      <w:bookmarkEnd w:id="381"/>
      <w:bookmarkStart w:id="382" w:name="_Toc184310335"/>
      <w:bookmarkEnd w:id="382"/>
      <w:bookmarkStart w:id="383" w:name="_Toc184310317"/>
      <w:bookmarkEnd w:id="383"/>
      <w:bookmarkStart w:id="384" w:name="_Toc184313286"/>
      <w:bookmarkEnd w:id="384"/>
      <w:bookmarkStart w:id="385" w:name="_Toc184314477"/>
      <w:bookmarkEnd w:id="385"/>
      <w:bookmarkStart w:id="386" w:name="_Toc184308077"/>
      <w:bookmarkEnd w:id="386"/>
      <w:bookmarkStart w:id="387" w:name="_Toc184310301"/>
      <w:bookmarkEnd w:id="387"/>
      <w:bookmarkStart w:id="388" w:name="_Toc184308036"/>
      <w:bookmarkEnd w:id="388"/>
      <w:bookmarkStart w:id="389" w:name="_Toc184310296"/>
      <w:bookmarkEnd w:id="389"/>
      <w:bookmarkStart w:id="390" w:name="_Toc184310298"/>
      <w:bookmarkEnd w:id="390"/>
      <w:bookmarkStart w:id="391" w:name="_Toc184312101"/>
      <w:bookmarkEnd w:id="391"/>
      <w:bookmarkStart w:id="392" w:name="_Toc184308048"/>
      <w:bookmarkEnd w:id="392"/>
      <w:bookmarkStart w:id="393" w:name="_Toc184312087"/>
      <w:bookmarkEnd w:id="393"/>
      <w:bookmarkStart w:id="394" w:name="_Toc184312099"/>
      <w:bookmarkEnd w:id="394"/>
      <w:bookmarkStart w:id="395" w:name="_Toc184312106"/>
      <w:bookmarkEnd w:id="395"/>
      <w:bookmarkStart w:id="396" w:name="_Toc184314457"/>
      <w:bookmarkEnd w:id="396"/>
      <w:r>
        <w:rPr>
          <w:rFonts w:hint="eastAsia" w:ascii="仿宋" w:hAnsi="仿宋" w:eastAsia="仿宋" w:cs="仿宋"/>
          <w:b/>
          <w:color w:val="auto"/>
          <w:sz w:val="36"/>
          <w:szCs w:val="20"/>
          <w:highlight w:val="none"/>
        </w:rPr>
        <w:t xml:space="preserve"> 评审办法</w:t>
      </w:r>
    </w:p>
    <w:p w14:paraId="33899239">
      <w:pPr>
        <w:shd w:val="clear"/>
        <w:wordWrap/>
        <w:topLinePunct w:val="0"/>
        <w:bidi w:val="0"/>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评审办法前附表</w:t>
      </w:r>
    </w:p>
    <w:tbl>
      <w:tblPr>
        <w:tblStyle w:val="16"/>
        <w:tblpPr w:leftFromText="180" w:rightFromText="180" w:vertAnchor="text" w:horzAnchor="page" w:tblpX="1031" w:tblpY="126"/>
        <w:tblW w:w="9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340"/>
        <w:gridCol w:w="4419"/>
        <w:gridCol w:w="776"/>
        <w:gridCol w:w="2084"/>
      </w:tblGrid>
      <w:tr w14:paraId="0B66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90" w:type="dxa"/>
            <w:vAlign w:val="center"/>
          </w:tcPr>
          <w:p w14:paraId="40D5FC5A">
            <w:pPr>
              <w:shd w:val="clear"/>
              <w:spacing w:line="36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5759" w:type="dxa"/>
            <w:gridSpan w:val="2"/>
            <w:vAlign w:val="center"/>
          </w:tcPr>
          <w:p w14:paraId="4C084654">
            <w:pPr>
              <w:shd w:val="clear"/>
              <w:spacing w:line="360" w:lineRule="auto"/>
              <w:ind w:firstLine="1560" w:firstLineChars="650"/>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776" w:type="dxa"/>
            <w:vAlign w:val="center"/>
          </w:tcPr>
          <w:p w14:paraId="12AD2CD9">
            <w:pPr>
              <w:shd w:val="clear"/>
              <w:spacing w:line="360" w:lineRule="auto"/>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权重</w:t>
            </w:r>
          </w:p>
        </w:tc>
        <w:tc>
          <w:tcPr>
            <w:tcW w:w="2084" w:type="dxa"/>
            <w:vAlign w:val="center"/>
          </w:tcPr>
          <w:p w14:paraId="3D2CD167">
            <w:pPr>
              <w:shd w:val="clear"/>
              <w:spacing w:line="240" w:lineRule="auto"/>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 *</w:t>
            </w:r>
          </w:p>
        </w:tc>
      </w:tr>
      <w:tr w14:paraId="0E4F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D055DAF">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5759" w:type="dxa"/>
            <w:gridSpan w:val="2"/>
            <w:vAlign w:val="center"/>
          </w:tcPr>
          <w:p w14:paraId="6707CBFC">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投标人自2021年1月1日以来（以合同签订时间为准）具有类似工程业绩的，每个得0.5分，本项最高得1分。（说明：须提供合同复印件加盖公章为证明材料，未提供不得分；原件备查）</w:t>
            </w:r>
          </w:p>
        </w:tc>
        <w:tc>
          <w:tcPr>
            <w:tcW w:w="776" w:type="dxa"/>
            <w:vAlign w:val="center"/>
          </w:tcPr>
          <w:p w14:paraId="30B6FC43">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084" w:type="dxa"/>
            <w:vAlign w:val="center"/>
          </w:tcPr>
          <w:p w14:paraId="1198A935">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业绩</w:t>
            </w:r>
          </w:p>
        </w:tc>
      </w:tr>
      <w:tr w14:paraId="7996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3EAFB00D">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5759" w:type="dxa"/>
            <w:gridSpan w:val="2"/>
            <w:vAlign w:val="center"/>
          </w:tcPr>
          <w:p w14:paraId="52BF97A0">
            <w:pPr>
              <w:keepNext w:val="0"/>
              <w:keepLines w:val="0"/>
              <w:pageBreakBefore w:val="0"/>
              <w:widowControl w:val="0"/>
              <w:shd w:val="clear" w:color="auto" w:fill="auto"/>
              <w:kinsoku/>
              <w:wordWrap/>
              <w:overflowPunct/>
              <w:topLinePunct w:val="0"/>
              <w:autoSpaceDE/>
              <w:autoSpaceDN/>
              <w:bidi w:val="0"/>
              <w:adjustRightInd w:val="0"/>
              <w:spacing w:beforeAutospacing="0" w:afterAutospacing="0" w:line="240" w:lineRule="auto"/>
              <w:ind w:left="0" w:leftChars="0" w:right="0" w:rightChars="0" w:firstLine="0" w:firstLineChars="0"/>
              <w:jc w:val="left"/>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具有质量管理体系认证证书、环境管理体系认证证书、获得职业健康体系认证证书且在有效期内的每个得1分，最高3分。(投标文件中提供证书复印件并加盖投标人公章，证书需在有效期内，由评标委员会在国家认监委网站www.cnca.gov.cn查询，未在该网站上查询到的，不得分。)</w:t>
            </w:r>
          </w:p>
        </w:tc>
        <w:tc>
          <w:tcPr>
            <w:tcW w:w="776" w:type="dxa"/>
            <w:vAlign w:val="center"/>
          </w:tcPr>
          <w:p w14:paraId="591DB682">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084" w:type="dxa"/>
            <w:vAlign w:val="center"/>
          </w:tcPr>
          <w:p w14:paraId="2FEE3E49">
            <w:pPr>
              <w:keepNext w:val="0"/>
              <w:keepLines w:val="0"/>
              <w:pageBreakBefore w:val="0"/>
              <w:widowControl w:val="0"/>
              <w:shd w:val="clear"/>
              <w:kinsoku/>
              <w:wordWrap/>
              <w:overflowPunct/>
              <w:topLinePunct w:val="0"/>
              <w:autoSpaceDE/>
              <w:autoSpaceDN/>
              <w:bidi w:val="0"/>
              <w:adjustRightInd w:val="0"/>
              <w:spacing w:beforeAutospacing="0" w:afterAutospacing="0" w:line="240" w:lineRule="auto"/>
              <w:ind w:left="0" w:leftChars="0" w:right="0" w:rightChars="0" w:firstLine="0" w:firstLineChars="0"/>
              <w:jc w:val="center"/>
              <w:textAlignment w:val="auto"/>
              <w:outlineLvl w:val="0"/>
              <w:rPr>
                <w:rFonts w:hint="eastAsia" w:ascii="仿宋" w:hAnsi="仿宋" w:eastAsia="仿宋" w:cs="仿宋"/>
                <w:color w:val="auto"/>
                <w:sz w:val="24"/>
                <w:highlight w:val="none"/>
                <w:lang w:val="en-US" w:eastAsia="zh-CN"/>
              </w:rPr>
            </w:pPr>
            <w:r>
              <w:rPr>
                <w:rFonts w:hint="eastAsia" w:ascii="仿宋" w:hAnsi="仿宋" w:eastAsia="仿宋" w:cs="仿宋"/>
                <w:bCs/>
                <w:color w:val="auto"/>
                <w:sz w:val="24"/>
                <w:highlight w:val="none"/>
                <w:lang w:val="en-US" w:eastAsia="zh-CN"/>
              </w:rPr>
              <w:t>体系证书</w:t>
            </w:r>
          </w:p>
        </w:tc>
      </w:tr>
      <w:tr w14:paraId="365D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vMerge w:val="restart"/>
            <w:vAlign w:val="center"/>
          </w:tcPr>
          <w:p w14:paraId="07C8F1B7">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340" w:type="dxa"/>
            <w:vMerge w:val="restart"/>
            <w:vAlign w:val="center"/>
          </w:tcPr>
          <w:p w14:paraId="2FAAF13F">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施工方案总体情况评价</w:t>
            </w:r>
          </w:p>
        </w:tc>
        <w:tc>
          <w:tcPr>
            <w:tcW w:w="4419" w:type="dxa"/>
            <w:vAlign w:val="center"/>
          </w:tcPr>
          <w:p w14:paraId="7D2D02B4">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方案内容全面、合理、条理清晰，涵盖本次工程实施有关的内容，且具有针对性得5分，方案内容全面合理得3分，方案内容基本合理，满足采购需求得2分，方案内容有提及得1分。严重缺失不得分。</w:t>
            </w:r>
          </w:p>
        </w:tc>
        <w:tc>
          <w:tcPr>
            <w:tcW w:w="776" w:type="dxa"/>
            <w:vAlign w:val="center"/>
          </w:tcPr>
          <w:p w14:paraId="548F6FDE">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084" w:type="dxa"/>
            <w:vAlign w:val="center"/>
          </w:tcPr>
          <w:p w14:paraId="1FF8F833">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施工方案</w:t>
            </w:r>
          </w:p>
        </w:tc>
      </w:tr>
      <w:tr w14:paraId="1414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 w:type="dxa"/>
            <w:vMerge w:val="continue"/>
            <w:vAlign w:val="center"/>
          </w:tcPr>
          <w:p w14:paraId="52B6D257">
            <w:pPr>
              <w:shd w:val="clear"/>
              <w:jc w:val="center"/>
              <w:rPr>
                <w:rFonts w:hint="eastAsia" w:ascii="仿宋" w:hAnsi="仿宋" w:eastAsia="仿宋" w:cs="仿宋"/>
                <w:color w:val="auto"/>
                <w:sz w:val="24"/>
                <w:highlight w:val="none"/>
                <w:lang w:val="en-US" w:eastAsia="zh-CN"/>
              </w:rPr>
            </w:pPr>
          </w:p>
        </w:tc>
        <w:tc>
          <w:tcPr>
            <w:tcW w:w="1340" w:type="dxa"/>
            <w:vMerge w:val="continue"/>
            <w:vAlign w:val="center"/>
          </w:tcPr>
          <w:p w14:paraId="3D28896B">
            <w:pPr>
              <w:shd w:val="clear"/>
              <w:jc w:val="center"/>
              <w:rPr>
                <w:rFonts w:hint="eastAsia" w:ascii="仿宋" w:hAnsi="仿宋" w:eastAsia="仿宋" w:cs="仿宋"/>
                <w:color w:val="auto"/>
                <w:sz w:val="24"/>
                <w:highlight w:val="none"/>
                <w:lang w:val="en-US" w:eastAsia="zh-CN"/>
              </w:rPr>
            </w:pPr>
          </w:p>
        </w:tc>
        <w:tc>
          <w:tcPr>
            <w:tcW w:w="4419" w:type="dxa"/>
            <w:vAlign w:val="center"/>
          </w:tcPr>
          <w:p w14:paraId="33F7F5C4">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针对本项目特殊施工环境需要采取的专门的施工技术内容科学合理，针对性强的得5分；措施内容基本合理，针对性较强得3分；措施内容基本合理得2分；措施内容一般，有提及得1分。内容缺失严重不得分。</w:t>
            </w:r>
          </w:p>
        </w:tc>
        <w:tc>
          <w:tcPr>
            <w:tcW w:w="776" w:type="dxa"/>
            <w:vAlign w:val="center"/>
          </w:tcPr>
          <w:p w14:paraId="5E66FDD5">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084" w:type="dxa"/>
            <w:vAlign w:val="center"/>
          </w:tcPr>
          <w:p w14:paraId="1C5D1FD5">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施工技术</w:t>
            </w:r>
          </w:p>
        </w:tc>
      </w:tr>
      <w:tr w14:paraId="04AB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14:paraId="089E43FC">
            <w:pPr>
              <w:shd w:val="clear"/>
              <w:jc w:val="center"/>
              <w:rPr>
                <w:rFonts w:hint="eastAsia" w:ascii="仿宋" w:hAnsi="仿宋" w:eastAsia="仿宋" w:cs="仿宋"/>
                <w:color w:val="auto"/>
                <w:sz w:val="24"/>
                <w:highlight w:val="none"/>
                <w:lang w:val="en-US" w:eastAsia="zh-CN"/>
              </w:rPr>
            </w:pPr>
          </w:p>
        </w:tc>
        <w:tc>
          <w:tcPr>
            <w:tcW w:w="1340" w:type="dxa"/>
            <w:vMerge w:val="continue"/>
            <w:vAlign w:val="center"/>
          </w:tcPr>
          <w:p w14:paraId="55D8BE28">
            <w:pPr>
              <w:shd w:val="clear"/>
              <w:jc w:val="center"/>
              <w:rPr>
                <w:rFonts w:hint="eastAsia" w:ascii="仿宋" w:hAnsi="仿宋" w:eastAsia="仿宋" w:cs="仿宋"/>
                <w:color w:val="auto"/>
                <w:sz w:val="24"/>
                <w:highlight w:val="none"/>
                <w:lang w:val="en-US" w:eastAsia="zh-CN"/>
              </w:rPr>
            </w:pPr>
          </w:p>
        </w:tc>
        <w:tc>
          <w:tcPr>
            <w:tcW w:w="4419" w:type="dxa"/>
            <w:vAlign w:val="center"/>
          </w:tcPr>
          <w:p w14:paraId="0E38D8CA">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组织措施内容科学合理，针对性强的得5分；措施内容基本合理，针对性较强得3分；措施内容基本合理得2分；措施内容一般，有提及得1分。内容缺失严重不得分。</w:t>
            </w:r>
          </w:p>
        </w:tc>
        <w:tc>
          <w:tcPr>
            <w:tcW w:w="776" w:type="dxa"/>
            <w:vAlign w:val="center"/>
          </w:tcPr>
          <w:p w14:paraId="4217FAE8">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084" w:type="dxa"/>
            <w:vAlign w:val="center"/>
          </w:tcPr>
          <w:p w14:paraId="5BE62016">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组织措施</w:t>
            </w:r>
          </w:p>
        </w:tc>
      </w:tr>
      <w:tr w14:paraId="1ACC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B65CCA0">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5759" w:type="dxa"/>
            <w:gridSpan w:val="2"/>
            <w:vAlign w:val="center"/>
          </w:tcPr>
          <w:p w14:paraId="30908B7E">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投标人针对本项目施工重点难点分析到位，针对性强的得5分，施工重点难度内容分析合理得3分，施工重点难度内容分析基本合理得2分，内容有提及得1分。内容缺失严重不得分。</w:t>
            </w:r>
          </w:p>
        </w:tc>
        <w:tc>
          <w:tcPr>
            <w:tcW w:w="776" w:type="dxa"/>
            <w:vAlign w:val="center"/>
          </w:tcPr>
          <w:p w14:paraId="4DCDA2B3">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084" w:type="dxa"/>
            <w:vAlign w:val="center"/>
          </w:tcPr>
          <w:p w14:paraId="7B06CAE0">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施工重点难点分析</w:t>
            </w:r>
          </w:p>
        </w:tc>
      </w:tr>
      <w:tr w14:paraId="5B13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7E134278">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759" w:type="dxa"/>
            <w:gridSpan w:val="2"/>
            <w:vAlign w:val="center"/>
          </w:tcPr>
          <w:p w14:paraId="4BBD8629">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投标人针对本项目施工重点难点措施内容科学合理，针对性强的得5分；措施内容基本合理，针对性较强得3分；措施内容基本合理得2分；措施内容一般，有提及得1分。内容缺失严重不得分。</w:t>
            </w:r>
          </w:p>
        </w:tc>
        <w:tc>
          <w:tcPr>
            <w:tcW w:w="776" w:type="dxa"/>
            <w:vAlign w:val="center"/>
          </w:tcPr>
          <w:p w14:paraId="7604C2DA">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084" w:type="dxa"/>
            <w:vAlign w:val="center"/>
          </w:tcPr>
          <w:p w14:paraId="241C23F3">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重点难点措施</w:t>
            </w:r>
          </w:p>
        </w:tc>
      </w:tr>
      <w:tr w14:paraId="6E25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90" w:type="dxa"/>
            <w:vMerge w:val="restart"/>
            <w:vAlign w:val="center"/>
          </w:tcPr>
          <w:p w14:paraId="29366527">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340" w:type="dxa"/>
            <w:vMerge w:val="restart"/>
            <w:vAlign w:val="center"/>
          </w:tcPr>
          <w:p w14:paraId="0D0FADFD">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专项施工方案</w:t>
            </w:r>
          </w:p>
        </w:tc>
        <w:tc>
          <w:tcPr>
            <w:tcW w:w="4419" w:type="dxa"/>
            <w:vAlign w:val="center"/>
          </w:tcPr>
          <w:p w14:paraId="3FDBB948">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专项施工方案内容科学合理，主要分部施工方法符合项目实际针对性强得4分，方案内容全面合理得3分，方案内容基本合理，满足采购需求得2分，方案内容有提及得1分。严重缺失不得分。</w:t>
            </w:r>
          </w:p>
        </w:tc>
        <w:tc>
          <w:tcPr>
            <w:tcW w:w="776" w:type="dxa"/>
            <w:vAlign w:val="center"/>
          </w:tcPr>
          <w:p w14:paraId="50A9132E">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084" w:type="dxa"/>
            <w:vAlign w:val="center"/>
          </w:tcPr>
          <w:p w14:paraId="2AC063C1">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专项施工方案</w:t>
            </w:r>
          </w:p>
        </w:tc>
      </w:tr>
      <w:tr w14:paraId="67AE3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90" w:type="dxa"/>
            <w:vMerge w:val="continue"/>
            <w:vAlign w:val="center"/>
          </w:tcPr>
          <w:p w14:paraId="37F07BDF">
            <w:pPr>
              <w:shd w:val="clear"/>
              <w:jc w:val="center"/>
              <w:rPr>
                <w:rFonts w:hint="eastAsia" w:ascii="仿宋" w:hAnsi="仿宋" w:eastAsia="仿宋" w:cs="仿宋"/>
                <w:color w:val="auto"/>
                <w:sz w:val="24"/>
                <w:highlight w:val="none"/>
                <w:lang w:val="en-US" w:eastAsia="zh-CN"/>
              </w:rPr>
            </w:pPr>
          </w:p>
        </w:tc>
        <w:tc>
          <w:tcPr>
            <w:tcW w:w="1340" w:type="dxa"/>
            <w:vMerge w:val="continue"/>
            <w:vAlign w:val="center"/>
          </w:tcPr>
          <w:p w14:paraId="2CBF6466">
            <w:pPr>
              <w:shd w:val="clear"/>
              <w:jc w:val="center"/>
              <w:rPr>
                <w:rFonts w:hint="eastAsia" w:ascii="仿宋" w:hAnsi="仿宋" w:eastAsia="仿宋" w:cs="仿宋"/>
                <w:color w:val="auto"/>
                <w:sz w:val="24"/>
                <w:highlight w:val="none"/>
                <w:lang w:val="en-US" w:eastAsia="zh-CN"/>
              </w:rPr>
            </w:pPr>
          </w:p>
        </w:tc>
        <w:tc>
          <w:tcPr>
            <w:tcW w:w="4419" w:type="dxa"/>
            <w:vAlign w:val="center"/>
          </w:tcPr>
          <w:p w14:paraId="05FEA3F2">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关键工序、复杂环节的相应技术措施内容科学合理，针对性强的得4分；措施内容基本合理，针对性较强得3分；措施内容基本合理得2分；措施内容一般，有提及得1分。内容缺失严重不得分。</w:t>
            </w:r>
          </w:p>
        </w:tc>
        <w:tc>
          <w:tcPr>
            <w:tcW w:w="776" w:type="dxa"/>
            <w:vAlign w:val="center"/>
          </w:tcPr>
          <w:p w14:paraId="05404349">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084" w:type="dxa"/>
            <w:vAlign w:val="center"/>
          </w:tcPr>
          <w:p w14:paraId="54797907">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关键工序、复杂环节的相应技术措施</w:t>
            </w:r>
          </w:p>
        </w:tc>
      </w:tr>
      <w:tr w14:paraId="7F1F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890" w:type="dxa"/>
            <w:vAlign w:val="center"/>
          </w:tcPr>
          <w:p w14:paraId="36C3BBC8">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5759" w:type="dxa"/>
            <w:gridSpan w:val="2"/>
            <w:vAlign w:val="center"/>
          </w:tcPr>
          <w:p w14:paraId="475543EE">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施工质量目标明确，质量控制措施科学、合理，且有技术支撑的得4分，质量措施合理得3分，质量措施较合理得2分，质量措施基本合理得1分。严重缺失不得分。</w:t>
            </w:r>
          </w:p>
        </w:tc>
        <w:tc>
          <w:tcPr>
            <w:tcW w:w="776" w:type="dxa"/>
            <w:vAlign w:val="center"/>
          </w:tcPr>
          <w:p w14:paraId="6A2CA632">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2084" w:type="dxa"/>
            <w:vAlign w:val="center"/>
          </w:tcPr>
          <w:p w14:paraId="386232EA">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质量控制措施</w:t>
            </w:r>
          </w:p>
        </w:tc>
      </w:tr>
      <w:tr w14:paraId="2DC2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890" w:type="dxa"/>
            <w:vAlign w:val="center"/>
          </w:tcPr>
          <w:p w14:paraId="70042DA0">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5759" w:type="dxa"/>
            <w:gridSpan w:val="2"/>
            <w:vAlign w:val="center"/>
          </w:tcPr>
          <w:p w14:paraId="7E4536A2">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施工质量目标明确，质量控制措施科学、合理，且有技术支撑的得4分，质量措施合理得3分，质量措施较合理得2分，质量措施基本合理得1分。严重缺失不得分。</w:t>
            </w:r>
          </w:p>
        </w:tc>
        <w:tc>
          <w:tcPr>
            <w:tcW w:w="776" w:type="dxa"/>
            <w:vAlign w:val="center"/>
          </w:tcPr>
          <w:p w14:paraId="14647CBE">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2084" w:type="dxa"/>
            <w:vAlign w:val="center"/>
          </w:tcPr>
          <w:p w14:paraId="0677ABFB">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安全、文明施工及市政、市容、环保、消防等的保证措施</w:t>
            </w:r>
          </w:p>
        </w:tc>
      </w:tr>
      <w:tr w14:paraId="32E6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C4CBA0D">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5759" w:type="dxa"/>
            <w:gridSpan w:val="2"/>
            <w:vAlign w:val="center"/>
          </w:tcPr>
          <w:p w14:paraId="21009236">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拟派项目负责人</w:t>
            </w:r>
            <w:r>
              <w:rPr>
                <w:rFonts w:hint="eastAsia" w:ascii="仿宋" w:hAnsi="仿宋" w:eastAsia="仿宋" w:cs="仿宋"/>
                <w:color w:val="auto"/>
                <w:sz w:val="24"/>
                <w:highlight w:val="none"/>
              </w:rPr>
              <w:t>具备中级工程师职称的，得1分；高级工程师职称的，得2分；中级工程师以下职称的，不得分。</w:t>
            </w:r>
            <w:r>
              <w:rPr>
                <w:rFonts w:hint="eastAsia" w:ascii="仿宋" w:hAnsi="仿宋" w:eastAsia="仿宋" w:cs="仿宋"/>
                <w:color w:val="auto"/>
                <w:sz w:val="24"/>
                <w:highlight w:val="none"/>
                <w:lang w:val="en-US" w:eastAsia="zh-CN"/>
              </w:rPr>
              <w:t>拟派技术负责人具备中级及以上工程师职称的得1分，其余不得分。拟派其他管理人员具有建筑类施工员或二级及以上注册建造师的每人得1分，最高得2分。拟派其他管理人员具有质量员的每个得1分，最高得1分。拟派其他管理人员具有造价工程师（二级及以上）的每个得1分，最高得1分。（证书需在有效期内，若单人具备多种证书的只计取其中1项得分）【提供相关证书复印件及近三个月2024年6月、2024年7月、2024年8月的社保证明，未提供的不得分】</w:t>
            </w:r>
          </w:p>
        </w:tc>
        <w:tc>
          <w:tcPr>
            <w:tcW w:w="776" w:type="dxa"/>
            <w:vAlign w:val="center"/>
          </w:tcPr>
          <w:p w14:paraId="140E15EC">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7</w:t>
            </w:r>
          </w:p>
        </w:tc>
        <w:tc>
          <w:tcPr>
            <w:tcW w:w="2084" w:type="dxa"/>
            <w:vAlign w:val="center"/>
          </w:tcPr>
          <w:p w14:paraId="2731FC0C">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项目组人员</w:t>
            </w:r>
          </w:p>
        </w:tc>
      </w:tr>
      <w:tr w14:paraId="5E0C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D93DC38">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5759" w:type="dxa"/>
            <w:gridSpan w:val="2"/>
            <w:vAlign w:val="center"/>
          </w:tcPr>
          <w:p w14:paraId="37BE8982">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施工机具和检验仪器的投入能够优于工程实施的需要，且与项目相适应针对性强得4分，施工机具和检验仪器的投入满足工程实施需求且针对性强得3分，施工机具和检验仪器的投入基本满足工程实施需求得2分，施工机具和检验仪器的投入一般得1分。严重缺失不得分。</w:t>
            </w:r>
          </w:p>
        </w:tc>
        <w:tc>
          <w:tcPr>
            <w:tcW w:w="776" w:type="dxa"/>
            <w:vAlign w:val="center"/>
          </w:tcPr>
          <w:p w14:paraId="1DB45DF3">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2084" w:type="dxa"/>
            <w:vAlign w:val="center"/>
          </w:tcPr>
          <w:p w14:paraId="6C6C2334">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施工机具和检验仪器</w:t>
            </w:r>
          </w:p>
        </w:tc>
      </w:tr>
      <w:tr w14:paraId="32EC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6FC5237">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5759" w:type="dxa"/>
            <w:gridSpan w:val="2"/>
            <w:vAlign w:val="center"/>
          </w:tcPr>
          <w:p w14:paraId="6BF77273">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材料设备进场计划及施工计划情况：具有详细的材料设备进场计划且计划周密的得4分， 材料设备进场计划合理可行的得3分，较合理可行的得2分，基本合理可行的得1分。严重缺失不得分。</w:t>
            </w:r>
          </w:p>
        </w:tc>
        <w:tc>
          <w:tcPr>
            <w:tcW w:w="776" w:type="dxa"/>
            <w:vAlign w:val="center"/>
          </w:tcPr>
          <w:p w14:paraId="4A155D24">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2084" w:type="dxa"/>
            <w:vAlign w:val="center"/>
          </w:tcPr>
          <w:p w14:paraId="56AD3A7B">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材料设备</w:t>
            </w:r>
          </w:p>
        </w:tc>
      </w:tr>
      <w:tr w14:paraId="0DCE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EBADFD2">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5759" w:type="dxa"/>
            <w:gridSpan w:val="2"/>
            <w:vAlign w:val="center"/>
          </w:tcPr>
          <w:p w14:paraId="126527D8">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投标人对成品保护的保证措施合理、科学，具有可操作性得4分，措施合理得3分，措施较合理得2分，措施基本合理得1分。严重缺失不得分。</w:t>
            </w:r>
          </w:p>
        </w:tc>
        <w:tc>
          <w:tcPr>
            <w:tcW w:w="776" w:type="dxa"/>
            <w:vAlign w:val="center"/>
          </w:tcPr>
          <w:p w14:paraId="786688F4">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4</w:t>
            </w:r>
          </w:p>
        </w:tc>
        <w:tc>
          <w:tcPr>
            <w:tcW w:w="2084" w:type="dxa"/>
            <w:vAlign w:val="center"/>
          </w:tcPr>
          <w:p w14:paraId="33436CB5">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成品保护的保证措施</w:t>
            </w:r>
          </w:p>
        </w:tc>
      </w:tr>
      <w:tr w14:paraId="4C62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5B557DEC">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5759" w:type="dxa"/>
            <w:gridSpan w:val="2"/>
            <w:vAlign w:val="center"/>
          </w:tcPr>
          <w:p w14:paraId="24CACF5F">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投标人的降噪措施合理、具有可操作性得3分，措施合理得2分，措施基本合理得1分。严重缺失不得分。</w:t>
            </w:r>
          </w:p>
        </w:tc>
        <w:tc>
          <w:tcPr>
            <w:tcW w:w="776" w:type="dxa"/>
            <w:vAlign w:val="center"/>
          </w:tcPr>
          <w:p w14:paraId="52B050C0">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2084" w:type="dxa"/>
            <w:vAlign w:val="center"/>
          </w:tcPr>
          <w:p w14:paraId="1D94DB49">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降噪措施</w:t>
            </w:r>
          </w:p>
        </w:tc>
      </w:tr>
      <w:tr w14:paraId="0C58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90" w:type="dxa"/>
            <w:vAlign w:val="center"/>
          </w:tcPr>
          <w:p w14:paraId="23821E1B">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5759" w:type="dxa"/>
            <w:gridSpan w:val="2"/>
            <w:vAlign w:val="center"/>
          </w:tcPr>
          <w:p w14:paraId="0002B8D0">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投标人提供的合理化建议合理、具有可操作性、针对性，得3分，内容合理得2分，内容基本合理得1分。严重缺失不得分。</w:t>
            </w:r>
          </w:p>
        </w:tc>
        <w:tc>
          <w:tcPr>
            <w:tcW w:w="776" w:type="dxa"/>
            <w:vAlign w:val="center"/>
          </w:tcPr>
          <w:p w14:paraId="25B0295B">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2084" w:type="dxa"/>
            <w:vAlign w:val="center"/>
          </w:tcPr>
          <w:p w14:paraId="155D3FD1">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合理化建议</w:t>
            </w:r>
          </w:p>
        </w:tc>
      </w:tr>
      <w:tr w14:paraId="5F1C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21E84B6">
            <w:pPr>
              <w:shd w:val="clea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5759" w:type="dxa"/>
            <w:gridSpan w:val="2"/>
            <w:vAlign w:val="top"/>
          </w:tcPr>
          <w:p w14:paraId="0E024A6F">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有效投标报价的最低价作为评标基准价，其最低报价为满分；按［投标报价得分=（评标基准价/投标最后报价）*30］的计算公式计算。</w:t>
            </w:r>
          </w:p>
          <w:p w14:paraId="620456BC">
            <w:pPr>
              <w:shd w:val="clea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评标过程中，不得去掉报价中的最高报价和最低报价。</w:t>
            </w:r>
          </w:p>
          <w:p w14:paraId="209379B3">
            <w:pPr>
              <w:shd w:val="clea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因落实政府采购政策需要进行价格调整的，以调整后的价格计算评标基准价和投标报价。</w:t>
            </w:r>
          </w:p>
        </w:tc>
        <w:tc>
          <w:tcPr>
            <w:tcW w:w="776" w:type="dxa"/>
            <w:vAlign w:val="center"/>
          </w:tcPr>
          <w:p w14:paraId="367A3076">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30</w:t>
            </w:r>
          </w:p>
        </w:tc>
        <w:tc>
          <w:tcPr>
            <w:tcW w:w="2084" w:type="dxa"/>
            <w:vAlign w:val="center"/>
          </w:tcPr>
          <w:p w14:paraId="44054810">
            <w:pPr>
              <w:shd w:val="clea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w:t>
            </w:r>
          </w:p>
        </w:tc>
      </w:tr>
    </w:tbl>
    <w:p w14:paraId="0BBC3BF5">
      <w:pPr>
        <w:shd w:val="clear"/>
        <w:wordWrap/>
        <w:topLinePunct w:val="0"/>
        <w:bidi w:val="0"/>
        <w:snapToGrid w:val="0"/>
        <w:spacing w:line="360" w:lineRule="auto"/>
        <w:rPr>
          <w:rFonts w:hint="eastAsia" w:ascii="仿宋" w:hAnsi="仿宋" w:eastAsia="仿宋" w:cs="仿宋"/>
          <w:color w:val="auto"/>
          <w:sz w:val="20"/>
          <w:szCs w:val="20"/>
          <w:highlight w:val="none"/>
          <w:shd w:val="clear" w:color="auto" w:fill="FFFFFF"/>
        </w:rPr>
      </w:pPr>
    </w:p>
    <w:p w14:paraId="2AF3B089">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供应商编制响应文件（商务技术文件部分）时，建议按此目录（序号和内容）提供评审标准相应的商务技术资料。 </w:t>
      </w:r>
    </w:p>
    <w:p w14:paraId="40514094">
      <w:pPr>
        <w:wordWrap/>
        <w:topLinePunct w:val="0"/>
        <w:bidi w:val="0"/>
        <w:spacing w:line="360" w:lineRule="auto"/>
        <w:rPr>
          <w:rFonts w:hint="eastAsia" w:ascii="仿宋" w:hAnsi="仿宋" w:eastAsia="仿宋" w:cs="仿宋"/>
          <w:color w:val="auto"/>
          <w:highlight w:val="none"/>
        </w:rPr>
      </w:pPr>
    </w:p>
    <w:p w14:paraId="105151BE">
      <w:pPr>
        <w:shd w:val="clear"/>
        <w:wordWrap/>
        <w:topLinePunct w:val="0"/>
        <w:bidi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一、评审方法</w:t>
      </w:r>
    </w:p>
    <w:p w14:paraId="0888D009">
      <w:pPr>
        <w:shd w:val="clear"/>
        <w:wordWrap/>
        <w:topLinePunct w:val="0"/>
        <w:bidi w:val="0"/>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综合评分法，是指响应文件满足磋商文件全部实质性要求且按评审因素的量化指标评审得分最高的供应商为成交候选供应商的评审方法。</w:t>
      </w:r>
    </w:p>
    <w:p w14:paraId="49BE64CD">
      <w:pPr>
        <w:shd w:val="clear"/>
        <w:wordWrap/>
        <w:topLinePunct w:val="0"/>
        <w:bidi w:val="0"/>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二、评审标准</w:t>
      </w:r>
    </w:p>
    <w:p w14:paraId="73DE8095">
      <w:pPr>
        <w:shd w:val="clear"/>
        <w:wordWrap/>
        <w:topLinePunct w:val="0"/>
        <w:bidi w:val="0"/>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2.评审标准：</w:t>
      </w:r>
      <w:r>
        <w:rPr>
          <w:rFonts w:hint="eastAsia" w:ascii="仿宋" w:hAnsi="仿宋" w:eastAsia="仿宋" w:cs="仿宋"/>
          <w:color w:val="auto"/>
          <w:kern w:val="0"/>
          <w:sz w:val="24"/>
          <w:highlight w:val="none"/>
        </w:rPr>
        <w:t>见评审办法前附表。</w:t>
      </w:r>
    </w:p>
    <w:p w14:paraId="28DE6801">
      <w:pPr>
        <w:shd w:val="clear"/>
        <w:wordWrap/>
        <w:topLinePunct w:val="0"/>
        <w:bidi w:val="0"/>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三、评审程序</w:t>
      </w:r>
    </w:p>
    <w:p w14:paraId="19950644">
      <w:pPr>
        <w:shd w:val="clear"/>
        <w:wordWrap/>
        <w:topLinePunct w:val="0"/>
        <w:bidi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582A38C5">
      <w:pPr>
        <w:shd w:val="clear"/>
        <w:wordWrap/>
        <w:topLinePunct w:val="0"/>
        <w:bidi w:val="0"/>
        <w:spacing w:line="360" w:lineRule="auto"/>
        <w:ind w:firstLine="472" w:firstLineChars="196"/>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3.2 磋商。</w:t>
      </w:r>
      <w:r>
        <w:rPr>
          <w:rFonts w:hint="eastAsia" w:ascii="仿宋" w:hAnsi="仿宋" w:eastAsia="仿宋" w:cs="仿宋"/>
          <w:color w:val="auto"/>
          <w:sz w:val="24"/>
          <w:highlight w:val="none"/>
        </w:rPr>
        <w:t>磋商小组将对确定为实质性响应本采购文件的响应文件进行详细评价和比较，主要就商务报价、资信、服务方案内容、服务承诺等磋商小组认为与本次采购有关的因素与</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供应商逐一进行磋商。</w:t>
      </w:r>
    </w:p>
    <w:p w14:paraId="2D5B468B">
      <w:pPr>
        <w:shd w:val="clear"/>
        <w:wordWrap/>
        <w:topLinePunct w:val="0"/>
        <w:bidi w:val="0"/>
        <w:spacing w:line="360" w:lineRule="auto"/>
        <w:ind w:firstLine="470" w:firstLineChars="196"/>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 xml:space="preserve">3.2.1 </w:t>
      </w:r>
      <w:r>
        <w:rPr>
          <w:rFonts w:hint="eastAsia" w:ascii="仿宋" w:hAnsi="仿宋" w:eastAsia="仿宋" w:cs="仿宋"/>
          <w:color w:val="auto"/>
          <w:sz w:val="24"/>
          <w:highlight w:val="none"/>
        </w:rPr>
        <w:t>供应商逐家回答磋商小组的提问；</w:t>
      </w:r>
      <w:r>
        <w:rPr>
          <w:rFonts w:hint="eastAsia" w:ascii="仿宋" w:hAnsi="仿宋" w:eastAsia="仿宋" w:cs="仿宋"/>
          <w:b/>
          <w:color w:val="auto"/>
          <w:sz w:val="24"/>
          <w:highlight w:val="none"/>
        </w:rPr>
        <w:t>逐家磋商一次为一个轮次，磋商轮次根据实际情况进行</w:t>
      </w:r>
      <w:r>
        <w:rPr>
          <w:rFonts w:hint="eastAsia" w:ascii="仿宋" w:hAnsi="仿宋" w:eastAsia="仿宋" w:cs="仿宋"/>
          <w:b/>
          <w:color w:val="auto"/>
          <w:sz w:val="24"/>
          <w:highlight w:val="none"/>
          <w:u w:val="single"/>
        </w:rPr>
        <w:t>（本项目磋商轮次为二轮报价即为最终报价）</w:t>
      </w:r>
      <w:r>
        <w:rPr>
          <w:rFonts w:hint="eastAsia" w:ascii="仿宋" w:hAnsi="仿宋" w:eastAsia="仿宋" w:cs="仿宋"/>
          <w:b/>
          <w:color w:val="auto"/>
          <w:sz w:val="24"/>
          <w:highlight w:val="none"/>
        </w:rPr>
        <w:t>。</w:t>
      </w:r>
    </w:p>
    <w:p w14:paraId="68D4378C">
      <w:pPr>
        <w:shd w:val="clear"/>
        <w:wordWrap/>
        <w:topLinePunct w:val="0"/>
        <w:bidi w:val="0"/>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3.2.2 </w:t>
      </w:r>
      <w:r>
        <w:rPr>
          <w:rFonts w:hint="eastAsia" w:ascii="仿宋" w:hAnsi="仿宋" w:eastAsia="仿宋" w:cs="仿宋"/>
          <w:color w:val="auto"/>
          <w:sz w:val="24"/>
          <w:highlight w:val="none"/>
        </w:rPr>
        <w:t>供应商应按磋商小组通知的时间在线或以邮件回复做出承诺或回复，承诺或回复的内容须由供应商法定代表人或授权代表签署，并作为响应文件的补充部分。</w:t>
      </w:r>
    </w:p>
    <w:p w14:paraId="50F96A63">
      <w:pPr>
        <w:shd w:val="clear"/>
        <w:wordWrap/>
        <w:topLinePunct w:val="0"/>
        <w:bidi w:val="0"/>
        <w:spacing w:line="360" w:lineRule="auto"/>
        <w:ind w:firstLine="470" w:firstLineChars="196"/>
        <w:rPr>
          <w:rFonts w:hint="eastAsia" w:ascii="仿宋" w:hAnsi="仿宋" w:eastAsia="仿宋" w:cs="仿宋"/>
          <w:bCs/>
          <w:color w:val="auto"/>
          <w:kern w:val="0"/>
          <w:sz w:val="24"/>
          <w:highlight w:val="none"/>
        </w:rPr>
      </w:pPr>
      <w:r>
        <w:rPr>
          <w:rFonts w:hint="eastAsia" w:ascii="仿宋" w:hAnsi="仿宋" w:eastAsia="仿宋" w:cs="仿宋"/>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仿宋" w:hAnsi="仿宋" w:eastAsia="仿宋" w:cs="仿宋"/>
          <w:color w:val="auto"/>
          <w:kern w:val="0"/>
          <w:sz w:val="24"/>
          <w:highlight w:val="none"/>
        </w:rPr>
        <w:t>符合性审查合格的</w:t>
      </w:r>
      <w:r>
        <w:rPr>
          <w:rFonts w:hint="eastAsia" w:ascii="仿宋" w:hAnsi="仿宋" w:eastAsia="仿宋" w:cs="仿宋"/>
          <w:color w:val="auto"/>
          <w:sz w:val="24"/>
          <w:highlight w:val="none"/>
        </w:rPr>
        <w:t xml:space="preserve">供应商。 </w:t>
      </w:r>
    </w:p>
    <w:p w14:paraId="67FB7672">
      <w:pPr>
        <w:shd w:val="clear"/>
        <w:wordWrap/>
        <w:topLinePunct w:val="0"/>
        <w:bidi w:val="0"/>
        <w:spacing w:line="360" w:lineRule="auto"/>
        <w:ind w:firstLine="472" w:firstLineChars="196"/>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3.3最后报价</w:t>
      </w:r>
    </w:p>
    <w:p w14:paraId="634071D6">
      <w:pPr>
        <w:shd w:val="clear"/>
        <w:wordWrap/>
        <w:topLinePunct w:val="0"/>
        <w:bidi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31493B09">
      <w:pPr>
        <w:shd w:val="clear"/>
        <w:wordWrap/>
        <w:topLinePunct w:val="0"/>
        <w:bidi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5ABC971">
      <w:pPr>
        <w:shd w:val="clear"/>
        <w:wordWrap/>
        <w:topLinePunct w:val="0"/>
        <w:bidi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3.3.3 符合《政府采购竞争性磋商采购方式管理暂行办法》第三条第四项情形及财库〔2015〕124号文件规定情形的，提交最后报价的供应商可以为2家 </w:t>
      </w:r>
    </w:p>
    <w:p w14:paraId="66D70F59">
      <w:pPr>
        <w:shd w:val="clear"/>
        <w:wordWrap/>
        <w:topLinePunct w:val="0"/>
        <w:bidi w:val="0"/>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3.3.4 已提交响应文件的供应商，在提交最后报价之前，可以根据磋商情况退出磋商</w:t>
      </w:r>
    </w:p>
    <w:p w14:paraId="4A891BD4">
      <w:pPr>
        <w:shd w:val="clear"/>
        <w:wordWrap/>
        <w:topLinePunct w:val="0"/>
        <w:bidi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3.4 综合评分。</w:t>
      </w:r>
      <w:r>
        <w:rPr>
          <w:rFonts w:hint="eastAsia" w:ascii="仿宋" w:hAnsi="仿宋" w:eastAsia="仿宋" w:cs="仿宋"/>
          <w:bCs/>
          <w:color w:val="auto"/>
          <w:kern w:val="0"/>
          <w:sz w:val="24"/>
          <w:highlight w:val="none"/>
        </w:rPr>
        <w:t>经磋商确定最终采购需求和提交最后报价的供应商后，</w:t>
      </w:r>
      <w:r>
        <w:rPr>
          <w:rFonts w:hint="eastAsia" w:ascii="仿宋" w:hAnsi="仿宋" w:eastAsia="仿宋" w:cs="仿宋"/>
          <w:color w:val="auto"/>
          <w:kern w:val="0"/>
          <w:sz w:val="24"/>
          <w:highlight w:val="none"/>
        </w:rPr>
        <w:t>磋商小组应当按照采购文件中规定的评审标准，对符合性审查合格的响应文件进行综合评分。磋商文件中没有规定的评审标准不得作为评审依据。</w:t>
      </w:r>
    </w:p>
    <w:p w14:paraId="08DF411B">
      <w:pPr>
        <w:shd w:val="clear"/>
        <w:wordWrap/>
        <w:topLinePunct w:val="0"/>
        <w:bidi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3.5汇总商务技术得分。</w:t>
      </w:r>
      <w:r>
        <w:rPr>
          <w:rFonts w:hint="eastAsia" w:ascii="仿宋" w:hAnsi="仿宋" w:eastAsia="仿宋" w:cs="仿宋"/>
          <w:color w:val="auto"/>
          <w:kern w:val="0"/>
          <w:sz w:val="24"/>
          <w:highlight w:val="none"/>
        </w:rPr>
        <w:t>磋商小组各成员应当独立对每个供应商的商务和技术文件进行评价，并汇总商务技术得分情况。</w:t>
      </w:r>
    </w:p>
    <w:p w14:paraId="09586873">
      <w:pPr>
        <w:shd w:val="clear"/>
        <w:wordWrap/>
        <w:topLinePunct w:val="0"/>
        <w:bidi w:val="0"/>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3.6报价评审。</w:t>
      </w:r>
    </w:p>
    <w:p w14:paraId="17380A50">
      <w:pPr>
        <w:pStyle w:val="21"/>
        <w:shd w:val="clear"/>
        <w:wordWrap/>
        <w:topLinePunct w:val="0"/>
        <w:bidi w:val="0"/>
        <w:spacing w:before="0" w:line="360" w:lineRule="auto"/>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3.6.1响应文件报价出现前后不一致的，按照下列规定修正：</w:t>
      </w:r>
    </w:p>
    <w:p w14:paraId="1E33CD8C">
      <w:pPr>
        <w:pStyle w:val="21"/>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3.6.1.1响应文件中已标价工程量清单内容与响应文件中相应内容不一致的，以已标价工程量清单为准;</w:t>
      </w:r>
    </w:p>
    <w:p w14:paraId="25F1B6C6">
      <w:pPr>
        <w:pStyle w:val="21"/>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3.6.1.2大写金额和小写金额不一致的，以大写金额为准;</w:t>
      </w:r>
    </w:p>
    <w:p w14:paraId="6B8F5953">
      <w:pPr>
        <w:pStyle w:val="21"/>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3.6.1.3单价金额小数点或者百分比有明显错位的，以已标价工程量清单的总价为准，并修改单价;</w:t>
      </w:r>
    </w:p>
    <w:p w14:paraId="4848D684">
      <w:pPr>
        <w:pStyle w:val="21"/>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3.6.1.4总价金额与按单价汇总金额不一致的，以单价金额计算结果为准。</w:t>
      </w:r>
    </w:p>
    <w:p w14:paraId="347AB2D3">
      <w:pPr>
        <w:pStyle w:val="21"/>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3.6.1.5同时出现两种以上不一致的，按照3.6.1规定的顺序修正。修正后的报价经供应商确认后产生约束力。</w:t>
      </w:r>
    </w:p>
    <w:p w14:paraId="5E5F0788">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3.6.2响应文件出现不是唯一的、有选择性最后报价的，响应文件无效。</w:t>
      </w:r>
    </w:p>
    <w:p w14:paraId="6645B4D4">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3.6.3最后报价超过采购文件中规定的预算金额或者最高限价的，响应文件无效。</w:t>
      </w:r>
    </w:p>
    <w:p w14:paraId="710319BA">
      <w:pPr>
        <w:pStyle w:val="21"/>
        <w:shd w:val="clear"/>
        <w:wordWrap/>
        <w:topLinePunct w:val="0"/>
        <w:bidi w:val="0"/>
        <w:spacing w:before="0" w:line="360" w:lineRule="auto"/>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75AA71B1">
      <w:pPr>
        <w:shd w:val="clear"/>
        <w:wordWrap/>
        <w:topLinePunct w:val="0"/>
        <w:bidi w:val="0"/>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3.7排序与推荐。</w:t>
      </w:r>
      <w:r>
        <w:rPr>
          <w:rFonts w:hint="eastAsia" w:ascii="仿宋" w:hAnsi="仿宋" w:eastAsia="仿宋" w:cs="仿宋"/>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最高的供应商为排名第一的成交候选供应商。</w:t>
      </w:r>
    </w:p>
    <w:p w14:paraId="15DFB430">
      <w:pPr>
        <w:shd w:val="clear"/>
        <w:wordWrap/>
        <w:topLinePunct w:val="0"/>
        <w:bidi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候选供应商推荐资格；评审得分相同的，采取随机抽取方式确定，其他同品牌供应商不作为成交候选供应商。</w:t>
      </w:r>
    </w:p>
    <w:p w14:paraId="21E40770">
      <w:pPr>
        <w:shd w:val="clear"/>
        <w:wordWrap/>
        <w:topLinePunct w:val="0"/>
        <w:bidi w:val="0"/>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3.8编写评审报告。</w:t>
      </w:r>
      <w:r>
        <w:rPr>
          <w:rFonts w:hint="eastAsia" w:ascii="仿宋" w:hAnsi="仿宋" w:eastAsia="仿宋" w:cs="仿宋"/>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2436CCE2">
      <w:pPr>
        <w:shd w:val="clear"/>
        <w:wordWrap/>
        <w:topLinePunct w:val="0"/>
        <w:bidi w:val="0"/>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四、评审中的其他事项</w:t>
      </w:r>
    </w:p>
    <w:p w14:paraId="4AE82CB9">
      <w:pPr>
        <w:pStyle w:val="21"/>
        <w:shd w:val="clear"/>
        <w:wordWrap/>
        <w:topLinePunct w:val="0"/>
        <w:bidi w:val="0"/>
        <w:spacing w:before="0" w:line="360" w:lineRule="auto"/>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4.1供应商澄清、说明或者补正。</w:t>
      </w:r>
      <w:r>
        <w:rPr>
          <w:rFonts w:hint="eastAsia" w:ascii="仿宋" w:hAnsi="仿宋" w:eastAsia="仿宋" w:cs="仿宋"/>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30B0CC7">
      <w:pPr>
        <w:pStyle w:val="8"/>
        <w:shd w:val="clear"/>
        <w:wordWrap/>
        <w:topLinePunct w:val="0"/>
        <w:bidi w:val="0"/>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4.2响应文件无效。</w:t>
      </w:r>
      <w:r>
        <w:rPr>
          <w:rFonts w:hint="eastAsia" w:ascii="仿宋" w:hAnsi="仿宋" w:eastAsia="仿宋" w:cs="仿宋"/>
          <w:color w:val="auto"/>
          <w:szCs w:val="21"/>
          <w:highlight w:val="none"/>
        </w:rPr>
        <w:t>有下列情形之一的，响应文件无效：</w:t>
      </w:r>
    </w:p>
    <w:p w14:paraId="4E40D313">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4.2.1供应商不具备采购文件中规定的资格要求的（供应商未提供有效的资格文件的，视为供应商不具备采购文件中规定的资格要求）；</w:t>
      </w:r>
    </w:p>
    <w:p w14:paraId="364C036A">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4.2.2响应文件未按照采购文件要求签署、盖章的；</w:t>
      </w:r>
    </w:p>
    <w:p w14:paraId="4C5A272D">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7FAF1C24">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4.2.4响应文件含有采购人不能接受的附加条件的；</w:t>
      </w:r>
    </w:p>
    <w:p w14:paraId="79518F17">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4.2.5响应文件中承诺的响应文件有效期少于采购文件中载明的响应文件有效期的；</w:t>
      </w:r>
    </w:p>
    <w:p w14:paraId="52051134">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4.2.6响应文件出现不是唯一的、有选择性最后报价的;</w:t>
      </w:r>
    </w:p>
    <w:p w14:paraId="1CFCC7FC">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4.2.7最后报价超过采购文件中规定的预算金额或者最高限价的;</w:t>
      </w:r>
    </w:p>
    <w:p w14:paraId="7928C44A">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3B4CB706">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4.2.9供应商对根据修正原则修正后的报价不确认的；</w:t>
      </w:r>
    </w:p>
    <w:p w14:paraId="771A6B08">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4.2.10供应商提供虚假材料投标的；</w:t>
      </w:r>
    </w:p>
    <w:p w14:paraId="02914AA2">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4.2.11供应商有恶意串通、妨碍其他供应商的竞争行为、损害采购人或者其他供应商的合法权益情形的；</w:t>
      </w:r>
    </w:p>
    <w:p w14:paraId="78EE6435">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4.2.12供应商仅提交备份响应文件，未在电子交易平台传输递交响应文件的，响应文件无效；</w:t>
      </w:r>
    </w:p>
    <w:p w14:paraId="65152623">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 响应文件不满足采购文件的其它实质性要求的；</w:t>
      </w:r>
    </w:p>
    <w:p w14:paraId="3794AA2D">
      <w:pPr>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4A5D7841">
      <w:pPr>
        <w:pStyle w:val="8"/>
        <w:shd w:val="clear"/>
        <w:wordWrap/>
        <w:topLinePunct w:val="0"/>
        <w:bidi w:val="0"/>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69C4A530">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采购文件作实质响应的供应商不足3家的（符合《政府采购竞争性磋商采购方式管理暂行办法》第三条第四项情形及财库〔2015〕124号文件规定情形的，提交最后报价的供应商可以为2家）；</w:t>
      </w:r>
    </w:p>
    <w:p w14:paraId="2018408B">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279FF31D">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5.3供应商的报价均超过了采购预算，采购人不能支付的；</w:t>
      </w:r>
    </w:p>
    <w:p w14:paraId="0F615F43">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7969195E">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废标后，采购机构应当将废标理由通知所有供应商。</w:t>
      </w:r>
    </w:p>
    <w:p w14:paraId="1A1777D8">
      <w:pPr>
        <w:pStyle w:val="8"/>
        <w:shd w:val="clear"/>
        <w:wordWrap/>
        <w:topLinePunct w:val="0"/>
        <w:bidi w:val="0"/>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6.重新开展采购。</w:t>
      </w:r>
      <w:r>
        <w:rPr>
          <w:rFonts w:hint="eastAsia" w:ascii="仿宋" w:hAnsi="仿宋" w:eastAsia="仿宋" w:cs="仿宋"/>
          <w:color w:val="auto"/>
          <w:highlight w:val="none"/>
        </w:rPr>
        <w:t>有政府采购法第七十一条、第七十二条规定的违法行为之一，影响或者可能影响成交结果的，依照下列规定处理：</w:t>
      </w:r>
    </w:p>
    <w:p w14:paraId="66C6BE33">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6.1未确定成交供应商的，终止本次政府采购活动，重新开展政府采购活动。</w:t>
      </w:r>
    </w:p>
    <w:p w14:paraId="19C8B33F">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6.2已确定成交供应商但尚未签订政府采购合同的，成交结果无效，从合格的成交候选供应商中另行确定成交供应商；没有合格的成交候选供应商的，重新开展政府采购活动。</w:t>
      </w:r>
    </w:p>
    <w:p w14:paraId="3AB38894">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6.3政府采购合同已签订但尚未履行的，撤销合同，从合格的成交候选供应商中另行确定成交供应商；没有合格的成交候选供应商的，重新开展政府采购活动。</w:t>
      </w:r>
    </w:p>
    <w:p w14:paraId="34A2F6FE">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6.4政府采购合同已经履行，给采购人、供应商造成损失的，由责任人承担赔偿责任。</w:t>
      </w:r>
    </w:p>
    <w:p w14:paraId="2A614003">
      <w:pPr>
        <w:pStyle w:val="8"/>
        <w:shd w:val="clear"/>
        <w:wordWrap/>
        <w:topLinePunct w:val="0"/>
        <w:bidi w:val="0"/>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6C5128C0">
      <w:pPr>
        <w:pStyle w:val="8"/>
        <w:shd w:val="clear"/>
        <w:wordWrap/>
        <w:topLinePunct w:val="0"/>
        <w:bidi w:val="0"/>
        <w:snapToGrid w:val="0"/>
        <w:spacing w:line="360" w:lineRule="auto"/>
        <w:ind w:firstLine="0" w:firstLineChars="0"/>
        <w:rPr>
          <w:rFonts w:hint="eastAsia" w:ascii="仿宋" w:hAnsi="仿宋" w:eastAsia="仿宋" w:cs="仿宋"/>
          <w:color w:val="auto"/>
          <w:highlight w:val="none"/>
        </w:rPr>
        <w:sectPr>
          <w:pgSz w:w="11907" w:h="16840"/>
          <w:pgMar w:top="1440" w:right="1080" w:bottom="1440" w:left="1080" w:header="851" w:footer="851" w:gutter="0"/>
          <w:cols w:space="720" w:num="1"/>
        </w:sectPr>
      </w:pPr>
    </w:p>
    <w:bookmarkEnd w:id="31"/>
    <w:p w14:paraId="1852D694">
      <w:pPr>
        <w:shd w:val="clear"/>
        <w:wordWrap/>
        <w:topLinePunct w:val="0"/>
        <w:bidi w:val="0"/>
        <w:spacing w:line="360" w:lineRule="auto"/>
        <w:jc w:val="center"/>
        <w:outlineLvl w:val="0"/>
        <w:rPr>
          <w:rFonts w:hint="eastAsia" w:ascii="仿宋" w:hAnsi="仿宋" w:eastAsia="仿宋" w:cs="仿宋"/>
          <w:b/>
          <w:color w:val="auto"/>
          <w:sz w:val="36"/>
          <w:szCs w:val="36"/>
          <w:highlight w:val="none"/>
        </w:rPr>
      </w:pPr>
      <w:bookmarkStart w:id="397" w:name="_Toc86217003"/>
      <w:bookmarkStart w:id="398" w:name="第五部分"/>
      <w:r>
        <w:rPr>
          <w:rFonts w:hint="eastAsia" w:ascii="仿宋" w:hAnsi="仿宋" w:eastAsia="仿宋" w:cs="仿宋"/>
          <w:b/>
          <w:color w:val="auto"/>
          <w:sz w:val="36"/>
          <w:szCs w:val="36"/>
          <w:highlight w:val="none"/>
        </w:rPr>
        <w:t>第五部分 拟签订的合同文本</w:t>
      </w:r>
    </w:p>
    <w:p w14:paraId="444373B3">
      <w:pPr>
        <w:shd w:val="clear"/>
        <w:wordWrap/>
        <w:topLinePunct w:val="0"/>
        <w:bidi w:val="0"/>
        <w:snapToGrid w:val="0"/>
        <w:spacing w:line="360" w:lineRule="auto"/>
        <w:ind w:firstLine="480" w:firstLineChars="200"/>
        <w:jc w:val="left"/>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使用住房城乡建设部、原国家工商行政管理总局制定的《建设工程施工合同（示范文本）》（GF-2017-0201）。</w:t>
      </w:r>
    </w:p>
    <w:p w14:paraId="5B20716F">
      <w:pPr>
        <w:pStyle w:val="2"/>
        <w:shd w:val="clear"/>
        <w:wordWrap/>
        <w:topLinePunct w:val="0"/>
        <w:bidi w:val="0"/>
        <w:spacing w:line="360" w:lineRule="auto"/>
        <w:rPr>
          <w:rFonts w:hint="eastAsia" w:ascii="仿宋" w:hAnsi="仿宋" w:eastAsia="仿宋" w:cs="仿宋"/>
          <w:color w:val="auto"/>
          <w:sz w:val="36"/>
          <w:szCs w:val="36"/>
          <w:highlight w:val="none"/>
        </w:rPr>
      </w:pPr>
      <w:r>
        <w:rPr>
          <w:rFonts w:hint="eastAsia" w:ascii="仿宋" w:hAnsi="仿宋" w:eastAsia="仿宋" w:cs="仿宋"/>
          <w:b w:val="0"/>
          <w:bCs w:val="0"/>
          <w:color w:val="auto"/>
          <w:sz w:val="36"/>
          <w:szCs w:val="36"/>
          <w:highlight w:val="none"/>
        </w:rPr>
        <w:t>GF-2017-0201</w:t>
      </w:r>
    </w:p>
    <w:p w14:paraId="38D2ED46">
      <w:pPr>
        <w:shd w:val="clear"/>
        <w:wordWrap/>
        <w:topLinePunct w:val="0"/>
        <w:bidi w:val="0"/>
        <w:spacing w:line="360" w:lineRule="auto"/>
        <w:ind w:left="840" w:leftChars="0" w:hanging="840" w:hangingChars="3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32E99DCC">
      <w:pPr>
        <w:shd w:val="clear"/>
        <w:wordWrap/>
        <w:topLinePunct w:val="0"/>
        <w:bidi w:val="0"/>
        <w:spacing w:line="360" w:lineRule="auto"/>
        <w:jc w:val="center"/>
        <w:rPr>
          <w:rFonts w:hint="eastAsia" w:ascii="仿宋" w:hAnsi="仿宋" w:eastAsia="仿宋" w:cs="仿宋"/>
          <w:b/>
          <w:bCs/>
          <w:color w:val="auto"/>
          <w:sz w:val="80"/>
          <w:szCs w:val="80"/>
          <w:highlight w:val="none"/>
        </w:rPr>
      </w:pPr>
      <w:r>
        <w:rPr>
          <w:rFonts w:hint="eastAsia" w:ascii="仿宋" w:hAnsi="仿宋" w:eastAsia="仿宋" w:cs="仿宋"/>
          <w:b/>
          <w:bCs/>
          <w:color w:val="auto"/>
          <w:sz w:val="80"/>
          <w:szCs w:val="80"/>
          <w:highlight w:val="none"/>
        </w:rPr>
        <w:t>建设工程施工合同</w:t>
      </w:r>
    </w:p>
    <w:p w14:paraId="1B8F23A8">
      <w:pPr>
        <w:shd w:val="clear"/>
        <w:wordWrap/>
        <w:topLinePunct w:val="0"/>
        <w:bidi w:val="0"/>
        <w:spacing w:line="360" w:lineRule="auto"/>
        <w:jc w:val="center"/>
        <w:rPr>
          <w:rFonts w:hint="eastAsia" w:ascii="仿宋" w:hAnsi="仿宋" w:eastAsia="仿宋" w:cs="仿宋"/>
          <w:b/>
          <w:bCs/>
          <w:color w:val="auto"/>
          <w:spacing w:val="26"/>
          <w:sz w:val="32"/>
          <w:szCs w:val="32"/>
          <w:highlight w:val="none"/>
        </w:rPr>
      </w:pPr>
      <w:r>
        <w:rPr>
          <w:rFonts w:hint="eastAsia" w:ascii="仿宋" w:hAnsi="仿宋" w:eastAsia="仿宋" w:cs="仿宋"/>
          <w:b/>
          <w:bCs/>
          <w:color w:val="auto"/>
          <w:spacing w:val="26"/>
          <w:sz w:val="32"/>
          <w:szCs w:val="32"/>
          <w:highlight w:val="none"/>
        </w:rPr>
        <w:t>（示范文本）</w:t>
      </w:r>
    </w:p>
    <w:p w14:paraId="7EFE1080">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5CE081F5">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7D18C1F7">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7C5D5368">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4F386E7A">
      <w:pPr>
        <w:shd w:val="clear"/>
        <w:wordWrap/>
        <w:topLinePunct w:val="0"/>
        <w:bidi w:val="0"/>
        <w:spacing w:line="360" w:lineRule="auto"/>
        <w:jc w:val="center"/>
        <w:rPr>
          <w:rFonts w:hint="eastAsia" w:ascii="仿宋" w:hAnsi="仿宋" w:eastAsia="仿宋" w:cs="仿宋"/>
          <w:b/>
          <w:bCs/>
          <w:color w:val="auto"/>
          <w:sz w:val="28"/>
          <w:szCs w:val="28"/>
          <w:highlight w:val="none"/>
        </w:rPr>
      </w:pPr>
    </w:p>
    <w:p w14:paraId="5D371C46">
      <w:pPr>
        <w:shd w:val="clear"/>
        <w:wordWrap/>
        <w:topLinePunct w:val="0"/>
        <w:bidi w:val="0"/>
        <w:spacing w:line="360" w:lineRule="auto"/>
        <w:jc w:val="center"/>
        <w:rPr>
          <w:rFonts w:hint="eastAsia" w:ascii="仿宋" w:hAnsi="仿宋" w:eastAsia="仿宋" w:cs="仿宋"/>
          <w:b/>
          <w:bCs/>
          <w:color w:val="auto"/>
          <w:sz w:val="28"/>
          <w:szCs w:val="28"/>
          <w:highlight w:val="none"/>
        </w:rPr>
      </w:pPr>
    </w:p>
    <w:p w14:paraId="28313400">
      <w:pPr>
        <w:shd w:val="clear"/>
        <w:wordWrap/>
        <w:topLinePunct w:val="0"/>
        <w:bidi w:val="0"/>
        <w:spacing w:line="360" w:lineRule="auto"/>
        <w:jc w:val="center"/>
        <w:rPr>
          <w:rFonts w:hint="eastAsia" w:ascii="仿宋" w:hAnsi="仿宋" w:eastAsia="仿宋" w:cs="仿宋"/>
          <w:b/>
          <w:bCs/>
          <w:color w:val="auto"/>
          <w:sz w:val="28"/>
          <w:szCs w:val="28"/>
          <w:highlight w:val="none"/>
        </w:rPr>
      </w:pPr>
    </w:p>
    <w:p w14:paraId="2B99722A">
      <w:pPr>
        <w:shd w:val="clear"/>
        <w:wordWrap/>
        <w:topLinePunct w:val="0"/>
        <w:bidi w:val="0"/>
        <w:spacing w:line="360" w:lineRule="auto"/>
        <w:jc w:val="center"/>
        <w:rPr>
          <w:rFonts w:hint="eastAsia" w:ascii="仿宋" w:hAnsi="仿宋" w:eastAsia="仿宋" w:cs="仿宋"/>
          <w:b/>
          <w:bCs/>
          <w:color w:val="auto"/>
          <w:sz w:val="28"/>
          <w:szCs w:val="28"/>
          <w:highlight w:val="none"/>
        </w:rPr>
      </w:pPr>
    </w:p>
    <w:p w14:paraId="69D2F291">
      <w:pPr>
        <w:shd w:val="clear"/>
        <w:wordWrap/>
        <w:topLinePunct w:val="0"/>
        <w:bidi w:val="0"/>
        <w:spacing w:line="360" w:lineRule="auto"/>
        <w:jc w:val="center"/>
        <w:rPr>
          <w:rFonts w:hint="eastAsia" w:ascii="仿宋" w:hAnsi="仿宋" w:eastAsia="仿宋" w:cs="仿宋"/>
          <w:b/>
          <w:bCs/>
          <w:color w:val="auto"/>
          <w:sz w:val="28"/>
          <w:szCs w:val="28"/>
          <w:highlight w:val="none"/>
        </w:rPr>
      </w:pPr>
    </w:p>
    <w:p w14:paraId="58E9ED4D">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18B9C777">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5F824627">
      <w:pPr>
        <w:shd w:val="clear"/>
        <w:wordWrap/>
        <w:topLinePunct w:val="0"/>
        <w:bidi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p>
    <w:p w14:paraId="5C61740B">
      <w:pPr>
        <w:shd w:val="clear"/>
        <w:wordWrap/>
        <w:topLinePunct w:val="0"/>
        <w:bidi w:val="0"/>
        <w:spacing w:line="360" w:lineRule="auto"/>
        <w:ind w:firstLine="2160" w:firstLineChars="633"/>
        <w:rPr>
          <w:rFonts w:hint="eastAsia" w:ascii="仿宋" w:hAnsi="仿宋" w:eastAsia="仿宋" w:cs="仿宋"/>
          <w:b/>
          <w:bCs/>
          <w:color w:val="auto"/>
          <w:spacing w:val="20"/>
          <w:sz w:val="30"/>
          <w:szCs w:val="30"/>
          <w:highlight w:val="none"/>
        </w:rPr>
      </w:pPr>
      <w:r>
        <w:rPr>
          <w:rFonts w:hint="eastAsia" w:ascii="仿宋" w:hAnsi="仿宋" w:eastAsia="仿宋" w:cs="仿宋"/>
          <w:b/>
          <w:bCs/>
          <w:color w:val="auto"/>
          <w:spacing w:val="20"/>
          <w:sz w:val="30"/>
          <w:szCs w:val="30"/>
          <w:highlight w:val="none"/>
        </w:rPr>
        <w:t>中华人民共和国建设部</w:t>
      </w:r>
    </w:p>
    <w:p w14:paraId="1E607A49">
      <w:pPr>
        <w:shd w:val="clear"/>
        <w:wordWrap/>
        <w:topLinePunct w:val="0"/>
        <w:bidi w:val="0"/>
        <w:spacing w:line="360" w:lineRule="auto"/>
        <w:ind w:firstLine="5940" w:firstLineChars="1850"/>
        <w:rPr>
          <w:rFonts w:hint="eastAsia" w:ascii="仿宋" w:hAnsi="仿宋" w:eastAsia="仿宋" w:cs="仿宋"/>
          <w:b/>
          <w:bCs/>
          <w:color w:val="auto"/>
          <w:spacing w:val="20"/>
          <w:sz w:val="28"/>
          <w:szCs w:val="28"/>
          <w:highlight w:val="none"/>
        </w:rPr>
      </w:pPr>
      <w:r>
        <w:rPr>
          <w:rFonts w:hint="eastAsia" w:ascii="仿宋" w:hAnsi="仿宋" w:eastAsia="仿宋" w:cs="仿宋"/>
          <w:b/>
          <w:bCs/>
          <w:color w:val="auto"/>
          <w:spacing w:val="20"/>
          <w:sz w:val="28"/>
          <w:szCs w:val="28"/>
          <w:highlight w:val="none"/>
        </w:rPr>
        <w:t>制定</w:t>
      </w:r>
    </w:p>
    <w:p w14:paraId="6CFAE0BB">
      <w:pPr>
        <w:shd w:val="clear"/>
        <w:wordWrap/>
        <w:topLinePunct w:val="0"/>
        <w:bidi w:val="0"/>
        <w:spacing w:line="360" w:lineRule="auto"/>
        <w:ind w:firstLine="2161" w:firstLineChars="579"/>
        <w:rPr>
          <w:rFonts w:hint="eastAsia" w:ascii="仿宋" w:hAnsi="仿宋" w:eastAsia="仿宋" w:cs="仿宋"/>
          <w:b/>
          <w:bCs/>
          <w:color w:val="auto"/>
          <w:spacing w:val="20"/>
          <w:sz w:val="24"/>
          <w:highlight w:val="none"/>
        </w:rPr>
      </w:pPr>
      <w:r>
        <w:rPr>
          <w:rFonts w:hint="eastAsia" w:ascii="仿宋" w:hAnsi="仿宋" w:eastAsia="仿宋" w:cs="仿宋"/>
          <w:b/>
          <w:bCs/>
          <w:color w:val="auto"/>
          <w:spacing w:val="36"/>
          <w:sz w:val="30"/>
          <w:szCs w:val="30"/>
          <w:highlight w:val="none"/>
        </w:rPr>
        <w:t>国家工商行政管理局</w:t>
      </w:r>
    </w:p>
    <w:p w14:paraId="7DD62115">
      <w:pPr>
        <w:pStyle w:val="11"/>
        <w:shd w:val="clear"/>
        <w:wordWrap/>
        <w:topLinePunct w:val="0"/>
        <w:bidi w:val="0"/>
        <w:snapToGrid w:val="0"/>
        <w:spacing w:line="360" w:lineRule="auto"/>
        <w:ind w:right="-512" w:rightChars="-244"/>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1、合同协议书</w:t>
      </w:r>
    </w:p>
    <w:p w14:paraId="54E92198">
      <w:pPr>
        <w:pStyle w:val="11"/>
        <w:shd w:val="clear"/>
        <w:wordWrap/>
        <w:topLinePunct w:val="0"/>
        <w:bidi w:val="0"/>
        <w:spacing w:line="360" w:lineRule="auto"/>
        <w:ind w:firstLine="504" w:firstLineChars="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15F61278">
      <w:pPr>
        <w:pStyle w:val="11"/>
        <w:shd w:val="clear"/>
        <w:wordWrap/>
        <w:topLinePunct w:val="0"/>
        <w:bidi w:val="0"/>
        <w:spacing w:line="360" w:lineRule="auto"/>
        <w:ind w:left="418" w:leftChars="183" w:hanging="34" w:hangingChars="16"/>
        <w:rPr>
          <w:rFonts w:hint="eastAsia" w:ascii="仿宋" w:hAnsi="仿宋" w:eastAsia="仿宋" w:cs="仿宋"/>
          <w:color w:val="auto"/>
          <w:spacing w:val="2"/>
          <w:highlight w:val="none"/>
          <w:lang w:eastAsia="zh-CN"/>
        </w:rPr>
      </w:pPr>
      <w:r>
        <w:rPr>
          <w:rFonts w:hint="eastAsia" w:ascii="仿宋" w:hAnsi="仿宋" w:eastAsia="仿宋" w:cs="仿宋"/>
          <w:color w:val="auto"/>
          <w:spacing w:val="2"/>
          <w:highlight w:val="none"/>
        </w:rPr>
        <w:t>甲方：</w:t>
      </w:r>
      <w:r>
        <w:rPr>
          <w:rFonts w:hint="eastAsia" w:ascii="仿宋" w:hAnsi="仿宋" w:eastAsia="仿宋" w:cs="仿宋"/>
          <w:color w:val="auto"/>
          <w:spacing w:val="2"/>
          <w:highlight w:val="none"/>
          <w:u w:val="single"/>
          <w:lang w:eastAsia="zh-CN"/>
        </w:rPr>
        <w:t>杭州市钱塘区人民政府义蓬街道办事处</w:t>
      </w:r>
    </w:p>
    <w:p w14:paraId="2603C2F0">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乙方：</w:t>
      </w:r>
      <w:r>
        <w:rPr>
          <w:rFonts w:hint="eastAsia" w:ascii="仿宋" w:hAnsi="仿宋" w:eastAsia="仿宋" w:cs="仿宋"/>
          <w:color w:val="auto"/>
          <w:spacing w:val="2"/>
          <w:highlight w:val="none"/>
          <w:u w:val="single"/>
        </w:rPr>
        <w:t xml:space="preserve">                                   </w:t>
      </w:r>
    </w:p>
    <w:p w14:paraId="7F258714">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依据《中华人民共和国</w:t>
      </w:r>
      <w:r>
        <w:rPr>
          <w:rFonts w:hint="eastAsia" w:ascii="仿宋" w:hAnsi="仿宋" w:eastAsia="仿宋" w:cs="仿宋"/>
          <w:color w:val="auto"/>
          <w:spacing w:val="2"/>
          <w:highlight w:val="none"/>
          <w:lang w:eastAsia="zh-CN"/>
        </w:rPr>
        <w:t>民法典</w:t>
      </w:r>
      <w:r>
        <w:rPr>
          <w:rFonts w:hint="eastAsia" w:ascii="仿宋" w:hAnsi="仿宋" w:eastAsia="仿宋" w:cs="仿宋"/>
          <w:color w:val="auto"/>
          <w:spacing w:val="2"/>
          <w:highlight w:val="none"/>
        </w:rPr>
        <w:t>》、《中华人民共和国建筑法》及其他有关法律、行政法规，遵循平等、自愿、公平和诚实信用的原则，双方就本建设工程施工事项协商一致，订立本合同。</w:t>
      </w:r>
    </w:p>
    <w:p w14:paraId="5AB2C99A">
      <w:pPr>
        <w:pStyle w:val="11"/>
        <w:shd w:val="clear"/>
        <w:wordWrap/>
        <w:topLinePunct w:val="0"/>
        <w:bidi w:val="0"/>
        <w:snapToGrid w:val="0"/>
        <w:spacing w:line="360" w:lineRule="auto"/>
        <w:ind w:firstLine="428" w:firstLineChars="20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一、工程概况</w:t>
      </w:r>
    </w:p>
    <w:p w14:paraId="36ED662D">
      <w:pPr>
        <w:pStyle w:val="11"/>
        <w:shd w:val="clear"/>
        <w:wordWrap/>
        <w:topLinePunct w:val="0"/>
        <w:bidi w:val="0"/>
        <w:snapToGrid w:val="0"/>
        <w:spacing w:line="360" w:lineRule="auto"/>
        <w:ind w:firstLine="535" w:firstLineChars="250"/>
        <w:rPr>
          <w:rFonts w:hint="eastAsia" w:ascii="仿宋" w:hAnsi="仿宋" w:eastAsia="仿宋" w:cs="仿宋"/>
          <w:color w:val="auto"/>
          <w:highlight w:val="none"/>
          <w:u w:val="single"/>
          <w:lang w:eastAsia="zh-CN"/>
        </w:rPr>
      </w:pPr>
      <w:r>
        <w:rPr>
          <w:rFonts w:hint="eastAsia" w:ascii="仿宋" w:hAnsi="仿宋" w:eastAsia="仿宋" w:cs="仿宋"/>
          <w:color w:val="auto"/>
          <w:spacing w:val="2"/>
          <w:highlight w:val="none"/>
        </w:rPr>
        <w:t>1、工程名称：</w:t>
      </w:r>
      <w:r>
        <w:rPr>
          <w:rFonts w:hint="eastAsia" w:ascii="仿宋" w:hAnsi="仿宋" w:eastAsia="仿宋" w:cs="仿宋"/>
          <w:color w:val="auto"/>
          <w:highlight w:val="none"/>
          <w:u w:val="single"/>
          <w:lang w:eastAsia="zh-CN"/>
        </w:rPr>
        <w:t>沙堤社区党群服务中心改造项目</w:t>
      </w:r>
    </w:p>
    <w:p w14:paraId="059A5353">
      <w:pPr>
        <w:pStyle w:val="11"/>
        <w:shd w:val="clear"/>
        <w:wordWrap/>
        <w:topLinePunct w:val="0"/>
        <w:bidi w:val="0"/>
        <w:snapToGrid w:val="0"/>
        <w:spacing w:line="360" w:lineRule="auto"/>
        <w:ind w:firstLine="535" w:firstLineChars="25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2、工程地点：</w:t>
      </w:r>
      <w:r>
        <w:rPr>
          <w:rFonts w:hint="eastAsia" w:ascii="仿宋" w:hAnsi="仿宋" w:eastAsia="仿宋" w:cs="仿宋"/>
          <w:color w:val="auto"/>
          <w:spacing w:val="2"/>
          <w:highlight w:val="none"/>
          <w:lang w:eastAsia="zh-CN"/>
        </w:rPr>
        <w:t>杭州市</w:t>
      </w:r>
      <w:r>
        <w:rPr>
          <w:rFonts w:hint="eastAsia" w:ascii="仿宋" w:hAnsi="仿宋" w:eastAsia="仿宋" w:cs="仿宋"/>
          <w:color w:val="auto"/>
          <w:highlight w:val="none"/>
          <w:lang w:val="en-US" w:eastAsia="zh-CN"/>
        </w:rPr>
        <w:t>钱塘区</w:t>
      </w:r>
    </w:p>
    <w:p w14:paraId="261F4FDC">
      <w:pPr>
        <w:pStyle w:val="11"/>
        <w:shd w:val="clear"/>
        <w:wordWrap/>
        <w:topLinePunct w:val="0"/>
        <w:bidi w:val="0"/>
        <w:snapToGrid w:val="0"/>
        <w:spacing w:line="360" w:lineRule="auto"/>
        <w:ind w:firstLine="535" w:firstLineChars="250"/>
        <w:rPr>
          <w:rFonts w:hint="eastAsia" w:ascii="仿宋" w:hAnsi="仿宋" w:eastAsia="仿宋" w:cs="仿宋"/>
          <w:color w:val="auto"/>
          <w:highlight w:val="none"/>
        </w:rPr>
      </w:pPr>
      <w:r>
        <w:rPr>
          <w:rFonts w:hint="eastAsia" w:ascii="仿宋" w:hAnsi="仿宋" w:eastAsia="仿宋" w:cs="仿宋"/>
          <w:color w:val="auto"/>
          <w:spacing w:val="2"/>
          <w:highlight w:val="none"/>
        </w:rPr>
        <w:t>3、工程内容与承包范围：具体为</w:t>
      </w:r>
      <w:r>
        <w:rPr>
          <w:rFonts w:hint="eastAsia" w:ascii="仿宋" w:hAnsi="仿宋" w:eastAsia="仿宋" w:cs="仿宋"/>
          <w:color w:val="auto"/>
          <w:spacing w:val="2"/>
          <w:sz w:val="21"/>
          <w:highlight w:val="none"/>
        </w:rPr>
        <w:t>竞争性磋商文件、工程量清单、</w:t>
      </w:r>
      <w:r>
        <w:rPr>
          <w:rFonts w:hint="eastAsia" w:ascii="仿宋" w:hAnsi="仿宋" w:eastAsia="仿宋" w:cs="仿宋"/>
          <w:color w:val="auto"/>
          <w:spacing w:val="2"/>
          <w:highlight w:val="none"/>
        </w:rPr>
        <w:t>预</w:t>
      </w:r>
      <w:r>
        <w:rPr>
          <w:rFonts w:hint="eastAsia" w:ascii="仿宋" w:hAnsi="仿宋" w:eastAsia="仿宋" w:cs="仿宋"/>
          <w:color w:val="auto"/>
          <w:highlight w:val="none"/>
        </w:rPr>
        <w:t>算审核说明及施工图范围内的所有工程。</w:t>
      </w:r>
    </w:p>
    <w:p w14:paraId="5E175CDE">
      <w:pPr>
        <w:pStyle w:val="11"/>
        <w:shd w:val="clear"/>
        <w:wordWrap/>
        <w:topLinePunct w:val="0"/>
        <w:bidi w:val="0"/>
        <w:snapToGrid w:val="0"/>
        <w:spacing w:line="360" w:lineRule="auto"/>
        <w:ind w:firstLine="535" w:firstLineChars="250"/>
        <w:rPr>
          <w:rFonts w:hint="eastAsia" w:ascii="仿宋" w:hAnsi="仿宋" w:eastAsia="仿宋" w:cs="仿宋"/>
          <w:color w:val="auto"/>
          <w:highlight w:val="none"/>
        </w:rPr>
      </w:pPr>
      <w:r>
        <w:rPr>
          <w:rFonts w:hint="eastAsia" w:ascii="仿宋" w:hAnsi="仿宋" w:eastAsia="仿宋" w:cs="仿宋"/>
          <w:color w:val="auto"/>
          <w:spacing w:val="2"/>
          <w:highlight w:val="none"/>
        </w:rPr>
        <w:t>4．质量要</w:t>
      </w:r>
      <w:r>
        <w:rPr>
          <w:rFonts w:hint="eastAsia" w:ascii="仿宋" w:hAnsi="仿宋" w:eastAsia="仿宋" w:cs="仿宋"/>
          <w:color w:val="auto"/>
          <w:highlight w:val="none"/>
        </w:rPr>
        <w:t>求：合格（符合工程施工质量验收规范标准）。</w:t>
      </w:r>
    </w:p>
    <w:p w14:paraId="6BB489F1">
      <w:pPr>
        <w:shd w:val="clear"/>
        <w:wordWrap/>
        <w:topLinePunct w:val="0"/>
        <w:bidi w:val="0"/>
        <w:spacing w:line="360" w:lineRule="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 xml:space="preserve">    二、工程承包方式： </w:t>
      </w:r>
    </w:p>
    <w:p w14:paraId="2AA809F3">
      <w:pPr>
        <w:shd w:val="clear"/>
        <w:wordWrap/>
        <w:topLinePunct w:val="0"/>
        <w:bidi w:val="0"/>
        <w:spacing w:line="360" w:lineRule="auto"/>
        <w:ind w:firstLine="428" w:firstLineChars="200"/>
        <w:jc w:val="left"/>
        <w:rPr>
          <w:rFonts w:hint="eastAsia" w:ascii="仿宋" w:hAnsi="仿宋" w:eastAsia="仿宋" w:cs="仿宋"/>
          <w:color w:val="auto"/>
          <w:szCs w:val="21"/>
          <w:highlight w:val="none"/>
        </w:rPr>
      </w:pPr>
      <w:r>
        <w:rPr>
          <w:rFonts w:hint="eastAsia" w:ascii="仿宋" w:hAnsi="仿宋" w:eastAsia="仿宋" w:cs="仿宋"/>
          <w:color w:val="auto"/>
          <w:spacing w:val="2"/>
          <w:szCs w:val="21"/>
          <w:highlight w:val="none"/>
        </w:rPr>
        <w:t>本工程采用包工、包料、包工期、包质量、包安全的形式。工程造价根据中标价一次性</w:t>
      </w:r>
      <w:r>
        <w:rPr>
          <w:rFonts w:hint="eastAsia" w:ascii="仿宋" w:hAnsi="仿宋" w:eastAsia="仿宋" w:cs="仿宋"/>
          <w:color w:val="auto"/>
          <w:szCs w:val="21"/>
          <w:highlight w:val="none"/>
        </w:rPr>
        <w:t>(固定总价)</w:t>
      </w:r>
      <w:r>
        <w:rPr>
          <w:rFonts w:hint="eastAsia" w:ascii="仿宋" w:hAnsi="仿宋" w:eastAsia="仿宋" w:cs="仿宋"/>
          <w:color w:val="auto"/>
          <w:spacing w:val="2"/>
          <w:szCs w:val="21"/>
          <w:highlight w:val="none"/>
        </w:rPr>
        <w:t>包干，施工期间如遇国家政策性调价，市场材料价格发生变化等，本工程均不予调整。设计变更工程量同意按实调整，但均按中标优惠率让利。</w:t>
      </w:r>
    </w:p>
    <w:p w14:paraId="56F5FAA9">
      <w:pPr>
        <w:shd w:val="clear"/>
        <w:wordWrap/>
        <w:topLinePunct w:val="0"/>
        <w:bidi w:val="0"/>
        <w:spacing w:line="360" w:lineRule="auto"/>
        <w:ind w:firstLine="535" w:firstLineChars="250"/>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本工程由乙方实行总承包，不得转包，一旦发现转包者，甲方有权终止承包合同，并向乙方索赔中标造价10%的违约金。部分专业工程乙方无资质或有资质但资质等级未达到该工程专业资质要求的，允许分包，但需征得甲方</w:t>
      </w:r>
      <w:r>
        <w:rPr>
          <w:rFonts w:hint="eastAsia" w:ascii="仿宋" w:hAnsi="仿宋" w:eastAsia="仿宋" w:cs="仿宋"/>
          <w:color w:val="auto"/>
          <w:spacing w:val="2"/>
          <w:szCs w:val="21"/>
          <w:highlight w:val="none"/>
          <w:lang w:val="en-US" w:eastAsia="zh-Hans"/>
        </w:rPr>
        <w:t>书面</w:t>
      </w:r>
      <w:r>
        <w:rPr>
          <w:rFonts w:hint="eastAsia" w:ascii="仿宋" w:hAnsi="仿宋" w:eastAsia="仿宋" w:cs="仿宋"/>
          <w:color w:val="auto"/>
          <w:spacing w:val="2"/>
          <w:szCs w:val="21"/>
          <w:highlight w:val="none"/>
        </w:rPr>
        <w:t>同意，乙方可以分包给具有相应资质的单位，</w:t>
      </w:r>
      <w:r>
        <w:rPr>
          <w:rFonts w:hint="eastAsia" w:ascii="仿宋" w:hAnsi="仿宋" w:eastAsia="仿宋" w:cs="仿宋"/>
          <w:color w:val="auto"/>
          <w:spacing w:val="2"/>
          <w:szCs w:val="21"/>
          <w:highlight w:val="none"/>
          <w:lang w:val="en-US" w:eastAsia="zh-Hans"/>
        </w:rPr>
        <w:t>乙方对分包单位的全部行为承担连带责任</w:t>
      </w:r>
      <w:r>
        <w:rPr>
          <w:rFonts w:hint="eastAsia" w:ascii="仿宋" w:hAnsi="仿宋" w:eastAsia="仿宋" w:cs="仿宋"/>
          <w:color w:val="auto"/>
          <w:spacing w:val="2"/>
          <w:szCs w:val="21"/>
          <w:highlight w:val="none"/>
        </w:rPr>
        <w:t>。</w:t>
      </w:r>
    </w:p>
    <w:p w14:paraId="1ABF10EA">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三、中标价、服务期限</w:t>
      </w:r>
    </w:p>
    <w:p w14:paraId="6FA21508">
      <w:pPr>
        <w:shd w:val="clear"/>
        <w:wordWrap/>
        <w:topLinePunct w:val="0"/>
        <w:bidi w:val="0"/>
        <w:adjustRightInd w:val="0"/>
        <w:snapToGrid w:val="0"/>
        <w:spacing w:line="360" w:lineRule="auto"/>
        <w:ind w:firstLine="420" w:firstLineChars="20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中标价为人民币（大写）：</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 xml:space="preserve">元 。                     </w:t>
      </w:r>
      <w:r>
        <w:rPr>
          <w:rFonts w:hint="eastAsia" w:ascii="仿宋" w:hAnsi="仿宋" w:eastAsia="仿宋" w:cs="仿宋"/>
          <w:color w:val="auto"/>
          <w:kern w:val="0"/>
          <w:szCs w:val="21"/>
          <w:highlight w:val="none"/>
          <w:u w:val="single"/>
        </w:rPr>
        <w:t xml:space="preserve">                                    </w:t>
      </w:r>
    </w:p>
    <w:p w14:paraId="3F9C3842">
      <w:pPr>
        <w:pStyle w:val="11"/>
        <w:shd w:val="clear"/>
        <w:wordWrap/>
        <w:topLinePunct w:val="0"/>
        <w:bidi w:val="0"/>
        <w:spacing w:line="360" w:lineRule="auto"/>
        <w:ind w:firstLine="492" w:firstLineChars="23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服务期限：     年  月  日-    年  月  日</w:t>
      </w:r>
    </w:p>
    <w:p w14:paraId="147FE30D">
      <w:pPr>
        <w:pStyle w:val="11"/>
        <w:shd w:val="clear"/>
        <w:wordWrap/>
        <w:topLinePunct w:val="0"/>
        <w:bidi w:val="0"/>
        <w:spacing w:line="360" w:lineRule="auto"/>
        <w:ind w:firstLine="492" w:firstLineChars="230"/>
        <w:rPr>
          <w:rFonts w:hint="eastAsia" w:ascii="仿宋" w:hAnsi="仿宋" w:eastAsia="仿宋" w:cs="仿宋"/>
          <w:color w:val="auto"/>
          <w:spacing w:val="2"/>
          <w:highlight w:val="none"/>
        </w:rPr>
      </w:pPr>
      <w:r>
        <w:rPr>
          <w:rFonts w:hint="eastAsia" w:ascii="仿宋" w:hAnsi="仿宋" w:eastAsia="仿宋" w:cs="仿宋"/>
          <w:snapToGrid/>
          <w:color w:val="auto"/>
          <w:spacing w:val="2"/>
          <w:kern w:val="2"/>
          <w:sz w:val="21"/>
          <w:szCs w:val="21"/>
          <w:highlight w:val="none"/>
          <w:lang w:val="en-US" w:eastAsia="zh-CN" w:bidi="ar-SA"/>
        </w:rPr>
        <w:t>本项目履约保证金金额为：</w:t>
      </w:r>
      <w:r>
        <w:rPr>
          <w:rFonts w:hint="eastAsia" w:ascii="仿宋" w:hAnsi="仿宋" w:eastAsia="仿宋" w:cs="仿宋"/>
          <w:snapToGrid/>
          <w:color w:val="auto"/>
          <w:spacing w:val="2"/>
          <w:kern w:val="2"/>
          <w:sz w:val="21"/>
          <w:szCs w:val="21"/>
          <w:highlight w:val="none"/>
          <w:u w:val="single"/>
          <w:lang w:val="en-US" w:eastAsia="zh-CN" w:bidi="ar-SA"/>
        </w:rPr>
        <w:t xml:space="preserve">    </w:t>
      </w:r>
      <w:r>
        <w:rPr>
          <w:rFonts w:hint="eastAsia" w:ascii="仿宋" w:hAnsi="仿宋" w:eastAsia="仿宋" w:cs="仿宋"/>
          <w:snapToGrid/>
          <w:color w:val="auto"/>
          <w:spacing w:val="2"/>
          <w:kern w:val="2"/>
          <w:sz w:val="21"/>
          <w:szCs w:val="21"/>
          <w:highlight w:val="none"/>
          <w:lang w:val="en-US" w:eastAsia="zh-CN" w:bidi="ar-SA"/>
        </w:rPr>
        <w:t>元，即合同价的</w:t>
      </w:r>
      <w:r>
        <w:rPr>
          <w:rFonts w:hint="eastAsia" w:ascii="仿宋" w:hAnsi="仿宋" w:eastAsia="仿宋" w:cs="仿宋"/>
          <w:snapToGrid/>
          <w:color w:val="auto"/>
          <w:spacing w:val="2"/>
          <w:kern w:val="2"/>
          <w:sz w:val="21"/>
          <w:szCs w:val="21"/>
          <w:highlight w:val="none"/>
          <w:u w:val="single"/>
          <w:lang w:val="en-US" w:eastAsia="zh-CN" w:bidi="ar-SA"/>
        </w:rPr>
        <w:t xml:space="preserve">   </w:t>
      </w:r>
      <w:r>
        <w:rPr>
          <w:rFonts w:hint="eastAsia" w:ascii="仿宋" w:hAnsi="仿宋" w:eastAsia="仿宋" w:cs="仿宋"/>
          <w:snapToGrid/>
          <w:color w:val="auto"/>
          <w:spacing w:val="2"/>
          <w:kern w:val="2"/>
          <w:sz w:val="21"/>
          <w:szCs w:val="21"/>
          <w:highlight w:val="none"/>
          <w:lang w:val="en-US" w:eastAsia="zh-CN" w:bidi="ar-SA"/>
        </w:rPr>
        <w:t>%，缴纳形式：以金融机构、担保机构出具的保函等形式提交。</w:t>
      </w:r>
      <w:r>
        <w:rPr>
          <w:rFonts w:hint="eastAsia" w:ascii="仿宋" w:hAnsi="仿宋" w:eastAsia="仿宋" w:cs="仿宋"/>
          <w:snapToGrid/>
          <w:color w:val="auto"/>
          <w:spacing w:val="2"/>
          <w:kern w:val="2"/>
          <w:sz w:val="21"/>
          <w:szCs w:val="21"/>
          <w:highlight w:val="none"/>
          <w:lang w:val="en-US" w:eastAsia="zh-Hans" w:bidi="ar-SA"/>
        </w:rPr>
        <w:t>乙方应当在收到中标通知书后</w:t>
      </w:r>
      <w:r>
        <w:rPr>
          <w:rFonts w:hint="eastAsia" w:ascii="仿宋" w:hAnsi="仿宋" w:eastAsia="仿宋" w:cs="仿宋"/>
          <w:snapToGrid/>
          <w:color w:val="auto"/>
          <w:spacing w:val="2"/>
          <w:kern w:val="2"/>
          <w:sz w:val="21"/>
          <w:szCs w:val="21"/>
          <w:highlight w:val="none"/>
          <w:lang w:eastAsia="zh-Hans" w:bidi="ar-SA"/>
        </w:rPr>
        <w:t>【】</w:t>
      </w:r>
      <w:r>
        <w:rPr>
          <w:rFonts w:hint="eastAsia" w:ascii="仿宋" w:hAnsi="仿宋" w:eastAsia="仿宋" w:cs="仿宋"/>
          <w:snapToGrid/>
          <w:color w:val="auto"/>
          <w:spacing w:val="2"/>
          <w:kern w:val="2"/>
          <w:sz w:val="21"/>
          <w:szCs w:val="21"/>
          <w:highlight w:val="none"/>
          <w:lang w:val="en-US" w:eastAsia="zh-Hans" w:bidi="ar-SA"/>
        </w:rPr>
        <w:t>日内向甲方全额交纳履约保证金</w:t>
      </w:r>
      <w:r>
        <w:rPr>
          <w:rFonts w:hint="eastAsia" w:ascii="仿宋" w:hAnsi="仿宋" w:eastAsia="仿宋" w:cs="仿宋"/>
          <w:snapToGrid/>
          <w:color w:val="auto"/>
          <w:spacing w:val="2"/>
          <w:kern w:val="2"/>
          <w:sz w:val="21"/>
          <w:szCs w:val="21"/>
          <w:highlight w:val="none"/>
          <w:lang w:val="en-US" w:eastAsia="zh-CN" w:bidi="ar-SA"/>
        </w:rPr>
        <w:t>。</w:t>
      </w:r>
      <w:r>
        <w:rPr>
          <w:rFonts w:hint="eastAsia" w:ascii="仿宋" w:hAnsi="仿宋" w:eastAsia="仿宋" w:cs="仿宋"/>
          <w:snapToGrid/>
          <w:color w:val="auto"/>
          <w:spacing w:val="2"/>
          <w:kern w:val="2"/>
          <w:sz w:val="21"/>
          <w:szCs w:val="21"/>
          <w:highlight w:val="none"/>
          <w:lang w:val="en-US" w:eastAsia="zh-Hans" w:bidi="ar-SA"/>
        </w:rPr>
        <w:t>因乙方违约所产生的违约金</w:t>
      </w:r>
      <w:r>
        <w:rPr>
          <w:rFonts w:hint="eastAsia" w:ascii="仿宋" w:hAnsi="仿宋" w:eastAsia="仿宋" w:cs="仿宋"/>
          <w:snapToGrid/>
          <w:color w:val="auto"/>
          <w:spacing w:val="2"/>
          <w:kern w:val="2"/>
          <w:sz w:val="21"/>
          <w:szCs w:val="21"/>
          <w:highlight w:val="none"/>
          <w:lang w:eastAsia="zh-Hans" w:bidi="ar-SA"/>
        </w:rPr>
        <w:t>、</w:t>
      </w:r>
      <w:r>
        <w:rPr>
          <w:rFonts w:hint="eastAsia" w:ascii="仿宋" w:hAnsi="仿宋" w:eastAsia="仿宋" w:cs="仿宋"/>
          <w:snapToGrid/>
          <w:color w:val="auto"/>
          <w:spacing w:val="2"/>
          <w:kern w:val="2"/>
          <w:sz w:val="21"/>
          <w:szCs w:val="21"/>
          <w:highlight w:val="none"/>
          <w:lang w:val="en-US" w:eastAsia="zh-Hans" w:bidi="ar-SA"/>
        </w:rPr>
        <w:t>赔偿金等费用</w:t>
      </w:r>
      <w:r>
        <w:rPr>
          <w:rFonts w:hint="eastAsia" w:ascii="仿宋" w:hAnsi="仿宋" w:eastAsia="仿宋" w:cs="仿宋"/>
          <w:snapToGrid/>
          <w:color w:val="auto"/>
          <w:spacing w:val="2"/>
          <w:kern w:val="2"/>
          <w:sz w:val="21"/>
          <w:szCs w:val="21"/>
          <w:highlight w:val="none"/>
          <w:lang w:eastAsia="zh-Hans" w:bidi="ar-SA"/>
        </w:rPr>
        <w:t>，</w:t>
      </w:r>
      <w:r>
        <w:rPr>
          <w:rFonts w:hint="eastAsia" w:ascii="仿宋" w:hAnsi="仿宋" w:eastAsia="仿宋" w:cs="仿宋"/>
          <w:snapToGrid/>
          <w:color w:val="auto"/>
          <w:spacing w:val="2"/>
          <w:kern w:val="2"/>
          <w:sz w:val="21"/>
          <w:szCs w:val="21"/>
          <w:highlight w:val="none"/>
          <w:lang w:val="en-US" w:eastAsia="zh-Hans" w:bidi="ar-SA"/>
        </w:rPr>
        <w:t>甲方有权选择从履约保证金中扣除或直接从合同款中扣除</w:t>
      </w:r>
      <w:r>
        <w:rPr>
          <w:rFonts w:hint="eastAsia" w:ascii="仿宋" w:hAnsi="仿宋" w:eastAsia="仿宋" w:cs="仿宋"/>
          <w:snapToGrid/>
          <w:color w:val="auto"/>
          <w:spacing w:val="2"/>
          <w:kern w:val="2"/>
          <w:sz w:val="21"/>
          <w:szCs w:val="21"/>
          <w:highlight w:val="none"/>
          <w:lang w:eastAsia="zh-Hans" w:bidi="ar-SA"/>
        </w:rPr>
        <w:t>。</w:t>
      </w:r>
      <w:r>
        <w:rPr>
          <w:rFonts w:hint="eastAsia" w:ascii="仿宋" w:hAnsi="仿宋" w:eastAsia="仿宋" w:cs="仿宋"/>
          <w:snapToGrid/>
          <w:color w:val="auto"/>
          <w:spacing w:val="2"/>
          <w:kern w:val="2"/>
          <w:sz w:val="21"/>
          <w:szCs w:val="21"/>
          <w:highlight w:val="none"/>
          <w:lang w:val="en-US" w:eastAsia="zh-CN" w:bidi="ar-SA"/>
        </w:rPr>
        <w:t xml:space="preserve"> </w:t>
      </w:r>
    </w:p>
    <w:p w14:paraId="63C5E324">
      <w:pPr>
        <w:shd w:val="clear"/>
        <w:wordWrap/>
        <w:topLinePunct w:val="0"/>
        <w:bidi w:val="0"/>
        <w:spacing w:line="360" w:lineRule="auto"/>
        <w:ind w:firstLine="480"/>
        <w:rPr>
          <w:rFonts w:hint="eastAsia" w:ascii="仿宋" w:hAnsi="仿宋" w:eastAsia="仿宋" w:cs="仿宋"/>
          <w:color w:val="auto"/>
          <w:spacing w:val="2"/>
          <w:szCs w:val="21"/>
          <w:highlight w:val="none"/>
          <w:lang w:eastAsia="zh-Hans"/>
        </w:rPr>
      </w:pPr>
      <w:r>
        <w:rPr>
          <w:rFonts w:hint="eastAsia" w:ascii="仿宋" w:hAnsi="仿宋" w:eastAsia="仿宋" w:cs="仿宋"/>
          <w:color w:val="auto"/>
          <w:spacing w:val="2"/>
          <w:szCs w:val="21"/>
          <w:highlight w:val="none"/>
        </w:rPr>
        <w:t>本工程工期为：</w:t>
      </w:r>
      <w:r>
        <w:rPr>
          <w:rFonts w:hint="eastAsia" w:ascii="仿宋" w:hAnsi="仿宋" w:eastAsia="仿宋" w:cs="仿宋"/>
          <w:color w:val="auto"/>
          <w:spacing w:val="2"/>
          <w:szCs w:val="21"/>
          <w:highlight w:val="none"/>
          <w:lang w:val="en-US" w:eastAsia="zh-CN"/>
        </w:rPr>
        <w:t xml:space="preserve">  日历天</w:t>
      </w:r>
      <w:r>
        <w:rPr>
          <w:rFonts w:hint="eastAsia" w:ascii="仿宋" w:hAnsi="仿宋" w:eastAsia="仿宋" w:cs="仿宋"/>
          <w:color w:val="auto"/>
          <w:spacing w:val="2"/>
          <w:szCs w:val="21"/>
          <w:highlight w:val="none"/>
        </w:rPr>
        <w:t>，</w:t>
      </w:r>
      <w:r>
        <w:rPr>
          <w:rFonts w:hint="eastAsia" w:ascii="仿宋" w:hAnsi="仿宋" w:eastAsia="仿宋" w:cs="仿宋"/>
          <w:iCs w:val="0"/>
          <w:color w:val="auto"/>
          <w:spacing w:val="2"/>
          <w:szCs w:val="21"/>
          <w:highlight w:val="none"/>
        </w:rPr>
        <w:t>工期总日历天数与根据</w:t>
      </w:r>
      <w:r>
        <w:rPr>
          <w:rFonts w:hint="eastAsia" w:ascii="仿宋" w:hAnsi="仿宋" w:eastAsia="仿宋" w:cs="仿宋"/>
          <w:iCs w:val="0"/>
          <w:color w:val="auto"/>
          <w:spacing w:val="2"/>
          <w:szCs w:val="21"/>
          <w:highlight w:val="none"/>
          <w:lang w:val="en-US" w:eastAsia="zh-Hans"/>
        </w:rPr>
        <w:t>服务期限中</w:t>
      </w:r>
      <w:r>
        <w:rPr>
          <w:rFonts w:hint="eastAsia" w:ascii="仿宋" w:hAnsi="仿宋" w:eastAsia="仿宋" w:cs="仿宋"/>
          <w:iCs w:val="0"/>
          <w:color w:val="auto"/>
          <w:spacing w:val="2"/>
          <w:szCs w:val="21"/>
          <w:highlight w:val="none"/>
        </w:rPr>
        <w:t>计划开竣工日期计算的工期天数不一致的，以工期总日历天数为准。</w:t>
      </w:r>
      <w:r>
        <w:rPr>
          <w:rFonts w:hint="eastAsia" w:ascii="仿宋" w:hAnsi="仿宋" w:eastAsia="仿宋" w:cs="仿宋"/>
          <w:color w:val="auto"/>
          <w:spacing w:val="2"/>
          <w:szCs w:val="21"/>
          <w:highlight w:val="none"/>
        </w:rPr>
        <w:t>如无故</w:t>
      </w:r>
      <w:r>
        <w:rPr>
          <w:rFonts w:hint="eastAsia" w:ascii="仿宋" w:hAnsi="仿宋" w:eastAsia="仿宋" w:cs="仿宋"/>
          <w:color w:val="auto"/>
          <w:spacing w:val="2"/>
          <w:szCs w:val="21"/>
          <w:highlight w:val="none"/>
          <w:lang w:val="en-US" w:eastAsia="zh-Hans"/>
        </w:rPr>
        <w:t>未在工期内</w:t>
      </w:r>
      <w:r>
        <w:rPr>
          <w:rFonts w:hint="eastAsia" w:ascii="仿宋" w:hAnsi="仿宋" w:eastAsia="仿宋" w:cs="仿宋"/>
          <w:color w:val="auto"/>
          <w:spacing w:val="2"/>
          <w:szCs w:val="21"/>
          <w:highlight w:val="none"/>
        </w:rPr>
        <w:t>完成的，工期延误每天按中标造价的万分之五进行处罚。</w:t>
      </w:r>
    </w:p>
    <w:p w14:paraId="386CB77C">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四、项目经理</w:t>
      </w:r>
    </w:p>
    <w:p w14:paraId="681CD44B">
      <w:pPr>
        <w:shd w:val="clear"/>
        <w:wordWrap/>
        <w:topLinePunct w:val="0"/>
        <w:bidi w:val="0"/>
        <w:spacing w:line="360" w:lineRule="auto"/>
        <w:ind w:firstLine="428" w:firstLineChars="200"/>
        <w:contextualSpacing/>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乙方派驻项目经理：</w:t>
      </w:r>
      <w:r>
        <w:rPr>
          <w:rFonts w:hint="eastAsia" w:ascii="仿宋" w:hAnsi="仿宋" w:eastAsia="仿宋" w:cs="仿宋"/>
          <w:color w:val="auto"/>
          <w:spacing w:val="2"/>
          <w:szCs w:val="21"/>
          <w:highlight w:val="none"/>
          <w:u w:val="single"/>
        </w:rPr>
        <w:t xml:space="preserve">         </w:t>
      </w:r>
      <w:r>
        <w:rPr>
          <w:rFonts w:hint="eastAsia" w:ascii="仿宋" w:hAnsi="仿宋" w:eastAsia="仿宋" w:cs="仿宋"/>
          <w:color w:val="auto"/>
          <w:spacing w:val="2"/>
          <w:szCs w:val="21"/>
          <w:highlight w:val="none"/>
        </w:rPr>
        <w:t>，资质：</w:t>
      </w:r>
      <w:r>
        <w:rPr>
          <w:rFonts w:hint="eastAsia" w:ascii="仿宋" w:hAnsi="仿宋" w:eastAsia="仿宋" w:cs="仿宋"/>
          <w:color w:val="auto"/>
          <w:spacing w:val="2"/>
          <w:szCs w:val="21"/>
          <w:highlight w:val="none"/>
          <w:u w:val="single"/>
        </w:rPr>
        <w:t xml:space="preserve">                 </w:t>
      </w:r>
      <w:r>
        <w:rPr>
          <w:rFonts w:hint="eastAsia" w:ascii="仿宋" w:hAnsi="仿宋" w:eastAsia="仿宋" w:cs="仿宋"/>
          <w:color w:val="auto"/>
          <w:spacing w:val="2"/>
          <w:szCs w:val="21"/>
          <w:highlight w:val="none"/>
        </w:rPr>
        <w:t xml:space="preserve"> 注册证号：</w:t>
      </w:r>
      <w:r>
        <w:rPr>
          <w:rFonts w:hint="eastAsia" w:ascii="仿宋" w:hAnsi="仿宋" w:eastAsia="仿宋" w:cs="仿宋"/>
          <w:color w:val="auto"/>
          <w:spacing w:val="2"/>
          <w:szCs w:val="21"/>
          <w:highlight w:val="none"/>
          <w:u w:val="single"/>
        </w:rPr>
        <w:t xml:space="preserve">                </w:t>
      </w:r>
      <w:r>
        <w:rPr>
          <w:rFonts w:hint="eastAsia" w:ascii="仿宋" w:hAnsi="仿宋" w:eastAsia="仿宋" w:cs="仿宋"/>
          <w:color w:val="auto"/>
          <w:spacing w:val="2"/>
          <w:szCs w:val="21"/>
          <w:highlight w:val="none"/>
        </w:rPr>
        <w:t>。</w:t>
      </w:r>
    </w:p>
    <w:p w14:paraId="501EB470">
      <w:pPr>
        <w:shd w:val="clear"/>
        <w:wordWrap/>
        <w:topLinePunct w:val="0"/>
        <w:bidi w:val="0"/>
        <w:spacing w:line="360" w:lineRule="auto"/>
        <w:ind w:firstLine="420" w:firstLineChars="200"/>
        <w:contextualSpacing/>
        <w:jc w:val="left"/>
        <w:rPr>
          <w:rFonts w:hint="eastAsia" w:ascii="仿宋" w:hAnsi="仿宋" w:eastAsia="仿宋" w:cs="仿宋"/>
          <w:color w:val="auto"/>
          <w:spacing w:val="2"/>
          <w:szCs w:val="21"/>
          <w:highlight w:val="none"/>
          <w:lang w:eastAsia="zh-Hans"/>
        </w:rPr>
      </w:pPr>
      <w:r>
        <w:rPr>
          <w:rFonts w:hint="eastAsia" w:ascii="仿宋" w:hAnsi="仿宋" w:eastAsia="仿宋" w:cs="仿宋"/>
          <w:color w:val="auto"/>
          <w:szCs w:val="21"/>
          <w:highlight w:val="none"/>
        </w:rPr>
        <w:t>乙方在投标文件中明确的项目负责人必须到位，不能更换，</w:t>
      </w:r>
      <w:r>
        <w:rPr>
          <w:rFonts w:hint="eastAsia" w:ascii="仿宋" w:hAnsi="仿宋" w:eastAsia="仿宋" w:cs="仿宋"/>
          <w:color w:val="auto"/>
          <w:szCs w:val="21"/>
          <w:highlight w:val="none"/>
          <w:lang w:val="en-US" w:eastAsia="zh-Hans"/>
        </w:rPr>
        <w:t>乙方擅自更换项目负责人的</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应当向甲方支付</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元违约金</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次</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并就甲方因此所受全部损失承担赔偿责任</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rPr>
        <w:t>同时，项目负责人必须在施工现场到岗，且每月至少要到岗25天，到岗期间每天不少于8小时，否则视为未到岗，缺席一天扣300元，并列入考核内容，和甲方另行签订管理合同。</w:t>
      </w:r>
      <w:r>
        <w:rPr>
          <w:rFonts w:hint="eastAsia" w:ascii="仿宋" w:hAnsi="仿宋" w:eastAsia="仿宋" w:cs="仿宋"/>
          <w:color w:val="auto"/>
          <w:szCs w:val="21"/>
          <w:highlight w:val="none"/>
          <w:lang w:val="en-US" w:eastAsia="zh-Hans"/>
        </w:rPr>
        <w:t>甲方有权要求乙方更换工作不负责</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能力不足的项目负责人</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乙方应当在收到甲方要求更换项目负责人的通知之日起</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日内更换</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并将更换结果及时告知甲方</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更换后的项目负责人应当具有同等及以上资质</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更换项目负责人后应当组好工作交接</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确保甲方项目能够顺利进行</w:t>
      </w:r>
      <w:r>
        <w:rPr>
          <w:rFonts w:hint="eastAsia" w:ascii="仿宋" w:hAnsi="仿宋" w:eastAsia="仿宋" w:cs="仿宋"/>
          <w:color w:val="auto"/>
          <w:szCs w:val="21"/>
          <w:highlight w:val="none"/>
          <w:lang w:eastAsia="zh-Hans"/>
        </w:rPr>
        <w:t>。</w:t>
      </w:r>
    </w:p>
    <w:p w14:paraId="67B03181">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五、工程质量和检查验收</w:t>
      </w:r>
    </w:p>
    <w:p w14:paraId="63F50D19">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1、本工程质量标准合格。</w:t>
      </w:r>
    </w:p>
    <w:p w14:paraId="2A21BE0F">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2、工程质量标准应当达到国家或行业的质量检验评定标准。因乙方原因工程质量达不到规定标准的，</w:t>
      </w:r>
      <w:r>
        <w:rPr>
          <w:rFonts w:hint="eastAsia" w:ascii="仿宋" w:hAnsi="仿宋" w:eastAsia="仿宋" w:cs="仿宋"/>
          <w:color w:val="auto"/>
          <w:spacing w:val="2"/>
          <w:highlight w:val="none"/>
          <w:lang w:val="en-US" w:eastAsia="zh-Hans"/>
        </w:rPr>
        <w:t>乙方应当立即进行整改直至达到规定标准</w:t>
      </w:r>
      <w:r>
        <w:rPr>
          <w:rFonts w:hint="eastAsia" w:ascii="仿宋" w:hAnsi="仿宋" w:eastAsia="仿宋" w:cs="仿宋"/>
          <w:color w:val="auto"/>
          <w:spacing w:val="2"/>
          <w:highlight w:val="none"/>
          <w:lang w:eastAsia="zh-Hans"/>
        </w:rPr>
        <w:t>，</w:t>
      </w:r>
      <w:r>
        <w:rPr>
          <w:rFonts w:hint="eastAsia" w:ascii="仿宋" w:hAnsi="仿宋" w:eastAsia="仿宋" w:cs="仿宋"/>
          <w:color w:val="auto"/>
          <w:spacing w:val="2"/>
          <w:highlight w:val="none"/>
          <w:lang w:val="en-US" w:eastAsia="zh-Hans"/>
        </w:rPr>
        <w:t>因此导致乙方未能在约定期限内竣工的</w:t>
      </w:r>
      <w:r>
        <w:rPr>
          <w:rFonts w:hint="eastAsia" w:ascii="仿宋" w:hAnsi="仿宋" w:eastAsia="仿宋" w:cs="仿宋"/>
          <w:color w:val="auto"/>
          <w:spacing w:val="2"/>
          <w:highlight w:val="none"/>
          <w:lang w:eastAsia="zh-Hans"/>
        </w:rPr>
        <w:t>，</w:t>
      </w:r>
      <w:r>
        <w:rPr>
          <w:rFonts w:hint="eastAsia" w:ascii="仿宋" w:hAnsi="仿宋" w:eastAsia="仿宋" w:cs="仿宋"/>
          <w:color w:val="auto"/>
          <w:spacing w:val="2"/>
          <w:highlight w:val="none"/>
          <w:lang w:val="en-US" w:eastAsia="zh-Hans"/>
        </w:rPr>
        <w:t>乙方还应当承担逾期竣工的违约责任</w:t>
      </w:r>
      <w:r>
        <w:rPr>
          <w:rFonts w:hint="eastAsia" w:ascii="仿宋" w:hAnsi="仿宋" w:eastAsia="仿宋" w:cs="仿宋"/>
          <w:color w:val="auto"/>
          <w:spacing w:val="2"/>
          <w:highlight w:val="none"/>
        </w:rPr>
        <w:t>。</w:t>
      </w:r>
    </w:p>
    <w:p w14:paraId="7541B3F4">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3、双方对工程质量有争议，由双方同意的工程质监站鉴定，所需费用由责任方承担。双方均有责任，根据责任分别承担。</w:t>
      </w:r>
    </w:p>
    <w:p w14:paraId="636CBAE8">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4、隐蔽工程由乙方自检</w:t>
      </w:r>
      <w:r>
        <w:rPr>
          <w:rFonts w:hint="eastAsia" w:ascii="仿宋" w:hAnsi="仿宋" w:eastAsia="仿宋" w:cs="仿宋"/>
          <w:color w:val="auto"/>
          <w:spacing w:val="2"/>
          <w:highlight w:val="none"/>
          <w:lang w:val="en-US" w:eastAsia="zh-CN"/>
        </w:rPr>
        <w:t>保留数字影像（照片或视频）资料</w:t>
      </w:r>
      <w:r>
        <w:rPr>
          <w:rFonts w:hint="eastAsia" w:ascii="仿宋" w:hAnsi="仿宋" w:eastAsia="仿宋" w:cs="仿宋"/>
          <w:color w:val="auto"/>
          <w:spacing w:val="2"/>
          <w:highlight w:val="none"/>
        </w:rPr>
        <w:t>后，填写《隐蔽工程验收单》通知现场监理工程师及甲方代表验收认可签证后，方可进行下一道工序施工。</w:t>
      </w:r>
      <w:r>
        <w:rPr>
          <w:rFonts w:hint="eastAsia" w:ascii="仿宋" w:hAnsi="仿宋" w:eastAsia="仿宋" w:cs="仿宋"/>
          <w:color w:val="auto"/>
          <w:spacing w:val="2"/>
          <w:highlight w:val="none"/>
          <w:lang w:val="en-US" w:eastAsia="zh-CN"/>
        </w:rPr>
        <w:t>每份签证记录均需附能完整体现工程量（如长、宽、高、深、数量等）的影像资料，</w:t>
      </w:r>
      <w:r>
        <w:rPr>
          <w:rFonts w:hint="eastAsia" w:ascii="仿宋" w:hAnsi="仿宋" w:eastAsia="仿宋" w:cs="仿宋"/>
          <w:color w:val="auto"/>
          <w:spacing w:val="2"/>
          <w:highlight w:val="none"/>
        </w:rPr>
        <w:t>签证记录将作为结算依据。</w:t>
      </w:r>
      <w:r>
        <w:rPr>
          <w:rFonts w:hint="eastAsia" w:ascii="仿宋" w:hAnsi="仿宋" w:eastAsia="仿宋" w:cs="仿宋"/>
          <w:color w:val="auto"/>
          <w:spacing w:val="2"/>
          <w:highlight w:val="none"/>
          <w:lang w:val="en-US" w:eastAsia="zh-CN"/>
        </w:rPr>
        <w:t>无对应影像资料和</w:t>
      </w:r>
      <w:r>
        <w:rPr>
          <w:rFonts w:hint="eastAsia" w:ascii="仿宋" w:hAnsi="仿宋" w:eastAsia="仿宋" w:cs="仿宋"/>
          <w:color w:val="auto"/>
          <w:spacing w:val="2"/>
          <w:highlight w:val="none"/>
        </w:rPr>
        <w:t>无签证记录建设方不予结算。</w:t>
      </w:r>
      <w:r>
        <w:rPr>
          <w:rFonts w:hint="eastAsia" w:ascii="仿宋" w:hAnsi="仿宋" w:eastAsia="仿宋" w:cs="仿宋"/>
          <w:color w:val="auto"/>
          <w:spacing w:val="2"/>
          <w:highlight w:val="none"/>
          <w:lang w:val="en-US" w:eastAsia="zh-CN"/>
        </w:rPr>
        <w:t>因为资料不齐全、不完整导致结算漏算、错算、价格低等责任（包括经济损失）均由施工方自行承担。</w:t>
      </w:r>
      <w:r>
        <w:rPr>
          <w:rFonts w:hint="eastAsia" w:ascii="仿宋" w:hAnsi="仿宋" w:eastAsia="仿宋" w:cs="仿宋"/>
          <w:color w:val="auto"/>
          <w:spacing w:val="2"/>
          <w:highlight w:val="none"/>
        </w:rPr>
        <w:t>重要节点验收中，有一次验收不合格扣除30%的履约保证金，两次验收不合格扣除全部的履约保证金。竣工验收中，第一次验收不合格扣除30%的履约保证金,整改必须到位，第二次验收不合格扣除全部的履约保证金。验收不合格不予结算。</w:t>
      </w:r>
      <w:r>
        <w:rPr>
          <w:rFonts w:hint="eastAsia" w:ascii="仿宋" w:hAnsi="仿宋" w:eastAsia="仿宋" w:cs="仿宋"/>
          <w:color w:val="auto"/>
          <w:spacing w:val="2"/>
          <w:sz w:val="21"/>
          <w:highlight w:val="none"/>
        </w:rPr>
        <w:t>在履</w:t>
      </w:r>
      <w:r>
        <w:rPr>
          <w:rFonts w:hint="eastAsia" w:ascii="仿宋" w:hAnsi="仿宋" w:eastAsia="仿宋" w:cs="仿宋"/>
          <w:color w:val="auto"/>
          <w:spacing w:val="2"/>
          <w:sz w:val="21"/>
          <w:highlight w:val="none"/>
          <w:lang w:val="en-US" w:eastAsia="zh-Hans"/>
        </w:rPr>
        <w:t>行</w:t>
      </w:r>
      <w:r>
        <w:rPr>
          <w:rFonts w:hint="eastAsia" w:ascii="仿宋" w:hAnsi="仿宋" w:eastAsia="仿宋" w:cs="仿宋"/>
          <w:color w:val="auto"/>
          <w:spacing w:val="2"/>
          <w:sz w:val="21"/>
          <w:highlight w:val="none"/>
        </w:rPr>
        <w:t>合同过程中，若出现三次以上施工检查不合格（包括质量、安全、工期等），</w:t>
      </w:r>
      <w:r>
        <w:rPr>
          <w:rFonts w:hint="eastAsia" w:ascii="仿宋" w:hAnsi="仿宋" w:eastAsia="仿宋" w:cs="仿宋"/>
          <w:color w:val="auto"/>
          <w:spacing w:val="2"/>
          <w:sz w:val="21"/>
          <w:highlight w:val="none"/>
          <w:lang w:val="en-US" w:eastAsia="zh-Hans"/>
        </w:rPr>
        <w:t>甲方</w:t>
      </w:r>
      <w:r>
        <w:rPr>
          <w:rFonts w:hint="eastAsia" w:ascii="仿宋" w:hAnsi="仿宋" w:eastAsia="仿宋" w:cs="仿宋"/>
          <w:color w:val="auto"/>
          <w:spacing w:val="2"/>
          <w:sz w:val="21"/>
          <w:highlight w:val="none"/>
        </w:rPr>
        <w:t>有权终止合同</w:t>
      </w:r>
      <w:r>
        <w:rPr>
          <w:rFonts w:hint="eastAsia" w:ascii="仿宋" w:hAnsi="仿宋" w:eastAsia="仿宋" w:cs="仿宋"/>
          <w:color w:val="auto"/>
          <w:spacing w:val="2"/>
          <w:sz w:val="21"/>
          <w:highlight w:val="none"/>
          <w:lang w:val="en-US" w:eastAsia="zh-Hans"/>
        </w:rPr>
        <w:t>并</w:t>
      </w:r>
      <w:r>
        <w:rPr>
          <w:rFonts w:hint="eastAsia" w:ascii="仿宋" w:hAnsi="仿宋" w:eastAsia="仿宋" w:cs="仿宋"/>
          <w:color w:val="auto"/>
          <w:spacing w:val="2"/>
          <w:szCs w:val="21"/>
          <w:highlight w:val="none"/>
          <w:u w:val="none"/>
        </w:rPr>
        <w:t>要求</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无条件退场，承担由此产生的各方一切损失。同时，</w:t>
      </w:r>
      <w:r>
        <w:rPr>
          <w:rFonts w:hint="eastAsia" w:ascii="仿宋" w:hAnsi="仿宋" w:eastAsia="仿宋" w:cs="仿宋"/>
          <w:color w:val="auto"/>
          <w:spacing w:val="2"/>
          <w:szCs w:val="21"/>
          <w:highlight w:val="none"/>
          <w:u w:val="none"/>
          <w:lang w:val="en-US" w:eastAsia="zh-Hans"/>
        </w:rPr>
        <w:t>甲方</w:t>
      </w:r>
      <w:r>
        <w:rPr>
          <w:rFonts w:hint="eastAsia" w:ascii="仿宋" w:hAnsi="仿宋" w:eastAsia="仿宋" w:cs="仿宋"/>
          <w:color w:val="auto"/>
          <w:spacing w:val="2"/>
          <w:szCs w:val="21"/>
          <w:highlight w:val="none"/>
          <w:u w:val="none"/>
        </w:rPr>
        <w:t>也有权安排其他施工队伍进场施工，费用经审核后从</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合同价款中扣除；由此给</w:t>
      </w:r>
      <w:r>
        <w:rPr>
          <w:rFonts w:hint="eastAsia" w:ascii="仿宋" w:hAnsi="仿宋" w:eastAsia="仿宋" w:cs="仿宋"/>
          <w:color w:val="auto"/>
          <w:spacing w:val="2"/>
          <w:szCs w:val="21"/>
          <w:highlight w:val="none"/>
          <w:u w:val="none"/>
          <w:lang w:val="en-US" w:eastAsia="zh-Hans"/>
        </w:rPr>
        <w:t>甲方</w:t>
      </w:r>
      <w:r>
        <w:rPr>
          <w:rFonts w:hint="eastAsia" w:ascii="仿宋" w:hAnsi="仿宋" w:eastAsia="仿宋" w:cs="仿宋"/>
          <w:color w:val="auto"/>
          <w:spacing w:val="2"/>
          <w:szCs w:val="21"/>
          <w:highlight w:val="none"/>
          <w:u w:val="none"/>
        </w:rPr>
        <w:t>造成损失的，损失费用同时扣除。</w:t>
      </w:r>
    </w:p>
    <w:p w14:paraId="62BB1E3A">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5、工程完工后，经双方协商确定验收时间，由甲方组织有关部门进行竣工验收，本工程竣工验收结论报告由四方主体（包括业主方、监理方、设计方、施工方）共同参与验收并盖章，初评通过后方可到备案机关备案。竣工验收合格后乙方按招标文件规定</w:t>
      </w:r>
      <w:r>
        <w:rPr>
          <w:rFonts w:hint="eastAsia" w:ascii="仿宋" w:hAnsi="仿宋" w:eastAsia="仿宋" w:cs="仿宋"/>
          <w:color w:val="auto"/>
          <w:spacing w:val="2"/>
          <w:highlight w:val="none"/>
          <w:lang w:val="en-US" w:eastAsia="zh-Hans"/>
        </w:rPr>
        <w:t>及甲方要求</w:t>
      </w:r>
      <w:r>
        <w:rPr>
          <w:rFonts w:hint="eastAsia" w:ascii="仿宋" w:hAnsi="仿宋" w:eastAsia="仿宋" w:cs="仿宋"/>
          <w:color w:val="auto"/>
          <w:spacing w:val="2"/>
          <w:highlight w:val="none"/>
        </w:rPr>
        <w:t>整理完整的技术档案资料移交给甲方。</w:t>
      </w:r>
    </w:p>
    <w:p w14:paraId="24AA1DCD">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6、工程竣工验收合格后，工程质量保修按国家、省、区的工程建设施工招投标的有关规定执行。保修期内，如发现工程质量问题，乙方应在7日内修复；如乙方无故不修复的，由甲方派人维修，维修费用由乙方承担，在预留工程款中扣除。</w:t>
      </w:r>
    </w:p>
    <w:p w14:paraId="7188F060">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7、进场材料须由监理单位验收合格后方可施工。</w:t>
      </w:r>
    </w:p>
    <w:p w14:paraId="49F5E53E">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8、乙方在履约合同过程中，若出现</w:t>
      </w:r>
      <w:r>
        <w:rPr>
          <w:rFonts w:hint="eastAsia" w:ascii="仿宋" w:hAnsi="仿宋" w:eastAsia="仿宋" w:cs="仿宋"/>
          <w:color w:val="auto"/>
          <w:spacing w:val="2"/>
          <w:highlight w:val="none"/>
          <w:lang w:eastAsia="zh-CN"/>
        </w:rPr>
        <w:t>三次</w:t>
      </w:r>
      <w:r>
        <w:rPr>
          <w:rFonts w:hint="eastAsia" w:ascii="仿宋" w:hAnsi="仿宋" w:eastAsia="仿宋" w:cs="仿宋"/>
          <w:color w:val="auto"/>
          <w:spacing w:val="2"/>
          <w:highlight w:val="none"/>
        </w:rPr>
        <w:t>因乙方原因导致施工</w:t>
      </w:r>
      <w:r>
        <w:rPr>
          <w:rFonts w:hint="eastAsia" w:ascii="仿宋" w:hAnsi="仿宋" w:eastAsia="仿宋" w:cs="仿宋"/>
          <w:color w:val="auto"/>
          <w:spacing w:val="2"/>
          <w:highlight w:val="none"/>
          <w:lang w:eastAsia="zh-CN"/>
        </w:rPr>
        <w:t>检查</w:t>
      </w:r>
      <w:r>
        <w:rPr>
          <w:rFonts w:hint="eastAsia" w:ascii="仿宋" w:hAnsi="仿宋" w:eastAsia="仿宋" w:cs="仿宋"/>
          <w:color w:val="auto"/>
          <w:spacing w:val="2"/>
          <w:highlight w:val="none"/>
        </w:rPr>
        <w:t>验收不合格，</w:t>
      </w:r>
      <w:r>
        <w:rPr>
          <w:rFonts w:hint="eastAsia" w:ascii="仿宋" w:hAnsi="仿宋" w:eastAsia="仿宋" w:cs="仿宋"/>
          <w:color w:val="auto"/>
          <w:spacing w:val="2"/>
          <w:sz w:val="21"/>
          <w:highlight w:val="none"/>
          <w:lang w:val="en-US" w:eastAsia="zh-Hans"/>
        </w:rPr>
        <w:t>甲方</w:t>
      </w:r>
      <w:r>
        <w:rPr>
          <w:rFonts w:hint="eastAsia" w:ascii="仿宋" w:hAnsi="仿宋" w:eastAsia="仿宋" w:cs="仿宋"/>
          <w:color w:val="auto"/>
          <w:spacing w:val="2"/>
          <w:sz w:val="21"/>
          <w:highlight w:val="none"/>
        </w:rPr>
        <w:t>有权终止合同</w:t>
      </w:r>
      <w:r>
        <w:rPr>
          <w:rFonts w:hint="eastAsia" w:ascii="仿宋" w:hAnsi="仿宋" w:eastAsia="仿宋" w:cs="仿宋"/>
          <w:color w:val="auto"/>
          <w:spacing w:val="2"/>
          <w:sz w:val="21"/>
          <w:highlight w:val="none"/>
          <w:lang w:val="en-US" w:eastAsia="zh-Hans"/>
        </w:rPr>
        <w:t>并</w:t>
      </w:r>
      <w:r>
        <w:rPr>
          <w:rFonts w:hint="eastAsia" w:ascii="仿宋" w:hAnsi="仿宋" w:eastAsia="仿宋" w:cs="仿宋"/>
          <w:color w:val="auto"/>
          <w:spacing w:val="2"/>
          <w:szCs w:val="21"/>
          <w:highlight w:val="none"/>
          <w:u w:val="none"/>
        </w:rPr>
        <w:t>要求</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无条件退场，承担由此产生的各方一切损失。同时，</w:t>
      </w:r>
      <w:r>
        <w:rPr>
          <w:rFonts w:hint="eastAsia" w:ascii="仿宋" w:hAnsi="仿宋" w:eastAsia="仿宋" w:cs="仿宋"/>
          <w:color w:val="auto"/>
          <w:spacing w:val="2"/>
          <w:szCs w:val="21"/>
          <w:highlight w:val="none"/>
          <w:u w:val="none"/>
          <w:lang w:val="en-US" w:eastAsia="zh-Hans"/>
        </w:rPr>
        <w:t>甲方</w:t>
      </w:r>
      <w:r>
        <w:rPr>
          <w:rFonts w:hint="eastAsia" w:ascii="仿宋" w:hAnsi="仿宋" w:eastAsia="仿宋" w:cs="仿宋"/>
          <w:color w:val="auto"/>
          <w:spacing w:val="2"/>
          <w:szCs w:val="21"/>
          <w:highlight w:val="none"/>
          <w:u w:val="none"/>
        </w:rPr>
        <w:t>也有权安排其他施工队伍进场施工，费用经审核后从</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合同价款中扣除；由此给</w:t>
      </w:r>
      <w:r>
        <w:rPr>
          <w:rFonts w:hint="eastAsia" w:ascii="仿宋" w:hAnsi="仿宋" w:eastAsia="仿宋" w:cs="仿宋"/>
          <w:color w:val="auto"/>
          <w:spacing w:val="2"/>
          <w:szCs w:val="21"/>
          <w:highlight w:val="none"/>
          <w:u w:val="none"/>
          <w:lang w:val="en-US" w:eastAsia="zh-Hans"/>
        </w:rPr>
        <w:t>甲方</w:t>
      </w:r>
      <w:r>
        <w:rPr>
          <w:rFonts w:hint="eastAsia" w:ascii="仿宋" w:hAnsi="仿宋" w:eastAsia="仿宋" w:cs="仿宋"/>
          <w:color w:val="auto"/>
          <w:spacing w:val="2"/>
          <w:szCs w:val="21"/>
          <w:highlight w:val="none"/>
          <w:u w:val="none"/>
        </w:rPr>
        <w:t>造成损失的，损失费用同时扣除。</w:t>
      </w:r>
    </w:p>
    <w:p w14:paraId="051ABFC4">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六、安全文明施工要求</w:t>
      </w:r>
    </w:p>
    <w:p w14:paraId="6BA083FF">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1、施工现场用水、用电、施工便道由乙方自行解决，费用自理。</w:t>
      </w:r>
    </w:p>
    <w:p w14:paraId="0674D87B">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2、施工期间与各经营户关系的协调由乙方负责。</w:t>
      </w:r>
    </w:p>
    <w:p w14:paraId="3CE4D1D0">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3、乙方必须做好与有关专业管线单位的配合工作。</w:t>
      </w:r>
    </w:p>
    <w:p w14:paraId="3C53604E">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4、乙方必须严格遵守安全、文明施工的操作规程，完善相关制度，落实安全措施，做好各项保险等工作，在工程开展期间发生安全事故均由乙方负责。</w:t>
      </w:r>
    </w:p>
    <w:p w14:paraId="5EB71BD1">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5、本工程凡涉及治安、市政、市容、环保、交通、所在地承包户关系协调等发生的问题和费用均由乙方负责解决并承担经济支出。</w:t>
      </w:r>
    </w:p>
    <w:p w14:paraId="16B88C29">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6、施工时不得损坏一切公共设施、道路周边承包户个人财物等，如有损坏必须照价赔偿或修复，费用由乙方承担。</w:t>
      </w:r>
    </w:p>
    <w:p w14:paraId="344142CA">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7、施工期间应在显眼且安全的地方设置告示牌，告示牌的内容包括施工内容、施工工期、施工单位、项目负责人姓名与联系方式等。</w:t>
      </w:r>
    </w:p>
    <w:p w14:paraId="3FEE320C">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8、施工期间，实行封闭管理，施工地段和施工设计范围必须设置有效安全设施和标志、标牌、警示灯，施工场地内外（材料、人员、车辆交通等）的安全责任由乙方负责，如发生各种事故，一切法律及经济责任由乙方承担，与甲方无涉。工程施工中和竣工后因质量问题而引发的事故一切法律责任及经济责任由乙方承担。</w:t>
      </w:r>
    </w:p>
    <w:p w14:paraId="36567DE0">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9、现场用电的安装、设置、使用必须符合规范要求，现场用电接线及安装电器作业必须由电工完成，他人不得随意乱接乱挂，发现电线老化，破皮等要及时整改。</w:t>
      </w:r>
    </w:p>
    <w:p w14:paraId="1CA25093">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10、在施工过程中应注意环境卫生，确保工地现场周围的清洁、施工废料及时清理干净。</w:t>
      </w:r>
    </w:p>
    <w:p w14:paraId="06033BD7">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11、所有施工工作人员的用工手续、保险手续需齐全，费用由乙方承担，施工人员上下班途中及施工期间发生的一切安全事故责任由乙方自行负责，与招标人无涉。施工现场必须按规定正确戴好安全帽；各相关工种必须按规定持证上岗。</w:t>
      </w:r>
    </w:p>
    <w:p w14:paraId="73BFA4EA">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12、乙方应委派专人负责交通安全，引导过往车辆和行人通行，确保无交通安全事故发生，如发生交通安全事故，一切法律及经济责任由乙方承担，与甲方无涉。</w:t>
      </w:r>
    </w:p>
    <w:p w14:paraId="48B01954">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13、施工现场用水、用电、施工便道由乙方自行解决，费用自理。施工现场、土方及建筑材料运输途中等与本工程相关的所有安全事宜均由乙方负责，并承担由此支出的一切费用。</w:t>
      </w:r>
    </w:p>
    <w:p w14:paraId="2D8ED3A0">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七、工程结算及支付</w:t>
      </w:r>
    </w:p>
    <w:p w14:paraId="665AA03E">
      <w:pPr>
        <w:pageBreakBefore w:val="0"/>
        <w:kinsoku/>
        <w:wordWrap/>
        <w:overflowPunct/>
        <w:topLinePunct w:val="0"/>
        <w:autoSpaceDE/>
        <w:autoSpaceDN/>
        <w:bidi w:val="0"/>
        <w:snapToGrid w:val="0"/>
        <w:spacing w:line="360" w:lineRule="auto"/>
        <w:ind w:left="420" w:leftChars="200" w:firstLine="0" w:firstLineChars="0"/>
        <w:jc w:val="left"/>
        <w:textAlignment w:val="auto"/>
        <w:rPr>
          <w:rFonts w:hint="eastAsia" w:ascii="仿宋" w:hAnsi="仿宋" w:eastAsia="仿宋" w:cs="仿宋"/>
          <w:snapToGrid w:val="0"/>
          <w:color w:val="auto"/>
          <w:spacing w:val="2"/>
          <w:kern w:val="2"/>
          <w:sz w:val="21"/>
          <w:szCs w:val="21"/>
          <w:highlight w:val="none"/>
          <w:lang w:val="en-US" w:eastAsia="zh-CN" w:bidi="ar-SA"/>
        </w:rPr>
      </w:pPr>
      <w:r>
        <w:rPr>
          <w:rFonts w:hint="eastAsia" w:ascii="仿宋" w:hAnsi="仿宋" w:eastAsia="仿宋" w:cs="仿宋"/>
          <w:color w:val="auto"/>
          <w:spacing w:val="2"/>
          <w:sz w:val="21"/>
          <w:szCs w:val="21"/>
          <w:highlight w:val="none"/>
          <w:lang w:val="en-US" w:eastAsia="zh-CN"/>
        </w:rPr>
        <w:t>1、1.1</w:t>
      </w:r>
      <w:r>
        <w:rPr>
          <w:rFonts w:hint="eastAsia" w:ascii="仿宋_GB2312" w:hAnsi="仿宋" w:eastAsia="仿宋_GB2312" w:cs="仿宋_GB2312"/>
          <w:color w:val="auto"/>
          <w:sz w:val="24"/>
          <w:highlight w:val="none"/>
          <w:lang w:val="en-US" w:eastAsia="zh-CN"/>
        </w:rPr>
        <w:t>、合同签订后，中标人支付合同价的1%作为履约保证金</w:t>
      </w:r>
      <w:r>
        <w:rPr>
          <w:rFonts w:hint="eastAsia" w:ascii="仿宋" w:hAnsi="仿宋" w:eastAsia="仿宋" w:cs="仿宋"/>
          <w:color w:val="auto"/>
          <w:sz w:val="24"/>
          <w:highlight w:val="none"/>
        </w:rPr>
        <w:t>（履约保证金形式应以银行、保险公司出具的保函形式提供）</w:t>
      </w:r>
      <w:r>
        <w:rPr>
          <w:rFonts w:hint="eastAsia" w:ascii="仿宋_GB2312" w:hAnsi="仿宋" w:eastAsia="仿宋_GB2312" w:cs="仿宋_GB2312"/>
          <w:color w:val="auto"/>
          <w:sz w:val="24"/>
          <w:highlight w:val="none"/>
          <w:lang w:val="en-US" w:eastAsia="zh-CN"/>
        </w:rPr>
        <w:t>。</w:t>
      </w:r>
      <w:r>
        <w:rPr>
          <w:rFonts w:hint="eastAsia" w:ascii="仿宋" w:hAnsi="仿宋" w:eastAsia="仿宋" w:cs="仿宋"/>
          <w:color w:val="auto"/>
          <w:spacing w:val="2"/>
          <w:sz w:val="21"/>
          <w:szCs w:val="21"/>
          <w:highlight w:val="none"/>
          <w:lang w:val="en-US" w:eastAsia="zh-CN"/>
        </w:rPr>
        <w:t>1.2</w:t>
      </w:r>
      <w:r>
        <w:rPr>
          <w:rFonts w:hint="eastAsia" w:ascii="仿宋_GB2312" w:hAnsi="仿宋" w:eastAsia="仿宋_GB2312" w:cs="仿宋_GB2312"/>
          <w:color w:val="auto"/>
          <w:sz w:val="24"/>
          <w:highlight w:val="none"/>
          <w:lang w:val="en-US" w:eastAsia="zh-CN"/>
        </w:rPr>
        <w:t>、</w:t>
      </w:r>
      <w:r>
        <w:rPr>
          <w:rFonts w:hint="eastAsia" w:ascii="仿宋" w:hAnsi="仿宋" w:eastAsia="仿宋" w:cs="仿宋"/>
          <w:color w:val="auto"/>
          <w:sz w:val="24"/>
          <w:highlight w:val="none"/>
          <w:lang w:val="en-US" w:eastAsia="zh-CN"/>
        </w:rPr>
        <w:t>自合同生效之日起，中标人先向采购人支付合同40%的预付款保函（应当以支票、汇票、本票或者金融机构、担保机构出具的保函等非现金形式提交。鼓励和支持供应商以银行、保险公司出具的保函形式提供），待采购人收到预付款保函后，采购人向中标人预付合同总价的40%。（签订合同时，乙方提出不要求预付款或降低预付款比例的，可不适用该条款）其它详见合同条款格式部分，竣工验收合格后支付至合同价的70%；工程竣工验收合格满一年且审计完成、完整的资料归档后支付至审计价的 98.5%，剩余1.5%质保期到期后按审计价结清。</w:t>
      </w:r>
    </w:p>
    <w:p w14:paraId="5E535524">
      <w:pPr>
        <w:shd w:val="clear"/>
        <w:wordWrap/>
        <w:topLinePunct w:val="0"/>
        <w:bidi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2、质保期内一旦出现质量问题，乙方应随叫随到，若不作响应，罚5000元/次，直接</w:t>
      </w:r>
      <w:r>
        <w:rPr>
          <w:rFonts w:hint="eastAsia" w:ascii="仿宋" w:hAnsi="仿宋" w:eastAsia="仿宋" w:cs="仿宋"/>
          <w:color w:val="auto"/>
          <w:szCs w:val="21"/>
          <w:highlight w:val="none"/>
          <w:lang w:val="en-US" w:eastAsia="zh-Hans"/>
        </w:rPr>
        <w:t>从</w:t>
      </w:r>
      <w:r>
        <w:rPr>
          <w:rFonts w:hint="eastAsia" w:ascii="仿宋" w:hAnsi="仿宋" w:eastAsia="仿宋" w:cs="仿宋"/>
          <w:color w:val="auto"/>
          <w:szCs w:val="21"/>
          <w:highlight w:val="none"/>
        </w:rPr>
        <w:t>工程款中扣除，且甲方有权另聘施工单位维修，所需费用由乙方承担，直接从工程款中扣除。</w:t>
      </w:r>
    </w:p>
    <w:p w14:paraId="020A850F">
      <w:pPr>
        <w:shd w:val="clear"/>
        <w:wordWrap/>
        <w:topLinePunct w:val="0"/>
        <w:bidi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3、工程结</w:t>
      </w:r>
      <w:bookmarkStart w:id="409" w:name="_GoBack"/>
      <w:r>
        <w:rPr>
          <w:rFonts w:hint="eastAsia" w:ascii="仿宋" w:hAnsi="仿宋" w:eastAsia="仿宋" w:cs="仿宋"/>
          <w:color w:val="auto"/>
          <w:szCs w:val="21"/>
          <w:highlight w:val="none"/>
        </w:rPr>
        <w:t>算按中标价及优惠条件结合变更联系单进行结算，无价材料以甲方单位签证为准。</w:t>
      </w:r>
    </w:p>
    <w:p w14:paraId="637456F0">
      <w:pPr>
        <w:shd w:val="clear"/>
        <w:wordWrap/>
        <w:topLinePunct w:val="0"/>
        <w:bidi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4、工程结算最终以甲方委托相应资质的审价单位审核后为准；</w:t>
      </w:r>
    </w:p>
    <w:p w14:paraId="789BFA61">
      <w:pPr>
        <w:shd w:val="clear"/>
        <w:wordWrap/>
        <w:topLinePunct w:val="0"/>
        <w:bidi w:val="0"/>
        <w:spacing w:line="360" w:lineRule="auto"/>
        <w:ind w:left="0" w:leftChars="0" w:firstLine="420" w:firstLineChars="200"/>
        <w:rPr>
          <w:rFonts w:hint="eastAsia" w:ascii="仿宋" w:hAnsi="仿宋" w:eastAsia="仿宋" w:cs="仿宋"/>
          <w:color w:val="auto"/>
          <w:szCs w:val="21"/>
          <w:highlight w:val="none"/>
          <w:lang w:eastAsia="zh-Hans"/>
        </w:rPr>
      </w:pPr>
      <w:r>
        <w:rPr>
          <w:rFonts w:hint="eastAsia" w:ascii="仿宋" w:hAnsi="仿宋" w:eastAsia="仿宋" w:cs="仿宋"/>
          <w:color w:val="auto"/>
          <w:szCs w:val="21"/>
          <w:highlight w:val="none"/>
        </w:rPr>
        <w:t>5、</w:t>
      </w:r>
      <w:r>
        <w:rPr>
          <w:rFonts w:hint="eastAsia" w:ascii="仿宋" w:hAnsi="仿宋" w:eastAsia="仿宋" w:cs="仿宋"/>
          <w:color w:val="auto"/>
          <w:szCs w:val="21"/>
          <w:highlight w:val="none"/>
          <w:lang w:val="en-US" w:eastAsia="zh-Hans"/>
        </w:rPr>
        <w:t>甲方每次</w:t>
      </w:r>
      <w:r>
        <w:rPr>
          <w:rFonts w:hint="eastAsia" w:ascii="仿宋" w:hAnsi="仿宋" w:eastAsia="仿宋" w:cs="仿宋"/>
          <w:color w:val="auto"/>
          <w:szCs w:val="21"/>
          <w:highlight w:val="none"/>
        </w:rPr>
        <w:t>付款前乙方需提供工程发票, 税费由乙方承担。</w:t>
      </w:r>
      <w:r>
        <w:rPr>
          <w:rFonts w:hint="eastAsia" w:ascii="仿宋" w:hAnsi="仿宋" w:eastAsia="仿宋" w:cs="仿宋"/>
          <w:color w:val="auto"/>
          <w:szCs w:val="21"/>
          <w:highlight w:val="none"/>
          <w:lang w:val="en-US" w:eastAsia="zh-Hans"/>
        </w:rPr>
        <w:t>甲方在收到乙方提供的合法有效的增值税发票后</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日内支付相应款项</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甲方未收到发票的有权拒绝支付工程款且无需承担迟延付款的违约责任</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乙方不得以甲方未付款为由暂停合同的履行</w:t>
      </w:r>
      <w:r>
        <w:rPr>
          <w:rFonts w:hint="eastAsia"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发票认证通过是甲方付款的必要前提之一</w:t>
      </w:r>
      <w:r>
        <w:rPr>
          <w:rFonts w:hint="eastAsia" w:ascii="仿宋" w:hAnsi="仿宋" w:eastAsia="仿宋" w:cs="仿宋"/>
          <w:color w:val="auto"/>
          <w:szCs w:val="21"/>
          <w:highlight w:val="none"/>
          <w:lang w:eastAsia="zh-Hans"/>
        </w:rPr>
        <w:t>。</w:t>
      </w:r>
    </w:p>
    <w:p w14:paraId="740F4C1F">
      <w:pPr>
        <w:shd w:val="clear"/>
        <w:wordWrap/>
        <w:topLinePunct w:val="0"/>
        <w:bidi w:val="0"/>
        <w:spacing w:line="360" w:lineRule="auto"/>
        <w:ind w:left="420" w:leftChars="200"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八、安全生产</w:t>
      </w:r>
    </w:p>
    <w:p w14:paraId="644AD836">
      <w:pPr>
        <w:pStyle w:val="11"/>
        <w:shd w:val="clear"/>
        <w:wordWrap/>
        <w:topLinePunct w:val="0"/>
        <w:bidi w:val="0"/>
        <w:spacing w:line="360" w:lineRule="auto"/>
        <w:ind w:firstLine="385" w:firstLineChars="180"/>
        <w:rPr>
          <w:rFonts w:hint="eastAsia" w:ascii="仿宋" w:hAnsi="仿宋" w:eastAsia="仿宋" w:cs="仿宋"/>
          <w:color w:val="auto"/>
          <w:spacing w:val="2"/>
          <w:highlight w:val="none"/>
          <w:lang w:eastAsia="zh-Hans"/>
        </w:rPr>
      </w:pPr>
      <w:r>
        <w:rPr>
          <w:rFonts w:hint="eastAsia" w:ascii="仿宋" w:hAnsi="仿宋" w:eastAsia="仿宋" w:cs="仿宋"/>
          <w:color w:val="auto"/>
          <w:spacing w:val="2"/>
          <w:highlight w:val="none"/>
        </w:rPr>
        <w:t>在施工期间，乙方应做好安全生产工作，做到持证上岗。如在施工期间发生安全事故，由乙方负全责，与甲方无涉。</w:t>
      </w:r>
      <w:r>
        <w:rPr>
          <w:rFonts w:hint="eastAsia" w:ascii="仿宋" w:hAnsi="仿宋" w:eastAsia="仿宋" w:cs="仿宋"/>
          <w:color w:val="auto"/>
          <w:spacing w:val="2"/>
          <w:highlight w:val="none"/>
          <w:lang w:val="en-US" w:eastAsia="zh-Hans"/>
        </w:rPr>
        <w:t>甲方保留追究乙方责任的权利</w:t>
      </w:r>
      <w:r>
        <w:rPr>
          <w:rFonts w:hint="eastAsia" w:ascii="仿宋" w:hAnsi="仿宋" w:eastAsia="仿宋" w:cs="仿宋"/>
          <w:color w:val="auto"/>
          <w:spacing w:val="2"/>
          <w:highlight w:val="none"/>
          <w:lang w:eastAsia="zh-Hans"/>
        </w:rPr>
        <w:t>。</w:t>
      </w:r>
    </w:p>
    <w:p w14:paraId="2D730224">
      <w:pPr>
        <w:shd w:val="clear"/>
        <w:wordWrap/>
        <w:topLinePunct w:val="0"/>
        <w:bidi w:val="0"/>
        <w:spacing w:line="360" w:lineRule="auto"/>
        <w:ind w:left="420" w:leftChars="200"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九、竣工结算：按照国家相关条款执行。 </w:t>
      </w:r>
    </w:p>
    <w:p w14:paraId="558A101A">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竣工结算资料应包括： 1、竣工结算合同价格（包括工程量增减部分明细及依据、分项工程明细表）；2、甲方已支付的进度款；3、应扣留的质量保证金；4、甲方应支付乙方的合同价款；5、乙方应承担的各类工程罚款、索赔；6、乙方已开具发票的数额；7、其他与工程结算有关的资料。</w:t>
      </w:r>
    </w:p>
    <w:p w14:paraId="7B52DDD5">
      <w:pPr>
        <w:shd w:val="clear"/>
        <w:wordWrap/>
        <w:topLinePunct w:val="0"/>
        <w:bidi w:val="0"/>
        <w:spacing w:line="360" w:lineRule="auto"/>
        <w:ind w:left="420" w:leftChars="200" w:firstLine="105" w:firstLineChars="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十、违约责任</w:t>
      </w:r>
    </w:p>
    <w:p w14:paraId="25DEB9C8">
      <w:pPr>
        <w:shd w:val="clear"/>
        <w:wordWrap/>
        <w:topLinePunct w:val="0"/>
        <w:bidi w:val="0"/>
        <w:spacing w:line="360" w:lineRule="auto"/>
        <w:ind w:firstLine="428" w:firstLineChars="200"/>
        <w:contextualSpacing/>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1、因甲方原因未能按合同约定支付合同价款的违约责任：按照央行公布的同期贷款基准利率计算，工期顺延。</w:t>
      </w:r>
    </w:p>
    <w:p w14:paraId="6E1F928A">
      <w:pPr>
        <w:shd w:val="clear"/>
        <w:wordWrap/>
        <w:topLinePunct w:val="0"/>
        <w:bidi w:val="0"/>
        <w:spacing w:line="360" w:lineRule="auto"/>
        <w:ind w:firstLine="428" w:firstLineChars="200"/>
        <w:contextualSpacing/>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2、乙方违约责任的承担方式和计算方法：</w:t>
      </w:r>
      <w:r>
        <w:rPr>
          <w:rFonts w:hint="eastAsia" w:ascii="仿宋" w:hAnsi="仿宋" w:eastAsia="仿宋" w:cs="仿宋"/>
          <w:color w:val="auto"/>
          <w:spacing w:val="2"/>
          <w:szCs w:val="21"/>
          <w:highlight w:val="none"/>
          <w:lang w:val="en-US" w:eastAsia="zh-Hans"/>
        </w:rPr>
        <w:t>乙方</w:t>
      </w:r>
      <w:r>
        <w:rPr>
          <w:rFonts w:hint="eastAsia" w:ascii="仿宋" w:hAnsi="仿宋" w:eastAsia="仿宋" w:cs="仿宋"/>
          <w:color w:val="auto"/>
          <w:spacing w:val="2"/>
          <w:szCs w:val="21"/>
          <w:highlight w:val="none"/>
        </w:rPr>
        <w:t>无故</w:t>
      </w:r>
      <w:r>
        <w:rPr>
          <w:rFonts w:hint="eastAsia" w:ascii="仿宋" w:hAnsi="仿宋" w:eastAsia="仿宋" w:cs="仿宋"/>
          <w:color w:val="auto"/>
          <w:spacing w:val="2"/>
          <w:szCs w:val="21"/>
          <w:highlight w:val="none"/>
          <w:lang w:val="en-US" w:eastAsia="zh-Hans"/>
        </w:rPr>
        <w:t>逾期竣工的</w:t>
      </w:r>
      <w:r>
        <w:rPr>
          <w:rFonts w:hint="eastAsia" w:ascii="仿宋" w:hAnsi="仿宋" w:eastAsia="仿宋" w:cs="仿宋"/>
          <w:color w:val="auto"/>
          <w:spacing w:val="2"/>
          <w:szCs w:val="21"/>
          <w:highlight w:val="none"/>
        </w:rPr>
        <w:t>，工期延误每天按中标造价的万分之五进行处罚，但合同另有约定的除外。</w:t>
      </w:r>
    </w:p>
    <w:p w14:paraId="38D0D974">
      <w:pPr>
        <w:shd w:val="clear"/>
        <w:wordWrap/>
        <w:topLinePunct w:val="0"/>
        <w:bidi w:val="0"/>
        <w:spacing w:before="120" w:after="120" w:line="360" w:lineRule="auto"/>
        <w:ind w:left="139" w:leftChars="66" w:firstLine="312" w:firstLineChars="146"/>
        <w:contextualSpacing/>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3、因乙方违约工期延误超过7日以上的，甲方有权解除合同、</w:t>
      </w:r>
      <w:r>
        <w:rPr>
          <w:rFonts w:hint="eastAsia" w:ascii="仿宋" w:hAnsi="仿宋" w:eastAsia="仿宋" w:cs="仿宋"/>
          <w:color w:val="auto"/>
          <w:spacing w:val="2"/>
          <w:szCs w:val="21"/>
          <w:highlight w:val="none"/>
          <w:lang w:val="en-US" w:eastAsia="zh-Hans"/>
        </w:rPr>
        <w:t>要求乙方另行支付合同中标造价</w:t>
      </w:r>
      <w:r>
        <w:rPr>
          <w:rFonts w:hint="eastAsia" w:ascii="仿宋" w:hAnsi="仿宋" w:eastAsia="仿宋" w:cs="仿宋"/>
          <w:color w:val="auto"/>
          <w:spacing w:val="2"/>
          <w:szCs w:val="21"/>
          <w:highlight w:val="none"/>
          <w:lang w:eastAsia="zh-Hans"/>
        </w:rPr>
        <w:t>【】%</w:t>
      </w:r>
      <w:r>
        <w:rPr>
          <w:rFonts w:hint="eastAsia" w:ascii="仿宋" w:hAnsi="仿宋" w:eastAsia="仿宋" w:cs="仿宋"/>
          <w:color w:val="auto"/>
          <w:spacing w:val="2"/>
          <w:szCs w:val="21"/>
          <w:highlight w:val="none"/>
          <w:lang w:val="en-US" w:eastAsia="zh-Hans"/>
        </w:rPr>
        <w:t>的违约金并赔偿甲方因此所受全部损失</w:t>
      </w:r>
      <w:r>
        <w:rPr>
          <w:rFonts w:hint="eastAsia" w:ascii="仿宋" w:hAnsi="仿宋" w:eastAsia="仿宋" w:cs="仿宋"/>
          <w:color w:val="auto"/>
          <w:spacing w:val="2"/>
          <w:szCs w:val="21"/>
          <w:highlight w:val="none"/>
        </w:rPr>
        <w:t xml:space="preserve">。乙方应在收到解除通知后7日内自动清场，并注销施工许可证（如有）；逾期未清场的，视为放弃施工现场的一切物品，甲方有权自行处分。乙方未注销施工许可证，造成甲方无法建设的，相应的法律后果由乙方承担。 </w:t>
      </w:r>
    </w:p>
    <w:p w14:paraId="0734C4E0">
      <w:pPr>
        <w:shd w:val="clear"/>
        <w:wordWrap/>
        <w:topLinePunct w:val="0"/>
        <w:bidi w:val="0"/>
        <w:spacing w:before="120" w:after="120" w:line="360" w:lineRule="auto"/>
        <w:ind w:left="139" w:leftChars="66" w:firstLine="312" w:firstLineChars="146"/>
        <w:contextualSpacing/>
        <w:rPr>
          <w:rFonts w:hint="eastAsia" w:ascii="仿宋" w:hAnsi="仿宋" w:eastAsia="仿宋" w:cs="仿宋"/>
          <w:color w:val="auto"/>
          <w:spacing w:val="2"/>
          <w:szCs w:val="21"/>
          <w:highlight w:val="none"/>
          <w:u w:val="none"/>
        </w:rPr>
      </w:pPr>
      <w:r>
        <w:rPr>
          <w:rFonts w:hint="eastAsia" w:ascii="仿宋" w:hAnsi="仿宋" w:eastAsia="仿宋" w:cs="仿宋"/>
          <w:color w:val="auto"/>
          <w:spacing w:val="2"/>
          <w:szCs w:val="21"/>
          <w:highlight w:val="none"/>
        </w:rPr>
        <w:t>4、</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违反合同约定进行转包或违法分包的，一经发现，</w:t>
      </w:r>
      <w:r>
        <w:rPr>
          <w:rFonts w:hint="eastAsia" w:ascii="仿宋" w:hAnsi="仿宋" w:eastAsia="仿宋" w:cs="仿宋"/>
          <w:color w:val="auto"/>
          <w:spacing w:val="2"/>
          <w:szCs w:val="21"/>
          <w:highlight w:val="none"/>
          <w:u w:val="none"/>
          <w:lang w:val="en-US" w:eastAsia="zh-Hans"/>
        </w:rPr>
        <w:t>甲方</w:t>
      </w:r>
      <w:r>
        <w:rPr>
          <w:rFonts w:hint="eastAsia" w:ascii="仿宋" w:hAnsi="仿宋" w:eastAsia="仿宋" w:cs="仿宋"/>
          <w:color w:val="auto"/>
          <w:spacing w:val="2"/>
          <w:szCs w:val="21"/>
          <w:highlight w:val="none"/>
          <w:u w:val="none"/>
        </w:rPr>
        <w:t>有权终止合同，</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应支付合同</w:t>
      </w:r>
      <w:r>
        <w:rPr>
          <w:rFonts w:hint="eastAsia" w:ascii="仿宋" w:hAnsi="仿宋" w:eastAsia="仿宋" w:cs="仿宋"/>
          <w:color w:val="auto"/>
          <w:spacing w:val="2"/>
          <w:szCs w:val="21"/>
          <w:highlight w:val="none"/>
          <w:u w:val="none"/>
          <w:lang w:val="en-US" w:eastAsia="zh-Hans"/>
        </w:rPr>
        <w:t>中标</w:t>
      </w:r>
      <w:r>
        <w:rPr>
          <w:rFonts w:hint="eastAsia" w:ascii="仿宋" w:hAnsi="仿宋" w:eastAsia="仿宋" w:cs="仿宋"/>
          <w:color w:val="auto"/>
          <w:spacing w:val="2"/>
          <w:szCs w:val="21"/>
          <w:highlight w:val="none"/>
          <w:u w:val="none"/>
        </w:rPr>
        <w:t>价【】%的违约金，由此所产生的一切后果及经济损失均由</w:t>
      </w:r>
      <w:r>
        <w:rPr>
          <w:rFonts w:hint="eastAsia" w:ascii="仿宋" w:hAnsi="仿宋" w:eastAsia="仿宋" w:cs="仿宋"/>
          <w:color w:val="auto"/>
          <w:spacing w:val="2"/>
          <w:szCs w:val="21"/>
          <w:highlight w:val="none"/>
          <w:u w:val="none"/>
          <w:lang w:val="en-US" w:eastAsia="zh-Hans"/>
        </w:rPr>
        <w:t>乙方</w:t>
      </w:r>
      <w:r>
        <w:rPr>
          <w:rFonts w:hint="eastAsia" w:ascii="仿宋" w:hAnsi="仿宋" w:eastAsia="仿宋" w:cs="仿宋"/>
          <w:color w:val="auto"/>
          <w:spacing w:val="2"/>
          <w:szCs w:val="21"/>
          <w:highlight w:val="none"/>
          <w:u w:val="none"/>
        </w:rPr>
        <w:t>承担。</w:t>
      </w:r>
    </w:p>
    <w:p w14:paraId="3548537D">
      <w:pPr>
        <w:shd w:val="clear"/>
        <w:wordWrap/>
        <w:topLinePunct w:val="0"/>
        <w:bidi w:val="0"/>
        <w:spacing w:before="120" w:after="120" w:line="360" w:lineRule="auto"/>
        <w:ind w:left="139" w:leftChars="66" w:firstLine="312" w:firstLineChars="146"/>
        <w:contextualSpacing/>
        <w:rPr>
          <w:rFonts w:hint="eastAsia" w:ascii="仿宋" w:hAnsi="仿宋" w:eastAsia="仿宋" w:cs="仿宋"/>
          <w:color w:val="auto"/>
          <w:spacing w:val="2"/>
          <w:sz w:val="21"/>
          <w:szCs w:val="21"/>
          <w:highlight w:val="none"/>
          <w:u w:val="none"/>
          <w:lang w:eastAsia="zh-Hans"/>
        </w:rPr>
      </w:pPr>
      <w:r>
        <w:rPr>
          <w:rFonts w:hint="eastAsia" w:ascii="仿宋" w:hAnsi="仿宋" w:eastAsia="仿宋" w:cs="仿宋"/>
          <w:color w:val="auto"/>
          <w:spacing w:val="2"/>
          <w:szCs w:val="21"/>
          <w:highlight w:val="none"/>
          <w:u w:val="none"/>
        </w:rPr>
        <w:t>5、</w:t>
      </w:r>
      <w:r>
        <w:rPr>
          <w:rFonts w:hint="eastAsia" w:ascii="仿宋" w:hAnsi="仿宋" w:eastAsia="仿宋" w:cs="仿宋"/>
          <w:color w:val="auto"/>
          <w:spacing w:val="2"/>
          <w:sz w:val="21"/>
          <w:szCs w:val="21"/>
          <w:highlight w:val="none"/>
          <w:u w:val="none"/>
          <w:lang w:eastAsia="zh-Hans"/>
        </w:rPr>
        <w:t>承包人在施工过程中不论遇到何种困难（</w:t>
      </w:r>
      <w:r>
        <w:rPr>
          <w:rFonts w:hint="eastAsia" w:ascii="仿宋" w:hAnsi="仿宋" w:eastAsia="仿宋" w:cs="仿宋"/>
          <w:color w:val="auto"/>
          <w:spacing w:val="2"/>
          <w:sz w:val="21"/>
          <w:szCs w:val="21"/>
          <w:highlight w:val="none"/>
          <w:u w:val="none"/>
          <w:lang w:val="en-US" w:eastAsia="zh-Hans"/>
        </w:rPr>
        <w:t>甲方</w:t>
      </w:r>
      <w:r>
        <w:rPr>
          <w:rFonts w:hint="eastAsia" w:ascii="仿宋" w:hAnsi="仿宋" w:eastAsia="仿宋" w:cs="仿宋"/>
          <w:color w:val="auto"/>
          <w:spacing w:val="2"/>
          <w:sz w:val="21"/>
          <w:szCs w:val="21"/>
          <w:highlight w:val="none"/>
          <w:u w:val="none"/>
          <w:lang w:eastAsia="zh-Hans"/>
        </w:rPr>
        <w:t>原因除外），均不得以任何理由擅自停工或变相停工，否则由此造成的一切后果和经济损失均由</w:t>
      </w:r>
      <w:r>
        <w:rPr>
          <w:rFonts w:hint="eastAsia" w:ascii="仿宋" w:hAnsi="仿宋" w:eastAsia="仿宋" w:cs="仿宋"/>
          <w:color w:val="auto"/>
          <w:spacing w:val="2"/>
          <w:sz w:val="21"/>
          <w:szCs w:val="21"/>
          <w:highlight w:val="none"/>
          <w:u w:val="none"/>
          <w:lang w:val="en-US" w:eastAsia="zh-Hans"/>
        </w:rPr>
        <w:t>乙方</w:t>
      </w:r>
      <w:r>
        <w:rPr>
          <w:rFonts w:hint="eastAsia" w:ascii="仿宋" w:hAnsi="仿宋" w:eastAsia="仿宋" w:cs="仿宋"/>
          <w:color w:val="auto"/>
          <w:spacing w:val="2"/>
          <w:sz w:val="21"/>
          <w:szCs w:val="21"/>
          <w:highlight w:val="none"/>
          <w:u w:val="none"/>
          <w:lang w:eastAsia="zh-Hans"/>
        </w:rPr>
        <w:t>承担，同时</w:t>
      </w:r>
      <w:r>
        <w:rPr>
          <w:rFonts w:hint="eastAsia" w:ascii="仿宋" w:hAnsi="仿宋" w:eastAsia="仿宋" w:cs="仿宋"/>
          <w:color w:val="auto"/>
          <w:spacing w:val="2"/>
          <w:sz w:val="21"/>
          <w:szCs w:val="21"/>
          <w:highlight w:val="none"/>
          <w:u w:val="none"/>
          <w:lang w:val="en-US" w:eastAsia="zh-Hans"/>
        </w:rPr>
        <w:t>甲方</w:t>
      </w:r>
      <w:r>
        <w:rPr>
          <w:rFonts w:hint="eastAsia" w:ascii="仿宋" w:hAnsi="仿宋" w:eastAsia="仿宋" w:cs="仿宋"/>
          <w:color w:val="auto"/>
          <w:spacing w:val="2"/>
          <w:sz w:val="21"/>
          <w:szCs w:val="21"/>
          <w:highlight w:val="none"/>
          <w:u w:val="none"/>
          <w:lang w:eastAsia="zh-Hans"/>
        </w:rPr>
        <w:t>有权</w:t>
      </w:r>
      <w:r>
        <w:rPr>
          <w:rFonts w:hint="eastAsia" w:ascii="仿宋" w:hAnsi="仿宋" w:eastAsia="仿宋" w:cs="仿宋"/>
          <w:color w:val="auto"/>
          <w:spacing w:val="2"/>
          <w:sz w:val="21"/>
          <w:szCs w:val="21"/>
          <w:highlight w:val="none"/>
          <w:u w:val="none"/>
          <w:lang w:val="en-US" w:eastAsia="zh-Hans"/>
        </w:rPr>
        <w:t>根据</w:t>
      </w:r>
      <w:r>
        <w:rPr>
          <w:rFonts w:hint="eastAsia" w:ascii="仿宋" w:hAnsi="仿宋" w:eastAsia="仿宋" w:cs="仿宋"/>
          <w:color w:val="auto"/>
          <w:spacing w:val="2"/>
          <w:sz w:val="21"/>
          <w:szCs w:val="21"/>
          <w:highlight w:val="none"/>
          <w:u w:val="none"/>
          <w:lang w:eastAsia="zh-Hans"/>
        </w:rPr>
        <w:t>擅自停工或变相停工</w:t>
      </w:r>
      <w:r>
        <w:rPr>
          <w:rFonts w:hint="eastAsia" w:ascii="仿宋" w:hAnsi="仿宋" w:eastAsia="仿宋" w:cs="仿宋"/>
          <w:color w:val="auto"/>
          <w:spacing w:val="2"/>
          <w:sz w:val="21"/>
          <w:szCs w:val="21"/>
          <w:highlight w:val="none"/>
          <w:u w:val="none"/>
          <w:lang w:val="en-US" w:eastAsia="zh-Hans"/>
        </w:rPr>
        <w:t>天数按照</w:t>
      </w:r>
      <w:r>
        <w:rPr>
          <w:rFonts w:hint="eastAsia" w:ascii="仿宋" w:hAnsi="仿宋" w:eastAsia="仿宋" w:cs="仿宋"/>
          <w:color w:val="auto"/>
          <w:spacing w:val="2"/>
          <w:sz w:val="21"/>
          <w:szCs w:val="21"/>
          <w:highlight w:val="none"/>
          <w:u w:val="none"/>
          <w:lang w:eastAsia="zh-Hans"/>
        </w:rPr>
        <w:t>10000元/天</w:t>
      </w:r>
      <w:r>
        <w:rPr>
          <w:rFonts w:hint="eastAsia" w:ascii="仿宋" w:hAnsi="仿宋" w:eastAsia="仿宋" w:cs="仿宋"/>
          <w:color w:val="auto"/>
          <w:spacing w:val="2"/>
          <w:sz w:val="21"/>
          <w:szCs w:val="21"/>
          <w:highlight w:val="none"/>
          <w:u w:val="none"/>
          <w:lang w:val="en-US" w:eastAsia="zh-Hans"/>
        </w:rPr>
        <w:t>进行</w:t>
      </w:r>
      <w:r>
        <w:rPr>
          <w:rFonts w:hint="eastAsia" w:ascii="仿宋" w:hAnsi="仿宋" w:eastAsia="仿宋" w:cs="仿宋"/>
          <w:color w:val="auto"/>
          <w:spacing w:val="2"/>
          <w:sz w:val="21"/>
          <w:szCs w:val="21"/>
          <w:highlight w:val="none"/>
          <w:u w:val="none"/>
          <w:lang w:eastAsia="zh-Hans"/>
        </w:rPr>
        <w:t>处罚。</w:t>
      </w:r>
    </w:p>
    <w:p w14:paraId="399B1542">
      <w:pPr>
        <w:shd w:val="clear"/>
        <w:wordWrap/>
        <w:topLinePunct w:val="0"/>
        <w:bidi w:val="0"/>
        <w:spacing w:before="120" w:after="120" w:line="360" w:lineRule="auto"/>
        <w:ind w:left="139" w:leftChars="66" w:firstLine="312" w:firstLineChars="146"/>
        <w:contextualSpacing/>
        <w:rPr>
          <w:rFonts w:hint="eastAsia" w:ascii="仿宋" w:hAnsi="仿宋" w:eastAsia="仿宋" w:cs="仿宋"/>
          <w:color w:val="auto"/>
          <w:spacing w:val="2"/>
          <w:szCs w:val="21"/>
          <w:highlight w:val="none"/>
        </w:rPr>
      </w:pPr>
      <w:r>
        <w:rPr>
          <w:rFonts w:hint="eastAsia" w:ascii="仿宋" w:hAnsi="仿宋" w:eastAsia="仿宋" w:cs="仿宋"/>
          <w:color w:val="auto"/>
          <w:spacing w:val="2"/>
          <w:sz w:val="21"/>
          <w:szCs w:val="21"/>
          <w:highlight w:val="none"/>
          <w:u w:val="none"/>
          <w:lang w:eastAsia="zh-Hans"/>
        </w:rPr>
        <w:t>6、</w:t>
      </w:r>
      <w:r>
        <w:rPr>
          <w:rFonts w:hint="eastAsia" w:ascii="仿宋" w:hAnsi="仿宋" w:eastAsia="仿宋" w:cs="仿宋"/>
          <w:color w:val="auto"/>
          <w:szCs w:val="21"/>
          <w:highlight w:val="none"/>
        </w:rPr>
        <w:t>工程</w:t>
      </w:r>
      <w:r>
        <w:rPr>
          <w:rFonts w:hint="eastAsia" w:ascii="仿宋" w:hAnsi="仿宋" w:eastAsia="仿宋" w:cs="仿宋"/>
          <w:color w:val="auto"/>
          <w:szCs w:val="21"/>
          <w:highlight w:val="none"/>
          <w:lang w:val="en-US" w:eastAsia="zh-Hans"/>
        </w:rPr>
        <w:t>竣工验收后</w:t>
      </w:r>
      <w:r>
        <w:rPr>
          <w:rFonts w:hint="eastAsia" w:ascii="仿宋" w:hAnsi="仿宋" w:eastAsia="仿宋" w:cs="仿宋"/>
          <w:color w:val="auto"/>
          <w:szCs w:val="21"/>
          <w:highlight w:val="none"/>
        </w:rPr>
        <w:t>【】天内现场应清除所有不再需要的临时工程、</w:t>
      </w:r>
      <w:r>
        <w:rPr>
          <w:rFonts w:hint="eastAsia" w:ascii="仿宋" w:hAnsi="仿宋" w:eastAsia="仿宋" w:cs="仿宋"/>
          <w:color w:val="auto"/>
          <w:szCs w:val="21"/>
          <w:highlight w:val="none"/>
          <w:lang w:val="en-US" w:eastAsia="zh-Hans"/>
        </w:rPr>
        <w:t>乙方</w:t>
      </w:r>
      <w:r>
        <w:rPr>
          <w:rFonts w:hint="eastAsia" w:ascii="仿宋" w:hAnsi="仿宋" w:eastAsia="仿宋" w:cs="仿宋"/>
          <w:color w:val="auto"/>
          <w:szCs w:val="21"/>
          <w:highlight w:val="none"/>
        </w:rPr>
        <w:t>的设备和多余材料、全部建筑、生活垃圾，达到</w:t>
      </w:r>
      <w:r>
        <w:rPr>
          <w:rFonts w:hint="eastAsia" w:ascii="仿宋" w:hAnsi="仿宋" w:eastAsia="仿宋" w:cs="仿宋"/>
          <w:color w:val="auto"/>
          <w:szCs w:val="21"/>
          <w:highlight w:val="none"/>
          <w:lang w:val="en-US" w:eastAsia="zh-Hans"/>
        </w:rPr>
        <w:t>甲方</w:t>
      </w:r>
      <w:r>
        <w:rPr>
          <w:rFonts w:hint="eastAsia" w:ascii="仿宋" w:hAnsi="仿宋" w:eastAsia="仿宋" w:cs="仿宋"/>
          <w:color w:val="auto"/>
          <w:szCs w:val="21"/>
          <w:highlight w:val="none"/>
        </w:rPr>
        <w:t>满意的使用状态。如</w:t>
      </w:r>
      <w:r>
        <w:rPr>
          <w:rFonts w:hint="eastAsia" w:ascii="仿宋" w:hAnsi="仿宋" w:eastAsia="仿宋" w:cs="仿宋"/>
          <w:color w:val="auto"/>
          <w:szCs w:val="21"/>
          <w:highlight w:val="none"/>
          <w:lang w:val="en-US" w:eastAsia="zh-Hans"/>
        </w:rPr>
        <w:t>乙方</w:t>
      </w:r>
      <w:r>
        <w:rPr>
          <w:rFonts w:hint="eastAsia" w:ascii="仿宋" w:hAnsi="仿宋" w:eastAsia="仿宋" w:cs="仿宋"/>
          <w:color w:val="auto"/>
          <w:szCs w:val="21"/>
          <w:highlight w:val="none"/>
        </w:rPr>
        <w:t>不履行，</w:t>
      </w:r>
      <w:r>
        <w:rPr>
          <w:rFonts w:hint="eastAsia" w:ascii="仿宋" w:hAnsi="仿宋" w:eastAsia="仿宋" w:cs="仿宋"/>
          <w:color w:val="auto"/>
          <w:szCs w:val="21"/>
          <w:highlight w:val="none"/>
          <w:lang w:val="en-US" w:eastAsia="zh-Hans"/>
        </w:rPr>
        <w:t>甲方</w:t>
      </w:r>
      <w:r>
        <w:rPr>
          <w:rFonts w:hint="eastAsia" w:ascii="仿宋" w:hAnsi="仿宋" w:eastAsia="仿宋" w:cs="仿宋"/>
          <w:color w:val="auto"/>
          <w:szCs w:val="21"/>
          <w:highlight w:val="none"/>
        </w:rPr>
        <w:t>可自行清除或另行委托他人处理，发生的费用由</w:t>
      </w:r>
      <w:r>
        <w:rPr>
          <w:rFonts w:hint="eastAsia" w:ascii="仿宋" w:hAnsi="仿宋" w:eastAsia="仿宋" w:cs="仿宋"/>
          <w:color w:val="auto"/>
          <w:szCs w:val="21"/>
          <w:highlight w:val="none"/>
          <w:lang w:val="en-US" w:eastAsia="zh-Hans"/>
        </w:rPr>
        <w:t>乙方</w:t>
      </w:r>
      <w:r>
        <w:rPr>
          <w:rFonts w:hint="eastAsia" w:ascii="仿宋" w:hAnsi="仿宋" w:eastAsia="仿宋" w:cs="仿宋"/>
          <w:color w:val="auto"/>
          <w:szCs w:val="21"/>
          <w:highlight w:val="none"/>
        </w:rPr>
        <w:t>双倍承担。</w:t>
      </w:r>
    </w:p>
    <w:p w14:paraId="6D2D5389">
      <w:pPr>
        <w:widowControl/>
        <w:shd w:val="clear"/>
        <w:wordWrap/>
        <w:topLinePunct w:val="0"/>
        <w:bidi w:val="0"/>
        <w:spacing w:before="120" w:after="120" w:line="360" w:lineRule="auto"/>
        <w:ind w:firstLine="420" w:firstLineChars="200"/>
        <w:outlineLvl w:val="3"/>
        <w:rPr>
          <w:rFonts w:hint="eastAsia" w:ascii="仿宋" w:hAnsi="仿宋" w:eastAsia="仿宋" w:cs="仿宋"/>
          <w:color w:val="auto"/>
          <w:szCs w:val="21"/>
          <w:highlight w:val="none"/>
        </w:rPr>
      </w:pPr>
      <w:r>
        <w:rPr>
          <w:rFonts w:hint="eastAsia" w:ascii="仿宋" w:hAnsi="仿宋" w:eastAsia="仿宋" w:cs="仿宋"/>
          <w:color w:val="auto"/>
          <w:szCs w:val="21"/>
          <w:highlight w:val="none"/>
        </w:rPr>
        <w:t>十一、合同文件构成</w:t>
      </w:r>
    </w:p>
    <w:p w14:paraId="2CFA1C41">
      <w:pPr>
        <w:widowControl/>
        <w:shd w:val="clear"/>
        <w:wordWrap/>
        <w:topLinePunct w:val="0"/>
        <w:bidi w:val="0"/>
        <w:spacing w:before="120" w:after="120" w:line="360" w:lineRule="auto"/>
        <w:ind w:firstLine="428" w:firstLineChars="200"/>
        <w:outlineLvl w:val="3"/>
        <w:rPr>
          <w:rFonts w:hint="eastAsia" w:ascii="仿宋" w:hAnsi="仿宋" w:eastAsia="仿宋" w:cs="仿宋"/>
          <w:color w:val="auto"/>
          <w:szCs w:val="21"/>
          <w:highlight w:val="none"/>
        </w:rPr>
      </w:pPr>
      <w:r>
        <w:rPr>
          <w:rFonts w:hint="eastAsia" w:ascii="仿宋" w:hAnsi="仿宋" w:eastAsia="仿宋" w:cs="仿宋"/>
          <w:color w:val="auto"/>
          <w:spacing w:val="2"/>
          <w:szCs w:val="21"/>
          <w:highlight w:val="none"/>
        </w:rPr>
        <w:t>本协议书与下列文件一起构成合同文件：</w:t>
      </w:r>
    </w:p>
    <w:p w14:paraId="6B178EF3">
      <w:pPr>
        <w:widowControl/>
        <w:shd w:val="clear"/>
        <w:wordWrap/>
        <w:topLinePunct w:val="0"/>
        <w:bidi w:val="0"/>
        <w:spacing w:line="360" w:lineRule="auto"/>
        <w:ind w:firstLine="631" w:firstLineChars="295"/>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 本合同协议书；</w:t>
      </w:r>
    </w:p>
    <w:p w14:paraId="04478FFB">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（2）招标文件；</w:t>
      </w:r>
    </w:p>
    <w:p w14:paraId="394A817C">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 xml:space="preserve">（3）中标通知书； </w:t>
      </w:r>
    </w:p>
    <w:p w14:paraId="48EA02E1">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（4）投标函及其附录；</w:t>
      </w:r>
    </w:p>
    <w:p w14:paraId="676B32AF">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 xml:space="preserve"> (5) 标准规范及有关技术文件；</w:t>
      </w:r>
    </w:p>
    <w:p w14:paraId="46B713E7">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（6）图纸；</w:t>
      </w:r>
    </w:p>
    <w:p w14:paraId="236D3D12">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（7）已标价工程量清单或预算书；</w:t>
      </w:r>
    </w:p>
    <w:p w14:paraId="227FC00C">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（8）其他合同文件；</w:t>
      </w:r>
    </w:p>
    <w:p w14:paraId="088D2C4E">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在合同订立及履行过程中形成的与合同有关的文件均构成合同文件组成部分。</w:t>
      </w:r>
    </w:p>
    <w:p w14:paraId="1480E5F0">
      <w:pPr>
        <w:widowControl/>
        <w:shd w:val="clear"/>
        <w:wordWrap/>
        <w:topLinePunct w:val="0"/>
        <w:bidi w:val="0"/>
        <w:spacing w:line="360" w:lineRule="auto"/>
        <w:ind w:firstLine="600"/>
        <w:jc w:val="left"/>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上述各项合同文件包括合同当事人就该项合同文件所作出的补充和修改，属于同一类内容的文件，应以最新签署的为准。专用合同条款及其附件须经合同当事人签字或盖章。</w:t>
      </w:r>
    </w:p>
    <w:p w14:paraId="2C25483A">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十二、特殊条款</w:t>
      </w:r>
    </w:p>
    <w:p w14:paraId="621B2721">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本合同条款如对特殊情况有未尽事宜，双方可根据具体情况结合有关规定议定特殊条款。</w:t>
      </w:r>
    </w:p>
    <w:p w14:paraId="028DAF3C">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十三、附则</w:t>
      </w:r>
    </w:p>
    <w:p w14:paraId="764EB646">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本合同其他未言明事项，一律按《中华人民共和国</w:t>
      </w:r>
      <w:r>
        <w:rPr>
          <w:rFonts w:hint="eastAsia" w:ascii="仿宋" w:hAnsi="仿宋" w:eastAsia="仿宋" w:cs="仿宋"/>
          <w:color w:val="auto"/>
          <w:spacing w:val="2"/>
          <w:highlight w:val="none"/>
          <w:lang w:eastAsia="zh-CN"/>
        </w:rPr>
        <w:t>民法典</w:t>
      </w:r>
      <w:r>
        <w:rPr>
          <w:rFonts w:hint="eastAsia" w:ascii="仿宋" w:hAnsi="仿宋" w:eastAsia="仿宋" w:cs="仿宋"/>
          <w:color w:val="auto"/>
          <w:spacing w:val="2"/>
          <w:highlight w:val="none"/>
        </w:rPr>
        <w:t>》和</w:t>
      </w:r>
      <w:r>
        <w:rPr>
          <w:rFonts w:hint="eastAsia" w:ascii="仿宋" w:hAnsi="仿宋" w:eastAsia="仿宋" w:cs="仿宋"/>
          <w:i w:val="0"/>
          <w:iCs w:val="0"/>
          <w:caps w:val="0"/>
          <w:color w:val="auto"/>
          <w:spacing w:val="2"/>
          <w:sz w:val="21"/>
          <w:szCs w:val="21"/>
          <w:highlight w:val="none"/>
          <w:shd w:val="clear"/>
        </w:rPr>
        <w:t>《中华人民共和国建筑法》</w:t>
      </w:r>
      <w:r>
        <w:rPr>
          <w:rFonts w:hint="eastAsia" w:ascii="仿宋" w:hAnsi="仿宋" w:eastAsia="仿宋" w:cs="仿宋"/>
          <w:color w:val="auto"/>
          <w:spacing w:val="2"/>
          <w:highlight w:val="none"/>
        </w:rPr>
        <w:t>规定执行。</w:t>
      </w:r>
    </w:p>
    <w:p w14:paraId="5940A163">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本合同经双方签字盖章后生效，至合同工程竣工交验，结清工程尾款，</w:t>
      </w:r>
      <w:r>
        <w:rPr>
          <w:rFonts w:hint="eastAsia" w:ascii="仿宋" w:hAnsi="仿宋" w:eastAsia="仿宋" w:cs="仿宋"/>
          <w:color w:val="auto"/>
          <w:spacing w:val="2"/>
          <w:highlight w:val="none"/>
          <w:lang w:val="en-US" w:eastAsia="zh-Hans"/>
        </w:rPr>
        <w:t>质保期及</w:t>
      </w:r>
      <w:r>
        <w:rPr>
          <w:rFonts w:hint="eastAsia" w:ascii="仿宋" w:hAnsi="仿宋" w:eastAsia="仿宋" w:cs="仿宋"/>
          <w:color w:val="auto"/>
          <w:spacing w:val="2"/>
          <w:highlight w:val="none"/>
        </w:rPr>
        <w:t>保修期满</w:t>
      </w:r>
      <w:r>
        <w:rPr>
          <w:rFonts w:hint="eastAsia" w:ascii="仿宋" w:hAnsi="仿宋" w:eastAsia="仿宋" w:cs="仿宋"/>
          <w:color w:val="auto"/>
          <w:spacing w:val="2"/>
          <w:highlight w:val="none"/>
          <w:lang w:val="en-US" w:eastAsia="zh-Hans"/>
        </w:rPr>
        <w:t>且无争议</w:t>
      </w:r>
      <w:r>
        <w:rPr>
          <w:rFonts w:hint="eastAsia" w:ascii="仿宋" w:hAnsi="仿宋" w:eastAsia="仿宋" w:cs="仿宋"/>
          <w:color w:val="auto"/>
          <w:spacing w:val="2"/>
          <w:highlight w:val="none"/>
        </w:rPr>
        <w:t>后自动失效。</w:t>
      </w:r>
    </w:p>
    <w:p w14:paraId="6083104F">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十四、合同生效</w:t>
      </w:r>
    </w:p>
    <w:p w14:paraId="7E523DC2">
      <w:pPr>
        <w:widowControl/>
        <w:shd w:val="clear"/>
        <w:wordWrap/>
        <w:topLinePunct w:val="0"/>
        <w:bidi w:val="0"/>
        <w:spacing w:line="360" w:lineRule="auto"/>
        <w:ind w:firstLine="600"/>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本合同自双方盖章、签字后生效。</w:t>
      </w:r>
    </w:p>
    <w:p w14:paraId="0C371A61">
      <w:pPr>
        <w:pStyle w:val="11"/>
        <w:shd w:val="clear"/>
        <w:wordWrap/>
        <w:topLinePunct w:val="0"/>
        <w:bidi w:val="0"/>
        <w:spacing w:line="360" w:lineRule="auto"/>
        <w:ind w:firstLine="385" w:firstLineChars="180"/>
        <w:rPr>
          <w:rFonts w:hint="eastAsia" w:ascii="仿宋" w:hAnsi="仿宋" w:eastAsia="仿宋" w:cs="仿宋"/>
          <w:color w:val="auto"/>
          <w:spacing w:val="2"/>
          <w:highlight w:val="none"/>
        </w:rPr>
      </w:pPr>
      <w:r>
        <w:rPr>
          <w:rFonts w:hint="eastAsia" w:ascii="仿宋" w:hAnsi="仿宋" w:eastAsia="仿宋" w:cs="仿宋"/>
          <w:color w:val="auto"/>
          <w:spacing w:val="2"/>
          <w:highlight w:val="none"/>
        </w:rPr>
        <w:t>十五、工程保险由乙方投保并承担全部费用。</w:t>
      </w:r>
    </w:p>
    <w:p w14:paraId="095C2912">
      <w:pPr>
        <w:shd w:val="clear"/>
        <w:wordWrap/>
        <w:topLinePunct w:val="0"/>
        <w:bidi w:val="0"/>
        <w:snapToGrid w:val="0"/>
        <w:spacing w:line="360" w:lineRule="auto"/>
        <w:ind w:firstLine="428" w:firstLineChars="200"/>
        <w:outlineLvl w:val="0"/>
        <w:rPr>
          <w:rFonts w:hint="eastAsia" w:ascii="仿宋" w:hAnsi="仿宋" w:eastAsia="仿宋" w:cs="仿宋"/>
          <w:b/>
          <w:bCs/>
          <w:color w:val="auto"/>
          <w:szCs w:val="21"/>
          <w:highlight w:val="none"/>
        </w:rPr>
      </w:pPr>
      <w:r>
        <w:rPr>
          <w:rFonts w:hint="eastAsia" w:ascii="仿宋" w:hAnsi="仿宋" w:eastAsia="仿宋" w:cs="仿宋"/>
          <w:color w:val="auto"/>
          <w:spacing w:val="2"/>
          <w:szCs w:val="21"/>
          <w:highlight w:val="none"/>
        </w:rPr>
        <w:t>十六、</w:t>
      </w:r>
      <w:r>
        <w:rPr>
          <w:rFonts w:hint="eastAsia" w:ascii="仿宋" w:hAnsi="仿宋" w:eastAsia="仿宋" w:cs="仿宋"/>
          <w:color w:val="auto"/>
          <w:szCs w:val="21"/>
          <w:highlight w:val="none"/>
        </w:rPr>
        <w:t>争议解决</w:t>
      </w:r>
    </w:p>
    <w:p w14:paraId="2644E80C">
      <w:pPr>
        <w:shd w:val="clear"/>
        <w:wordWrap/>
        <w:topLinePunct w:val="0"/>
        <w:bidi w:val="0"/>
        <w:snapToGrid w:val="0"/>
        <w:spacing w:line="360" w:lineRule="auto"/>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16.1调解</w:t>
      </w:r>
    </w:p>
    <w:p w14:paraId="269F4BEB">
      <w:pPr>
        <w:shd w:val="clear"/>
        <w:wordWrap/>
        <w:topLinePunct w:val="0"/>
        <w:bidi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本合同争议进行调解时，可提交</w:t>
      </w:r>
      <w:r>
        <w:rPr>
          <w:rFonts w:hint="eastAsia" w:ascii="仿宋" w:hAnsi="仿宋" w:eastAsia="仿宋" w:cs="仿宋"/>
          <w:color w:val="auto"/>
          <w:szCs w:val="21"/>
          <w:highlight w:val="none"/>
          <w:u w:val="single"/>
        </w:rPr>
        <w:t xml:space="preserve"> 建设行政主管部门 </w:t>
      </w:r>
      <w:r>
        <w:rPr>
          <w:rFonts w:hint="eastAsia" w:ascii="仿宋" w:hAnsi="仿宋" w:eastAsia="仿宋" w:cs="仿宋"/>
          <w:color w:val="auto"/>
          <w:szCs w:val="21"/>
          <w:highlight w:val="none"/>
        </w:rPr>
        <w:t>进行调解。</w:t>
      </w:r>
    </w:p>
    <w:p w14:paraId="651B974A">
      <w:pPr>
        <w:shd w:val="clear"/>
        <w:wordWrap/>
        <w:topLinePunct w:val="0"/>
        <w:bidi w:val="0"/>
        <w:snapToGrid w:val="0"/>
        <w:spacing w:line="360" w:lineRule="auto"/>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16.2仲裁或诉讼</w:t>
      </w:r>
    </w:p>
    <w:p w14:paraId="33DBE374">
      <w:pPr>
        <w:shd w:val="clear"/>
        <w:wordWrap/>
        <w:topLinePunct w:val="0"/>
        <w:bidi w:val="0"/>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合同争议的最终解决方式为下列第</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种方式：</w:t>
      </w:r>
    </w:p>
    <w:p w14:paraId="0720833B">
      <w:pPr>
        <w:shd w:val="clear"/>
        <w:wordWrap/>
        <w:topLinePunct w:val="0"/>
        <w:bidi w:val="0"/>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（1）提请</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仲裁委员会进行仲裁。</w:t>
      </w:r>
    </w:p>
    <w:p w14:paraId="6138CFD6">
      <w:pPr>
        <w:shd w:val="clear"/>
        <w:wordWrap/>
        <w:topLinePunct w:val="0"/>
        <w:bidi w:val="0"/>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（2）向</w:t>
      </w:r>
      <w:r>
        <w:rPr>
          <w:rFonts w:hint="eastAsia" w:ascii="仿宋" w:hAnsi="仿宋" w:eastAsia="仿宋" w:cs="仿宋"/>
          <w:color w:val="auto"/>
          <w:szCs w:val="21"/>
          <w:highlight w:val="none"/>
          <w:u w:val="single"/>
        </w:rPr>
        <w:t xml:space="preserve">   工程所在地   </w:t>
      </w:r>
      <w:r>
        <w:rPr>
          <w:rFonts w:hint="eastAsia" w:ascii="仿宋" w:hAnsi="仿宋" w:eastAsia="仿宋" w:cs="仿宋"/>
          <w:color w:val="auto"/>
          <w:szCs w:val="21"/>
          <w:highlight w:val="none"/>
        </w:rPr>
        <w:t>人民法院提起诉讼。</w:t>
      </w:r>
    </w:p>
    <w:p w14:paraId="5A1C06DE">
      <w:pPr>
        <w:pStyle w:val="11"/>
        <w:shd w:val="clear"/>
        <w:wordWrap/>
        <w:topLinePunct w:val="0"/>
        <w:bidi w:val="0"/>
        <w:spacing w:line="360" w:lineRule="auto"/>
        <w:ind w:firstLine="385" w:firstLineChars="180"/>
        <w:rPr>
          <w:rFonts w:hint="eastAsia" w:ascii="仿宋" w:hAnsi="仿宋" w:eastAsia="仿宋" w:cs="仿宋"/>
          <w:color w:val="auto"/>
          <w:highlight w:val="none"/>
        </w:rPr>
      </w:pPr>
      <w:r>
        <w:rPr>
          <w:rFonts w:hint="eastAsia" w:ascii="仿宋" w:hAnsi="仿宋" w:eastAsia="仿宋" w:cs="仿宋"/>
          <w:color w:val="auto"/>
          <w:spacing w:val="2"/>
          <w:highlight w:val="none"/>
        </w:rPr>
        <w:t>十七、其他特别约定</w:t>
      </w:r>
    </w:p>
    <w:p w14:paraId="3790CFA9">
      <w:pPr>
        <w:pStyle w:val="11"/>
        <w:shd w:val="clear"/>
        <w:wordWrap/>
        <w:topLinePunct w:val="0"/>
        <w:bidi w:val="0"/>
        <w:spacing w:line="360" w:lineRule="auto"/>
        <w:ind w:firstLine="385" w:firstLineChars="180"/>
        <w:rPr>
          <w:rFonts w:hint="eastAsia" w:ascii="仿宋" w:hAnsi="仿宋" w:eastAsia="仿宋" w:cs="仿宋"/>
          <w:b/>
          <w:bCs/>
          <w:color w:val="auto"/>
          <w:kern w:val="0"/>
          <w:highlight w:val="none"/>
        </w:rPr>
      </w:pPr>
      <w:r>
        <w:rPr>
          <w:rFonts w:hint="eastAsia" w:ascii="仿宋" w:hAnsi="仿宋" w:eastAsia="仿宋" w:cs="仿宋"/>
          <w:color w:val="auto"/>
          <w:spacing w:val="2"/>
          <w:highlight w:val="none"/>
        </w:rPr>
        <w:t>十八、合同份数</w:t>
      </w:r>
    </w:p>
    <w:p w14:paraId="5BABB8CC">
      <w:pPr>
        <w:widowControl/>
        <w:shd w:val="clear"/>
        <w:wordWrap/>
        <w:topLinePunct w:val="0"/>
        <w:bidi w:val="0"/>
        <w:spacing w:line="360" w:lineRule="auto"/>
        <w:ind w:firstLine="600"/>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本合同一式</w:t>
      </w:r>
      <w:r>
        <w:rPr>
          <w:rFonts w:hint="eastAsia" w:ascii="仿宋" w:hAnsi="仿宋" w:eastAsia="仿宋" w:cs="仿宋"/>
          <w:color w:val="auto"/>
          <w:spacing w:val="2"/>
          <w:szCs w:val="21"/>
          <w:highlight w:val="none"/>
          <w:u w:val="single"/>
        </w:rPr>
        <w:t>陆</w:t>
      </w:r>
      <w:r>
        <w:rPr>
          <w:rFonts w:hint="eastAsia" w:ascii="仿宋" w:hAnsi="仿宋" w:eastAsia="仿宋" w:cs="仿宋"/>
          <w:color w:val="auto"/>
          <w:spacing w:val="2"/>
          <w:szCs w:val="21"/>
          <w:highlight w:val="none"/>
        </w:rPr>
        <w:t>份，均具有同等法律效力，甲方执</w:t>
      </w:r>
      <w:r>
        <w:rPr>
          <w:rFonts w:hint="eastAsia" w:ascii="仿宋" w:hAnsi="仿宋" w:eastAsia="仿宋" w:cs="仿宋"/>
          <w:color w:val="auto"/>
          <w:spacing w:val="2"/>
          <w:szCs w:val="21"/>
          <w:highlight w:val="none"/>
          <w:u w:val="single"/>
        </w:rPr>
        <w:t>肆</w:t>
      </w:r>
      <w:r>
        <w:rPr>
          <w:rFonts w:hint="eastAsia" w:ascii="仿宋" w:hAnsi="仿宋" w:eastAsia="仿宋" w:cs="仿宋"/>
          <w:color w:val="auto"/>
          <w:spacing w:val="2"/>
          <w:szCs w:val="21"/>
          <w:highlight w:val="none"/>
        </w:rPr>
        <w:t>份，乙方执</w:t>
      </w:r>
      <w:r>
        <w:rPr>
          <w:rFonts w:hint="eastAsia" w:ascii="仿宋" w:hAnsi="仿宋" w:eastAsia="仿宋" w:cs="仿宋"/>
          <w:color w:val="auto"/>
          <w:spacing w:val="2"/>
          <w:szCs w:val="21"/>
          <w:highlight w:val="none"/>
          <w:u w:val="single"/>
        </w:rPr>
        <w:t>贰</w:t>
      </w:r>
      <w:r>
        <w:rPr>
          <w:rFonts w:hint="eastAsia" w:ascii="仿宋" w:hAnsi="仿宋" w:eastAsia="仿宋" w:cs="仿宋"/>
          <w:color w:val="auto"/>
          <w:spacing w:val="2"/>
          <w:szCs w:val="21"/>
          <w:highlight w:val="none"/>
        </w:rPr>
        <w:t>份。</w:t>
      </w:r>
    </w:p>
    <w:p w14:paraId="278BFB12">
      <w:pPr>
        <w:shd w:val="clear"/>
        <w:wordWrap/>
        <w:topLinePunct w:val="0"/>
        <w:bidi w:val="0"/>
        <w:spacing w:line="360" w:lineRule="auto"/>
        <w:ind w:firstLine="774" w:firstLineChars="300"/>
        <w:rPr>
          <w:rFonts w:hint="eastAsia" w:ascii="仿宋" w:hAnsi="仿宋" w:eastAsia="仿宋" w:cs="仿宋"/>
          <w:color w:val="auto"/>
          <w:spacing w:val="24"/>
          <w:szCs w:val="21"/>
          <w:highlight w:val="none"/>
        </w:rPr>
      </w:pPr>
      <w:r>
        <w:rPr>
          <w:rFonts w:hint="eastAsia" w:ascii="仿宋" w:hAnsi="仿宋" w:eastAsia="仿宋" w:cs="仿宋"/>
          <w:color w:val="auto"/>
          <w:spacing w:val="24"/>
          <w:szCs w:val="21"/>
          <w:highlight w:val="none"/>
        </w:rPr>
        <w:t xml:space="preserve"> </w:t>
      </w:r>
    </w:p>
    <w:p w14:paraId="71A28EB8">
      <w:pPr>
        <w:shd w:val="clear"/>
        <w:wordWrap/>
        <w:topLinePunct w:val="0"/>
        <w:bidi w:val="0"/>
        <w:spacing w:line="360" w:lineRule="auto"/>
        <w:ind w:firstLine="774" w:firstLineChars="300"/>
        <w:rPr>
          <w:rFonts w:hint="eastAsia" w:ascii="仿宋" w:hAnsi="仿宋" w:eastAsia="仿宋" w:cs="仿宋"/>
          <w:color w:val="auto"/>
          <w:spacing w:val="24"/>
          <w:szCs w:val="21"/>
          <w:highlight w:val="none"/>
        </w:rPr>
      </w:pPr>
      <w:r>
        <w:rPr>
          <w:rFonts w:hint="eastAsia" w:ascii="仿宋" w:hAnsi="仿宋" w:eastAsia="仿宋" w:cs="仿宋"/>
          <w:color w:val="auto"/>
          <w:spacing w:val="24"/>
          <w:szCs w:val="21"/>
          <w:highlight w:val="none"/>
        </w:rPr>
        <w:t>发包人：（公章）</w:t>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 xml:space="preserve">  承包人：（公章）</w:t>
      </w:r>
    </w:p>
    <w:p w14:paraId="2CA8E5B3">
      <w:pPr>
        <w:shd w:val="clear"/>
        <w:wordWrap/>
        <w:topLinePunct w:val="0"/>
        <w:bidi w:val="0"/>
        <w:spacing w:line="360" w:lineRule="auto"/>
        <w:ind w:firstLine="856" w:firstLineChars="332"/>
        <w:rPr>
          <w:rFonts w:hint="eastAsia" w:ascii="仿宋" w:hAnsi="仿宋" w:eastAsia="仿宋" w:cs="仿宋"/>
          <w:color w:val="auto"/>
          <w:spacing w:val="24"/>
          <w:szCs w:val="21"/>
          <w:highlight w:val="none"/>
        </w:rPr>
      </w:pPr>
      <w:r>
        <w:rPr>
          <w:rFonts w:hint="eastAsia" w:ascii="仿宋" w:hAnsi="仿宋" w:eastAsia="仿宋" w:cs="仿宋"/>
          <w:color w:val="auto"/>
          <w:spacing w:val="24"/>
          <w:szCs w:val="21"/>
          <w:highlight w:val="none"/>
        </w:rPr>
        <w:t>住     所 ：</w:t>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住      所 ：</w:t>
      </w:r>
    </w:p>
    <w:p w14:paraId="3A2B922D">
      <w:pPr>
        <w:shd w:val="clear"/>
        <w:wordWrap/>
        <w:topLinePunct w:val="0"/>
        <w:bidi w:val="0"/>
        <w:spacing w:line="360" w:lineRule="auto"/>
        <w:ind w:firstLine="798" w:firstLineChars="283"/>
        <w:rPr>
          <w:rFonts w:hint="eastAsia" w:ascii="仿宋" w:hAnsi="仿宋" w:eastAsia="仿宋" w:cs="仿宋"/>
          <w:color w:val="auto"/>
          <w:spacing w:val="36"/>
          <w:szCs w:val="21"/>
          <w:highlight w:val="none"/>
        </w:rPr>
      </w:pPr>
      <w:r>
        <w:rPr>
          <w:rFonts w:hint="eastAsia" w:ascii="仿宋" w:hAnsi="仿宋" w:eastAsia="仿宋" w:cs="仿宋"/>
          <w:color w:val="auto"/>
          <w:spacing w:val="36"/>
          <w:szCs w:val="21"/>
          <w:highlight w:val="none"/>
        </w:rPr>
        <w:t>法定代表人 ：</w:t>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法定代表人 ：</w:t>
      </w:r>
    </w:p>
    <w:p w14:paraId="7814BECC">
      <w:pPr>
        <w:shd w:val="clear"/>
        <w:wordWrap/>
        <w:topLinePunct w:val="0"/>
        <w:bidi w:val="0"/>
        <w:spacing w:line="360" w:lineRule="auto"/>
        <w:ind w:firstLine="798" w:firstLineChars="283"/>
        <w:rPr>
          <w:rFonts w:hint="eastAsia" w:ascii="仿宋" w:hAnsi="仿宋" w:eastAsia="仿宋" w:cs="仿宋"/>
          <w:color w:val="auto"/>
          <w:spacing w:val="36"/>
          <w:szCs w:val="21"/>
          <w:highlight w:val="none"/>
        </w:rPr>
      </w:pPr>
      <w:r>
        <w:rPr>
          <w:rFonts w:hint="eastAsia" w:ascii="仿宋" w:hAnsi="仿宋" w:eastAsia="仿宋" w:cs="仿宋"/>
          <w:color w:val="auto"/>
          <w:spacing w:val="36"/>
          <w:szCs w:val="21"/>
          <w:highlight w:val="none"/>
        </w:rPr>
        <w:t>委托代理人 ：</w:t>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ab/>
      </w:r>
      <w:r>
        <w:rPr>
          <w:rFonts w:hint="eastAsia" w:ascii="仿宋" w:hAnsi="仿宋" w:eastAsia="仿宋" w:cs="仿宋"/>
          <w:color w:val="auto"/>
          <w:spacing w:val="36"/>
          <w:szCs w:val="21"/>
          <w:highlight w:val="none"/>
        </w:rPr>
        <w:t>委托代理人 ：</w:t>
      </w:r>
    </w:p>
    <w:p w14:paraId="0229DDFF">
      <w:pPr>
        <w:shd w:val="clear"/>
        <w:wordWrap/>
        <w:topLinePunct w:val="0"/>
        <w:bidi w:val="0"/>
        <w:spacing w:line="360" w:lineRule="auto"/>
        <w:ind w:firstLine="730" w:firstLineChars="283"/>
        <w:rPr>
          <w:rFonts w:hint="eastAsia" w:ascii="仿宋" w:hAnsi="仿宋" w:eastAsia="仿宋" w:cs="仿宋"/>
          <w:color w:val="auto"/>
          <w:spacing w:val="24"/>
          <w:szCs w:val="21"/>
          <w:highlight w:val="none"/>
        </w:rPr>
      </w:pPr>
      <w:r>
        <w:rPr>
          <w:rFonts w:hint="eastAsia" w:ascii="仿宋" w:hAnsi="仿宋" w:eastAsia="仿宋" w:cs="仿宋"/>
          <w:color w:val="auto"/>
          <w:spacing w:val="24"/>
          <w:szCs w:val="21"/>
          <w:highlight w:val="none"/>
        </w:rPr>
        <w:t>电      话 ：</w:t>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电      话 ：</w:t>
      </w:r>
    </w:p>
    <w:p w14:paraId="7DF0E7D7">
      <w:pPr>
        <w:shd w:val="clear"/>
        <w:wordWrap/>
        <w:topLinePunct w:val="0"/>
        <w:bidi w:val="0"/>
        <w:spacing w:line="360" w:lineRule="auto"/>
        <w:ind w:firstLine="730" w:firstLineChars="283"/>
        <w:rPr>
          <w:rFonts w:hint="eastAsia" w:ascii="仿宋" w:hAnsi="仿宋" w:eastAsia="仿宋" w:cs="仿宋"/>
          <w:color w:val="auto"/>
          <w:spacing w:val="24"/>
          <w:szCs w:val="21"/>
          <w:highlight w:val="none"/>
        </w:rPr>
      </w:pPr>
      <w:r>
        <w:rPr>
          <w:rFonts w:hint="eastAsia" w:ascii="仿宋" w:hAnsi="仿宋" w:eastAsia="仿宋" w:cs="仿宋"/>
          <w:color w:val="auto"/>
          <w:spacing w:val="24"/>
          <w:szCs w:val="21"/>
          <w:highlight w:val="none"/>
        </w:rPr>
        <w:t>传      真 ：</w:t>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ab/>
      </w:r>
      <w:r>
        <w:rPr>
          <w:rFonts w:hint="eastAsia" w:ascii="仿宋" w:hAnsi="仿宋" w:eastAsia="仿宋" w:cs="仿宋"/>
          <w:color w:val="auto"/>
          <w:spacing w:val="24"/>
          <w:szCs w:val="21"/>
          <w:highlight w:val="none"/>
        </w:rPr>
        <w:t>传      真 ：</w:t>
      </w:r>
    </w:p>
    <w:p w14:paraId="412CC303">
      <w:pPr>
        <w:shd w:val="clear"/>
        <w:wordWrap/>
        <w:topLinePunct w:val="0"/>
        <w:bidi w:val="0"/>
        <w:spacing w:line="360" w:lineRule="auto"/>
        <w:ind w:firstLine="718" w:firstLineChars="283"/>
        <w:rPr>
          <w:rFonts w:hint="eastAsia" w:ascii="仿宋" w:hAnsi="仿宋" w:eastAsia="仿宋" w:cs="仿宋"/>
          <w:color w:val="auto"/>
          <w:spacing w:val="22"/>
          <w:szCs w:val="21"/>
          <w:highlight w:val="none"/>
        </w:rPr>
      </w:pPr>
      <w:r>
        <w:rPr>
          <w:rFonts w:hint="eastAsia" w:ascii="仿宋" w:hAnsi="仿宋" w:eastAsia="仿宋" w:cs="仿宋"/>
          <w:color w:val="auto"/>
          <w:spacing w:val="22"/>
          <w:szCs w:val="21"/>
          <w:highlight w:val="none"/>
        </w:rPr>
        <w:t>开 户 银 行 ：</w:t>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开 户 银 行 ：</w:t>
      </w:r>
    </w:p>
    <w:p w14:paraId="6DEA3871">
      <w:pPr>
        <w:shd w:val="clear"/>
        <w:wordWrap/>
        <w:topLinePunct w:val="0"/>
        <w:bidi w:val="0"/>
        <w:spacing w:line="360" w:lineRule="auto"/>
        <w:ind w:firstLine="707" w:firstLineChars="283"/>
        <w:rPr>
          <w:rFonts w:hint="eastAsia" w:ascii="仿宋" w:hAnsi="仿宋" w:eastAsia="仿宋" w:cs="仿宋"/>
          <w:color w:val="auto"/>
          <w:spacing w:val="20"/>
          <w:szCs w:val="21"/>
          <w:highlight w:val="none"/>
        </w:rPr>
      </w:pPr>
      <w:r>
        <w:rPr>
          <w:rFonts w:hint="eastAsia" w:ascii="仿宋" w:hAnsi="仿宋" w:eastAsia="仿宋" w:cs="仿宋"/>
          <w:color w:val="auto"/>
          <w:spacing w:val="20"/>
          <w:szCs w:val="21"/>
          <w:highlight w:val="none"/>
        </w:rPr>
        <w:t>账       号 ：</w:t>
      </w:r>
      <w:r>
        <w:rPr>
          <w:rFonts w:hint="eastAsia" w:ascii="仿宋" w:hAnsi="仿宋" w:eastAsia="仿宋" w:cs="仿宋"/>
          <w:color w:val="auto"/>
          <w:spacing w:val="20"/>
          <w:szCs w:val="21"/>
          <w:highlight w:val="none"/>
        </w:rPr>
        <w:tab/>
      </w:r>
      <w:r>
        <w:rPr>
          <w:rFonts w:hint="eastAsia" w:ascii="仿宋" w:hAnsi="仿宋" w:eastAsia="仿宋" w:cs="仿宋"/>
          <w:color w:val="auto"/>
          <w:spacing w:val="20"/>
          <w:szCs w:val="21"/>
          <w:highlight w:val="none"/>
        </w:rPr>
        <w:tab/>
      </w:r>
      <w:r>
        <w:rPr>
          <w:rFonts w:hint="eastAsia" w:ascii="仿宋" w:hAnsi="仿宋" w:eastAsia="仿宋" w:cs="仿宋"/>
          <w:color w:val="auto"/>
          <w:spacing w:val="20"/>
          <w:szCs w:val="21"/>
          <w:highlight w:val="none"/>
        </w:rPr>
        <w:tab/>
      </w:r>
      <w:r>
        <w:rPr>
          <w:rFonts w:hint="eastAsia" w:ascii="仿宋" w:hAnsi="仿宋" w:eastAsia="仿宋" w:cs="仿宋"/>
          <w:color w:val="auto"/>
          <w:spacing w:val="20"/>
          <w:szCs w:val="21"/>
          <w:highlight w:val="none"/>
        </w:rPr>
        <w:tab/>
      </w:r>
      <w:r>
        <w:rPr>
          <w:rFonts w:hint="eastAsia" w:ascii="仿宋" w:hAnsi="仿宋" w:eastAsia="仿宋" w:cs="仿宋"/>
          <w:color w:val="auto"/>
          <w:spacing w:val="20"/>
          <w:szCs w:val="21"/>
          <w:highlight w:val="none"/>
        </w:rPr>
        <w:tab/>
      </w:r>
      <w:r>
        <w:rPr>
          <w:rFonts w:hint="eastAsia" w:ascii="仿宋" w:hAnsi="仿宋" w:eastAsia="仿宋" w:cs="仿宋"/>
          <w:color w:val="auto"/>
          <w:spacing w:val="20"/>
          <w:szCs w:val="21"/>
          <w:highlight w:val="none"/>
        </w:rPr>
        <w:t xml:space="preserve">   账       号 ：</w:t>
      </w:r>
    </w:p>
    <w:p w14:paraId="18CD3201">
      <w:pPr>
        <w:shd w:val="clear"/>
        <w:wordWrap/>
        <w:topLinePunct w:val="0"/>
        <w:bidi w:val="0"/>
        <w:spacing w:line="360" w:lineRule="auto"/>
        <w:ind w:firstLine="718" w:firstLineChars="283"/>
        <w:rPr>
          <w:rFonts w:hint="eastAsia" w:ascii="仿宋" w:hAnsi="仿宋" w:eastAsia="仿宋" w:cs="仿宋"/>
          <w:color w:val="auto"/>
          <w:spacing w:val="2"/>
          <w:szCs w:val="21"/>
          <w:highlight w:val="none"/>
        </w:rPr>
      </w:pPr>
      <w:r>
        <w:rPr>
          <w:rFonts w:hint="eastAsia" w:ascii="仿宋" w:hAnsi="仿宋" w:eastAsia="仿宋" w:cs="仿宋"/>
          <w:color w:val="auto"/>
          <w:spacing w:val="22"/>
          <w:szCs w:val="21"/>
          <w:highlight w:val="none"/>
        </w:rPr>
        <w:t>邮 政 编 码 ：</w:t>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ab/>
      </w:r>
      <w:r>
        <w:rPr>
          <w:rFonts w:hint="eastAsia" w:ascii="仿宋" w:hAnsi="仿宋" w:eastAsia="仿宋" w:cs="仿宋"/>
          <w:color w:val="auto"/>
          <w:spacing w:val="22"/>
          <w:szCs w:val="21"/>
          <w:highlight w:val="none"/>
        </w:rPr>
        <w:t>邮 政 编 码 ：</w:t>
      </w:r>
    </w:p>
    <w:p w14:paraId="1C1BED2D">
      <w:pPr>
        <w:shd w:val="clear"/>
        <w:wordWrap/>
        <w:topLinePunct w:val="0"/>
        <w:bidi w:val="0"/>
        <w:spacing w:line="360" w:lineRule="auto"/>
        <w:ind w:firstLine="4280" w:firstLineChars="2000"/>
        <w:rPr>
          <w:rFonts w:hint="eastAsia" w:ascii="仿宋" w:hAnsi="仿宋" w:eastAsia="仿宋" w:cs="仿宋"/>
          <w:color w:val="auto"/>
          <w:szCs w:val="21"/>
          <w:highlight w:val="none"/>
        </w:rPr>
      </w:pPr>
      <w:r>
        <w:rPr>
          <w:rFonts w:hint="eastAsia" w:ascii="仿宋" w:hAnsi="仿宋" w:eastAsia="仿宋" w:cs="仿宋"/>
          <w:color w:val="auto"/>
          <w:spacing w:val="2"/>
          <w:szCs w:val="21"/>
          <w:highlight w:val="none"/>
        </w:rPr>
        <w:t>合同签订日期：</w:t>
      </w:r>
      <w:r>
        <w:rPr>
          <w:rFonts w:hint="eastAsia" w:ascii="仿宋" w:hAnsi="仿宋" w:eastAsia="仿宋" w:cs="仿宋"/>
          <w:color w:val="auto"/>
          <w:szCs w:val="21"/>
          <w:highlight w:val="none"/>
        </w:rPr>
        <w:t xml:space="preserve">      年  月  日</w:t>
      </w:r>
    </w:p>
    <w:p w14:paraId="20848E20">
      <w:pPr>
        <w:shd w:val="clear"/>
        <w:wordWrap/>
        <w:topLinePunct w:val="0"/>
        <w:bidi w:val="0"/>
        <w:spacing w:line="360" w:lineRule="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w:t>
      </w:r>
    </w:p>
    <w:p w14:paraId="3A08E27A">
      <w:pPr>
        <w:shd w:val="clear"/>
        <w:wordWrap/>
        <w:topLinePunct w:val="0"/>
        <w:bidi w:val="0"/>
        <w:spacing w:line="360" w:lineRule="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w:t>
      </w:r>
    </w:p>
    <w:p w14:paraId="26D26610">
      <w:pPr>
        <w:shd w:val="clear"/>
        <w:wordWrap/>
        <w:topLinePunct w:val="0"/>
        <w:bidi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w:t>
      </w:r>
    </w:p>
    <w:p w14:paraId="4BA41608">
      <w:pPr>
        <w:shd w:val="clear"/>
        <w:wordWrap/>
        <w:topLinePunct w:val="0"/>
        <w:bidi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w:t>
      </w:r>
    </w:p>
    <w:p w14:paraId="47571BF6">
      <w:pPr>
        <w:shd w:val="clear"/>
        <w:wordWrap/>
        <w:topLinePunct w:val="0"/>
        <w:bidi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w:t>
      </w:r>
    </w:p>
    <w:p w14:paraId="7AE20151">
      <w:pPr>
        <w:shd w:val="clea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77115E2">
      <w:pPr>
        <w:shd w:val="clear"/>
        <w:wordWrap/>
        <w:topLinePunct w:val="0"/>
        <w:bidi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2、承揽业务单位廉洁承诺书</w:t>
      </w:r>
    </w:p>
    <w:p w14:paraId="3C15B819">
      <w:pPr>
        <w:shd w:val="clear"/>
        <w:wordWrap/>
        <w:topLinePunct w:val="0"/>
        <w:bidi w:val="0"/>
        <w:spacing w:line="360" w:lineRule="auto"/>
        <w:jc w:val="center"/>
        <w:rPr>
          <w:rFonts w:hint="eastAsia" w:ascii="仿宋" w:hAnsi="仿宋" w:eastAsia="仿宋" w:cs="仿宋"/>
          <w:b/>
          <w:bCs/>
          <w:color w:val="auto"/>
          <w:spacing w:val="-12"/>
          <w:sz w:val="28"/>
          <w:szCs w:val="28"/>
          <w:highlight w:val="none"/>
        </w:rPr>
      </w:pPr>
      <w:r>
        <w:rPr>
          <w:rFonts w:hint="eastAsia" w:ascii="仿宋" w:hAnsi="仿宋" w:eastAsia="仿宋" w:cs="仿宋"/>
          <w:b/>
          <w:bCs/>
          <w:color w:val="auto"/>
          <w:spacing w:val="-12"/>
          <w:sz w:val="28"/>
          <w:szCs w:val="28"/>
          <w:highlight w:val="none"/>
        </w:rPr>
        <w:t>（须法定代表人手写填写）</w:t>
      </w:r>
    </w:p>
    <w:tbl>
      <w:tblPr>
        <w:tblStyle w:val="16"/>
        <w:tblW w:w="8550"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2014"/>
        <w:gridCol w:w="1620"/>
        <w:gridCol w:w="2908"/>
      </w:tblGrid>
      <w:tr w14:paraId="5691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noWrap w:val="0"/>
            <w:vAlign w:val="center"/>
          </w:tcPr>
          <w:p w14:paraId="46505A28">
            <w:pPr>
              <w:shd w:val="clear"/>
              <w:wordWrap/>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工程项目</w:t>
            </w:r>
          </w:p>
        </w:tc>
        <w:tc>
          <w:tcPr>
            <w:tcW w:w="6542" w:type="dxa"/>
            <w:gridSpan w:val="3"/>
            <w:tcBorders>
              <w:top w:val="single" w:color="auto" w:sz="4" w:space="0"/>
              <w:left w:val="nil"/>
              <w:bottom w:val="single" w:color="auto" w:sz="4" w:space="0"/>
              <w:right w:val="single" w:color="auto" w:sz="4" w:space="0"/>
            </w:tcBorders>
            <w:noWrap w:val="0"/>
            <w:vAlign w:val="top"/>
          </w:tcPr>
          <w:p w14:paraId="5C63D5EF">
            <w:pPr>
              <w:shd w:val="clear"/>
              <w:wordWrap/>
              <w:topLinePunct w:val="0"/>
              <w:bidi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沙堤社区党群服务中心改造项目</w:t>
            </w:r>
          </w:p>
        </w:tc>
      </w:tr>
      <w:tr w14:paraId="0B99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noWrap w:val="0"/>
            <w:vAlign w:val="center"/>
          </w:tcPr>
          <w:p w14:paraId="17661717">
            <w:pPr>
              <w:shd w:val="clear"/>
              <w:wordWrap/>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6542" w:type="dxa"/>
            <w:gridSpan w:val="3"/>
            <w:tcBorders>
              <w:top w:val="single" w:color="auto" w:sz="4" w:space="0"/>
              <w:left w:val="nil"/>
              <w:bottom w:val="single" w:color="auto" w:sz="4" w:space="0"/>
              <w:right w:val="single" w:color="auto" w:sz="4" w:space="0"/>
            </w:tcBorders>
            <w:noWrap w:val="0"/>
            <w:vAlign w:val="top"/>
          </w:tcPr>
          <w:p w14:paraId="78B328FF">
            <w:pPr>
              <w:shd w:val="clear"/>
              <w:wordWrap/>
              <w:topLinePunct w:val="0"/>
              <w:bidi w:val="0"/>
              <w:spacing w:line="360" w:lineRule="auto"/>
              <w:rPr>
                <w:rFonts w:hint="eastAsia" w:ascii="仿宋" w:hAnsi="仿宋" w:eastAsia="仿宋" w:cs="仿宋"/>
                <w:color w:val="auto"/>
                <w:sz w:val="24"/>
                <w:szCs w:val="24"/>
                <w:highlight w:val="none"/>
              </w:rPr>
            </w:pPr>
          </w:p>
        </w:tc>
      </w:tr>
      <w:tr w14:paraId="41A5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noWrap w:val="0"/>
            <w:vAlign w:val="center"/>
          </w:tcPr>
          <w:p w14:paraId="6FDBD42C">
            <w:pPr>
              <w:shd w:val="clear"/>
              <w:wordWrap/>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6542" w:type="dxa"/>
            <w:gridSpan w:val="3"/>
            <w:tcBorders>
              <w:top w:val="single" w:color="auto" w:sz="4" w:space="0"/>
              <w:left w:val="nil"/>
              <w:bottom w:val="single" w:color="auto" w:sz="4" w:space="0"/>
              <w:right w:val="single" w:color="auto" w:sz="4" w:space="0"/>
            </w:tcBorders>
            <w:noWrap w:val="0"/>
            <w:vAlign w:val="top"/>
          </w:tcPr>
          <w:p w14:paraId="612C97AD">
            <w:pPr>
              <w:shd w:val="clear"/>
              <w:wordWrap/>
              <w:topLinePunct w:val="0"/>
              <w:bidi w:val="0"/>
              <w:spacing w:line="360" w:lineRule="auto"/>
              <w:rPr>
                <w:rFonts w:hint="eastAsia" w:ascii="仿宋" w:hAnsi="仿宋" w:eastAsia="仿宋" w:cs="仿宋"/>
                <w:color w:val="auto"/>
                <w:sz w:val="24"/>
                <w:szCs w:val="24"/>
                <w:highlight w:val="none"/>
              </w:rPr>
            </w:pPr>
          </w:p>
        </w:tc>
      </w:tr>
      <w:tr w14:paraId="2CC6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noWrap w:val="0"/>
            <w:vAlign w:val="center"/>
          </w:tcPr>
          <w:p w14:paraId="5D97E788">
            <w:pPr>
              <w:shd w:val="clear"/>
              <w:wordWrap/>
              <w:topLinePunct w:val="0"/>
              <w:bidi w:val="0"/>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法人代表</w:t>
            </w:r>
          </w:p>
        </w:tc>
        <w:tc>
          <w:tcPr>
            <w:tcW w:w="2014" w:type="dxa"/>
            <w:tcBorders>
              <w:top w:val="single" w:color="auto" w:sz="4" w:space="0"/>
              <w:left w:val="nil"/>
              <w:bottom w:val="single" w:color="auto" w:sz="4" w:space="0"/>
              <w:right w:val="single" w:color="auto" w:sz="4" w:space="0"/>
            </w:tcBorders>
            <w:noWrap w:val="0"/>
            <w:vAlign w:val="top"/>
          </w:tcPr>
          <w:p w14:paraId="5599DAD7">
            <w:pPr>
              <w:shd w:val="clear"/>
              <w:wordWrap/>
              <w:topLinePunct w:val="0"/>
              <w:bidi w:val="0"/>
              <w:spacing w:line="360" w:lineRule="auto"/>
              <w:rPr>
                <w:rFonts w:hint="eastAsia" w:ascii="仿宋" w:hAnsi="仿宋" w:eastAsia="仿宋" w:cs="仿宋"/>
                <w:color w:val="auto"/>
                <w:sz w:val="24"/>
                <w:szCs w:val="24"/>
                <w:highlight w:val="none"/>
              </w:rPr>
            </w:pPr>
          </w:p>
        </w:tc>
        <w:tc>
          <w:tcPr>
            <w:tcW w:w="1620" w:type="dxa"/>
            <w:tcBorders>
              <w:top w:val="single" w:color="auto" w:sz="4" w:space="0"/>
              <w:left w:val="nil"/>
              <w:bottom w:val="single" w:color="auto" w:sz="4" w:space="0"/>
              <w:right w:val="single" w:color="auto" w:sz="4" w:space="0"/>
            </w:tcBorders>
            <w:noWrap w:val="0"/>
            <w:vAlign w:val="top"/>
          </w:tcPr>
          <w:p w14:paraId="471D1ABE">
            <w:pPr>
              <w:shd w:val="clear"/>
              <w:wordWrap/>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908" w:type="dxa"/>
            <w:tcBorders>
              <w:top w:val="single" w:color="auto" w:sz="4" w:space="0"/>
              <w:left w:val="nil"/>
              <w:bottom w:val="single" w:color="auto" w:sz="4" w:space="0"/>
              <w:right w:val="single" w:color="auto" w:sz="4" w:space="0"/>
            </w:tcBorders>
            <w:noWrap w:val="0"/>
            <w:vAlign w:val="top"/>
          </w:tcPr>
          <w:p w14:paraId="25410387">
            <w:pPr>
              <w:shd w:val="clear"/>
              <w:wordWrap/>
              <w:topLinePunct w:val="0"/>
              <w:bidi w:val="0"/>
              <w:spacing w:line="360" w:lineRule="auto"/>
              <w:rPr>
                <w:rFonts w:hint="eastAsia" w:ascii="仿宋" w:hAnsi="仿宋" w:eastAsia="仿宋" w:cs="仿宋"/>
                <w:color w:val="auto"/>
                <w:sz w:val="24"/>
                <w:szCs w:val="24"/>
                <w:highlight w:val="none"/>
              </w:rPr>
            </w:pPr>
          </w:p>
        </w:tc>
      </w:tr>
      <w:tr w14:paraId="4532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Borders>
              <w:top w:val="single" w:color="auto" w:sz="4" w:space="0"/>
              <w:left w:val="single" w:color="auto" w:sz="4" w:space="0"/>
              <w:bottom w:val="single" w:color="auto" w:sz="4" w:space="0"/>
              <w:right w:val="single" w:color="auto" w:sz="4" w:space="0"/>
            </w:tcBorders>
            <w:noWrap w:val="0"/>
            <w:vAlign w:val="center"/>
          </w:tcPr>
          <w:p w14:paraId="5109AE79">
            <w:pPr>
              <w:shd w:val="clear"/>
              <w:wordWrap/>
              <w:topLinePunct w:val="0"/>
              <w:bidi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014" w:type="dxa"/>
            <w:tcBorders>
              <w:top w:val="single" w:color="auto" w:sz="4" w:space="0"/>
              <w:left w:val="nil"/>
              <w:bottom w:val="single" w:color="auto" w:sz="4" w:space="0"/>
              <w:right w:val="single" w:color="auto" w:sz="4" w:space="0"/>
            </w:tcBorders>
            <w:noWrap w:val="0"/>
            <w:vAlign w:val="top"/>
          </w:tcPr>
          <w:p w14:paraId="30DD6206">
            <w:pPr>
              <w:shd w:val="clear"/>
              <w:wordWrap/>
              <w:topLinePunct w:val="0"/>
              <w:bidi w:val="0"/>
              <w:spacing w:line="360" w:lineRule="auto"/>
              <w:rPr>
                <w:rFonts w:hint="eastAsia" w:ascii="仿宋" w:hAnsi="仿宋" w:eastAsia="仿宋" w:cs="仿宋"/>
                <w:color w:val="auto"/>
                <w:sz w:val="24"/>
                <w:szCs w:val="24"/>
                <w:highlight w:val="none"/>
              </w:rPr>
            </w:pPr>
          </w:p>
        </w:tc>
        <w:tc>
          <w:tcPr>
            <w:tcW w:w="1620" w:type="dxa"/>
            <w:tcBorders>
              <w:top w:val="single" w:color="auto" w:sz="4" w:space="0"/>
              <w:left w:val="nil"/>
              <w:bottom w:val="single" w:color="auto" w:sz="4" w:space="0"/>
              <w:right w:val="single" w:color="auto" w:sz="4" w:space="0"/>
            </w:tcBorders>
            <w:noWrap w:val="0"/>
            <w:vAlign w:val="top"/>
          </w:tcPr>
          <w:p w14:paraId="47EA6785">
            <w:pPr>
              <w:shd w:val="clear"/>
              <w:wordWrap/>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2908" w:type="dxa"/>
            <w:tcBorders>
              <w:top w:val="single" w:color="auto" w:sz="4" w:space="0"/>
              <w:left w:val="nil"/>
              <w:bottom w:val="single" w:color="auto" w:sz="4" w:space="0"/>
              <w:right w:val="single" w:color="auto" w:sz="4" w:space="0"/>
            </w:tcBorders>
            <w:noWrap w:val="0"/>
            <w:vAlign w:val="top"/>
          </w:tcPr>
          <w:p w14:paraId="39E464C7">
            <w:pPr>
              <w:shd w:val="clear"/>
              <w:wordWrap/>
              <w:topLinePunct w:val="0"/>
              <w:bidi w:val="0"/>
              <w:spacing w:line="360" w:lineRule="auto"/>
              <w:rPr>
                <w:rFonts w:hint="eastAsia" w:ascii="仿宋" w:hAnsi="仿宋" w:eastAsia="仿宋" w:cs="仿宋"/>
                <w:color w:val="auto"/>
                <w:sz w:val="24"/>
                <w:szCs w:val="24"/>
                <w:highlight w:val="none"/>
              </w:rPr>
            </w:pPr>
          </w:p>
        </w:tc>
      </w:tr>
    </w:tbl>
    <w:p w14:paraId="2272C44E">
      <w:pPr>
        <w:shd w:val="clear"/>
        <w:wordWrap/>
        <w:topLinePunct w:val="0"/>
        <w:bidi w:val="0"/>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w:t xml:space="preserve">    </w:t>
      </w:r>
    </w:p>
    <w:p w14:paraId="57FA3C52">
      <w:pPr>
        <w:shd w:val="clear"/>
        <w:wordWrap/>
        <w:topLinePunct w:val="0"/>
        <w:bidi w:val="0"/>
        <w:spacing w:line="360" w:lineRule="auto"/>
        <w:ind w:firstLine="480" w:firstLineChars="200"/>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为共同营造风清气正的发展环境，严格遵守国家法律法规和钱塘新区各项制度规定，坚持廉洁诚信、合法经营，现郑重承诺：</w:t>
      </w:r>
    </w:p>
    <w:p w14:paraId="13C60019">
      <w:pPr>
        <w:widowControl/>
        <w:shd w:val="clear"/>
        <w:wordWrap/>
        <w:topLinePunct w:val="0"/>
        <w:bidi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CAAA70C">
      <w:pPr>
        <w:widowControl/>
        <w:shd w:val="clear"/>
        <w:wordWrap/>
        <w:topLinePunct w:val="0"/>
        <w:bidi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1.不得以任何理由向公务人员赠送礼品、礼金和各种有价证券（烟卡）；</w:t>
      </w:r>
    </w:p>
    <w:p w14:paraId="27CA2AE1">
      <w:pPr>
        <w:widowControl/>
        <w:shd w:val="clear"/>
        <w:wordWrap/>
        <w:topLinePunct w:val="0"/>
        <w:bidi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2.不得以任何理由安排公务人员吃请或组织旅游、娱乐等活动；</w:t>
      </w:r>
    </w:p>
    <w:p w14:paraId="71CFAFCD">
      <w:pPr>
        <w:widowControl/>
        <w:shd w:val="clear"/>
        <w:wordWrap/>
        <w:topLinePunct w:val="0"/>
        <w:bidi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3.不得以任何理由为公务人员报销或承担应由其个人支付的费用。</w:t>
      </w:r>
    </w:p>
    <w:p w14:paraId="3E8FA701">
      <w:pPr>
        <w:shd w:val="clear"/>
        <w:wordWrap/>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768D665">
      <w:pPr>
        <w:shd w:val="clear"/>
        <w:wordWrap/>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以上承诺，如有违反，本公司自愿接受严肃处理，直至终止或取消</w:t>
      </w:r>
      <w:r>
        <w:rPr>
          <w:rFonts w:hint="eastAsia" w:ascii="仿宋" w:hAnsi="仿宋" w:eastAsia="仿宋" w:cs="仿宋"/>
          <w:color w:val="auto"/>
          <w:sz w:val="24"/>
          <w:szCs w:val="24"/>
          <w:highlight w:val="none"/>
          <w:lang w:val="en-US" w:eastAsia="zh-CN"/>
        </w:rPr>
        <w:t>在本单位</w:t>
      </w:r>
      <w:r>
        <w:rPr>
          <w:rFonts w:hint="eastAsia" w:ascii="仿宋" w:hAnsi="仿宋" w:eastAsia="仿宋" w:cs="仿宋"/>
          <w:color w:val="auto"/>
          <w:sz w:val="24"/>
          <w:szCs w:val="24"/>
          <w:highlight w:val="none"/>
        </w:rPr>
        <w:t>承揽业务的资格。</w:t>
      </w:r>
    </w:p>
    <w:p w14:paraId="2BE156D2">
      <w:pPr>
        <w:shd w:val="clear"/>
        <w:wordWrap/>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单位盖章：</w:t>
      </w:r>
    </w:p>
    <w:p w14:paraId="6ED40A31">
      <w:pPr>
        <w:shd w:val="clear"/>
        <w:wordWrap/>
        <w:topLinePunct w:val="0"/>
        <w:bidi w:val="0"/>
        <w:spacing w:line="360" w:lineRule="auto"/>
        <w:ind w:firstLine="3000" w:firstLineChars="1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 诺 人：</w:t>
      </w:r>
    </w:p>
    <w:p w14:paraId="7A66607A">
      <w:pPr>
        <w:shd w:val="clear"/>
        <w:wordWrap/>
        <w:topLinePunct w:val="0"/>
        <w:bidi w:val="0"/>
        <w:spacing w:line="360" w:lineRule="auto"/>
        <w:ind w:firstLine="5280" w:firstLineChars="2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 </w:t>
      </w:r>
    </w:p>
    <w:p w14:paraId="5BE098C6">
      <w:pPr>
        <w:shd w:val="clear"/>
        <w:wordWrap/>
        <w:topLinePunct w:val="0"/>
        <w:bidi w:val="0"/>
        <w:spacing w:before="120" w:beforeLines="50" w:after="120" w:afterLines="50" w:line="360" w:lineRule="auto"/>
        <w:rPr>
          <w:rFonts w:hint="eastAsia" w:ascii="仿宋" w:hAnsi="仿宋" w:eastAsia="仿宋" w:cs="仿宋"/>
          <w:b/>
          <w:bCs/>
          <w:color w:val="auto"/>
          <w:spacing w:val="60"/>
          <w:sz w:val="30"/>
          <w:szCs w:val="30"/>
          <w:highlight w:val="none"/>
        </w:rPr>
      </w:pPr>
      <w:r>
        <w:rPr>
          <w:rFonts w:hint="eastAsia" w:ascii="仿宋" w:hAnsi="仿宋" w:eastAsia="仿宋" w:cs="仿宋"/>
          <w:b/>
          <w:bCs/>
          <w:color w:val="auto"/>
          <w:spacing w:val="60"/>
          <w:sz w:val="30"/>
          <w:szCs w:val="30"/>
          <w:highlight w:val="none"/>
        </w:rPr>
        <w:t xml:space="preserve"> </w:t>
      </w:r>
    </w:p>
    <w:p w14:paraId="7CA3924B">
      <w:pPr>
        <w:pStyle w:val="6"/>
        <w:shd w:val="clear"/>
        <w:wordWrap/>
        <w:topLinePunct w:val="0"/>
        <w:bidi w:val="0"/>
        <w:spacing w:line="360" w:lineRule="auto"/>
        <w:rPr>
          <w:rFonts w:hint="eastAsia" w:ascii="仿宋" w:hAnsi="仿宋" w:eastAsia="仿宋" w:cs="仿宋"/>
          <w:color w:val="auto"/>
          <w:szCs w:val="24"/>
          <w:highlight w:val="none"/>
        </w:rPr>
      </w:pPr>
      <w:r>
        <w:rPr>
          <w:rFonts w:hint="eastAsia" w:ascii="仿宋" w:hAnsi="仿宋" w:eastAsia="仿宋" w:cs="仿宋"/>
          <w:color w:val="auto"/>
          <w:highlight w:val="none"/>
        </w:rPr>
        <w:t xml:space="preserve"> </w:t>
      </w:r>
    </w:p>
    <w:p w14:paraId="44BFA53F">
      <w:pPr>
        <w:shd w:val="clear"/>
        <w:wordWrap/>
        <w:topLinePunct w:val="0"/>
        <w:bidi w:val="0"/>
        <w:spacing w:before="120" w:beforeLines="50" w:after="120" w:afterLines="50" w:line="360" w:lineRule="auto"/>
        <w:jc w:val="center"/>
        <w:rPr>
          <w:rFonts w:hint="eastAsia" w:ascii="仿宋" w:hAnsi="仿宋" w:eastAsia="仿宋" w:cs="仿宋"/>
          <w:b/>
          <w:bCs/>
          <w:color w:val="auto"/>
          <w:spacing w:val="60"/>
          <w:sz w:val="30"/>
          <w:szCs w:val="30"/>
          <w:highlight w:val="none"/>
        </w:rPr>
      </w:pPr>
    </w:p>
    <w:p w14:paraId="31BE5934">
      <w:pPr>
        <w:pStyle w:val="15"/>
        <w:shd w:val="clea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spacing w:val="60"/>
          <w:highlight w:val="none"/>
        </w:rPr>
        <w:br w:type="page"/>
      </w:r>
      <w:r>
        <w:rPr>
          <w:rFonts w:hint="eastAsia" w:ascii="仿宋" w:hAnsi="仿宋" w:eastAsia="仿宋" w:cs="仿宋"/>
          <w:color w:val="auto"/>
          <w:spacing w:val="60"/>
          <w:highlight w:val="none"/>
        </w:rPr>
        <w:t>3、</w:t>
      </w:r>
      <w:r>
        <w:rPr>
          <w:rFonts w:hint="eastAsia" w:ascii="仿宋" w:hAnsi="仿宋" w:eastAsia="仿宋" w:cs="仿宋"/>
          <w:color w:val="auto"/>
          <w:highlight w:val="none"/>
        </w:rPr>
        <w:t>工程质量保修书</w:t>
      </w:r>
    </w:p>
    <w:p w14:paraId="7660AA04">
      <w:pPr>
        <w:shd w:val="clear"/>
        <w:wordWrap/>
        <w:topLinePunct w:val="0"/>
        <w:bidi w:val="0"/>
        <w:spacing w:before="120" w:beforeLines="50" w:after="120" w:afterLines="50" w:line="360" w:lineRule="auto"/>
        <w:ind w:firstLine="2048" w:firstLineChars="8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5111030A">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发包人（全称）：</w:t>
      </w:r>
      <w:r>
        <w:rPr>
          <w:rFonts w:hint="eastAsia" w:ascii="仿宋" w:hAnsi="仿宋" w:eastAsia="仿宋" w:cs="仿宋"/>
          <w:color w:val="auto"/>
          <w:sz w:val="24"/>
          <w:highlight w:val="none"/>
          <w:u w:val="single"/>
          <w:lang w:eastAsia="zh-CN"/>
        </w:rPr>
        <w:t>杭州市钱塘区人民政府义蓬街道办事处</w:t>
      </w:r>
      <w:r>
        <w:rPr>
          <w:rFonts w:hint="eastAsia" w:ascii="仿宋" w:hAnsi="仿宋" w:eastAsia="仿宋" w:cs="仿宋"/>
          <w:color w:val="auto"/>
          <w:sz w:val="24"/>
          <w:highlight w:val="none"/>
          <w:u w:val="single"/>
        </w:rPr>
        <w:t xml:space="preserve">  </w:t>
      </w:r>
    </w:p>
    <w:p w14:paraId="226C8EF6">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承包人（全称）：</w:t>
      </w:r>
      <w:r>
        <w:rPr>
          <w:rFonts w:hint="eastAsia" w:ascii="仿宋" w:hAnsi="仿宋" w:eastAsia="仿宋" w:cs="仿宋"/>
          <w:color w:val="auto"/>
          <w:sz w:val="24"/>
          <w:highlight w:val="none"/>
          <w:u w:val="single"/>
        </w:rPr>
        <w:t xml:space="preserve">                                      </w:t>
      </w:r>
    </w:p>
    <w:p w14:paraId="0CD0B5A1">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43283518">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发包人和承包人根据《中华人民共和国建筑法》和《建设工程质量管理条例》，经协商一致就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沙堤社区党群服务中心改造项目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签订工程质量保修书。</w:t>
      </w:r>
    </w:p>
    <w:p w14:paraId="207FE82B">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一、工程质量保修范围和内容</w:t>
      </w:r>
    </w:p>
    <w:p w14:paraId="79549B42">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承包人在质量保修期内，按照有关法律规定和合同约定，承担工程质量保修责任。</w:t>
      </w:r>
    </w:p>
    <w:p w14:paraId="3E966732">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311DD0C">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0BB376">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二、质量保修期</w:t>
      </w:r>
    </w:p>
    <w:p w14:paraId="3F8A7F98">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根据《建设工程质量管理条例》及有关规定，工程的质量保修期如下：</w:t>
      </w:r>
    </w:p>
    <w:p w14:paraId="152FA993">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1．地基基础工程和主体结构工程为设计文件规定的工程合理使用年限；</w:t>
      </w:r>
    </w:p>
    <w:p w14:paraId="3B6B7D84">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2．屋面防水工程、有防水要求的卫生间、房间和外墙面的防渗漏为</w:t>
      </w:r>
      <w:r>
        <w:rPr>
          <w:rFonts w:hint="eastAsia" w:ascii="仿宋" w:hAnsi="仿宋" w:eastAsia="仿宋" w:cs="仿宋"/>
          <w:color w:val="auto"/>
          <w:sz w:val="24"/>
          <w:highlight w:val="none"/>
          <w:u w:val="single"/>
        </w:rPr>
        <w:t>5</w:t>
      </w:r>
      <w:r>
        <w:rPr>
          <w:rFonts w:hint="eastAsia" w:ascii="仿宋" w:hAnsi="仿宋" w:eastAsia="仿宋" w:cs="仿宋"/>
          <w:color w:val="auto"/>
          <w:sz w:val="24"/>
          <w:highlight w:val="none"/>
        </w:rPr>
        <w:t>年；</w:t>
      </w:r>
    </w:p>
    <w:p w14:paraId="23D76D5C">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3．装修工程为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19BC7BD2">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4．电气管线、给排水管道、设备安装工程为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2C11DF5D">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5．供热与供冷系统为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个采暖期、供冷期；</w:t>
      </w:r>
    </w:p>
    <w:p w14:paraId="4ABA685B">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6．住宅小区内的给排水设施、道路等配套工程为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4364017B">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7．其他项目保修期限约定如下：</w:t>
      </w:r>
    </w:p>
    <w:p w14:paraId="7543D48C">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本工程质保期为两年，从取得竣工验收证书后起算。同时在质保期内由承包人负责免费维护与系统的升级工作。</w:t>
      </w:r>
    </w:p>
    <w:p w14:paraId="250AECE6">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质量保修期自工程竣工验收合格之日起计算。</w:t>
      </w:r>
    </w:p>
    <w:p w14:paraId="7511879B">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三、缺陷责任期</w:t>
      </w:r>
    </w:p>
    <w:p w14:paraId="1E2844A1">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个月，缺陷责任期自工程竣工验收合格之日起计算。单位工程先于全部工程进行验收，单位工程缺陷责任期自单位工程验收合格之日起算。</w:t>
      </w:r>
    </w:p>
    <w:p w14:paraId="62F696E1">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缺陷责任期终止后，发包人应退还剩余的质量保证金。</w:t>
      </w:r>
    </w:p>
    <w:p w14:paraId="0E375673">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四、质量保修责任</w:t>
      </w:r>
    </w:p>
    <w:p w14:paraId="617981FD">
      <w:pPr>
        <w:shd w:val="clear"/>
        <w:wordWrap/>
        <w:topLinePunct w:val="0"/>
        <w:bidi w:val="0"/>
        <w:spacing w:line="360" w:lineRule="auto"/>
        <w:ind w:left="105" w:leftChars="50" w:firstLine="489" w:firstLineChars="204"/>
        <w:rPr>
          <w:rFonts w:hint="eastAsia" w:ascii="仿宋" w:hAnsi="仿宋" w:eastAsia="仿宋" w:cs="仿宋"/>
          <w:color w:val="auto"/>
          <w:sz w:val="24"/>
          <w:highlight w:val="none"/>
        </w:rPr>
      </w:pPr>
      <w:r>
        <w:rPr>
          <w:rFonts w:hint="eastAsia" w:ascii="仿宋" w:hAnsi="仿宋" w:eastAsia="仿宋" w:cs="仿宋"/>
          <w:color w:val="auto"/>
          <w:sz w:val="24"/>
          <w:highlight w:val="none"/>
        </w:rPr>
        <w:t>1．属于保修范围、内容的项目，承包人应当在接到保修通知之日起7天内派人保修。承包人不在约定期限内派人保修的，发包人可以委托他人修理。</w:t>
      </w:r>
    </w:p>
    <w:p w14:paraId="30A92D04">
      <w:pPr>
        <w:shd w:val="clear"/>
        <w:wordWrap/>
        <w:topLinePunct w:val="0"/>
        <w:bidi w:val="0"/>
        <w:spacing w:line="360" w:lineRule="auto"/>
        <w:ind w:left="105" w:leftChars="50" w:firstLine="489" w:firstLineChars="204"/>
        <w:rPr>
          <w:rFonts w:hint="eastAsia" w:ascii="仿宋" w:hAnsi="仿宋" w:eastAsia="仿宋" w:cs="仿宋"/>
          <w:color w:val="auto"/>
          <w:sz w:val="24"/>
          <w:highlight w:val="none"/>
        </w:rPr>
      </w:pPr>
      <w:r>
        <w:rPr>
          <w:rFonts w:hint="eastAsia" w:ascii="仿宋" w:hAnsi="仿宋" w:eastAsia="仿宋" w:cs="仿宋"/>
          <w:color w:val="auto"/>
          <w:sz w:val="24"/>
          <w:highlight w:val="none"/>
        </w:rPr>
        <w:t>2．发生紧急事故需抢修的，承包人在接到事故通知后，应当立即到达事故现场抢修。</w:t>
      </w:r>
    </w:p>
    <w:p w14:paraId="230BFB8B">
      <w:pPr>
        <w:shd w:val="clear"/>
        <w:wordWrap/>
        <w:topLinePunct w:val="0"/>
        <w:bidi w:val="0"/>
        <w:spacing w:line="360" w:lineRule="auto"/>
        <w:ind w:left="105" w:leftChars="50" w:firstLine="489" w:firstLineChars="204"/>
        <w:rPr>
          <w:rFonts w:hint="eastAsia" w:ascii="仿宋" w:hAnsi="仿宋" w:eastAsia="仿宋" w:cs="仿宋"/>
          <w:color w:val="auto"/>
          <w:sz w:val="24"/>
          <w:highlight w:val="none"/>
        </w:rPr>
      </w:pPr>
      <w:r>
        <w:rPr>
          <w:rFonts w:hint="eastAsia" w:ascii="仿宋" w:hAnsi="仿宋" w:eastAsia="仿宋" w:cs="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9D8BF9B">
      <w:pPr>
        <w:shd w:val="clear"/>
        <w:wordWrap/>
        <w:topLinePunct w:val="0"/>
        <w:bidi w:val="0"/>
        <w:spacing w:line="360" w:lineRule="auto"/>
        <w:ind w:left="420" w:leftChars="2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4．质量保修完成后，由发包人组织验收。</w:t>
      </w:r>
    </w:p>
    <w:p w14:paraId="64CED1FE">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五、保修费用</w:t>
      </w:r>
    </w:p>
    <w:p w14:paraId="6B38C95C">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保修费用由造成质量缺陷的责任方承担。</w:t>
      </w:r>
    </w:p>
    <w:p w14:paraId="2DB3ECC5">
      <w:pPr>
        <w:shd w:val="clear"/>
        <w:wordWrap/>
        <w:topLinePunct w:val="0"/>
        <w:bidi w:val="0"/>
        <w:spacing w:line="360" w:lineRule="auto"/>
        <w:ind w:firstLine="600"/>
        <w:jc w:val="left"/>
        <w:rPr>
          <w:rFonts w:hint="eastAsia" w:ascii="仿宋" w:hAnsi="仿宋" w:eastAsia="仿宋" w:cs="仿宋"/>
          <w:color w:val="auto"/>
          <w:sz w:val="24"/>
          <w:highlight w:val="none"/>
          <w:u w:val="single"/>
        </w:rPr>
      </w:pPr>
      <w:r>
        <w:rPr>
          <w:rFonts w:hint="eastAsia" w:ascii="仿宋" w:hAnsi="仿宋" w:eastAsia="仿宋" w:cs="仿宋"/>
          <w:b/>
          <w:bCs/>
          <w:color w:val="auto"/>
          <w:sz w:val="24"/>
          <w:highlight w:val="none"/>
        </w:rPr>
        <w:t>六</w:t>
      </w:r>
      <w:r>
        <w:rPr>
          <w:rFonts w:hint="eastAsia" w:ascii="仿宋" w:hAnsi="仿宋" w:eastAsia="仿宋" w:cs="仿宋"/>
          <w:color w:val="auto"/>
          <w:sz w:val="24"/>
          <w:highlight w:val="none"/>
        </w:rPr>
        <w:t>、双方约定的其他工程质量保修事项：</w:t>
      </w:r>
      <w:r>
        <w:rPr>
          <w:rFonts w:hint="eastAsia" w:ascii="仿宋" w:hAnsi="仿宋" w:eastAsia="仿宋" w:cs="仿宋"/>
          <w:color w:val="auto"/>
          <w:sz w:val="24"/>
          <w:highlight w:val="none"/>
          <w:u w:val="single"/>
        </w:rPr>
        <w:t xml:space="preserve">                  </w:t>
      </w:r>
    </w:p>
    <w:p w14:paraId="7A24BA25">
      <w:pPr>
        <w:shd w:val="clear"/>
        <w:wordWrap/>
        <w:topLinePunct w:val="0"/>
        <w:bidi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p>
    <w:p w14:paraId="2E5E11EE">
      <w:pPr>
        <w:shd w:val="clear"/>
        <w:wordWrap/>
        <w:topLinePunct w:val="0"/>
        <w:bidi w:val="0"/>
        <w:spacing w:line="360" w:lineRule="auto"/>
        <w:ind w:firstLine="456" w:firstLineChars="19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工程质量保修书由发包人、承包人在工程竣工验收前共同签署，作为施工合同附件，其有效期限至保修期满。</w:t>
      </w:r>
    </w:p>
    <w:p w14:paraId="4C5F9210">
      <w:pPr>
        <w:shd w:val="clear"/>
        <w:wordWrap/>
        <w:topLinePunct w:val="0"/>
        <w:bidi w:val="0"/>
        <w:spacing w:line="360" w:lineRule="auto"/>
        <w:ind w:firstLine="456" w:firstLineChars="19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AB0221E">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发包人(公章)：</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 xml:space="preserve"> 承包人(公章)：</w:t>
      </w:r>
      <w:r>
        <w:rPr>
          <w:rFonts w:hint="eastAsia" w:ascii="仿宋" w:hAnsi="仿宋" w:eastAsia="仿宋" w:cs="仿宋"/>
          <w:color w:val="auto"/>
          <w:sz w:val="24"/>
          <w:highlight w:val="none"/>
          <w:u w:val="single"/>
        </w:rPr>
        <w:t xml:space="preserve">           </w:t>
      </w:r>
    </w:p>
    <w:p w14:paraId="6BC23FB2">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u w:val="single"/>
        </w:rPr>
        <w:t xml:space="preserve">       </w:t>
      </w:r>
    </w:p>
    <w:p w14:paraId="5E3B9BAB">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法定代表人(签字或盖章)：</w:t>
      </w:r>
      <w:r>
        <w:rPr>
          <w:rFonts w:hint="eastAsia" w:ascii="仿宋" w:hAnsi="仿宋" w:eastAsia="仿宋" w:cs="仿宋"/>
          <w:color w:val="auto"/>
          <w:sz w:val="24"/>
          <w:highlight w:val="none"/>
          <w:u w:val="single"/>
        </w:rPr>
        <w:t xml:space="preserve">       </w:t>
      </w:r>
    </w:p>
    <w:p w14:paraId="7463921D">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委托代理人(签字)：</w:t>
      </w:r>
      <w:r>
        <w:rPr>
          <w:rFonts w:hint="eastAsia" w:ascii="仿宋" w:hAnsi="仿宋" w:eastAsia="仿宋" w:cs="仿宋"/>
          <w:color w:val="auto"/>
          <w:sz w:val="24"/>
          <w:highlight w:val="none"/>
          <w:u w:val="single"/>
        </w:rPr>
        <w:t xml:space="preserve">       </w:t>
      </w:r>
    </w:p>
    <w:p w14:paraId="703C3557">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  话：</w:t>
      </w:r>
      <w:r>
        <w:rPr>
          <w:rFonts w:hint="eastAsia" w:ascii="仿宋" w:hAnsi="仿宋" w:eastAsia="仿宋" w:cs="仿宋"/>
          <w:color w:val="auto"/>
          <w:sz w:val="24"/>
          <w:highlight w:val="none"/>
          <w:u w:val="single"/>
        </w:rPr>
        <w:t xml:space="preserve">     </w:t>
      </w:r>
    </w:p>
    <w:p w14:paraId="284BE4D2">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u w:val="single"/>
        </w:rPr>
        <w:t xml:space="preserve">     </w:t>
      </w:r>
    </w:p>
    <w:p w14:paraId="761334C9">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开户银行：</w:t>
      </w:r>
      <w:r>
        <w:rPr>
          <w:rFonts w:hint="eastAsia" w:ascii="仿宋" w:hAnsi="仿宋" w:eastAsia="仿宋" w:cs="仿宋"/>
          <w:color w:val="auto"/>
          <w:sz w:val="24"/>
          <w:highlight w:val="none"/>
          <w:u w:val="single"/>
        </w:rPr>
        <w:t xml:space="preserve">   </w:t>
      </w:r>
    </w:p>
    <w:p w14:paraId="63F68FDA">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账  号：</w:t>
      </w:r>
      <w:r>
        <w:rPr>
          <w:rFonts w:hint="eastAsia" w:ascii="仿宋" w:hAnsi="仿宋" w:eastAsia="仿宋" w:cs="仿宋"/>
          <w:color w:val="auto"/>
          <w:sz w:val="24"/>
          <w:highlight w:val="none"/>
          <w:u w:val="single"/>
        </w:rPr>
        <w:t xml:space="preserve">     </w:t>
      </w:r>
    </w:p>
    <w:p w14:paraId="5129A7AC">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邮政编码：</w:t>
      </w:r>
      <w:r>
        <w:rPr>
          <w:rFonts w:hint="eastAsia" w:ascii="仿宋" w:hAnsi="仿宋" w:eastAsia="仿宋" w:cs="仿宋"/>
          <w:color w:val="auto"/>
          <w:sz w:val="24"/>
          <w:highlight w:val="none"/>
          <w:u w:val="single"/>
        </w:rPr>
        <w:t xml:space="preserve">   </w:t>
      </w:r>
    </w:p>
    <w:p w14:paraId="3A11682A">
      <w:pPr>
        <w:shd w:val="clear"/>
        <w:wordWrap/>
        <w:topLinePunct w:val="0"/>
        <w:bidi w:val="0"/>
        <w:spacing w:line="360" w:lineRule="auto"/>
        <w:jc w:val="center"/>
        <w:rPr>
          <w:rFonts w:hint="eastAsia" w:ascii="仿宋" w:hAnsi="仿宋" w:eastAsia="仿宋" w:cs="仿宋"/>
          <w:b/>
          <w:color w:val="auto"/>
          <w:sz w:val="28"/>
          <w:szCs w:val="28"/>
          <w:highlight w:val="none"/>
        </w:rPr>
      </w:pPr>
    </w:p>
    <w:p w14:paraId="46289D05">
      <w:pPr>
        <w:shd w:val="clear"/>
        <w:wordWrap/>
        <w:topLinePunct w:val="0"/>
        <w:bidi w:val="0"/>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1F709984">
      <w:pPr>
        <w:shd w:val="clear"/>
        <w:wordWrap/>
        <w:topLinePunct w:val="0"/>
        <w:bidi w:val="0"/>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3298928A">
      <w:pPr>
        <w:shd w:val="clear"/>
        <w:wordWrap/>
        <w:topLinePunct w:val="0"/>
        <w:bidi w:val="0"/>
        <w:snapToGrid w:val="0"/>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7"/>
      <w:bookmarkEnd w:id="398"/>
      <w:r>
        <w:rPr>
          <w:rFonts w:hint="eastAsia" w:ascii="仿宋" w:hAnsi="仿宋" w:eastAsia="仿宋" w:cs="仿宋"/>
          <w:b/>
          <w:color w:val="auto"/>
          <w:sz w:val="36"/>
          <w:szCs w:val="20"/>
          <w:highlight w:val="none"/>
        </w:rPr>
        <w:t>应提交的有关格式范例</w:t>
      </w:r>
    </w:p>
    <w:p w14:paraId="2BCDFEC5">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p>
    <w:p w14:paraId="7C5A861C">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89ACC91">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403C80D">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p>
    <w:p w14:paraId="5AB41C72">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1A43538D">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BF9289C">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0141F3BB">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F0DDB56">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p>
    <w:p w14:paraId="35E8D263">
      <w:pPr>
        <w:shd w:val="clear"/>
        <w:wordWrap/>
        <w:topLinePunct w:val="0"/>
        <w:bidi w:val="0"/>
        <w:spacing w:line="360" w:lineRule="auto"/>
        <w:ind w:firstLine="480" w:firstLineChars="200"/>
        <w:rPr>
          <w:rFonts w:hint="eastAsia" w:ascii="仿宋" w:hAnsi="仿宋" w:eastAsia="仿宋" w:cs="仿宋"/>
          <w:color w:val="auto"/>
          <w:sz w:val="24"/>
          <w:highlight w:val="none"/>
        </w:rPr>
      </w:pPr>
    </w:p>
    <w:p w14:paraId="51204678">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E101D61">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浙江中合工程管理有限公司</w:t>
      </w:r>
      <w:r>
        <w:rPr>
          <w:rFonts w:hint="eastAsia" w:ascii="仿宋" w:hAnsi="仿宋" w:eastAsia="仿宋" w:cs="仿宋"/>
          <w:color w:val="auto"/>
          <w:sz w:val="24"/>
          <w:highlight w:val="none"/>
        </w:rPr>
        <w:t>：</w:t>
      </w:r>
    </w:p>
    <w:p w14:paraId="6B59BE8B">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沙堤社区党群服务中心改造项目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QTCG-CS-2024-049</w:t>
      </w:r>
      <w:r>
        <w:rPr>
          <w:rFonts w:hint="eastAsia" w:ascii="仿宋" w:hAnsi="仿宋" w:eastAsia="仿宋" w:cs="仿宋"/>
          <w:color w:val="auto"/>
          <w:sz w:val="24"/>
          <w:highlight w:val="none"/>
        </w:rPr>
        <w:t>】政府采购活动，郑重承诺：</w:t>
      </w:r>
    </w:p>
    <w:p w14:paraId="364C9F96">
      <w:pPr>
        <w:shd w:val="clear"/>
        <w:wordWrap/>
        <w:topLinePunct w:val="0"/>
        <w:bidi w:val="0"/>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112561A">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0052384B">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C8AD5E7">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802F26A">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6E1333E">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8F4EE88">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2B6D1816">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17DA3D7">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61456A5">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B047642">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B3FE5CD">
      <w:pPr>
        <w:shd w:val="clear"/>
        <w:wordWrap/>
        <w:topLinePunct w:val="0"/>
        <w:bidi w:val="0"/>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520B31D1">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14:paraId="255AF621">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CBBFC2C">
      <w:pPr>
        <w:widowControl/>
        <w:shd w:val="clear"/>
        <w:wordWrap/>
        <w:topLinePunct w:val="0"/>
        <w:bidi w:val="0"/>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43CEA3E">
      <w:pPr>
        <w:widowControl/>
        <w:shd w:val="clear"/>
        <w:wordWrap/>
        <w:topLinePunct w:val="0"/>
        <w:bidi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[以联合体形式参与的，提供联合协议（附件5）；本项目不接受联合体或者供应商不以联合体形式投参与的，则不需要提供]</w:t>
      </w:r>
    </w:p>
    <w:p w14:paraId="0ACC026C">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BBFE816">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5F9BD2FC">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（根据竞争性磋商公告落实政府采购政策需满足的资格要求选择提供相应的材料；未要求的，无需提供）</w:t>
      </w:r>
    </w:p>
    <w:p w14:paraId="1E37F1C1">
      <w:pPr>
        <w:shd w:val="clear"/>
        <w:wordWrap/>
        <w:topLinePunct w:val="0"/>
        <w:bidi w:val="0"/>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.专门面向中小企业，工程全部由符合政策要求的中小企业（或小微企业）承建的，提供相应的中小企业声明函（附件7）。 </w:t>
      </w:r>
    </w:p>
    <w:p w14:paraId="5992339C">
      <w:pPr>
        <w:widowControl/>
        <w:shd w:val="clear"/>
        <w:wordWrap/>
        <w:topLinePunct w:val="0"/>
        <w:bidi w:val="0"/>
        <w:spacing w:line="360" w:lineRule="auto"/>
        <w:ind w:firstLine="480"/>
        <w:jc w:val="left"/>
        <w:rPr>
          <w:rFonts w:hint="eastAsia" w:ascii="仿宋" w:hAnsi="仿宋" w:eastAsia="仿宋" w:cs="仿宋"/>
          <w:color w:val="auto"/>
          <w:sz w:val="24"/>
          <w:highlight w:val="none"/>
        </w:rPr>
      </w:pPr>
    </w:p>
    <w:p w14:paraId="4C3FA2AF">
      <w:pPr>
        <w:widowControl/>
        <w:shd w:val="clear"/>
        <w:wordWrap/>
        <w:topLinePunct w:val="0"/>
        <w:bidi w:val="0"/>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14:paraId="5150B0DB">
      <w:pPr>
        <w:shd w:val="clear"/>
        <w:wordWrap/>
        <w:topLinePunct w:val="0"/>
        <w:bidi w:val="0"/>
        <w:snapToGrid w:val="0"/>
        <w:spacing w:before="50" w:after="50" w:line="360" w:lineRule="auto"/>
        <w:jc w:val="center"/>
        <w:rPr>
          <w:rFonts w:hint="eastAsia" w:ascii="仿宋" w:hAnsi="仿宋" w:eastAsia="仿宋" w:cs="仿宋"/>
          <w:color w:val="auto"/>
          <w:sz w:val="24"/>
          <w:highlight w:val="none"/>
        </w:rPr>
      </w:pPr>
    </w:p>
    <w:p w14:paraId="5CA5A7C9">
      <w:pPr>
        <w:shd w:val="clear"/>
        <w:wordWrap/>
        <w:topLinePunct w:val="0"/>
        <w:bidi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竞争性磋商公告载明的比例；如果供应商本身提供所有标的均由中小企业承建，视同符合了资格条件，无需再向中小企业分包，无需提供分包意向协议。</w:t>
      </w:r>
    </w:p>
    <w:p w14:paraId="0983F9BE">
      <w:pPr>
        <w:widowControl/>
        <w:shd w:val="clear"/>
        <w:wordWrap/>
        <w:topLinePunct w:val="0"/>
        <w:bidi w:val="0"/>
        <w:spacing w:line="360" w:lineRule="auto"/>
        <w:ind w:left="150"/>
        <w:jc w:val="center"/>
        <w:rPr>
          <w:rFonts w:hint="eastAsia" w:ascii="仿宋" w:hAnsi="仿宋" w:eastAsia="仿宋" w:cs="仿宋"/>
          <w:b/>
          <w:color w:val="auto"/>
          <w:kern w:val="0"/>
          <w:sz w:val="32"/>
          <w:szCs w:val="32"/>
          <w:highlight w:val="none"/>
        </w:rPr>
      </w:pPr>
    </w:p>
    <w:p w14:paraId="0D741D87">
      <w:pPr>
        <w:widowControl/>
        <w:shd w:val="clear"/>
        <w:wordWrap/>
        <w:topLinePunct w:val="0"/>
        <w:bidi w:val="0"/>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3C2120B4">
      <w:pPr>
        <w:shd w:val="clear"/>
        <w:wordWrap/>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（根据竞争性磋商公告本项目的特定资格要求提供相应的材料；未要求的，无需提供）</w:t>
      </w:r>
    </w:p>
    <w:p w14:paraId="173B56B5">
      <w:pPr>
        <w:shd w:val="clear"/>
        <w:wordWrap/>
        <w:topLinePunct w:val="0"/>
        <w:bidi w:val="0"/>
        <w:spacing w:line="360" w:lineRule="auto"/>
        <w:rPr>
          <w:rFonts w:hint="eastAsia" w:ascii="仿宋" w:hAnsi="仿宋" w:eastAsia="仿宋" w:cs="仿宋"/>
          <w:color w:val="auto"/>
          <w:highlight w:val="none"/>
        </w:rPr>
      </w:pPr>
    </w:p>
    <w:p w14:paraId="23501BED">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378940E">
      <w:pPr>
        <w:pStyle w:val="3"/>
        <w:shd w:val="clear"/>
        <w:wordWrap/>
        <w:topLinePunct w:val="0"/>
        <w:bidi w:val="0"/>
        <w:spacing w:line="360" w:lineRule="auto"/>
        <w:rPr>
          <w:rFonts w:hint="eastAsia" w:ascii="仿宋" w:hAnsi="仿宋" w:eastAsia="仿宋" w:cs="仿宋"/>
          <w:b w:val="0"/>
          <w:color w:val="auto"/>
          <w:kern w:val="0"/>
          <w:sz w:val="36"/>
          <w:szCs w:val="36"/>
          <w:highlight w:val="none"/>
        </w:rPr>
      </w:pPr>
    </w:p>
    <w:p w14:paraId="17057ACA">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411FAEA">
      <w:pPr>
        <w:shd w:val="clear"/>
        <w:wordWrap/>
        <w:topLinePunct w:val="0"/>
        <w:bidi w:val="0"/>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23D38E4">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（1）响应函</w:t>
      </w:r>
      <w:r>
        <w:rPr>
          <w:rFonts w:hint="eastAsia" w:ascii="仿宋" w:hAnsi="仿宋" w:eastAsia="仿宋" w:cs="仿宋"/>
          <w:color w:val="auto"/>
          <w:highlight w:val="none"/>
        </w:rPr>
        <w:t>…………………………………………………………………………………（页码）</w:t>
      </w:r>
    </w:p>
    <w:p w14:paraId="1FF1CE7D">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A8343E4">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317B5E70">
      <w:pPr>
        <w:shd w:val="clear"/>
        <w:wordWrap/>
        <w:topLinePunct w:val="0"/>
        <w:bidi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2B5DB24">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（5）评审标准相应的商务技术资料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830C3A2">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（6）商务技术偏离表</w:t>
      </w:r>
      <w:r>
        <w:rPr>
          <w:rFonts w:hint="eastAsia" w:ascii="仿宋" w:hAnsi="仿宋" w:eastAsia="仿宋" w:cs="仿宋"/>
          <w:color w:val="auto"/>
          <w:highlight w:val="none"/>
        </w:rPr>
        <w:t>………………………………………………………………………（页码）</w:t>
      </w:r>
    </w:p>
    <w:p w14:paraId="2FBAEC06">
      <w:pPr>
        <w:shd w:val="clear"/>
        <w:wordWrap/>
        <w:topLinePunct w:val="0"/>
        <w:bidi w:val="0"/>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1B866BAF">
      <w:pPr>
        <w:shd w:val="clear"/>
        <w:wordWrap/>
        <w:topLinePunct w:val="0"/>
        <w:bidi w:val="0"/>
        <w:snapToGrid w:val="0"/>
        <w:spacing w:line="360" w:lineRule="auto"/>
        <w:jc w:val="center"/>
        <w:rPr>
          <w:rFonts w:hint="eastAsia" w:ascii="仿宋" w:hAnsi="仿宋" w:eastAsia="仿宋" w:cs="仿宋"/>
          <w:b/>
          <w:color w:val="auto"/>
          <w:kern w:val="0"/>
          <w:sz w:val="32"/>
          <w:szCs w:val="32"/>
          <w:highlight w:val="none"/>
          <w:lang w:val="zh-CN"/>
        </w:rPr>
        <w:sectPr>
          <w:pgSz w:w="11906" w:h="16838"/>
          <w:pgMar w:top="1440" w:right="1080" w:bottom="1440" w:left="1080" w:header="851" w:footer="992" w:gutter="0"/>
          <w:cols w:space="720" w:num="1"/>
          <w:titlePg/>
          <w:docGrid w:linePitch="312" w:charSpace="0"/>
        </w:sectPr>
      </w:pPr>
    </w:p>
    <w:p w14:paraId="38AC1F77">
      <w:pPr>
        <w:shd w:val="clear"/>
        <w:wordWrap/>
        <w:topLinePunct w:val="0"/>
        <w:bidi w:val="0"/>
        <w:snapToGrid w:val="0"/>
        <w:spacing w:line="360" w:lineRule="auto"/>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一、响应函</w:t>
      </w:r>
    </w:p>
    <w:p w14:paraId="5F5F6FDD">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浙江中合工程管理有限公司</w:t>
      </w:r>
      <w:r>
        <w:rPr>
          <w:rFonts w:hint="eastAsia" w:ascii="仿宋" w:hAnsi="仿宋" w:eastAsia="仿宋" w:cs="仿宋"/>
          <w:color w:val="auto"/>
          <w:sz w:val="24"/>
          <w:highlight w:val="none"/>
        </w:rPr>
        <w:t>：</w:t>
      </w:r>
    </w:p>
    <w:p w14:paraId="05977760">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lang w:eastAsia="zh-CN"/>
        </w:rPr>
        <w:t>沙堤社区党群服务中心改造项目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QTCG-CS-2024-049</w:t>
      </w:r>
      <w:r>
        <w:rPr>
          <w:rFonts w:hint="eastAsia" w:ascii="仿宋" w:hAnsi="仿宋" w:eastAsia="仿宋" w:cs="仿宋"/>
          <w:color w:val="auto"/>
          <w:sz w:val="24"/>
          <w:highlight w:val="none"/>
        </w:rPr>
        <w:t>】采购的有关活动，并对此项目提交响应文件及报价。为此：</w:t>
      </w:r>
    </w:p>
    <w:p w14:paraId="2EA05CBE">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1、我方承诺响应文件有效期从提交响应文件的截止之日起天（不少于90天）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本响应文件在响应文件有效期满之前均具有约束力。</w:t>
      </w:r>
    </w:p>
    <w:p w14:paraId="5DE399EE">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2、我方的响应文件包括以下内容：</w:t>
      </w:r>
    </w:p>
    <w:p w14:paraId="5524147B">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2C209EF">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161385B6">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7C51865E">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CAD9525">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50074E5A">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5627D366">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2.2.1响应函；</w:t>
      </w:r>
    </w:p>
    <w:p w14:paraId="1ED6D9AE">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310F443">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0DCF8D97">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4571A05">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2.2.5评审标准相应的商务技术资料；</w:t>
      </w:r>
    </w:p>
    <w:p w14:paraId="40FD1437">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14:paraId="628BAFC4">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14:paraId="7066EA7E">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16FB7B50">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2.3.1报价单；</w:t>
      </w:r>
    </w:p>
    <w:p w14:paraId="501FFE21">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2.3.2已标价工程量清单；</w:t>
      </w:r>
    </w:p>
    <w:p w14:paraId="5BE852E9">
      <w:pPr>
        <w:shd w:val="clear"/>
        <w:wordWrap/>
        <w:topLinePunct w:val="0"/>
        <w:bidi w:val="0"/>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2.3.3中小企业声明函（如果有）。</w:t>
      </w:r>
    </w:p>
    <w:p w14:paraId="244D15E4">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3、我方承诺除商务技术偏离表列出的偏离外，我方响应采购文件的全部要求。</w:t>
      </w:r>
    </w:p>
    <w:p w14:paraId="1569161F">
      <w:pPr>
        <w:shd w:val="clear"/>
        <w:wordWrap/>
        <w:topLinePunct w:val="0"/>
        <w:bidi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4、如我方成交，我方承诺：</w:t>
      </w:r>
    </w:p>
    <w:p w14:paraId="5D6C58D9">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4.1在收到成交通知书后，在成交通知书规定的期限内与你方签订合同； </w:t>
      </w:r>
    </w:p>
    <w:p w14:paraId="46C3DDC8">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5D7B975">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4.3按照采购文件要求提交履约保证金； </w:t>
      </w:r>
    </w:p>
    <w:p w14:paraId="5B428B7F">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CE04DBC">
      <w:pPr>
        <w:shd w:val="clear"/>
        <w:wordWrap/>
        <w:topLinePunct w:val="0"/>
        <w:bidi w:val="0"/>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58650CC9">
      <w:pPr>
        <w:shd w:val="clear"/>
        <w:wordWrap/>
        <w:topLinePunct w:val="0"/>
        <w:bidi w:val="0"/>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14:paraId="0C0C76F1">
      <w:pPr>
        <w:shd w:val="clear"/>
        <w:wordWrap/>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BF06EA9">
      <w:pPr>
        <w:shd w:val="clear"/>
        <w:wordWrap/>
        <w:topLinePunct w:val="0"/>
        <w:bidi w:val="0"/>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492EA7CA">
      <w:pPr>
        <w:shd w:val="clear"/>
        <w:wordWrap/>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8655981">
      <w:pPr>
        <w:shd w:val="clear"/>
        <w:wordWrap/>
        <w:topLinePunct w:val="0"/>
        <w:bidi w:val="0"/>
        <w:snapToGrid w:val="0"/>
        <w:spacing w:line="360" w:lineRule="auto"/>
        <w:jc w:val="center"/>
        <w:rPr>
          <w:rFonts w:hint="eastAsia" w:ascii="仿宋" w:hAnsi="仿宋" w:eastAsia="仿宋" w:cs="仿宋"/>
          <w:b/>
          <w:color w:val="auto"/>
          <w:kern w:val="0"/>
          <w:sz w:val="32"/>
          <w:szCs w:val="32"/>
          <w:highlight w:val="none"/>
        </w:rPr>
      </w:pPr>
    </w:p>
    <w:p w14:paraId="13A9FF7C">
      <w:pPr>
        <w:shd w:val="clear"/>
        <w:wordWrap/>
        <w:topLinePunct w:val="0"/>
        <w:bidi w:val="0"/>
        <w:snapToGrid w:val="0"/>
        <w:spacing w:line="360" w:lineRule="auto"/>
        <w:rPr>
          <w:rFonts w:hint="eastAsia" w:ascii="仿宋" w:hAnsi="仿宋" w:eastAsia="仿宋" w:cs="仿宋"/>
          <w:color w:val="auto"/>
          <w:sz w:val="24"/>
          <w:highlight w:val="none"/>
        </w:rPr>
      </w:pPr>
    </w:p>
    <w:p w14:paraId="2191ED9B">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772949F7">
      <w:pPr>
        <w:shd w:val="clear"/>
        <w:wordWrap/>
        <w:topLinePunct w:val="0"/>
        <w:bidi w:val="0"/>
        <w:spacing w:line="360" w:lineRule="auto"/>
        <w:jc w:val="center"/>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06755F4">
      <w:pPr>
        <w:shd w:val="clear"/>
        <w:wordWrap/>
        <w:topLinePunct w:val="0"/>
        <w:bidi w:val="0"/>
        <w:snapToGrid w:val="0"/>
        <w:spacing w:line="360" w:lineRule="auto"/>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二、授权委托书或法定代表人（单位负责人、自然人本人）身份证明</w:t>
      </w:r>
    </w:p>
    <w:p w14:paraId="175BEB1F">
      <w:pPr>
        <w:shd w:val="clear"/>
        <w:wordWrap/>
        <w:topLinePunct w:val="0"/>
        <w:bidi w:val="0"/>
        <w:snapToGrid w:val="0"/>
        <w:spacing w:line="360" w:lineRule="auto"/>
        <w:rPr>
          <w:rFonts w:hint="eastAsia" w:ascii="仿宋" w:hAnsi="仿宋" w:eastAsia="仿宋" w:cs="仿宋"/>
          <w:color w:val="auto"/>
          <w:sz w:val="24"/>
          <w:highlight w:val="none"/>
        </w:rPr>
      </w:pPr>
    </w:p>
    <w:p w14:paraId="4793176B">
      <w:pPr>
        <w:shd w:val="clear"/>
        <w:wordWrap/>
        <w:topLinePunct w:val="0"/>
        <w:bidi w:val="0"/>
        <w:snapToGrid w:val="0"/>
        <w:spacing w:line="360" w:lineRule="auto"/>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授权委托书（适用于非联合体投标）</w:t>
      </w:r>
    </w:p>
    <w:p w14:paraId="2C2706CF">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浙江中合工程管理有限公司</w:t>
      </w:r>
      <w:r>
        <w:rPr>
          <w:rFonts w:hint="eastAsia" w:ascii="仿宋" w:hAnsi="仿宋" w:eastAsia="仿宋" w:cs="仿宋"/>
          <w:color w:val="auto"/>
          <w:kern w:val="0"/>
          <w:sz w:val="24"/>
          <w:highlight w:val="none"/>
          <w:lang w:val="zh-CN"/>
        </w:rPr>
        <w:t>：</w:t>
      </w:r>
    </w:p>
    <w:p w14:paraId="30F94DB5">
      <w:pPr>
        <w:shd w:val="clear"/>
        <w:wordWrap/>
        <w:topLinePunct w:val="0"/>
        <w:bidi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lang w:eastAsia="zh-CN"/>
        </w:rPr>
        <w:t>沙堤社区党群服务中心改造项目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QTCG-CS-2024-049</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370180C7">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2D38A412">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5C01F8E1">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369EDBA2">
      <w:pPr>
        <w:shd w:val="clear"/>
        <w:wordWrap/>
        <w:topLinePunct w:val="0"/>
        <w:bidi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B670CB0">
      <w:pPr>
        <w:shd w:val="clear"/>
        <w:wordWrap/>
        <w:topLinePunct w:val="0"/>
        <w:bidi w:val="0"/>
        <w:snapToGrid w:val="0"/>
        <w:spacing w:line="360" w:lineRule="auto"/>
        <w:rPr>
          <w:rFonts w:hint="eastAsia" w:ascii="仿宋" w:hAnsi="仿宋" w:eastAsia="仿宋" w:cs="仿宋"/>
          <w:color w:val="auto"/>
          <w:sz w:val="24"/>
          <w:highlight w:val="none"/>
        </w:rPr>
      </w:pPr>
    </w:p>
    <w:p w14:paraId="59BB9580">
      <w:pPr>
        <w:shd w:val="clear"/>
        <w:wordWrap/>
        <w:topLinePunct w:val="0"/>
        <w:bidi w:val="0"/>
        <w:snapToGrid w:val="0"/>
        <w:spacing w:line="360" w:lineRule="auto"/>
        <w:rPr>
          <w:rFonts w:hint="eastAsia" w:ascii="仿宋" w:hAnsi="仿宋" w:eastAsia="仿宋" w:cs="仿宋"/>
          <w:color w:val="auto"/>
          <w:sz w:val="24"/>
          <w:highlight w:val="none"/>
        </w:rPr>
      </w:pPr>
    </w:p>
    <w:p w14:paraId="2339BFCD">
      <w:pPr>
        <w:shd w:val="clear"/>
        <w:wordWrap/>
        <w:topLinePunct w:val="0"/>
        <w:bidi w:val="0"/>
        <w:snapToGrid w:val="0"/>
        <w:spacing w:line="360" w:lineRule="auto"/>
        <w:rPr>
          <w:rFonts w:hint="eastAsia" w:ascii="仿宋" w:hAnsi="仿宋" w:eastAsia="仿宋" w:cs="仿宋"/>
          <w:color w:val="auto"/>
          <w:sz w:val="24"/>
          <w:highlight w:val="none"/>
        </w:rPr>
      </w:pPr>
    </w:p>
    <w:p w14:paraId="4B268E1C">
      <w:pPr>
        <w:shd w:val="clear"/>
        <w:wordWrap/>
        <w:topLinePunct w:val="0"/>
        <w:bidi w:val="0"/>
        <w:snapToGrid w:val="0"/>
        <w:spacing w:line="360" w:lineRule="auto"/>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授权委托书（适用于联合体投标）</w:t>
      </w:r>
    </w:p>
    <w:p w14:paraId="343E1A3E">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浙江中合工程管理有限公司</w:t>
      </w:r>
      <w:r>
        <w:rPr>
          <w:rFonts w:hint="eastAsia" w:ascii="仿宋" w:hAnsi="仿宋" w:eastAsia="仿宋" w:cs="仿宋"/>
          <w:color w:val="auto"/>
          <w:kern w:val="0"/>
          <w:sz w:val="24"/>
          <w:highlight w:val="none"/>
          <w:lang w:val="zh-CN"/>
        </w:rPr>
        <w:t>：</w:t>
      </w:r>
    </w:p>
    <w:p w14:paraId="72EE8091">
      <w:pPr>
        <w:shd w:val="clear"/>
        <w:wordWrap/>
        <w:topLinePunct w:val="0"/>
        <w:bidi w:val="0"/>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lang w:eastAsia="zh-CN"/>
        </w:rPr>
        <w:t>沙堤社区党群服务中心改造项目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QTCG-CS-2024-049</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14:paraId="348B9CDD">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14:paraId="6A36754C">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05A9659D">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5C3562D9">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328CA5C8">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5DFD6695">
      <w:pPr>
        <w:shd w:val="clear"/>
        <w:wordWrap/>
        <w:topLinePunct w:val="0"/>
        <w:bidi w:val="0"/>
        <w:spacing w:line="360" w:lineRule="auto"/>
        <w:rPr>
          <w:rFonts w:hint="eastAsia" w:ascii="仿宋" w:hAnsi="仿宋" w:eastAsia="仿宋" w:cs="仿宋"/>
          <w:color w:val="auto"/>
          <w:highlight w:val="none"/>
        </w:rPr>
      </w:pPr>
    </w:p>
    <w:p w14:paraId="006EA9D3">
      <w:pPr>
        <w:shd w:val="clear"/>
        <w:wordWrap/>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6934C9E">
      <w:pPr>
        <w:shd w:val="clear"/>
        <w:wordWrap/>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E8C0EBB">
      <w:pPr>
        <w:shd w:val="clear"/>
        <w:wordWrap/>
        <w:topLinePunct w:val="0"/>
        <w:bidi w:val="0"/>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5ECE9EDC">
      <w:pPr>
        <w:shd w:val="clear"/>
        <w:wordWrap/>
        <w:topLinePunct w:val="0"/>
        <w:bidi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897D5D3">
      <w:pPr>
        <w:pStyle w:val="3"/>
        <w:shd w:val="clear"/>
        <w:wordWrap/>
        <w:topLinePunct w:val="0"/>
        <w:bidi w:val="0"/>
        <w:spacing w:line="360" w:lineRule="auto"/>
        <w:rPr>
          <w:rFonts w:hint="eastAsia" w:ascii="仿宋" w:hAnsi="仿宋" w:eastAsia="仿宋" w:cs="仿宋"/>
          <w:color w:val="auto"/>
          <w:highlight w:val="none"/>
        </w:rPr>
      </w:pPr>
    </w:p>
    <w:p w14:paraId="541165B8">
      <w:pPr>
        <w:shd w:val="clear"/>
        <w:wordWrap/>
        <w:topLinePunct w:val="0"/>
        <w:bidi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法定代表人、单位负责人或自然人本人</w:t>
      </w:r>
      <w:r>
        <w:rPr>
          <w:rFonts w:hint="eastAsia" w:ascii="仿宋" w:hAnsi="仿宋" w:eastAsia="仿宋" w:cs="仿宋"/>
          <w:b/>
          <w:bCs/>
          <w:color w:val="auto"/>
          <w:sz w:val="32"/>
          <w:szCs w:val="32"/>
          <w:highlight w:val="none"/>
        </w:rPr>
        <w:t>的身份证明（适用于法定代表人、单位负责人或者自然人本人代表供应商参加投标）</w:t>
      </w:r>
    </w:p>
    <w:p w14:paraId="77EFC81F">
      <w:pPr>
        <w:pStyle w:val="24"/>
        <w:shd w:val="clear"/>
        <w:wordWrap/>
        <w:topLinePunct w:val="0"/>
        <w:bidi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556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7E74E3">
            <w:pPr>
              <w:pStyle w:val="24"/>
              <w:shd w:val="clear"/>
              <w:wordWrap/>
              <w:topLinePunct w:val="0"/>
              <w:bidi w:val="0"/>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BEC605E">
            <w:pPr>
              <w:pStyle w:val="24"/>
              <w:shd w:val="clear"/>
              <w:wordWrap/>
              <w:topLinePunct w:val="0"/>
              <w:bidi w:val="0"/>
              <w:adjustRightInd w:val="0"/>
              <w:spacing w:line="360" w:lineRule="auto"/>
              <w:rPr>
                <w:rFonts w:hint="eastAsia" w:ascii="仿宋" w:hAnsi="仿宋" w:eastAsia="仿宋" w:cs="仿宋"/>
                <w:bCs/>
                <w:color w:val="auto"/>
                <w:sz w:val="24"/>
                <w:highlight w:val="none"/>
              </w:rPr>
            </w:pPr>
          </w:p>
        </w:tc>
      </w:tr>
    </w:tbl>
    <w:p w14:paraId="10BE9D65">
      <w:pPr>
        <w:shd w:val="clear"/>
        <w:wordWrap/>
        <w:topLinePunct w:val="0"/>
        <w:bidi w:val="0"/>
        <w:snapToGrid w:val="0"/>
        <w:spacing w:line="360" w:lineRule="auto"/>
        <w:ind w:firstLine="576"/>
        <w:jc w:val="center"/>
        <w:rPr>
          <w:rFonts w:hint="eastAsia" w:ascii="仿宋" w:hAnsi="仿宋" w:eastAsia="仿宋" w:cs="仿宋"/>
          <w:color w:val="auto"/>
          <w:kern w:val="0"/>
          <w:sz w:val="24"/>
          <w:highlight w:val="none"/>
          <w:lang w:val="zh-CN"/>
        </w:rPr>
      </w:pPr>
    </w:p>
    <w:p w14:paraId="5C5487FC">
      <w:pPr>
        <w:shd w:val="clear"/>
        <w:wordWrap/>
        <w:topLinePunct w:val="0"/>
        <w:bidi w:val="0"/>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                              </w:t>
      </w:r>
    </w:p>
    <w:p w14:paraId="5F76BC6A">
      <w:pPr>
        <w:shd w:val="clear"/>
        <w:wordWrap/>
        <w:topLinePunct w:val="0"/>
        <w:bidi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FFECD11">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2BDEA430">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1927DBA8">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7FF3FB7E">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3BB8CE27">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60A8EDCF">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6227B99E">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66417213">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072A9769">
      <w:pPr>
        <w:shd w:val="clear"/>
        <w:wordWrap/>
        <w:topLinePunct w:val="0"/>
        <w:bidi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三、分包意向协议</w:t>
      </w:r>
    </w:p>
    <w:p w14:paraId="65F9E785">
      <w:pPr>
        <w:widowControl/>
        <w:shd w:val="clear"/>
        <w:wordWrap/>
        <w:topLinePunct w:val="0"/>
        <w:bidi w:val="0"/>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color w:val="auto"/>
          <w:sz w:val="24"/>
          <w:highlight w:val="none"/>
        </w:rPr>
        <w:t>]</w:t>
      </w:r>
    </w:p>
    <w:p w14:paraId="593BDCF7">
      <w:pPr>
        <w:shd w:val="clear"/>
        <w:wordWrap/>
        <w:topLinePunct w:val="0"/>
        <w:bidi w:val="0"/>
        <w:snapToGrid w:val="0"/>
        <w:spacing w:line="360" w:lineRule="auto"/>
        <w:ind w:right="480"/>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369A8184">
      <w:pPr>
        <w:shd w:val="clear"/>
        <w:wordWrap/>
        <w:topLinePunct w:val="0"/>
        <w:bidi w:val="0"/>
        <w:snapToGrid w:val="0"/>
        <w:spacing w:line="360" w:lineRule="auto"/>
        <w:rPr>
          <w:rFonts w:hint="eastAsia" w:ascii="仿宋" w:hAnsi="仿宋" w:eastAsia="仿宋" w:cs="仿宋"/>
          <w:color w:val="auto"/>
          <w:kern w:val="0"/>
          <w:sz w:val="24"/>
          <w:highlight w:val="none"/>
        </w:rPr>
      </w:pPr>
    </w:p>
    <w:p w14:paraId="0BC37A7A">
      <w:pPr>
        <w:shd w:val="clear"/>
        <w:wordWrap/>
        <w:topLinePunct w:val="0"/>
        <w:bidi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四、符合性审查资料</w:t>
      </w:r>
    </w:p>
    <w:p w14:paraId="2371AEA6">
      <w:pPr>
        <w:shd w:val="clear"/>
        <w:wordWrap/>
        <w:topLinePunct w:val="0"/>
        <w:bidi w:val="0"/>
        <w:spacing w:line="360" w:lineRule="auto"/>
        <w:jc w:val="center"/>
        <w:rPr>
          <w:rFonts w:hint="eastAsia" w:ascii="仿宋" w:hAnsi="仿宋" w:eastAsia="仿宋" w:cs="仿宋"/>
          <w:b/>
          <w:color w:val="auto"/>
          <w:kern w:val="0"/>
          <w:sz w:val="32"/>
          <w:szCs w:val="32"/>
          <w:highlight w:val="none"/>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BA3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7B0CE2E">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4BDD4CC4">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2BD67D9">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2E50826C">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响应文件中的</w:t>
            </w:r>
          </w:p>
          <w:p w14:paraId="0C3B5884">
            <w:pPr>
              <w:shd w:val="clear"/>
              <w:wordWrap/>
              <w:topLinePunct w:val="0"/>
              <w:bidi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6F8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96C919">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592707C1">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响应文件按照采购文件要求签署、盖章。</w:t>
            </w:r>
          </w:p>
        </w:tc>
        <w:tc>
          <w:tcPr>
            <w:tcW w:w="2551" w:type="dxa"/>
            <w:vAlign w:val="center"/>
          </w:tcPr>
          <w:p w14:paraId="48333A4F">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需要使用电子签名或者签字盖章的响应文件的组成部分</w:t>
            </w:r>
          </w:p>
        </w:tc>
        <w:tc>
          <w:tcPr>
            <w:tcW w:w="1418" w:type="dxa"/>
            <w:vAlign w:val="center"/>
          </w:tcPr>
          <w:p w14:paraId="7B25FA62">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6CF92DAF">
            <w:pPr>
              <w:shd w:val="clea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14:paraId="15C9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BE86F9">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2562C286">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F667B47">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vAlign w:val="center"/>
          </w:tcPr>
          <w:p w14:paraId="0162D418">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见响应文件</w:t>
            </w:r>
          </w:p>
          <w:p w14:paraId="64E8F9AC">
            <w:pPr>
              <w:pStyle w:val="3"/>
              <w:shd w:val="clear"/>
              <w:wordWrap/>
              <w:topLinePunct w:val="0"/>
              <w:bidi w:val="0"/>
              <w:spacing w:line="360" w:lineRule="auto"/>
              <w:jc w:val="both"/>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第页</w:t>
            </w:r>
          </w:p>
        </w:tc>
      </w:tr>
      <w:tr w14:paraId="3F45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628133">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56800D89">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响应文件中承诺的响应文件有效期不少于采购文件中载明的响应文件有效期。</w:t>
            </w:r>
          </w:p>
        </w:tc>
        <w:tc>
          <w:tcPr>
            <w:tcW w:w="2551" w:type="dxa"/>
            <w:vAlign w:val="center"/>
          </w:tcPr>
          <w:p w14:paraId="3FFDEFD5">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响应函</w:t>
            </w:r>
          </w:p>
        </w:tc>
        <w:tc>
          <w:tcPr>
            <w:tcW w:w="1418" w:type="dxa"/>
            <w:vAlign w:val="center"/>
          </w:tcPr>
          <w:p w14:paraId="6E3FF190">
            <w:pPr>
              <w:shd w:val="clea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r w14:paraId="30E6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2B7E16">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vAlign w:val="center"/>
          </w:tcPr>
          <w:p w14:paraId="0D19FD91">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响应文件满足采购文件的其它实质性要求。</w:t>
            </w:r>
          </w:p>
        </w:tc>
        <w:tc>
          <w:tcPr>
            <w:tcW w:w="2551" w:type="dxa"/>
            <w:vAlign w:val="center"/>
          </w:tcPr>
          <w:p w14:paraId="47686D97">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采购文件其它实质性要求相应的材料（“▲” 系指实质性要求条款，采购文件无其它实质性要求的，无需提供）</w:t>
            </w:r>
          </w:p>
        </w:tc>
        <w:tc>
          <w:tcPr>
            <w:tcW w:w="1418" w:type="dxa"/>
            <w:vAlign w:val="center"/>
          </w:tcPr>
          <w:p w14:paraId="7FB81BB3">
            <w:pPr>
              <w:shd w:val="clear"/>
              <w:wordWrap/>
              <w:topLinePunct w:val="0"/>
              <w:bidi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见响应文件第页</w:t>
            </w:r>
          </w:p>
        </w:tc>
      </w:tr>
    </w:tbl>
    <w:p w14:paraId="205255FD">
      <w:pPr>
        <w:shd w:val="clear"/>
        <w:wordWrap/>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28B3EAD">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3209E6D3">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4DDBEBF1">
      <w:pPr>
        <w:shd w:val="clear"/>
        <w:wordWrap/>
        <w:topLinePunct w:val="0"/>
        <w:bidi w:val="0"/>
        <w:spacing w:line="360" w:lineRule="auto"/>
        <w:jc w:val="both"/>
        <w:rPr>
          <w:rFonts w:hint="eastAsia" w:ascii="仿宋" w:hAnsi="仿宋" w:eastAsia="仿宋" w:cs="仿宋"/>
          <w:b/>
          <w:color w:val="auto"/>
          <w:kern w:val="0"/>
          <w:sz w:val="32"/>
          <w:szCs w:val="32"/>
          <w:highlight w:val="none"/>
        </w:rPr>
      </w:pPr>
    </w:p>
    <w:p w14:paraId="43B3D811">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1CE6272E">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2A3E63E8">
      <w:pPr>
        <w:shd w:val="clear"/>
        <w:wordWrap/>
        <w:topLinePunct w:val="0"/>
        <w:bidi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五、评审标准相应的商务技术资料</w:t>
      </w:r>
    </w:p>
    <w:p w14:paraId="07D68B24">
      <w:pPr>
        <w:wordWrap/>
        <w:topLinePunct w:val="0"/>
        <w:autoSpaceDE w:val="0"/>
        <w:autoSpaceDN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（按采购文件第四部分评审办法前附表中“响应文件中评审标准相应的商务技术资料目录”提供资料。）</w:t>
      </w:r>
    </w:p>
    <w:p w14:paraId="428E1BAD">
      <w:pPr>
        <w:wordWrap/>
        <w:topLinePunct w:val="0"/>
        <w:autoSpaceDE w:val="0"/>
        <w:autoSpaceDN w:val="0"/>
        <w:bidi w:val="0"/>
        <w:spacing w:line="360" w:lineRule="auto"/>
        <w:jc w:val="center"/>
        <w:rPr>
          <w:rFonts w:hint="eastAsia" w:ascii="仿宋" w:hAnsi="仿宋" w:eastAsia="仿宋" w:cs="仿宋"/>
          <w:b/>
          <w:bCs/>
          <w:color w:val="auto"/>
          <w:kern w:val="0"/>
          <w:sz w:val="24"/>
          <w:szCs w:val="28"/>
          <w:highlight w:val="none"/>
        </w:rPr>
      </w:pPr>
      <w:r>
        <w:rPr>
          <w:rFonts w:hint="eastAsia" w:ascii="仿宋" w:hAnsi="仿宋" w:eastAsia="仿宋" w:cs="仿宋"/>
          <w:b/>
          <w:bCs/>
          <w:color w:val="auto"/>
          <w:kern w:val="0"/>
          <w:sz w:val="24"/>
          <w:szCs w:val="28"/>
          <w:highlight w:val="none"/>
        </w:rPr>
        <w:t>拟投入</w:t>
      </w:r>
      <w:r>
        <w:rPr>
          <w:rFonts w:hint="eastAsia" w:ascii="仿宋" w:hAnsi="仿宋" w:eastAsia="仿宋" w:cs="仿宋"/>
          <w:b/>
          <w:bCs/>
          <w:color w:val="auto"/>
          <w:kern w:val="0"/>
          <w:sz w:val="24"/>
          <w:szCs w:val="28"/>
          <w:highlight w:val="none"/>
          <w:lang w:eastAsia="zh-CN"/>
        </w:rPr>
        <w:t>项目组人员</w:t>
      </w:r>
      <w:r>
        <w:rPr>
          <w:rFonts w:hint="eastAsia" w:ascii="仿宋" w:hAnsi="仿宋" w:eastAsia="仿宋" w:cs="仿宋"/>
          <w:b/>
          <w:bCs/>
          <w:color w:val="auto"/>
          <w:kern w:val="0"/>
          <w:sz w:val="24"/>
          <w:szCs w:val="28"/>
          <w:highlight w:val="none"/>
        </w:rPr>
        <w:t>汇总表</w:t>
      </w:r>
    </w:p>
    <w:tbl>
      <w:tblPr>
        <w:tblStyle w:val="16"/>
        <w:tblW w:w="0" w:type="auto"/>
        <w:tblInd w:w="0" w:type="dxa"/>
        <w:tblLayout w:type="fixed"/>
        <w:tblCellMar>
          <w:top w:w="0" w:type="dxa"/>
          <w:left w:w="0" w:type="dxa"/>
          <w:bottom w:w="0" w:type="dxa"/>
          <w:right w:w="0" w:type="dxa"/>
        </w:tblCellMar>
      </w:tblPr>
      <w:tblGrid>
        <w:gridCol w:w="568"/>
        <w:gridCol w:w="1262"/>
        <w:gridCol w:w="900"/>
        <w:gridCol w:w="650"/>
        <w:gridCol w:w="575"/>
        <w:gridCol w:w="1425"/>
        <w:gridCol w:w="950"/>
        <w:gridCol w:w="875"/>
        <w:gridCol w:w="1600"/>
      </w:tblGrid>
      <w:tr w14:paraId="1285ED9C">
        <w:tblPrEx>
          <w:tblCellMar>
            <w:top w:w="0" w:type="dxa"/>
            <w:left w:w="0" w:type="dxa"/>
            <w:bottom w:w="0" w:type="dxa"/>
            <w:right w:w="0" w:type="dxa"/>
          </w:tblCellMar>
        </w:tblPrEx>
        <w:trPr>
          <w:trHeight w:val="449" w:hRule="exact"/>
        </w:trPr>
        <w:tc>
          <w:tcPr>
            <w:tcW w:w="568" w:type="dxa"/>
            <w:vMerge w:val="restart"/>
            <w:tcBorders>
              <w:top w:val="single" w:color="000000" w:sz="4" w:space="0"/>
              <w:left w:val="single" w:color="000000" w:sz="4" w:space="0"/>
              <w:bottom w:val="single" w:color="000000" w:sz="4" w:space="0"/>
              <w:right w:val="single" w:color="000000" w:sz="4" w:space="0"/>
            </w:tcBorders>
            <w:noWrap w:val="0"/>
            <w:vAlign w:val="top"/>
          </w:tcPr>
          <w:p w14:paraId="3D431771">
            <w:pPr>
              <w:widowControl w:val="0"/>
              <w:kinsoku w:val="0"/>
              <w:wordWrap/>
              <w:overflowPunct w:val="0"/>
              <w:topLinePunct w:val="0"/>
              <w:autoSpaceDE w:val="0"/>
              <w:autoSpaceDN w:val="0"/>
              <w:bidi w:val="0"/>
              <w:adjustRightInd w:val="0"/>
              <w:spacing w:before="4" w:line="360" w:lineRule="auto"/>
              <w:rPr>
                <w:rFonts w:hint="eastAsia" w:ascii="仿宋" w:hAnsi="仿宋" w:eastAsia="仿宋" w:cs="仿宋"/>
                <w:color w:val="auto"/>
                <w:sz w:val="21"/>
                <w:szCs w:val="21"/>
                <w:highlight w:val="none"/>
                <w:lang w:val="en-US" w:eastAsia="zh-CN" w:bidi="ar-SA"/>
              </w:rPr>
            </w:pPr>
          </w:p>
          <w:p w14:paraId="0086905D">
            <w:pPr>
              <w:widowControl w:val="0"/>
              <w:kinsoku w:val="0"/>
              <w:wordWrap/>
              <w:overflowPunct w:val="0"/>
              <w:topLinePunct w:val="0"/>
              <w:autoSpaceDE w:val="0"/>
              <w:autoSpaceDN w:val="0"/>
              <w:bidi w:val="0"/>
              <w:adjustRightInd w:val="0"/>
              <w:spacing w:line="360" w:lineRule="auto"/>
              <w:ind w:left="191"/>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序号</w:t>
            </w:r>
          </w:p>
        </w:tc>
        <w:tc>
          <w:tcPr>
            <w:tcW w:w="1262" w:type="dxa"/>
            <w:vMerge w:val="restart"/>
            <w:tcBorders>
              <w:top w:val="single" w:color="000000" w:sz="4" w:space="0"/>
              <w:left w:val="single" w:color="000000" w:sz="4" w:space="0"/>
              <w:bottom w:val="single" w:color="000000" w:sz="4" w:space="0"/>
              <w:right w:val="single" w:color="000000" w:sz="4" w:space="0"/>
            </w:tcBorders>
            <w:noWrap w:val="0"/>
            <w:vAlign w:val="top"/>
          </w:tcPr>
          <w:p w14:paraId="71554719">
            <w:pPr>
              <w:widowControl w:val="0"/>
              <w:kinsoku w:val="0"/>
              <w:wordWrap/>
              <w:overflowPunct w:val="0"/>
              <w:topLinePunct w:val="0"/>
              <w:autoSpaceDE w:val="0"/>
              <w:autoSpaceDN w:val="0"/>
              <w:bidi w:val="0"/>
              <w:adjustRightInd w:val="0"/>
              <w:spacing w:before="4" w:line="360" w:lineRule="auto"/>
              <w:rPr>
                <w:rFonts w:hint="eastAsia" w:ascii="仿宋" w:hAnsi="仿宋" w:eastAsia="仿宋" w:cs="仿宋"/>
                <w:color w:val="auto"/>
                <w:sz w:val="21"/>
                <w:szCs w:val="21"/>
                <w:highlight w:val="none"/>
                <w:lang w:val="en-US" w:eastAsia="zh-CN" w:bidi="ar-SA"/>
              </w:rPr>
            </w:pPr>
          </w:p>
          <w:p w14:paraId="4A45755B">
            <w:pPr>
              <w:widowControl w:val="0"/>
              <w:kinsoku w:val="0"/>
              <w:wordWrap/>
              <w:overflowPunct w:val="0"/>
              <w:topLinePunct w:val="0"/>
              <w:autoSpaceDE w:val="0"/>
              <w:autoSpaceDN w:val="0"/>
              <w:bidi w:val="0"/>
              <w:adjustRightInd w:val="0"/>
              <w:spacing w:line="360" w:lineRule="auto"/>
              <w:ind w:left="105"/>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本项目任职</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top"/>
          </w:tcPr>
          <w:p w14:paraId="5EA765A9">
            <w:pPr>
              <w:widowControl w:val="0"/>
              <w:kinsoku w:val="0"/>
              <w:wordWrap/>
              <w:overflowPunct w:val="0"/>
              <w:topLinePunct w:val="0"/>
              <w:autoSpaceDE w:val="0"/>
              <w:autoSpaceDN w:val="0"/>
              <w:bidi w:val="0"/>
              <w:adjustRightInd w:val="0"/>
              <w:spacing w:before="4" w:line="360" w:lineRule="auto"/>
              <w:rPr>
                <w:rFonts w:hint="eastAsia" w:ascii="仿宋" w:hAnsi="仿宋" w:eastAsia="仿宋" w:cs="仿宋"/>
                <w:color w:val="auto"/>
                <w:sz w:val="21"/>
                <w:szCs w:val="21"/>
                <w:highlight w:val="none"/>
                <w:lang w:val="en-US" w:eastAsia="zh-CN" w:bidi="ar-SA"/>
              </w:rPr>
            </w:pPr>
          </w:p>
          <w:p w14:paraId="68A1D003">
            <w:pPr>
              <w:widowControl w:val="0"/>
              <w:kinsoku w:val="0"/>
              <w:wordWrap/>
              <w:overflowPunct w:val="0"/>
              <w:topLinePunct w:val="0"/>
              <w:autoSpaceDE w:val="0"/>
              <w:autoSpaceDN w:val="0"/>
              <w:bidi w:val="0"/>
              <w:adjustRightInd w:val="0"/>
              <w:spacing w:line="360" w:lineRule="auto"/>
              <w:ind w:left="280"/>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姓名</w:t>
            </w:r>
          </w:p>
        </w:tc>
        <w:tc>
          <w:tcPr>
            <w:tcW w:w="650" w:type="dxa"/>
            <w:vMerge w:val="restart"/>
            <w:tcBorders>
              <w:top w:val="single" w:color="000000" w:sz="4" w:space="0"/>
              <w:left w:val="single" w:color="000000" w:sz="4" w:space="0"/>
              <w:bottom w:val="single" w:color="000000" w:sz="4" w:space="0"/>
              <w:right w:val="single" w:color="000000" w:sz="4" w:space="0"/>
            </w:tcBorders>
            <w:noWrap w:val="0"/>
            <w:vAlign w:val="top"/>
          </w:tcPr>
          <w:p w14:paraId="446DE40D">
            <w:pPr>
              <w:widowControl w:val="0"/>
              <w:kinsoku w:val="0"/>
              <w:wordWrap/>
              <w:overflowPunct w:val="0"/>
              <w:topLinePunct w:val="0"/>
              <w:autoSpaceDE w:val="0"/>
              <w:autoSpaceDN w:val="0"/>
              <w:bidi w:val="0"/>
              <w:adjustRightInd w:val="0"/>
              <w:spacing w:before="5" w:line="360" w:lineRule="auto"/>
              <w:ind w:left="189" w:right="192"/>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职 称</w:t>
            </w:r>
          </w:p>
        </w:tc>
        <w:tc>
          <w:tcPr>
            <w:tcW w:w="575" w:type="dxa"/>
            <w:vMerge w:val="restart"/>
            <w:tcBorders>
              <w:top w:val="single" w:color="000000" w:sz="4" w:space="0"/>
              <w:left w:val="single" w:color="000000" w:sz="4" w:space="0"/>
              <w:bottom w:val="single" w:color="000000" w:sz="4" w:space="0"/>
              <w:right w:val="single" w:color="000000" w:sz="4" w:space="0"/>
            </w:tcBorders>
            <w:noWrap w:val="0"/>
            <w:vAlign w:val="top"/>
          </w:tcPr>
          <w:p w14:paraId="190ED479">
            <w:pPr>
              <w:widowControl w:val="0"/>
              <w:kinsoku w:val="0"/>
              <w:wordWrap/>
              <w:overflowPunct w:val="0"/>
              <w:topLinePunct w:val="0"/>
              <w:autoSpaceDE w:val="0"/>
              <w:autoSpaceDN w:val="0"/>
              <w:bidi w:val="0"/>
              <w:adjustRightInd w:val="0"/>
              <w:spacing w:before="5" w:line="360" w:lineRule="auto"/>
              <w:ind w:left="131" w:right="132"/>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专 业</w:t>
            </w:r>
          </w:p>
        </w:tc>
        <w:tc>
          <w:tcPr>
            <w:tcW w:w="3250" w:type="dxa"/>
            <w:gridSpan w:val="3"/>
            <w:tcBorders>
              <w:top w:val="single" w:color="000000" w:sz="4" w:space="0"/>
              <w:left w:val="single" w:color="000000" w:sz="4" w:space="0"/>
              <w:bottom w:val="single" w:color="000000" w:sz="4" w:space="0"/>
              <w:right w:val="single" w:color="000000" w:sz="4" w:space="0"/>
            </w:tcBorders>
            <w:noWrap w:val="0"/>
            <w:vAlign w:val="top"/>
          </w:tcPr>
          <w:p w14:paraId="0A2671D5">
            <w:pPr>
              <w:widowControl w:val="0"/>
              <w:kinsoku w:val="0"/>
              <w:wordWrap/>
              <w:overflowPunct w:val="0"/>
              <w:topLinePunct w:val="0"/>
              <w:autoSpaceDE w:val="0"/>
              <w:autoSpaceDN w:val="0"/>
              <w:bidi w:val="0"/>
              <w:adjustRightInd w:val="0"/>
              <w:spacing w:before="107" w:line="360" w:lineRule="auto"/>
              <w:ind w:left="405"/>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执业或职业资格证明</w:t>
            </w:r>
          </w:p>
        </w:tc>
        <w:tc>
          <w:tcPr>
            <w:tcW w:w="1600" w:type="dxa"/>
            <w:vMerge w:val="restart"/>
            <w:tcBorders>
              <w:top w:val="single" w:color="000000" w:sz="4" w:space="0"/>
              <w:left w:val="single" w:color="000000" w:sz="4" w:space="0"/>
              <w:right w:val="single" w:color="000000" w:sz="4" w:space="0"/>
            </w:tcBorders>
            <w:noWrap w:val="0"/>
            <w:vAlign w:val="top"/>
          </w:tcPr>
          <w:p w14:paraId="66B2869D">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身份证号码</w:t>
            </w:r>
          </w:p>
        </w:tc>
      </w:tr>
      <w:tr w14:paraId="3E4EE9D2">
        <w:tblPrEx>
          <w:tblCellMar>
            <w:top w:w="0" w:type="dxa"/>
            <w:left w:w="0" w:type="dxa"/>
            <w:bottom w:w="0" w:type="dxa"/>
            <w:right w:w="0" w:type="dxa"/>
          </w:tblCellMar>
        </w:tblPrEx>
        <w:trPr>
          <w:trHeight w:val="451" w:hRule="exact"/>
        </w:trPr>
        <w:tc>
          <w:tcPr>
            <w:tcW w:w="568" w:type="dxa"/>
            <w:vMerge w:val="continue"/>
            <w:tcBorders>
              <w:top w:val="single" w:color="000000" w:sz="4" w:space="0"/>
              <w:left w:val="single" w:color="000000" w:sz="4" w:space="0"/>
              <w:bottom w:val="single" w:color="000000" w:sz="4" w:space="0"/>
              <w:right w:val="single" w:color="000000" w:sz="4" w:space="0"/>
            </w:tcBorders>
            <w:noWrap w:val="0"/>
            <w:vAlign w:val="top"/>
          </w:tcPr>
          <w:p w14:paraId="0A39971E">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auto"/>
                <w:sz w:val="21"/>
                <w:szCs w:val="21"/>
                <w:highlight w:val="none"/>
                <w:lang w:val="en-US" w:eastAsia="zh-CN" w:bidi="ar-SA"/>
              </w:rPr>
            </w:pPr>
          </w:p>
        </w:tc>
        <w:tc>
          <w:tcPr>
            <w:tcW w:w="1262" w:type="dxa"/>
            <w:vMerge w:val="continue"/>
            <w:tcBorders>
              <w:top w:val="single" w:color="000000" w:sz="4" w:space="0"/>
              <w:left w:val="single" w:color="000000" w:sz="4" w:space="0"/>
              <w:bottom w:val="single" w:color="000000" w:sz="4" w:space="0"/>
              <w:right w:val="single" w:color="000000" w:sz="4" w:space="0"/>
            </w:tcBorders>
            <w:noWrap w:val="0"/>
            <w:vAlign w:val="top"/>
          </w:tcPr>
          <w:p w14:paraId="0C580960">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auto"/>
                <w:sz w:val="21"/>
                <w:szCs w:val="21"/>
                <w:highlight w:val="none"/>
                <w:lang w:val="en-US" w:eastAsia="zh-CN" w:bidi="ar-SA"/>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top"/>
          </w:tcPr>
          <w:p w14:paraId="270CEF2A">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auto"/>
                <w:sz w:val="21"/>
                <w:szCs w:val="21"/>
                <w:highlight w:val="none"/>
                <w:lang w:val="en-US" w:eastAsia="zh-CN" w:bidi="ar-SA"/>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vAlign w:val="top"/>
          </w:tcPr>
          <w:p w14:paraId="3A5D77AD">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auto"/>
                <w:sz w:val="21"/>
                <w:szCs w:val="21"/>
                <w:highlight w:val="none"/>
                <w:lang w:val="en-US" w:eastAsia="zh-CN" w:bidi="ar-SA"/>
              </w:rPr>
            </w:pPr>
          </w:p>
        </w:tc>
        <w:tc>
          <w:tcPr>
            <w:tcW w:w="575" w:type="dxa"/>
            <w:vMerge w:val="continue"/>
            <w:tcBorders>
              <w:top w:val="single" w:color="000000" w:sz="4" w:space="0"/>
              <w:left w:val="single" w:color="000000" w:sz="4" w:space="0"/>
              <w:bottom w:val="single" w:color="000000" w:sz="4" w:space="0"/>
              <w:right w:val="single" w:color="000000" w:sz="4" w:space="0"/>
            </w:tcBorders>
            <w:noWrap w:val="0"/>
            <w:vAlign w:val="top"/>
          </w:tcPr>
          <w:p w14:paraId="602D24FB">
            <w:pPr>
              <w:widowControl w:val="0"/>
              <w:kinsoku w:val="0"/>
              <w:wordWrap/>
              <w:overflowPunct w:val="0"/>
              <w:topLinePunct w:val="0"/>
              <w:autoSpaceDE w:val="0"/>
              <w:autoSpaceDN w:val="0"/>
              <w:bidi w:val="0"/>
              <w:adjustRightInd w:val="0"/>
              <w:spacing w:before="107" w:line="360" w:lineRule="auto"/>
              <w:ind w:left="350"/>
              <w:rPr>
                <w:rFonts w:hint="eastAsia" w:ascii="仿宋" w:hAnsi="仿宋" w:eastAsia="仿宋" w:cs="仿宋"/>
                <w:color w:val="auto"/>
                <w:sz w:val="21"/>
                <w:szCs w:val="21"/>
                <w:highlight w:val="none"/>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7EC4C9D8">
            <w:pPr>
              <w:widowControl w:val="0"/>
              <w:kinsoku w:val="0"/>
              <w:wordWrap/>
              <w:overflowPunct w:val="0"/>
              <w:topLinePunct w:val="0"/>
              <w:autoSpaceDE w:val="0"/>
              <w:autoSpaceDN w:val="0"/>
              <w:bidi w:val="0"/>
              <w:adjustRightInd w:val="0"/>
              <w:spacing w:before="107" w:line="360" w:lineRule="auto"/>
              <w:ind w:left="141"/>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证书名称</w:t>
            </w: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0CC31CA6">
            <w:pPr>
              <w:widowControl w:val="0"/>
              <w:kinsoku w:val="0"/>
              <w:wordWrap/>
              <w:overflowPunct w:val="0"/>
              <w:topLinePunct w:val="0"/>
              <w:autoSpaceDE w:val="0"/>
              <w:autoSpaceDN w:val="0"/>
              <w:bidi w:val="0"/>
              <w:adjustRightInd w:val="0"/>
              <w:spacing w:before="107" w:line="360" w:lineRule="auto"/>
              <w:ind w:left="139"/>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级别</w:t>
            </w: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3A7D1B95">
            <w:pPr>
              <w:widowControl w:val="0"/>
              <w:kinsoku w:val="0"/>
              <w:wordWrap/>
              <w:overflowPunct w:val="0"/>
              <w:topLinePunct w:val="0"/>
              <w:autoSpaceDE w:val="0"/>
              <w:autoSpaceDN w:val="0"/>
              <w:bidi w:val="0"/>
              <w:adjustRightInd w:val="0"/>
              <w:spacing w:before="107" w:line="360" w:lineRule="auto"/>
              <w:ind w:left="220"/>
              <w:rPr>
                <w:rFonts w:hint="eastAsia" w:ascii="仿宋" w:hAnsi="仿宋" w:eastAsia="仿宋" w:cs="仿宋"/>
                <w:color w:val="auto"/>
                <w:sz w:val="21"/>
                <w:szCs w:val="21"/>
                <w:highlight w:val="none"/>
                <w:lang w:val="en-US" w:eastAsia="zh-CN" w:bidi="ar-SA"/>
              </w:rPr>
            </w:pPr>
            <w:r>
              <w:rPr>
                <w:rFonts w:hint="eastAsia" w:ascii="仿宋" w:hAnsi="仿宋" w:eastAsia="仿宋" w:cs="仿宋"/>
                <w:color w:val="auto"/>
                <w:sz w:val="21"/>
                <w:szCs w:val="21"/>
                <w:highlight w:val="none"/>
                <w:lang w:val="en-US" w:eastAsia="zh-CN" w:bidi="ar-SA"/>
              </w:rPr>
              <w:t>证号</w:t>
            </w:r>
          </w:p>
        </w:tc>
        <w:tc>
          <w:tcPr>
            <w:tcW w:w="1600" w:type="dxa"/>
            <w:vMerge w:val="continue"/>
            <w:tcBorders>
              <w:left w:val="single" w:color="000000" w:sz="4" w:space="0"/>
              <w:bottom w:val="single" w:color="000000" w:sz="4" w:space="0"/>
              <w:right w:val="single" w:color="000000" w:sz="4" w:space="0"/>
            </w:tcBorders>
            <w:noWrap w:val="0"/>
            <w:vAlign w:val="top"/>
          </w:tcPr>
          <w:p w14:paraId="14F4C29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32909F0B">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7A9002E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4E505DC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EF455B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54365B9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723BF890">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307CDA0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01DE075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708ED8B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2086EAC0">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4E5269AE">
        <w:tblPrEx>
          <w:tblCellMar>
            <w:top w:w="0" w:type="dxa"/>
            <w:left w:w="0" w:type="dxa"/>
            <w:bottom w:w="0" w:type="dxa"/>
            <w:right w:w="0" w:type="dxa"/>
          </w:tblCellMar>
        </w:tblPrEx>
        <w:trPr>
          <w:trHeight w:val="452"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2DB855E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61C38DF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1B29E0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299455A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1039A26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570813F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1CFDA6B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3667860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2D60572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2A51781E">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38EA1BE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17847F5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611025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2927F1F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4EE924D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518CA70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4D4D4E3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25DF9E6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5052E04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743D5208">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7A97B69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7535EFA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4BBCC3A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1A18A90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1C5E961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5034F21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56B8A41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72645080">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39F47B1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45B9826D">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0504C8B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492D6B3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CDA6AD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673900B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27A6DDE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5B9F348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7042D81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6F43FF6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6EED90C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6D6EE77C">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13FD6180">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52D62F6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4E64C54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452285F8">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21D2ED4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0ADE648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17E56CD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0A22548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45B6C79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474CCBFF">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6EB0656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2B9C39E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32DB3D3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6AA09C50">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37885520">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59B07E5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65EC3C9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3F2D962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6B5DDD60">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575C5183">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20A8DA6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621ABB1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671A03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2DC2F12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2D139848">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08D12AB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1152469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1D9BD15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1BD6C80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7BCFB044">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57A0293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7EAAA7B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3DCC31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38B9436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49005CB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4B5F092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19EA6C1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5BFCDCB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61195E3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6AFD35A7">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1D54457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4B95178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3684140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6FBA4728">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2AB836E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041A602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177FD0F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6D60B1F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21C0991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3408F1C1">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35474F4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33B7603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327A940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3CEB9E4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55B2F55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01D352E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77CE221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38604AE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7E7DA56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6A8258E3">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6435E4B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538AA7F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239A9DB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72E4E73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2151C89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53FBF90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62E6396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1A7127B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6697CB7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2B9445B0">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2035332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33505F1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4381178">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5C8843C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0E1E186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6CA2871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520FA5A0">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62D6B8A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01C86B4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2F6B95F0">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3ED0E8B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35CC2ED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6E610FC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7B97A11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76E3B50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11F54378">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68A2B49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615BE4A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4E78137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4D6D7EBA">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7FD5D84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248AAD9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4BE408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7DC1253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098FE2D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41F4218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61B62E20">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6DABBBC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41BF5CD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2F9E014E">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6E8D671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61A67B4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4DBE68D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3263ED5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3231779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7B3669F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7F86373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0744031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5AF1E92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5DC0D8CF">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33D7EA3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0EB9ECF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5E5D356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6B3F1D4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398A86A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634B00E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7D60D750">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2DE93F9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7DACCCA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67273DBA">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7B6D41C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10CD41F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7AA148E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1299B9D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015A930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57FCA11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16E0D82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35C52EB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0689B05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367BD0BC">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1F1F60D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68A6A4F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0A20486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60CD3459">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7DF02F3B">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5707B024">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3FBF63D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3598DA30">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1260FE8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4F24F08A">
        <w:tblPrEx>
          <w:tblCellMar>
            <w:top w:w="0" w:type="dxa"/>
            <w:left w:w="0" w:type="dxa"/>
            <w:bottom w:w="0" w:type="dxa"/>
            <w:right w:w="0" w:type="dxa"/>
          </w:tblCellMar>
        </w:tblPrEx>
        <w:trPr>
          <w:trHeight w:val="451"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044B4D7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6B4A7FB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1AE372B6">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0C279D2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2E83BF5C">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69242583">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37A3596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6B5F283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283AA44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r w14:paraId="6EEC1044">
        <w:tblPrEx>
          <w:tblCellMar>
            <w:top w:w="0" w:type="dxa"/>
            <w:left w:w="0" w:type="dxa"/>
            <w:bottom w:w="0" w:type="dxa"/>
            <w:right w:w="0" w:type="dxa"/>
          </w:tblCellMar>
        </w:tblPrEx>
        <w:trPr>
          <w:trHeight w:val="449" w:hRule="exact"/>
        </w:trPr>
        <w:tc>
          <w:tcPr>
            <w:tcW w:w="568" w:type="dxa"/>
            <w:tcBorders>
              <w:top w:val="single" w:color="000000" w:sz="4" w:space="0"/>
              <w:left w:val="single" w:color="000000" w:sz="4" w:space="0"/>
              <w:bottom w:val="single" w:color="000000" w:sz="4" w:space="0"/>
              <w:right w:val="single" w:color="000000" w:sz="4" w:space="0"/>
            </w:tcBorders>
            <w:noWrap w:val="0"/>
            <w:vAlign w:val="top"/>
          </w:tcPr>
          <w:p w14:paraId="27E5D67D">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top"/>
          </w:tcPr>
          <w:p w14:paraId="3D8AF2E7">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00" w:type="dxa"/>
            <w:tcBorders>
              <w:top w:val="single" w:color="000000" w:sz="4" w:space="0"/>
              <w:left w:val="single" w:color="000000" w:sz="4" w:space="0"/>
              <w:bottom w:val="single" w:color="000000" w:sz="4" w:space="0"/>
              <w:right w:val="single" w:color="000000" w:sz="4" w:space="0"/>
            </w:tcBorders>
            <w:noWrap w:val="0"/>
            <w:vAlign w:val="top"/>
          </w:tcPr>
          <w:p w14:paraId="444987EF">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14:paraId="7AA6C67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575" w:type="dxa"/>
            <w:tcBorders>
              <w:top w:val="single" w:color="000000" w:sz="4" w:space="0"/>
              <w:left w:val="single" w:color="000000" w:sz="4" w:space="0"/>
              <w:bottom w:val="single" w:color="000000" w:sz="4" w:space="0"/>
              <w:right w:val="single" w:color="000000" w:sz="4" w:space="0"/>
            </w:tcBorders>
            <w:noWrap w:val="0"/>
            <w:vAlign w:val="top"/>
          </w:tcPr>
          <w:p w14:paraId="1627CFDA">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top"/>
          </w:tcPr>
          <w:p w14:paraId="1B153322">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950" w:type="dxa"/>
            <w:tcBorders>
              <w:top w:val="single" w:color="000000" w:sz="4" w:space="0"/>
              <w:left w:val="single" w:color="000000" w:sz="4" w:space="0"/>
              <w:bottom w:val="single" w:color="000000" w:sz="4" w:space="0"/>
              <w:right w:val="single" w:color="000000" w:sz="4" w:space="0"/>
            </w:tcBorders>
            <w:noWrap w:val="0"/>
            <w:vAlign w:val="top"/>
          </w:tcPr>
          <w:p w14:paraId="1CCD2031">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875" w:type="dxa"/>
            <w:tcBorders>
              <w:top w:val="single" w:color="000000" w:sz="4" w:space="0"/>
              <w:left w:val="single" w:color="000000" w:sz="4" w:space="0"/>
              <w:bottom w:val="single" w:color="000000" w:sz="4" w:space="0"/>
              <w:right w:val="single" w:color="000000" w:sz="4" w:space="0"/>
            </w:tcBorders>
            <w:noWrap w:val="0"/>
            <w:vAlign w:val="top"/>
          </w:tcPr>
          <w:p w14:paraId="12E9C4C5">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c>
          <w:tcPr>
            <w:tcW w:w="1600" w:type="dxa"/>
            <w:tcBorders>
              <w:top w:val="single" w:color="000000" w:sz="4" w:space="0"/>
              <w:left w:val="single" w:color="000000" w:sz="4" w:space="0"/>
              <w:bottom w:val="single" w:color="000000" w:sz="4" w:space="0"/>
              <w:right w:val="single" w:color="000000" w:sz="4" w:space="0"/>
            </w:tcBorders>
            <w:noWrap w:val="0"/>
            <w:vAlign w:val="top"/>
          </w:tcPr>
          <w:p w14:paraId="4238B38E">
            <w:pPr>
              <w:wordWrap/>
              <w:topLinePunct w:val="0"/>
              <w:autoSpaceDE w:val="0"/>
              <w:autoSpaceDN w:val="0"/>
              <w:bidi w:val="0"/>
              <w:spacing w:line="360" w:lineRule="auto"/>
              <w:jc w:val="left"/>
              <w:rPr>
                <w:rFonts w:hint="eastAsia" w:ascii="仿宋" w:hAnsi="仿宋" w:eastAsia="仿宋" w:cs="仿宋"/>
                <w:color w:val="auto"/>
                <w:kern w:val="0"/>
                <w:sz w:val="21"/>
                <w:szCs w:val="21"/>
                <w:highlight w:val="none"/>
              </w:rPr>
            </w:pPr>
          </w:p>
        </w:tc>
      </w:tr>
    </w:tbl>
    <w:p w14:paraId="14BF8C95">
      <w:pPr>
        <w:wordWrap/>
        <w:topLinePunct w:val="0"/>
        <w:autoSpaceDE w:val="0"/>
        <w:autoSpaceDN w:val="0"/>
        <w:bidi w:val="0"/>
        <w:snapToGrid w:val="0"/>
        <w:spacing w:line="360" w:lineRule="auto"/>
        <w:jc w:val="left"/>
        <w:rPr>
          <w:rFonts w:hint="eastAsia" w:ascii="仿宋" w:hAnsi="仿宋" w:eastAsia="仿宋" w:cs="仿宋"/>
          <w:color w:val="auto"/>
          <w:kern w:val="0"/>
          <w:sz w:val="24"/>
          <w:highlight w:val="none"/>
        </w:rPr>
      </w:pPr>
    </w:p>
    <w:p w14:paraId="51F8A9FA">
      <w:pPr>
        <w:wordWrap/>
        <w:topLinePunct w:val="0"/>
        <w:autoSpaceDE w:val="0"/>
        <w:autoSpaceDN w:val="0"/>
        <w:bidi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供</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应</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eastAsia="zh-CN"/>
        </w:rPr>
        <w:t>商</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pacing w:val="14"/>
          <w:kern w:val="0"/>
          <w:sz w:val="24"/>
          <w:highlight w:val="none"/>
          <w:u w:val="single"/>
        </w:rPr>
        <w:t xml:space="preserve"> （盖章）        </w:t>
      </w:r>
    </w:p>
    <w:p w14:paraId="17791A11">
      <w:pPr>
        <w:wordWrap/>
        <w:topLinePunct w:val="0"/>
        <w:autoSpaceDE w:val="0"/>
        <w:autoSpaceDN w:val="0"/>
        <w:bidi w:val="0"/>
        <w:snapToGrid w:val="0"/>
        <w:spacing w:line="360" w:lineRule="auto"/>
        <w:jc w:val="left"/>
        <w:rPr>
          <w:rFonts w:hint="eastAsia" w:ascii="仿宋" w:hAnsi="仿宋" w:eastAsia="仿宋" w:cs="仿宋"/>
          <w:color w:val="auto"/>
          <w:spacing w:val="11"/>
          <w:kern w:val="0"/>
          <w:sz w:val="24"/>
          <w:highlight w:val="none"/>
        </w:rPr>
      </w:pPr>
      <w:r>
        <w:rPr>
          <w:rFonts w:hint="eastAsia" w:ascii="仿宋" w:hAnsi="仿宋" w:eastAsia="仿宋" w:cs="仿宋"/>
          <w:color w:val="auto"/>
          <w:spacing w:val="11"/>
          <w:kern w:val="0"/>
          <w:sz w:val="24"/>
          <w:highlight w:val="none"/>
        </w:rPr>
        <w:t>法定代表人或授权代表：</w:t>
      </w:r>
      <w:r>
        <w:rPr>
          <w:rFonts w:hint="eastAsia" w:ascii="仿宋" w:hAnsi="仿宋" w:eastAsia="仿宋" w:cs="仿宋"/>
          <w:color w:val="auto"/>
          <w:spacing w:val="11"/>
          <w:kern w:val="0"/>
          <w:sz w:val="24"/>
          <w:highlight w:val="none"/>
          <w:u w:val="single"/>
        </w:rPr>
        <w:t xml:space="preserve">         （签字或盖章）         </w:t>
      </w:r>
    </w:p>
    <w:p w14:paraId="7E4E923E">
      <w:pPr>
        <w:wordWrap/>
        <w:topLinePunct w:val="0"/>
        <w:autoSpaceDE w:val="0"/>
        <w:autoSpaceDN w:val="0"/>
        <w:bidi w:val="0"/>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日期：</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p>
    <w:p w14:paraId="73956D9C">
      <w:pPr>
        <w:shd w:val="clear"/>
        <w:wordWrap/>
        <w:topLinePunct w:val="0"/>
        <w:bidi w:val="0"/>
        <w:snapToGrid w:val="0"/>
        <w:spacing w:line="360" w:lineRule="auto"/>
        <w:jc w:val="left"/>
        <w:rPr>
          <w:rFonts w:hint="eastAsia" w:ascii="仿宋" w:hAnsi="仿宋" w:eastAsia="仿宋" w:cs="仿宋"/>
          <w:b/>
          <w:color w:val="auto"/>
          <w:sz w:val="24"/>
          <w:highlight w:val="none"/>
        </w:rPr>
      </w:pPr>
    </w:p>
    <w:p w14:paraId="445594D9">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3D0A5979">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3466B02D">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0323A7DB">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1E3B9763">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4E2F2926">
      <w:pPr>
        <w:shd w:val="clear"/>
        <w:wordWrap/>
        <w:topLinePunct w:val="0"/>
        <w:bidi w:val="0"/>
        <w:snapToGri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FF7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D156155">
            <w:pPr>
              <w:shd w:val="clear"/>
              <w:wordWrap/>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2F25EA9E">
            <w:pPr>
              <w:shd w:val="clear"/>
              <w:wordWrap/>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采购文件章节及具体内容</w:t>
            </w:r>
          </w:p>
        </w:tc>
        <w:tc>
          <w:tcPr>
            <w:tcW w:w="3546" w:type="dxa"/>
          </w:tcPr>
          <w:p w14:paraId="6229BF14">
            <w:pPr>
              <w:shd w:val="clear"/>
              <w:wordWrap/>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响应文件章节及具体内容</w:t>
            </w:r>
          </w:p>
        </w:tc>
        <w:tc>
          <w:tcPr>
            <w:tcW w:w="1276" w:type="dxa"/>
          </w:tcPr>
          <w:p w14:paraId="51C8AADF">
            <w:pPr>
              <w:shd w:val="clear"/>
              <w:wordWrap/>
              <w:topLinePunct w:val="0"/>
              <w:bidi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920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3E5CD5">
            <w:pPr>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7299978B">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3546" w:type="dxa"/>
          </w:tcPr>
          <w:p w14:paraId="02BE79A2">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1276" w:type="dxa"/>
          </w:tcPr>
          <w:p w14:paraId="1068C9BD">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r>
      <w:tr w14:paraId="5B46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CD60D2">
            <w:pPr>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FD634BA">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3546" w:type="dxa"/>
          </w:tcPr>
          <w:p w14:paraId="20B26A50">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1276" w:type="dxa"/>
          </w:tcPr>
          <w:p w14:paraId="198E29F6">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r>
      <w:tr w14:paraId="2EA5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FE3568">
            <w:pPr>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81D1E91">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3546" w:type="dxa"/>
          </w:tcPr>
          <w:p w14:paraId="3E88B7F4">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c>
          <w:tcPr>
            <w:tcW w:w="1276" w:type="dxa"/>
          </w:tcPr>
          <w:p w14:paraId="0FE8CB0C">
            <w:pPr>
              <w:shd w:val="clear"/>
              <w:wordWrap/>
              <w:topLinePunct w:val="0"/>
              <w:bidi w:val="0"/>
              <w:spacing w:line="360" w:lineRule="auto"/>
              <w:jc w:val="center"/>
              <w:rPr>
                <w:rFonts w:hint="eastAsia" w:ascii="仿宋" w:hAnsi="仿宋" w:eastAsia="仿宋" w:cs="仿宋"/>
                <w:b/>
                <w:color w:val="auto"/>
                <w:kern w:val="0"/>
                <w:sz w:val="32"/>
                <w:szCs w:val="32"/>
                <w:highlight w:val="none"/>
              </w:rPr>
            </w:pPr>
          </w:p>
        </w:tc>
      </w:tr>
    </w:tbl>
    <w:p w14:paraId="7F203E91">
      <w:pPr>
        <w:shd w:val="clear"/>
        <w:wordWrap/>
        <w:topLinePunct w:val="0"/>
        <w:bidi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供应商保证：除商务技术偏离表列出的偏离外，供应商响应采购文件的全部要求</w:t>
      </w:r>
    </w:p>
    <w:p w14:paraId="49C6C516">
      <w:pPr>
        <w:shd w:val="clear"/>
        <w:wordWrap/>
        <w:topLinePunct w:val="0"/>
        <w:bidi w:val="0"/>
        <w:spacing w:line="360" w:lineRule="auto"/>
        <w:jc w:val="center"/>
        <w:rPr>
          <w:rFonts w:hint="eastAsia" w:ascii="仿宋" w:hAnsi="仿宋" w:eastAsia="仿宋" w:cs="仿宋"/>
          <w:b/>
          <w:color w:val="auto"/>
          <w:kern w:val="0"/>
          <w:sz w:val="32"/>
          <w:szCs w:val="32"/>
          <w:highlight w:val="none"/>
        </w:rPr>
      </w:pPr>
    </w:p>
    <w:p w14:paraId="1879443D">
      <w:pPr>
        <w:shd w:val="clear"/>
        <w:wordWrap/>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D1C9180">
      <w:pPr>
        <w:shd w:val="clear"/>
        <w:wordWrap/>
        <w:topLinePunct w:val="0"/>
        <w:bidi w:val="0"/>
        <w:spacing w:line="360" w:lineRule="auto"/>
        <w:ind w:firstLine="1911" w:firstLineChars="595"/>
        <w:rPr>
          <w:rFonts w:hint="eastAsia" w:ascii="仿宋" w:hAnsi="仿宋" w:eastAsia="仿宋" w:cs="仿宋"/>
          <w:b/>
          <w:bCs/>
          <w:color w:val="auto"/>
          <w:sz w:val="32"/>
          <w:szCs w:val="32"/>
          <w:highlight w:val="none"/>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441C88F6">
      <w:pPr>
        <w:shd w:val="clear"/>
        <w:wordWrap/>
        <w:topLinePunct w:val="0"/>
        <w:bidi w:val="0"/>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184198A">
      <w:pPr>
        <w:shd w:val="clear"/>
        <w:wordWrap/>
        <w:topLinePunct w:val="0"/>
        <w:bidi w:val="0"/>
        <w:snapToGrid w:val="0"/>
        <w:spacing w:line="360" w:lineRule="auto"/>
        <w:rPr>
          <w:rFonts w:hint="eastAsia" w:ascii="仿宋" w:hAnsi="仿宋" w:eastAsia="仿宋" w:cs="仿宋"/>
          <w:color w:val="auto"/>
          <w:sz w:val="24"/>
          <w:highlight w:val="none"/>
        </w:rPr>
      </w:pPr>
    </w:p>
    <w:p w14:paraId="739E3B4C">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浙江中合工程管理有限公司</w:t>
      </w:r>
      <w:r>
        <w:rPr>
          <w:rFonts w:hint="eastAsia" w:ascii="仿宋" w:hAnsi="仿宋" w:eastAsia="仿宋" w:cs="仿宋"/>
          <w:color w:val="auto"/>
          <w:kern w:val="0"/>
          <w:sz w:val="24"/>
          <w:highlight w:val="none"/>
          <w:lang w:val="zh-CN"/>
        </w:rPr>
        <w:t>：</w:t>
      </w:r>
    </w:p>
    <w:p w14:paraId="348BF557">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447AD945">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3392546">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22C490C6">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73FA893">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1556128A">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五、不为项目有关人员个人装修住房、婚丧嫁娶、配偶子女工作安排等提供好处；</w:t>
      </w:r>
    </w:p>
    <w:p w14:paraId="0EEA3D2B">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9D80ED5">
      <w:pPr>
        <w:shd w:val="clear"/>
        <w:wordWrap/>
        <w:topLinePunct w:val="0"/>
        <w:autoSpaceDE w:val="0"/>
        <w:autoSpaceDN w:val="0"/>
        <w:bidi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6073D2C0">
      <w:pPr>
        <w:shd w:val="clear"/>
        <w:wordWrap/>
        <w:topLinePunct w:val="0"/>
        <w:autoSpaceDE w:val="0"/>
        <w:autoSpaceDN w:val="0"/>
        <w:bidi w:val="0"/>
        <w:spacing w:line="360" w:lineRule="auto"/>
        <w:ind w:left="2"/>
        <w:jc w:val="left"/>
        <w:rPr>
          <w:rFonts w:hint="eastAsia" w:ascii="仿宋" w:hAnsi="仿宋" w:eastAsia="仿宋" w:cs="仿宋"/>
          <w:color w:val="auto"/>
          <w:kern w:val="0"/>
          <w:sz w:val="24"/>
          <w:highlight w:val="none"/>
          <w:lang w:val="zh-CN"/>
        </w:rPr>
      </w:pPr>
    </w:p>
    <w:p w14:paraId="010BAF93">
      <w:pPr>
        <w:shd w:val="clear"/>
        <w:wordWrap/>
        <w:topLinePunct w:val="0"/>
        <w:autoSpaceDE w:val="0"/>
        <w:autoSpaceDN w:val="0"/>
        <w:bidi w:val="0"/>
        <w:spacing w:line="360" w:lineRule="auto"/>
        <w:ind w:left="2"/>
        <w:jc w:val="left"/>
        <w:rPr>
          <w:rFonts w:hint="eastAsia" w:ascii="仿宋" w:hAnsi="仿宋" w:eastAsia="仿宋" w:cs="仿宋"/>
          <w:color w:val="auto"/>
          <w:kern w:val="0"/>
          <w:sz w:val="24"/>
          <w:highlight w:val="none"/>
          <w:lang w:val="zh-CN"/>
        </w:rPr>
      </w:pPr>
    </w:p>
    <w:p w14:paraId="5E90E9BC">
      <w:pPr>
        <w:shd w:val="clear"/>
        <w:wordWrap/>
        <w:topLinePunct w:val="0"/>
        <w:autoSpaceDE w:val="0"/>
        <w:autoSpaceDN w:val="0"/>
        <w:bidi w:val="0"/>
        <w:spacing w:line="360" w:lineRule="auto"/>
        <w:ind w:left="2"/>
        <w:jc w:val="left"/>
        <w:rPr>
          <w:rFonts w:hint="eastAsia" w:ascii="仿宋" w:hAnsi="仿宋" w:eastAsia="仿宋" w:cs="仿宋"/>
          <w:color w:val="auto"/>
          <w:kern w:val="0"/>
          <w:sz w:val="24"/>
          <w:highlight w:val="none"/>
          <w:lang w:val="zh-CN"/>
        </w:rPr>
      </w:pPr>
    </w:p>
    <w:p w14:paraId="21DE0623">
      <w:pPr>
        <w:shd w:val="clear"/>
        <w:wordWrap/>
        <w:topLinePunct w:val="0"/>
        <w:autoSpaceDE w:val="0"/>
        <w:autoSpaceDN w:val="0"/>
        <w:bidi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8243960">
      <w:pPr>
        <w:shd w:val="clear"/>
        <w:wordWrap/>
        <w:topLinePunct w:val="0"/>
        <w:bidi w:val="0"/>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275DBA53">
      <w:pPr>
        <w:shd w:val="clear"/>
        <w:wordWrap/>
        <w:topLinePunct w:val="0"/>
        <w:bidi w:val="0"/>
        <w:spacing w:line="360" w:lineRule="auto"/>
        <w:jc w:val="center"/>
        <w:rPr>
          <w:rFonts w:hint="eastAsia" w:ascii="仿宋" w:hAnsi="仿宋" w:eastAsia="仿宋" w:cs="仿宋"/>
          <w:b/>
          <w:bCs/>
          <w:color w:val="auto"/>
          <w:sz w:val="24"/>
          <w:highlight w:val="none"/>
        </w:rPr>
      </w:pPr>
    </w:p>
    <w:p w14:paraId="4EBFB451">
      <w:pPr>
        <w:shd w:val="clear"/>
        <w:wordWrap/>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3C95D4A">
      <w:pPr>
        <w:shd w:val="clear"/>
        <w:wordWrap/>
        <w:topLinePunct w:val="0"/>
        <w:bidi w:val="0"/>
        <w:spacing w:line="360" w:lineRule="auto"/>
        <w:jc w:val="center"/>
        <w:rPr>
          <w:rFonts w:hint="eastAsia" w:ascii="仿宋" w:hAnsi="仿宋" w:eastAsia="仿宋" w:cs="仿宋"/>
          <w:b/>
          <w:bCs/>
          <w:color w:val="auto"/>
          <w:sz w:val="24"/>
          <w:highlight w:val="none"/>
        </w:rPr>
        <w:sectPr>
          <w:pgSz w:w="11906" w:h="16838"/>
          <w:pgMar w:top="1440" w:right="1080" w:bottom="1440" w:left="1080" w:header="851" w:footer="992" w:gutter="0"/>
          <w:cols w:space="720" w:num="1"/>
          <w:titlePg/>
          <w:docGrid w:linePitch="312" w:charSpace="0"/>
        </w:sectPr>
      </w:pPr>
    </w:p>
    <w:p w14:paraId="3BA3D20D">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B2AF038">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2DC4603">
      <w:pPr>
        <w:shd w:val="clear"/>
        <w:wordWrap/>
        <w:topLinePunct w:val="0"/>
        <w:bidi w:val="0"/>
        <w:spacing w:line="360" w:lineRule="auto"/>
        <w:jc w:val="center"/>
        <w:outlineLvl w:val="0"/>
        <w:rPr>
          <w:rFonts w:hint="eastAsia" w:ascii="仿宋" w:hAnsi="仿宋" w:eastAsia="仿宋" w:cs="仿宋"/>
          <w:b/>
          <w:color w:val="auto"/>
          <w:kern w:val="0"/>
          <w:sz w:val="36"/>
          <w:szCs w:val="36"/>
          <w:highlight w:val="none"/>
        </w:rPr>
      </w:pPr>
    </w:p>
    <w:p w14:paraId="297C858A">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（1）报价单…………………………………………………………………………（页码）</w:t>
      </w:r>
    </w:p>
    <w:p w14:paraId="402AED5E">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（2）已标价工程量清单……………………………………………………………（页码）</w:t>
      </w:r>
    </w:p>
    <w:p w14:paraId="7D9C12B7">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（3）中小企业声明函………………………………………………………………（页码）</w:t>
      </w:r>
    </w:p>
    <w:p w14:paraId="50CF47C6">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7BBE77B5">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35C570A6">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3C48FA87">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5B446117">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44F7A680">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0BBEA538">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2FD626A1">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471632BB">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45A95686">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6D952943">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74CA223E">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25153832">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09395C96">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6DCD2ABE">
      <w:pPr>
        <w:shd w:val="clear"/>
        <w:wordWrap/>
        <w:topLinePunct w:val="0"/>
        <w:bidi w:val="0"/>
        <w:snapToGrid w:val="0"/>
        <w:spacing w:line="360" w:lineRule="auto"/>
        <w:ind w:right="480"/>
        <w:jc w:val="center"/>
        <w:rPr>
          <w:rFonts w:hint="eastAsia" w:ascii="仿宋" w:hAnsi="仿宋" w:eastAsia="仿宋" w:cs="仿宋"/>
          <w:b/>
          <w:color w:val="auto"/>
          <w:kern w:val="0"/>
          <w:sz w:val="32"/>
          <w:szCs w:val="32"/>
          <w:highlight w:val="none"/>
        </w:rPr>
      </w:pPr>
    </w:p>
    <w:p w14:paraId="58E5D7F3">
      <w:pPr>
        <w:pStyle w:val="26"/>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1A07478D">
      <w:pPr>
        <w:pStyle w:val="26"/>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一、报价单</w:t>
      </w:r>
    </w:p>
    <w:p w14:paraId="05A9199F">
      <w:pPr>
        <w:shd w:val="clear"/>
        <w:wordWrap/>
        <w:topLinePunct w:val="0"/>
        <w:bidi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杭州市钱塘区人民政府义蓬街道办事处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浙江中合工程管理有限公司</w:t>
      </w:r>
      <w:r>
        <w:rPr>
          <w:rFonts w:hint="eastAsia" w:ascii="仿宋" w:hAnsi="仿宋" w:eastAsia="仿宋" w:cs="仿宋"/>
          <w:color w:val="auto"/>
          <w:kern w:val="0"/>
          <w:sz w:val="24"/>
          <w:highlight w:val="none"/>
          <w:lang w:val="zh-CN"/>
        </w:rPr>
        <w:t>：</w:t>
      </w:r>
    </w:p>
    <w:p w14:paraId="6669F86A">
      <w:pPr>
        <w:shd w:val="clear"/>
        <w:wordWrap/>
        <w:topLinePunct w:val="0"/>
        <w:bidi w:val="0"/>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仿宋" w:hAnsi="仿宋" w:eastAsia="仿宋" w:cs="仿宋"/>
          <w:color w:val="auto"/>
          <w:sz w:val="24"/>
          <w:highlight w:val="none"/>
          <w:lang w:eastAsia="zh-CN"/>
        </w:rPr>
        <w:t>沙堤社区党群服务中心改造项目</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lang w:val="en-US" w:eastAsia="zh-CN"/>
        </w:rPr>
        <w:t>QTCG-CS-2024-049</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14:paraId="5FDCCD31">
      <w:pPr>
        <w:shd w:val="clear"/>
        <w:wordWrap/>
        <w:topLinePunct w:val="0"/>
        <w:bidi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报价单(单位均为人民币元)</w:t>
      </w:r>
    </w:p>
    <w:tbl>
      <w:tblPr>
        <w:tblStyle w:val="1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
        <w:gridCol w:w="1838"/>
        <w:gridCol w:w="2296"/>
        <w:gridCol w:w="2083"/>
        <w:gridCol w:w="1984"/>
        <w:gridCol w:w="2138"/>
        <w:gridCol w:w="2272"/>
      </w:tblGrid>
      <w:tr w14:paraId="1588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56" w:type="dxa"/>
            <w:gridSpan w:val="2"/>
            <w:vAlign w:val="center"/>
          </w:tcPr>
          <w:p w14:paraId="1C510F4D">
            <w:pPr>
              <w:shd w:val="clear"/>
              <w:wordWrap/>
              <w:topLinePunct w:val="0"/>
              <w:bidi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项目名称</w:t>
            </w:r>
          </w:p>
        </w:tc>
        <w:tc>
          <w:tcPr>
            <w:tcW w:w="1838" w:type="dxa"/>
            <w:vAlign w:val="center"/>
          </w:tcPr>
          <w:p w14:paraId="1FD4F93B">
            <w:pPr>
              <w:shd w:val="clear"/>
              <w:wordWrap/>
              <w:topLinePunct w:val="0"/>
              <w:bidi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施工范围</w:t>
            </w:r>
          </w:p>
        </w:tc>
        <w:tc>
          <w:tcPr>
            <w:tcW w:w="2296" w:type="dxa"/>
            <w:vAlign w:val="center"/>
          </w:tcPr>
          <w:p w14:paraId="6ACA3FE8">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施工工期</w:t>
            </w:r>
          </w:p>
        </w:tc>
        <w:tc>
          <w:tcPr>
            <w:tcW w:w="2083" w:type="dxa"/>
            <w:vAlign w:val="center"/>
          </w:tcPr>
          <w:p w14:paraId="5FA47273">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w:t>
            </w:r>
          </w:p>
        </w:tc>
        <w:tc>
          <w:tcPr>
            <w:tcW w:w="1984" w:type="dxa"/>
            <w:vAlign w:val="center"/>
          </w:tcPr>
          <w:p w14:paraId="52382527">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执业证书信息</w:t>
            </w:r>
          </w:p>
        </w:tc>
        <w:tc>
          <w:tcPr>
            <w:tcW w:w="2138" w:type="dxa"/>
            <w:vAlign w:val="center"/>
          </w:tcPr>
          <w:p w14:paraId="32DF490D">
            <w:pPr>
              <w:shd w:val="clear"/>
              <w:wordWrap/>
              <w:topLinePunct w:val="0"/>
              <w:bidi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身份证号码 </w:t>
            </w:r>
          </w:p>
        </w:tc>
        <w:tc>
          <w:tcPr>
            <w:tcW w:w="2272" w:type="dxa"/>
            <w:vAlign w:val="center"/>
          </w:tcPr>
          <w:p w14:paraId="3EE38223">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14:paraId="2B86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3EC18B66">
            <w:pPr>
              <w:shd w:val="clear"/>
              <w:wordWrap/>
              <w:topLinePunct w:val="0"/>
              <w:bidi w:val="0"/>
              <w:snapToGrid w:val="0"/>
              <w:spacing w:line="360" w:lineRule="auto"/>
              <w:jc w:val="center"/>
              <w:rPr>
                <w:rFonts w:hint="eastAsia" w:ascii="仿宋" w:hAnsi="仿宋" w:eastAsia="仿宋" w:cs="仿宋"/>
                <w:color w:val="auto"/>
                <w:sz w:val="24"/>
                <w:highlight w:val="none"/>
              </w:rPr>
            </w:pPr>
          </w:p>
        </w:tc>
        <w:tc>
          <w:tcPr>
            <w:tcW w:w="1843" w:type="dxa"/>
            <w:gridSpan w:val="2"/>
            <w:vAlign w:val="center"/>
          </w:tcPr>
          <w:p w14:paraId="4855CE59">
            <w:pPr>
              <w:shd w:val="clear"/>
              <w:wordWrap/>
              <w:topLinePunct w:val="0"/>
              <w:bidi w:val="0"/>
              <w:snapToGrid w:val="0"/>
              <w:spacing w:line="360" w:lineRule="auto"/>
              <w:jc w:val="center"/>
              <w:rPr>
                <w:rFonts w:hint="eastAsia" w:ascii="仿宋" w:hAnsi="仿宋" w:eastAsia="仿宋" w:cs="仿宋"/>
                <w:color w:val="auto"/>
                <w:sz w:val="24"/>
                <w:highlight w:val="none"/>
              </w:rPr>
            </w:pPr>
          </w:p>
        </w:tc>
        <w:tc>
          <w:tcPr>
            <w:tcW w:w="2296" w:type="dxa"/>
            <w:vAlign w:val="center"/>
          </w:tcPr>
          <w:p w14:paraId="75B7CFF1">
            <w:pPr>
              <w:shd w:val="clear"/>
              <w:wordWrap/>
              <w:topLinePunct w:val="0"/>
              <w:bidi w:val="0"/>
              <w:snapToGrid w:val="0"/>
              <w:spacing w:line="360" w:lineRule="auto"/>
              <w:jc w:val="center"/>
              <w:rPr>
                <w:rFonts w:hint="eastAsia" w:ascii="仿宋" w:hAnsi="仿宋" w:eastAsia="仿宋" w:cs="仿宋"/>
                <w:color w:val="auto"/>
                <w:sz w:val="24"/>
                <w:highlight w:val="none"/>
              </w:rPr>
            </w:pPr>
          </w:p>
        </w:tc>
        <w:tc>
          <w:tcPr>
            <w:tcW w:w="2083" w:type="dxa"/>
            <w:vAlign w:val="center"/>
          </w:tcPr>
          <w:p w14:paraId="4FE7756B">
            <w:pPr>
              <w:shd w:val="clear"/>
              <w:wordWrap/>
              <w:topLinePunct w:val="0"/>
              <w:bidi w:val="0"/>
              <w:spacing w:line="360" w:lineRule="auto"/>
              <w:jc w:val="center"/>
              <w:rPr>
                <w:rFonts w:hint="eastAsia" w:ascii="仿宋" w:hAnsi="仿宋" w:eastAsia="仿宋" w:cs="仿宋"/>
                <w:color w:val="auto"/>
                <w:sz w:val="24"/>
                <w:highlight w:val="none"/>
              </w:rPr>
            </w:pPr>
          </w:p>
        </w:tc>
        <w:tc>
          <w:tcPr>
            <w:tcW w:w="1984" w:type="dxa"/>
            <w:vAlign w:val="center"/>
          </w:tcPr>
          <w:p w14:paraId="6F9447E5">
            <w:pPr>
              <w:shd w:val="clear"/>
              <w:wordWrap/>
              <w:topLinePunct w:val="0"/>
              <w:bidi w:val="0"/>
              <w:spacing w:line="360" w:lineRule="auto"/>
              <w:jc w:val="center"/>
              <w:rPr>
                <w:rFonts w:hint="eastAsia" w:ascii="仿宋" w:hAnsi="仿宋" w:eastAsia="仿宋" w:cs="仿宋"/>
                <w:color w:val="auto"/>
                <w:sz w:val="24"/>
                <w:highlight w:val="none"/>
              </w:rPr>
            </w:pPr>
          </w:p>
        </w:tc>
        <w:tc>
          <w:tcPr>
            <w:tcW w:w="2138" w:type="dxa"/>
            <w:vAlign w:val="center"/>
          </w:tcPr>
          <w:p w14:paraId="0E401FB9">
            <w:pPr>
              <w:shd w:val="clear"/>
              <w:wordWrap/>
              <w:topLinePunct w:val="0"/>
              <w:bidi w:val="0"/>
              <w:spacing w:line="360" w:lineRule="auto"/>
              <w:jc w:val="center"/>
              <w:rPr>
                <w:rFonts w:hint="eastAsia" w:ascii="仿宋" w:hAnsi="仿宋" w:eastAsia="仿宋" w:cs="仿宋"/>
                <w:color w:val="auto"/>
                <w:sz w:val="24"/>
                <w:highlight w:val="none"/>
              </w:rPr>
            </w:pPr>
          </w:p>
        </w:tc>
        <w:tc>
          <w:tcPr>
            <w:tcW w:w="2272" w:type="dxa"/>
            <w:vAlign w:val="center"/>
          </w:tcPr>
          <w:p w14:paraId="730D6A32">
            <w:pPr>
              <w:shd w:val="clear"/>
              <w:wordWrap/>
              <w:topLinePunct w:val="0"/>
              <w:bidi w:val="0"/>
              <w:spacing w:line="360" w:lineRule="auto"/>
              <w:jc w:val="center"/>
              <w:rPr>
                <w:rFonts w:hint="eastAsia" w:ascii="仿宋" w:hAnsi="仿宋" w:eastAsia="仿宋" w:cs="仿宋"/>
                <w:color w:val="auto"/>
                <w:sz w:val="24"/>
                <w:highlight w:val="none"/>
              </w:rPr>
            </w:pPr>
          </w:p>
        </w:tc>
      </w:tr>
      <w:tr w14:paraId="18DE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090" w:type="dxa"/>
            <w:gridSpan w:val="4"/>
            <w:vAlign w:val="center"/>
          </w:tcPr>
          <w:p w14:paraId="2EF272AC">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磋商报价（小写）</w:t>
            </w:r>
          </w:p>
        </w:tc>
        <w:tc>
          <w:tcPr>
            <w:tcW w:w="8477" w:type="dxa"/>
            <w:gridSpan w:val="4"/>
            <w:vAlign w:val="center"/>
          </w:tcPr>
          <w:p w14:paraId="08628E72">
            <w:pPr>
              <w:shd w:val="clear"/>
              <w:wordWrap/>
              <w:topLinePunct w:val="0"/>
              <w:bidi w:val="0"/>
              <w:spacing w:line="360" w:lineRule="auto"/>
              <w:jc w:val="center"/>
              <w:rPr>
                <w:rFonts w:hint="eastAsia" w:ascii="仿宋" w:hAnsi="仿宋" w:eastAsia="仿宋" w:cs="仿宋"/>
                <w:color w:val="auto"/>
                <w:sz w:val="24"/>
                <w:highlight w:val="none"/>
              </w:rPr>
            </w:pPr>
          </w:p>
        </w:tc>
      </w:tr>
      <w:tr w14:paraId="5516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090" w:type="dxa"/>
            <w:gridSpan w:val="4"/>
            <w:vAlign w:val="center"/>
          </w:tcPr>
          <w:p w14:paraId="541E3209">
            <w:pPr>
              <w:shd w:val="clear"/>
              <w:wordWrap/>
              <w:topLinePunct w:val="0"/>
              <w:bidi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磋商报价（大写）</w:t>
            </w:r>
          </w:p>
        </w:tc>
        <w:tc>
          <w:tcPr>
            <w:tcW w:w="8477" w:type="dxa"/>
            <w:gridSpan w:val="4"/>
            <w:vAlign w:val="center"/>
          </w:tcPr>
          <w:p w14:paraId="5B93DE6D">
            <w:pPr>
              <w:shd w:val="clear"/>
              <w:wordWrap/>
              <w:topLinePunct w:val="0"/>
              <w:bidi w:val="0"/>
              <w:spacing w:line="360" w:lineRule="auto"/>
              <w:jc w:val="center"/>
              <w:rPr>
                <w:rFonts w:hint="eastAsia" w:ascii="仿宋" w:hAnsi="仿宋" w:eastAsia="仿宋" w:cs="仿宋"/>
                <w:color w:val="auto"/>
                <w:sz w:val="24"/>
                <w:highlight w:val="none"/>
              </w:rPr>
            </w:pPr>
          </w:p>
        </w:tc>
      </w:tr>
    </w:tbl>
    <w:p w14:paraId="4F920940">
      <w:pPr>
        <w:shd w:val="clear"/>
        <w:wordWrap/>
        <w:topLinePunct w:val="0"/>
        <w:bidi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注：</w:t>
      </w:r>
      <w:r>
        <w:rPr>
          <w:rFonts w:hint="eastAsia" w:ascii="仿宋" w:hAnsi="仿宋" w:eastAsia="仿宋" w:cs="仿宋"/>
          <w:b w:val="0"/>
          <w:bCs/>
          <w:color w:val="auto"/>
          <w:kern w:val="0"/>
          <w:sz w:val="24"/>
          <w:highlight w:val="none"/>
          <w:lang w:val="zh-CN"/>
        </w:rPr>
        <w:t>1、供应商需按本表格式填写，</w:t>
      </w:r>
      <w:r>
        <w:rPr>
          <w:rFonts w:hint="eastAsia" w:ascii="仿宋" w:hAnsi="仿宋" w:eastAsia="仿宋" w:cs="仿宋"/>
          <w:b/>
          <w:color w:val="auto"/>
          <w:kern w:val="0"/>
          <w:sz w:val="24"/>
          <w:highlight w:val="none"/>
        </w:rPr>
        <w:t>否则视为响应文件含有采购人不能接受的附加条件，响应无效</w:t>
      </w:r>
      <w:r>
        <w:rPr>
          <w:rFonts w:hint="eastAsia" w:ascii="仿宋" w:hAnsi="仿宋" w:eastAsia="仿宋" w:cs="仿宋"/>
          <w:b/>
          <w:color w:val="auto"/>
          <w:kern w:val="0"/>
          <w:sz w:val="24"/>
          <w:highlight w:val="none"/>
          <w:lang w:val="zh-CN"/>
        </w:rPr>
        <w:t>。</w:t>
      </w:r>
    </w:p>
    <w:p w14:paraId="4DE3B110">
      <w:pPr>
        <w:shd w:val="clear"/>
        <w:wordWrap/>
        <w:topLinePunct w:val="0"/>
        <w:bidi w:val="0"/>
        <w:spacing w:line="360" w:lineRule="auto"/>
        <w:ind w:firstLine="482" w:firstLineChars="20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w:t>
      </w:r>
      <w:r>
        <w:rPr>
          <w:rFonts w:hint="eastAsia" w:ascii="仿宋" w:hAnsi="仿宋" w:eastAsia="仿宋" w:cs="仿宋"/>
          <w:b w:val="0"/>
          <w:bCs/>
          <w:color w:val="auto"/>
          <w:kern w:val="0"/>
          <w:sz w:val="24"/>
          <w:highlight w:val="none"/>
          <w:lang w:val="zh-CN"/>
        </w:rPr>
        <w:t>有关本项目实施所涉及的一切费用均计入报价。合同总价不为零，最后报价一览表中部分产品、服务单价为零的，视作已包含在总价中。</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采购人将以合同形式有偿取得货物或服务，不接受供应商给予的赠品、回扣或者与采购无关的其他商品、服务；采购内容未包含在《最后报价一览表》名称栏中，供应商不能作出合理解释的，</w:t>
      </w:r>
      <w:r>
        <w:rPr>
          <w:rFonts w:hint="eastAsia" w:ascii="仿宋" w:hAnsi="仿宋" w:eastAsia="仿宋" w:cs="仿宋"/>
          <w:b/>
          <w:color w:val="auto"/>
          <w:kern w:val="0"/>
          <w:sz w:val="24"/>
          <w:highlight w:val="none"/>
        </w:rPr>
        <w:t>视为响应文件含有采购人不能接受的附加条件的，响应无效。</w:t>
      </w:r>
    </w:p>
    <w:p w14:paraId="5468FE82">
      <w:pPr>
        <w:shd w:val="clear"/>
        <w:wordWrap/>
        <w:topLinePunct w:val="0"/>
        <w:bidi w:val="0"/>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3、特别提示：采购代理机构将对项目名称和项目编号，成交供应商名称、地址和成交金额，主要成交标的名称、服务范围、服务要求、服务时间、服务标准等予以公示。</w:t>
      </w:r>
    </w:p>
    <w:p w14:paraId="658B1F8A">
      <w:pPr>
        <w:shd w:val="clear"/>
        <w:wordWrap/>
        <w:topLinePunct w:val="0"/>
        <w:bidi w:val="0"/>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4、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ECAA5BC">
      <w:pPr>
        <w:shd w:val="clear"/>
        <w:wordWrap/>
        <w:topLinePunct w:val="0"/>
        <w:bidi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5、特别说明：▲供应商报价低于项目预算50%的，应当在报价文件中详细阐述不影响产品质量或者诚信履约的具体原因。</w:t>
      </w:r>
    </w:p>
    <w:p w14:paraId="4AC3E0D4">
      <w:pPr>
        <w:pStyle w:val="26"/>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pPr>
    </w:p>
    <w:p w14:paraId="24384B06">
      <w:pPr>
        <w:pStyle w:val="26"/>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509EB5CD">
      <w:pPr>
        <w:pStyle w:val="26"/>
        <w:keepNext w:val="0"/>
        <w:pageBreakBefore w:val="0"/>
        <w:shd w:val="clear"/>
        <w:tabs>
          <w:tab w:val="clear" w:pos="720"/>
        </w:tabs>
        <w:wordWrap/>
        <w:topLinePunct w:val="0"/>
        <w:bidi w:val="0"/>
        <w:snapToGrid w:val="0"/>
        <w:spacing w:before="120" w:after="120" w:line="360" w:lineRule="auto"/>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二、已标价工程量清单</w:t>
      </w:r>
    </w:p>
    <w:p w14:paraId="4459CF89">
      <w:pPr>
        <w:shd w:val="clear"/>
        <w:wordWrap/>
        <w:topLinePunct w:val="0"/>
        <w:bidi w:val="0"/>
        <w:spacing w:line="360" w:lineRule="auto"/>
        <w:ind w:right="420"/>
        <w:rPr>
          <w:rFonts w:hint="eastAsia" w:ascii="仿宋" w:hAnsi="仿宋" w:eastAsia="仿宋" w:cs="仿宋"/>
          <w:color w:val="auto"/>
          <w:sz w:val="24"/>
          <w:highlight w:val="none"/>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sz w:val="24"/>
          <w:highlight w:val="none"/>
        </w:rPr>
        <w:t>注：按采购文件工程量清单编制</w:t>
      </w:r>
    </w:p>
    <w:p w14:paraId="4F4113C7">
      <w:pPr>
        <w:pStyle w:val="26"/>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三、</w:t>
      </w:r>
      <w:r>
        <w:rPr>
          <w:rFonts w:hint="eastAsia" w:ascii="仿宋" w:hAnsi="仿宋" w:eastAsia="仿宋" w:cs="仿宋"/>
          <w:color w:val="auto"/>
          <w:sz w:val="32"/>
          <w:szCs w:val="32"/>
          <w:highlight w:val="none"/>
        </w:rPr>
        <w:t>中小企业声明函</w:t>
      </w:r>
      <w:bookmarkStart w:id="399" w:name="_Hlk101259491"/>
      <w:r>
        <w:rPr>
          <w:rFonts w:hint="eastAsia" w:ascii="仿宋" w:hAnsi="仿宋" w:eastAsia="仿宋" w:cs="仿宋"/>
          <w:color w:val="auto"/>
          <w:sz w:val="32"/>
          <w:szCs w:val="32"/>
          <w:highlight w:val="none"/>
        </w:rPr>
        <w:t>（如果有）</w:t>
      </w:r>
      <w:bookmarkEnd w:id="399"/>
    </w:p>
    <w:p w14:paraId="3A3DAEF4">
      <w:pPr>
        <w:widowControl/>
        <w:shd w:val="clear"/>
        <w:wordWrap/>
        <w:topLinePunct w:val="0"/>
        <w:bidi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BA7C397">
      <w:pPr>
        <w:pStyle w:val="26"/>
        <w:keepNext w:val="0"/>
        <w:pageBreakBefore w:val="0"/>
        <w:shd w:val="clear"/>
        <w:tabs>
          <w:tab w:val="clear" w:pos="720"/>
        </w:tabs>
        <w:wordWrap/>
        <w:topLinePunct w:val="0"/>
        <w:bidi w:val="0"/>
        <w:snapToGrid w:val="0"/>
        <w:spacing w:before="120" w:after="120" w:line="360" w:lineRule="auto"/>
        <w:ind w:firstLine="643"/>
        <w:outlineLvl w:val="9"/>
        <w:rPr>
          <w:rFonts w:hint="eastAsia" w:ascii="仿宋" w:hAnsi="仿宋" w:eastAsia="仿宋" w:cs="仿宋"/>
          <w:b w:val="0"/>
          <w:color w:val="auto"/>
          <w:sz w:val="32"/>
          <w:szCs w:val="32"/>
          <w:highlight w:val="none"/>
        </w:rPr>
      </w:pPr>
    </w:p>
    <w:p w14:paraId="29BD705C">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3C3F68EC">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150A5992">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69A4423A">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355E457E">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5862B729">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0F6DDCA0">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62A70977">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3A82FD69">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58AC498B">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4CB4FF34">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52F47905">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0C9CD48E">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36C9070A">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661DE150">
      <w:pPr>
        <w:shd w:val="clear"/>
        <w:wordWrap/>
        <w:topLinePunct w:val="0"/>
        <w:bidi w:val="0"/>
        <w:spacing w:line="360" w:lineRule="auto"/>
        <w:ind w:right="420" w:firstLine="3614" w:firstLineChars="1000"/>
        <w:rPr>
          <w:rFonts w:hint="eastAsia" w:ascii="仿宋" w:hAnsi="仿宋" w:eastAsia="仿宋" w:cs="仿宋"/>
          <w:b/>
          <w:color w:val="auto"/>
          <w:kern w:val="0"/>
          <w:sz w:val="36"/>
          <w:szCs w:val="36"/>
          <w:highlight w:val="none"/>
        </w:rPr>
      </w:pPr>
    </w:p>
    <w:p w14:paraId="69165522">
      <w:pPr>
        <w:shd w:val="clear"/>
        <w:tabs>
          <w:tab w:val="left" w:pos="8085"/>
        </w:tabs>
        <w:wordWrap/>
        <w:topLinePunct w:val="0"/>
        <w:bidi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14:paraId="6A96D2BD">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2F6DEF19">
      <w:pPr>
        <w:shd w:val="clear"/>
        <w:wordWrap/>
        <w:topLinePunct w:val="0"/>
        <w:bidi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一、适用对象</w:t>
      </w:r>
    </w:p>
    <w:p w14:paraId="3C7E3046">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在浙江“政采云”平台注册入库，并取得钱塘区政府采购合同的中小企业供应商。</w:t>
      </w:r>
    </w:p>
    <w:p w14:paraId="6627B0C8">
      <w:pPr>
        <w:shd w:val="clear"/>
        <w:wordWrap/>
        <w:topLinePunct w:val="0"/>
        <w:bidi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二、相关信息获取方式</w:t>
      </w:r>
    </w:p>
    <w:p w14:paraId="03AE7F01">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请登陆杭州钱塘新区管理委员会官网（http://qt.hangzhou.gov.cn） “公告公示”专栏，查看信用融资政策文件及各相关银行服务方案。</w:t>
      </w:r>
    </w:p>
    <w:p w14:paraId="6223366B">
      <w:pPr>
        <w:shd w:val="clear"/>
        <w:wordWrap/>
        <w:topLinePunct w:val="0"/>
        <w:bidi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三、申请方式和步骤</w:t>
      </w:r>
    </w:p>
    <w:p w14:paraId="5C169372">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1、供应商若有融资意向，需先与钱塘区财政局合作的银行对接，办理相关融资前期手续；</w:t>
      </w:r>
    </w:p>
    <w:p w14:paraId="4E792972">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2、中标后，供应商应与采购单位或者采购代理机构及时联系，告知融资需求；</w:t>
      </w:r>
    </w:p>
    <w:p w14:paraId="3A1D07C6">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3、相关合作银行联系并审核供应商及相关中标信息，办理相关融资事宜；</w:t>
      </w:r>
    </w:p>
    <w:p w14:paraId="78A9B0F9">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、采购单位应及时将信用融资合同提交备案。</w:t>
      </w:r>
    </w:p>
    <w:p w14:paraId="656D7FD9">
      <w:pPr>
        <w:shd w:val="clear"/>
        <w:wordWrap/>
        <w:topLinePunct w:val="0"/>
        <w:bidi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四、注意事项</w:t>
      </w:r>
    </w:p>
    <w:p w14:paraId="27D21352">
      <w:pPr>
        <w:shd w:val="clear"/>
        <w:wordWrap/>
        <w:topLinePunct w:val="0"/>
        <w:bidi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请各采购单位和采购代理机构积极支持和配合政府采购信用融资工作，在合同备案环节务必请仔细核对收款银行、账号信息等内容。</w:t>
      </w:r>
    </w:p>
    <w:p w14:paraId="4798F5BA">
      <w:pPr>
        <w:shd w:val="clear"/>
        <w:wordWrap/>
        <w:topLinePunct w:val="0"/>
        <w:bidi w:val="0"/>
        <w:snapToGrid w:val="0"/>
        <w:spacing w:line="360" w:lineRule="auto"/>
        <w:ind w:firstLine="482" w:firstLineChars="20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五、合作银行及联系方式</w:t>
      </w:r>
    </w:p>
    <w:tbl>
      <w:tblPr>
        <w:tblStyle w:val="16"/>
        <w:tblW w:w="8740" w:type="dxa"/>
        <w:tblInd w:w="95" w:type="dxa"/>
        <w:tblLayout w:type="fixed"/>
        <w:tblCellMar>
          <w:top w:w="0" w:type="dxa"/>
          <w:left w:w="108" w:type="dxa"/>
          <w:bottom w:w="0" w:type="dxa"/>
          <w:right w:w="108" w:type="dxa"/>
        </w:tblCellMar>
      </w:tblPr>
      <w:tblGrid>
        <w:gridCol w:w="1080"/>
        <w:gridCol w:w="3020"/>
        <w:gridCol w:w="1420"/>
        <w:gridCol w:w="3220"/>
      </w:tblGrid>
      <w:tr w14:paraId="03ED2963">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vAlign w:val="center"/>
          </w:tcPr>
          <w:p w14:paraId="0DE22DB7">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vAlign w:val="center"/>
          </w:tcPr>
          <w:p w14:paraId="4D599ADC">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vAlign w:val="center"/>
          </w:tcPr>
          <w:p w14:paraId="01EB192D">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vAlign w:val="center"/>
          </w:tcPr>
          <w:p w14:paraId="11F814E6">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电话</w:t>
            </w:r>
          </w:p>
        </w:tc>
      </w:tr>
      <w:tr w14:paraId="51EB8FF0">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079FA89E">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w:t>
            </w:r>
          </w:p>
        </w:tc>
        <w:tc>
          <w:tcPr>
            <w:tcW w:w="3020" w:type="dxa"/>
            <w:tcBorders>
              <w:top w:val="nil"/>
              <w:left w:val="nil"/>
              <w:bottom w:val="single" w:color="auto" w:sz="4" w:space="0"/>
              <w:right w:val="single" w:color="auto" w:sz="4" w:space="0"/>
            </w:tcBorders>
            <w:vAlign w:val="center"/>
          </w:tcPr>
          <w:p w14:paraId="1F5DEB3E">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建设银行钱塘支行</w:t>
            </w:r>
          </w:p>
        </w:tc>
        <w:tc>
          <w:tcPr>
            <w:tcW w:w="1420" w:type="dxa"/>
            <w:tcBorders>
              <w:top w:val="nil"/>
              <w:left w:val="nil"/>
              <w:bottom w:val="single" w:color="auto" w:sz="4" w:space="0"/>
              <w:right w:val="single" w:color="auto" w:sz="4" w:space="0"/>
            </w:tcBorders>
            <w:vAlign w:val="center"/>
          </w:tcPr>
          <w:p w14:paraId="3C8AF71D">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张苏航</w:t>
            </w:r>
          </w:p>
        </w:tc>
        <w:tc>
          <w:tcPr>
            <w:tcW w:w="3220" w:type="dxa"/>
            <w:tcBorders>
              <w:top w:val="nil"/>
              <w:left w:val="nil"/>
              <w:bottom w:val="single" w:color="auto" w:sz="4" w:space="0"/>
              <w:right w:val="single" w:color="auto" w:sz="4" w:space="0"/>
            </w:tcBorders>
            <w:vAlign w:val="center"/>
          </w:tcPr>
          <w:p w14:paraId="7A481F85">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13065710830</w:t>
            </w:r>
          </w:p>
        </w:tc>
      </w:tr>
      <w:tr w14:paraId="31311D6A">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2FF5B07E">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w:t>
            </w:r>
          </w:p>
        </w:tc>
        <w:tc>
          <w:tcPr>
            <w:tcW w:w="3020" w:type="dxa"/>
            <w:tcBorders>
              <w:top w:val="nil"/>
              <w:left w:val="nil"/>
              <w:bottom w:val="single" w:color="auto" w:sz="4" w:space="0"/>
              <w:right w:val="single" w:color="auto" w:sz="4" w:space="0"/>
            </w:tcBorders>
            <w:vAlign w:val="center"/>
          </w:tcPr>
          <w:p w14:paraId="0C31A72D">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中信银行开发支行</w:t>
            </w:r>
          </w:p>
        </w:tc>
        <w:tc>
          <w:tcPr>
            <w:tcW w:w="1420" w:type="dxa"/>
            <w:tcBorders>
              <w:top w:val="nil"/>
              <w:left w:val="nil"/>
              <w:bottom w:val="single" w:color="auto" w:sz="4" w:space="0"/>
              <w:right w:val="single" w:color="auto" w:sz="4" w:space="0"/>
            </w:tcBorders>
            <w:vAlign w:val="center"/>
          </w:tcPr>
          <w:p w14:paraId="00B5D2F3">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左劼</w:t>
            </w:r>
          </w:p>
        </w:tc>
        <w:tc>
          <w:tcPr>
            <w:tcW w:w="3220" w:type="dxa"/>
            <w:tcBorders>
              <w:top w:val="nil"/>
              <w:left w:val="nil"/>
              <w:bottom w:val="single" w:color="auto" w:sz="4" w:space="0"/>
              <w:right w:val="single" w:color="auto" w:sz="4" w:space="0"/>
            </w:tcBorders>
            <w:vAlign w:val="center"/>
          </w:tcPr>
          <w:p w14:paraId="585D351F">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13777889798</w:t>
            </w:r>
          </w:p>
        </w:tc>
      </w:tr>
      <w:tr w14:paraId="6D8755A8">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23155DB7">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w:t>
            </w:r>
          </w:p>
        </w:tc>
        <w:tc>
          <w:tcPr>
            <w:tcW w:w="3020" w:type="dxa"/>
            <w:tcBorders>
              <w:top w:val="nil"/>
              <w:left w:val="nil"/>
              <w:bottom w:val="single" w:color="auto" w:sz="4" w:space="0"/>
              <w:right w:val="single" w:color="auto" w:sz="4" w:space="0"/>
            </w:tcBorders>
            <w:vAlign w:val="center"/>
          </w:tcPr>
          <w:p w14:paraId="0C94DCFC">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民生银行下沙支行</w:t>
            </w:r>
          </w:p>
        </w:tc>
        <w:tc>
          <w:tcPr>
            <w:tcW w:w="1420" w:type="dxa"/>
            <w:tcBorders>
              <w:top w:val="nil"/>
              <w:left w:val="nil"/>
              <w:bottom w:val="single" w:color="auto" w:sz="4" w:space="0"/>
              <w:right w:val="single" w:color="auto" w:sz="4" w:space="0"/>
            </w:tcBorders>
            <w:vAlign w:val="center"/>
          </w:tcPr>
          <w:p w14:paraId="752B01D7">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吕刚</w:t>
            </w:r>
          </w:p>
        </w:tc>
        <w:tc>
          <w:tcPr>
            <w:tcW w:w="3220" w:type="dxa"/>
            <w:tcBorders>
              <w:top w:val="nil"/>
              <w:left w:val="nil"/>
              <w:bottom w:val="single" w:color="auto" w:sz="4" w:space="0"/>
              <w:right w:val="single" w:color="auto" w:sz="4" w:space="0"/>
            </w:tcBorders>
            <w:vAlign w:val="center"/>
          </w:tcPr>
          <w:p w14:paraId="4F927937">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13906811832</w:t>
            </w:r>
          </w:p>
        </w:tc>
      </w:tr>
      <w:tr w14:paraId="410AEF7C">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529EC15B">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w:t>
            </w:r>
          </w:p>
        </w:tc>
        <w:tc>
          <w:tcPr>
            <w:tcW w:w="3020" w:type="dxa"/>
            <w:tcBorders>
              <w:top w:val="nil"/>
              <w:left w:val="nil"/>
              <w:bottom w:val="single" w:color="auto" w:sz="4" w:space="0"/>
              <w:right w:val="single" w:color="auto" w:sz="4" w:space="0"/>
            </w:tcBorders>
            <w:vAlign w:val="center"/>
          </w:tcPr>
          <w:p w14:paraId="1E7C0F4F">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杭州银行钱塘支行</w:t>
            </w:r>
          </w:p>
        </w:tc>
        <w:tc>
          <w:tcPr>
            <w:tcW w:w="1420" w:type="dxa"/>
            <w:tcBorders>
              <w:top w:val="nil"/>
              <w:left w:val="nil"/>
              <w:bottom w:val="single" w:color="auto" w:sz="4" w:space="0"/>
              <w:right w:val="single" w:color="auto" w:sz="4" w:space="0"/>
            </w:tcBorders>
            <w:vAlign w:val="center"/>
          </w:tcPr>
          <w:p w14:paraId="5883F1D8">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费莎</w:t>
            </w:r>
          </w:p>
          <w:p w14:paraId="5C72C27B">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严培蓓</w:t>
            </w:r>
          </w:p>
        </w:tc>
        <w:tc>
          <w:tcPr>
            <w:tcW w:w="3220" w:type="dxa"/>
            <w:tcBorders>
              <w:top w:val="nil"/>
              <w:left w:val="nil"/>
              <w:bottom w:val="single" w:color="auto" w:sz="4" w:space="0"/>
              <w:right w:val="single" w:color="auto" w:sz="4" w:space="0"/>
            </w:tcBorders>
            <w:vAlign w:val="center"/>
          </w:tcPr>
          <w:p w14:paraId="651AA85F">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13388617781</w:t>
            </w:r>
          </w:p>
          <w:p w14:paraId="34B5E04D">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13858023883</w:t>
            </w:r>
          </w:p>
        </w:tc>
      </w:tr>
      <w:tr w14:paraId="48CD4101">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25C6F13F">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w:t>
            </w:r>
          </w:p>
        </w:tc>
        <w:tc>
          <w:tcPr>
            <w:tcW w:w="3020" w:type="dxa"/>
            <w:tcBorders>
              <w:top w:val="nil"/>
              <w:left w:val="nil"/>
              <w:bottom w:val="single" w:color="auto" w:sz="4" w:space="0"/>
              <w:right w:val="single" w:color="auto" w:sz="4" w:space="0"/>
            </w:tcBorders>
            <w:vAlign w:val="center"/>
          </w:tcPr>
          <w:p w14:paraId="474C7F20">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兴业银行开发区支行</w:t>
            </w:r>
          </w:p>
        </w:tc>
        <w:tc>
          <w:tcPr>
            <w:tcW w:w="1420" w:type="dxa"/>
            <w:tcBorders>
              <w:top w:val="nil"/>
              <w:left w:val="nil"/>
              <w:bottom w:val="single" w:color="auto" w:sz="4" w:space="0"/>
              <w:right w:val="single" w:color="auto" w:sz="4" w:space="0"/>
            </w:tcBorders>
            <w:vAlign w:val="center"/>
          </w:tcPr>
          <w:p w14:paraId="1487B9A1">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丁萍</w:t>
            </w:r>
          </w:p>
        </w:tc>
        <w:tc>
          <w:tcPr>
            <w:tcW w:w="3220" w:type="dxa"/>
            <w:tcBorders>
              <w:top w:val="nil"/>
              <w:left w:val="nil"/>
              <w:bottom w:val="single" w:color="auto" w:sz="4" w:space="0"/>
              <w:right w:val="single" w:color="auto" w:sz="4" w:space="0"/>
            </w:tcBorders>
            <w:vAlign w:val="center"/>
          </w:tcPr>
          <w:p w14:paraId="26C12815">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13777421564</w:t>
            </w:r>
          </w:p>
        </w:tc>
      </w:tr>
      <w:tr w14:paraId="5266E513">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4137D0B7">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6</w:t>
            </w:r>
          </w:p>
        </w:tc>
        <w:tc>
          <w:tcPr>
            <w:tcW w:w="3020" w:type="dxa"/>
            <w:tcBorders>
              <w:top w:val="nil"/>
              <w:left w:val="nil"/>
              <w:bottom w:val="single" w:color="auto" w:sz="4" w:space="0"/>
              <w:right w:val="single" w:color="auto" w:sz="4" w:space="0"/>
            </w:tcBorders>
            <w:vAlign w:val="center"/>
          </w:tcPr>
          <w:p w14:paraId="45DE8026">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中国银行钱塘支行</w:t>
            </w:r>
          </w:p>
        </w:tc>
        <w:tc>
          <w:tcPr>
            <w:tcW w:w="1420" w:type="dxa"/>
            <w:tcBorders>
              <w:top w:val="nil"/>
              <w:left w:val="nil"/>
              <w:bottom w:val="single" w:color="auto" w:sz="4" w:space="0"/>
              <w:right w:val="single" w:color="auto" w:sz="4" w:space="0"/>
            </w:tcBorders>
            <w:vAlign w:val="center"/>
          </w:tcPr>
          <w:p w14:paraId="4F676C5D">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沈振华</w:t>
            </w:r>
          </w:p>
        </w:tc>
        <w:tc>
          <w:tcPr>
            <w:tcW w:w="3220" w:type="dxa"/>
            <w:tcBorders>
              <w:top w:val="nil"/>
              <w:left w:val="nil"/>
              <w:bottom w:val="single" w:color="auto" w:sz="4" w:space="0"/>
              <w:right w:val="single" w:color="auto" w:sz="4" w:space="0"/>
            </w:tcBorders>
            <w:vAlign w:val="center"/>
          </w:tcPr>
          <w:p w14:paraId="1E849C85">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13957168926</w:t>
            </w:r>
          </w:p>
        </w:tc>
      </w:tr>
      <w:tr w14:paraId="69F1C294">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vAlign w:val="center"/>
          </w:tcPr>
          <w:p w14:paraId="12EB8DE9">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7</w:t>
            </w:r>
          </w:p>
        </w:tc>
        <w:tc>
          <w:tcPr>
            <w:tcW w:w="3020" w:type="dxa"/>
            <w:tcBorders>
              <w:top w:val="nil"/>
              <w:left w:val="nil"/>
              <w:bottom w:val="single" w:color="auto" w:sz="4" w:space="0"/>
              <w:right w:val="single" w:color="auto" w:sz="4" w:space="0"/>
            </w:tcBorders>
            <w:vAlign w:val="center"/>
          </w:tcPr>
          <w:p w14:paraId="0ACF8C79">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工商银行开发区支行</w:t>
            </w:r>
          </w:p>
        </w:tc>
        <w:tc>
          <w:tcPr>
            <w:tcW w:w="1420" w:type="dxa"/>
            <w:tcBorders>
              <w:top w:val="nil"/>
              <w:left w:val="nil"/>
              <w:bottom w:val="single" w:color="auto" w:sz="4" w:space="0"/>
              <w:right w:val="single" w:color="auto" w:sz="4" w:space="0"/>
            </w:tcBorders>
            <w:vAlign w:val="center"/>
          </w:tcPr>
          <w:p w14:paraId="471DD7AA">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李燕珍</w:t>
            </w:r>
          </w:p>
        </w:tc>
        <w:tc>
          <w:tcPr>
            <w:tcW w:w="3220" w:type="dxa"/>
            <w:tcBorders>
              <w:top w:val="nil"/>
              <w:left w:val="nil"/>
              <w:bottom w:val="single" w:color="auto" w:sz="4" w:space="0"/>
              <w:right w:val="single" w:color="auto" w:sz="4" w:space="0"/>
            </w:tcBorders>
            <w:vAlign w:val="center"/>
          </w:tcPr>
          <w:p w14:paraId="7E30F539">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137357 38</w:t>
            </w:r>
          </w:p>
        </w:tc>
      </w:tr>
      <w:tr w14:paraId="2D30D25B">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vAlign w:val="center"/>
          </w:tcPr>
          <w:p w14:paraId="6FD50E57">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8</w:t>
            </w:r>
          </w:p>
        </w:tc>
        <w:tc>
          <w:tcPr>
            <w:tcW w:w="3020" w:type="dxa"/>
            <w:tcBorders>
              <w:top w:val="nil"/>
              <w:left w:val="nil"/>
              <w:bottom w:val="single" w:color="auto" w:sz="4" w:space="0"/>
              <w:right w:val="single" w:color="auto" w:sz="4" w:space="0"/>
            </w:tcBorders>
            <w:vAlign w:val="center"/>
          </w:tcPr>
          <w:p w14:paraId="39FCA7ED">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宁波银行开发区支行</w:t>
            </w:r>
          </w:p>
        </w:tc>
        <w:tc>
          <w:tcPr>
            <w:tcW w:w="1420" w:type="dxa"/>
            <w:tcBorders>
              <w:top w:val="nil"/>
              <w:left w:val="nil"/>
              <w:bottom w:val="single" w:color="auto" w:sz="4" w:space="0"/>
              <w:right w:val="single" w:color="auto" w:sz="4" w:space="0"/>
            </w:tcBorders>
            <w:vAlign w:val="center"/>
          </w:tcPr>
          <w:p w14:paraId="3471F78F">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贾磊</w:t>
            </w:r>
          </w:p>
        </w:tc>
        <w:tc>
          <w:tcPr>
            <w:tcW w:w="3220" w:type="dxa"/>
            <w:tcBorders>
              <w:top w:val="nil"/>
              <w:left w:val="nil"/>
              <w:bottom w:val="single" w:color="auto" w:sz="4" w:space="0"/>
              <w:right w:val="single" w:color="auto" w:sz="4" w:space="0"/>
            </w:tcBorders>
            <w:vAlign w:val="center"/>
          </w:tcPr>
          <w:p w14:paraId="65E55A75">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13575745232</w:t>
            </w:r>
          </w:p>
        </w:tc>
      </w:tr>
      <w:tr w14:paraId="2092F584">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vAlign w:val="center"/>
          </w:tcPr>
          <w:p w14:paraId="48901B8E">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9</w:t>
            </w:r>
          </w:p>
        </w:tc>
        <w:tc>
          <w:tcPr>
            <w:tcW w:w="3020" w:type="dxa"/>
            <w:tcBorders>
              <w:top w:val="nil"/>
              <w:left w:val="nil"/>
              <w:bottom w:val="single" w:color="auto" w:sz="4" w:space="0"/>
              <w:right w:val="single" w:color="auto" w:sz="4" w:space="0"/>
            </w:tcBorders>
            <w:vAlign w:val="center"/>
          </w:tcPr>
          <w:p w14:paraId="01B0BFF7">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杭州联合银行下沙支行</w:t>
            </w:r>
          </w:p>
        </w:tc>
        <w:tc>
          <w:tcPr>
            <w:tcW w:w="1420" w:type="dxa"/>
            <w:tcBorders>
              <w:top w:val="nil"/>
              <w:left w:val="nil"/>
              <w:bottom w:val="single" w:color="auto" w:sz="4" w:space="0"/>
              <w:right w:val="single" w:color="auto" w:sz="4" w:space="0"/>
            </w:tcBorders>
            <w:vAlign w:val="center"/>
          </w:tcPr>
          <w:p w14:paraId="77F1E17F">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王宁</w:t>
            </w:r>
          </w:p>
        </w:tc>
        <w:tc>
          <w:tcPr>
            <w:tcW w:w="3220" w:type="dxa"/>
            <w:tcBorders>
              <w:top w:val="nil"/>
              <w:left w:val="nil"/>
              <w:bottom w:val="single" w:color="auto" w:sz="4" w:space="0"/>
              <w:right w:val="single" w:color="auto" w:sz="4" w:space="0"/>
            </w:tcBorders>
            <w:vAlign w:val="center"/>
          </w:tcPr>
          <w:p w14:paraId="3F1CF697">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18906520030</w:t>
            </w:r>
          </w:p>
        </w:tc>
      </w:tr>
      <w:tr w14:paraId="4E9F0B8C">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vAlign w:val="center"/>
          </w:tcPr>
          <w:p w14:paraId="76E6C684">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10</w:t>
            </w:r>
          </w:p>
        </w:tc>
        <w:tc>
          <w:tcPr>
            <w:tcW w:w="3020" w:type="dxa"/>
            <w:tcBorders>
              <w:top w:val="nil"/>
              <w:left w:val="nil"/>
              <w:bottom w:val="single" w:color="auto" w:sz="4" w:space="0"/>
              <w:right w:val="single" w:color="auto" w:sz="4" w:space="0"/>
            </w:tcBorders>
            <w:vAlign w:val="center"/>
          </w:tcPr>
          <w:p w14:paraId="7074AF09">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农业银行钱塘支行</w:t>
            </w:r>
          </w:p>
        </w:tc>
        <w:tc>
          <w:tcPr>
            <w:tcW w:w="1420" w:type="dxa"/>
            <w:tcBorders>
              <w:top w:val="nil"/>
              <w:left w:val="nil"/>
              <w:bottom w:val="single" w:color="auto" w:sz="4" w:space="0"/>
              <w:right w:val="single" w:color="auto" w:sz="4" w:space="0"/>
            </w:tcBorders>
            <w:vAlign w:val="center"/>
          </w:tcPr>
          <w:p w14:paraId="667984D5">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王安东</w:t>
            </w:r>
          </w:p>
          <w:p w14:paraId="4A780D02">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方若愚</w:t>
            </w:r>
          </w:p>
        </w:tc>
        <w:tc>
          <w:tcPr>
            <w:tcW w:w="3220" w:type="dxa"/>
            <w:tcBorders>
              <w:top w:val="nil"/>
              <w:left w:val="nil"/>
              <w:bottom w:val="single" w:color="auto" w:sz="4" w:space="0"/>
              <w:right w:val="single" w:color="auto" w:sz="4" w:space="0"/>
            </w:tcBorders>
            <w:vAlign w:val="center"/>
          </w:tcPr>
          <w:p w14:paraId="257AE8F7">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15158025713</w:t>
            </w:r>
          </w:p>
          <w:p w14:paraId="634F9764">
            <w:pPr>
              <w:widowControl/>
              <w:shd w:val="clear"/>
              <w:wordWrap/>
              <w:topLinePunct w:val="0"/>
              <w:bidi w:val="0"/>
              <w:spacing w:line="360" w:lineRule="auto"/>
              <w:jc w:val="center"/>
              <w:rPr>
                <w:rFonts w:hint="eastAsia" w:ascii="仿宋" w:hAnsi="仿宋" w:eastAsia="仿宋" w:cs="仿宋"/>
                <w:color w:val="auto"/>
                <w:highlight w:val="none"/>
              </w:rPr>
            </w:pPr>
            <w:r>
              <w:rPr>
                <w:rFonts w:hint="eastAsia" w:ascii="仿宋" w:hAnsi="仿宋" w:eastAsia="仿宋" w:cs="仿宋"/>
                <w:color w:val="auto"/>
                <w:kern w:val="0"/>
                <w:sz w:val="24"/>
                <w:highlight w:val="none"/>
              </w:rPr>
              <w:t>15067483470</w:t>
            </w:r>
          </w:p>
        </w:tc>
      </w:tr>
      <w:tr w14:paraId="2E518872">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4B11B29E">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vAlign w:val="center"/>
          </w:tcPr>
          <w:p w14:paraId="37000F9D">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vAlign w:val="center"/>
          </w:tcPr>
          <w:p w14:paraId="608B8BAD">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vAlign w:val="center"/>
          </w:tcPr>
          <w:p w14:paraId="67F9707A">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82921293，18258888258</w:t>
            </w:r>
          </w:p>
        </w:tc>
      </w:tr>
      <w:tr w14:paraId="34BD84AC">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vAlign w:val="center"/>
          </w:tcPr>
          <w:p w14:paraId="57BF7464">
            <w:pPr>
              <w:widowControl/>
              <w:shd w:val="clear"/>
              <w:wordWrap/>
              <w:topLinePunct w:val="0"/>
              <w:bidi w:val="0"/>
              <w:spacing w:line="360" w:lineRule="auto"/>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vAlign w:val="center"/>
          </w:tcPr>
          <w:p w14:paraId="2FDC8700">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vAlign w:val="center"/>
          </w:tcPr>
          <w:p w14:paraId="2EB9E1B8">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vAlign w:val="center"/>
          </w:tcPr>
          <w:p w14:paraId="4C17A09F">
            <w:pPr>
              <w:widowControl/>
              <w:shd w:val="clear"/>
              <w:wordWrap/>
              <w:topLinePunct w:val="0"/>
              <w:bidi w:val="0"/>
              <w:spacing w:line="36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18805812679</w:t>
            </w:r>
          </w:p>
        </w:tc>
      </w:tr>
    </w:tbl>
    <w:p w14:paraId="0C56A825">
      <w:pPr>
        <w:shd w:val="clear"/>
        <w:wordWrap/>
        <w:topLinePunct w:val="0"/>
        <w:bidi w:val="0"/>
        <w:spacing w:line="360" w:lineRule="auto"/>
        <w:ind w:left="5060" w:hanging="5060" w:hangingChars="2100"/>
        <w:rPr>
          <w:rFonts w:hint="eastAsia" w:ascii="仿宋" w:hAnsi="仿宋" w:eastAsia="仿宋" w:cs="仿宋"/>
          <w:b/>
          <w:bCs/>
          <w:color w:val="auto"/>
          <w:kern w:val="0"/>
          <w:sz w:val="24"/>
          <w:highlight w:val="none"/>
        </w:rPr>
      </w:pPr>
    </w:p>
    <w:p w14:paraId="118150DF">
      <w:pPr>
        <w:shd w:val="clear"/>
        <w:wordWrap/>
        <w:topLinePunct w:val="0"/>
        <w:bidi w:val="0"/>
        <w:spacing w:line="360" w:lineRule="auto"/>
        <w:ind w:left="5060" w:hanging="5060" w:hangingChars="2100"/>
        <w:rPr>
          <w:rFonts w:hint="eastAsia" w:ascii="仿宋" w:hAnsi="仿宋" w:eastAsia="仿宋" w:cs="仿宋"/>
          <w:b/>
          <w:bCs/>
          <w:color w:val="auto"/>
          <w:kern w:val="0"/>
          <w:sz w:val="24"/>
          <w:highlight w:val="none"/>
        </w:rPr>
      </w:pPr>
    </w:p>
    <w:p w14:paraId="12866184">
      <w:pPr>
        <w:pStyle w:val="2"/>
        <w:keepNext w:val="0"/>
        <w:keepLines w:val="0"/>
        <w:pageBreakBefore/>
        <w:widowControl/>
        <w:shd w:val="clear"/>
        <w:wordWrap/>
        <w:topLinePunct w:val="0"/>
        <w:bidi w:val="0"/>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00" w:name="_Toc465665161"/>
      <w:r>
        <w:rPr>
          <w:rFonts w:hint="eastAsia" w:ascii="仿宋" w:hAnsi="仿宋" w:eastAsia="仿宋" w:cs="仿宋"/>
          <w:color w:val="auto"/>
          <w:highlight w:val="none"/>
        </w:rPr>
        <w:t>附件</w:t>
      </w:r>
      <w:bookmarkEnd w:id="400"/>
    </w:p>
    <w:p w14:paraId="675C6C34">
      <w:pPr>
        <w:shd w:val="clear"/>
        <w:wordWrap/>
        <w:topLinePunct w:val="0"/>
        <w:bidi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63EEDEB">
      <w:pPr>
        <w:shd w:val="clear"/>
        <w:wordWrap/>
        <w:topLinePunct w:val="0"/>
        <w:bidi w:val="0"/>
        <w:spacing w:line="360" w:lineRule="auto"/>
        <w:jc w:val="center"/>
        <w:rPr>
          <w:rFonts w:hint="eastAsia" w:ascii="仿宋" w:hAnsi="仿宋" w:eastAsia="仿宋" w:cs="仿宋"/>
          <w:b/>
          <w:color w:val="auto"/>
          <w:spacing w:val="6"/>
          <w:sz w:val="32"/>
          <w:szCs w:val="32"/>
          <w:highlight w:val="none"/>
        </w:rPr>
      </w:pPr>
      <w:bookmarkStart w:id="401" w:name="OLE_LINK13"/>
      <w:bookmarkStart w:id="402" w:name="OLE_LINK14"/>
      <w:r>
        <w:rPr>
          <w:rFonts w:hint="eastAsia" w:ascii="仿宋" w:hAnsi="仿宋" w:eastAsia="仿宋" w:cs="仿宋"/>
          <w:b/>
          <w:color w:val="auto"/>
          <w:spacing w:val="6"/>
          <w:sz w:val="32"/>
          <w:szCs w:val="32"/>
          <w:highlight w:val="none"/>
        </w:rPr>
        <w:t>残疾人福利性单位声明函</w:t>
      </w:r>
    </w:p>
    <w:bookmarkEnd w:id="401"/>
    <w:bookmarkEnd w:id="402"/>
    <w:p w14:paraId="2057C147">
      <w:pPr>
        <w:shd w:val="clear"/>
        <w:wordWrap/>
        <w:topLinePunct w:val="0"/>
        <w:bidi w:val="0"/>
        <w:spacing w:line="360" w:lineRule="auto"/>
        <w:rPr>
          <w:rFonts w:hint="eastAsia" w:ascii="仿宋" w:hAnsi="仿宋" w:eastAsia="仿宋" w:cs="仿宋"/>
          <w:b/>
          <w:color w:val="auto"/>
          <w:spacing w:val="6"/>
          <w:sz w:val="30"/>
          <w:szCs w:val="30"/>
          <w:highlight w:val="none"/>
        </w:rPr>
      </w:pPr>
    </w:p>
    <w:p w14:paraId="6D8B5D89">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4B8ABD">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EC6B071">
      <w:pPr>
        <w:shd w:val="clear"/>
        <w:wordWrap/>
        <w:topLinePunct w:val="0"/>
        <w:bidi w:val="0"/>
        <w:spacing w:line="360" w:lineRule="auto"/>
        <w:ind w:firstLine="480" w:firstLineChars="200"/>
        <w:rPr>
          <w:rFonts w:hint="eastAsia" w:ascii="仿宋" w:hAnsi="仿宋" w:eastAsia="仿宋" w:cs="仿宋"/>
          <w:color w:val="auto"/>
          <w:sz w:val="24"/>
          <w:highlight w:val="none"/>
        </w:rPr>
      </w:pPr>
    </w:p>
    <w:p w14:paraId="2A4813FD">
      <w:pPr>
        <w:shd w:val="clear"/>
        <w:wordWrap/>
        <w:topLinePunct w:val="0"/>
        <w:bidi w:val="0"/>
        <w:spacing w:line="360" w:lineRule="auto"/>
        <w:ind w:firstLine="480" w:firstLineChars="200"/>
        <w:rPr>
          <w:rFonts w:hint="eastAsia" w:ascii="仿宋" w:hAnsi="仿宋" w:eastAsia="仿宋" w:cs="仿宋"/>
          <w:color w:val="auto"/>
          <w:sz w:val="24"/>
          <w:highlight w:val="none"/>
        </w:rPr>
      </w:pPr>
    </w:p>
    <w:p w14:paraId="6530393B">
      <w:pPr>
        <w:shd w:val="clear"/>
        <w:tabs>
          <w:tab w:val="left" w:pos="4860"/>
        </w:tabs>
        <w:wordWrap/>
        <w:topLinePunct w:val="0"/>
        <w:bidi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供应商名称（电子签名）</w:t>
      </w:r>
      <w:r>
        <w:rPr>
          <w:rFonts w:hint="eastAsia" w:ascii="仿宋" w:hAnsi="仿宋" w:eastAsia="仿宋" w:cs="仿宋"/>
          <w:color w:val="auto"/>
          <w:sz w:val="24"/>
          <w:highlight w:val="none"/>
        </w:rPr>
        <w:t>：</w:t>
      </w:r>
    </w:p>
    <w:p w14:paraId="18C3567E">
      <w:pPr>
        <w:shd w:val="clear"/>
        <w:tabs>
          <w:tab w:val="left" w:pos="4860"/>
        </w:tabs>
        <w:wordWrap/>
        <w:topLinePunct w:val="0"/>
        <w:bidi w:val="0"/>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D63B8A2">
      <w:pPr>
        <w:shd w:val="clear"/>
        <w:wordWrap/>
        <w:topLinePunct w:val="0"/>
        <w:bidi w:val="0"/>
        <w:spacing w:line="360" w:lineRule="auto"/>
        <w:ind w:firstLine="480" w:firstLineChars="200"/>
        <w:rPr>
          <w:rFonts w:hint="eastAsia" w:ascii="仿宋" w:hAnsi="仿宋" w:eastAsia="仿宋" w:cs="仿宋"/>
          <w:color w:val="auto"/>
          <w:sz w:val="24"/>
          <w:highlight w:val="none"/>
        </w:rPr>
      </w:pPr>
    </w:p>
    <w:p w14:paraId="03677CB7">
      <w:pPr>
        <w:shd w:val="clear"/>
        <w:wordWrap/>
        <w:topLinePunct w:val="0"/>
        <w:bidi w:val="0"/>
        <w:spacing w:line="360" w:lineRule="auto"/>
        <w:ind w:firstLine="420" w:firstLineChars="200"/>
        <w:rPr>
          <w:rFonts w:hint="eastAsia" w:ascii="仿宋" w:hAnsi="仿宋" w:eastAsia="仿宋" w:cs="仿宋"/>
          <w:color w:val="auto"/>
          <w:highlight w:val="none"/>
        </w:rPr>
      </w:pPr>
    </w:p>
    <w:p w14:paraId="75C20D2F">
      <w:pPr>
        <w:shd w:val="clear"/>
        <w:wordWrap/>
        <w:topLinePunct w:val="0"/>
        <w:bidi w:val="0"/>
        <w:spacing w:line="360" w:lineRule="auto"/>
        <w:ind w:firstLine="420" w:firstLineChars="200"/>
        <w:rPr>
          <w:rFonts w:hint="eastAsia" w:ascii="仿宋" w:hAnsi="仿宋" w:eastAsia="仿宋" w:cs="仿宋"/>
          <w:color w:val="auto"/>
          <w:highlight w:val="none"/>
        </w:rPr>
      </w:pPr>
    </w:p>
    <w:p w14:paraId="3FB3C1A7">
      <w:pPr>
        <w:shd w:val="clear"/>
        <w:wordWrap/>
        <w:topLinePunct w:val="0"/>
        <w:bidi w:val="0"/>
        <w:spacing w:line="360" w:lineRule="auto"/>
        <w:ind w:firstLine="420" w:firstLineChars="200"/>
        <w:rPr>
          <w:rFonts w:hint="eastAsia" w:ascii="仿宋" w:hAnsi="仿宋" w:eastAsia="仿宋" w:cs="仿宋"/>
          <w:color w:val="auto"/>
          <w:highlight w:val="none"/>
        </w:rPr>
      </w:pPr>
    </w:p>
    <w:p w14:paraId="710ABA71">
      <w:pPr>
        <w:shd w:val="clear"/>
        <w:wordWrap/>
        <w:topLinePunct w:val="0"/>
        <w:bidi w:val="0"/>
        <w:spacing w:line="360" w:lineRule="auto"/>
        <w:ind w:firstLine="420" w:firstLineChars="200"/>
        <w:rPr>
          <w:rFonts w:hint="eastAsia" w:ascii="仿宋" w:hAnsi="仿宋" w:eastAsia="仿宋" w:cs="仿宋"/>
          <w:color w:val="auto"/>
          <w:highlight w:val="none"/>
        </w:rPr>
      </w:pPr>
    </w:p>
    <w:p w14:paraId="328F6CC7">
      <w:pPr>
        <w:shd w:val="clear"/>
        <w:wordWrap/>
        <w:topLinePunct w:val="0"/>
        <w:bidi w:val="0"/>
        <w:spacing w:line="360" w:lineRule="auto"/>
        <w:rPr>
          <w:rFonts w:hint="eastAsia" w:ascii="仿宋" w:hAnsi="仿宋" w:eastAsia="仿宋" w:cs="仿宋"/>
          <w:b/>
          <w:color w:val="auto"/>
          <w:sz w:val="24"/>
          <w:highlight w:val="none"/>
        </w:rPr>
      </w:pPr>
    </w:p>
    <w:p w14:paraId="6659D8CD">
      <w:pPr>
        <w:shd w:val="clear"/>
        <w:wordWrap/>
        <w:topLinePunct w:val="0"/>
        <w:bidi w:val="0"/>
        <w:spacing w:line="360" w:lineRule="auto"/>
        <w:rPr>
          <w:rFonts w:hint="eastAsia" w:ascii="仿宋" w:hAnsi="仿宋" w:eastAsia="仿宋" w:cs="仿宋"/>
          <w:b/>
          <w:color w:val="auto"/>
          <w:sz w:val="24"/>
          <w:highlight w:val="none"/>
        </w:rPr>
      </w:pPr>
    </w:p>
    <w:p w14:paraId="0D462F8B">
      <w:pPr>
        <w:shd w:val="clear"/>
        <w:wordWrap/>
        <w:topLinePunct w:val="0"/>
        <w:bidi w:val="0"/>
        <w:spacing w:line="360" w:lineRule="auto"/>
        <w:rPr>
          <w:rFonts w:hint="eastAsia" w:ascii="仿宋" w:hAnsi="仿宋" w:eastAsia="仿宋" w:cs="仿宋"/>
          <w:b/>
          <w:color w:val="auto"/>
          <w:sz w:val="24"/>
          <w:highlight w:val="none"/>
        </w:rPr>
      </w:pPr>
    </w:p>
    <w:p w14:paraId="2CF9869E">
      <w:pPr>
        <w:shd w:val="clear"/>
        <w:wordWrap/>
        <w:topLinePunct w:val="0"/>
        <w:bidi w:val="0"/>
        <w:spacing w:line="360" w:lineRule="auto"/>
        <w:rPr>
          <w:rFonts w:hint="eastAsia" w:ascii="仿宋" w:hAnsi="仿宋" w:eastAsia="仿宋" w:cs="仿宋"/>
          <w:b/>
          <w:color w:val="auto"/>
          <w:sz w:val="24"/>
          <w:highlight w:val="none"/>
        </w:rPr>
      </w:pPr>
    </w:p>
    <w:p w14:paraId="46A6776D">
      <w:pPr>
        <w:shd w:val="clear"/>
        <w:wordWrap/>
        <w:topLinePunct w:val="0"/>
        <w:bidi w:val="0"/>
        <w:spacing w:line="360" w:lineRule="auto"/>
        <w:rPr>
          <w:rFonts w:hint="eastAsia" w:ascii="仿宋" w:hAnsi="仿宋" w:eastAsia="仿宋" w:cs="仿宋"/>
          <w:b/>
          <w:color w:val="auto"/>
          <w:sz w:val="24"/>
          <w:highlight w:val="none"/>
        </w:rPr>
      </w:pPr>
    </w:p>
    <w:p w14:paraId="368490A2">
      <w:pPr>
        <w:shd w:val="clear"/>
        <w:wordWrap/>
        <w:topLinePunct w:val="0"/>
        <w:bidi w:val="0"/>
        <w:spacing w:line="360" w:lineRule="auto"/>
        <w:rPr>
          <w:rFonts w:hint="eastAsia" w:ascii="仿宋" w:hAnsi="仿宋" w:eastAsia="仿宋" w:cs="仿宋"/>
          <w:b/>
          <w:color w:val="auto"/>
          <w:sz w:val="24"/>
          <w:highlight w:val="none"/>
        </w:rPr>
      </w:pPr>
    </w:p>
    <w:p w14:paraId="032EC269">
      <w:pPr>
        <w:shd w:val="clear"/>
        <w:wordWrap/>
        <w:topLinePunct w:val="0"/>
        <w:bidi w:val="0"/>
        <w:spacing w:line="360" w:lineRule="auto"/>
        <w:rPr>
          <w:rFonts w:hint="eastAsia" w:ascii="仿宋" w:hAnsi="仿宋" w:eastAsia="仿宋" w:cs="仿宋"/>
          <w:b/>
          <w:color w:val="auto"/>
          <w:sz w:val="24"/>
          <w:highlight w:val="none"/>
        </w:rPr>
      </w:pPr>
    </w:p>
    <w:p w14:paraId="57BEA7BF">
      <w:pPr>
        <w:shd w:val="clear"/>
        <w:wordWrap/>
        <w:topLinePunct w:val="0"/>
        <w:bidi w:val="0"/>
        <w:spacing w:line="360" w:lineRule="auto"/>
        <w:rPr>
          <w:rFonts w:hint="eastAsia" w:ascii="仿宋" w:hAnsi="仿宋" w:eastAsia="仿宋" w:cs="仿宋"/>
          <w:b/>
          <w:color w:val="auto"/>
          <w:sz w:val="24"/>
          <w:highlight w:val="none"/>
        </w:rPr>
      </w:pPr>
    </w:p>
    <w:p w14:paraId="0DDBCC23">
      <w:pPr>
        <w:shd w:val="clear"/>
        <w:wordWrap/>
        <w:topLinePunct w:val="0"/>
        <w:bidi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64FE56B">
      <w:pPr>
        <w:shd w:val="clear"/>
        <w:wordWrap/>
        <w:topLinePunct w:val="0"/>
        <w:bidi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E33F03A">
      <w:pPr>
        <w:shd w:val="clear"/>
        <w:wordWrap/>
        <w:topLinePunct w:val="0"/>
        <w:bidi w:val="0"/>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77A2CFED">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3DDEB034">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4A29F9E4">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6103DE83">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04782564">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613DED59">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1FA9D5C5">
      <w:pPr>
        <w:shd w:val="clear"/>
        <w:wordWrap/>
        <w:topLinePunct w:val="0"/>
        <w:bidi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3297002">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2CFA4819">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069122A1">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12A0AD6A">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5D2253C4">
      <w:pPr>
        <w:shd w:val="clear"/>
        <w:wordWrap/>
        <w:topLinePunct w:val="0"/>
        <w:bidi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15E6992">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26E3C575">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3388DF24">
      <w:pPr>
        <w:shd w:val="clear"/>
        <w:wordWrap/>
        <w:topLinePunct w:val="0"/>
        <w:bidi w:val="0"/>
        <w:snapToGrid w:val="0"/>
        <w:spacing w:line="360" w:lineRule="auto"/>
        <w:rPr>
          <w:rFonts w:hint="eastAsia" w:ascii="仿宋" w:hAnsi="仿宋" w:eastAsia="仿宋" w:cs="仿宋"/>
          <w:color w:val="auto"/>
          <w:sz w:val="24"/>
          <w:highlight w:val="none"/>
        </w:rPr>
      </w:pPr>
    </w:p>
    <w:p w14:paraId="73F60A9F">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61BE62D0">
      <w:pPr>
        <w:shd w:val="clear"/>
        <w:wordWrap/>
        <w:topLinePunct w:val="0"/>
        <w:bidi w:val="0"/>
        <w:snapToGrid w:val="0"/>
        <w:spacing w:line="360" w:lineRule="auto"/>
        <w:rPr>
          <w:rFonts w:hint="eastAsia" w:ascii="仿宋" w:hAnsi="仿宋" w:eastAsia="仿宋" w:cs="仿宋"/>
          <w:color w:val="auto"/>
          <w:sz w:val="24"/>
          <w:highlight w:val="none"/>
          <w:u w:val="dotted"/>
        </w:rPr>
      </w:pPr>
    </w:p>
    <w:p w14:paraId="139CEF7C">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6819874C">
      <w:pPr>
        <w:shd w:val="clear"/>
        <w:wordWrap/>
        <w:topLinePunct w:val="0"/>
        <w:bidi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1009947">
      <w:pPr>
        <w:shd w:val="clear"/>
        <w:wordWrap/>
        <w:topLinePunct w:val="0"/>
        <w:bidi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34DC45A">
      <w:pPr>
        <w:shd w:val="clear"/>
        <w:wordWrap/>
        <w:topLinePunct w:val="0"/>
        <w:bidi w:val="0"/>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322B4D77">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48A6F02">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927FF0A">
      <w:pPr>
        <w:shd w:val="clear"/>
        <w:wordWrap/>
        <w:topLinePunct w:val="0"/>
        <w:bidi w:val="0"/>
        <w:spacing w:line="360" w:lineRule="auto"/>
        <w:jc w:val="center"/>
        <w:rPr>
          <w:rFonts w:hint="eastAsia" w:ascii="仿宋" w:hAnsi="仿宋" w:eastAsia="仿宋" w:cs="仿宋"/>
          <w:b/>
          <w:bCs/>
          <w:color w:val="auto"/>
          <w:sz w:val="24"/>
          <w:highlight w:val="none"/>
        </w:rPr>
      </w:pPr>
    </w:p>
    <w:p w14:paraId="1614317B">
      <w:pPr>
        <w:shd w:val="clear"/>
        <w:wordWrap/>
        <w:topLinePunct w:val="0"/>
        <w:bidi w:val="0"/>
        <w:spacing w:line="360" w:lineRule="auto"/>
        <w:rPr>
          <w:rFonts w:hint="eastAsia" w:ascii="仿宋" w:hAnsi="仿宋" w:eastAsia="仿宋" w:cs="仿宋"/>
          <w:b/>
          <w:color w:val="auto"/>
          <w:sz w:val="24"/>
          <w:highlight w:val="none"/>
        </w:rPr>
      </w:pPr>
    </w:p>
    <w:p w14:paraId="6E184089">
      <w:pPr>
        <w:shd w:val="clear"/>
        <w:wordWrap/>
        <w:topLinePunct w:val="0"/>
        <w:bidi w:val="0"/>
        <w:spacing w:line="360" w:lineRule="auto"/>
        <w:rPr>
          <w:rFonts w:hint="eastAsia" w:ascii="仿宋" w:hAnsi="仿宋" w:eastAsia="仿宋" w:cs="仿宋"/>
          <w:b/>
          <w:color w:val="auto"/>
          <w:sz w:val="24"/>
          <w:highlight w:val="none"/>
        </w:rPr>
      </w:pPr>
    </w:p>
    <w:p w14:paraId="5286CD8D">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817EC76">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557E1680">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687F82F3">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6F04A5DF">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F2C0A65">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4927B5F">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CEAACAE">
      <w:pPr>
        <w:widowControl/>
        <w:shd w:val="clear"/>
        <w:wordWrap/>
        <w:topLinePunct w:val="0"/>
        <w:bidi w:val="0"/>
        <w:spacing w:line="360" w:lineRule="auto"/>
        <w:ind w:firstLine="600" w:firstLineChars="200"/>
        <w:jc w:val="left"/>
        <w:rPr>
          <w:rFonts w:hint="eastAsia" w:ascii="仿宋" w:hAnsi="仿宋" w:eastAsia="仿宋" w:cs="仿宋"/>
          <w:color w:val="auto"/>
          <w:sz w:val="30"/>
          <w:szCs w:val="30"/>
          <w:highlight w:val="none"/>
        </w:rPr>
      </w:pPr>
    </w:p>
    <w:p w14:paraId="00068539">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2BD5592E">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29EB5CAC">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7B9BAEC5">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25CA11DC">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3832E187">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0194115C">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30DDA035">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0296520C">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04B1ECBF">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68DE2E24">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48A7D39B">
      <w:pPr>
        <w:shd w:val="clear"/>
        <w:wordWrap/>
        <w:topLinePunct w:val="0"/>
        <w:bidi w:val="0"/>
        <w:spacing w:line="360" w:lineRule="auto"/>
        <w:jc w:val="center"/>
        <w:rPr>
          <w:rFonts w:hint="eastAsia" w:ascii="仿宋" w:hAnsi="仿宋" w:eastAsia="仿宋" w:cs="仿宋"/>
          <w:b/>
          <w:color w:val="auto"/>
          <w:spacing w:val="6"/>
          <w:sz w:val="32"/>
          <w:szCs w:val="32"/>
          <w:highlight w:val="none"/>
        </w:rPr>
      </w:pPr>
    </w:p>
    <w:p w14:paraId="7610F096">
      <w:pPr>
        <w:shd w:val="clear"/>
        <w:wordWrap/>
        <w:topLinePunct w:val="0"/>
        <w:bidi w:val="0"/>
        <w:spacing w:line="360" w:lineRule="auto"/>
        <w:jc w:val="left"/>
        <w:rPr>
          <w:rFonts w:hint="eastAsia" w:ascii="仿宋" w:hAnsi="仿宋" w:eastAsia="仿宋" w:cs="仿宋"/>
          <w:b/>
          <w:color w:val="auto"/>
          <w:spacing w:val="6"/>
          <w:sz w:val="32"/>
          <w:szCs w:val="32"/>
          <w:highlight w:val="none"/>
        </w:rPr>
      </w:pPr>
    </w:p>
    <w:p w14:paraId="0C2B138B">
      <w:pPr>
        <w:shd w:val="clear"/>
        <w:wordWrap/>
        <w:topLinePunct w:val="0"/>
        <w:bidi w:val="0"/>
        <w:spacing w:line="360" w:lineRule="auto"/>
        <w:jc w:val="left"/>
        <w:rPr>
          <w:rFonts w:hint="eastAsia" w:ascii="仿宋" w:hAnsi="仿宋" w:eastAsia="仿宋" w:cs="仿宋"/>
          <w:b/>
          <w:color w:val="auto"/>
          <w:spacing w:val="6"/>
          <w:sz w:val="32"/>
          <w:szCs w:val="32"/>
          <w:highlight w:val="none"/>
        </w:rPr>
      </w:pPr>
    </w:p>
    <w:p w14:paraId="1AED6DBA">
      <w:pPr>
        <w:shd w:val="clear"/>
        <w:wordWrap/>
        <w:topLinePunct w:val="0"/>
        <w:bidi w:val="0"/>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1ABACED1">
      <w:pPr>
        <w:shd w:val="clear"/>
        <w:wordWrap/>
        <w:topLinePunct w:val="0"/>
        <w:bidi w:val="0"/>
        <w:spacing w:line="360" w:lineRule="auto"/>
        <w:jc w:val="center"/>
        <w:rPr>
          <w:rFonts w:hint="eastAsia" w:ascii="仿宋" w:hAnsi="仿宋" w:eastAsia="仿宋" w:cs="仿宋"/>
          <w:b/>
          <w:color w:val="auto"/>
          <w:sz w:val="24"/>
          <w:highlight w:val="none"/>
        </w:rPr>
      </w:pPr>
    </w:p>
    <w:p w14:paraId="280BB3B1">
      <w:pPr>
        <w:shd w:val="clear"/>
        <w:wordWrap/>
        <w:topLinePunct w:val="0"/>
        <w:bidi w:val="0"/>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F19DEF3">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5D007C7">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390F0F8E">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04300B87">
      <w:pPr>
        <w:shd w:val="clear"/>
        <w:tabs>
          <w:tab w:val="left" w:pos="6510"/>
        </w:tabs>
        <w:wordWrap/>
        <w:topLinePunct w:val="0"/>
        <w:bidi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0652506A">
      <w:pPr>
        <w:shd w:val="clear"/>
        <w:tabs>
          <w:tab w:val="left" w:pos="6510"/>
        </w:tabs>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123221A1">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73677DF5">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7F6D2E7D">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0C64DDEF">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5531CF9F">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03E1C164">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A6DE0E4">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6D9AC8C">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1CDF07D7">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73CD2F28">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62C461CE">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528CCFE0">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7B2D42A5">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756B2A74">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71C30BC3">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76B6D6AA">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3E14B654">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25EB91FE">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CE8E0FD">
      <w:pPr>
        <w:shd w:val="clear"/>
        <w:wordWrap/>
        <w:topLinePunct w:val="0"/>
        <w:bidi w:val="0"/>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50D49D70">
      <w:pPr>
        <w:shd w:val="clear"/>
        <w:wordWrap/>
        <w:topLinePunct w:val="0"/>
        <w:bidi w:val="0"/>
        <w:spacing w:line="360" w:lineRule="auto"/>
        <w:rPr>
          <w:rFonts w:hint="eastAsia" w:ascii="仿宋" w:hAnsi="仿宋" w:eastAsia="仿宋" w:cs="仿宋"/>
          <w:color w:val="auto"/>
          <w:sz w:val="24"/>
          <w:highlight w:val="none"/>
          <w:u w:val="dotted"/>
        </w:rPr>
      </w:pPr>
    </w:p>
    <w:p w14:paraId="2CBC8206">
      <w:pPr>
        <w:shd w:val="clear"/>
        <w:wordWrap/>
        <w:topLinePunct w:val="0"/>
        <w:bidi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54A343A9">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106996E">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145BB925">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5F655D1C">
      <w:pPr>
        <w:shd w:val="clear"/>
        <w:wordWrap/>
        <w:topLinePunct w:val="0"/>
        <w:bidi w:val="0"/>
        <w:spacing w:line="360" w:lineRule="auto"/>
        <w:rPr>
          <w:rFonts w:hint="eastAsia" w:ascii="仿宋" w:hAnsi="仿宋" w:eastAsia="仿宋" w:cs="仿宋"/>
          <w:color w:val="auto"/>
          <w:sz w:val="24"/>
          <w:highlight w:val="none"/>
          <w:u w:val="dotted"/>
        </w:rPr>
      </w:pPr>
    </w:p>
    <w:p w14:paraId="5D628EE8">
      <w:pPr>
        <w:shd w:val="clear"/>
        <w:wordWrap/>
        <w:topLinePunct w:val="0"/>
        <w:bidi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01573939">
      <w:pPr>
        <w:shd w:val="clear"/>
        <w:wordWrap/>
        <w:topLinePunct w:val="0"/>
        <w:bidi w:val="0"/>
        <w:spacing w:line="360" w:lineRule="auto"/>
        <w:rPr>
          <w:rFonts w:hint="eastAsia" w:ascii="仿宋" w:hAnsi="仿宋" w:eastAsia="仿宋" w:cs="仿宋"/>
          <w:color w:val="auto"/>
          <w:sz w:val="24"/>
          <w:highlight w:val="none"/>
          <w:u w:val="dotted"/>
        </w:rPr>
      </w:pPr>
    </w:p>
    <w:p w14:paraId="13F74580">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E87B3ED">
      <w:pPr>
        <w:shd w:val="clear"/>
        <w:wordWrap/>
        <w:topLinePunct w:val="0"/>
        <w:bidi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5CAC5C4">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418356A6">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45D365FF">
      <w:pPr>
        <w:shd w:val="clear"/>
        <w:wordWrap/>
        <w:topLinePunct w:val="0"/>
        <w:bidi w:val="0"/>
        <w:spacing w:line="360" w:lineRule="auto"/>
        <w:rPr>
          <w:rFonts w:hint="eastAsia" w:ascii="仿宋" w:hAnsi="仿宋" w:eastAsia="仿宋" w:cs="仿宋"/>
          <w:color w:val="auto"/>
          <w:sz w:val="24"/>
          <w:highlight w:val="none"/>
          <w:u w:val="single"/>
        </w:rPr>
      </w:pPr>
    </w:p>
    <w:p w14:paraId="5CB34E52">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72C20E4">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B6876C2">
      <w:pPr>
        <w:shd w:val="clear"/>
        <w:wordWrap/>
        <w:topLinePunct w:val="0"/>
        <w:bidi w:val="0"/>
        <w:spacing w:line="360" w:lineRule="auto"/>
        <w:rPr>
          <w:rFonts w:hint="eastAsia" w:ascii="仿宋" w:hAnsi="仿宋" w:eastAsia="仿宋" w:cs="仿宋"/>
          <w:b/>
          <w:color w:val="auto"/>
          <w:sz w:val="24"/>
          <w:highlight w:val="none"/>
        </w:rPr>
      </w:pPr>
    </w:p>
    <w:p w14:paraId="03E53A79">
      <w:pPr>
        <w:shd w:val="clear"/>
        <w:wordWrap/>
        <w:topLinePunct w:val="0"/>
        <w:bidi w:val="0"/>
        <w:spacing w:line="360" w:lineRule="auto"/>
        <w:rPr>
          <w:rFonts w:hint="eastAsia" w:ascii="仿宋" w:hAnsi="仿宋" w:eastAsia="仿宋" w:cs="仿宋"/>
          <w:b/>
          <w:color w:val="auto"/>
          <w:sz w:val="24"/>
          <w:highlight w:val="none"/>
        </w:rPr>
      </w:pPr>
    </w:p>
    <w:p w14:paraId="748D90D6">
      <w:pPr>
        <w:shd w:val="clear"/>
        <w:wordWrap/>
        <w:topLinePunct w:val="0"/>
        <w:bidi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5FB252D">
      <w:pPr>
        <w:widowControl/>
        <w:shd w:val="clear"/>
        <w:wordWrap/>
        <w:topLinePunct w:val="0"/>
        <w:bidi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60CF071">
      <w:pPr>
        <w:widowControl/>
        <w:shd w:val="clear"/>
        <w:wordWrap/>
        <w:topLinePunct w:val="0"/>
        <w:bidi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62501D5">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6786669">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D4A4D5A">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59E60F43">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047440B7">
      <w:pPr>
        <w:widowControl/>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E73E974">
      <w:pPr>
        <w:shd w:val="clear"/>
        <w:wordWrap/>
        <w:topLinePunct w:val="0"/>
        <w:bidi w:val="0"/>
        <w:spacing w:line="360" w:lineRule="auto"/>
        <w:rPr>
          <w:rFonts w:hint="eastAsia" w:ascii="仿宋" w:hAnsi="仿宋" w:eastAsia="仿宋" w:cs="仿宋"/>
          <w:b/>
          <w:color w:val="auto"/>
          <w:sz w:val="24"/>
          <w:highlight w:val="none"/>
        </w:rPr>
      </w:pPr>
    </w:p>
    <w:p w14:paraId="57DE1D2A">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4B3B9393">
      <w:pPr>
        <w:shd w:val="clear"/>
        <w:wordWrap/>
        <w:topLinePunct w:val="0"/>
        <w:autoSpaceDE w:val="0"/>
        <w:autoSpaceDN w:val="0"/>
        <w:bidi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43959B8">
      <w:pPr>
        <w:shd w:val="clear"/>
        <w:wordWrap/>
        <w:topLinePunct w:val="0"/>
        <w:bidi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杭州市钱塘区人民政府义蓬街道办事处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浙江中合工程管理有限公司</w:t>
      </w:r>
    </w:p>
    <w:p w14:paraId="14048EBF">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(供应商全称)是中华人民共和国依法登记注册的合法企业，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沙堤社区党群服务中心改造项目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QTCG-CS-2024-049</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16BAD579">
      <w:pPr>
        <w:shd w:val="clear"/>
        <w:wordWrap/>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6D3611D7">
      <w:pPr>
        <w:shd w:val="clear"/>
        <w:wordWrap/>
        <w:topLinePunct w:val="0"/>
        <w:bidi w:val="0"/>
        <w:spacing w:line="360" w:lineRule="auto"/>
        <w:ind w:firstLine="494"/>
        <w:rPr>
          <w:rFonts w:hint="eastAsia" w:ascii="仿宋" w:hAnsi="仿宋" w:eastAsia="仿宋" w:cs="仿宋"/>
          <w:color w:val="auto"/>
          <w:sz w:val="24"/>
          <w:highlight w:val="none"/>
        </w:rPr>
      </w:pPr>
    </w:p>
    <w:p w14:paraId="08FE0632">
      <w:pPr>
        <w:shd w:val="clear"/>
        <w:wordWrap/>
        <w:topLinePunct w:val="0"/>
        <w:bidi w:val="0"/>
        <w:spacing w:line="360" w:lineRule="auto"/>
        <w:ind w:firstLine="494"/>
        <w:rPr>
          <w:rFonts w:hint="eastAsia" w:ascii="仿宋" w:hAnsi="仿宋" w:eastAsia="仿宋" w:cs="仿宋"/>
          <w:color w:val="auto"/>
          <w:sz w:val="24"/>
          <w:highlight w:val="none"/>
        </w:rPr>
      </w:pPr>
    </w:p>
    <w:p w14:paraId="4EB17556">
      <w:pPr>
        <w:shd w:val="clear"/>
        <w:wordWrap/>
        <w:topLinePunct w:val="0"/>
        <w:bidi w:val="0"/>
        <w:spacing w:line="360" w:lineRule="auto"/>
        <w:ind w:firstLine="494"/>
        <w:rPr>
          <w:rFonts w:hint="eastAsia" w:ascii="仿宋" w:hAnsi="仿宋" w:eastAsia="仿宋" w:cs="仿宋"/>
          <w:color w:val="auto"/>
          <w:sz w:val="24"/>
          <w:highlight w:val="none"/>
        </w:rPr>
      </w:pPr>
    </w:p>
    <w:p w14:paraId="4E8F9219">
      <w:pPr>
        <w:shd w:val="clear"/>
        <w:wordWrap/>
        <w:topLinePunct w:val="0"/>
        <w:bidi w:val="0"/>
        <w:spacing w:line="360" w:lineRule="auto"/>
        <w:ind w:firstLine="494"/>
        <w:rPr>
          <w:rFonts w:hint="eastAsia" w:ascii="仿宋" w:hAnsi="仿宋" w:eastAsia="仿宋" w:cs="仿宋"/>
          <w:color w:val="auto"/>
          <w:sz w:val="24"/>
          <w:highlight w:val="none"/>
        </w:rPr>
      </w:pPr>
    </w:p>
    <w:p w14:paraId="094F7900">
      <w:pPr>
        <w:shd w:val="clear"/>
        <w:wordWrap/>
        <w:topLinePunct w:val="0"/>
        <w:bidi w:val="0"/>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B26089E">
      <w:pPr>
        <w:shd w:val="clear"/>
        <w:wordWrap/>
        <w:topLinePunct w:val="0"/>
        <w:bidi w:val="0"/>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6D754821">
      <w:pPr>
        <w:shd w:val="clear"/>
        <w:wordWrap/>
        <w:topLinePunct w:val="0"/>
        <w:bidi w:val="0"/>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53926D1">
      <w:pPr>
        <w:shd w:val="clear"/>
        <w:wordWrap/>
        <w:topLinePunct w:val="0"/>
        <w:bidi w:val="0"/>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3D2BFD54">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3D2BFD54">
                      <w:pPr>
                        <w:jc w:val="center"/>
                      </w:pPr>
                    </w:p>
                  </w:txbxContent>
                </v:textbox>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157F95E">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157F95E">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3C03BBED">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6CEDBF85">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004D37C3">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2E58169F">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363B8EB2">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200670B9">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209D59DA">
      <w:pPr>
        <w:shd w:val="clear"/>
        <w:wordWrap/>
        <w:topLinePunct w:val="0"/>
        <w:autoSpaceDE w:val="0"/>
        <w:autoSpaceDN w:val="0"/>
        <w:bidi w:val="0"/>
        <w:spacing w:line="360" w:lineRule="auto"/>
        <w:jc w:val="both"/>
        <w:rPr>
          <w:rFonts w:hint="eastAsia" w:ascii="仿宋" w:hAnsi="仿宋" w:eastAsia="仿宋" w:cs="仿宋"/>
          <w:b/>
          <w:color w:val="auto"/>
          <w:spacing w:val="6"/>
          <w:sz w:val="32"/>
          <w:szCs w:val="32"/>
          <w:highlight w:val="none"/>
        </w:rPr>
      </w:pPr>
    </w:p>
    <w:p w14:paraId="4BF64556">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7226B0BA">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3AC41D55">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603CD137">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672028C0">
      <w:pPr>
        <w:shd w:val="clear"/>
        <w:wordWrap/>
        <w:topLinePunct w:val="0"/>
        <w:autoSpaceDE w:val="0"/>
        <w:autoSpaceDN w:val="0"/>
        <w:bidi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1A83EFB">
      <w:pPr>
        <w:widowControl/>
        <w:shd w:val="clear"/>
        <w:wordWrap/>
        <w:topLinePunct w:val="0"/>
        <w:bidi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（以联合体形式参与的，提供联合协议；本项目不接受联合体或者供应商不以联合体形式参与的，则不需要提供）</w:t>
      </w:r>
    </w:p>
    <w:p w14:paraId="611EDF36">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组成一个联合体，以一个供应商的身份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沙堤社区党群服务中心改造项目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QTCG-CS-2024-049</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775C4616">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4FD1CF81">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授权代表根据采购文件规定及投标内容而对采购人、采购机构所作的任何合法承诺，包括书面澄清及相应等均对联合投标各方产生约束力。</w:t>
      </w:r>
    </w:p>
    <w:p w14:paraId="1608F92D">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95C8040">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bookmarkStart w:id="403"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14:paraId="4CDBBF9E">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14:paraId="4DF3F253">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03"/>
    <w:p w14:paraId="75BBC8AB">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2493AF3F">
      <w:pPr>
        <w:shd w:val="clear"/>
        <w:wordWrap/>
        <w:topLinePunct w:val="0"/>
        <w:bidi w:val="0"/>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提供的全部工程由小微企业承建，其合同份额占到合同总金额%以上；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color w:val="auto"/>
          <w:kern w:val="0"/>
          <w:sz w:val="24"/>
          <w:highlight w:val="none"/>
          <w:lang w:val="en-US" w:eastAsia="zh-CN"/>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204DF1A">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3671A85D">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五、如果成交，</w:t>
      </w:r>
      <w:r>
        <w:rPr>
          <w:rFonts w:hint="eastAsia" w:ascii="仿宋" w:hAnsi="仿宋" w:eastAsia="仿宋" w:cs="仿宋"/>
          <w:color w:val="auto"/>
          <w:sz w:val="24"/>
          <w:highlight w:val="none"/>
        </w:rPr>
        <w:t>联合体各成员方共同与采购人签订合同，并就采购合同约定的事项对采购人承担连带责任。</w:t>
      </w:r>
    </w:p>
    <w:p w14:paraId="7A930653">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13641535">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CE95B6B">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4BE3EAD">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0B8C2C8E">
      <w:pPr>
        <w:shd w:val="clear"/>
        <w:wordWrap/>
        <w:topLinePunct w:val="0"/>
        <w:bidi w:val="0"/>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C3D8BB5">
      <w:pPr>
        <w:shd w:val="clear"/>
        <w:wordWrap/>
        <w:topLinePunct w:val="0"/>
        <w:bidi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988C7D2">
      <w:pPr>
        <w:shd w:val="clear"/>
        <w:wordWrap/>
        <w:topLinePunct w:val="0"/>
        <w:bidi w:val="0"/>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FE5A442">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6A6A16B5">
      <w:pPr>
        <w:shd w:val="clear"/>
        <w:wordWrap/>
        <w:topLinePunct w:val="0"/>
        <w:bidi w:val="0"/>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67EFE590">
      <w:pPr>
        <w:widowControl/>
        <w:shd w:val="clear"/>
        <w:wordWrap/>
        <w:topLinePunct w:val="0"/>
        <w:bidi w:val="0"/>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color w:val="auto"/>
          <w:sz w:val="24"/>
          <w:highlight w:val="none"/>
        </w:rPr>
        <w:t>）</w:t>
      </w:r>
    </w:p>
    <w:p w14:paraId="27FF60DA">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沙堤社区党群服务中心改造项目</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val="en-US" w:eastAsia="zh-CN"/>
        </w:rPr>
        <w:t>QTCG-CS-2024-049</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的成交供应商，将依法采取分包方式履行合同。</w:t>
      </w: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1910A807">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39A61EA1">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（供应商名称）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BE10252">
      <w:pPr>
        <w:pStyle w:val="3"/>
        <w:shd w:val="clear"/>
        <w:wordWrap/>
        <w:topLinePunct w:val="0"/>
        <w:bidi w:val="0"/>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2D09200">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F1EA551">
      <w:pPr>
        <w:shd w:val="clear"/>
        <w:wordWrap/>
        <w:topLinePunct w:val="0"/>
        <w:bidi w:val="0"/>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（分包供应商X,……）提供的工程全部由小微企业承建，</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color w:val="auto"/>
          <w:kern w:val="0"/>
          <w:sz w:val="24"/>
          <w:highlight w:val="none"/>
          <w:lang w:val="en-US" w:eastAsia="zh-CN"/>
        </w:rPr>
        <w:t>2</w:t>
      </w:r>
      <w:r>
        <w:rPr>
          <w:rFonts w:hint="eastAsia" w:ascii="仿宋" w:hAnsi="仿宋" w:eastAsia="仿宋" w:cs="仿宋"/>
          <w:b/>
          <w:color w:val="auto"/>
          <w:kern w:val="0"/>
          <w:sz w:val="24"/>
          <w:highlight w:val="none"/>
          <w:lang w:val="zh-CN"/>
        </w:rPr>
        <w:t>%的扣除。供应商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C3A6F92">
      <w:pPr>
        <w:shd w:val="clear"/>
        <w:wordWrap/>
        <w:topLinePunct w:val="0"/>
        <w:bidi w:val="0"/>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4" w:name="_Hlk101133173"/>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要求合同分包形式参加的项目或采购包，供应商按采购文件第一部分竞争性磋商公告申请人的资格要求中规定的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04"/>
    </w:p>
    <w:p w14:paraId="54042611">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DE67B1C">
      <w:pPr>
        <w:shd w:val="clear"/>
        <w:wordWrap/>
        <w:topLinePunct w:val="0"/>
        <w:bidi w:val="0"/>
        <w:snapToGrid w:val="0"/>
        <w:spacing w:line="360" w:lineRule="auto"/>
        <w:ind w:firstLine="576"/>
        <w:rPr>
          <w:rFonts w:hint="eastAsia" w:ascii="仿宋" w:hAnsi="仿宋" w:eastAsia="仿宋" w:cs="仿宋"/>
          <w:color w:val="auto"/>
          <w:highlight w:val="none"/>
          <w:u w:val="single"/>
        </w:rPr>
      </w:pPr>
    </w:p>
    <w:p w14:paraId="4E8A1503">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325E992F">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p>
    <w:p w14:paraId="392105EB">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10E6B92">
      <w:pPr>
        <w:shd w:val="clear"/>
        <w:wordWrap/>
        <w:topLinePunct w:val="0"/>
        <w:bidi w:val="0"/>
        <w:snapToGrid w:val="0"/>
        <w:spacing w:line="360" w:lineRule="auto"/>
        <w:ind w:left="573" w:leftChars="273"/>
        <w:rPr>
          <w:rFonts w:hint="eastAsia" w:ascii="仿宋" w:hAnsi="仿宋" w:eastAsia="仿宋" w:cs="仿宋"/>
          <w:color w:val="auto"/>
          <w:kern w:val="0"/>
          <w:sz w:val="24"/>
          <w:highlight w:val="none"/>
          <w:lang w:val="zh-CN"/>
        </w:rPr>
      </w:pPr>
    </w:p>
    <w:p w14:paraId="4B44D45F">
      <w:pPr>
        <w:shd w:val="clear"/>
        <w:wordWrap/>
        <w:topLinePunct w:val="0"/>
        <w:bidi w:val="0"/>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3F00E0FD">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p>
    <w:p w14:paraId="4B7BD5CD">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DC2257B">
      <w:pPr>
        <w:shd w:val="clear"/>
        <w:wordWrap/>
        <w:topLinePunct w:val="0"/>
        <w:bidi w:val="0"/>
        <w:snapToGrid w:val="0"/>
        <w:spacing w:line="360" w:lineRule="auto"/>
        <w:ind w:firstLine="576"/>
        <w:rPr>
          <w:rFonts w:hint="eastAsia" w:ascii="仿宋" w:hAnsi="仿宋" w:eastAsia="仿宋" w:cs="仿宋"/>
          <w:color w:val="auto"/>
          <w:kern w:val="0"/>
          <w:sz w:val="24"/>
          <w:highlight w:val="none"/>
          <w:lang w:val="zh-CN"/>
        </w:rPr>
      </w:pPr>
    </w:p>
    <w:p w14:paraId="5EA7BA7C">
      <w:pPr>
        <w:shd w:val="clear"/>
        <w:wordWrap/>
        <w:topLinePunct w:val="0"/>
        <w:bidi w:val="0"/>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供应商名称(电子签名)：</w:t>
      </w:r>
    </w:p>
    <w:p w14:paraId="07219AF9">
      <w:pPr>
        <w:shd w:val="clear"/>
        <w:wordWrap/>
        <w:topLinePunct w:val="0"/>
        <w:bidi w:val="0"/>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14:paraId="4B8F745E">
      <w:pPr>
        <w:shd w:val="clear"/>
        <w:wordWrap/>
        <w:topLinePunct w:val="0"/>
        <w:bidi w:val="0"/>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C1D8798">
      <w:pPr>
        <w:shd w:val="clear"/>
        <w:wordWrap/>
        <w:topLinePunct w:val="0"/>
        <w:bidi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8DA187C">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pPr>
    </w:p>
    <w:p w14:paraId="5E1DDE7D">
      <w:pPr>
        <w:shd w:val="clear"/>
        <w:wordWrap/>
        <w:topLinePunct w:val="0"/>
        <w:autoSpaceDE w:val="0"/>
        <w:autoSpaceDN w:val="0"/>
        <w:bidi w:val="0"/>
        <w:spacing w:line="360" w:lineRule="auto"/>
        <w:jc w:val="center"/>
        <w:rPr>
          <w:rFonts w:hint="eastAsia" w:ascii="仿宋" w:hAnsi="仿宋" w:eastAsia="仿宋" w:cs="仿宋"/>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085416F3">
      <w:pPr>
        <w:shd w:val="clear"/>
        <w:wordWrap/>
        <w:topLinePunct w:val="0"/>
        <w:autoSpaceDE w:val="0"/>
        <w:autoSpaceDN w:val="0"/>
        <w:bidi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14:paraId="413A3CC4">
      <w:pPr>
        <w:shd w:val="clear"/>
        <w:wordWrap/>
        <w:topLinePunct w:val="0"/>
        <w:bidi w:val="0"/>
        <w:spacing w:line="360" w:lineRule="auto"/>
        <w:jc w:val="center"/>
        <w:rPr>
          <w:rFonts w:hint="eastAsia" w:ascii="仿宋" w:hAnsi="仿宋" w:eastAsia="仿宋" w:cs="仿宋"/>
          <w:color w:val="auto"/>
          <w:sz w:val="24"/>
          <w:highlight w:val="none"/>
          <w:u w:val="single"/>
        </w:rPr>
      </w:pPr>
    </w:p>
    <w:p w14:paraId="123B194F">
      <w:pPr>
        <w:shd w:val="clear"/>
        <w:wordWrap/>
        <w:topLinePunct w:val="0"/>
        <w:bidi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w:t>
      </w:r>
    </w:p>
    <w:p w14:paraId="1477E6E2">
      <w:pPr>
        <w:shd w:val="clear"/>
        <w:wordWrap/>
        <w:topLinePunct w:val="0"/>
        <w:bidi w:val="0"/>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lang w:eastAsia="zh-CN"/>
        </w:rPr>
        <w:t>杭州市钱塘区人民政府义蓬街道办事处</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沙堤社区党群服务中心改造项目</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317A24A">
      <w:pPr>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82FBDCB">
      <w:pPr>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2FF251B">
      <w:pPr>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57BD19FD">
      <w:pPr>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28D64D0A">
      <w:pPr>
        <w:shd w:val="clear"/>
        <w:wordWrap/>
        <w:topLinePunct w:val="0"/>
        <w:bidi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7AD088C8">
      <w:pPr>
        <w:shd w:val="clear"/>
        <w:wordWrap/>
        <w:topLinePunct w:val="0"/>
        <w:bidi w:val="0"/>
        <w:spacing w:line="360" w:lineRule="auto"/>
        <w:ind w:firstLine="480" w:firstLineChars="200"/>
        <w:rPr>
          <w:rFonts w:hint="eastAsia" w:ascii="仿宋" w:hAnsi="仿宋" w:eastAsia="仿宋" w:cs="仿宋"/>
          <w:color w:val="auto"/>
          <w:sz w:val="24"/>
          <w:highlight w:val="none"/>
        </w:rPr>
      </w:pPr>
    </w:p>
    <w:p w14:paraId="6B79BDAE">
      <w:pPr>
        <w:shd w:val="clear"/>
        <w:wordWrap/>
        <w:topLinePunct w:val="0"/>
        <w:bidi w:val="0"/>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供应商名称(电子签名)：</w:t>
      </w:r>
    </w:p>
    <w:p w14:paraId="6D264F7B">
      <w:pPr>
        <w:shd w:val="clear"/>
        <w:wordWrap/>
        <w:topLinePunct w:val="0"/>
        <w:bidi w:val="0"/>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07983FB8">
      <w:pPr>
        <w:shd w:val="clear"/>
        <w:wordWrap/>
        <w:topLinePunct w:val="0"/>
        <w:bidi w:val="0"/>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7F533C03">
      <w:pPr>
        <w:shd w:val="clear"/>
        <w:wordWrap/>
        <w:topLinePunct w:val="0"/>
        <w:bidi w:val="0"/>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017BC977">
      <w:pPr>
        <w:shd w:val="clear"/>
        <w:wordWrap/>
        <w:topLinePunct w:val="0"/>
        <w:bidi w:val="0"/>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52A0F19">
      <w:pPr>
        <w:shd w:val="clear"/>
        <w:wordWrap/>
        <w:topLinePunct w:val="0"/>
        <w:bidi w:val="0"/>
        <w:spacing w:line="360" w:lineRule="auto"/>
        <w:ind w:right="42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r>
        <w:rPr>
          <w:rFonts w:hint="eastAsia" w:ascii="仿宋" w:hAnsi="仿宋" w:eastAsia="仿宋" w:cs="仿宋"/>
          <w:color w:val="auto"/>
          <w:sz w:val="24"/>
          <w:highlight w:val="none"/>
          <w:lang w:val="en-US" w:eastAsia="zh-CN"/>
        </w:rPr>
        <w:t>S</w:t>
      </w:r>
    </w:p>
    <w:p w14:paraId="1149BBDF">
      <w:pPr>
        <w:shd w:val="clear"/>
        <w:wordWrap/>
        <w:topLinePunct w:val="0"/>
        <w:bidi w:val="0"/>
        <w:spacing w:line="360" w:lineRule="auto"/>
        <w:jc w:val="center"/>
        <w:rPr>
          <w:rFonts w:hint="eastAsia" w:ascii="仿宋" w:hAnsi="仿宋" w:eastAsia="仿宋" w:cs="仿宋"/>
          <w:b/>
          <w:color w:val="auto"/>
          <w:sz w:val="32"/>
          <w:szCs w:val="32"/>
          <w:highlight w:val="none"/>
        </w:rPr>
      </w:pPr>
    </w:p>
    <w:p w14:paraId="5391C05D">
      <w:pPr>
        <w:shd w:val="clear"/>
        <w:wordWrap/>
        <w:topLinePunct w:val="0"/>
        <w:bidi w:val="0"/>
        <w:spacing w:line="360" w:lineRule="auto"/>
        <w:jc w:val="center"/>
        <w:rPr>
          <w:rFonts w:hint="eastAsia" w:ascii="仿宋" w:hAnsi="仿宋" w:eastAsia="仿宋" w:cs="仿宋"/>
          <w:b/>
          <w:color w:val="auto"/>
          <w:sz w:val="32"/>
          <w:szCs w:val="32"/>
          <w:highlight w:val="none"/>
        </w:rPr>
      </w:pPr>
    </w:p>
    <w:p w14:paraId="1B25FE48">
      <w:pPr>
        <w:shd w:val="clear"/>
        <w:wordWrap/>
        <w:topLinePunct w:val="0"/>
        <w:bidi w:val="0"/>
        <w:spacing w:line="360" w:lineRule="auto"/>
        <w:jc w:val="center"/>
        <w:rPr>
          <w:rFonts w:hint="eastAsia" w:ascii="仿宋" w:hAnsi="仿宋" w:eastAsia="仿宋" w:cs="仿宋"/>
          <w:b/>
          <w:color w:val="auto"/>
          <w:sz w:val="32"/>
          <w:szCs w:val="32"/>
          <w:highlight w:val="none"/>
        </w:rPr>
      </w:pPr>
    </w:p>
    <w:p w14:paraId="0DBCA26C">
      <w:pPr>
        <w:shd w:val="clear"/>
        <w:wordWrap/>
        <w:topLinePunct w:val="0"/>
        <w:bidi w:val="0"/>
        <w:spacing w:line="360" w:lineRule="auto"/>
        <w:jc w:val="center"/>
        <w:rPr>
          <w:rFonts w:hint="eastAsia" w:ascii="仿宋" w:hAnsi="仿宋" w:eastAsia="仿宋" w:cs="仿宋"/>
          <w:b/>
          <w:color w:val="auto"/>
          <w:sz w:val="32"/>
          <w:szCs w:val="32"/>
          <w:highlight w:val="none"/>
        </w:rPr>
      </w:pPr>
    </w:p>
    <w:p w14:paraId="2B8623C2">
      <w:pPr>
        <w:shd w:val="clear"/>
        <w:wordWrap/>
        <w:topLinePunct w:val="0"/>
        <w:bidi w:val="0"/>
        <w:spacing w:line="360" w:lineRule="auto"/>
        <w:jc w:val="center"/>
        <w:rPr>
          <w:rFonts w:hint="eastAsia" w:ascii="仿宋" w:hAnsi="仿宋" w:eastAsia="仿宋" w:cs="仿宋"/>
          <w:b/>
          <w:color w:val="auto"/>
          <w:sz w:val="32"/>
          <w:szCs w:val="32"/>
          <w:highlight w:val="none"/>
        </w:rPr>
      </w:pPr>
    </w:p>
    <w:p w14:paraId="15F3B159">
      <w:pPr>
        <w:shd w:val="clear"/>
        <w:wordWrap/>
        <w:topLinePunct w:val="0"/>
        <w:bidi w:val="0"/>
        <w:spacing w:line="360" w:lineRule="auto"/>
        <w:jc w:val="center"/>
        <w:rPr>
          <w:rFonts w:hint="eastAsia" w:ascii="仿宋" w:hAnsi="仿宋" w:eastAsia="仿宋" w:cs="仿宋"/>
          <w:b/>
          <w:color w:val="auto"/>
          <w:sz w:val="32"/>
          <w:szCs w:val="32"/>
          <w:highlight w:val="none"/>
        </w:rPr>
      </w:pPr>
    </w:p>
    <w:p w14:paraId="7B14C9E1">
      <w:pPr>
        <w:shd w:val="clear"/>
        <w:wordWrap/>
        <w:topLinePunct w:val="0"/>
        <w:bidi w:val="0"/>
        <w:spacing w:line="360" w:lineRule="auto"/>
        <w:jc w:val="center"/>
        <w:rPr>
          <w:rFonts w:hint="eastAsia" w:ascii="仿宋" w:hAnsi="仿宋" w:eastAsia="仿宋" w:cs="仿宋"/>
          <w:b/>
          <w:color w:val="auto"/>
          <w:sz w:val="32"/>
          <w:szCs w:val="32"/>
          <w:highlight w:val="none"/>
        </w:rPr>
      </w:pPr>
    </w:p>
    <w:p w14:paraId="5DD1EA29">
      <w:pPr>
        <w:shd w:val="clear"/>
        <w:wordWrap/>
        <w:topLinePunct w:val="0"/>
        <w:bidi w:val="0"/>
        <w:spacing w:line="360" w:lineRule="auto"/>
        <w:jc w:val="center"/>
        <w:rPr>
          <w:rFonts w:hint="eastAsia" w:ascii="仿宋" w:hAnsi="仿宋" w:eastAsia="仿宋" w:cs="仿宋"/>
          <w:b/>
          <w:color w:val="auto"/>
          <w:sz w:val="32"/>
          <w:szCs w:val="32"/>
          <w:highlight w:val="none"/>
        </w:rPr>
      </w:pPr>
    </w:p>
    <w:p w14:paraId="6442FFF2">
      <w:pPr>
        <w:shd w:val="clear"/>
        <w:wordWrap/>
        <w:topLinePunct w:val="0"/>
        <w:bidi w:val="0"/>
        <w:spacing w:line="360" w:lineRule="auto"/>
        <w:jc w:val="center"/>
        <w:rPr>
          <w:rFonts w:hint="eastAsia" w:ascii="仿宋" w:hAnsi="仿宋" w:eastAsia="仿宋" w:cs="仿宋"/>
          <w:b/>
          <w:color w:val="auto"/>
          <w:sz w:val="32"/>
          <w:szCs w:val="32"/>
          <w:highlight w:val="none"/>
        </w:rPr>
      </w:pPr>
    </w:p>
    <w:p w14:paraId="0F35DC47">
      <w:pPr>
        <w:shd w:val="clear"/>
        <w:wordWrap/>
        <w:topLinePunct w:val="0"/>
        <w:bidi w:val="0"/>
        <w:spacing w:line="360" w:lineRule="auto"/>
        <w:jc w:val="center"/>
        <w:rPr>
          <w:rFonts w:hint="eastAsia" w:ascii="仿宋" w:hAnsi="仿宋" w:eastAsia="仿宋" w:cs="仿宋"/>
          <w:b/>
          <w:color w:val="auto"/>
          <w:sz w:val="32"/>
          <w:szCs w:val="32"/>
          <w:highlight w:val="none"/>
        </w:rPr>
      </w:pPr>
    </w:p>
    <w:p w14:paraId="76553C75">
      <w:pPr>
        <w:shd w:val="clear"/>
        <w:wordWrap/>
        <w:topLinePunct w:val="0"/>
        <w:bidi w:val="0"/>
        <w:spacing w:line="360" w:lineRule="auto"/>
        <w:jc w:val="center"/>
        <w:rPr>
          <w:rFonts w:hint="eastAsia" w:ascii="仿宋" w:hAnsi="仿宋" w:eastAsia="仿宋" w:cs="仿宋"/>
          <w:b/>
          <w:color w:val="auto"/>
          <w:sz w:val="32"/>
          <w:szCs w:val="32"/>
          <w:highlight w:val="none"/>
        </w:rPr>
      </w:pPr>
    </w:p>
    <w:p w14:paraId="30670AD5">
      <w:pPr>
        <w:shd w:val="clear"/>
        <w:wordWrap/>
        <w:topLinePunct w:val="0"/>
        <w:bidi w:val="0"/>
        <w:spacing w:line="360" w:lineRule="auto"/>
        <w:jc w:val="center"/>
        <w:rPr>
          <w:rFonts w:hint="eastAsia" w:ascii="仿宋" w:hAnsi="仿宋" w:eastAsia="仿宋" w:cs="仿宋"/>
          <w:b/>
          <w:color w:val="auto"/>
          <w:sz w:val="32"/>
          <w:szCs w:val="32"/>
          <w:highlight w:val="none"/>
        </w:rPr>
      </w:pPr>
    </w:p>
    <w:p w14:paraId="1C85AD3B">
      <w:pPr>
        <w:shd w:val="clear"/>
        <w:wordWrap/>
        <w:topLinePunct w:val="0"/>
        <w:bidi w:val="0"/>
        <w:spacing w:line="360" w:lineRule="auto"/>
        <w:jc w:val="center"/>
        <w:rPr>
          <w:rFonts w:hint="eastAsia" w:ascii="仿宋" w:hAnsi="仿宋" w:eastAsia="仿宋" w:cs="仿宋"/>
          <w:b/>
          <w:color w:val="auto"/>
          <w:sz w:val="32"/>
          <w:szCs w:val="32"/>
          <w:highlight w:val="none"/>
        </w:rPr>
      </w:pPr>
    </w:p>
    <w:p w14:paraId="33EB2B12">
      <w:pPr>
        <w:shd w:val="clear"/>
        <w:wordWrap/>
        <w:topLinePunct w:val="0"/>
        <w:bidi w:val="0"/>
        <w:spacing w:line="360" w:lineRule="auto"/>
        <w:jc w:val="center"/>
        <w:rPr>
          <w:rFonts w:hint="eastAsia" w:ascii="仿宋" w:hAnsi="仿宋" w:eastAsia="仿宋" w:cs="仿宋"/>
          <w:b/>
          <w:color w:val="auto"/>
          <w:sz w:val="32"/>
          <w:szCs w:val="32"/>
          <w:highlight w:val="none"/>
        </w:rPr>
      </w:pPr>
    </w:p>
    <w:p w14:paraId="53F99BBE">
      <w:pPr>
        <w:shd w:val="clear"/>
        <w:wordWrap/>
        <w:topLinePunct w:val="0"/>
        <w:bidi w:val="0"/>
        <w:spacing w:line="360" w:lineRule="auto"/>
        <w:jc w:val="center"/>
        <w:rPr>
          <w:rFonts w:hint="eastAsia" w:ascii="仿宋" w:hAnsi="仿宋" w:eastAsia="仿宋" w:cs="仿宋"/>
          <w:b/>
          <w:color w:val="auto"/>
          <w:sz w:val="32"/>
          <w:szCs w:val="32"/>
          <w:highlight w:val="none"/>
        </w:rPr>
      </w:pPr>
    </w:p>
    <w:p w14:paraId="78E00D5E">
      <w:pPr>
        <w:shd w:val="clear"/>
        <w:wordWrap/>
        <w:topLinePunct w:val="0"/>
        <w:bidi w:val="0"/>
        <w:spacing w:line="360" w:lineRule="auto"/>
        <w:jc w:val="center"/>
        <w:rPr>
          <w:rFonts w:hint="eastAsia" w:ascii="仿宋" w:hAnsi="仿宋" w:eastAsia="仿宋" w:cs="仿宋"/>
          <w:b/>
          <w:color w:val="auto"/>
          <w:sz w:val="32"/>
          <w:szCs w:val="32"/>
          <w:highlight w:val="none"/>
        </w:rPr>
      </w:pPr>
    </w:p>
    <w:p w14:paraId="73707560">
      <w:pPr>
        <w:shd w:val="clear"/>
        <w:wordWrap/>
        <w:topLinePunct w:val="0"/>
        <w:bidi w:val="0"/>
        <w:spacing w:line="360" w:lineRule="auto"/>
        <w:jc w:val="center"/>
        <w:rPr>
          <w:rFonts w:hint="eastAsia" w:ascii="仿宋" w:hAnsi="仿宋" w:eastAsia="仿宋" w:cs="仿宋"/>
          <w:b/>
          <w:color w:val="auto"/>
          <w:sz w:val="32"/>
          <w:szCs w:val="32"/>
          <w:highlight w:val="none"/>
        </w:rPr>
      </w:pPr>
    </w:p>
    <w:p w14:paraId="0D2E76FF">
      <w:pPr>
        <w:shd w:val="clear"/>
        <w:wordWrap/>
        <w:topLinePunct w:val="0"/>
        <w:bidi w:val="0"/>
        <w:spacing w:line="360" w:lineRule="auto"/>
        <w:rPr>
          <w:rFonts w:hint="eastAsia" w:ascii="仿宋" w:hAnsi="仿宋" w:eastAsia="仿宋" w:cs="仿宋"/>
          <w:bCs/>
          <w:color w:val="auto"/>
          <w:sz w:val="24"/>
          <w:highlight w:val="none"/>
        </w:rPr>
        <w:sectPr>
          <w:pgSz w:w="11906" w:h="16838"/>
          <w:pgMar w:top="1440" w:right="1080" w:bottom="1440" w:left="1080" w:header="851" w:footer="992" w:gutter="0"/>
          <w:cols w:space="720" w:num="1"/>
          <w:titlePg/>
          <w:docGrid w:linePitch="312" w:charSpace="0"/>
        </w:sectPr>
      </w:pPr>
    </w:p>
    <w:p w14:paraId="58A18B43">
      <w:pPr>
        <w:shd w:val="clear"/>
        <w:wordWrap/>
        <w:topLinePunct w:val="0"/>
        <w:bidi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附件8：工程量清单（另附）</w:t>
      </w:r>
    </w:p>
    <w:p w14:paraId="49A6F2C0">
      <w:pPr>
        <w:shd w:val="clear"/>
        <w:wordWrap/>
        <w:topLinePunct w:val="0"/>
        <w:bidi w:val="0"/>
        <w:spacing w:line="360" w:lineRule="auto"/>
        <w:rPr>
          <w:rFonts w:hint="eastAsia" w:ascii="仿宋" w:hAnsi="仿宋" w:eastAsia="仿宋" w:cs="仿宋"/>
          <w:b/>
          <w:color w:val="auto"/>
          <w:spacing w:val="6"/>
          <w:sz w:val="32"/>
          <w:szCs w:val="32"/>
          <w:highlight w:val="none"/>
        </w:rPr>
      </w:pPr>
    </w:p>
    <w:p w14:paraId="6E3434D5">
      <w:pPr>
        <w:shd w:val="clear"/>
        <w:wordWrap/>
        <w:topLinePunct w:val="0"/>
        <w:bidi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附件9：图纸（另附）</w:t>
      </w:r>
    </w:p>
    <w:p w14:paraId="32075A86">
      <w:pPr>
        <w:pStyle w:val="8"/>
        <w:shd w:val="clear"/>
        <w:wordWrap/>
        <w:topLinePunct w:val="0"/>
        <w:bidi w:val="0"/>
        <w:spacing w:line="360" w:lineRule="auto"/>
        <w:rPr>
          <w:rFonts w:hint="eastAsia" w:ascii="仿宋" w:hAnsi="仿宋" w:eastAsia="仿宋" w:cs="仿宋"/>
          <w:color w:val="auto"/>
          <w:highlight w:val="none"/>
        </w:rPr>
      </w:pPr>
    </w:p>
    <w:p w14:paraId="4D7A8D07">
      <w:pPr>
        <w:wordWrap/>
        <w:topLinePunct w:val="0"/>
        <w:bidi w:val="0"/>
        <w:spacing w:line="360" w:lineRule="auto"/>
        <w:rPr>
          <w:rFonts w:hint="eastAsia" w:ascii="仿宋" w:hAnsi="仿宋" w:eastAsia="仿宋" w:cs="仿宋"/>
          <w:color w:val="auto"/>
          <w:highlight w:val="none"/>
        </w:rPr>
      </w:pPr>
    </w:p>
    <w:bookmarkEnd w:id="409"/>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AE81F">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30EBB">
    <w:pPr>
      <w:pStyle w:val="1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7842B">
    <w:pPr>
      <w:pStyle w:val="12"/>
      <w:framePr w:wrap="around" w:vAnchor="text" w:hAnchor="margin" w:xAlign="right" w:y="1"/>
      <w:rPr>
        <w:rStyle w:val="19"/>
      </w:rPr>
    </w:pPr>
    <w:r>
      <w:fldChar w:fldCharType="begin"/>
    </w:r>
    <w:r>
      <w:rPr>
        <w:rStyle w:val="19"/>
      </w:rPr>
      <w:instrText xml:space="preserve">PAGE  </w:instrText>
    </w:r>
    <w:r>
      <w:fldChar w:fldCharType="end"/>
    </w:r>
  </w:p>
  <w:p w14:paraId="2467BAED">
    <w:pPr>
      <w:pStyle w:val="1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D80C6">
    <w:pPr>
      <w:pStyle w:val="1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110</w:t>
    </w:r>
    <w:r>
      <w:rPr>
        <w:rFonts w:hint="eastAsia" w:ascii="仿宋_GB2312" w:eastAsia="仿宋_GB2312"/>
        <w:kern w:val="0"/>
        <w:szCs w:val="21"/>
      </w:rPr>
      <w:fldChar w:fldCharType="end"/>
    </w:r>
    <w:bookmarkStart w:id="405" w:name="_Toc164085800"/>
    <w:bookmarkStart w:id="406" w:name="_Toc91899912"/>
    <w:bookmarkStart w:id="407" w:name="_Toc36110187"/>
    <w:bookmarkStart w:id="408" w:name="_Toc131845147"/>
    <w:r>
      <w:rPr>
        <w:rFonts w:hint="eastAsia" w:ascii="仿宋_GB2312" w:eastAsia="仿宋_GB2312"/>
        <w:kern w:val="0"/>
        <w:szCs w:val="21"/>
      </w:rPr>
      <w:t xml:space="preserve"> 页</w:t>
    </w:r>
    <w:bookmarkEnd w:id="405"/>
    <w:bookmarkEnd w:id="406"/>
    <w:bookmarkEnd w:id="407"/>
    <w:bookmarkEnd w:id="40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E49AC">
    <w:pPr>
      <w:pStyle w:val="12"/>
      <w:framePr w:wrap="around" w:vAnchor="text" w:hAnchor="margin" w:xAlign="right" w:y="1"/>
      <w:rPr>
        <w:rStyle w:val="19"/>
      </w:rPr>
    </w:pPr>
    <w:r>
      <w:fldChar w:fldCharType="begin"/>
    </w:r>
    <w:r>
      <w:rPr>
        <w:rStyle w:val="19"/>
      </w:rPr>
      <w:instrText xml:space="preserve">PAGE  </w:instrText>
    </w:r>
    <w:r>
      <w:fldChar w:fldCharType="end"/>
    </w:r>
  </w:p>
  <w:p w14:paraId="36AB3B04">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AE832">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4F8AC">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1BD7A14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1DD8">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0417ADB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5E766">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6EBC536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B6A03">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06091AE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9B90">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5C62FDE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25D1D">
    <w:pPr>
      <w:pStyle w:val="1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110</w:t>
    </w:r>
    <w:r>
      <w:rPr>
        <w:rFonts w:hint="eastAsia" w:ascii="仿宋_GB2312" w:eastAsia="仿宋_GB2312"/>
        <w:kern w:val="0"/>
      </w:rPr>
      <w:fldChar w:fldCharType="end"/>
    </w:r>
    <w:r>
      <w:rPr>
        <w:rFonts w:hint="eastAsia" w:ascii="仿宋_GB2312" w:eastAsia="仿宋_GB2312"/>
        <w:kern w:val="0"/>
      </w:rPr>
      <w:t xml:space="preserve"> 页</w:t>
    </w:r>
  </w:p>
  <w:p w14:paraId="60B0142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29384">
    <w:pPr>
      <w:pStyle w:val="13"/>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88C38">
    <w:pPr>
      <w:pStyle w:val="1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28136">
    <w:pPr>
      <w:pStyle w:val="13"/>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5A79E">
    <w:pPr>
      <w:pStyle w:val="1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DD678">
    <w:pPr>
      <w:pStyle w:val="1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NzQ0M2RiN2Y4NWRiZDYxZDU3MWZiNWJjZThmMmIifQ=="/>
  </w:docVars>
  <w:rsids>
    <w:rsidRoot w:val="34F310EF"/>
    <w:rsid w:val="00377076"/>
    <w:rsid w:val="004C0647"/>
    <w:rsid w:val="007A6F63"/>
    <w:rsid w:val="00A804FA"/>
    <w:rsid w:val="01A740E1"/>
    <w:rsid w:val="01B14C06"/>
    <w:rsid w:val="024B505A"/>
    <w:rsid w:val="02567BFE"/>
    <w:rsid w:val="02A76009"/>
    <w:rsid w:val="02A806AF"/>
    <w:rsid w:val="038B1487"/>
    <w:rsid w:val="03C230FA"/>
    <w:rsid w:val="03D33559"/>
    <w:rsid w:val="04B76F0B"/>
    <w:rsid w:val="04C66C1A"/>
    <w:rsid w:val="04E9587D"/>
    <w:rsid w:val="05C321A6"/>
    <w:rsid w:val="06D53145"/>
    <w:rsid w:val="07950B26"/>
    <w:rsid w:val="09042AFF"/>
    <w:rsid w:val="09161029"/>
    <w:rsid w:val="0B625B6C"/>
    <w:rsid w:val="0BF30ADA"/>
    <w:rsid w:val="0CCF4ADA"/>
    <w:rsid w:val="0CD21ED4"/>
    <w:rsid w:val="0F056231"/>
    <w:rsid w:val="0F4D75A3"/>
    <w:rsid w:val="0F694D72"/>
    <w:rsid w:val="0F797617"/>
    <w:rsid w:val="0FC6337C"/>
    <w:rsid w:val="0FCE2E27"/>
    <w:rsid w:val="11AD69CC"/>
    <w:rsid w:val="120C43CB"/>
    <w:rsid w:val="12957C2C"/>
    <w:rsid w:val="13722AD4"/>
    <w:rsid w:val="14117786"/>
    <w:rsid w:val="14262810"/>
    <w:rsid w:val="145D12CC"/>
    <w:rsid w:val="15064E11"/>
    <w:rsid w:val="158A763F"/>
    <w:rsid w:val="15D46CC5"/>
    <w:rsid w:val="172A0FAC"/>
    <w:rsid w:val="174B41D2"/>
    <w:rsid w:val="19965D24"/>
    <w:rsid w:val="19A075E2"/>
    <w:rsid w:val="19C74A3D"/>
    <w:rsid w:val="1AD20F8E"/>
    <w:rsid w:val="1B2D0F36"/>
    <w:rsid w:val="1C901B90"/>
    <w:rsid w:val="1CD53A47"/>
    <w:rsid w:val="1D7D4529"/>
    <w:rsid w:val="1DA43419"/>
    <w:rsid w:val="1E472722"/>
    <w:rsid w:val="1ED23970"/>
    <w:rsid w:val="1ED3045A"/>
    <w:rsid w:val="1EDB3746"/>
    <w:rsid w:val="1F024CF0"/>
    <w:rsid w:val="1F0638F5"/>
    <w:rsid w:val="1F1C595D"/>
    <w:rsid w:val="1FBA7B4A"/>
    <w:rsid w:val="20F3093F"/>
    <w:rsid w:val="231B417D"/>
    <w:rsid w:val="23375741"/>
    <w:rsid w:val="236B5023"/>
    <w:rsid w:val="23A418A2"/>
    <w:rsid w:val="24174945"/>
    <w:rsid w:val="246322F3"/>
    <w:rsid w:val="2487097B"/>
    <w:rsid w:val="24976B49"/>
    <w:rsid w:val="2525044A"/>
    <w:rsid w:val="255249D2"/>
    <w:rsid w:val="26064C71"/>
    <w:rsid w:val="2698174B"/>
    <w:rsid w:val="26C62FDC"/>
    <w:rsid w:val="26F471BF"/>
    <w:rsid w:val="27A526F6"/>
    <w:rsid w:val="28DC43AF"/>
    <w:rsid w:val="28F66100"/>
    <w:rsid w:val="291E0523"/>
    <w:rsid w:val="293B2E83"/>
    <w:rsid w:val="293D504C"/>
    <w:rsid w:val="294574BC"/>
    <w:rsid w:val="29542197"/>
    <w:rsid w:val="298356DD"/>
    <w:rsid w:val="2A6E344E"/>
    <w:rsid w:val="2A8B1BE9"/>
    <w:rsid w:val="2A9F5694"/>
    <w:rsid w:val="2B0F45C8"/>
    <w:rsid w:val="2B2F4100"/>
    <w:rsid w:val="2B334149"/>
    <w:rsid w:val="2B77016C"/>
    <w:rsid w:val="2BB67139"/>
    <w:rsid w:val="2BD35C2E"/>
    <w:rsid w:val="2C273B93"/>
    <w:rsid w:val="2C9A25B7"/>
    <w:rsid w:val="2CE33F5E"/>
    <w:rsid w:val="2D364388"/>
    <w:rsid w:val="2D850B71"/>
    <w:rsid w:val="2D9170E1"/>
    <w:rsid w:val="2E0B6220"/>
    <w:rsid w:val="2E3F3416"/>
    <w:rsid w:val="2FF43427"/>
    <w:rsid w:val="2FFB2401"/>
    <w:rsid w:val="308C0468"/>
    <w:rsid w:val="31321DB9"/>
    <w:rsid w:val="31474BFA"/>
    <w:rsid w:val="315703AB"/>
    <w:rsid w:val="34526FA1"/>
    <w:rsid w:val="34E35D5F"/>
    <w:rsid w:val="34F310EF"/>
    <w:rsid w:val="35595960"/>
    <w:rsid w:val="365E53F0"/>
    <w:rsid w:val="36D353C9"/>
    <w:rsid w:val="384F06F9"/>
    <w:rsid w:val="390A2872"/>
    <w:rsid w:val="392D787E"/>
    <w:rsid w:val="39AE76A2"/>
    <w:rsid w:val="39BF7476"/>
    <w:rsid w:val="39D32C64"/>
    <w:rsid w:val="39DE4719"/>
    <w:rsid w:val="3A1A0729"/>
    <w:rsid w:val="3AC71033"/>
    <w:rsid w:val="3B102067"/>
    <w:rsid w:val="3B4602B2"/>
    <w:rsid w:val="3B64270E"/>
    <w:rsid w:val="3BDC05C8"/>
    <w:rsid w:val="3CA2064A"/>
    <w:rsid w:val="3CD1236D"/>
    <w:rsid w:val="3E7072B3"/>
    <w:rsid w:val="3EB275B0"/>
    <w:rsid w:val="3FC15246"/>
    <w:rsid w:val="3FCC6AD3"/>
    <w:rsid w:val="40153FD6"/>
    <w:rsid w:val="409F567B"/>
    <w:rsid w:val="411038DC"/>
    <w:rsid w:val="4242307D"/>
    <w:rsid w:val="426B4382"/>
    <w:rsid w:val="42CE66BF"/>
    <w:rsid w:val="432E070E"/>
    <w:rsid w:val="433B1F50"/>
    <w:rsid w:val="43A91799"/>
    <w:rsid w:val="4404721B"/>
    <w:rsid w:val="455E01CE"/>
    <w:rsid w:val="459935ED"/>
    <w:rsid w:val="45B20E77"/>
    <w:rsid w:val="4605689B"/>
    <w:rsid w:val="46146ADE"/>
    <w:rsid w:val="46311787"/>
    <w:rsid w:val="46864FCB"/>
    <w:rsid w:val="46A95479"/>
    <w:rsid w:val="46D87B0C"/>
    <w:rsid w:val="473C10D7"/>
    <w:rsid w:val="478657BA"/>
    <w:rsid w:val="47F22E4F"/>
    <w:rsid w:val="483D1893"/>
    <w:rsid w:val="48613353"/>
    <w:rsid w:val="48F6071D"/>
    <w:rsid w:val="497A75A0"/>
    <w:rsid w:val="49AA4D20"/>
    <w:rsid w:val="49B74350"/>
    <w:rsid w:val="49C52B68"/>
    <w:rsid w:val="4A0A4480"/>
    <w:rsid w:val="4AFA44F5"/>
    <w:rsid w:val="4BDA60D4"/>
    <w:rsid w:val="4C0D64AA"/>
    <w:rsid w:val="4CBF59F6"/>
    <w:rsid w:val="4D0A4797"/>
    <w:rsid w:val="4E0B4C6B"/>
    <w:rsid w:val="4EBF2F27"/>
    <w:rsid w:val="4EE32812"/>
    <w:rsid w:val="4FCC7489"/>
    <w:rsid w:val="4FE96D51"/>
    <w:rsid w:val="50047BC4"/>
    <w:rsid w:val="50966A6E"/>
    <w:rsid w:val="517A013D"/>
    <w:rsid w:val="51B318A1"/>
    <w:rsid w:val="51BB07BD"/>
    <w:rsid w:val="53656BCB"/>
    <w:rsid w:val="538A03E0"/>
    <w:rsid w:val="53ED0638"/>
    <w:rsid w:val="54052ACA"/>
    <w:rsid w:val="54EC5D41"/>
    <w:rsid w:val="55404774"/>
    <w:rsid w:val="556829A3"/>
    <w:rsid w:val="55A90FF1"/>
    <w:rsid w:val="55B47996"/>
    <w:rsid w:val="578A30A4"/>
    <w:rsid w:val="57C2283E"/>
    <w:rsid w:val="57E207EA"/>
    <w:rsid w:val="58B77EC9"/>
    <w:rsid w:val="5A4237C2"/>
    <w:rsid w:val="5A56726E"/>
    <w:rsid w:val="5AA21EFE"/>
    <w:rsid w:val="5AD36B10"/>
    <w:rsid w:val="5ADB670B"/>
    <w:rsid w:val="5B300506"/>
    <w:rsid w:val="5C9127DF"/>
    <w:rsid w:val="5DF73E37"/>
    <w:rsid w:val="5E435D5B"/>
    <w:rsid w:val="5F4911C8"/>
    <w:rsid w:val="5FB33B0F"/>
    <w:rsid w:val="5FC97D25"/>
    <w:rsid w:val="61D4389A"/>
    <w:rsid w:val="623E6F65"/>
    <w:rsid w:val="62A003F9"/>
    <w:rsid w:val="64480FC9"/>
    <w:rsid w:val="65B01F04"/>
    <w:rsid w:val="65FD2C93"/>
    <w:rsid w:val="66124991"/>
    <w:rsid w:val="66794A10"/>
    <w:rsid w:val="670D5158"/>
    <w:rsid w:val="67335294"/>
    <w:rsid w:val="67B51A1D"/>
    <w:rsid w:val="687F3E33"/>
    <w:rsid w:val="68A32BE1"/>
    <w:rsid w:val="68B95597"/>
    <w:rsid w:val="69F50851"/>
    <w:rsid w:val="6AB44268"/>
    <w:rsid w:val="6AE0505D"/>
    <w:rsid w:val="6BAD570C"/>
    <w:rsid w:val="6C8B2DA7"/>
    <w:rsid w:val="6C9A4E21"/>
    <w:rsid w:val="6D062D75"/>
    <w:rsid w:val="6E19180D"/>
    <w:rsid w:val="6E515932"/>
    <w:rsid w:val="6E6D1D83"/>
    <w:rsid w:val="704C4576"/>
    <w:rsid w:val="712437CA"/>
    <w:rsid w:val="72023B0B"/>
    <w:rsid w:val="721C64E5"/>
    <w:rsid w:val="73F456D6"/>
    <w:rsid w:val="751D0CB9"/>
    <w:rsid w:val="753E41F8"/>
    <w:rsid w:val="7682521B"/>
    <w:rsid w:val="78994A9D"/>
    <w:rsid w:val="7A965738"/>
    <w:rsid w:val="7A97500D"/>
    <w:rsid w:val="7AA26A6A"/>
    <w:rsid w:val="7AB160CE"/>
    <w:rsid w:val="7B59386A"/>
    <w:rsid w:val="7B8F3C84"/>
    <w:rsid w:val="7BDB5EA2"/>
    <w:rsid w:val="7C0B180E"/>
    <w:rsid w:val="7D3E5C13"/>
    <w:rsid w:val="7DF369FE"/>
    <w:rsid w:val="7EBC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w:basedOn w:val="1"/>
    <w:next w:val="7"/>
    <w:autoRedefine/>
    <w:qFormat/>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1"/>
    <w:autoRedefine/>
    <w:qFormat/>
    <w:uiPriority w:val="0"/>
    <w:pPr>
      <w:ind w:firstLine="420"/>
    </w:pPr>
    <w:rPr>
      <w:rFonts w:hAnsi="Calibri" w:cs="Times New Roman"/>
      <w:snapToGrid/>
      <w:szCs w:val="20"/>
    </w:rPr>
  </w:style>
  <w:style w:type="paragraph" w:styleId="8">
    <w:name w:val="Body Text Indent"/>
    <w:basedOn w:val="1"/>
    <w:next w:val="9"/>
    <w:autoRedefine/>
    <w:qFormat/>
    <w:uiPriority w:val="0"/>
    <w:pPr>
      <w:spacing w:line="480" w:lineRule="exact"/>
      <w:ind w:firstLine="480" w:firstLineChars="200"/>
    </w:pPr>
    <w:rPr>
      <w:rFonts w:ascii="宋体" w:hAnsi="宋体"/>
      <w:sz w:val="24"/>
    </w:rPr>
  </w:style>
  <w:style w:type="paragraph" w:styleId="9">
    <w:name w:val="Body Text First Indent 2"/>
    <w:basedOn w:val="8"/>
    <w:next w:val="10"/>
    <w:autoRedefine/>
    <w:qFormat/>
    <w:uiPriority w:val="0"/>
    <w:pPr>
      <w:adjustRightInd/>
      <w:spacing w:after="120" w:line="240" w:lineRule="auto"/>
      <w:ind w:left="420" w:leftChars="200" w:firstLine="210"/>
    </w:pPr>
    <w:rPr>
      <w:sz w:val="21"/>
    </w:rPr>
  </w:style>
  <w:style w:type="paragraph" w:customStyle="1" w:styleId="10">
    <w:name w:val="xl53"/>
    <w:basedOn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paragraph" w:styleId="11">
    <w:name w:val="Plain Text"/>
    <w:basedOn w:val="1"/>
    <w:autoRedefine/>
    <w:qFormat/>
    <w:uiPriority w:val="0"/>
    <w:rPr>
      <w:rFonts w:ascii="宋体" w:hAnsi="Courier New" w:cs="Arial"/>
      <w:snapToGrid w:val="0"/>
      <w:szCs w:val="21"/>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6"/>
    <w:basedOn w:val="1"/>
    <w:next w:val="1"/>
    <w:autoRedefine/>
    <w:qFormat/>
    <w:uiPriority w:val="0"/>
    <w:pPr>
      <w:ind w:left="2100" w:leftChars="1000"/>
    </w:pPr>
  </w:style>
  <w:style w:type="paragraph" w:styleId="15">
    <w:name w:val="Title"/>
    <w:basedOn w:val="1"/>
    <w:next w:val="1"/>
    <w:autoRedefine/>
    <w:qFormat/>
    <w:uiPriority w:val="10"/>
    <w:pPr>
      <w:widowControl/>
      <w:overflowPunct w:val="0"/>
      <w:autoSpaceDE w:val="0"/>
      <w:autoSpaceDN w:val="0"/>
      <w:jc w:val="center"/>
      <w:textAlignment w:val="baseline"/>
    </w:pPr>
    <w:rPr>
      <w:b/>
      <w:kern w:val="0"/>
      <w:sz w:val="24"/>
      <w:szCs w:val="20"/>
      <w:lang w:val="en-GB"/>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rPr>
      <w:rFonts w:ascii="Arial" w:hAnsi="Arial" w:eastAsia="黑体" w:cs="Arial"/>
      <w:snapToGrid w:val="0"/>
      <w:kern w:val="0"/>
      <w:szCs w:val="21"/>
    </w:rPr>
  </w:style>
  <w:style w:type="character" w:styleId="20">
    <w:name w:val="Hyperlink"/>
    <w:autoRedefine/>
    <w:qFormat/>
    <w:uiPriority w:val="99"/>
    <w:rPr>
      <w:rFonts w:ascii="Arial" w:hAnsi="Arial" w:eastAsia="黑体" w:cs="Arial"/>
      <w:snapToGrid w:val="0"/>
      <w:color w:val="000000"/>
      <w:kern w:val="0"/>
      <w:sz w:val="18"/>
      <w:szCs w:val="18"/>
      <w:u w:val="none"/>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
    <w:name w:val="纯文本_0_0"/>
    <w:basedOn w:val="25"/>
    <w:autoRedefine/>
    <w:qFormat/>
    <w:uiPriority w:val="0"/>
    <w:rPr>
      <w:rFonts w:ascii="宋体" w:hAnsi="Courier New"/>
      <w:szCs w:val="21"/>
    </w:rPr>
  </w:style>
  <w:style w:type="paragraph" w:customStyle="1" w:styleId="25">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7">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37370</Words>
  <Characters>39285</Characters>
  <Lines>0</Lines>
  <Paragraphs>0</Paragraphs>
  <TotalTime>9</TotalTime>
  <ScaleCrop>false</ScaleCrop>
  <LinksUpToDate>false</LinksUpToDate>
  <CharactersWithSpaces>42200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2023-05-29T01:43:00Z</dcterms:created>
  <dc:creator>w</dc:creator>
  <cp:lastModifiedBy>w</cp:lastModifiedBy>
  <cp:lastPrinted>2023-12-27T06:52:00Z</cp:lastPrinted>
  <dcterms:modified xsi:type="dcterms:W3CDTF">2024-09-09T09:17:25Z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09E348B707184C439B83AA401BFEBB1E_13</vt:lpwstr>
  </property>
</Properties>
</file>