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adjustRightInd/>
        <w:spacing w:line="360" w:lineRule="auto"/>
        <w:jc w:val="both"/>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i w:val="0"/>
          <w:iCs w:val="0"/>
          <w:caps w:val="0"/>
          <w:color w:val="000000"/>
          <w:spacing w:val="0"/>
          <w:sz w:val="52"/>
          <w:szCs w:val="52"/>
          <w:highlight w:val="none"/>
        </w:rPr>
      </w:pPr>
      <w:r>
        <w:rPr>
          <w:rFonts w:hint="eastAsia" w:ascii="仿宋" w:hAnsi="仿宋" w:cs="仿宋"/>
          <w:i w:val="0"/>
          <w:iCs w:val="0"/>
          <w:caps w:val="0"/>
          <w:color w:val="000000"/>
          <w:spacing w:val="0"/>
          <w:sz w:val="52"/>
          <w:szCs w:val="52"/>
          <w:highlight w:val="none"/>
          <w:lang w:val="en-US" w:eastAsia="zh-CN"/>
        </w:rPr>
        <w:t>义蓬街道</w:t>
      </w:r>
      <w:r>
        <w:rPr>
          <w:rFonts w:hint="eastAsia" w:ascii="仿宋" w:hAnsi="仿宋" w:eastAsia="仿宋" w:cs="仿宋"/>
          <w:i w:val="0"/>
          <w:iCs w:val="0"/>
          <w:caps w:val="0"/>
          <w:color w:val="000000"/>
          <w:spacing w:val="0"/>
          <w:sz w:val="52"/>
          <w:szCs w:val="52"/>
          <w:highlight w:val="none"/>
        </w:rPr>
        <w:t>义盛社区标识标牌项目</w:t>
      </w:r>
    </w:p>
    <w:p>
      <w:pPr>
        <w:pStyle w:val="6"/>
        <w:rPr>
          <w:rFonts w:hint="eastAsia"/>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cs="仿宋"/>
          <w:color w:val="auto"/>
          <w:sz w:val="30"/>
          <w:szCs w:val="30"/>
          <w:highlight w:val="none"/>
          <w:lang w:val="en-US" w:eastAsia="zh-CN"/>
        </w:rPr>
        <w:t>QTCG-GK-2024-111</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pacing w:line="360" w:lineRule="auto"/>
        <w:jc w:val="cente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t>杭州市钱塘区人民政府义蓬街道办事处</w:t>
      </w:r>
    </w:p>
    <w:p>
      <w:pPr>
        <w:spacing w:line="360" w:lineRule="auto"/>
        <w:jc w:val="center"/>
        <w:rPr>
          <w:rFonts w:hint="eastAsia" w:ascii="仿宋" w:hAnsi="仿宋" w:eastAsia="仿宋" w:cs="仿宋"/>
          <w:color w:val="auto"/>
          <w:sz w:val="36"/>
          <w:szCs w:val="36"/>
          <w:highlight w:val="none"/>
          <w:lang w:eastAsia="zh-CN"/>
        </w:rPr>
      </w:pPr>
      <w:r>
        <w:rPr>
          <w:rFonts w:hint="eastAsia" w:ascii="仿宋" w:hAnsi="仿宋" w:cs="仿宋"/>
          <w:color w:val="auto"/>
          <w:sz w:val="36"/>
          <w:szCs w:val="36"/>
          <w:highlight w:val="none"/>
          <w:lang w:eastAsia="zh-CN"/>
        </w:rPr>
        <w:t>浙江中合工程管理有限公司</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36"/>
          <w:szCs w:val="36"/>
          <w:highlight w:val="none"/>
          <w:lang w:val="en-US" w:eastAsia="zh-CN"/>
        </w:rPr>
        <w:t>202</w:t>
      </w:r>
      <w:r>
        <w:rPr>
          <w:rFonts w:hint="eastAsia" w:ascii="仿宋" w:hAnsi="仿宋" w:cs="仿宋"/>
          <w:color w:val="auto"/>
          <w:sz w:val="36"/>
          <w:szCs w:val="36"/>
          <w:highlight w:val="none"/>
          <w:lang w:val="en-US" w:eastAsia="zh-CN"/>
        </w:rPr>
        <w:t>4</w:t>
      </w:r>
      <w:r>
        <w:rPr>
          <w:rFonts w:hint="eastAsia" w:ascii="仿宋" w:hAnsi="仿宋" w:eastAsia="仿宋" w:cs="仿宋"/>
          <w:color w:val="auto"/>
          <w:sz w:val="36"/>
          <w:szCs w:val="36"/>
          <w:highlight w:val="none"/>
          <w:lang w:eastAsia="zh-CN"/>
        </w:rPr>
        <w:t>年</w:t>
      </w:r>
      <w:r>
        <w:rPr>
          <w:rFonts w:hint="eastAsia" w:ascii="仿宋" w:hAnsi="仿宋" w:cs="仿宋"/>
          <w:color w:val="auto"/>
          <w:sz w:val="36"/>
          <w:szCs w:val="36"/>
          <w:highlight w:val="none"/>
          <w:lang w:val="en-US" w:eastAsia="zh-CN"/>
        </w:rPr>
        <w:t>05</w:t>
      </w:r>
      <w:r>
        <w:rPr>
          <w:rFonts w:hint="eastAsia" w:ascii="仿宋" w:hAnsi="仿宋" w:eastAsia="仿宋" w:cs="仿宋"/>
          <w:color w:val="auto"/>
          <w:sz w:val="36"/>
          <w:szCs w:val="36"/>
          <w:highlight w:val="none"/>
          <w:lang w:eastAsia="zh-CN"/>
        </w:rPr>
        <w:t>月</w:t>
      </w:r>
      <w:r>
        <w:rPr>
          <w:rFonts w:hint="eastAsia" w:ascii="仿宋" w:hAnsi="仿宋" w:cs="仿宋"/>
          <w:color w:val="auto"/>
          <w:sz w:val="36"/>
          <w:szCs w:val="36"/>
          <w:highlight w:val="none"/>
          <w:lang w:val="en-US" w:eastAsia="zh-CN"/>
        </w:rPr>
        <w:t>31日</w:t>
      </w: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cs="仿宋"/>
          <w:color w:val="auto"/>
          <w:sz w:val="24"/>
          <w:highlight w:val="none"/>
          <w:u w:val="single"/>
          <w:lang w:eastAsia="zh-CN"/>
        </w:rPr>
        <w:t>义蓬街道义盛社区标识标牌项目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cs="仿宋"/>
          <w:color w:val="auto"/>
          <w:sz w:val="24"/>
          <w:highlight w:val="none"/>
          <w:u w:val="single"/>
          <w:lang w:val="en-US" w:eastAsia="zh-CN"/>
        </w:rPr>
        <w:t>25</w:t>
      </w:r>
      <w:r>
        <w:rPr>
          <w:rFonts w:hint="eastAsia" w:ascii="仿宋" w:hAnsi="仿宋" w:eastAsia="仿宋" w:cs="仿宋"/>
          <w:color w:val="auto"/>
          <w:sz w:val="24"/>
          <w:highlight w:val="none"/>
          <w:u w:val="single"/>
        </w:rPr>
        <w:t>日</w:t>
      </w:r>
      <w:r>
        <w:rPr>
          <w:rFonts w:hint="eastAsia" w:ascii="仿宋" w:hAnsi="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ind w:firstLine="48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项目编号：QTCG-GK-2024-111</w:t>
      </w:r>
    </w:p>
    <w:p>
      <w:pPr>
        <w:spacing w:line="360" w:lineRule="auto"/>
        <w:ind w:firstLine="48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项目名称：</w:t>
      </w:r>
      <w:r>
        <w:rPr>
          <w:rFonts w:hint="eastAsia" w:ascii="仿宋" w:hAnsi="仿宋" w:cs="仿宋"/>
          <w:b w:val="0"/>
          <w:bCs w:val="0"/>
          <w:color w:val="auto"/>
          <w:sz w:val="24"/>
          <w:highlight w:val="none"/>
          <w:lang w:eastAsia="zh-CN"/>
        </w:rPr>
        <w:t>义蓬街道义盛社区标识标牌项目</w:t>
      </w:r>
    </w:p>
    <w:p>
      <w:pPr>
        <w:spacing w:line="360" w:lineRule="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 xml:space="preserve">    预算金额（元）：</w:t>
      </w:r>
      <w:r>
        <w:rPr>
          <w:rFonts w:hint="eastAsia" w:ascii="仿宋" w:hAnsi="仿宋" w:cs="仿宋"/>
          <w:b w:val="0"/>
          <w:bCs w:val="0"/>
          <w:color w:val="auto"/>
          <w:sz w:val="24"/>
          <w:highlight w:val="none"/>
          <w:lang w:val="en-US" w:eastAsia="zh-CN"/>
        </w:rPr>
        <w:t>603402</w:t>
      </w:r>
    </w:p>
    <w:p>
      <w:pPr>
        <w:spacing w:line="360" w:lineRule="auto"/>
        <w:ind w:firstLine="480"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eastAsia="zh-CN"/>
        </w:rPr>
        <w:t>（元）</w:t>
      </w:r>
      <w:r>
        <w:rPr>
          <w:rFonts w:hint="eastAsia" w:ascii="仿宋" w:hAnsi="仿宋" w:eastAsia="仿宋" w:cs="仿宋"/>
          <w:color w:val="auto"/>
          <w:sz w:val="24"/>
          <w:szCs w:val="28"/>
          <w:highlight w:val="none"/>
        </w:rPr>
        <w:t>：</w:t>
      </w:r>
      <w:r>
        <w:rPr>
          <w:rFonts w:hint="eastAsia" w:ascii="仿宋" w:hAnsi="仿宋" w:cs="仿宋"/>
          <w:b w:val="0"/>
          <w:bCs w:val="0"/>
          <w:color w:val="auto"/>
          <w:sz w:val="24"/>
          <w:highlight w:val="none"/>
          <w:lang w:val="en-US" w:eastAsia="zh-CN"/>
        </w:rPr>
        <w:t>603402</w:t>
      </w:r>
    </w:p>
    <w:p>
      <w:pPr>
        <w:pStyle w:val="18"/>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采购需求：</w:t>
      </w:r>
      <w:r>
        <w:rPr>
          <w:rFonts w:hint="eastAsia" w:ascii="仿宋" w:hAnsi="仿宋" w:eastAsia="仿宋" w:cs="仿宋"/>
          <w:color w:val="auto"/>
          <w:sz w:val="24"/>
          <w:szCs w:val="28"/>
          <w:highlight w:val="none"/>
        </w:rPr>
        <w:t>标项一：</w:t>
      </w:r>
    </w:p>
    <w:p>
      <w:pPr>
        <w:spacing w:line="360" w:lineRule="auto"/>
        <w:ind w:firstLine="480"/>
        <w:rPr>
          <w:rFonts w:hint="eastAsia" w:ascii="仿宋" w:hAnsi="仿宋" w:eastAsia="仿宋" w:cs="仿宋"/>
          <w:b w:val="0"/>
          <w:bCs w:val="0"/>
          <w:color w:val="auto"/>
          <w:sz w:val="24"/>
          <w:highlight w:val="none"/>
          <w:lang w:eastAsia="zh-CN"/>
        </w:rPr>
      </w:pPr>
      <w:r>
        <w:rPr>
          <w:rFonts w:hint="eastAsia" w:ascii="仿宋" w:hAnsi="仿宋" w:eastAsia="仿宋" w:cs="仿宋"/>
          <w:b w:val="0"/>
          <w:bCs/>
          <w:color w:val="auto"/>
          <w:sz w:val="24"/>
          <w:highlight w:val="none"/>
          <w:lang w:val="en-US" w:eastAsia="zh-CN"/>
        </w:rPr>
        <w:t>标项名称：</w:t>
      </w:r>
      <w:r>
        <w:rPr>
          <w:rFonts w:hint="eastAsia" w:ascii="仿宋" w:hAnsi="仿宋" w:cs="仿宋"/>
          <w:b w:val="0"/>
          <w:bCs w:val="0"/>
          <w:color w:val="auto"/>
          <w:sz w:val="24"/>
          <w:highlight w:val="none"/>
          <w:lang w:eastAsia="zh-CN"/>
        </w:rPr>
        <w:t>义蓬街道义盛社区标识标牌项目</w:t>
      </w:r>
    </w:p>
    <w:p>
      <w:pPr>
        <w:pStyle w:val="18"/>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数量：1</w:t>
      </w:r>
    </w:p>
    <w:p>
      <w:pPr>
        <w:spacing w:line="360" w:lineRule="auto"/>
        <w:ind w:firstLine="480" w:firstLineChars="2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预算金额（元）：</w:t>
      </w:r>
      <w:r>
        <w:rPr>
          <w:rFonts w:hint="eastAsia" w:ascii="仿宋" w:hAnsi="仿宋" w:cs="仿宋"/>
          <w:b w:val="0"/>
          <w:bCs w:val="0"/>
          <w:color w:val="auto"/>
          <w:sz w:val="24"/>
          <w:highlight w:val="none"/>
          <w:lang w:val="en-US" w:eastAsia="zh-CN"/>
        </w:rPr>
        <w:t>603402</w:t>
      </w:r>
    </w:p>
    <w:p>
      <w:pPr>
        <w:pStyle w:val="18"/>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b w:val="0"/>
          <w:bCs/>
          <w:snapToGrid/>
          <w:color w:val="auto"/>
          <w:kern w:val="2"/>
          <w:sz w:val="24"/>
          <w:szCs w:val="24"/>
          <w:highlight w:val="none"/>
        </w:rPr>
      </w:pPr>
      <w:r>
        <w:rPr>
          <w:rFonts w:hint="eastAsia" w:ascii="仿宋" w:hAnsi="仿宋" w:eastAsia="仿宋" w:cs="仿宋"/>
          <w:b w:val="0"/>
          <w:bCs/>
          <w:snapToGrid/>
          <w:color w:val="auto"/>
          <w:kern w:val="2"/>
          <w:sz w:val="24"/>
          <w:szCs w:val="24"/>
          <w:highlight w:val="none"/>
        </w:rPr>
        <w:t>简要规格描述或项目基本概况介绍、用途</w:t>
      </w:r>
      <w:r>
        <w:rPr>
          <w:rFonts w:hint="eastAsia" w:ascii="仿宋" w:hAnsi="仿宋" w:eastAsia="仿宋" w:cs="仿宋"/>
          <w:b w:val="0"/>
          <w:bCs/>
          <w:snapToGrid/>
          <w:color w:val="auto"/>
          <w:kern w:val="2"/>
          <w:sz w:val="24"/>
          <w:szCs w:val="24"/>
          <w:highlight w:val="none"/>
          <w:lang w:eastAsia="zh-CN"/>
        </w:rPr>
        <w:t>：</w:t>
      </w:r>
      <w:r>
        <w:rPr>
          <w:rFonts w:hint="eastAsia" w:ascii="仿宋" w:hAnsi="仿宋" w:eastAsia="仿宋" w:cs="仿宋"/>
          <w:b w:val="0"/>
          <w:bCs/>
          <w:snapToGrid/>
          <w:color w:val="auto"/>
          <w:kern w:val="2"/>
          <w:sz w:val="24"/>
          <w:szCs w:val="24"/>
          <w:highlight w:val="none"/>
        </w:rPr>
        <w:t>详见招标文件第三部分采购需求。</w:t>
      </w:r>
    </w:p>
    <w:p>
      <w:pPr>
        <w:pStyle w:val="130"/>
        <w:keepNext w:val="0"/>
        <w:keepLines w:val="0"/>
        <w:pageBreakBefore w:val="0"/>
        <w:kinsoku/>
        <w:wordWrap/>
        <w:overflowPunct/>
        <w:topLinePunct w:val="0"/>
        <w:autoSpaceDE/>
        <w:autoSpaceDN/>
        <w:bidi w:val="0"/>
        <w:adjustRightInd w:val="0"/>
        <w:spacing w:before="0" w:line="360" w:lineRule="auto"/>
        <w:ind w:firstLine="480" w:firstLineChars="200"/>
        <w:textAlignment w:val="auto"/>
        <w:outlineLvl w:val="2"/>
        <w:rPr>
          <w:rFonts w:hint="eastAsia" w:ascii="仿宋" w:hAnsi="仿宋" w:eastAsia="仿宋" w:cs="仿宋"/>
          <w:b w:val="0"/>
          <w:bCs/>
          <w:color w:val="auto"/>
          <w:highlight w:val="none"/>
          <w:lang w:val="en-US" w:eastAsia="zh-CN"/>
        </w:rPr>
      </w:pPr>
      <w:r>
        <w:rPr>
          <w:rFonts w:hint="eastAsia" w:ascii="仿宋" w:hAnsi="仿宋" w:eastAsia="仿宋" w:cs="仿宋"/>
          <w:b w:val="0"/>
          <w:bCs/>
          <w:color w:val="auto"/>
          <w:highlight w:val="none"/>
        </w:rPr>
        <w:t>合同履约期限：</w:t>
      </w:r>
      <w:r>
        <w:rPr>
          <w:rFonts w:hint="eastAsia" w:ascii="仿宋" w:hAnsi="仿宋" w:eastAsia="仿宋" w:cs="仿宋"/>
          <w:b w:val="0"/>
          <w:bCs/>
          <w:color w:val="auto"/>
          <w:highlight w:val="none"/>
          <w:lang w:val="en-US" w:eastAsia="zh-CN"/>
        </w:rPr>
        <w:t>详见采购需求。</w:t>
      </w:r>
    </w:p>
    <w:p>
      <w:pPr>
        <w:pStyle w:val="18"/>
        <w:spacing w:line="360" w:lineRule="auto"/>
        <w:ind w:firstLine="480"/>
        <w:rPr>
          <w:rFonts w:hint="eastAsia" w:ascii="仿宋" w:hAnsi="仿宋" w:eastAsia="仿宋" w:cs="仿宋"/>
          <w:b/>
          <w:color w:val="auto"/>
          <w:sz w:val="24"/>
          <w:highlight w:val="none"/>
        </w:rPr>
      </w:pPr>
      <w:r>
        <w:rPr>
          <w:rFonts w:hint="eastAsia" w:ascii="仿宋" w:hAnsi="仿宋" w:eastAsia="仿宋" w:cs="仿宋"/>
          <w:b w:val="0"/>
          <w:bCs w:val="0"/>
          <w:color w:val="auto"/>
          <w:sz w:val="24"/>
          <w:highlight w:val="none"/>
        </w:rPr>
        <w:t>本项目接受联合体投标：</w:t>
      </w:r>
      <w:sdt>
        <w:sdtPr>
          <w:rPr>
            <w:rFonts w:hint="eastAsia" w:ascii="仿宋" w:hAnsi="仿宋" w:eastAsia="仿宋" w:cs="仿宋"/>
            <w:b w:val="0"/>
            <w:bCs w:val="0"/>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Wingdings" w:hAnsi="Wingdings" w:eastAsia="仿宋" w:cs="仿宋"/>
              <w:b w:val="0"/>
              <w:bCs w:val="0"/>
              <w:snapToGrid w:val="0"/>
              <w:color w:val="auto"/>
              <w:kern w:val="0"/>
              <w:sz w:val="24"/>
              <w:szCs w:val="20"/>
              <w:highlight w:val="none"/>
              <w:lang w:val="en-US" w:eastAsia="zh-CN" w:bidi="ar-SA"/>
            </w:rPr>
            <w:t>þ</w:t>
          </w:r>
        </w:sdtContent>
      </w:sdt>
      <w:r>
        <w:rPr>
          <w:rFonts w:hint="eastAsia" w:ascii="仿宋" w:hAnsi="仿宋" w:eastAsia="仿宋" w:cs="仿宋"/>
          <w:b w:val="0"/>
          <w:bCs w:val="0"/>
          <w:color w:val="auto"/>
          <w:sz w:val="24"/>
          <w:highlight w:val="none"/>
        </w:rPr>
        <w:t>是，</w:t>
      </w:r>
      <w:sdt>
        <w:sdtPr>
          <w:rPr>
            <w:rFonts w:hint="eastAsia" w:ascii="仿宋" w:hAnsi="仿宋" w:eastAsia="仿宋" w:cs="仿宋"/>
            <w:b w:val="0"/>
            <w:bCs w:val="0"/>
            <w:color w:val="auto"/>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MS Gothic" w:hAnsi="MS Gothic" w:eastAsia="仿宋" w:cs="仿宋"/>
              <w:b w:val="0"/>
              <w:bCs w:val="0"/>
              <w:snapToGrid w:val="0"/>
              <w:color w:val="auto"/>
              <w:kern w:val="0"/>
              <w:sz w:val="24"/>
              <w:szCs w:val="20"/>
              <w:highlight w:val="none"/>
              <w:lang w:val="en-US" w:eastAsia="zh-CN" w:bidi="ar-SA"/>
            </w:rPr>
            <w:t>☐</w:t>
          </w:r>
        </w:sdtContent>
      </w:sdt>
      <w:r>
        <w:rPr>
          <w:rFonts w:hint="eastAsia" w:ascii="仿宋" w:hAnsi="仿宋" w:eastAsia="仿宋" w:cs="仿宋"/>
          <w:b w:val="0"/>
          <w:bCs w:val="0"/>
          <w:color w:val="auto"/>
          <w:sz w:val="24"/>
          <w:highlight w:val="none"/>
        </w:rPr>
        <w:t>否</w:t>
      </w:r>
      <w:r>
        <w:rPr>
          <w:rFonts w:hint="eastAsia" w:ascii="仿宋" w:hAnsi="仿宋" w:eastAsia="仿宋" w:cs="仿宋"/>
          <w:b w:val="0"/>
          <w:bCs w:val="0"/>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rPr>
      </w:pPr>
      <w:r>
        <w:rPr>
          <w:rFonts w:hint="eastAsia" w:ascii="仿宋_GB2312" w:hAnsi="仿宋_GB2312" w:eastAsia="仿宋_GB2312" w:cs="仿宋_GB2312"/>
          <w:snapToGrid w:val="0"/>
          <w:kern w:val="28"/>
          <w:sz w:val="24"/>
          <w:szCs w:val="20"/>
        </w:rPr>
        <w:t>2.以联合体形式投标的，提供联合协议(本项目不接受联合体投标或者投标人不以联合体形式投标的，则不需要提供) ；</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w:t>
      </w:r>
      <w:r>
        <w:rPr>
          <w:rFonts w:hint="eastAsia" w:ascii="仿宋" w:hAnsi="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cs="仿宋"/>
          <w:color w:val="auto"/>
          <w:sz w:val="24"/>
          <w:highlight w:val="none"/>
          <w:u w:val="single"/>
          <w:lang w:val="en-US" w:eastAsia="zh-CN"/>
        </w:rPr>
        <w:t>25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cs="仿宋"/>
          <w:color w:val="auto"/>
          <w:sz w:val="24"/>
          <w:highlight w:val="none"/>
          <w:u w:val="single"/>
          <w:lang w:val="en-US" w:eastAsia="zh-CN"/>
        </w:rPr>
        <w:t>25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cs="仿宋"/>
          <w:color w:val="auto"/>
          <w:sz w:val="24"/>
          <w:highlight w:val="none"/>
          <w:u w:val="single"/>
          <w:lang w:val="en-US" w:eastAsia="zh-CN"/>
        </w:rPr>
        <w:t>06</w:t>
      </w:r>
      <w:r>
        <w:rPr>
          <w:rFonts w:hint="eastAsia" w:ascii="仿宋" w:hAnsi="仿宋" w:eastAsia="仿宋" w:cs="仿宋"/>
          <w:color w:val="auto"/>
          <w:sz w:val="24"/>
          <w:highlight w:val="none"/>
          <w:u w:val="single"/>
        </w:rPr>
        <w:t>月</w:t>
      </w:r>
      <w:r>
        <w:rPr>
          <w:rFonts w:hint="eastAsia" w:ascii="仿宋" w:hAnsi="仿宋" w:cs="仿宋"/>
          <w:color w:val="auto"/>
          <w:sz w:val="24"/>
          <w:highlight w:val="none"/>
          <w:u w:val="single"/>
          <w:lang w:val="en-US" w:eastAsia="zh-CN"/>
        </w:rPr>
        <w:t>25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numPr>
          <w:ilvl w:val="0"/>
          <w:numId w:val="1"/>
        </w:numPr>
        <w:snapToGrid w:val="0"/>
        <w:spacing w:line="360" w:lineRule="auto"/>
        <w:rPr>
          <w:rFonts w:hint="eastAsia" w:ascii="仿宋_GB2312" w:hAnsi="仿宋_GB2312" w:eastAsia="仿宋_GB2312" w:cs="仿宋_GB2312"/>
          <w:b/>
          <w:sz w:val="24"/>
        </w:rPr>
      </w:pPr>
      <w:r>
        <w:rPr>
          <w:rFonts w:hint="eastAsia" w:ascii="仿宋_GB2312" w:hAnsi="仿宋_GB2312" w:eastAsia="仿宋_GB2312" w:cs="仿宋_GB2312"/>
          <w:b/>
          <w:sz w:val="24"/>
        </w:rPr>
        <w:t>采购意向公开链接</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"https://zfcg.czt.zj.gov.cn/site/detail?parentId=600007&amp;articleId=m5KKKEnwvRJQ%2BA6CCj7RjA%3D%3D&amp;utm=site.site-PC-37000.979-pc-websitegroup-zhejiang-secondPage-front.2.98ec807001fb11ef9a0c4f1ad8bedf4e" </w:instrText>
      </w:r>
      <w:r>
        <w:rPr>
          <w:rFonts w:hint="eastAsia" w:ascii="仿宋" w:hAnsi="仿宋" w:eastAsia="仿宋" w:cs="仿宋"/>
          <w:color w:val="auto"/>
          <w:sz w:val="24"/>
          <w:highlight w:val="none"/>
          <w:u w:val="single"/>
        </w:rPr>
        <w:fldChar w:fldCharType="separate"/>
      </w:r>
      <w:r>
        <w:rPr>
          <w:rStyle w:val="76"/>
          <w:rFonts w:hint="eastAsia" w:ascii="仿宋" w:hAnsi="仿宋" w:eastAsia="仿宋" w:cs="仿宋"/>
          <w:sz w:val="24"/>
          <w:highlight w:val="none"/>
        </w:rPr>
        <w:t>https://zfcg.czt.zj.gov.cn/site/detail?parentId=600007&amp;articleId=m5KKKEnwvRJQ%2BA6CCj7RjA%3D%3D&amp;utm=site.site-PC-37000.979-pc-websitegroup-zhejiang-secondPage-front.2.98ec807001fb11ef9a0c4f1ad8bedf4e</w:t>
      </w:r>
      <w:r>
        <w:rPr>
          <w:rFonts w:hint="eastAsia" w:ascii="仿宋" w:hAnsi="仿宋" w:eastAsia="仿宋" w:cs="仿宋"/>
          <w:color w:val="auto"/>
          <w:sz w:val="24"/>
          <w:highlight w:val="none"/>
          <w:u w:val="single"/>
        </w:rPr>
        <w:fldChar w:fldCharType="end"/>
      </w:r>
    </w:p>
    <w:p>
      <w:pPr>
        <w:spacing w:line="360" w:lineRule="auto"/>
        <w:rPr>
          <w:rFonts w:hint="eastAsia" w:ascii="仿宋" w:hAnsi="仿宋" w:eastAsia="仿宋" w:cs="仿宋"/>
          <w:color w:val="auto"/>
          <w:sz w:val="24"/>
          <w:highlight w:val="none"/>
        </w:rPr>
      </w:pPr>
      <w:r>
        <w:rPr>
          <w:rFonts w:hint="eastAsia" w:ascii="仿宋" w:hAnsi="仿宋" w:cs="仿宋"/>
          <w:b/>
          <w:color w:val="auto"/>
          <w:sz w:val="24"/>
          <w:highlight w:val="none"/>
          <w:lang w:val="en-US" w:eastAsia="zh-CN"/>
        </w:rPr>
        <w:t>六、</w:t>
      </w:r>
      <w:r>
        <w:rPr>
          <w:rFonts w:hint="eastAsia" w:ascii="仿宋" w:hAnsi="仿宋" w:eastAsia="仿宋" w:cs="仿宋"/>
          <w:b/>
          <w:color w:val="auto"/>
          <w:sz w:val="24"/>
          <w:highlight w:val="none"/>
        </w:rPr>
        <w:t xml:space="preserve">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numPr>
          <w:ilvl w:val="0"/>
          <w:numId w:val="0"/>
        </w:numPr>
        <w:spacing w:line="360" w:lineRule="auto"/>
        <w:rPr>
          <w:rFonts w:hint="eastAsia" w:ascii="仿宋" w:hAnsi="仿宋" w:eastAsia="仿宋" w:cs="仿宋"/>
          <w:b/>
          <w:color w:val="auto"/>
          <w:sz w:val="24"/>
          <w:highlight w:val="none"/>
        </w:rPr>
      </w:pPr>
      <w:r>
        <w:rPr>
          <w:rFonts w:hint="eastAsia" w:ascii="仿宋" w:hAnsi="仿宋" w:cs="仿宋"/>
          <w:b/>
          <w:color w:val="auto"/>
          <w:kern w:val="2"/>
          <w:sz w:val="24"/>
          <w:szCs w:val="24"/>
          <w:lang w:val="en-US" w:eastAsia="zh-CN" w:bidi="ar-SA"/>
        </w:rPr>
        <w:t>七</w:t>
      </w:r>
      <w:r>
        <w:rPr>
          <w:rFonts w:hint="eastAsia" w:ascii="仿宋" w:hAnsi="仿宋" w:eastAsia="仿宋" w:cs="仿宋"/>
          <w:b/>
          <w:color w:val="auto"/>
          <w:kern w:val="2"/>
          <w:sz w:val="24"/>
          <w:szCs w:val="24"/>
          <w:lang w:val="en-US" w:eastAsia="zh-CN" w:bidi="ar-SA"/>
        </w:rPr>
        <w:t>、</w:t>
      </w:r>
      <w:r>
        <w:rPr>
          <w:rFonts w:hint="eastAsia" w:ascii="仿宋" w:hAnsi="仿宋" w:eastAsia="仿宋" w:cs="仿宋"/>
          <w:b/>
          <w:color w:val="auto"/>
          <w:sz w:val="24"/>
          <w:highlight w:val="none"/>
        </w:rPr>
        <w:t>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cs="仿宋"/>
          <w:b/>
          <w:color w:val="auto"/>
          <w:sz w:val="24"/>
          <w:highlight w:val="none"/>
          <w:lang w:val="en-US" w:eastAsia="zh-CN"/>
        </w:rPr>
        <w:t>八</w:t>
      </w:r>
      <w:r>
        <w:rPr>
          <w:rFonts w:hint="eastAsia" w:ascii="仿宋" w:hAnsi="仿宋" w:eastAsia="仿宋" w:cs="仿宋"/>
          <w:b/>
          <w:color w:val="auto"/>
          <w:sz w:val="24"/>
          <w:highlight w:val="none"/>
        </w:rPr>
        <w:t>、对本次采购提出询问、质疑、投诉，请按以下方式联系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址：杭州市钱塘区义府大街668号</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项目联系人（询问）：高海燕</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项目联系方式（询问）：0571-82150016</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周国民</w:t>
      </w:r>
    </w:p>
    <w:p>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0571-82151818</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cs="仿宋"/>
          <w:color w:val="auto"/>
          <w:sz w:val="24"/>
          <w:highlight w:val="none"/>
          <w:lang w:eastAsia="zh-CN"/>
        </w:rPr>
        <w:t>浙江中合工程管理有限公司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cs="仿宋"/>
          <w:color w:val="auto"/>
          <w:sz w:val="24"/>
          <w:szCs w:val="28"/>
          <w:highlight w:val="none"/>
          <w:lang w:val="en-US" w:eastAsia="zh-CN"/>
        </w:rPr>
        <w:t>萧山区盈丰街道浙江民营企业发展大厦B座</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adjustRightInd/>
        <w:spacing w:line="360" w:lineRule="auto"/>
        <w:ind w:firstLine="480" w:firstLineChars="200"/>
        <w:jc w:val="left"/>
        <w:outlineLvl w:val="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cs="仿宋"/>
          <w:color w:val="auto"/>
          <w:sz w:val="24"/>
          <w:szCs w:val="28"/>
          <w:highlight w:val="none"/>
          <w:lang w:val="en-US" w:eastAsia="zh-CN"/>
        </w:rPr>
        <w:t>诸女士</w:t>
      </w:r>
      <w:r>
        <w:rPr>
          <w:rFonts w:hint="eastAsia" w:ascii="仿宋" w:hAnsi="仿宋" w:eastAsia="仿宋" w:cs="仿宋"/>
          <w:color w:val="auto"/>
          <w:sz w:val="24"/>
          <w:szCs w:val="28"/>
          <w:highlight w:val="none"/>
        </w:rPr>
        <w:t>     　　　　　　　　　　</w:t>
      </w:r>
    </w:p>
    <w:p>
      <w:pPr>
        <w:adjustRightInd/>
        <w:spacing w:line="360" w:lineRule="auto"/>
        <w:ind w:firstLine="480" w:firstLineChars="200"/>
        <w:jc w:val="left"/>
        <w:outlineLvl w:val="0"/>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cs="仿宋"/>
          <w:color w:val="auto"/>
          <w:sz w:val="24"/>
          <w:szCs w:val="28"/>
          <w:highlight w:val="none"/>
          <w:lang w:val="en-US" w:eastAsia="zh-CN"/>
        </w:rPr>
        <w:t>15381712570</w:t>
      </w:r>
    </w:p>
    <w:p>
      <w:pPr>
        <w:adjustRightInd/>
        <w:spacing w:line="360" w:lineRule="auto"/>
        <w:ind w:firstLine="480" w:firstLineChars="200"/>
        <w:jc w:val="left"/>
        <w:outlineLvl w:val="0"/>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质疑联系人：</w:t>
      </w:r>
      <w:r>
        <w:rPr>
          <w:rFonts w:hint="eastAsia" w:ascii="仿宋" w:hAnsi="仿宋" w:cs="仿宋"/>
          <w:color w:val="auto"/>
          <w:sz w:val="24"/>
          <w:szCs w:val="28"/>
          <w:highlight w:val="none"/>
          <w:lang w:val="en-US" w:eastAsia="zh-CN"/>
        </w:rPr>
        <w:t>沈女士</w:t>
      </w:r>
    </w:p>
    <w:p>
      <w:pPr>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质疑联系方式：13575709399</w:t>
      </w:r>
    </w:p>
    <w:p>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highlight w:val="none"/>
        </w:rPr>
        <w:t xml:space="preserve"> 3.同级政府采购监督管理部门            </w:t>
      </w:r>
    </w:p>
    <w:p>
      <w:pPr>
        <w:adjustRightInd/>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名    称： 杭州市钱塘区财政局、浙江省政府采购行政裁决服务中心(杭州) </w:t>
      </w:r>
    </w:p>
    <w:p>
      <w:pPr>
        <w:adjustRightInd/>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地    址： 杭州市上城区四季青街道新业路市民之家G03办公室</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快递仅限ems或顺丰</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 xml:space="preserve"> </w:t>
      </w:r>
    </w:p>
    <w:p>
      <w:pPr>
        <w:adjustRightInd/>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联系人 ：朱女士、王女士</w:t>
      </w:r>
    </w:p>
    <w:p>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监督投诉电话：0571-85252453</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24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24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24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240" w:lineRule="auto"/>
              <w:ind w:firstLine="241" w:firstLineChars="100"/>
              <w:jc w:val="lef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同意</w:t>
            </w:r>
            <w:r>
              <w:rPr>
                <w:rFonts w:hint="eastAsia" w:ascii="仿宋" w:hAnsi="仿宋" w:eastAsia="仿宋" w:cs="仿宋"/>
                <w:color w:val="auto"/>
                <w:sz w:val="24"/>
                <w:highlight w:val="none"/>
                <w:lang w:eastAsia="zh-CN"/>
              </w:rPr>
              <w:t>大型</w:t>
            </w:r>
            <w:r>
              <w:rPr>
                <w:rFonts w:hint="eastAsia" w:ascii="仿宋" w:hAnsi="仿宋" w:eastAsia="仿宋" w:cs="仿宋"/>
                <w:color w:val="auto"/>
                <w:sz w:val="24"/>
                <w:highlight w:val="none"/>
                <w:lang w:val="en-US" w:eastAsia="zh-CN"/>
              </w:rPr>
              <w:t>企业向小微企业、中型企业向小微企业、小微企业向小微企业合理分包</w:t>
            </w:r>
            <w:r>
              <w:rPr>
                <w:rFonts w:hint="eastAsia" w:ascii="仿宋" w:hAnsi="仿宋" w:eastAsia="仿宋" w:cs="仿宋"/>
                <w:color w:val="auto"/>
                <w:sz w:val="24"/>
                <w:highlight w:val="none"/>
              </w:rPr>
              <w:t>。</w:t>
            </w:r>
          </w:p>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C</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24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240" w:lineRule="auto"/>
              <w:jc w:val="left"/>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240" w:lineRule="auto"/>
              <w:jc w:val="lef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B要求提供，</w:t>
            </w:r>
          </w:p>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240" w:lineRule="auto"/>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240" w:lineRule="auto"/>
              <w:jc w:val="lef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B组织。</w:t>
            </w:r>
          </w:p>
          <w:p>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本项目不允许采购进口产品。</w:t>
            </w:r>
          </w:p>
          <w:p>
            <w:pPr>
              <w:spacing w:line="240" w:lineRule="auto"/>
              <w:jc w:val="left"/>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hAnsi="仿宋" w:cs="仿宋"/>
                <w:color w:val="auto"/>
                <w:sz w:val="24"/>
                <w:highlight w:val="none"/>
                <w:u w:val="single"/>
                <w:lang w:eastAsia="zh-CN"/>
              </w:rPr>
              <w:t>义蓬街道义盛社区标识标牌项目</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sz w:val="24"/>
                <w:highlight w:val="none"/>
              </w:rPr>
              <w:t>A无</w:t>
            </w:r>
          </w:p>
          <w:p>
            <w:pPr>
              <w:pStyle w:val="2"/>
              <w:spacing w:line="240" w:lineRule="auto"/>
              <w:jc w:val="left"/>
              <w:rPr>
                <w:rFonts w:hint="eastAsia" w:ascii="仿宋" w:hAnsi="仿宋" w:eastAsia="仿宋" w:cs="仿宋"/>
                <w:color w:val="auto"/>
                <w:kern w:val="0"/>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snapToGrid w:val="0"/>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highlight w:val="none"/>
              </w:rPr>
              <w:t>B</w:t>
            </w:r>
            <w:r>
              <w:rPr>
                <w:rFonts w:hint="eastAsia" w:ascii="仿宋" w:hAnsi="仿宋" w:eastAsia="仿宋" w:cs="仿宋"/>
                <w:color w:val="auto"/>
                <w:kern w:val="0"/>
                <w:highlight w:val="none"/>
                <w:lang w:val="en-US"/>
              </w:rPr>
              <w:t xml:space="preserve"> 政府</w:t>
            </w:r>
            <w:r>
              <w:rPr>
                <w:rFonts w:hint="eastAsia" w:ascii="仿宋" w:hAnsi="仿宋" w:eastAsia="仿宋" w:cs="仿宋"/>
                <w:color w:val="auto"/>
                <w:highlight w:val="none"/>
                <w:lang w:val="en-US"/>
              </w:rPr>
              <w:t>强制采购节能产品</w:t>
            </w:r>
            <w:r>
              <w:rPr>
                <w:rFonts w:hint="eastAsia" w:ascii="仿宋" w:hAnsi="仿宋" w:eastAsia="仿宋" w:cs="仿宋"/>
                <w:color w:val="auto"/>
                <w:kern w:val="0"/>
                <w:highlight w:val="none"/>
              </w:rPr>
              <w:t>：</w:t>
            </w:r>
          </w:p>
          <w:p>
            <w:pPr>
              <w:pStyle w:val="2"/>
              <w:spacing w:line="240" w:lineRule="auto"/>
              <w:ind w:firstLine="480" w:firstLineChars="200"/>
              <w:jc w:val="left"/>
              <w:rPr>
                <w:rFonts w:hint="eastAsia" w:ascii="仿宋" w:hAnsi="仿宋" w:eastAsia="仿宋" w:cs="仿宋"/>
                <w:color w:val="auto"/>
                <w:highlight w:val="none"/>
                <w:u w:val="single"/>
                <w:lang w:val="en-US"/>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1</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p>
          <w:p>
            <w:pPr>
              <w:pStyle w:val="2"/>
              <w:spacing w:line="240" w:lineRule="auto"/>
              <w:ind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p>
          <w:p>
            <w:pPr>
              <w:pStyle w:val="2"/>
              <w:spacing w:line="240" w:lineRule="auto"/>
              <w:jc w:val="left"/>
              <w:rPr>
                <w:rFonts w:hint="eastAsia" w:ascii="仿宋" w:hAnsi="仿宋" w:eastAsia="仿宋" w:cs="仿宋"/>
                <w:color w:val="auto"/>
                <w:kern w:val="0"/>
                <w:highlight w:val="none"/>
              </w:rPr>
            </w:pPr>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snapToGrid w:val="0"/>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r>
              <w:rPr>
                <w:rFonts w:hint="eastAsia" w:ascii="仿宋" w:hAnsi="仿宋" w:eastAsia="仿宋" w:cs="仿宋"/>
                <w:color w:val="auto"/>
                <w:kern w:val="0"/>
                <w:highlight w:val="none"/>
                <w:lang w:val="en-US"/>
              </w:rPr>
              <w:t xml:space="preserve">C </w:t>
            </w:r>
            <w:r>
              <w:rPr>
                <w:rFonts w:hint="eastAsia" w:ascii="仿宋" w:hAnsi="仿宋" w:eastAsia="仿宋" w:cs="仿宋"/>
                <w:color w:val="auto"/>
                <w:highlight w:val="none"/>
                <w:lang w:val="en-US"/>
              </w:rPr>
              <w:t>政府优先采购节能产品</w:t>
            </w:r>
            <w:r>
              <w:rPr>
                <w:rFonts w:hint="eastAsia" w:ascii="仿宋" w:hAnsi="仿宋" w:eastAsia="仿宋" w:cs="仿宋"/>
                <w:color w:val="auto"/>
                <w:kern w:val="0"/>
                <w:highlight w:val="none"/>
              </w:rPr>
              <w:t>：</w:t>
            </w:r>
          </w:p>
          <w:p>
            <w:pPr>
              <w:pStyle w:val="2"/>
              <w:spacing w:line="240" w:lineRule="auto"/>
              <w:ind w:firstLine="480" w:firstLineChars="200"/>
              <w:jc w:val="left"/>
              <w:rPr>
                <w:rFonts w:hint="eastAsia" w:ascii="仿宋" w:hAnsi="仿宋" w:eastAsia="仿宋" w:cs="仿宋"/>
                <w:color w:val="auto"/>
                <w:highlight w:val="none"/>
                <w:u w:val="single"/>
                <w:lang w:val="en-US"/>
              </w:rPr>
            </w:pPr>
            <w:r>
              <w:rPr>
                <w:rFonts w:hint="eastAsia" w:ascii="仿宋" w:hAnsi="仿宋" w:eastAsia="仿宋" w:cs="仿宋"/>
                <w:color w:val="auto"/>
                <w:kern w:val="0"/>
                <w:highlight w:val="none"/>
                <w:lang w:val="en-US"/>
              </w:rPr>
              <w:t>（1）</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p>
          <w:p>
            <w:pPr>
              <w:pStyle w:val="2"/>
              <w:spacing w:line="240" w:lineRule="auto"/>
              <w:ind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p>
          <w:p>
            <w:pPr>
              <w:pStyle w:val="2"/>
              <w:spacing w:line="240" w:lineRule="auto"/>
              <w:jc w:val="left"/>
              <w:rPr>
                <w:rFonts w:hint="eastAsia" w:ascii="仿宋" w:hAnsi="仿宋" w:eastAsia="仿宋" w:cs="仿宋"/>
                <w:color w:val="auto"/>
                <w:kern w:val="0"/>
                <w:highlight w:val="none"/>
              </w:rPr>
            </w:pPr>
            <w:sdt>
              <w:sdtPr>
                <w:rPr>
                  <w:rFonts w:hint="eastAsia" w:ascii="仿宋" w:hAnsi="仿宋" w:eastAsia="仿宋" w:cs="仿宋"/>
                  <w:color w:val="auto"/>
                  <w:kern w:val="0"/>
                  <w:highlight w:val="none"/>
                </w:rPr>
                <w:id w:val="474885559"/>
              </w:sdtPr>
              <w:sdtEndPr>
                <w:rPr>
                  <w:rFonts w:hint="eastAsia" w:ascii="仿宋" w:hAnsi="仿宋" w:eastAsia="仿宋" w:cs="仿宋"/>
                  <w:color w:val="auto"/>
                  <w:kern w:val="0"/>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kern w:val="0"/>
                <w:highlight w:val="none"/>
                <w:lang w:val="en-US"/>
              </w:rPr>
              <w:t xml:space="preserve">D </w:t>
            </w:r>
            <w:r>
              <w:rPr>
                <w:rFonts w:hint="eastAsia" w:ascii="仿宋" w:hAnsi="仿宋" w:eastAsia="仿宋" w:cs="仿宋"/>
                <w:color w:val="auto"/>
                <w:highlight w:val="none"/>
                <w:lang w:val="en-US"/>
              </w:rPr>
              <w:t>政府优先采购环境标志产品</w:t>
            </w:r>
            <w:r>
              <w:rPr>
                <w:rFonts w:hint="eastAsia" w:ascii="仿宋" w:hAnsi="仿宋" w:eastAsia="仿宋" w:cs="仿宋"/>
                <w:color w:val="auto"/>
                <w:kern w:val="0"/>
                <w:highlight w:val="none"/>
              </w:rPr>
              <w:t>：</w:t>
            </w:r>
          </w:p>
          <w:p>
            <w:pPr>
              <w:pStyle w:val="2"/>
              <w:spacing w:line="240" w:lineRule="auto"/>
              <w:ind w:firstLine="480" w:firstLineChars="200"/>
              <w:jc w:val="left"/>
              <w:rPr>
                <w:rFonts w:hint="eastAsia" w:ascii="仿宋" w:hAnsi="仿宋" w:eastAsia="仿宋" w:cs="仿宋"/>
                <w:color w:val="auto"/>
                <w:highlight w:val="none"/>
                <w:u w:val="single"/>
                <w:lang w:val="en-US"/>
              </w:rPr>
            </w:pPr>
            <w:r>
              <w:rPr>
                <w:rFonts w:hint="eastAsia" w:ascii="仿宋" w:hAnsi="仿宋" w:eastAsia="仿宋" w:cs="仿宋"/>
                <w:color w:val="auto"/>
                <w:kern w:val="0"/>
                <w:highlight w:val="none"/>
                <w:lang w:val="en-US"/>
              </w:rPr>
              <w:t>（1）</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rPr>
              <w:t xml:space="preserve">   </w:t>
            </w:r>
            <w:r>
              <w:rPr>
                <w:rFonts w:hint="eastAsia" w:ascii="仿宋" w:hAnsi="仿宋" w:eastAsia="仿宋" w:cs="仿宋"/>
                <w:color w:val="auto"/>
                <w:highlight w:val="none"/>
                <w:lang w:val="en-US"/>
              </w:rPr>
              <w:t>；</w:t>
            </w:r>
          </w:p>
          <w:p>
            <w:pPr>
              <w:pStyle w:val="2"/>
              <w:spacing w:line="240" w:lineRule="auto"/>
              <w:ind w:firstLine="480" w:firstLineChars="200"/>
              <w:jc w:val="lef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240" w:lineRule="auto"/>
              <w:ind w:firstLine="480" w:firstLineChars="200"/>
              <w:jc w:val="center"/>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240" w:lineRule="auto"/>
              <w:ind w:firstLine="480" w:firstLineChars="200"/>
              <w:jc w:val="center"/>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240" w:lineRule="auto"/>
              <w:jc w:val="left"/>
              <w:rPr>
                <w:rFonts w:hint="eastAsia" w:ascii="仿宋" w:hAnsi="仿宋" w:eastAsia="仿宋" w:cs="仿宋"/>
                <w:color w:val="auto"/>
                <w:kern w:val="28"/>
                <w:sz w:val="24"/>
                <w:highlight w:val="none"/>
              </w:rPr>
            </w:pPr>
            <w:r>
              <w:rPr>
                <w:rFonts w:hint="eastAsia" w:ascii="仿宋" w:hAnsi="仿宋" w:eastAsia="仿宋" w:cs="仿宋"/>
                <w:color w:val="000000"/>
                <w:kern w:val="28"/>
                <w:sz w:val="24"/>
                <w:szCs w:val="24"/>
                <w:highlight w:val="none"/>
              </w:rPr>
              <w:t>备份投标文件送达地点：</w:t>
            </w:r>
            <w:r>
              <w:rPr>
                <w:rFonts w:hint="eastAsia" w:ascii="仿宋" w:hAnsi="仿宋" w:eastAsia="仿宋" w:cs="仿宋"/>
                <w:color w:val="auto"/>
                <w:kern w:val="28"/>
                <w:sz w:val="24"/>
                <w:highlight w:val="none"/>
              </w:rPr>
              <w:t>备份响应文件送达地点：</w:t>
            </w:r>
            <w:r>
              <w:rPr>
                <w:rFonts w:hint="eastAsia" w:ascii="仿宋" w:hAnsi="仿宋" w:eastAsia="仿宋" w:cs="仿宋"/>
                <w:color w:val="auto"/>
                <w:kern w:val="28"/>
                <w:sz w:val="24"/>
                <w:highlight w:val="none"/>
                <w:u w:val="single"/>
              </w:rPr>
              <w:t>不收取</w:t>
            </w:r>
            <w:r>
              <w:rPr>
                <w:rFonts w:hint="eastAsia" w:ascii="仿宋" w:hAnsi="仿宋" w:eastAsia="仿宋" w:cs="仿宋"/>
                <w:color w:val="auto"/>
                <w:kern w:val="28"/>
                <w:sz w:val="24"/>
                <w:highlight w:val="none"/>
              </w:rPr>
              <w:t>。</w:t>
            </w:r>
          </w:p>
          <w:p>
            <w:pPr>
              <w:pStyle w:val="34"/>
              <w:spacing w:line="240" w:lineRule="auto"/>
              <w:jc w:val="left"/>
              <w:rPr>
                <w:rFonts w:hint="eastAsia" w:ascii="仿宋" w:hAnsi="仿宋" w:eastAsia="仿宋" w:cs="仿宋"/>
                <w:color w:val="auto"/>
                <w:kern w:val="28"/>
                <w:sz w:val="24"/>
                <w:highlight w:val="none"/>
              </w:rPr>
            </w:pPr>
            <w:r>
              <w:rPr>
                <w:rFonts w:hint="eastAsia" w:ascii="仿宋" w:hAnsi="仿宋" w:eastAsia="仿宋" w:cs="仿宋"/>
                <w:b/>
                <w:color w:val="000000"/>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shd w:val="clear"/>
              </w:rPr>
              <w:t>本项目采购代理服务费</w:t>
            </w:r>
            <w:r>
              <w:rPr>
                <w:rFonts w:hint="eastAsia" w:ascii="仿宋" w:hAnsi="仿宋" w:eastAsia="仿宋" w:cs="仿宋"/>
                <w:color w:val="auto"/>
                <w:sz w:val="24"/>
                <w:highlight w:val="none"/>
                <w:shd w:val="clear"/>
                <w:lang w:val="en-US" w:eastAsia="zh-CN"/>
              </w:rPr>
              <w:t>6335.72</w:t>
            </w:r>
            <w:r>
              <w:rPr>
                <w:rFonts w:hint="eastAsia" w:ascii="仿宋" w:hAnsi="仿宋" w:eastAsia="仿宋" w:cs="仿宋"/>
                <w:color w:val="auto"/>
                <w:sz w:val="24"/>
                <w:highlight w:val="none"/>
                <w:shd w:val="clear"/>
              </w:rPr>
              <w:t>元，</w:t>
            </w:r>
            <w:r>
              <w:rPr>
                <w:rFonts w:hint="eastAsia" w:ascii="仿宋" w:hAnsi="仿宋" w:eastAsia="仿宋" w:cs="仿宋"/>
                <w:snapToGrid w:val="0"/>
                <w:color w:val="auto"/>
                <w:kern w:val="28"/>
                <w:sz w:val="24"/>
                <w:highlight w:val="none"/>
                <w:shd w:val="clear"/>
              </w:rPr>
              <w:t>由中标人支付</w:t>
            </w:r>
            <w:r>
              <w:rPr>
                <w:rFonts w:hint="eastAsia" w:ascii="仿宋" w:hAnsi="仿宋" w:eastAsia="仿宋" w:cs="仿宋"/>
                <w:sz w:val="24"/>
                <w:highlight w:val="none"/>
                <w:lang w:eastAsia="zh-CN"/>
              </w:rPr>
              <w:t>。结算方式及时间为：在领取中标通知书时由中标人一次性向采购代理机构付清。</w:t>
            </w:r>
            <w:r>
              <w:rPr>
                <w:rFonts w:hint="eastAsia" w:ascii="仿宋" w:hAnsi="仿宋" w:eastAsia="仿宋" w:cs="仿宋"/>
                <w:color w:val="auto"/>
                <w:sz w:val="24"/>
                <w:highlight w:val="none"/>
              </w:rPr>
              <w:t>采购代理服务费须包含在投标报价中，并以人民币方式支付。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无</w:t>
            </w:r>
            <w:r>
              <w:rPr>
                <w:rFonts w:hint="eastAsia" w:ascii="仿宋" w:hAnsi="仿宋" w:eastAsia="仿宋" w:cs="仿宋"/>
                <w:b/>
                <w:color w:val="auto"/>
                <w:kern w:val="0"/>
                <w:sz w:val="24"/>
                <w:highlight w:val="none"/>
              </w:rPr>
              <w:t>。</w:t>
            </w:r>
          </w:p>
        </w:tc>
      </w:tr>
    </w:tbl>
    <w:p>
      <w:pPr>
        <w:snapToGrid w:val="0"/>
        <w:spacing w:line="360" w:lineRule="auto"/>
        <w:jc w:val="center"/>
        <w:rPr>
          <w:rFonts w:hint="eastAsia" w:ascii="仿宋" w:hAnsi="仿宋" w:eastAsia="仿宋" w:cs="仿宋"/>
          <w:b/>
          <w:color w:val="auto"/>
          <w:sz w:val="32"/>
          <w:szCs w:val="20"/>
          <w:highlight w:val="none"/>
        </w:rPr>
      </w:pPr>
    </w:p>
    <w:bookmarkEnd w:id="10"/>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第三部分"/>
      <w:bookmarkStart w:id="12" w:name="_Toc164416483"/>
    </w:p>
    <w:p>
      <w:pPr>
        <w:keepNext w:val="0"/>
        <w:keepLines w:val="0"/>
        <w:pageBreakBefore w:val="0"/>
        <w:kinsoku/>
        <w:wordWrap/>
        <w:overflowPunct/>
        <w:topLinePunct w:val="0"/>
        <w:bidi w:val="0"/>
        <w:adjustRightInd/>
        <w:spacing w:beforeAutospacing="0" w:line="360" w:lineRule="auto"/>
        <w:jc w:val="center"/>
        <w:textAlignment w:val="auto"/>
        <w:outlineLvl w:val="0"/>
        <w:rPr>
          <w:rFonts w:hint="eastAsia" w:ascii="仿宋" w:hAnsi="仿宋" w:eastAsia="仿宋" w:cs="仿宋"/>
          <w:b/>
          <w:color w:val="auto"/>
          <w:sz w:val="32"/>
          <w:szCs w:val="20"/>
          <w:highlight w:val="none"/>
        </w:rPr>
      </w:pPr>
      <w:bookmarkStart w:id="13" w:name="_Hlt74714665"/>
      <w:bookmarkEnd w:id="13"/>
      <w:bookmarkStart w:id="14" w:name="_Hlt75236290"/>
      <w:bookmarkEnd w:id="14"/>
      <w:bookmarkStart w:id="15" w:name="_Hlt68403820"/>
      <w:bookmarkEnd w:id="15"/>
      <w:bookmarkStart w:id="16" w:name="_Hlt75236011"/>
      <w:bookmarkEnd w:id="16"/>
      <w:bookmarkStart w:id="17" w:name="_Hlt74729768"/>
      <w:bookmarkEnd w:id="17"/>
      <w:bookmarkStart w:id="18" w:name="_Hlt68057669"/>
      <w:bookmarkEnd w:id="18"/>
      <w:bookmarkStart w:id="19" w:name="_Hlt74730295"/>
      <w:bookmarkEnd w:id="19"/>
      <w:bookmarkStart w:id="20" w:name="_Hlt75236101"/>
      <w:bookmarkEnd w:id="20"/>
      <w:bookmarkStart w:id="21" w:name="_Hlt74707468"/>
      <w:bookmarkEnd w:id="21"/>
      <w:bookmarkStart w:id="22" w:name="_Hlt68073093"/>
      <w:bookmarkEnd w:id="22"/>
      <w:bookmarkStart w:id="23" w:name="_Hlt68072998"/>
      <w:bookmarkEnd w:id="23"/>
      <w:bookmarkStart w:id="24" w:name="_Hlt68072990"/>
      <w:bookmarkEnd w:id="24"/>
    </w:p>
    <w:p>
      <w:pPr>
        <w:keepNext w:val="0"/>
        <w:keepLines w:val="0"/>
        <w:pageBreakBefore w:val="0"/>
        <w:kinsoku/>
        <w:wordWrap/>
        <w:overflowPunct/>
        <w:topLinePunct w:val="0"/>
        <w:bidi w:val="0"/>
        <w:adjustRightInd/>
        <w:spacing w:beforeAutospacing="0" w:line="360" w:lineRule="auto"/>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keepNext w:val="0"/>
        <w:keepLines w:val="0"/>
        <w:pageBreakBefore w:val="0"/>
        <w:kinsoku/>
        <w:wordWrap/>
        <w:overflowPunct/>
        <w:topLinePunct w:val="0"/>
        <w:bidi w:val="0"/>
        <w:snapToGrid w:val="0"/>
        <w:spacing w:beforeAutospacing="0" w:line="360" w:lineRule="auto"/>
        <w:ind w:left="0" w:leftChars="0" w:firstLine="482" w:firstLineChars="20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keepNext w:val="0"/>
        <w:keepLines w:val="0"/>
        <w:pageBreakBefore w:val="0"/>
        <w:kinsoku/>
        <w:wordWrap/>
        <w:overflowPunct/>
        <w:topLinePunct w:val="0"/>
        <w:bidi w:val="0"/>
        <w:snapToGrid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keepNext w:val="0"/>
        <w:keepLines w:val="0"/>
        <w:pageBreakBefore w:val="0"/>
        <w:kinsoku/>
        <w:wordWrap/>
        <w:overflowPunct/>
        <w:topLinePunct w:val="0"/>
        <w:bidi w:val="0"/>
        <w:adjustRightInd/>
        <w:spacing w:beforeAutospacing="0" w:line="360" w:lineRule="auto"/>
        <w:ind w:left="0" w:leftChars="0"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924730588"/>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系指不适用本项目的要求。</w:t>
      </w:r>
    </w:p>
    <w:p>
      <w:pPr>
        <w:spacing w:line="360" w:lineRule="auto"/>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w:t>
      </w:r>
      <w:r>
        <w:rPr>
          <w:rFonts w:hint="eastAsia" w:ascii="仿宋_GB2312" w:hAnsi="仿宋_GB2312" w:eastAsia="仿宋_GB2312" w:cs="仿宋_GB2312"/>
          <w:sz w:val="21"/>
          <w:highlight w:val="none"/>
        </w:rPr>
        <w:t xml:space="preserve"> </w:t>
      </w:r>
      <w:r>
        <w:rPr>
          <w:rFonts w:hint="eastAsia" w:ascii="仿宋_GB2312" w:hAnsi="仿宋_GB2312" w:eastAsia="仿宋_GB2312" w:cs="仿宋_GB2312"/>
          <w:b/>
          <w:sz w:val="24"/>
          <w:highlight w:val="none"/>
        </w:rPr>
        <w:t>采购项目需要落实的政府采购政策</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3.2 支持绿色发展</w:t>
      </w:r>
    </w:p>
    <w:p>
      <w:pPr>
        <w:spacing w:line="360" w:lineRule="auto"/>
        <w:ind w:firstLine="480"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3.2.2修缮、装修类项目采购建材的，采购人应将绿色建筑和绿色建材性能、指标等作为实质性条件纳入招标文件和合同，具体性能指标要求参考相关绿色建材政府采购需求标准。</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3.3支持中小企业发展</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bCs/>
          <w:sz w:val="24"/>
          <w:highlight w:val="none"/>
        </w:rPr>
        <w:t>3.3.2</w:t>
      </w:r>
      <w:r>
        <w:rPr>
          <w:rFonts w:hint="eastAsia" w:ascii="仿宋_GB2312" w:hAnsi="仿宋_GB2312" w:eastAsia="仿宋_GB2312" w:cs="仿宋_GB2312"/>
          <w:kern w:val="0"/>
          <w:sz w:val="24"/>
          <w:highlight w:val="none"/>
        </w:rPr>
        <w:t>在政府采购活动中，投标人提供的货物、工程或者服务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_GB2312" w:hAnsi="仿宋_GB2312" w:eastAsia="仿宋_GB2312" w:cs="仿宋_GB2312"/>
          <w:snapToGrid w:val="0"/>
          <w:kern w:val="28"/>
          <w:sz w:val="24"/>
          <w:highlight w:val="none"/>
        </w:rPr>
        <w:t>招标文件第四部分</w:t>
      </w:r>
      <w:r>
        <w:rPr>
          <w:rFonts w:hint="eastAsia" w:ascii="仿宋_GB2312" w:hAnsi="仿宋_GB2312" w:eastAsia="仿宋_GB2312" w:cs="仿宋_GB2312"/>
          <w:sz w:val="24"/>
          <w:highlight w:val="none"/>
          <w:u w:val="single"/>
        </w:rPr>
        <w:t>评标办分法明确具体的扣除比例，未明确的，</w:t>
      </w:r>
      <w:r>
        <w:rPr>
          <w:rFonts w:hint="eastAsia" w:ascii="仿宋_GB2312" w:hAnsi="仿宋_GB2312" w:eastAsia="仿宋_GB2312" w:cs="仿宋_GB2312"/>
          <w:sz w:val="24"/>
          <w:highlight w:val="none"/>
        </w:rPr>
        <w:t>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w:t>
      </w:r>
      <w:r>
        <w:rPr>
          <w:rFonts w:hint="eastAsia" w:ascii="仿宋_GB2312" w:hAnsi="仿宋_GB2312" w:eastAsia="仿宋_GB2312" w:cs="仿宋_GB2312"/>
          <w:snapToGrid w:val="0"/>
          <w:kern w:val="28"/>
          <w:sz w:val="24"/>
          <w:highlight w:val="none"/>
        </w:rPr>
        <w:t>招标文件第四部分</w:t>
      </w:r>
      <w:r>
        <w:rPr>
          <w:rFonts w:hint="eastAsia" w:ascii="仿宋_GB2312" w:hAnsi="仿宋_GB2312" w:eastAsia="仿宋_GB2312" w:cs="仿宋_GB2312"/>
          <w:sz w:val="24"/>
          <w:highlight w:val="none"/>
          <w:u w:val="single"/>
        </w:rPr>
        <w:t>评标办分法明确具体的扣除比例，未明确的，</w:t>
      </w:r>
      <w:r>
        <w:rPr>
          <w:rFonts w:hint="eastAsia" w:ascii="仿宋_GB2312" w:hAnsi="仿宋_GB2312" w:eastAsia="仿宋_GB2312" w:cs="仿宋_GB2312"/>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3.4</w:t>
      </w:r>
      <w:r>
        <w:rPr>
          <w:rFonts w:hint="eastAsia" w:ascii="仿宋_GB2312" w:hAnsi="仿宋_GB2312" w:eastAsia="仿宋_GB2312" w:cs="仿宋_GB2312"/>
          <w:bCs/>
          <w:sz w:val="24"/>
          <w:highlight w:val="none"/>
        </w:rPr>
        <w:t>支持创新发展</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3.4.1 采购人优先采购被认定为首台套产品和“制造精品”的自主创新产品。</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3.6平等对待内外资企业和符合条件的破产重整企业</w:t>
      </w:r>
    </w:p>
    <w:p>
      <w:pPr>
        <w:spacing w:line="360" w:lineRule="auto"/>
        <w:ind w:firstLine="480" w:firstLineChars="200"/>
        <w:rPr>
          <w:rFonts w:hint="eastAsia" w:ascii="仿宋_GB2312" w:hAnsi="仿宋_GB2312" w:eastAsia="仿宋_GB2312" w:cs="仿宋_GB2312"/>
          <w:b/>
          <w:sz w:val="24"/>
          <w:highlight w:val="none"/>
        </w:rPr>
      </w:pPr>
      <w:r>
        <w:rPr>
          <w:rFonts w:hint="eastAsia" w:ascii="仿宋_GB2312" w:hAnsi="仿宋_GB2312" w:eastAsia="仿宋_GB2312" w:cs="仿宋_GB2312"/>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color w:val="auto"/>
          <w:sz w:val="24"/>
          <w:highlight w:val="none"/>
          <w:lang w:val="en-US" w:eastAsia="zh-CN"/>
        </w:rPr>
        <w:t xml:space="preserve">   </w:t>
      </w:r>
      <w:r>
        <w:rPr>
          <w:rFonts w:hint="eastAsia" w:ascii="仿宋_GB2312" w:hAnsi="仿宋_GB2312" w:eastAsia="仿宋_GB2312" w:cs="仿宋_GB2312"/>
          <w:b/>
          <w:sz w:val="24"/>
          <w:highlight w:val="none"/>
        </w:rPr>
        <w:t>4. 询问、质疑、投诉</w:t>
      </w:r>
    </w:p>
    <w:p>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4.1在线询问、质疑、投诉</w:t>
      </w:r>
    </w:p>
    <w:p>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4.2供应商询问</w:t>
      </w:r>
    </w:p>
    <w:p>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4.</w:t>
      </w:r>
      <w:r>
        <w:rPr>
          <w:rFonts w:hint="eastAsia" w:ascii="仿宋_GB2312" w:hAnsi="仿宋_GB2312" w:eastAsia="仿宋_GB2312" w:cs="仿宋_GB2312"/>
          <w:kern w:val="0"/>
          <w:sz w:val="24"/>
          <w:highlight w:val="none"/>
        </w:rPr>
        <w:t>3</w:t>
      </w:r>
      <w:r>
        <w:rPr>
          <w:rFonts w:hint="eastAsia" w:ascii="仿宋_GB2312" w:hAnsi="仿宋_GB2312" w:eastAsia="仿宋_GB2312" w:cs="仿宋_GB2312"/>
          <w:kern w:val="0"/>
          <w:sz w:val="24"/>
          <w:highlight w:val="none"/>
          <w:lang w:val="zh-CN"/>
        </w:rPr>
        <w:t>供应商质疑</w:t>
      </w:r>
    </w:p>
    <w:p>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1"/>
          <w:highlight w:val="none"/>
          <w:lang w:val="en-US" w:eastAsia="zh-CN" w:bidi="ar-SA"/>
        </w:rPr>
      </w:pPr>
      <w:r>
        <w:rPr>
          <w:rFonts w:hint="eastAsia" w:ascii="仿宋_GB2312" w:hAnsi="仿宋_GB2312" w:eastAsia="仿宋_GB2312" w:cs="仿宋_GB2312"/>
          <w:snapToGrid w:val="0"/>
          <w:kern w:val="0"/>
          <w:sz w:val="24"/>
          <w:szCs w:val="21"/>
          <w:highlight w:val="none"/>
          <w:lang w:val="zh-CN" w:eastAsia="zh-CN" w:bidi="ar-SA"/>
        </w:rPr>
        <w:t>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2"/>
          <w:sz w:val="24"/>
          <w:szCs w:val="21"/>
          <w:highlight w:val="none"/>
          <w:lang w:val="en-US" w:eastAsia="zh-CN" w:bidi="ar-SA"/>
        </w:rPr>
        <w:t>.1提出质疑的供应商应当是参与所质疑项目采购活动的供应商。潜在供应商已依法获取其可质疑的招标文件的，可以对该文件提出质疑。</w:t>
      </w:r>
    </w:p>
    <w:p>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1"/>
          <w:highlight w:val="none"/>
          <w:lang w:val="en-US" w:eastAsia="zh-CN" w:bidi="ar-SA"/>
        </w:rPr>
      </w:pPr>
      <w:r>
        <w:rPr>
          <w:rFonts w:hint="eastAsia" w:ascii="仿宋_GB2312" w:hAnsi="仿宋_GB2312" w:eastAsia="仿宋_GB2312" w:cs="仿宋_GB2312"/>
          <w:snapToGrid w:val="0"/>
          <w:kern w:val="0"/>
          <w:sz w:val="24"/>
          <w:szCs w:val="21"/>
          <w:highlight w:val="none"/>
          <w:lang w:val="zh-CN" w:eastAsia="zh-CN" w:bidi="ar-SA"/>
        </w:rPr>
        <w:t>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2"/>
          <w:sz w:val="24"/>
          <w:szCs w:val="21"/>
          <w:highlight w:val="none"/>
          <w:lang w:val="en-US" w:eastAsia="zh-CN" w:bidi="ar-S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60" w:lineRule="auto"/>
        <w:ind w:firstLine="480" w:firstLineChars="200"/>
        <w:jc w:val="both"/>
        <w:rPr>
          <w:rFonts w:hint="eastAsia" w:ascii="仿宋_GB2312" w:hAnsi="仿宋_GB2312" w:eastAsia="仿宋_GB2312" w:cs="仿宋_GB2312"/>
          <w:snapToGrid/>
          <w:color w:val="auto"/>
          <w:kern w:val="2"/>
          <w:sz w:val="24"/>
          <w:szCs w:val="20"/>
          <w:highlight w:val="none"/>
          <w:lang w:val="en-US" w:eastAsia="zh-CN" w:bidi="ar-SA"/>
        </w:rPr>
      </w:pPr>
      <w:r>
        <w:rPr>
          <w:rFonts w:hint="eastAsia" w:ascii="仿宋_GB2312" w:hAnsi="仿宋_GB2312" w:eastAsia="仿宋_GB2312" w:cs="仿宋_GB2312"/>
          <w:snapToGrid/>
          <w:color w:val="auto"/>
          <w:kern w:val="2"/>
          <w:sz w:val="24"/>
          <w:szCs w:val="20"/>
          <w:highlight w:val="none"/>
          <w:lang w:val="en-US" w:eastAsia="zh-CN" w:bidi="ar-SA"/>
        </w:rPr>
        <w:t>4.3.2.1对招标文件提出质疑的，质疑期限为供应商获得招标文件之日或者招标文件公告期限届满之日起计算。</w:t>
      </w:r>
    </w:p>
    <w:p>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1"/>
          <w:highlight w:val="none"/>
          <w:lang w:val="en-US" w:eastAsia="zh-CN" w:bidi="ar-SA"/>
        </w:rPr>
      </w:pPr>
      <w:r>
        <w:rPr>
          <w:rFonts w:hint="eastAsia" w:ascii="仿宋_GB2312" w:hAnsi="仿宋_GB2312" w:eastAsia="仿宋_GB2312" w:cs="仿宋_GB2312"/>
          <w:snapToGrid w:val="0"/>
          <w:kern w:val="2"/>
          <w:sz w:val="24"/>
          <w:szCs w:val="21"/>
          <w:highlight w:val="none"/>
          <w:lang w:val="en-US" w:eastAsia="zh-CN" w:bidi="ar-SA"/>
        </w:rPr>
        <w:t>4.3.2.2对采购过程提出质疑的，质疑期限为各采购程序环节结束之日起计算。</w:t>
      </w:r>
    </w:p>
    <w:p>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1"/>
          <w:highlight w:val="none"/>
          <w:lang w:val="en-US" w:eastAsia="zh-CN" w:bidi="ar-SA"/>
        </w:rPr>
      </w:pPr>
      <w:r>
        <w:rPr>
          <w:rFonts w:hint="eastAsia" w:ascii="仿宋_GB2312" w:hAnsi="仿宋_GB2312" w:eastAsia="仿宋_GB2312" w:cs="仿宋_GB2312"/>
          <w:snapToGrid w:val="0"/>
          <w:kern w:val="2"/>
          <w:sz w:val="24"/>
          <w:szCs w:val="21"/>
          <w:highlight w:val="none"/>
          <w:lang w:val="en-US" w:eastAsia="zh-CN" w:bidi="ar-SA"/>
        </w:rPr>
        <w:t>4.3.2.3对采购结果提出质疑的，质疑期限自采购结果公告期限届满之日起计算。</w:t>
      </w:r>
    </w:p>
    <w:p>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w:t>
      </w:r>
      <w:r>
        <w:rPr>
          <w:rFonts w:hint="eastAsia" w:ascii="仿宋_GB2312" w:hAnsi="仿宋_GB2312" w:eastAsia="仿宋_GB2312" w:cs="仿宋_GB2312"/>
          <w:snapToGrid w:val="0"/>
          <w:kern w:val="2"/>
          <w:sz w:val="24"/>
          <w:szCs w:val="21"/>
          <w:highlight w:val="none"/>
          <w:lang w:val="en-US" w:eastAsia="zh-CN" w:bidi="ar-SA"/>
        </w:rPr>
        <w:t>供应商提出质疑应当提交质疑函和必要的证明材料。质疑函应当包括下列内容：</w:t>
      </w:r>
    </w:p>
    <w:p>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　　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.3.1供应商的姓名或者名称、地址、邮编、联系人及联系电话；</w:t>
      </w:r>
    </w:p>
    <w:p>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　　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.3.2质疑项目的名称、编号；</w:t>
      </w:r>
    </w:p>
    <w:p>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　　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.3.3具体、明确的质疑事项和与质疑事项相关的请求；</w:t>
      </w:r>
    </w:p>
    <w:p>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　　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.3.4事实依据；</w:t>
      </w:r>
    </w:p>
    <w:p>
      <w:pPr>
        <w:widowControl w:val="0"/>
        <w:adjustRightInd w:val="0"/>
        <w:spacing w:line="360" w:lineRule="auto"/>
        <w:ind w:firstLine="480" w:firstLineChars="2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　　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.3.5必要的法律依据；</w:t>
      </w:r>
    </w:p>
    <w:p>
      <w:pPr>
        <w:widowControl w:val="0"/>
        <w:adjustRightInd w:val="0"/>
        <w:spacing w:line="360" w:lineRule="auto"/>
        <w:ind w:firstLine="960" w:firstLineChars="400"/>
        <w:jc w:val="both"/>
        <w:rPr>
          <w:rFonts w:hint="eastAsia" w:ascii="仿宋_GB2312" w:hAnsi="仿宋_GB2312" w:eastAsia="仿宋_GB2312" w:cs="仿宋_GB2312"/>
          <w:snapToGrid w:val="0"/>
          <w:kern w:val="0"/>
          <w:sz w:val="24"/>
          <w:szCs w:val="21"/>
          <w:highlight w:val="none"/>
          <w:lang w:val="zh-CN" w:eastAsia="zh-CN" w:bidi="ar-SA"/>
        </w:rPr>
      </w:pPr>
      <w:r>
        <w:rPr>
          <w:rFonts w:hint="eastAsia" w:ascii="仿宋_GB2312" w:hAnsi="仿宋_GB2312" w:eastAsia="仿宋_GB2312" w:cs="仿宋_GB2312"/>
          <w:snapToGrid w:val="0"/>
          <w:kern w:val="0"/>
          <w:sz w:val="24"/>
          <w:szCs w:val="21"/>
          <w:highlight w:val="none"/>
          <w:lang w:val="zh-CN" w:eastAsia="zh-CN" w:bidi="ar-SA"/>
        </w:rPr>
        <w:t>4.</w:t>
      </w:r>
      <w:r>
        <w:rPr>
          <w:rFonts w:hint="eastAsia" w:ascii="仿宋_GB2312" w:hAnsi="仿宋_GB2312" w:eastAsia="仿宋_GB2312" w:cs="仿宋_GB2312"/>
          <w:snapToGrid w:val="0"/>
          <w:kern w:val="0"/>
          <w:sz w:val="24"/>
          <w:szCs w:val="21"/>
          <w:highlight w:val="none"/>
          <w:lang w:val="en-US" w:eastAsia="zh-CN" w:bidi="ar-SA"/>
        </w:rPr>
        <w:t>3</w:t>
      </w:r>
      <w:r>
        <w:rPr>
          <w:rFonts w:hint="eastAsia" w:ascii="仿宋_GB2312" w:hAnsi="仿宋_GB2312" w:eastAsia="仿宋_GB2312" w:cs="仿宋_GB2312"/>
          <w:snapToGrid w:val="0"/>
          <w:kern w:val="0"/>
          <w:sz w:val="24"/>
          <w:szCs w:val="21"/>
          <w:highlight w:val="none"/>
          <w:lang w:val="zh-CN" w:eastAsia="zh-CN" w:bidi="ar-SA"/>
        </w:rPr>
        <w:t>.3.6提出质疑的日期。</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质疑函范本及制作说明详见附件2。</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4.3.4对同一采购程序环节的质疑，供应商须在法定质疑期内一次性提出。</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4.3.6询问或者质疑事项可能影响采购结果的，采购人应当暂停签订合同，已经签订合同的，应当中止履行合同。</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4.4供应商投诉</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4.4.1质疑供应商对采购人、采购代理机构的答复不满意或者采购人、采购代理机构未在规定的时间内作出答复的，可以在答复期满后十五个工作日内向同级政府采购监督管理部门提出投诉。</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4.4.2供应商投诉的事项不得超出已质疑事项的范围，基于质疑答复内容提出的投诉事项除外。</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4.4.3供应商投诉应当有明确的请求和必要的证明材料。</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4.4.4以联合体形式参加政府采购活动的，其投诉应当由组成联合体的所有供应商共同提出。</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4.4.5项目投诉材料可寄送浙江省政府采购行政裁决服务中心（杭州），地址：杭州市上城区四季青街道新业路市民之家G03办公室，收件人：朱女士，电话：0571-85252453。</w:t>
      </w:r>
    </w:p>
    <w:p>
      <w:pPr>
        <w:pStyle w:val="886"/>
        <w:keepNext w:val="0"/>
        <w:keepLines w:val="0"/>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textAlignment w:val="auto"/>
        <w:rPr>
          <w:rFonts w:hint="eastAsia" w:ascii="仿宋" w:hAnsi="仿宋" w:eastAsia="仿宋" w:cs="仿宋"/>
          <w:color w:val="auto"/>
          <w:highlight w:val="none"/>
        </w:rPr>
      </w:pPr>
      <w:r>
        <w:rPr>
          <w:rFonts w:hint="eastAsia" w:ascii="仿宋_GB2312" w:hAnsi="仿宋_GB2312" w:eastAsia="仿宋_GB2312" w:cs="仿宋_GB2312"/>
          <w:kern w:val="2"/>
          <w:sz w:val="24"/>
          <w:szCs w:val="24"/>
          <w:highlight w:val="none"/>
          <w:lang w:val="en-US" w:eastAsia="zh-CN" w:bidi="ar-SA"/>
        </w:rPr>
        <w:t>投诉书范本及制作说明详见附件3。</w:t>
      </w:r>
    </w:p>
    <w:p>
      <w:pPr>
        <w:pStyle w:val="130"/>
        <w:keepNext w:val="0"/>
        <w:keepLines w:val="0"/>
        <w:pageBreakBefore w:val="0"/>
        <w:kinsoku/>
        <w:wordWrap/>
        <w:overflowPunct/>
        <w:topLinePunct w:val="0"/>
        <w:bidi w:val="0"/>
        <w:snapToGrid w:val="0"/>
        <w:spacing w:before="0" w:beforeAutospacing="0"/>
        <w:ind w:left="0" w:leftChars="0" w:firstLine="360" w:firstLineChars="200"/>
        <w:textAlignment w:val="auto"/>
        <w:rPr>
          <w:rFonts w:hint="eastAsia" w:ascii="仿宋" w:hAnsi="仿宋" w:eastAsia="仿宋" w:cs="仿宋"/>
          <w:color w:val="auto"/>
          <w:sz w:val="18"/>
          <w:szCs w:val="18"/>
          <w:highlight w:val="none"/>
        </w:rPr>
      </w:pPr>
    </w:p>
    <w:p>
      <w:pPr>
        <w:keepNext w:val="0"/>
        <w:keepLines w:val="0"/>
        <w:pageBreakBefore w:val="0"/>
        <w:kinsoku/>
        <w:wordWrap/>
        <w:overflowPunct/>
        <w:topLinePunct w:val="0"/>
        <w:bidi w:val="0"/>
        <w:adjustRightInd/>
        <w:spacing w:beforeAutospacing="0" w:line="360" w:lineRule="auto"/>
        <w:ind w:left="0" w:leftChars="0" w:firstLine="643" w:firstLineChars="200"/>
        <w:jc w:val="center"/>
        <w:textAlignment w:val="auto"/>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widowControl w:val="0"/>
        <w:adjustRightInd w:val="0"/>
        <w:spacing w:line="360" w:lineRule="auto"/>
        <w:ind w:firstLine="480" w:firstLineChars="2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4"/>
          <w:highlight w:val="none"/>
          <w:lang w:val="en-US" w:eastAsia="zh-CN" w:bidi="ar-SA"/>
        </w:rPr>
        <w:t>5.1 招标文件包括下列文件及附件：</w:t>
      </w:r>
    </w:p>
    <w:p>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4"/>
          <w:highlight w:val="none"/>
          <w:lang w:val="en-US" w:eastAsia="zh-CN" w:bidi="ar-SA"/>
        </w:rPr>
        <w:t>5.1.1招标公告；</w:t>
      </w:r>
    </w:p>
    <w:p>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4"/>
          <w:highlight w:val="none"/>
          <w:lang w:val="en-US" w:eastAsia="zh-CN" w:bidi="ar-SA"/>
        </w:rPr>
        <w:t>5.1.2投标人须知；</w:t>
      </w:r>
    </w:p>
    <w:p>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4"/>
          <w:highlight w:val="none"/>
          <w:lang w:val="en-US" w:eastAsia="zh-CN" w:bidi="ar-SA"/>
        </w:rPr>
        <w:t>5.1.3采购需求；</w:t>
      </w:r>
    </w:p>
    <w:p>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4"/>
          <w:highlight w:val="none"/>
          <w:lang w:val="en-US" w:eastAsia="zh-CN" w:bidi="ar-SA"/>
        </w:rPr>
        <w:t>5.1.4评标办法；</w:t>
      </w:r>
    </w:p>
    <w:p>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4"/>
          <w:highlight w:val="none"/>
          <w:lang w:val="en-US" w:eastAsia="zh-CN" w:bidi="ar-SA"/>
        </w:rPr>
        <w:t>5.1.5拟签订的合同文本；</w:t>
      </w:r>
    </w:p>
    <w:p>
      <w:pPr>
        <w:widowControl w:val="0"/>
        <w:tabs>
          <w:tab w:val="left" w:pos="840"/>
        </w:tabs>
        <w:adjustRightInd w:val="0"/>
        <w:spacing w:line="360" w:lineRule="auto"/>
        <w:ind w:firstLine="960" w:firstLineChars="400"/>
        <w:jc w:val="both"/>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1"/>
          <w:highlight w:val="none"/>
          <w:lang w:val="en-US" w:eastAsia="zh-CN" w:bidi="ar-SA"/>
        </w:rPr>
        <w:t>5.1.6</w:t>
      </w:r>
      <w:r>
        <w:rPr>
          <w:rFonts w:hint="eastAsia" w:ascii="仿宋_GB2312" w:hAnsi="仿宋_GB2312" w:eastAsia="仿宋_GB2312" w:cs="仿宋_GB2312"/>
          <w:snapToGrid w:val="0"/>
          <w:kern w:val="2"/>
          <w:sz w:val="24"/>
          <w:szCs w:val="24"/>
          <w:highlight w:val="none"/>
          <w:lang w:val="en-US" w:eastAsia="zh-CN" w:bidi="ar-SA"/>
        </w:rPr>
        <w:t>应提交的有关格式范例。</w:t>
      </w:r>
    </w:p>
    <w:p>
      <w:pPr>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5.2与本项目有关的</w:t>
      </w:r>
      <w:r>
        <w:rPr>
          <w:rFonts w:hint="eastAsia" w:ascii="仿宋_GB2312" w:hAnsi="仿宋_GB2312" w:eastAsia="仿宋_GB2312" w:cs="仿宋_GB2312"/>
          <w:bCs/>
          <w:sz w:val="24"/>
          <w:highlight w:val="none"/>
        </w:rPr>
        <w:t>澄清或者修改的内容为招标文件的组成部分</w:t>
      </w:r>
      <w:r>
        <w:rPr>
          <w:rFonts w:hint="eastAsia" w:ascii="仿宋_GB2312" w:hAnsi="仿宋_GB2312" w:eastAsia="仿宋_GB2312" w:cs="仿宋_GB2312"/>
          <w:sz w:val="24"/>
          <w:highlight w:val="none"/>
        </w:rPr>
        <w:t>。</w:t>
      </w:r>
    </w:p>
    <w:p>
      <w:pPr>
        <w:pStyle w:val="3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w:t>6.1已获取招标文件的潜在投标人，若有问题需要澄清，应于投标截止时间前，以书面形式向采购代理机构提出。</w:t>
      </w:r>
    </w:p>
    <w:p>
      <w:pPr>
        <w:pStyle w:val="2"/>
        <w:keepNext w:val="0"/>
        <w:keepLines w:val="0"/>
        <w:pageBreakBefore w:val="0"/>
        <w:kinsoku/>
        <w:wordWrap/>
        <w:overflowPunct/>
        <w:topLinePunct w:val="0"/>
        <w:bidi w:val="0"/>
        <w:spacing w:beforeAutospacing="0"/>
        <w:ind w:left="0" w:leftChars="0" w:firstLine="480" w:firstLineChars="200"/>
        <w:textAlignment w:val="auto"/>
        <w:rPr>
          <w:rFonts w:hint="eastAsia" w:ascii="仿宋" w:hAnsi="仿宋" w:eastAsia="仿宋" w:cs="仿宋"/>
          <w:color w:val="auto"/>
          <w:sz w:val="18"/>
          <w:szCs w:val="18"/>
          <w:highlight w:val="none"/>
          <w:lang w:val="en-US"/>
        </w:rPr>
      </w:pPr>
      <w:r>
        <w:rPr>
          <w:rFonts w:hint="eastAsia" w:ascii="仿宋_GB2312" w:hAnsi="仿宋_GB2312" w:eastAsia="仿宋_GB2312" w:cs="仿宋_GB2312"/>
          <w:kern w:val="2"/>
          <w:sz w:val="24"/>
          <w:szCs w:val="20"/>
          <w:highlight w:val="none"/>
          <w:lang w:val="en-US" w:eastAsia="zh-CN" w:bidi="ar-S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仿宋" w:hAnsi="仿宋" w:eastAsia="仿宋" w:cs="仿宋"/>
          <w:color w:val="auto"/>
          <w:szCs w:val="24"/>
          <w:highlight w:val="none"/>
          <w:lang w:val="en-US"/>
        </w:rPr>
        <w:t xml:space="preserve">    </w:t>
      </w:r>
    </w:p>
    <w:p>
      <w:pPr>
        <w:keepNext w:val="0"/>
        <w:keepLines w:val="0"/>
        <w:pageBreakBefore w:val="0"/>
        <w:kinsoku/>
        <w:wordWrap/>
        <w:overflowPunct/>
        <w:topLinePunct w:val="0"/>
        <w:bidi w:val="0"/>
        <w:adjustRightInd/>
        <w:spacing w:beforeAutospacing="0" w:line="360" w:lineRule="auto"/>
        <w:ind w:left="0" w:leftChars="0" w:firstLine="602" w:firstLineChars="200"/>
        <w:jc w:val="center"/>
        <w:textAlignment w:val="auto"/>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8"/>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keepNext w:val="0"/>
        <w:keepLines w:val="0"/>
        <w:pageBreakBefore w:val="0"/>
        <w:kinsoku/>
        <w:wordWrap/>
        <w:overflowPunct/>
        <w:topLinePunct w:val="0"/>
        <w:autoSpaceDE w:val="0"/>
        <w:autoSpaceDN w:val="0"/>
        <w:bidi w:val="0"/>
        <w:spacing w:beforeAutospacing="0" w:line="360" w:lineRule="auto"/>
        <w:ind w:left="0"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w:t>
      </w:r>
      <w:r>
        <w:rPr>
          <w:rFonts w:hint="eastAsia" w:ascii="仿宋_GB2312" w:hAnsi="仿宋_GB2312" w:eastAsia="仿宋_GB2312" w:cs="仿宋_GB2312"/>
          <w:b/>
          <w:sz w:val="24"/>
          <w:highlight w:val="none"/>
        </w:rPr>
        <w:t>资格文件</w:t>
      </w:r>
      <w:r>
        <w:rPr>
          <w:rFonts w:hint="eastAsia" w:ascii="仿宋_GB2312" w:hAnsi="仿宋_GB2312" w:eastAsia="仿宋_GB2312" w:cs="仿宋_GB2312"/>
          <w:sz w:val="24"/>
          <w:highlight w:val="none"/>
        </w:rPr>
        <w:t>：</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11.1.1符合参加政府采购活动应当具备的一般条件的承诺函；</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11.1.2联合协议</w:t>
      </w:r>
      <w:r>
        <w:rPr>
          <w:rFonts w:hint="eastAsia" w:ascii="仿宋_GB2312" w:hAnsi="仿宋_GB2312" w:eastAsia="仿宋_GB2312" w:cs="仿宋_GB2312"/>
          <w:bCs/>
          <w:sz w:val="24"/>
          <w:highlight w:val="none"/>
        </w:rPr>
        <w:t>（如果有）</w:t>
      </w:r>
      <w:r>
        <w:rPr>
          <w:rFonts w:hint="eastAsia" w:ascii="仿宋_GB2312" w:hAnsi="仿宋_GB2312" w:eastAsia="仿宋_GB2312" w:cs="仿宋_GB2312"/>
          <w:sz w:val="24"/>
          <w:highlight w:val="none"/>
        </w:rPr>
        <w:t>；</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11.1.3落实政府采购政策需满足的资格要求</w:t>
      </w:r>
      <w:r>
        <w:rPr>
          <w:rFonts w:hint="eastAsia" w:ascii="仿宋_GB2312" w:hAnsi="仿宋_GB2312" w:eastAsia="仿宋_GB2312" w:cs="仿宋_GB2312"/>
          <w:bCs/>
          <w:sz w:val="24"/>
          <w:highlight w:val="none"/>
        </w:rPr>
        <w:t>（如果有）</w:t>
      </w:r>
      <w:r>
        <w:rPr>
          <w:rFonts w:hint="eastAsia" w:ascii="仿宋_GB2312" w:hAnsi="仿宋_GB2312" w:eastAsia="仿宋_GB2312" w:cs="仿宋_GB2312"/>
          <w:sz w:val="24"/>
          <w:highlight w:val="none"/>
        </w:rPr>
        <w:t>；</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11.1.4本项目的特定资格要求</w:t>
      </w:r>
      <w:r>
        <w:rPr>
          <w:rFonts w:hint="eastAsia" w:ascii="仿宋_GB2312" w:hAnsi="仿宋_GB2312" w:eastAsia="仿宋_GB2312" w:cs="仿宋_GB2312"/>
          <w:bCs/>
          <w:sz w:val="24"/>
          <w:highlight w:val="none"/>
        </w:rPr>
        <w:t>（如果有）</w:t>
      </w:r>
      <w:r>
        <w:rPr>
          <w:rFonts w:hint="eastAsia" w:ascii="仿宋_GB2312" w:hAnsi="仿宋_GB2312" w:eastAsia="仿宋_GB2312" w:cs="仿宋_GB2312"/>
          <w:sz w:val="24"/>
          <w:highlight w:val="none"/>
        </w:rPr>
        <w:t>。</w:t>
      </w:r>
    </w:p>
    <w:p>
      <w:pPr>
        <w:snapToGrid w:val="0"/>
        <w:spacing w:line="360" w:lineRule="auto"/>
        <w:ind w:firstLine="480" w:firstLineChars="20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lang w:val="zh-CN"/>
        </w:rPr>
        <w:t>11.</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 xml:space="preserve"> </w:t>
      </w:r>
      <w:r>
        <w:rPr>
          <w:rFonts w:hint="eastAsia" w:ascii="仿宋_GB2312" w:hAnsi="仿宋_GB2312" w:eastAsia="仿宋_GB2312" w:cs="仿宋_GB2312"/>
          <w:b/>
          <w:bCs/>
          <w:sz w:val="24"/>
          <w:highlight w:val="none"/>
        </w:rPr>
        <w:t>商务技术</w:t>
      </w:r>
      <w:r>
        <w:rPr>
          <w:rFonts w:hint="eastAsia" w:ascii="仿宋_GB2312" w:hAnsi="仿宋_GB2312" w:eastAsia="仿宋_GB2312" w:cs="仿宋_GB2312"/>
          <w:b/>
          <w:bCs/>
          <w:sz w:val="24"/>
          <w:highlight w:val="none"/>
          <w:lang w:val="zh-CN"/>
        </w:rPr>
        <w:t>文件：</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11.2.1投标函；</w:t>
      </w:r>
      <w:r>
        <w:rPr>
          <w:rFonts w:hint="eastAsia" w:ascii="仿宋_GB2312" w:hAnsi="仿宋_GB2312" w:eastAsia="仿宋_GB2312" w:cs="仿宋_GB2312"/>
          <w:sz w:val="24"/>
          <w:highlight w:val="none"/>
          <w:lang w:val="zh-CN"/>
        </w:rPr>
        <w:t xml:space="preserve"> </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11.2.2授权委托书或法定代表人（单位负责人、自然人本人）身份证明；</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11.2.3分包意向协议</w:t>
      </w:r>
      <w:r>
        <w:rPr>
          <w:rFonts w:hint="eastAsia" w:ascii="仿宋_GB2312" w:hAnsi="仿宋_GB2312" w:eastAsia="仿宋_GB2312" w:cs="仿宋_GB2312"/>
          <w:bCs/>
          <w:sz w:val="24"/>
          <w:highlight w:val="none"/>
        </w:rPr>
        <w:t>（如果有）</w:t>
      </w:r>
      <w:r>
        <w:rPr>
          <w:rFonts w:hint="eastAsia" w:ascii="仿宋_GB2312" w:hAnsi="仿宋_GB2312" w:eastAsia="仿宋_GB2312" w:cs="仿宋_GB2312"/>
          <w:sz w:val="24"/>
          <w:highlight w:val="none"/>
        </w:rPr>
        <w:t>；</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11.2.4符合性审查资料；</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11.2.5评标标准相应的商务技术资料；</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11.2.6投标标的清单；</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11.2.7商务技术偏离表；</w:t>
      </w:r>
    </w:p>
    <w:p>
      <w:pPr>
        <w:snapToGrid w:val="0"/>
        <w:spacing w:line="360" w:lineRule="auto"/>
        <w:ind w:firstLine="960" w:firstLineChars="400"/>
        <w:rPr>
          <w:rFonts w:hint="eastAsia" w:ascii="仿宋_GB2312" w:hAnsi="仿宋_GB2312" w:eastAsia="仿宋_GB2312" w:cs="仿宋_GB2312"/>
          <w:sz w:val="24"/>
          <w:highlight w:val="none"/>
          <w:lang w:val="zh-CN"/>
        </w:rPr>
      </w:pPr>
      <w:r>
        <w:rPr>
          <w:rFonts w:hint="eastAsia" w:ascii="仿宋_GB2312" w:hAnsi="仿宋_GB2312" w:eastAsia="仿宋_GB2312" w:cs="仿宋_GB2312"/>
          <w:sz w:val="24"/>
          <w:highlight w:val="none"/>
          <w:lang w:val="zh-CN"/>
        </w:rPr>
        <w:t>11.</w:t>
      </w: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val="zh-CN"/>
        </w:rPr>
        <w:t>.</w:t>
      </w:r>
      <w:r>
        <w:rPr>
          <w:rFonts w:hint="eastAsia" w:ascii="仿宋_GB2312" w:hAnsi="仿宋_GB2312" w:eastAsia="仿宋_GB2312" w:cs="仿宋_GB2312"/>
          <w:sz w:val="24"/>
          <w:highlight w:val="none"/>
        </w:rPr>
        <w:t>8</w:t>
      </w:r>
      <w:r>
        <w:rPr>
          <w:rFonts w:hint="eastAsia" w:ascii="仿宋_GB2312" w:hAnsi="仿宋_GB2312" w:eastAsia="仿宋_GB2312" w:cs="仿宋_GB2312"/>
          <w:sz w:val="24"/>
          <w:highlight w:val="none"/>
          <w:lang w:val="zh-CN"/>
        </w:rPr>
        <w:t>政府采购供应商廉洁自律承诺书。</w:t>
      </w:r>
    </w:p>
    <w:p>
      <w:pPr>
        <w:snapToGrid w:val="0"/>
        <w:spacing w:line="360" w:lineRule="auto"/>
        <w:ind w:firstLine="480" w:firstLineChars="200"/>
        <w:rPr>
          <w:rFonts w:hint="eastAsia" w:ascii="仿宋_GB2312" w:hAnsi="仿宋_GB2312" w:eastAsia="仿宋_GB2312" w:cs="仿宋_GB2312"/>
          <w:sz w:val="24"/>
          <w:highlight w:val="none"/>
          <w:u w:val="single"/>
          <w:lang w:val="zh-CN"/>
        </w:rPr>
      </w:pPr>
      <w:r>
        <w:rPr>
          <w:rFonts w:hint="eastAsia" w:ascii="仿宋_GB2312" w:hAnsi="仿宋_GB2312" w:eastAsia="仿宋_GB2312" w:cs="仿宋_GB2312"/>
          <w:kern w:val="0"/>
          <w:sz w:val="24"/>
          <w:highlight w:val="none"/>
          <w:lang w:val="zh-CN"/>
        </w:rPr>
        <w:t>11.</w:t>
      </w:r>
      <w:r>
        <w:rPr>
          <w:rFonts w:hint="eastAsia" w:ascii="仿宋_GB2312" w:hAnsi="仿宋_GB2312" w:eastAsia="仿宋_GB2312" w:cs="仿宋_GB2312"/>
          <w:kern w:val="0"/>
          <w:sz w:val="24"/>
          <w:highlight w:val="none"/>
        </w:rPr>
        <w:t>3</w:t>
      </w:r>
      <w:r>
        <w:rPr>
          <w:rFonts w:hint="eastAsia" w:ascii="仿宋_GB2312" w:hAnsi="仿宋_GB2312" w:eastAsia="仿宋_GB2312" w:cs="仿宋_GB2312"/>
          <w:b/>
          <w:sz w:val="24"/>
          <w:highlight w:val="none"/>
        </w:rPr>
        <w:t>报价文件：</w:t>
      </w:r>
      <w:r>
        <w:rPr>
          <w:rFonts w:hint="eastAsia" w:ascii="仿宋_GB2312" w:hAnsi="仿宋_GB2312" w:eastAsia="仿宋_GB2312" w:cs="仿宋_GB2312"/>
          <w:sz w:val="24"/>
          <w:highlight w:val="none"/>
        </w:rPr>
        <w:t xml:space="preserve"> </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11.3.1开标一览表（报价表）；</w:t>
      </w:r>
    </w:p>
    <w:p>
      <w:pPr>
        <w:snapToGrid w:val="0"/>
        <w:spacing w:line="360" w:lineRule="auto"/>
        <w:ind w:firstLine="960" w:firstLineChars="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11.3.2中小企业声明函</w:t>
      </w:r>
      <w:r>
        <w:rPr>
          <w:rFonts w:hint="eastAsia" w:ascii="仿宋_GB2312" w:hAnsi="仿宋_GB2312" w:eastAsia="仿宋_GB2312" w:cs="仿宋_GB2312"/>
          <w:bCs/>
          <w:sz w:val="24"/>
          <w:highlight w:val="none"/>
        </w:rPr>
        <w:t>（如果有）</w:t>
      </w:r>
      <w:r>
        <w:rPr>
          <w:rFonts w:hint="eastAsia" w:ascii="仿宋_GB2312" w:hAnsi="仿宋_GB2312" w:eastAsia="仿宋_GB2312" w:cs="仿宋_GB2312"/>
          <w:b/>
          <w:sz w:val="24"/>
          <w:highlight w:val="none"/>
        </w:rPr>
        <w:t>。</w:t>
      </w:r>
    </w:p>
    <w:p>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0"/>
        <w:keepNext w:val="0"/>
        <w:keepLines w:val="0"/>
        <w:pageBreakBefore w:val="0"/>
        <w:kinsoku/>
        <w:wordWrap/>
        <w:overflowPunct/>
        <w:topLinePunct w:val="0"/>
        <w:bidi w:val="0"/>
        <w:snapToGrid w:val="0"/>
        <w:spacing w:before="0" w:beforeAutospacing="0"/>
        <w:ind w:left="0" w:leftChars="0" w:firstLine="482" w:firstLineChars="20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snapToGrid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0"/>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0"/>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0"/>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widowControl w:val="0"/>
        <w:adjustRightInd w:val="0"/>
        <w:spacing w:before="156"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widowControl w:val="0"/>
        <w:adjustRightIn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14.2电子交易平台收到投标文件，将妥善保存并即时向供应商发出确认回执通知。在投标截止时间前，除供应商补充、修改或者撤回投标文件外，任何单位和个人不得解密或提取投标文件。</w:t>
      </w:r>
    </w:p>
    <w:p>
      <w:pPr>
        <w:widowControl w:val="0"/>
        <w:adjustRightInd w:val="0"/>
        <w:spacing w:before="0" w:line="360" w:lineRule="auto"/>
        <w:ind w:firstLine="480" w:firstLineChars="20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14.3采购人、采购代理机构可以视情况延长投标文件提交的截止时间。在上述情况下，采购代理机构与投标人以前在投标截止期方面的全部权利、责任和义务，将适用于延长至新的投标截止期。</w:t>
      </w:r>
    </w:p>
    <w:p>
      <w:pPr>
        <w:pStyle w:val="34"/>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widowControl w:val="0"/>
        <w:adjustRightInd w:val="0"/>
        <w:spacing w:line="360" w:lineRule="auto"/>
        <w:ind w:firstLine="360" w:firstLineChars="15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 xml:space="preserve"> 15.1投标人在电子交易平台传输递交投标文件后，还可以在投标截止时间前直接提交或者以邮政快递方式递交备份投标文件1份，</w:t>
      </w:r>
      <w:r>
        <w:rPr>
          <w:rFonts w:hint="eastAsia" w:ascii="仿宋" w:hAnsi="仿宋" w:eastAsia="仿宋" w:cs="仿宋"/>
          <w:b/>
          <w:snapToGrid w:val="0"/>
          <w:color w:val="auto"/>
          <w:kern w:val="2"/>
          <w:sz w:val="24"/>
          <w:szCs w:val="24"/>
          <w:highlight w:val="none"/>
          <w:lang w:val="en-US" w:eastAsia="zh-CN" w:bidi="ar-SA"/>
        </w:rPr>
        <w:t>但采购人、采购代理机构不强制或变相强制投标人提交备份投标文件。</w:t>
      </w:r>
    </w:p>
    <w:p>
      <w:pPr>
        <w:widowControl w:val="0"/>
        <w:adjustRightInd w:val="0"/>
        <w:spacing w:line="360" w:lineRule="auto"/>
        <w:ind w:firstLine="480"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15.2备份投标文件须在“政采云投标客户端”制作生成，并储存在</w:t>
      </w:r>
      <w:r>
        <w:rPr>
          <w:rFonts w:hint="eastAsia" w:ascii="仿宋" w:hAnsi="仿宋" w:eastAsia="仿宋" w:cs="仿宋"/>
          <w:snapToGrid w:val="0"/>
          <w:color w:val="auto"/>
          <w:kern w:val="2"/>
          <w:sz w:val="24"/>
          <w:szCs w:val="21"/>
          <w:highlight w:val="none"/>
          <w:lang w:val="en-US" w:eastAsia="zh-CN" w:bidi="ar-SA"/>
        </w:rPr>
        <w:t>DVD光盘等存储介质</w:t>
      </w:r>
      <w:r>
        <w:rPr>
          <w:rFonts w:hint="eastAsia" w:ascii="仿宋" w:hAnsi="仿宋" w:eastAsia="仿宋" w:cs="仿宋"/>
          <w:snapToGrid w:val="0"/>
          <w:color w:val="auto"/>
          <w:kern w:val="2"/>
          <w:sz w:val="24"/>
          <w:szCs w:val="24"/>
          <w:highlight w:val="none"/>
          <w:lang w:val="en-US" w:eastAsia="zh-CN" w:bidi="ar-SA"/>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napToGrid w:val="0"/>
          <w:color w:val="auto"/>
          <w:kern w:val="2"/>
          <w:sz w:val="24"/>
          <w:szCs w:val="21"/>
          <w:highlight w:val="none"/>
          <w:lang w:val="en-US" w:eastAsia="zh-CN" w:bidi="ar-SA"/>
        </w:rPr>
        <w:t>不符合上述制作、</w:t>
      </w:r>
      <w:r>
        <w:rPr>
          <w:rFonts w:hint="eastAsia" w:ascii="仿宋" w:hAnsi="仿宋" w:eastAsia="仿宋" w:cs="仿宋"/>
          <w:b/>
          <w:snapToGrid w:val="0"/>
          <w:color w:val="auto"/>
          <w:kern w:val="2"/>
          <w:sz w:val="24"/>
          <w:szCs w:val="24"/>
          <w:highlight w:val="none"/>
          <w:lang w:val="en-US" w:eastAsia="zh-CN" w:bidi="ar-SA"/>
        </w:rPr>
        <w:t>存储、密封规定的备份投标文件将被视为无效或者被拒绝接收。</w:t>
      </w:r>
    </w:p>
    <w:p>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kern w:val="2"/>
          <w:sz w:val="24"/>
          <w:szCs w:val="24"/>
          <w:highlight w:val="none"/>
          <w:lang w:val="en-US" w:eastAsia="zh-CN" w:bidi="ar-SA"/>
        </w:rPr>
        <w:t>招标文件第二部分投标人须知前附表规定的备份投标文件送达地点；</w:t>
      </w:r>
      <w:r>
        <w:rPr>
          <w:rFonts w:hint="eastAsia" w:ascii="仿宋" w:hAnsi="仿宋" w:eastAsia="仿宋" w:cs="仿宋"/>
          <w:snapToGrid w:val="0"/>
          <w:color w:val="auto"/>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pPr>
        <w:widowControl w:val="0"/>
        <w:adjustRightInd w:val="0"/>
        <w:spacing w:line="360" w:lineRule="auto"/>
        <w:ind w:firstLine="479" w:firstLineChars="199"/>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15.5投标人仅提交备份投标文件，未在电子交易平台传输递交投标文件的，投标无效。</w:t>
      </w:r>
    </w:p>
    <w:p>
      <w:pPr>
        <w:pStyle w:val="130"/>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130"/>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有招标文件第四部分第4.2条规定的情形之一的，投标无效：</w:t>
      </w:r>
    </w:p>
    <w:p>
      <w:pPr>
        <w:pStyle w:val="130"/>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keepNext w:val="0"/>
        <w:keepLines w:val="0"/>
        <w:pageBreakBefore w:val="0"/>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0"/>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0"/>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17.4在投标截止时间起至投标有效期届满，供应商投标文件不可撤销。</w:t>
      </w:r>
    </w:p>
    <w:p>
      <w:pPr>
        <w:pStyle w:val="130"/>
        <w:keepNext w:val="0"/>
        <w:keepLines w:val="0"/>
        <w:pageBreakBefore w:val="0"/>
        <w:kinsoku/>
        <w:wordWrap/>
        <w:overflowPunct/>
        <w:topLinePunct w:val="0"/>
        <w:bidi w:val="0"/>
        <w:spacing w:before="0" w:beforeAutospacing="0"/>
        <w:ind w:left="0" w:leftChars="0" w:firstLine="643" w:firstLineChars="200"/>
        <w:textAlignment w:val="auto"/>
        <w:rPr>
          <w:rFonts w:hint="eastAsia" w:ascii="仿宋" w:hAnsi="仿宋" w:eastAsia="仿宋" w:cs="仿宋"/>
          <w:b/>
          <w:color w:val="auto"/>
          <w:sz w:val="32"/>
          <w:highlight w:val="none"/>
        </w:rPr>
      </w:pPr>
    </w:p>
    <w:p>
      <w:pPr>
        <w:pStyle w:val="130"/>
        <w:keepNext w:val="0"/>
        <w:keepLines w:val="0"/>
        <w:pageBreakBefore w:val="0"/>
        <w:kinsoku/>
        <w:wordWrap/>
        <w:overflowPunct/>
        <w:topLinePunct w:val="0"/>
        <w:bidi w:val="0"/>
        <w:spacing w:before="0" w:beforeAutospacing="0"/>
        <w:ind w:left="0" w:leftChars="0" w:firstLine="0" w:firstLineChars="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keepNext w:val="0"/>
        <w:keepLines w:val="0"/>
        <w:pageBreakBefore w:val="0"/>
        <w:kinsoku/>
        <w:wordWrap/>
        <w:overflowPunct/>
        <w:topLinePunct w:val="0"/>
        <w:bidi w:val="0"/>
        <w:spacing w:before="0" w:beforeAutospacing="0" w:line="360" w:lineRule="auto"/>
        <w:ind w:left="0" w:leftChars="0" w:firstLine="482"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4"/>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4"/>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keepNext w:val="0"/>
        <w:keepLines w:val="0"/>
        <w:pageBreakBefore w:val="0"/>
        <w:kinsoku/>
        <w:wordWrap/>
        <w:overflowPunct/>
        <w:topLinePunct w:val="0"/>
        <w:bidi w:val="0"/>
        <w:spacing w:before="0" w:beforeAutospacing="0" w:line="360" w:lineRule="auto"/>
        <w:ind w:left="0" w:leftChars="0" w:firstLine="480" w:firstLineChars="2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spacing w:beforeAutospacing="0" w:line="360" w:lineRule="auto"/>
        <w:ind w:left="0" w:leftChars="0" w:firstLine="482" w:firstLineChars="200"/>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19、资格审查</w:t>
      </w:r>
    </w:p>
    <w:p>
      <w:pPr>
        <w:pStyle w:val="130"/>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19.1开标后，采购人将依据法律法规和招标文件的规定，对投标人的资格进行审查。</w:t>
      </w:r>
    </w:p>
    <w:p>
      <w:pPr>
        <w:pStyle w:val="130"/>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19.2投标人未按照招标文件要求提供与资格条件相应的有效资格证明材料的，视为投标人不具备招标文件中规定的资格要求，其投标无效。</w:t>
      </w:r>
    </w:p>
    <w:p>
      <w:pPr>
        <w:pStyle w:val="130"/>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19.3对未通过资格审查的投标人，告知其未通过的原因。</w:t>
      </w:r>
    </w:p>
    <w:p>
      <w:pPr>
        <w:pStyle w:val="130"/>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19.4合格投标人不足3家的，不再评标。</w:t>
      </w:r>
    </w:p>
    <w:p>
      <w:pPr>
        <w:pStyle w:val="130"/>
        <w:keepNext w:val="0"/>
        <w:keepLines w:val="0"/>
        <w:pageBreakBefore w:val="0"/>
        <w:kinsoku/>
        <w:wordWrap/>
        <w:overflowPunct/>
        <w:topLinePunct w:val="0"/>
        <w:bidi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0"/>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0"/>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0"/>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0"/>
        <w:keepNext w:val="0"/>
        <w:keepLines w:val="0"/>
        <w:pageBreakBefore w:val="0"/>
        <w:kinsoku/>
        <w:wordWrap/>
        <w:overflowPunct/>
        <w:topLinePunct w:val="0"/>
        <w:bidi w:val="0"/>
        <w:spacing w:before="0" w:beforeAutospacing="0"/>
        <w:ind w:left="0" w:leftChars="0" w:firstLine="480" w:firstLineChars="200"/>
        <w:textAlignment w:val="auto"/>
        <w:rPr>
          <w:rFonts w:hint="eastAsia" w:ascii="仿宋" w:hAnsi="仿宋" w:eastAsia="仿宋" w:cs="仿宋"/>
          <w:color w:val="auto"/>
          <w:kern w:val="0"/>
          <w:szCs w:val="24"/>
          <w:highlight w:val="none"/>
        </w:rPr>
      </w:pPr>
    </w:p>
    <w:p>
      <w:pPr>
        <w:keepNext w:val="0"/>
        <w:keepLines w:val="0"/>
        <w:pageBreakBefore w:val="0"/>
        <w:kinsoku/>
        <w:wordWrap/>
        <w:overflowPunct/>
        <w:topLinePunct w:val="0"/>
        <w:bidi w:val="0"/>
        <w:snapToGrid w:val="0"/>
        <w:spacing w:beforeAutospacing="0" w:line="360" w:lineRule="auto"/>
        <w:ind w:left="0" w:leftChars="0" w:firstLine="723" w:firstLineChars="200"/>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sz w:val="24"/>
          <w:highlight w:val="none"/>
        </w:rPr>
      </w:pPr>
    </w:p>
    <w:p>
      <w:pPr>
        <w:keepNext w:val="0"/>
        <w:keepLines w:val="0"/>
        <w:pageBreakBefore w:val="0"/>
        <w:kinsoku/>
        <w:wordWrap/>
        <w:overflowPunct/>
        <w:topLinePunct w:val="0"/>
        <w:bidi w:val="0"/>
        <w:snapToGrid w:val="0"/>
        <w:spacing w:beforeAutospacing="0" w:line="360" w:lineRule="auto"/>
        <w:ind w:left="0" w:leftChars="0" w:firstLine="723" w:firstLineChars="200"/>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6"/>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0"/>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30"/>
        <w:keepNext w:val="0"/>
        <w:keepLines w:val="0"/>
        <w:pageBreakBefore w:val="0"/>
        <w:kinsoku/>
        <w:wordWrap/>
        <w:overflowPunct/>
        <w:topLinePunct w:val="0"/>
        <w:bidi w:val="0"/>
        <w:snapToGrid w:val="0"/>
        <w:spacing w:before="0" w:beforeAutospacing="0"/>
        <w:ind w:left="0" w:leftChars="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keepNext w:val="0"/>
        <w:keepLines w:val="0"/>
        <w:pageBreakBefore w:val="0"/>
        <w:kinsoku/>
        <w:wordWrap/>
        <w:overflowPunct/>
        <w:topLinePunct w:val="0"/>
        <w:bidi w:val="0"/>
        <w:snapToGrid w:val="0"/>
        <w:spacing w:beforeAutospacing="0" w:line="360" w:lineRule="auto"/>
        <w:ind w:left="0" w:leftChars="0" w:firstLine="643" w:firstLineChars="200"/>
        <w:jc w:val="center"/>
        <w:textAlignment w:val="auto"/>
        <w:rPr>
          <w:rFonts w:hint="eastAsia" w:ascii="仿宋" w:hAnsi="仿宋" w:eastAsia="仿宋" w:cs="仿宋"/>
          <w:b/>
          <w:color w:val="auto"/>
          <w:sz w:val="32"/>
          <w:highlight w:val="none"/>
        </w:rPr>
      </w:pPr>
    </w:p>
    <w:p>
      <w:pPr>
        <w:keepNext w:val="0"/>
        <w:keepLines w:val="0"/>
        <w:pageBreakBefore w:val="0"/>
        <w:kinsoku/>
        <w:wordWrap/>
        <w:overflowPunct/>
        <w:topLinePunct w:val="0"/>
        <w:bidi w:val="0"/>
        <w:snapToGrid w:val="0"/>
        <w:spacing w:beforeAutospacing="0" w:line="360" w:lineRule="auto"/>
        <w:ind w:left="0" w:leftChars="0" w:firstLine="643" w:firstLineChars="20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6"/>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6"/>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keepNext w:val="0"/>
        <w:keepLines w:val="0"/>
        <w:pageBreakBefore w:val="0"/>
        <w:widowControl/>
        <w:shd w:val="clear" w:color="auto" w:fill="FFFFFF"/>
        <w:kinsoku/>
        <w:wordWrap/>
        <w:overflowPunct/>
        <w:topLinePunct w:val="0"/>
        <w:bidi w:val="0"/>
        <w:spacing w:beforeAutospacing="0" w:line="360" w:lineRule="auto"/>
        <w:ind w:left="0" w:leftChars="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0"/>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keepNext w:val="0"/>
        <w:keepLines w:val="0"/>
        <w:pageBreakBefore w:val="0"/>
        <w:kinsoku/>
        <w:wordWrap/>
        <w:overflowPunct/>
        <w:topLinePunct w:val="0"/>
        <w:bidi w:val="0"/>
        <w:snapToGrid w:val="0"/>
        <w:spacing w:before="0" w:beforeAutospacing="0"/>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6"/>
        <w:keepNext w:val="0"/>
        <w:keepLines w:val="0"/>
        <w:pageBreakBefore w:val="0"/>
        <w:kinsoku/>
        <w:wordWrap/>
        <w:overflowPunct/>
        <w:topLinePunct w:val="0"/>
        <w:bidi w:val="0"/>
        <w:spacing w:beforeAutospacing="0" w:line="360" w:lineRule="auto"/>
        <w:ind w:left="0" w:leftChars="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_GB2312" w:hAnsi="仿宋_GB2312" w:eastAsia="仿宋_GB2312" w:cs="仿宋_GB2312"/>
          <w:sz w:val="24"/>
          <w:szCs w:val="20"/>
          <w:highlight w:val="none"/>
        </w:rPr>
      </w:pPr>
      <w:r>
        <w:rPr>
          <w:rFonts w:hint="eastAsia" w:ascii="仿宋_GB2312" w:hAnsi="仿宋_GB2312" w:eastAsia="仿宋_GB2312" w:cs="仿宋_GB2312"/>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6"/>
        <w:ind w:left="0" w:firstLine="480" w:firstLineChars="200"/>
        <w:rPr>
          <w:rFonts w:hint="eastAsia" w:ascii="仿宋_GB2312" w:hAnsi="仿宋_GB2312" w:eastAsia="仿宋_GB2312" w:cs="仿宋_GB2312"/>
          <w:highlight w:val="none"/>
          <w:lang w:val="en-US"/>
        </w:rPr>
      </w:pPr>
      <w:r>
        <w:rPr>
          <w:rFonts w:hint="eastAsia" w:ascii="仿宋_GB2312" w:hAnsi="仿宋_GB2312" w:eastAsia="仿宋_GB2312" w:cs="仿宋_GB2312"/>
          <w:b w:val="0"/>
          <w:bCs w:val="0"/>
          <w:snapToGrid w:val="0"/>
          <w:kern w:val="28"/>
          <w:sz w:val="24"/>
          <w:highlight w:val="none"/>
        </w:rPr>
        <w:t>供应商</w:t>
      </w:r>
      <w:r>
        <w:rPr>
          <w:rFonts w:hint="eastAsia" w:ascii="仿宋_GB2312" w:hAnsi="仿宋_GB2312" w:eastAsia="仿宋_GB2312" w:cs="仿宋_GB2312"/>
          <w:b w:val="0"/>
          <w:bCs w:val="0"/>
          <w:snapToGrid w:val="0"/>
          <w:kern w:val="28"/>
          <w:sz w:val="24"/>
          <w:highlight w:val="none"/>
          <w:lang w:val="en-US"/>
        </w:rPr>
        <w:t>可</w:t>
      </w:r>
      <w:r>
        <w:rPr>
          <w:rFonts w:hint="eastAsia" w:ascii="仿宋_GB2312" w:hAnsi="仿宋_GB2312" w:eastAsia="仿宋_GB2312" w:cs="仿宋_GB2312"/>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rFonts w:hint="eastAsia" w:ascii="仿宋_GB2312" w:hAnsi="仿宋_GB2312" w:eastAsia="仿宋_GB2312" w:cs="仿宋_GB2312"/>
          <w:highlight w:val="none"/>
        </w:rPr>
      </w:pPr>
      <w:r>
        <w:rPr>
          <w:rFonts w:hint="eastAsia" w:ascii="仿宋_GB2312" w:hAnsi="仿宋_GB2312" w:eastAsia="仿宋_GB2312" w:cs="仿宋_GB2312"/>
          <w:sz w:val="24"/>
          <w:highlight w:val="none"/>
          <w:lang w:val="en-US"/>
        </w:rPr>
        <w:t>2</w:t>
      </w:r>
      <w:r>
        <w:rPr>
          <w:rFonts w:hint="eastAsia" w:hAnsi="仿宋_GB2312" w:cs="仿宋_GB2312"/>
          <w:sz w:val="24"/>
          <w:highlight w:val="none"/>
          <w:lang w:val="en-US" w:eastAsia="zh-CN"/>
        </w:rPr>
        <w:t>7</w:t>
      </w:r>
      <w:r>
        <w:rPr>
          <w:rFonts w:hint="eastAsia" w:ascii="仿宋_GB2312" w:hAnsi="仿宋_GB2312" w:eastAsia="仿宋_GB2312" w:cs="仿宋_GB2312"/>
          <w:sz w:val="24"/>
          <w:highlight w:val="none"/>
          <w:lang w:val="en-US"/>
        </w:rPr>
        <w:t>. 预付款</w:t>
      </w:r>
    </w:p>
    <w:p>
      <w:pPr>
        <w:snapToGrid w:val="0"/>
        <w:spacing w:line="360" w:lineRule="auto"/>
        <w:ind w:firstLine="480" w:firstLineChars="200"/>
        <w:rPr>
          <w:rFonts w:hint="eastAsia" w:ascii="仿宋_GB2312" w:hAnsi="仿宋_GB2312" w:eastAsia="仿宋_GB2312" w:cs="仿宋_GB2312"/>
          <w:b/>
          <w:sz w:val="32"/>
          <w:highlight w:val="none"/>
        </w:rPr>
      </w:pPr>
      <w:r>
        <w:rPr>
          <w:rFonts w:hint="eastAsia" w:ascii="仿宋_GB2312" w:hAnsi="仿宋_GB2312" w:eastAsia="仿宋_GB2312" w:cs="仿宋_GB2312"/>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6"/>
        <w:rPr>
          <w:rFonts w:hint="eastAsia"/>
          <w:highlight w:val="none"/>
        </w:rPr>
      </w:pPr>
    </w:p>
    <w:p>
      <w:pPr>
        <w:pStyle w:val="2"/>
        <w:keepNext w:val="0"/>
        <w:keepLines w:val="0"/>
        <w:pageBreakBefore w:val="0"/>
        <w:kinsoku/>
        <w:wordWrap/>
        <w:overflowPunct/>
        <w:topLinePunct w:val="0"/>
        <w:bidi w:val="0"/>
        <w:spacing w:beforeAutospacing="0"/>
        <w:ind w:left="0" w:leftChars="0" w:firstLine="480" w:firstLineChars="200"/>
        <w:textAlignment w:val="auto"/>
        <w:rPr>
          <w:rFonts w:hint="eastAsia" w:ascii="仿宋" w:hAnsi="仿宋" w:eastAsia="仿宋" w:cs="仿宋"/>
          <w:color w:val="auto"/>
          <w:highlight w:val="none"/>
        </w:rPr>
      </w:pPr>
    </w:p>
    <w:p>
      <w:pPr>
        <w:keepNext w:val="0"/>
        <w:keepLines w:val="0"/>
        <w:pageBreakBefore w:val="0"/>
        <w:kinsoku/>
        <w:wordWrap/>
        <w:overflowPunct/>
        <w:topLinePunct w:val="0"/>
        <w:bidi w:val="0"/>
        <w:snapToGrid w:val="0"/>
        <w:spacing w:beforeAutospacing="0" w:line="36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widowControl w:val="0"/>
        <w:adjustRightInd w:val="0"/>
        <w:snapToGrid w:val="0"/>
        <w:spacing w:before="0" w:line="360" w:lineRule="auto"/>
        <w:ind w:firstLine="0" w:firstLineChars="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b/>
          <w:bCs/>
          <w:kern w:val="2"/>
          <w:sz w:val="24"/>
          <w:szCs w:val="20"/>
          <w:highlight w:val="none"/>
          <w:lang w:val="en-US" w:eastAsia="zh-CN" w:bidi="ar-SA"/>
        </w:rPr>
        <w:t>28</w:t>
      </w:r>
      <w:r>
        <w:rPr>
          <w:rFonts w:hint="eastAsia" w:ascii="仿宋_GB2312" w:hAnsi="仿宋_GB2312" w:eastAsia="仿宋_GB2312" w:cs="仿宋_GB2312"/>
          <w:b/>
          <w:bCs/>
          <w:kern w:val="2"/>
          <w:sz w:val="24"/>
          <w:szCs w:val="24"/>
          <w:highlight w:val="none"/>
          <w:lang w:val="en-US" w:eastAsia="zh-CN" w:bidi="ar-SA"/>
        </w:rPr>
        <w:t>.</w:t>
      </w:r>
      <w:r>
        <w:rPr>
          <w:rFonts w:hint="eastAsia" w:ascii="仿宋_GB2312" w:hAnsi="仿宋_GB2312" w:eastAsia="仿宋_GB2312" w:cs="仿宋_GB2312"/>
          <w:b/>
          <w:kern w:val="2"/>
          <w:sz w:val="24"/>
          <w:szCs w:val="24"/>
          <w:highlight w:val="none"/>
          <w:lang w:val="en-US" w:eastAsia="zh-CN" w:bidi="ar-SA"/>
        </w:rPr>
        <w:t xml:space="preserve"> 电子交易活动的中止。</w:t>
      </w:r>
      <w:r>
        <w:rPr>
          <w:rFonts w:hint="eastAsia" w:ascii="仿宋_GB2312" w:hAnsi="仿宋_GB2312" w:eastAsia="仿宋_GB2312" w:cs="仿宋_GB2312"/>
          <w:kern w:val="2"/>
          <w:sz w:val="24"/>
          <w:szCs w:val="20"/>
          <w:highlight w:val="none"/>
          <w:lang w:val="en-US" w:eastAsia="zh-CN" w:bidi="ar-SA"/>
        </w:rPr>
        <w:t>采购过程中出现以下情形，导致电子交易平台无法正常运行，或者无法保证电子交易的公平、公正和安全时，采购代理机构可中止电子交易活动：</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w:t xml:space="preserve">27.1电子交易平台发生故障而无法登录访问的； </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w:t>27.2电子交易平台应用或数据库出现错误，不能进行正常操作的；</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w:t>27.3电子交易平台发现严重安全漏洞，有潜在泄密危险的；</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w:t xml:space="preserve">27.4病毒发作导致不能进行正常操作的； </w:t>
      </w:r>
    </w:p>
    <w:p>
      <w:pPr>
        <w:widowControl w:val="0"/>
        <w:adjustRightInd w:val="0"/>
        <w:snapToGrid w:val="0"/>
        <w:spacing w:before="0" w:line="360" w:lineRule="auto"/>
        <w:ind w:firstLine="480" w:firstLineChars="20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kern w:val="2"/>
          <w:sz w:val="24"/>
          <w:szCs w:val="20"/>
          <w:highlight w:val="none"/>
          <w:lang w:val="en-US" w:eastAsia="zh-CN" w:bidi="ar-SA"/>
        </w:rPr>
        <w:t>27.5其他无法保证电子交易的公平、公正和安全的情况。</w:t>
      </w:r>
    </w:p>
    <w:p>
      <w:pPr>
        <w:widowControl w:val="0"/>
        <w:adjustRightInd w:val="0"/>
        <w:snapToGrid w:val="0"/>
        <w:spacing w:before="0" w:line="360" w:lineRule="auto"/>
        <w:ind w:firstLine="0" w:firstLineChars="0"/>
        <w:jc w:val="both"/>
        <w:rPr>
          <w:rFonts w:hint="eastAsia" w:ascii="仿宋_GB2312" w:hAnsi="仿宋_GB2312" w:eastAsia="仿宋_GB2312" w:cs="仿宋_GB2312"/>
          <w:kern w:val="2"/>
          <w:sz w:val="24"/>
          <w:szCs w:val="20"/>
          <w:highlight w:val="none"/>
          <w:lang w:val="en-US" w:eastAsia="zh-CN" w:bidi="ar-SA"/>
        </w:rPr>
      </w:pPr>
      <w:r>
        <w:rPr>
          <w:rFonts w:hint="eastAsia" w:ascii="仿宋_GB2312" w:hAnsi="仿宋_GB2312" w:eastAsia="仿宋_GB2312" w:cs="仿宋_GB2312"/>
          <w:b/>
          <w:bCs/>
          <w:kern w:val="2"/>
          <w:sz w:val="24"/>
          <w:szCs w:val="20"/>
          <w:highlight w:val="none"/>
          <w:lang w:val="en-US" w:eastAsia="zh-CN" w:bidi="ar-SA"/>
        </w:rPr>
        <w:t>29.</w:t>
      </w:r>
      <w:r>
        <w:rPr>
          <w:rFonts w:hint="eastAsia" w:ascii="仿宋_GB2312" w:hAnsi="仿宋_GB2312" w:eastAsia="仿宋_GB2312" w:cs="仿宋_GB2312"/>
          <w:kern w:val="2"/>
          <w:sz w:val="24"/>
          <w:szCs w:val="20"/>
          <w:highlight w:val="none"/>
          <w:lang w:val="en-US" w:eastAsia="zh-CN" w:bidi="ar-SA"/>
        </w:rPr>
        <w:t>出现以上情形，不影响采购公平、公正性的，采购组织机构可以待上述情形消除后继续组织电子交易活动，也可以决定某些环节以纸质形式进行；影响或可能影响采购公平、公正性的，应当重新采购。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sz w:val="24"/>
          <w:highlight w:val="none"/>
        </w:rPr>
      </w:pPr>
    </w:p>
    <w:p>
      <w:pPr>
        <w:keepNext w:val="0"/>
        <w:keepLines w:val="0"/>
        <w:pageBreakBefore w:val="0"/>
        <w:kinsoku/>
        <w:wordWrap/>
        <w:overflowPunct/>
        <w:topLinePunct w:val="0"/>
        <w:bidi w:val="0"/>
        <w:snapToGrid w:val="0"/>
        <w:spacing w:beforeAutospacing="0" w:line="360" w:lineRule="auto"/>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tabs>
          <w:tab w:val="left" w:pos="0"/>
        </w:tabs>
        <w:kinsoku/>
        <w:wordWrap/>
        <w:overflowPunct/>
        <w:topLinePunct w:val="0"/>
        <w:bidi w:val="0"/>
        <w:spacing w:beforeAutospacing="0" w:line="360" w:lineRule="auto"/>
        <w:ind w:left="0" w:leftChars="0" w:firstLine="480" w:firstLineChars="200"/>
        <w:textAlignment w:val="auto"/>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cs="仿宋"/>
          <w:color w:val="auto"/>
          <w:kern w:val="0"/>
          <w:sz w:val="24"/>
          <w:highlight w:val="none"/>
          <w:lang w:val="en-US" w:eastAsia="zh-CN"/>
        </w:rPr>
        <w:t>30</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bookmarkEnd w:id="12"/>
    <w:p>
      <w:pPr>
        <w:numPr>
          <w:ilvl w:val="0"/>
          <w:numId w:val="2"/>
        </w:numPr>
        <w:snapToGrid w:val="0"/>
        <w:jc w:val="center"/>
        <w:rPr>
          <w:rFonts w:hint="eastAsia" w:ascii="仿宋" w:hAnsi="仿宋" w:eastAsia="仿宋" w:cs="仿宋"/>
          <w:b/>
          <w:color w:val="auto"/>
          <w:sz w:val="36"/>
          <w:szCs w:val="36"/>
          <w:highlight w:val="none"/>
        </w:rPr>
      </w:pPr>
      <w:bookmarkStart w:id="25" w:name="第四部分"/>
      <w:r>
        <w:rPr>
          <w:rFonts w:hint="eastAsia" w:ascii="仿宋" w:hAnsi="仿宋" w:eastAsia="仿宋" w:cs="仿宋"/>
          <w:b/>
          <w:color w:val="auto"/>
          <w:sz w:val="36"/>
          <w:szCs w:val="36"/>
          <w:highlight w:val="none"/>
        </w:rPr>
        <w:t xml:space="preserve">  采购需求</w:t>
      </w:r>
    </w:p>
    <w:p>
      <w:pPr>
        <w:pStyle w:val="6"/>
        <w:numPr>
          <w:ilvl w:val="0"/>
          <w:numId w:val="0"/>
        </w:numPr>
        <w:ind w:leftChars="0"/>
        <w:rPr>
          <w:rFonts w:hint="eastAsia"/>
          <w:highlight w:val="none"/>
        </w:rPr>
      </w:pPr>
    </w:p>
    <w:p>
      <w:pPr>
        <w:snapToGrid w:val="0"/>
        <w:jc w:val="center"/>
        <w:rPr>
          <w:rStyle w:val="966"/>
          <w:rFonts w:hint="eastAsia" w:ascii="仿宋" w:hAnsi="仿宋" w:eastAsia="仿宋" w:cs="仿宋"/>
          <w:i w:val="0"/>
          <w:iCs w:val="0"/>
          <w:color w:val="auto"/>
          <w:highlight w:val="none"/>
        </w:rPr>
      </w:pPr>
      <w:r>
        <w:rPr>
          <w:rStyle w:val="966"/>
          <w:rFonts w:hint="eastAsia" w:ascii="仿宋" w:hAnsi="仿宋" w:eastAsia="仿宋" w:cs="仿宋"/>
          <w:i w:val="0"/>
          <w:iCs w:val="0"/>
          <w:color w:val="auto"/>
          <w:highlight w:val="none"/>
        </w:rPr>
        <w:t>属于实质性要求条款的，请用符号“▲”标明，否则属于非实质性要求。</w:t>
      </w:r>
    </w:p>
    <w:p>
      <w:pPr>
        <w:spacing w:line="360" w:lineRule="auto"/>
        <w:jc w:val="center"/>
        <w:outlineLvl w:val="0"/>
        <w:rPr>
          <w:rFonts w:hint="eastAsia" w:ascii="仿宋" w:hAnsi="仿宋" w:eastAsia="仿宋" w:cs="仿宋"/>
          <w:b/>
          <w:color w:val="auto"/>
          <w:sz w:val="36"/>
          <w:szCs w:val="36"/>
          <w:highlight w:val="none"/>
        </w:rPr>
      </w:pPr>
      <w:r>
        <w:rPr>
          <w:rStyle w:val="966"/>
          <w:rFonts w:hint="eastAsia" w:ascii="仿宋" w:hAnsi="仿宋" w:eastAsia="仿宋" w:cs="仿宋"/>
          <w:i w:val="0"/>
          <w:iCs w:val="0"/>
          <w:color w:val="auto"/>
          <w:highlight w:val="none"/>
        </w:rPr>
        <w:t>“★”系产品采购项目中单一产品或核心产品。</w:t>
      </w:r>
    </w:p>
    <w:p>
      <w:pPr>
        <w:rPr>
          <w:rFonts w:hint="eastAsia" w:ascii="仿宋" w:hAnsi="仿宋" w:eastAsia="仿宋" w:cs="仿宋"/>
          <w:color w:val="auto"/>
          <w:highlight w:val="none"/>
          <w:lang w:eastAsia="zh-CN"/>
        </w:rPr>
      </w:pPr>
    </w:p>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（一）招标一览表</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标项一：</w:t>
      </w:r>
    </w:p>
    <w:tbl>
      <w:tblPr>
        <w:tblStyle w:val="62"/>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3762"/>
        <w:gridCol w:w="1856"/>
        <w:gridCol w:w="851"/>
        <w:gridCol w:w="851"/>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2" w:hRule="atLeast"/>
          <w:jc w:val="center"/>
        </w:trPr>
        <w:tc>
          <w:tcPr>
            <w:tcW w:w="740"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序号</w:t>
            </w:r>
          </w:p>
        </w:tc>
        <w:tc>
          <w:tcPr>
            <w:tcW w:w="3762"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名称</w:t>
            </w:r>
          </w:p>
        </w:tc>
        <w:tc>
          <w:tcPr>
            <w:tcW w:w="1856"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规格型号与参数</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单位</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数量</w:t>
            </w:r>
          </w:p>
        </w:tc>
        <w:tc>
          <w:tcPr>
            <w:tcW w:w="852" w:type="dxa"/>
            <w:noWrap/>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740"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w:t>
            </w:r>
          </w:p>
        </w:tc>
        <w:tc>
          <w:tcPr>
            <w:tcW w:w="3762"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lang w:eastAsia="zh-CN"/>
              </w:rPr>
            </w:pPr>
            <w:r>
              <w:rPr>
                <w:rFonts w:hint="eastAsia" w:ascii="仿宋" w:hAnsi="仿宋" w:cs="仿宋"/>
                <w:b w:val="0"/>
                <w:bCs/>
                <w:color w:val="auto"/>
                <w:sz w:val="24"/>
                <w:highlight w:val="none"/>
                <w:lang w:eastAsia="zh-CN"/>
              </w:rPr>
              <w:t>义蓬街道义盛社区标识标牌项目</w:t>
            </w:r>
          </w:p>
        </w:tc>
        <w:tc>
          <w:tcPr>
            <w:tcW w:w="1856"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详见招标需求</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lang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批</w:t>
            </w:r>
          </w:p>
        </w:tc>
        <w:tc>
          <w:tcPr>
            <w:tcW w:w="851" w:type="dxa"/>
            <w:noWrap/>
            <w:tcMar>
              <w:top w:w="15" w:type="dxa"/>
              <w:left w:w="15" w:type="dxa"/>
              <w:bottom w:w="0" w:type="dxa"/>
              <w:right w:w="15" w:type="dxa"/>
            </w:tcMar>
            <w:vAlign w:val="center"/>
          </w:tcPr>
          <w:p>
            <w:pPr>
              <w:spacing w:line="276" w:lineRule="auto"/>
              <w:jc w:val="center"/>
              <w:rPr>
                <w:rFonts w:hint="eastAsia" w:ascii="仿宋" w:hAnsi="仿宋" w:eastAsia="仿宋" w:cs="仿宋"/>
                <w:b w:val="0"/>
                <w:bCs/>
                <w:color w:val="auto"/>
                <w:sz w:val="24"/>
                <w:highlight w:val="none"/>
                <w:lang w:eastAsia="zh-CN"/>
              </w:rPr>
            </w:pPr>
            <w:r>
              <w:rPr>
                <w:rFonts w:hint="eastAsia" w:ascii="仿宋" w:hAnsi="仿宋" w:cs="仿宋"/>
                <w:b w:val="0"/>
                <w:bCs/>
                <w:color w:val="auto"/>
                <w:sz w:val="24"/>
                <w:highlight w:val="none"/>
                <w:lang w:val="en-US" w:eastAsia="zh-CN"/>
              </w:rPr>
              <w:t>1</w:t>
            </w:r>
          </w:p>
        </w:tc>
        <w:tc>
          <w:tcPr>
            <w:tcW w:w="852" w:type="dxa"/>
            <w:noWrap/>
            <w:vAlign w:val="center"/>
          </w:tcPr>
          <w:p>
            <w:pPr>
              <w:spacing w:line="276" w:lineRule="auto"/>
              <w:jc w:val="center"/>
              <w:rPr>
                <w:rFonts w:hint="eastAsia" w:ascii="仿宋" w:hAnsi="仿宋" w:eastAsia="仿宋" w:cs="仿宋"/>
                <w:b w:val="0"/>
                <w:bCs/>
                <w:color w:val="auto"/>
                <w:sz w:val="24"/>
                <w:highlight w:val="none"/>
              </w:rPr>
            </w:pPr>
          </w:p>
        </w:tc>
      </w:tr>
    </w:tbl>
    <w:p>
      <w:pPr>
        <w:pStyle w:val="86"/>
        <w:numPr>
          <w:ilvl w:val="0"/>
          <w:numId w:val="3"/>
        </w:numPr>
        <w:ind w:left="0" w:leftChars="0" w:firstLine="0" w:firstLineChars="0"/>
        <w:jc w:val="center"/>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招标需求</w:t>
      </w:r>
    </w:p>
    <w:p>
      <w:pPr>
        <w:pageBreakBefore w:val="0"/>
        <w:numPr>
          <w:ilvl w:val="0"/>
          <w:numId w:val="4"/>
        </w:numPr>
        <w:shd w:val="clear" w:color="auto" w:fill="FFFFFF"/>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color w:val="auto"/>
          <w:kern w:val="2"/>
          <w:sz w:val="28"/>
          <w:szCs w:val="28"/>
          <w:highlight w:val="none"/>
          <w:lang w:val="en-US" w:eastAsia="zh-CN" w:bidi="ar-SA"/>
        </w:rPr>
      </w:pPr>
      <w:bookmarkStart w:id="26" w:name="_Toc132888838"/>
      <w:bookmarkStart w:id="27" w:name="_Toc223249716"/>
      <w:bookmarkStart w:id="28" w:name="_Toc418865233"/>
      <w:bookmarkStart w:id="29" w:name="_Toc16131"/>
      <w:r>
        <w:rPr>
          <w:rFonts w:hint="eastAsia" w:ascii="仿宋" w:hAnsi="仿宋" w:cs="仿宋"/>
          <w:b/>
          <w:bCs/>
          <w:color w:val="auto"/>
          <w:sz w:val="24"/>
          <w:highlight w:val="none"/>
          <w:lang w:val="en-US" w:eastAsia="zh-CN"/>
        </w:rPr>
        <w:t>技术需求</w:t>
      </w:r>
    </w:p>
    <w:p>
      <w:pPr>
        <w:pageBreakBefore w:val="0"/>
        <w:widowControl/>
        <w:kinsoku/>
        <w:wordWrap/>
        <w:overflowPunct/>
        <w:topLinePunct w:val="0"/>
        <w:autoSpaceDE/>
        <w:autoSpaceDN/>
        <w:bidi w:val="0"/>
        <w:spacing w:line="360" w:lineRule="auto"/>
        <w:ind w:left="0" w:firstLine="482" w:firstLineChars="200"/>
        <w:jc w:val="left"/>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1</w:t>
      </w:r>
      <w:r>
        <w:rPr>
          <w:rFonts w:hint="eastAsia" w:ascii="仿宋" w:hAnsi="仿宋" w:cs="仿宋"/>
          <w:b/>
          <w:bCs/>
          <w:sz w:val="24"/>
          <w:szCs w:val="24"/>
          <w:highlight w:val="none"/>
          <w:lang w:eastAsia="zh-CN"/>
        </w:rPr>
        <w:t>、</w:t>
      </w:r>
      <w:r>
        <w:rPr>
          <w:rFonts w:hint="eastAsia" w:ascii="仿宋" w:hAnsi="仿宋" w:eastAsia="仿宋" w:cs="仿宋"/>
          <w:b/>
          <w:bCs/>
          <w:sz w:val="24"/>
          <w:szCs w:val="24"/>
          <w:highlight w:val="none"/>
          <w:lang w:eastAsia="zh-CN"/>
        </w:rPr>
        <w:t>项目背景</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default"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义蓬街道</w:t>
      </w:r>
      <w:r>
        <w:rPr>
          <w:rFonts w:hint="default" w:ascii="仿宋" w:hAnsi="仿宋" w:eastAsia="仿宋" w:cs="仿宋"/>
          <w:color w:val="000000"/>
          <w:kern w:val="0"/>
          <w:sz w:val="24"/>
          <w:szCs w:val="24"/>
          <w:highlight w:val="none"/>
          <w:lang w:val="en-US" w:eastAsia="zh-CN" w:bidi="ar"/>
        </w:rPr>
        <w:t>义盛社区标识标牌项目，主要打造范围包括户外落地导视标识标牌、精神堡垒、阵地导视标识、义盛居家养老服务中心、幸福学堂、孝养长廊、颐康养老医院、孝养田园、义盛党群服务中心局部，结合社区需求以社区特色文化为核心，以完善的养老设施、优质的养老服务、丰富的养老活动、深厚的孝养文化、老幼融合的氛围等，弘扬孝养文化、增强社区文化氛围、提升居民的孝养素养、并对义盛社区标识标牌进行需求文化提升。</w:t>
      </w:r>
    </w:p>
    <w:p>
      <w:pPr>
        <w:keepNext w:val="0"/>
        <w:keepLines w:val="0"/>
        <w:pageBreakBefore w:val="0"/>
        <w:widowControl/>
        <w:suppressLineNumbers w:val="0"/>
        <w:kinsoku/>
        <w:wordWrap/>
        <w:overflowPunct/>
        <w:topLinePunct w:val="0"/>
        <w:autoSpaceDE/>
        <w:autoSpaceDN/>
        <w:bidi w:val="0"/>
        <w:spacing w:line="360" w:lineRule="auto"/>
        <w:ind w:left="0"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2、服务具体要求 </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2.1</w:t>
      </w:r>
      <w:r>
        <w:rPr>
          <w:rFonts w:hint="eastAsia" w:ascii="仿宋" w:hAnsi="仿宋" w:eastAsia="仿宋" w:cs="仿宋"/>
          <w:color w:val="000000"/>
          <w:kern w:val="0"/>
          <w:sz w:val="24"/>
          <w:szCs w:val="24"/>
          <w:highlight w:val="none"/>
          <w:lang w:val="en-US" w:eastAsia="zh-CN" w:bidi="ar"/>
        </w:rPr>
        <w:t xml:space="preserve"> 承包人应对设计理念和构思有充分的理解，并且其设计要充分体现业主要求，且能满足服务需要；</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2.2</w:t>
      </w:r>
      <w:r>
        <w:rPr>
          <w:rFonts w:hint="eastAsia" w:ascii="仿宋" w:hAnsi="仿宋" w:eastAsia="仿宋" w:cs="仿宋"/>
          <w:color w:val="000000"/>
          <w:kern w:val="0"/>
          <w:sz w:val="24"/>
          <w:szCs w:val="24"/>
          <w:highlight w:val="none"/>
          <w:lang w:val="en-US" w:eastAsia="zh-CN" w:bidi="ar"/>
        </w:rPr>
        <w:t xml:space="preserve"> 承包人在设计过程中，要严格按照招标文件及合同的约定，围绕相关现场勘测资料，进行深化设计工作；</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2.3</w:t>
      </w:r>
      <w:r>
        <w:rPr>
          <w:rFonts w:hint="eastAsia" w:ascii="仿宋" w:hAnsi="仿宋" w:eastAsia="仿宋" w:cs="仿宋"/>
          <w:color w:val="000000"/>
          <w:kern w:val="0"/>
          <w:sz w:val="24"/>
          <w:szCs w:val="24"/>
          <w:highlight w:val="none"/>
          <w:lang w:val="en-US" w:eastAsia="zh-CN" w:bidi="ar"/>
        </w:rPr>
        <w:t xml:space="preserve"> 设计方案应符合招标文件要求及国家有关规范规定；</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2.4</w:t>
      </w:r>
      <w:r>
        <w:rPr>
          <w:rFonts w:hint="eastAsia" w:ascii="仿宋" w:hAnsi="仿宋" w:eastAsia="仿宋" w:cs="仿宋"/>
          <w:color w:val="000000"/>
          <w:kern w:val="0"/>
          <w:sz w:val="24"/>
          <w:szCs w:val="24"/>
          <w:highlight w:val="none"/>
          <w:lang w:val="en-US" w:eastAsia="zh-CN" w:bidi="ar"/>
        </w:rPr>
        <w:t xml:space="preserve"> 场景艺术设计要构思立意准确，构图布局合理，艺术感染力强，性能优，操作简便，容易维护，价格合理。</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2.5</w:t>
      </w:r>
      <w:r>
        <w:rPr>
          <w:rFonts w:hint="eastAsia" w:ascii="仿宋" w:hAnsi="仿宋" w:eastAsia="仿宋" w:cs="仿宋"/>
          <w:color w:val="000000"/>
          <w:kern w:val="0"/>
          <w:sz w:val="24"/>
          <w:szCs w:val="24"/>
          <w:highlight w:val="none"/>
          <w:lang w:val="en-US" w:eastAsia="zh-CN" w:bidi="ar"/>
        </w:rPr>
        <w:t xml:space="preserve"> 要根据采购人需求，认真研究并科学地设计、制作及组合方案，科学合理地安排布置，以使观众轻松容易地接受传递的目的和信息。</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2.6</w:t>
      </w:r>
      <w:r>
        <w:rPr>
          <w:rFonts w:hint="eastAsia" w:ascii="仿宋" w:hAnsi="仿宋" w:eastAsia="仿宋" w:cs="仿宋"/>
          <w:color w:val="000000"/>
          <w:kern w:val="0"/>
          <w:sz w:val="24"/>
          <w:szCs w:val="24"/>
          <w:highlight w:val="none"/>
          <w:lang w:val="en-US" w:eastAsia="zh-CN" w:bidi="ar"/>
        </w:rPr>
        <w:t xml:space="preserve"> 科学合理的划分各单元内容的平面布局和面积匹配，做到布局得当，分割有致；科学地安排观众参观动线，做到展线流畅，富有韵律和节奏感。</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2.7</w:t>
      </w:r>
      <w:r>
        <w:rPr>
          <w:rFonts w:hint="eastAsia" w:ascii="仿宋" w:hAnsi="仿宋" w:eastAsia="仿宋" w:cs="仿宋"/>
          <w:color w:val="000000"/>
          <w:kern w:val="0"/>
          <w:sz w:val="24"/>
          <w:szCs w:val="24"/>
          <w:highlight w:val="none"/>
          <w:lang w:val="en-US" w:eastAsia="zh-CN" w:bidi="ar"/>
        </w:rPr>
        <w:t>环境设计和气氛要典雅、庄重、大方，要突出重点，体现主题性；</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2.8</w:t>
      </w:r>
      <w:r>
        <w:rPr>
          <w:rFonts w:hint="eastAsia" w:ascii="仿宋" w:hAnsi="仿宋" w:eastAsia="仿宋" w:cs="仿宋"/>
          <w:color w:val="000000"/>
          <w:kern w:val="0"/>
          <w:sz w:val="24"/>
          <w:szCs w:val="24"/>
          <w:highlight w:val="none"/>
          <w:lang w:val="en-US" w:eastAsia="zh-CN" w:bidi="ar"/>
        </w:rPr>
        <w:t>材料选择得当，色彩选配考究，线条处理协调，并且符合国家规范要求，特别是环保要求，主要部件及配件应选用同类产品中的优质品牌；</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2.9</w:t>
      </w:r>
      <w:r>
        <w:rPr>
          <w:rFonts w:hint="eastAsia" w:ascii="仿宋" w:hAnsi="仿宋" w:eastAsia="仿宋" w:cs="仿宋"/>
          <w:color w:val="000000"/>
          <w:kern w:val="0"/>
          <w:sz w:val="24"/>
          <w:szCs w:val="24"/>
          <w:highlight w:val="none"/>
          <w:lang w:val="en-US" w:eastAsia="zh-CN" w:bidi="ar"/>
        </w:rPr>
        <w:t>运用新材料、新工艺，提高布展中的科技含量；运用节能、环保材料和环保技术，充分考虑材料的安全性、环保性、通用性、牢固性、美观性、标准化；</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2.10</w:t>
      </w:r>
      <w:r>
        <w:rPr>
          <w:rFonts w:hint="eastAsia" w:ascii="仿宋" w:hAnsi="仿宋" w:eastAsia="仿宋" w:cs="仿宋"/>
          <w:color w:val="000000"/>
          <w:kern w:val="0"/>
          <w:sz w:val="24"/>
          <w:szCs w:val="24"/>
          <w:highlight w:val="none"/>
          <w:lang w:val="en-US" w:eastAsia="zh-CN" w:bidi="ar"/>
        </w:rPr>
        <w:t>合理运用现代化手段，烘托氛围，营造环境，形成强烈的视觉冲击力，并且要满足性能优，操作简便，容易维护，价格合理。</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2.11</w:t>
      </w:r>
      <w:r>
        <w:rPr>
          <w:rFonts w:hint="eastAsia" w:ascii="仿宋" w:hAnsi="仿宋" w:eastAsia="仿宋" w:cs="仿宋"/>
          <w:color w:val="000000"/>
          <w:kern w:val="0"/>
          <w:sz w:val="24"/>
          <w:szCs w:val="24"/>
          <w:highlight w:val="none"/>
          <w:lang w:val="en-US" w:eastAsia="zh-CN" w:bidi="ar"/>
        </w:rPr>
        <w:t>体现“以人为本”的原则，充分满足人的需求，充分考虑不同层次观展群体的要求；</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2.12</w:t>
      </w:r>
      <w:r>
        <w:rPr>
          <w:rFonts w:hint="eastAsia" w:ascii="仿宋" w:hAnsi="仿宋" w:eastAsia="仿宋" w:cs="仿宋"/>
          <w:color w:val="000000"/>
          <w:kern w:val="0"/>
          <w:sz w:val="24"/>
          <w:szCs w:val="24"/>
          <w:highlight w:val="none"/>
          <w:lang w:val="en-US" w:eastAsia="zh-CN" w:bidi="ar"/>
        </w:rPr>
        <w:t>布展的稳定性和易维护性；</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2.13</w:t>
      </w:r>
      <w:r>
        <w:rPr>
          <w:rFonts w:hint="eastAsia" w:ascii="仿宋" w:hAnsi="仿宋" w:eastAsia="仿宋" w:cs="仿宋"/>
          <w:color w:val="000000"/>
          <w:kern w:val="0"/>
          <w:sz w:val="24"/>
          <w:szCs w:val="24"/>
          <w:highlight w:val="none"/>
          <w:lang w:val="en-US" w:eastAsia="zh-CN" w:bidi="ar"/>
        </w:rPr>
        <w:t>充分考虑安全性，符合公共场所安全、消防规范；</w:t>
      </w:r>
    </w:p>
    <w:p>
      <w:pPr>
        <w:keepNext w:val="0"/>
        <w:keepLines w:val="0"/>
        <w:pageBreakBefore w:val="0"/>
        <w:widowControl/>
        <w:suppressLineNumbers w:val="0"/>
        <w:kinsoku/>
        <w:wordWrap/>
        <w:overflowPunct/>
        <w:topLinePunct w:val="0"/>
        <w:autoSpaceDE/>
        <w:autoSpaceDN/>
        <w:bidi w:val="0"/>
        <w:spacing w:line="360" w:lineRule="auto"/>
        <w:ind w:left="0" w:firstLine="482" w:firstLineChars="200"/>
        <w:jc w:val="left"/>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3、其他要求：</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3.1</w:t>
      </w:r>
      <w:r>
        <w:rPr>
          <w:rFonts w:hint="eastAsia" w:ascii="仿宋" w:hAnsi="仿宋" w:eastAsia="仿宋" w:cs="仿宋"/>
          <w:color w:val="000000"/>
          <w:kern w:val="0"/>
          <w:sz w:val="24"/>
          <w:szCs w:val="24"/>
          <w:highlight w:val="none"/>
          <w:lang w:val="en-US" w:eastAsia="zh-CN" w:bidi="ar"/>
        </w:rPr>
        <w:t>技术质量要求：本项目采用国家（行业）、省、市现行规范和标准和满足省、市、区及相关部门要求，若无国家标准，而采用企业、行业标准的，必须提供企业、行业标准的文本文件，及本项目设计图纸及设计说明书作为投入本项目的技术规范。</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3.2</w:t>
      </w:r>
      <w:r>
        <w:rPr>
          <w:rFonts w:hint="eastAsia" w:ascii="仿宋" w:hAnsi="仿宋" w:eastAsia="仿宋" w:cs="仿宋"/>
          <w:color w:val="000000"/>
          <w:kern w:val="0"/>
          <w:sz w:val="24"/>
          <w:szCs w:val="24"/>
          <w:highlight w:val="none"/>
          <w:lang w:val="en-US" w:eastAsia="zh-CN" w:bidi="ar"/>
        </w:rPr>
        <w:t>施工要求的质量标准：工程质量要求达到国家施工验收规范合格标准，且满足省、市、区及相关部门要求。</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3.3</w:t>
      </w:r>
      <w:r>
        <w:rPr>
          <w:rFonts w:hint="eastAsia" w:ascii="仿宋" w:hAnsi="仿宋" w:eastAsia="仿宋" w:cs="仿宋"/>
          <w:color w:val="000000"/>
          <w:kern w:val="0"/>
          <w:sz w:val="24"/>
          <w:szCs w:val="24"/>
          <w:highlight w:val="none"/>
          <w:lang w:val="en-US" w:eastAsia="zh-CN" w:bidi="ar"/>
        </w:rPr>
        <w:t>本次招标范围内的材料均由中标人根据本招标文件、扩初设计图纸和国家有关规定的具体要求进行采购、运输、检验、保管。所有材料须有产品合格证和质量保证书，符合节能、绿色环保要求和国家规定的技术标准。</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3.4</w:t>
      </w:r>
      <w:r>
        <w:rPr>
          <w:rFonts w:hint="eastAsia" w:ascii="仿宋" w:hAnsi="仿宋" w:eastAsia="仿宋" w:cs="仿宋"/>
          <w:color w:val="000000"/>
          <w:kern w:val="0"/>
          <w:sz w:val="24"/>
          <w:szCs w:val="24"/>
          <w:highlight w:val="none"/>
          <w:lang w:val="en-US" w:eastAsia="zh-CN" w:bidi="ar"/>
        </w:rPr>
        <w:t>中标人应对安装施工质量、安全全面负责，如中标人原因造成质量、安全事故、中标人承担一切经济法律责任；</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3.5</w:t>
      </w:r>
      <w:r>
        <w:rPr>
          <w:rFonts w:hint="eastAsia" w:ascii="仿宋" w:hAnsi="仿宋" w:eastAsia="仿宋" w:cs="仿宋"/>
          <w:color w:val="000000"/>
          <w:kern w:val="0"/>
          <w:sz w:val="24"/>
          <w:szCs w:val="24"/>
          <w:highlight w:val="none"/>
          <w:lang w:val="en-US" w:eastAsia="zh-CN" w:bidi="ar"/>
        </w:rPr>
        <w:t>中标人必须按照工程设计和技术标准施工，不得擅自修改工程设计，不得偷工减料；</w:t>
      </w:r>
    </w:p>
    <w:p>
      <w:pPr>
        <w:keepNext w:val="0"/>
        <w:keepLines w:val="0"/>
        <w:pageBreakBefore w:val="0"/>
        <w:widowControl/>
        <w:suppressLineNumbers w:val="0"/>
        <w:kinsoku/>
        <w:wordWrap/>
        <w:overflowPunct/>
        <w:topLinePunct w:val="0"/>
        <w:autoSpaceDE/>
        <w:autoSpaceDN/>
        <w:bidi w:val="0"/>
        <w:spacing w:line="360" w:lineRule="auto"/>
        <w:ind w:left="0" w:firstLine="480" w:firstLineChars="200"/>
        <w:jc w:val="left"/>
        <w:textAlignment w:val="auto"/>
        <w:rPr>
          <w:rFonts w:hint="eastAsia" w:ascii="仿宋" w:eastAsia="仿宋" w:cs="仿宋"/>
          <w:color w:val="000000"/>
          <w:kern w:val="0"/>
          <w:sz w:val="24"/>
          <w:szCs w:val="24"/>
          <w:highlight w:val="none"/>
          <w:lang w:val="en-US" w:eastAsia="zh-CN" w:bidi="ar"/>
        </w:rPr>
      </w:pPr>
      <w:r>
        <w:rPr>
          <w:rFonts w:hint="eastAsia" w:ascii="仿宋" w:hAnsi="仿宋" w:cs="仿宋"/>
          <w:color w:val="000000"/>
          <w:kern w:val="0"/>
          <w:sz w:val="24"/>
          <w:szCs w:val="24"/>
          <w:highlight w:val="none"/>
          <w:lang w:val="en-US" w:eastAsia="zh-CN" w:bidi="ar"/>
        </w:rPr>
        <w:t>3.6</w:t>
      </w:r>
      <w:r>
        <w:rPr>
          <w:rFonts w:hint="eastAsia" w:ascii="仿宋" w:hAnsi="仿宋" w:eastAsia="仿宋" w:cs="仿宋"/>
          <w:color w:val="000000"/>
          <w:kern w:val="0"/>
          <w:sz w:val="24"/>
          <w:szCs w:val="24"/>
          <w:highlight w:val="none"/>
          <w:lang w:val="en-US" w:eastAsia="zh-CN" w:bidi="ar"/>
        </w:rPr>
        <w:t>投标人发现设计文件和图纸差错的应当及时向招标人提出意见和建议，经招标人书面认可后方可进行修改。</w:t>
      </w:r>
    </w:p>
    <w:p>
      <w:pPr>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二、</w:t>
      </w:r>
      <w:r>
        <w:rPr>
          <w:rFonts w:hint="eastAsia" w:ascii="仿宋" w:hAnsi="仿宋" w:eastAsia="仿宋" w:cs="仿宋"/>
          <w:b/>
          <w:sz w:val="24"/>
          <w:highlight w:val="none"/>
        </w:rPr>
        <w:t>商务需求</w:t>
      </w:r>
    </w:p>
    <w:p>
      <w:pPr>
        <w:pageBreakBefore w:val="0"/>
        <w:kinsoku/>
        <w:wordWrap/>
        <w:overflowPunct/>
        <w:topLinePunct w:val="0"/>
        <w:autoSpaceDE/>
        <w:autoSpaceDN/>
        <w:bidi w:val="0"/>
        <w:spacing w:line="360" w:lineRule="auto"/>
        <w:ind w:left="0" w:firstLine="482" w:firstLineChars="200"/>
        <w:textAlignment w:val="auto"/>
        <w:rPr>
          <w:rFonts w:ascii="仿宋" w:hAnsi="仿宋" w:eastAsia="仿宋" w:cs="仿宋"/>
          <w:b/>
          <w:bCs/>
          <w:sz w:val="24"/>
          <w:highlight w:val="none"/>
        </w:rPr>
      </w:pPr>
      <w:r>
        <w:rPr>
          <w:rFonts w:hint="eastAsia" w:ascii="仿宋" w:hAnsi="仿宋" w:eastAsia="仿宋" w:cs="仿宋"/>
          <w:b/>
          <w:bCs/>
          <w:sz w:val="24"/>
          <w:szCs w:val="24"/>
          <w:highlight w:val="none"/>
        </w:rPr>
        <w:t>1.</w:t>
      </w:r>
      <w:r>
        <w:rPr>
          <w:rFonts w:hint="eastAsia" w:ascii="仿宋" w:hAnsi="仿宋" w:eastAsia="仿宋" w:cs="仿宋"/>
          <w:b/>
          <w:bCs/>
          <w:sz w:val="24"/>
          <w:highlight w:val="none"/>
          <w:lang w:eastAsia="zh-CN"/>
        </w:rPr>
        <w:t>服务</w:t>
      </w:r>
      <w:r>
        <w:rPr>
          <w:rFonts w:hint="eastAsia" w:ascii="仿宋" w:hAnsi="仿宋" w:eastAsia="仿宋" w:cs="仿宋"/>
          <w:b/>
          <w:bCs/>
          <w:sz w:val="24"/>
          <w:highlight w:val="none"/>
        </w:rPr>
        <w:t>时间及地点</w:t>
      </w:r>
    </w:p>
    <w:p>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b/>
          <w:sz w:val="24"/>
          <w:highlight w:val="none"/>
        </w:rPr>
      </w:pPr>
      <w:r>
        <w:rPr>
          <w:rFonts w:hint="eastAsia" w:ascii="仿宋" w:hAnsi="仿宋" w:eastAsia="仿宋" w:cs="仿宋_GB2312"/>
          <w:bCs/>
          <w:sz w:val="24"/>
          <w:highlight w:val="none"/>
        </w:rPr>
        <w:t>▲</w:t>
      </w:r>
      <w:r>
        <w:rPr>
          <w:rFonts w:hint="eastAsia" w:ascii="仿宋" w:hAnsi="仿宋" w:eastAsia="仿宋" w:cs="仿宋"/>
          <w:b/>
          <w:sz w:val="24"/>
          <w:highlight w:val="none"/>
        </w:rPr>
        <w:t>(1)中标人应在合同签订后</w:t>
      </w:r>
      <w:r>
        <w:rPr>
          <w:rFonts w:hint="eastAsia" w:ascii="仿宋" w:hAnsi="仿宋" w:cs="仿宋"/>
          <w:b/>
          <w:sz w:val="24"/>
          <w:highlight w:val="none"/>
          <w:lang w:val="en-US" w:eastAsia="zh-CN"/>
        </w:rPr>
        <w:t>30</w:t>
      </w:r>
      <w:r>
        <w:rPr>
          <w:rFonts w:hint="eastAsia" w:ascii="仿宋" w:hAnsi="仿宋" w:eastAsia="仿宋" w:cs="仿宋"/>
          <w:b/>
          <w:sz w:val="24"/>
          <w:highlight w:val="none"/>
        </w:rPr>
        <w:t>日历天内</w:t>
      </w:r>
      <w:r>
        <w:rPr>
          <w:rFonts w:hint="eastAsia" w:ascii="仿宋" w:hAnsi="仿宋" w:eastAsia="仿宋" w:cs="仿宋"/>
          <w:b/>
          <w:sz w:val="24"/>
          <w:highlight w:val="none"/>
          <w:lang w:eastAsia="zh-CN"/>
        </w:rPr>
        <w:t>设计</w:t>
      </w:r>
      <w:r>
        <w:rPr>
          <w:rFonts w:hint="eastAsia" w:ascii="仿宋" w:hAnsi="仿宋" w:eastAsia="仿宋" w:cs="仿宋"/>
          <w:b/>
          <w:sz w:val="24"/>
          <w:highlight w:val="none"/>
        </w:rPr>
        <w:t>、</w:t>
      </w:r>
      <w:r>
        <w:rPr>
          <w:rFonts w:hint="eastAsia" w:ascii="仿宋" w:hAnsi="仿宋" w:eastAsia="仿宋" w:cs="仿宋"/>
          <w:b/>
          <w:sz w:val="24"/>
          <w:highlight w:val="none"/>
          <w:lang w:eastAsia="zh-CN"/>
        </w:rPr>
        <w:t>布置、</w:t>
      </w:r>
      <w:r>
        <w:rPr>
          <w:rFonts w:hint="eastAsia" w:ascii="仿宋" w:hAnsi="仿宋" w:eastAsia="仿宋" w:cs="仿宋"/>
          <w:b/>
          <w:sz w:val="24"/>
          <w:highlight w:val="none"/>
        </w:rPr>
        <w:t>安装、调试完成。</w:t>
      </w:r>
    </w:p>
    <w:p>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 xml:space="preserve">(2)交货地点：采购人指定地点。                            </w:t>
      </w:r>
    </w:p>
    <w:p>
      <w:pPr>
        <w:pageBreakBefore w:val="0"/>
        <w:kinsoku/>
        <w:wordWrap/>
        <w:overflowPunct/>
        <w:topLinePunct w:val="0"/>
        <w:autoSpaceDE/>
        <w:autoSpaceDN/>
        <w:bidi w:val="0"/>
        <w:spacing w:line="360" w:lineRule="auto"/>
        <w:ind w:left="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(3)中标人提供的中标物品，必须符合本采购文件要求、原包装送达采购单位；如有不符，采购人可以无条件退货，所造成的损失由中标人承担。更换后的零部件质保期按更换日起顺延。</w:t>
      </w:r>
    </w:p>
    <w:p>
      <w:pPr>
        <w:pageBreakBefore w:val="0"/>
        <w:kinsoku/>
        <w:wordWrap/>
        <w:overflowPunct/>
        <w:topLinePunct w:val="0"/>
        <w:autoSpaceDE/>
        <w:autoSpaceDN/>
        <w:bidi w:val="0"/>
        <w:snapToGrid w:val="0"/>
        <w:spacing w:line="360" w:lineRule="auto"/>
        <w:ind w:left="0" w:firstLine="482" w:firstLineChars="200"/>
        <w:jc w:val="left"/>
        <w:textAlignment w:val="auto"/>
        <w:rPr>
          <w:rFonts w:ascii="仿宋" w:hAnsi="仿宋" w:eastAsia="仿宋" w:cs="仿宋"/>
          <w:b/>
          <w:sz w:val="24"/>
          <w:highlight w:val="none"/>
        </w:rPr>
      </w:pPr>
      <w:r>
        <w:rPr>
          <w:rFonts w:hint="eastAsia" w:ascii="仿宋" w:hAnsi="仿宋" w:cs="仿宋"/>
          <w:b/>
          <w:sz w:val="24"/>
          <w:highlight w:val="none"/>
          <w:lang w:val="en-US" w:eastAsia="zh-CN"/>
        </w:rPr>
        <w:t>2</w:t>
      </w:r>
      <w:r>
        <w:rPr>
          <w:rFonts w:hint="eastAsia" w:ascii="仿宋" w:hAnsi="仿宋" w:eastAsia="仿宋" w:cs="仿宋"/>
          <w:b/>
          <w:sz w:val="24"/>
          <w:highlight w:val="none"/>
        </w:rPr>
        <w:t>项目实施计划</w:t>
      </w:r>
    </w:p>
    <w:p>
      <w:pPr>
        <w:pageBreakBefore w:val="0"/>
        <w:kinsoku/>
        <w:wordWrap/>
        <w:overflowPunct/>
        <w:topLinePunct w:val="0"/>
        <w:autoSpaceDE/>
        <w:autoSpaceDN/>
        <w:bidi w:val="0"/>
        <w:snapToGrid w:val="0"/>
        <w:spacing w:line="360" w:lineRule="auto"/>
        <w:ind w:left="0"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rPr>
        <w:t>项目实施的组织工作方案：工作时间进度表、工作程序或步骤、管理和协调方法、送货方案等。</w:t>
      </w:r>
    </w:p>
    <w:p>
      <w:pPr>
        <w:pageBreakBefore w:val="0"/>
        <w:kinsoku/>
        <w:wordWrap/>
        <w:overflowPunct/>
        <w:topLinePunct w:val="0"/>
        <w:autoSpaceDE/>
        <w:autoSpaceDN/>
        <w:bidi w:val="0"/>
        <w:snapToGrid w:val="0"/>
        <w:spacing w:line="360" w:lineRule="auto"/>
        <w:ind w:left="480" w:leftChars="200" w:firstLine="0" w:firstLineChars="0"/>
        <w:jc w:val="left"/>
        <w:textAlignment w:val="auto"/>
        <w:rPr>
          <w:rFonts w:hint="eastAsia" w:ascii="仿宋" w:hAnsi="仿宋" w:eastAsia="仿宋" w:cs="仿宋"/>
          <w:sz w:val="24"/>
          <w:highlight w:val="none"/>
        </w:rPr>
      </w:pPr>
      <w:r>
        <w:rPr>
          <w:rFonts w:hint="eastAsia" w:ascii="仿宋" w:hAnsi="仿宋" w:eastAsia="仿宋" w:cs="仿宋"/>
          <w:b/>
          <w:sz w:val="24"/>
          <w:highlight w:val="none"/>
        </w:rPr>
        <w:t>▲</w:t>
      </w:r>
      <w:r>
        <w:rPr>
          <w:rFonts w:hint="eastAsia" w:ascii="仿宋" w:hAnsi="仿宋" w:cs="仿宋"/>
          <w:b/>
          <w:sz w:val="24"/>
          <w:highlight w:val="none"/>
          <w:lang w:val="en-US" w:eastAsia="zh-CN"/>
        </w:rPr>
        <w:t>3</w:t>
      </w:r>
      <w:r>
        <w:rPr>
          <w:rFonts w:hint="eastAsia" w:ascii="仿宋" w:hAnsi="仿宋" w:eastAsia="仿宋" w:cs="仿宋"/>
          <w:b/>
          <w:sz w:val="24"/>
          <w:highlight w:val="none"/>
        </w:rPr>
        <w:t>.付款方式</w:t>
      </w:r>
      <w:r>
        <w:rPr>
          <w:rFonts w:hint="eastAsia" w:ascii="仿宋" w:hAnsi="仿宋" w:cs="仿宋"/>
          <w:b/>
          <w:sz w:val="24"/>
          <w:highlight w:val="none"/>
          <w:lang w:val="en-US" w:eastAsia="zh-CN"/>
        </w:rPr>
        <w:t xml:space="preserve">                                                                 </w:t>
      </w:r>
      <w:r>
        <w:rPr>
          <w:rFonts w:hint="eastAsia" w:ascii="仿宋" w:hAnsi="仿宋" w:cs="仿宋"/>
          <w:b w:val="0"/>
          <w:bCs/>
          <w:sz w:val="24"/>
          <w:highlight w:val="none"/>
          <w:lang w:val="en-US" w:eastAsia="zh-CN"/>
        </w:rPr>
        <w:t>（1）合同签订前</w:t>
      </w:r>
      <w:r>
        <w:rPr>
          <w:rFonts w:hint="eastAsia" w:ascii="仿宋" w:hAnsi="仿宋" w:eastAsia="仿宋" w:cs="仿宋"/>
          <w:sz w:val="24"/>
          <w:highlight w:val="none"/>
        </w:rPr>
        <w:t>，供应商支付合同总额的1%作为履约保证金。（履约保证金形式应以银行、保险公司出具的保函形式提供）</w:t>
      </w:r>
    </w:p>
    <w:p>
      <w:pPr>
        <w:pageBreakBefore w:val="0"/>
        <w:kinsoku/>
        <w:wordWrap/>
        <w:overflowPunct/>
        <w:topLinePunct w:val="0"/>
        <w:autoSpaceDE/>
        <w:autoSpaceDN/>
        <w:bidi w:val="0"/>
        <w:snapToGrid w:val="0"/>
        <w:spacing w:line="360" w:lineRule="auto"/>
        <w:ind w:left="0" w:firstLine="480" w:firstLineChars="200"/>
        <w:jc w:val="left"/>
        <w:textAlignment w:val="auto"/>
        <w:rPr>
          <w:rFonts w:hint="eastAsia" w:ascii="仿宋" w:hAnsi="仿宋" w:eastAsia="仿宋" w:cs="仿宋"/>
          <w:sz w:val="24"/>
          <w:highlight w:val="none"/>
        </w:rPr>
      </w:pPr>
      <w:r>
        <w:rPr>
          <w:rFonts w:hint="eastAsia" w:ascii="仿宋" w:hAnsi="仿宋" w:cs="仿宋"/>
          <w:sz w:val="24"/>
          <w:highlight w:val="none"/>
          <w:lang w:eastAsia="zh-CN"/>
        </w:rPr>
        <w:t>（</w:t>
      </w:r>
      <w:r>
        <w:rPr>
          <w:rFonts w:hint="eastAsia" w:ascii="仿宋" w:hAnsi="仿宋" w:cs="仿宋"/>
          <w:sz w:val="24"/>
          <w:highlight w:val="none"/>
          <w:lang w:val="en-US" w:eastAsia="zh-CN"/>
        </w:rPr>
        <w:t>2</w:t>
      </w:r>
      <w:r>
        <w:rPr>
          <w:rFonts w:hint="eastAsia" w:ascii="仿宋" w:hAnsi="仿宋" w:cs="仿宋"/>
          <w:sz w:val="24"/>
          <w:highlight w:val="none"/>
          <w:lang w:eastAsia="zh-CN"/>
        </w:rPr>
        <w:t>）</w:t>
      </w:r>
      <w:r>
        <w:rPr>
          <w:rFonts w:hint="eastAsia" w:ascii="仿宋" w:hAnsi="仿宋" w:cs="仿宋"/>
          <w:sz w:val="24"/>
          <w:highlight w:val="none"/>
          <w:lang w:val="en-US" w:eastAsia="zh-CN"/>
        </w:rPr>
        <w:t>合同签订后</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中标人先向采购人支付合同40%的预付款保函（应当以支票、汇票、本票或者金融机构、担保机构出具的保函等非现金形式提交。鼓励和支持供应商以银行、保险公司出具的保函形式提供），待采购人收到预付款保函后，采购人向中标人预付合同总价的40%。（签订合同时，乙方提出不要求预付款或降低预付款比例的，可不适用该条款），</w:t>
      </w:r>
      <w:r>
        <w:rPr>
          <w:rFonts w:hint="eastAsia" w:ascii="仿宋" w:hAnsi="仿宋" w:cs="仿宋"/>
          <w:color w:val="auto"/>
          <w:sz w:val="24"/>
          <w:szCs w:val="24"/>
          <w:highlight w:val="none"/>
          <w:lang w:val="en-US" w:eastAsia="zh-CN"/>
        </w:rPr>
        <w:t>项目验收通过收到发票</w:t>
      </w:r>
      <w:r>
        <w:rPr>
          <w:rFonts w:hint="eastAsia" w:ascii="仿宋" w:hAnsi="仿宋" w:eastAsia="仿宋" w:cs="仿宋"/>
          <w:color w:val="auto"/>
          <w:sz w:val="24"/>
          <w:szCs w:val="24"/>
          <w:highlight w:val="none"/>
          <w:lang w:val="en-US" w:eastAsia="zh-CN"/>
        </w:rPr>
        <w:t>后</w:t>
      </w:r>
      <w:r>
        <w:rPr>
          <w:rFonts w:hint="eastAsia" w:ascii="仿宋" w:hAnsi="仿宋" w:cs="仿宋"/>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个工作日内采购人向中标单位支付至合同价的</w:t>
      </w:r>
      <w:r>
        <w:rPr>
          <w:rFonts w:hint="eastAsia" w:ascii="仿宋" w:hAnsi="仿宋" w:cs="仿宋"/>
          <w:color w:val="auto"/>
          <w:sz w:val="24"/>
          <w:szCs w:val="24"/>
          <w:highlight w:val="none"/>
          <w:lang w:val="en-US" w:eastAsia="zh-CN"/>
        </w:rPr>
        <w:t>70</w:t>
      </w:r>
      <w:r>
        <w:rPr>
          <w:rFonts w:hint="eastAsia" w:ascii="仿宋" w:hAnsi="仿宋" w:eastAsia="仿宋" w:cs="仿宋"/>
          <w:color w:val="auto"/>
          <w:sz w:val="24"/>
          <w:szCs w:val="24"/>
          <w:highlight w:val="none"/>
          <w:lang w:val="en-US" w:eastAsia="zh-CN"/>
        </w:rPr>
        <w:t>%，</w:t>
      </w:r>
      <w:r>
        <w:rPr>
          <w:rFonts w:hint="eastAsia" w:ascii="仿宋" w:hAnsi="仿宋" w:cs="仿宋"/>
          <w:color w:val="auto"/>
          <w:sz w:val="24"/>
          <w:szCs w:val="24"/>
          <w:highlight w:val="none"/>
          <w:lang w:val="en-US" w:eastAsia="zh-CN"/>
        </w:rPr>
        <w:t>验收通过满一年收到发票</w:t>
      </w:r>
      <w:r>
        <w:rPr>
          <w:rFonts w:hint="eastAsia" w:ascii="仿宋" w:hAnsi="仿宋" w:eastAsia="仿宋" w:cs="仿宋"/>
          <w:color w:val="auto"/>
          <w:sz w:val="24"/>
          <w:szCs w:val="24"/>
          <w:highlight w:val="none"/>
          <w:lang w:val="en-US" w:eastAsia="zh-CN"/>
        </w:rPr>
        <w:t>后</w:t>
      </w: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个工作日内支付至合同价的</w:t>
      </w:r>
      <w:r>
        <w:rPr>
          <w:rFonts w:hint="eastAsia" w:ascii="仿宋" w:hAnsi="仿宋" w:cs="仿宋"/>
          <w:color w:val="auto"/>
          <w:sz w:val="24"/>
          <w:szCs w:val="24"/>
          <w:highlight w:val="none"/>
          <w:lang w:val="en-US" w:eastAsia="zh-CN"/>
        </w:rPr>
        <w:t>90</w:t>
      </w:r>
      <w:r>
        <w:rPr>
          <w:rFonts w:hint="eastAsia" w:ascii="仿宋" w:hAnsi="仿宋" w:eastAsia="仿宋" w:cs="仿宋"/>
          <w:color w:val="auto"/>
          <w:sz w:val="24"/>
          <w:szCs w:val="24"/>
          <w:highlight w:val="none"/>
          <w:lang w:val="en-US" w:eastAsia="zh-CN"/>
        </w:rPr>
        <w:t>%</w:t>
      </w:r>
      <w:r>
        <w:rPr>
          <w:rFonts w:hint="eastAsia" w:ascii="仿宋" w:hAnsi="仿宋" w:cs="仿宋"/>
          <w:color w:val="auto"/>
          <w:sz w:val="24"/>
          <w:szCs w:val="24"/>
          <w:highlight w:val="none"/>
          <w:lang w:val="en-US" w:eastAsia="zh-CN"/>
        </w:rPr>
        <w:t>，验收通过满二年收到发票后10个工作日内支付至合同价的100%</w:t>
      </w:r>
      <w:r>
        <w:rPr>
          <w:rFonts w:hint="eastAsia" w:ascii="仿宋" w:hAnsi="仿宋" w:eastAsia="仿宋" w:cs="仿宋"/>
          <w:sz w:val="24"/>
          <w:highlight w:val="none"/>
        </w:rPr>
        <w:t>。</w:t>
      </w:r>
    </w:p>
    <w:p>
      <w:pPr>
        <w:pageBreakBefore w:val="0"/>
        <w:numPr>
          <w:ilvl w:val="0"/>
          <w:numId w:val="0"/>
        </w:numPr>
        <w:kinsoku/>
        <w:wordWrap/>
        <w:overflowPunct/>
        <w:topLinePunct w:val="0"/>
        <w:autoSpaceDE/>
        <w:autoSpaceDN/>
        <w:bidi w:val="0"/>
        <w:spacing w:line="360" w:lineRule="auto"/>
        <w:ind w:left="0" w:firstLine="480" w:firstLineChars="200"/>
        <w:textAlignment w:val="auto"/>
        <w:rPr>
          <w:rFonts w:ascii="宋体" w:hAnsi="宋体"/>
          <w:sz w:val="24"/>
          <w:highlight w:val="none"/>
        </w:rPr>
      </w:pPr>
      <w:r>
        <w:rPr>
          <w:rFonts w:hint="eastAsia" w:ascii="宋体" w:hAnsi="宋体"/>
          <w:sz w:val="24"/>
          <w:highlight w:val="none"/>
        </w:rPr>
        <w:t>注：</w:t>
      </w:r>
    </w:p>
    <w:p>
      <w:pPr>
        <w:pageBreakBefore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1.除采购文件标注的参考品牌外，欢迎其它能满足本项目技术需求且性能与所注品牌相当的产品参与。</w:t>
      </w:r>
    </w:p>
    <w:p>
      <w:pPr>
        <w:pageBreakBefore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2.如有附图，仅作参考。</w:t>
      </w:r>
    </w:p>
    <w:p>
      <w:pPr>
        <w:pageBreakBefore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3.招标文件中打▲内容为实质性要求，不允许有负偏离，否则将以涉及无效投标条款作无效投标。</w:t>
      </w:r>
    </w:p>
    <w:p>
      <w:pPr>
        <w:pageBreakBefore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4、中标供应商所提供的货物、服务须与投标承诺一致，不得以次充好、偷工减料，若在项目验收中发现有上述情况，将向有关部门举报，根据相关规定进行处理。</w:t>
      </w:r>
    </w:p>
    <w:p>
      <w:pPr>
        <w:pStyle w:val="2"/>
        <w:pageBreakBefore w:val="0"/>
        <w:widowControl w:val="0"/>
        <w:kinsoku/>
        <w:wordWrap/>
        <w:overflowPunct/>
        <w:topLinePunct w:val="0"/>
        <w:bidi w:val="0"/>
        <w:snapToGrid w:val="0"/>
        <w:spacing w:line="360" w:lineRule="auto"/>
        <w:ind w:left="0" w:leftChars="0" w:firstLine="480" w:firstLineChars="200"/>
        <w:textAlignment w:val="auto"/>
        <w:rPr>
          <w:rFonts w:hint="eastAsia" w:ascii="仿宋" w:hAnsi="仿宋" w:eastAsia="仿宋" w:cs="仿宋"/>
          <w:sz w:val="24"/>
          <w:szCs w:val="24"/>
          <w:highlight w:val="none"/>
        </w:rPr>
      </w:pPr>
    </w:p>
    <w:p>
      <w:pPr>
        <w:pStyle w:val="3"/>
        <w:rPr>
          <w:rFonts w:hint="eastAsia" w:ascii="仿宋" w:hAnsi="仿宋" w:eastAsia="仿宋" w:cs="仿宋"/>
          <w:sz w:val="24"/>
          <w:szCs w:val="24"/>
          <w:highlight w:val="none"/>
        </w:rPr>
      </w:pPr>
    </w:p>
    <w:p>
      <w:pPr>
        <w:pStyle w:val="4"/>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pStyle w:val="6"/>
        <w:rPr>
          <w:rFonts w:hint="eastAsia"/>
          <w:highlight w:val="none"/>
        </w:rPr>
      </w:pPr>
    </w:p>
    <w:bookmarkEnd w:id="26"/>
    <w:bookmarkEnd w:id="27"/>
    <w:bookmarkEnd w:id="28"/>
    <w:bookmarkEnd w:id="29"/>
    <w:p>
      <w:pPr>
        <w:rPr>
          <w:rFonts w:hint="eastAsia"/>
          <w:highlight w:val="none"/>
        </w:rPr>
      </w:pPr>
    </w:p>
    <w:p>
      <w:pPr>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0" w:name="_Toc184308084"/>
      <w:bookmarkEnd w:id="30"/>
      <w:bookmarkStart w:id="31" w:name="_Toc184313253"/>
      <w:bookmarkEnd w:id="31"/>
      <w:bookmarkStart w:id="32" w:name="_Toc184314428"/>
      <w:bookmarkEnd w:id="32"/>
      <w:bookmarkStart w:id="33" w:name="_Toc184312092"/>
      <w:bookmarkEnd w:id="33"/>
      <w:bookmarkStart w:id="34" w:name="_Toc184310294"/>
      <w:bookmarkEnd w:id="34"/>
      <w:bookmarkStart w:id="35" w:name="_Toc184308053"/>
      <w:bookmarkEnd w:id="35"/>
      <w:bookmarkStart w:id="36" w:name="_Toc184308052"/>
      <w:bookmarkEnd w:id="36"/>
      <w:bookmarkStart w:id="37" w:name="_Toc184312111"/>
      <w:bookmarkEnd w:id="37"/>
      <w:bookmarkStart w:id="38" w:name="_Toc184308039"/>
      <w:bookmarkEnd w:id="38"/>
      <w:bookmarkStart w:id="39" w:name="_Toc184308060"/>
      <w:bookmarkEnd w:id="39"/>
      <w:bookmarkStart w:id="40" w:name="_Toc184310281"/>
      <w:bookmarkEnd w:id="40"/>
      <w:bookmarkStart w:id="41" w:name="_Toc184313292"/>
      <w:bookmarkEnd w:id="41"/>
      <w:bookmarkStart w:id="42" w:name="_Toc184312130"/>
      <w:bookmarkEnd w:id="42"/>
      <w:bookmarkStart w:id="43" w:name="_Toc184310326"/>
      <w:bookmarkEnd w:id="43"/>
      <w:bookmarkStart w:id="44" w:name="_Toc184310286"/>
      <w:bookmarkEnd w:id="44"/>
      <w:bookmarkStart w:id="45" w:name="_Toc184310272"/>
      <w:bookmarkEnd w:id="45"/>
      <w:bookmarkStart w:id="46" w:name="_Toc184310322"/>
      <w:bookmarkEnd w:id="46"/>
      <w:bookmarkStart w:id="47" w:name="_Toc184312081"/>
      <w:bookmarkEnd w:id="47"/>
      <w:bookmarkStart w:id="48" w:name="_Toc184313240"/>
      <w:bookmarkEnd w:id="48"/>
      <w:bookmarkStart w:id="49" w:name="_Toc184308105"/>
      <w:bookmarkEnd w:id="49"/>
      <w:bookmarkStart w:id="50" w:name="_Toc184314439"/>
      <w:bookmarkEnd w:id="50"/>
      <w:bookmarkStart w:id="51" w:name="_Toc184310302"/>
      <w:bookmarkEnd w:id="51"/>
      <w:bookmarkStart w:id="52" w:name="_Toc184310298"/>
      <w:bookmarkEnd w:id="52"/>
      <w:bookmarkStart w:id="53" w:name="_Toc184312071"/>
      <w:bookmarkEnd w:id="53"/>
      <w:bookmarkStart w:id="54" w:name="_Toc184312121"/>
      <w:bookmarkEnd w:id="54"/>
      <w:bookmarkStart w:id="55" w:name="_Toc184312072"/>
      <w:bookmarkEnd w:id="55"/>
      <w:bookmarkStart w:id="56" w:name="_Toc184314427"/>
      <w:bookmarkEnd w:id="56"/>
      <w:bookmarkStart w:id="57" w:name="_Toc184312115"/>
      <w:bookmarkEnd w:id="57"/>
      <w:bookmarkStart w:id="58" w:name="_Toc184308079"/>
      <w:bookmarkEnd w:id="58"/>
      <w:bookmarkStart w:id="59" w:name="_Toc184308038"/>
      <w:bookmarkEnd w:id="59"/>
      <w:bookmarkStart w:id="60" w:name="_Toc184313302"/>
      <w:bookmarkEnd w:id="60"/>
      <w:bookmarkStart w:id="61" w:name="_Toc184312077"/>
      <w:bookmarkEnd w:id="61"/>
      <w:bookmarkStart w:id="62" w:name="_Toc184310336"/>
      <w:bookmarkEnd w:id="62"/>
      <w:bookmarkStart w:id="63" w:name="_Toc184310342"/>
      <w:bookmarkEnd w:id="63"/>
      <w:bookmarkStart w:id="64" w:name="_Toc184310280"/>
      <w:bookmarkEnd w:id="64"/>
      <w:bookmarkStart w:id="65" w:name="_Toc184314472"/>
      <w:bookmarkEnd w:id="65"/>
      <w:bookmarkStart w:id="66" w:name="_Toc184314433"/>
      <w:bookmarkEnd w:id="66"/>
      <w:bookmarkStart w:id="67" w:name="_Toc184312079"/>
      <w:bookmarkEnd w:id="67"/>
      <w:bookmarkStart w:id="68" w:name="_Toc184308062"/>
      <w:bookmarkEnd w:id="68"/>
      <w:bookmarkStart w:id="69" w:name="_Toc184312117"/>
      <w:bookmarkEnd w:id="69"/>
      <w:bookmarkStart w:id="70" w:name="_Toc184310337"/>
      <w:bookmarkEnd w:id="70"/>
      <w:bookmarkStart w:id="71" w:name="_Toc184310321"/>
      <w:bookmarkEnd w:id="71"/>
      <w:bookmarkStart w:id="72" w:name="_Toc184308104"/>
      <w:bookmarkEnd w:id="72"/>
      <w:bookmarkStart w:id="73" w:name="_Toc184308077"/>
      <w:bookmarkEnd w:id="73"/>
      <w:bookmarkStart w:id="74" w:name="_Toc184308082"/>
      <w:bookmarkEnd w:id="74"/>
      <w:bookmarkStart w:id="75" w:name="_Toc184314464"/>
      <w:bookmarkEnd w:id="75"/>
      <w:bookmarkStart w:id="76" w:name="_Toc184313288"/>
      <w:bookmarkEnd w:id="76"/>
      <w:bookmarkStart w:id="77" w:name="_Toc184314470"/>
      <w:bookmarkEnd w:id="77"/>
      <w:bookmarkStart w:id="78" w:name="_Toc184312113"/>
      <w:bookmarkEnd w:id="78"/>
      <w:bookmarkStart w:id="79" w:name="_Toc184308086"/>
      <w:bookmarkEnd w:id="79"/>
      <w:bookmarkStart w:id="80" w:name="_Toc184314462"/>
      <w:bookmarkEnd w:id="80"/>
      <w:bookmarkStart w:id="81" w:name="_Toc184310330"/>
      <w:bookmarkEnd w:id="81"/>
      <w:bookmarkStart w:id="82" w:name="_Toc184314475"/>
      <w:bookmarkEnd w:id="82"/>
      <w:bookmarkStart w:id="83" w:name="_Toc184310312"/>
      <w:bookmarkEnd w:id="83"/>
      <w:bookmarkStart w:id="84" w:name="_Toc184310274"/>
      <w:bookmarkEnd w:id="84"/>
      <w:bookmarkStart w:id="85" w:name="_Toc184308046"/>
      <w:bookmarkEnd w:id="85"/>
      <w:bookmarkStart w:id="86" w:name="_Toc184312099"/>
      <w:bookmarkEnd w:id="86"/>
      <w:bookmarkStart w:id="87" w:name="_Toc184314438"/>
      <w:bookmarkEnd w:id="87"/>
      <w:bookmarkStart w:id="88" w:name="_Toc184314424"/>
      <w:bookmarkEnd w:id="88"/>
      <w:bookmarkStart w:id="89" w:name="_Toc184313255"/>
      <w:bookmarkEnd w:id="89"/>
      <w:bookmarkStart w:id="90" w:name="_Toc184314435"/>
      <w:bookmarkEnd w:id="90"/>
      <w:bookmarkStart w:id="91" w:name="_Toc184308092"/>
      <w:bookmarkEnd w:id="91"/>
      <w:bookmarkStart w:id="92" w:name="_Toc184308085"/>
      <w:bookmarkEnd w:id="92"/>
      <w:bookmarkStart w:id="93" w:name="_Toc184310334"/>
      <w:bookmarkEnd w:id="93"/>
      <w:bookmarkStart w:id="94" w:name="_Toc184314466"/>
      <w:bookmarkEnd w:id="94"/>
      <w:bookmarkStart w:id="95" w:name="_Toc184312083"/>
      <w:bookmarkEnd w:id="95"/>
      <w:bookmarkStart w:id="96" w:name="_Toc184308049"/>
      <w:bookmarkEnd w:id="96"/>
      <w:bookmarkStart w:id="97" w:name="_Toc184314423"/>
      <w:bookmarkEnd w:id="97"/>
      <w:bookmarkStart w:id="98" w:name="_Toc184314417"/>
      <w:bookmarkEnd w:id="98"/>
      <w:bookmarkStart w:id="99" w:name="_Toc184314459"/>
      <w:bookmarkEnd w:id="99"/>
      <w:bookmarkStart w:id="100" w:name="_Toc184310332"/>
      <w:bookmarkEnd w:id="100"/>
      <w:bookmarkStart w:id="101" w:name="_Toc184313279"/>
      <w:bookmarkEnd w:id="101"/>
      <w:bookmarkStart w:id="102" w:name="_Toc184314446"/>
      <w:bookmarkEnd w:id="102"/>
      <w:bookmarkStart w:id="103" w:name="_Toc184313239"/>
      <w:bookmarkEnd w:id="103"/>
      <w:bookmarkStart w:id="104" w:name="_Toc184310340"/>
      <w:bookmarkEnd w:id="104"/>
      <w:bookmarkStart w:id="105" w:name="_Toc184314449"/>
      <w:bookmarkEnd w:id="105"/>
      <w:bookmarkStart w:id="106" w:name="_Toc184314434"/>
      <w:bookmarkEnd w:id="106"/>
      <w:bookmarkStart w:id="107" w:name="_Toc184312076"/>
      <w:bookmarkEnd w:id="107"/>
      <w:bookmarkStart w:id="108" w:name="_Toc184312116"/>
      <w:bookmarkEnd w:id="108"/>
      <w:bookmarkStart w:id="109" w:name="_Toc184313301"/>
      <w:bookmarkEnd w:id="109"/>
      <w:bookmarkStart w:id="110" w:name="_Toc184313285"/>
      <w:bookmarkEnd w:id="110"/>
      <w:bookmarkStart w:id="111" w:name="_Toc184314444"/>
      <w:bookmarkEnd w:id="111"/>
      <w:bookmarkStart w:id="112" w:name="_Toc184312094"/>
      <w:bookmarkEnd w:id="112"/>
      <w:bookmarkStart w:id="113" w:name="_Toc184308047"/>
      <w:bookmarkEnd w:id="113"/>
      <w:bookmarkStart w:id="114" w:name="_Toc184310273"/>
      <w:bookmarkEnd w:id="114"/>
      <w:bookmarkStart w:id="115" w:name="_Toc184308094"/>
      <w:bookmarkEnd w:id="115"/>
      <w:bookmarkStart w:id="116" w:name="_Toc184314461"/>
      <w:bookmarkEnd w:id="116"/>
      <w:bookmarkStart w:id="117" w:name="_Toc184308088"/>
      <w:bookmarkEnd w:id="117"/>
      <w:bookmarkStart w:id="118" w:name="_Toc184308095"/>
      <w:bookmarkEnd w:id="118"/>
      <w:bookmarkStart w:id="119" w:name="_Toc184312085"/>
      <w:bookmarkEnd w:id="119"/>
      <w:bookmarkStart w:id="120" w:name="_Toc184308089"/>
      <w:bookmarkEnd w:id="120"/>
      <w:bookmarkStart w:id="121" w:name="_Toc184312096"/>
      <w:bookmarkEnd w:id="121"/>
      <w:bookmarkStart w:id="122" w:name="_Toc184310279"/>
      <w:bookmarkEnd w:id="122"/>
      <w:bookmarkStart w:id="123" w:name="_Toc184310299"/>
      <w:bookmarkEnd w:id="123"/>
      <w:bookmarkStart w:id="124" w:name="_Toc184313238"/>
      <w:bookmarkEnd w:id="124"/>
      <w:bookmarkStart w:id="125" w:name="_Toc184312078"/>
      <w:bookmarkEnd w:id="125"/>
      <w:bookmarkStart w:id="126" w:name="_Toc184310305"/>
      <w:bookmarkEnd w:id="126"/>
      <w:bookmarkStart w:id="127" w:name="_Toc184314410"/>
      <w:bookmarkEnd w:id="127"/>
      <w:bookmarkStart w:id="128" w:name="_Toc184312137"/>
      <w:bookmarkEnd w:id="128"/>
      <w:bookmarkStart w:id="129" w:name="_Toc184314450"/>
      <w:bookmarkEnd w:id="129"/>
      <w:bookmarkStart w:id="130" w:name="_Toc184310301"/>
      <w:bookmarkEnd w:id="130"/>
      <w:bookmarkStart w:id="131" w:name="_Toc184312075"/>
      <w:bookmarkEnd w:id="131"/>
      <w:bookmarkStart w:id="132" w:name="_Toc184308097"/>
      <w:bookmarkEnd w:id="132"/>
      <w:bookmarkStart w:id="133" w:name="_Toc184314467"/>
      <w:bookmarkEnd w:id="133"/>
      <w:bookmarkStart w:id="134" w:name="_Toc184310278"/>
      <w:bookmarkEnd w:id="134"/>
      <w:bookmarkStart w:id="135" w:name="_Toc184312134"/>
      <w:bookmarkEnd w:id="135"/>
      <w:bookmarkStart w:id="136" w:name="_Toc184314471"/>
      <w:bookmarkEnd w:id="136"/>
      <w:bookmarkStart w:id="137" w:name="_Toc184308057"/>
      <w:bookmarkEnd w:id="137"/>
      <w:bookmarkStart w:id="138" w:name="_Toc184310323"/>
      <w:bookmarkEnd w:id="138"/>
      <w:bookmarkStart w:id="139" w:name="_Toc184308070"/>
      <w:bookmarkEnd w:id="139"/>
      <w:bookmarkStart w:id="140" w:name="_Toc184313289"/>
      <w:bookmarkEnd w:id="140"/>
      <w:bookmarkStart w:id="141" w:name="_Toc184310289"/>
      <w:bookmarkEnd w:id="141"/>
      <w:bookmarkStart w:id="142" w:name="_Toc184313270"/>
      <w:bookmarkEnd w:id="142"/>
      <w:bookmarkStart w:id="143" w:name="_Toc184314465"/>
      <w:bookmarkEnd w:id="143"/>
      <w:bookmarkStart w:id="144" w:name="_Toc184308074"/>
      <w:bookmarkEnd w:id="144"/>
      <w:bookmarkStart w:id="145" w:name="_Toc184313265"/>
      <w:bookmarkEnd w:id="145"/>
      <w:bookmarkStart w:id="146" w:name="_Toc184313281"/>
      <w:bookmarkEnd w:id="146"/>
      <w:bookmarkStart w:id="147" w:name="_Toc184310314"/>
      <w:bookmarkEnd w:id="147"/>
      <w:bookmarkStart w:id="148" w:name="_Toc184314419"/>
      <w:bookmarkEnd w:id="148"/>
      <w:bookmarkStart w:id="149" w:name="_Toc184310341"/>
      <w:bookmarkEnd w:id="149"/>
      <w:bookmarkStart w:id="150" w:name="_Toc184313243"/>
      <w:bookmarkEnd w:id="150"/>
      <w:bookmarkStart w:id="151" w:name="_Toc184313280"/>
      <w:bookmarkEnd w:id="151"/>
      <w:bookmarkStart w:id="152" w:name="_Toc184308100"/>
      <w:bookmarkEnd w:id="152"/>
      <w:bookmarkStart w:id="153" w:name="_Toc184310311"/>
      <w:bookmarkEnd w:id="153"/>
      <w:bookmarkStart w:id="154" w:name="_Toc184308037"/>
      <w:bookmarkEnd w:id="154"/>
      <w:bookmarkStart w:id="155" w:name="_Toc184310308"/>
      <w:bookmarkEnd w:id="155"/>
      <w:bookmarkStart w:id="156" w:name="_Toc184310320"/>
      <w:bookmarkEnd w:id="156"/>
      <w:bookmarkStart w:id="157" w:name="_Toc184313291"/>
      <w:bookmarkEnd w:id="157"/>
      <w:bookmarkStart w:id="158" w:name="_Toc184312123"/>
      <w:bookmarkEnd w:id="158"/>
      <w:bookmarkStart w:id="159" w:name="_Toc184308061"/>
      <w:bookmarkEnd w:id="159"/>
      <w:bookmarkStart w:id="160" w:name="_Toc184313307"/>
      <w:bookmarkEnd w:id="160"/>
      <w:bookmarkStart w:id="161" w:name="_Toc184312114"/>
      <w:bookmarkEnd w:id="161"/>
      <w:bookmarkStart w:id="162" w:name="_Toc184313274"/>
      <w:bookmarkEnd w:id="162"/>
      <w:bookmarkStart w:id="163" w:name="_Toc184308042"/>
      <w:bookmarkEnd w:id="163"/>
      <w:bookmarkStart w:id="164" w:name="_Toc184308059"/>
      <w:bookmarkEnd w:id="164"/>
      <w:bookmarkStart w:id="165" w:name="_Toc184313293"/>
      <w:bookmarkEnd w:id="165"/>
      <w:bookmarkStart w:id="166" w:name="_Toc184313242"/>
      <w:bookmarkEnd w:id="166"/>
      <w:bookmarkStart w:id="167" w:name="_Toc184313245"/>
      <w:bookmarkEnd w:id="167"/>
      <w:bookmarkStart w:id="168" w:name="_Toc184310282"/>
      <w:bookmarkEnd w:id="168"/>
      <w:bookmarkStart w:id="169" w:name="_Toc184312073"/>
      <w:bookmarkEnd w:id="169"/>
      <w:bookmarkStart w:id="170" w:name="_Toc184313264"/>
      <w:bookmarkEnd w:id="170"/>
      <w:bookmarkStart w:id="171" w:name="_Toc184308103"/>
      <w:bookmarkEnd w:id="171"/>
      <w:bookmarkStart w:id="172" w:name="_Toc184313294"/>
      <w:bookmarkEnd w:id="172"/>
      <w:bookmarkStart w:id="173" w:name="_Toc184313256"/>
      <w:bookmarkEnd w:id="173"/>
      <w:bookmarkStart w:id="174" w:name="_Toc184312126"/>
      <w:bookmarkEnd w:id="174"/>
      <w:bookmarkStart w:id="175" w:name="_Toc184308043"/>
      <w:bookmarkEnd w:id="175"/>
      <w:bookmarkStart w:id="176" w:name="_Toc184310304"/>
      <w:bookmarkEnd w:id="176"/>
      <w:bookmarkStart w:id="177" w:name="_Toc184310303"/>
      <w:bookmarkEnd w:id="177"/>
      <w:bookmarkStart w:id="178" w:name="_Toc184312082"/>
      <w:bookmarkEnd w:id="178"/>
      <w:bookmarkStart w:id="179" w:name="_Toc184308080"/>
      <w:bookmarkEnd w:id="179"/>
      <w:bookmarkStart w:id="180" w:name="_Toc184308044"/>
      <w:bookmarkEnd w:id="180"/>
      <w:bookmarkStart w:id="181" w:name="_Toc184313284"/>
      <w:bookmarkEnd w:id="181"/>
      <w:bookmarkStart w:id="182" w:name="_Toc184308067"/>
      <w:bookmarkEnd w:id="182"/>
      <w:bookmarkStart w:id="183" w:name="_Toc184314458"/>
      <w:bookmarkEnd w:id="183"/>
      <w:bookmarkStart w:id="184" w:name="_Toc184314482"/>
      <w:bookmarkEnd w:id="184"/>
      <w:bookmarkStart w:id="185" w:name="_Toc184313287"/>
      <w:bookmarkEnd w:id="185"/>
      <w:bookmarkStart w:id="186" w:name="_Toc184312068"/>
      <w:bookmarkEnd w:id="186"/>
      <w:bookmarkStart w:id="187" w:name="_Toc184312125"/>
      <w:bookmarkEnd w:id="187"/>
      <w:bookmarkStart w:id="188" w:name="_Toc184308075"/>
      <w:bookmarkEnd w:id="188"/>
      <w:bookmarkStart w:id="189" w:name="_Toc184313286"/>
      <w:bookmarkEnd w:id="189"/>
      <w:bookmarkStart w:id="190" w:name="_Toc184313252"/>
      <w:bookmarkEnd w:id="190"/>
      <w:bookmarkStart w:id="191" w:name="_Toc184310290"/>
      <w:bookmarkEnd w:id="191"/>
      <w:bookmarkStart w:id="192" w:name="_Toc184314420"/>
      <w:bookmarkEnd w:id="192"/>
      <w:bookmarkStart w:id="193" w:name="_Toc184314437"/>
      <w:bookmarkEnd w:id="193"/>
      <w:bookmarkStart w:id="194" w:name="_Toc184312109"/>
      <w:bookmarkEnd w:id="194"/>
      <w:bookmarkStart w:id="195" w:name="_Toc184312128"/>
      <w:bookmarkEnd w:id="195"/>
      <w:bookmarkStart w:id="196" w:name="_Toc184308108"/>
      <w:bookmarkEnd w:id="196"/>
      <w:bookmarkStart w:id="197" w:name="_Toc184310335"/>
      <w:bookmarkEnd w:id="197"/>
      <w:bookmarkStart w:id="198" w:name="_Toc184312135"/>
      <w:bookmarkEnd w:id="198"/>
      <w:bookmarkStart w:id="199" w:name="_Toc184313266"/>
      <w:bookmarkEnd w:id="199"/>
      <w:bookmarkStart w:id="200" w:name="_Toc184312084"/>
      <w:bookmarkEnd w:id="200"/>
      <w:bookmarkStart w:id="201" w:name="_Toc184314436"/>
      <w:bookmarkEnd w:id="201"/>
      <w:bookmarkStart w:id="202" w:name="_Toc184310331"/>
      <w:bookmarkEnd w:id="202"/>
      <w:bookmarkStart w:id="203" w:name="_Toc184313244"/>
      <w:bookmarkEnd w:id="203"/>
      <w:bookmarkStart w:id="204" w:name="_Toc184308081"/>
      <w:bookmarkEnd w:id="204"/>
      <w:bookmarkStart w:id="205" w:name="_Toc184314460"/>
      <w:bookmarkEnd w:id="205"/>
      <w:bookmarkStart w:id="206" w:name="_Toc184312105"/>
      <w:bookmarkEnd w:id="206"/>
      <w:bookmarkStart w:id="207" w:name="_Toc184310284"/>
      <w:bookmarkEnd w:id="207"/>
      <w:bookmarkStart w:id="208" w:name="_Toc184310309"/>
      <w:bookmarkEnd w:id="208"/>
      <w:bookmarkStart w:id="209" w:name="_Toc184313297"/>
      <w:bookmarkEnd w:id="209"/>
      <w:bookmarkStart w:id="210" w:name="_Toc184310287"/>
      <w:bookmarkEnd w:id="210"/>
      <w:bookmarkStart w:id="211" w:name="_Toc184312095"/>
      <w:bookmarkEnd w:id="211"/>
      <w:bookmarkStart w:id="212" w:name="_Toc184313303"/>
      <w:bookmarkEnd w:id="212"/>
      <w:bookmarkStart w:id="213" w:name="_Toc184310329"/>
      <w:bookmarkEnd w:id="213"/>
      <w:bookmarkStart w:id="214" w:name="_Toc184308063"/>
      <w:bookmarkEnd w:id="214"/>
      <w:bookmarkStart w:id="215" w:name="_Toc184310283"/>
      <w:bookmarkEnd w:id="215"/>
      <w:bookmarkStart w:id="216" w:name="_Toc184312091"/>
      <w:bookmarkEnd w:id="216"/>
      <w:bookmarkStart w:id="217" w:name="_Toc184314448"/>
      <w:bookmarkEnd w:id="217"/>
      <w:bookmarkStart w:id="218" w:name="_Toc184313278"/>
      <w:bookmarkEnd w:id="218"/>
      <w:bookmarkStart w:id="219" w:name="_Toc184310306"/>
      <w:bookmarkEnd w:id="219"/>
      <w:bookmarkStart w:id="220" w:name="_Toc184310328"/>
      <w:bookmarkEnd w:id="220"/>
      <w:bookmarkStart w:id="221" w:name="_Toc184314443"/>
      <w:bookmarkEnd w:id="221"/>
      <w:bookmarkStart w:id="222" w:name="_Toc184313251"/>
      <w:bookmarkEnd w:id="222"/>
      <w:bookmarkStart w:id="223" w:name="_Toc184308065"/>
      <w:bookmarkEnd w:id="223"/>
      <w:bookmarkStart w:id="224" w:name="_Toc184312070"/>
      <w:bookmarkEnd w:id="224"/>
      <w:bookmarkStart w:id="225" w:name="_Toc184313250"/>
      <w:bookmarkEnd w:id="225"/>
      <w:bookmarkStart w:id="226" w:name="_Toc184310291"/>
      <w:bookmarkEnd w:id="226"/>
      <w:bookmarkStart w:id="227" w:name="_Toc184308071"/>
      <w:bookmarkEnd w:id="227"/>
      <w:bookmarkStart w:id="228" w:name="_Toc184308093"/>
      <w:bookmarkEnd w:id="228"/>
      <w:bookmarkStart w:id="229" w:name="_Toc184312093"/>
      <w:bookmarkEnd w:id="229"/>
      <w:bookmarkStart w:id="230" w:name="_Toc184308073"/>
      <w:bookmarkEnd w:id="230"/>
      <w:bookmarkStart w:id="231" w:name="_Toc184313272"/>
      <w:bookmarkEnd w:id="231"/>
      <w:bookmarkStart w:id="232" w:name="_Toc184310296"/>
      <w:bookmarkEnd w:id="232"/>
      <w:bookmarkStart w:id="233" w:name="_Toc184313247"/>
      <w:bookmarkEnd w:id="233"/>
      <w:bookmarkStart w:id="234" w:name="_Toc184312122"/>
      <w:bookmarkEnd w:id="234"/>
      <w:bookmarkStart w:id="235" w:name="_Toc184310313"/>
      <w:bookmarkEnd w:id="235"/>
      <w:bookmarkStart w:id="236" w:name="_Toc184312108"/>
      <w:bookmarkEnd w:id="236"/>
      <w:bookmarkStart w:id="237" w:name="_Toc184313277"/>
      <w:bookmarkEnd w:id="237"/>
      <w:bookmarkStart w:id="238" w:name="_Toc184308051"/>
      <w:bookmarkEnd w:id="238"/>
      <w:bookmarkStart w:id="239" w:name="_Toc184313304"/>
      <w:bookmarkEnd w:id="239"/>
      <w:bookmarkStart w:id="240" w:name="_Toc184313298"/>
      <w:bookmarkEnd w:id="240"/>
      <w:bookmarkStart w:id="241" w:name="_Toc184314474"/>
      <w:bookmarkEnd w:id="241"/>
      <w:bookmarkStart w:id="242" w:name="_Toc184314473"/>
      <w:bookmarkEnd w:id="242"/>
      <w:bookmarkStart w:id="243" w:name="_Toc184312139"/>
      <w:bookmarkEnd w:id="243"/>
      <w:bookmarkStart w:id="244" w:name="_Toc184313246"/>
      <w:bookmarkEnd w:id="244"/>
      <w:bookmarkStart w:id="245" w:name="_Toc184308045"/>
      <w:bookmarkEnd w:id="245"/>
      <w:bookmarkStart w:id="246" w:name="_Toc184310293"/>
      <w:bookmarkEnd w:id="246"/>
      <w:bookmarkStart w:id="247" w:name="_Toc184313299"/>
      <w:bookmarkEnd w:id="247"/>
      <w:bookmarkStart w:id="248" w:name="_Toc184314431"/>
      <w:bookmarkEnd w:id="248"/>
      <w:bookmarkStart w:id="249" w:name="_Toc184312086"/>
      <w:bookmarkEnd w:id="249"/>
      <w:bookmarkStart w:id="250" w:name="_Toc184314411"/>
      <w:bookmarkEnd w:id="250"/>
      <w:bookmarkStart w:id="251" w:name="_Toc184310338"/>
      <w:bookmarkEnd w:id="251"/>
      <w:bookmarkStart w:id="252" w:name="_Toc184312119"/>
      <w:bookmarkEnd w:id="252"/>
      <w:bookmarkStart w:id="253" w:name="_Toc184310307"/>
      <w:bookmarkEnd w:id="253"/>
      <w:bookmarkStart w:id="254" w:name="_Toc184308056"/>
      <w:bookmarkEnd w:id="254"/>
      <w:bookmarkStart w:id="255" w:name="_Toc184313248"/>
      <w:bookmarkEnd w:id="255"/>
      <w:bookmarkStart w:id="256" w:name="_Toc184314416"/>
      <w:bookmarkEnd w:id="256"/>
      <w:bookmarkStart w:id="257" w:name="_Toc184308076"/>
      <w:bookmarkEnd w:id="257"/>
      <w:bookmarkStart w:id="258" w:name="_Toc184313295"/>
      <w:bookmarkEnd w:id="258"/>
      <w:bookmarkStart w:id="259" w:name="_Toc184313275"/>
      <w:bookmarkEnd w:id="259"/>
      <w:bookmarkStart w:id="260" w:name="_Toc184313310"/>
      <w:bookmarkEnd w:id="260"/>
      <w:bookmarkStart w:id="261" w:name="_Toc184312098"/>
      <w:bookmarkEnd w:id="261"/>
      <w:bookmarkStart w:id="262" w:name="_Toc184312102"/>
      <w:bookmarkEnd w:id="262"/>
      <w:bookmarkStart w:id="263" w:name="_Toc184312106"/>
      <w:bookmarkEnd w:id="263"/>
      <w:bookmarkStart w:id="264" w:name="_Toc184312107"/>
      <w:bookmarkEnd w:id="264"/>
      <w:bookmarkStart w:id="265" w:name="_Toc184310315"/>
      <w:bookmarkEnd w:id="265"/>
      <w:bookmarkStart w:id="266" w:name="_Toc184313241"/>
      <w:bookmarkEnd w:id="266"/>
      <w:bookmarkStart w:id="267" w:name="_Toc184312090"/>
      <w:bookmarkEnd w:id="267"/>
      <w:bookmarkStart w:id="268" w:name="_Toc184313305"/>
      <w:bookmarkEnd w:id="268"/>
      <w:bookmarkStart w:id="269" w:name="_Toc184314418"/>
      <w:bookmarkEnd w:id="269"/>
      <w:bookmarkStart w:id="270" w:name="_Toc184308091"/>
      <w:bookmarkEnd w:id="270"/>
      <w:bookmarkStart w:id="271" w:name="_Toc184313300"/>
      <w:bookmarkEnd w:id="271"/>
      <w:bookmarkStart w:id="272" w:name="_Toc184308106"/>
      <w:bookmarkEnd w:id="272"/>
      <w:bookmarkStart w:id="273" w:name="_Toc184314442"/>
      <w:bookmarkEnd w:id="273"/>
      <w:bookmarkStart w:id="274" w:name="_Toc184308041"/>
      <w:bookmarkEnd w:id="274"/>
      <w:bookmarkStart w:id="275" w:name="_Toc184314421"/>
      <w:bookmarkEnd w:id="275"/>
      <w:bookmarkStart w:id="276" w:name="_Toc184312067"/>
      <w:bookmarkEnd w:id="276"/>
      <w:bookmarkStart w:id="277" w:name="_Toc184314476"/>
      <w:bookmarkEnd w:id="277"/>
      <w:bookmarkStart w:id="278" w:name="_Toc184314445"/>
      <w:bookmarkEnd w:id="278"/>
      <w:bookmarkStart w:id="279" w:name="_Toc184314412"/>
      <w:bookmarkEnd w:id="279"/>
      <w:bookmarkStart w:id="280" w:name="_Toc184310316"/>
      <w:bookmarkEnd w:id="280"/>
      <w:bookmarkStart w:id="281" w:name="_Toc184310318"/>
      <w:bookmarkEnd w:id="281"/>
      <w:bookmarkStart w:id="282" w:name="_Toc184314456"/>
      <w:bookmarkEnd w:id="282"/>
      <w:bookmarkStart w:id="283" w:name="_Toc184312120"/>
      <w:bookmarkEnd w:id="283"/>
      <w:bookmarkStart w:id="284" w:name="_Toc184310333"/>
      <w:bookmarkEnd w:id="284"/>
      <w:bookmarkStart w:id="285" w:name="_Toc184313276"/>
      <w:bookmarkEnd w:id="285"/>
      <w:bookmarkStart w:id="286" w:name="_Toc184314454"/>
      <w:bookmarkEnd w:id="286"/>
      <w:bookmarkStart w:id="287" w:name="_Toc184314447"/>
      <w:bookmarkEnd w:id="287"/>
      <w:bookmarkStart w:id="288" w:name="_Toc184314453"/>
      <w:bookmarkEnd w:id="288"/>
      <w:bookmarkStart w:id="289" w:name="_Toc184310275"/>
      <w:bookmarkEnd w:id="289"/>
      <w:bookmarkStart w:id="290" w:name="_Toc184312138"/>
      <w:bookmarkEnd w:id="290"/>
      <w:bookmarkStart w:id="291" w:name="_Toc184314478"/>
      <w:bookmarkEnd w:id="291"/>
      <w:bookmarkStart w:id="292" w:name="_Toc184313249"/>
      <w:bookmarkEnd w:id="292"/>
      <w:bookmarkStart w:id="293" w:name="_Toc184313262"/>
      <w:bookmarkEnd w:id="293"/>
      <w:bookmarkStart w:id="294" w:name="_Toc184314451"/>
      <w:bookmarkEnd w:id="294"/>
      <w:bookmarkStart w:id="295" w:name="_Toc184312087"/>
      <w:bookmarkEnd w:id="295"/>
      <w:bookmarkStart w:id="296" w:name="_Toc184312089"/>
      <w:bookmarkEnd w:id="296"/>
      <w:bookmarkStart w:id="297" w:name="_Toc184312133"/>
      <w:bookmarkEnd w:id="297"/>
      <w:bookmarkStart w:id="298" w:name="_Toc184310324"/>
      <w:bookmarkEnd w:id="298"/>
      <w:bookmarkStart w:id="299" w:name="_Toc184313257"/>
      <w:bookmarkEnd w:id="299"/>
      <w:bookmarkStart w:id="300" w:name="_Toc184308068"/>
      <w:bookmarkEnd w:id="300"/>
      <w:bookmarkStart w:id="301" w:name="_Toc184310276"/>
      <w:bookmarkEnd w:id="301"/>
      <w:bookmarkStart w:id="302" w:name="_Toc184310285"/>
      <w:bookmarkEnd w:id="302"/>
      <w:bookmarkStart w:id="303" w:name="_Toc184308054"/>
      <w:bookmarkEnd w:id="303"/>
      <w:bookmarkStart w:id="304" w:name="_Toc184310319"/>
      <w:bookmarkEnd w:id="304"/>
      <w:bookmarkStart w:id="305" w:name="_Toc184314457"/>
      <w:bookmarkEnd w:id="305"/>
      <w:bookmarkStart w:id="306" w:name="_Toc184308036"/>
      <w:bookmarkEnd w:id="306"/>
      <w:bookmarkStart w:id="307" w:name="_Toc184310310"/>
      <w:bookmarkEnd w:id="307"/>
      <w:bookmarkStart w:id="308" w:name="_Toc184308069"/>
      <w:bookmarkEnd w:id="308"/>
      <w:bookmarkStart w:id="309" w:name="_Toc184313254"/>
      <w:bookmarkEnd w:id="309"/>
      <w:bookmarkStart w:id="310" w:name="_Toc184308058"/>
      <w:bookmarkEnd w:id="310"/>
      <w:bookmarkStart w:id="311" w:name="_Toc184314430"/>
      <w:bookmarkEnd w:id="311"/>
      <w:bookmarkStart w:id="312" w:name="_Toc184313308"/>
      <w:bookmarkEnd w:id="312"/>
      <w:bookmarkStart w:id="313" w:name="_Toc184310317"/>
      <w:bookmarkEnd w:id="313"/>
      <w:bookmarkStart w:id="314" w:name="_Toc184312103"/>
      <w:bookmarkEnd w:id="314"/>
      <w:bookmarkStart w:id="315" w:name="_Toc184312069"/>
      <w:bookmarkEnd w:id="315"/>
      <w:bookmarkStart w:id="316" w:name="_Toc184314463"/>
      <w:bookmarkEnd w:id="316"/>
      <w:bookmarkStart w:id="317" w:name="_Toc184308048"/>
      <w:bookmarkEnd w:id="317"/>
      <w:bookmarkStart w:id="318" w:name="_Toc184314413"/>
      <w:bookmarkEnd w:id="318"/>
      <w:bookmarkStart w:id="319" w:name="_Toc184314469"/>
      <w:bookmarkEnd w:id="319"/>
      <w:bookmarkStart w:id="320" w:name="_Toc184308098"/>
      <w:bookmarkEnd w:id="320"/>
      <w:bookmarkStart w:id="321" w:name="_Toc184312097"/>
      <w:bookmarkEnd w:id="321"/>
      <w:bookmarkStart w:id="322" w:name="_Toc184308064"/>
      <w:bookmarkEnd w:id="322"/>
      <w:bookmarkStart w:id="323" w:name="_Toc184314480"/>
      <w:bookmarkEnd w:id="323"/>
      <w:bookmarkStart w:id="324" w:name="_Toc184313309"/>
      <w:bookmarkEnd w:id="324"/>
      <w:bookmarkStart w:id="325" w:name="_Toc184312118"/>
      <w:bookmarkEnd w:id="325"/>
      <w:bookmarkStart w:id="326" w:name="_Toc184312110"/>
      <w:bookmarkEnd w:id="326"/>
      <w:bookmarkStart w:id="327" w:name="_Toc184314426"/>
      <w:bookmarkEnd w:id="327"/>
      <w:bookmarkStart w:id="328" w:name="_Toc184308107"/>
      <w:bookmarkEnd w:id="328"/>
      <w:bookmarkStart w:id="329" w:name="_Toc184308083"/>
      <w:bookmarkEnd w:id="329"/>
      <w:bookmarkStart w:id="330" w:name="_Toc184314479"/>
      <w:bookmarkEnd w:id="330"/>
      <w:bookmarkStart w:id="331" w:name="_Toc184310339"/>
      <w:bookmarkEnd w:id="331"/>
      <w:bookmarkStart w:id="332" w:name="_Toc184313267"/>
      <w:bookmarkEnd w:id="332"/>
      <w:bookmarkStart w:id="333" w:name="_Toc184308096"/>
      <w:bookmarkEnd w:id="333"/>
      <w:bookmarkStart w:id="334" w:name="_Toc184308072"/>
      <w:bookmarkEnd w:id="334"/>
      <w:bookmarkStart w:id="335" w:name="_Toc184312080"/>
      <w:bookmarkEnd w:id="335"/>
      <w:bookmarkStart w:id="336" w:name="_Toc184314468"/>
      <w:bookmarkEnd w:id="336"/>
      <w:bookmarkStart w:id="337" w:name="_Toc184314481"/>
      <w:bookmarkEnd w:id="337"/>
      <w:bookmarkStart w:id="338" w:name="_Toc184313283"/>
      <w:bookmarkEnd w:id="338"/>
      <w:bookmarkStart w:id="339" w:name="_Toc184312124"/>
      <w:bookmarkEnd w:id="339"/>
      <w:bookmarkStart w:id="340" w:name="_Toc184313290"/>
      <w:bookmarkEnd w:id="340"/>
      <w:bookmarkStart w:id="341" w:name="_Toc184313273"/>
      <w:bookmarkEnd w:id="341"/>
      <w:bookmarkStart w:id="342" w:name="_Toc184312100"/>
      <w:bookmarkEnd w:id="342"/>
      <w:bookmarkStart w:id="343" w:name="_Toc184313263"/>
      <w:bookmarkEnd w:id="343"/>
      <w:bookmarkStart w:id="344" w:name="_Toc184310327"/>
      <w:bookmarkEnd w:id="344"/>
      <w:bookmarkStart w:id="345" w:name="_Toc184310344"/>
      <w:bookmarkEnd w:id="345"/>
      <w:bookmarkStart w:id="346" w:name="_Toc184314432"/>
      <w:bookmarkEnd w:id="346"/>
      <w:bookmarkStart w:id="347" w:name="_Toc184310343"/>
      <w:bookmarkEnd w:id="347"/>
      <w:bookmarkStart w:id="348" w:name="_Toc184308078"/>
      <w:bookmarkEnd w:id="348"/>
      <w:bookmarkStart w:id="349" w:name="_Toc184312127"/>
      <w:bookmarkEnd w:id="349"/>
      <w:bookmarkStart w:id="350" w:name="_Toc184308066"/>
      <w:bookmarkEnd w:id="350"/>
      <w:bookmarkStart w:id="351" w:name="_Toc184314440"/>
      <w:bookmarkEnd w:id="351"/>
      <w:bookmarkStart w:id="352" w:name="_Toc184308055"/>
      <w:bookmarkEnd w:id="352"/>
      <w:bookmarkStart w:id="353" w:name="_Toc184314414"/>
      <w:bookmarkEnd w:id="353"/>
      <w:bookmarkStart w:id="354" w:name="_Toc184310277"/>
      <w:bookmarkEnd w:id="354"/>
      <w:bookmarkStart w:id="355" w:name="_Toc184314415"/>
      <w:bookmarkEnd w:id="355"/>
      <w:bookmarkStart w:id="356" w:name="_Toc184314422"/>
      <w:bookmarkEnd w:id="356"/>
      <w:bookmarkStart w:id="357" w:name="_Toc184312104"/>
      <w:bookmarkEnd w:id="357"/>
      <w:bookmarkStart w:id="358" w:name="_Toc184313258"/>
      <w:bookmarkEnd w:id="358"/>
      <w:bookmarkStart w:id="359" w:name="_Toc184313260"/>
      <w:bookmarkEnd w:id="359"/>
      <w:bookmarkStart w:id="360" w:name="_Toc184312131"/>
      <w:bookmarkEnd w:id="360"/>
      <w:bookmarkStart w:id="361" w:name="_Toc184310288"/>
      <w:bookmarkEnd w:id="361"/>
      <w:bookmarkStart w:id="362" w:name="_Toc184313261"/>
      <w:bookmarkEnd w:id="362"/>
      <w:bookmarkStart w:id="363" w:name="_Toc184308087"/>
      <w:bookmarkEnd w:id="363"/>
      <w:bookmarkStart w:id="364" w:name="_Toc184313268"/>
      <w:bookmarkEnd w:id="364"/>
      <w:bookmarkStart w:id="365" w:name="_Toc184312101"/>
      <w:bookmarkEnd w:id="365"/>
      <w:bookmarkStart w:id="366" w:name="_Toc184313296"/>
      <w:bookmarkEnd w:id="366"/>
      <w:bookmarkStart w:id="367" w:name="_Toc184314477"/>
      <w:bookmarkEnd w:id="367"/>
      <w:bookmarkStart w:id="368" w:name="_Toc184312112"/>
      <w:bookmarkEnd w:id="368"/>
      <w:bookmarkStart w:id="369" w:name="_Toc184314455"/>
      <w:bookmarkEnd w:id="369"/>
      <w:bookmarkStart w:id="370" w:name="_Toc184308050"/>
      <w:bookmarkEnd w:id="370"/>
      <w:bookmarkStart w:id="371" w:name="_Toc184314441"/>
      <w:bookmarkEnd w:id="371"/>
      <w:bookmarkStart w:id="372" w:name="_Toc184313306"/>
      <w:bookmarkEnd w:id="372"/>
      <w:bookmarkStart w:id="373" w:name="_Toc184308040"/>
      <w:bookmarkEnd w:id="373"/>
      <w:bookmarkStart w:id="374" w:name="_Toc184312088"/>
      <w:bookmarkEnd w:id="374"/>
      <w:bookmarkStart w:id="375" w:name="_Toc184308101"/>
      <w:bookmarkEnd w:id="375"/>
      <w:bookmarkStart w:id="376" w:name="_Toc184310292"/>
      <w:bookmarkEnd w:id="376"/>
      <w:bookmarkStart w:id="377" w:name="_Toc184312136"/>
      <w:bookmarkEnd w:id="377"/>
      <w:bookmarkStart w:id="378" w:name="_Toc184313269"/>
      <w:bookmarkEnd w:id="378"/>
      <w:bookmarkStart w:id="379" w:name="_Toc184310295"/>
      <w:bookmarkEnd w:id="379"/>
      <w:bookmarkStart w:id="380" w:name="_Toc184312074"/>
      <w:bookmarkEnd w:id="380"/>
      <w:bookmarkStart w:id="381" w:name="_Toc184314429"/>
      <w:bookmarkEnd w:id="381"/>
      <w:bookmarkStart w:id="382" w:name="_Toc184308099"/>
      <w:bookmarkEnd w:id="382"/>
      <w:bookmarkStart w:id="383" w:name="_Toc184314425"/>
      <w:bookmarkEnd w:id="383"/>
      <w:bookmarkStart w:id="384" w:name="_Toc184313282"/>
      <w:bookmarkEnd w:id="384"/>
      <w:bookmarkStart w:id="385" w:name="_Toc184310325"/>
      <w:bookmarkEnd w:id="385"/>
      <w:bookmarkStart w:id="386" w:name="_Toc184312132"/>
      <w:bookmarkEnd w:id="386"/>
      <w:bookmarkStart w:id="387" w:name="_Toc184313259"/>
      <w:bookmarkEnd w:id="387"/>
      <w:bookmarkStart w:id="388" w:name="_Toc184310300"/>
      <w:bookmarkEnd w:id="388"/>
      <w:bookmarkStart w:id="389" w:name="_Toc184314452"/>
      <w:bookmarkEnd w:id="389"/>
      <w:bookmarkStart w:id="390" w:name="_Toc184308090"/>
      <w:bookmarkEnd w:id="390"/>
      <w:bookmarkStart w:id="391" w:name="_Toc184308102"/>
      <w:bookmarkEnd w:id="391"/>
      <w:bookmarkStart w:id="392" w:name="_Toc184310297"/>
      <w:bookmarkEnd w:id="392"/>
      <w:bookmarkStart w:id="393" w:name="_Toc184312129"/>
      <w:bookmarkEnd w:id="393"/>
      <w:bookmarkStart w:id="394" w:name="_Toc184313271"/>
      <w:bookmarkEnd w:id="394"/>
      <w:r>
        <w:rPr>
          <w:rFonts w:hint="eastAsia" w:ascii="仿宋" w:hAnsi="仿宋" w:eastAsia="仿宋" w:cs="仿宋"/>
          <w:b/>
          <w:color w:val="auto"/>
          <w:sz w:val="36"/>
          <w:szCs w:val="36"/>
          <w:highlight w:val="none"/>
        </w:rPr>
        <w:t>评标办法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rPr>
        <w:t>评标办法前附表</w:t>
      </w:r>
    </w:p>
    <w:tbl>
      <w:tblPr>
        <w:tblStyle w:val="62"/>
        <w:tblpPr w:leftFromText="180" w:rightFromText="180" w:vertAnchor="text" w:horzAnchor="page" w:tblpX="1548" w:tblpY="126"/>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383"/>
        <w:gridCol w:w="801"/>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noWrap w:val="0"/>
            <w:vAlign w:val="center"/>
          </w:tcPr>
          <w:p>
            <w:pPr>
              <w:spacing w:line="240" w:lineRule="auto"/>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3285" w:type="pct"/>
            <w:noWrap w:val="0"/>
            <w:vAlign w:val="center"/>
          </w:tcPr>
          <w:p>
            <w:pPr>
              <w:spacing w:line="240" w:lineRule="auto"/>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评标标准</w:t>
            </w:r>
          </w:p>
        </w:tc>
        <w:tc>
          <w:tcPr>
            <w:tcW w:w="412" w:type="pct"/>
            <w:noWrap w:val="0"/>
            <w:vAlign w:val="center"/>
          </w:tcPr>
          <w:p>
            <w:pPr>
              <w:spacing w:line="240" w:lineRule="auto"/>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权重</w:t>
            </w:r>
          </w:p>
        </w:tc>
        <w:tc>
          <w:tcPr>
            <w:tcW w:w="943" w:type="pct"/>
            <w:noWrap w:val="0"/>
            <w:vAlign w:val="center"/>
          </w:tcPr>
          <w:p>
            <w:pPr>
              <w:spacing w:line="240" w:lineRule="auto"/>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358" w:type="pct"/>
            <w:noWrap w:val="0"/>
            <w:vAlign w:val="center"/>
          </w:tcPr>
          <w:p>
            <w:pPr>
              <w:spacing w:line="240" w:lineRule="auto"/>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zh-CN" w:eastAsia="zh-CN"/>
              </w:rPr>
            </w:pPr>
            <w:r>
              <w:rPr>
                <w:rFonts w:hint="eastAsia" w:ascii="仿宋" w:hAnsi="仿宋" w:eastAsia="仿宋" w:cs="仿宋"/>
                <w:bCs/>
                <w:sz w:val="24"/>
                <w:szCs w:val="24"/>
                <w:highlight w:val="none"/>
                <w:lang w:val="zh-CN" w:eastAsia="zh-CN"/>
              </w:rPr>
              <w:t>投标人自20</w:t>
            </w:r>
            <w:r>
              <w:rPr>
                <w:rFonts w:hint="eastAsia" w:ascii="仿宋" w:hAnsi="仿宋" w:eastAsia="仿宋" w:cs="仿宋"/>
                <w:bCs/>
                <w:sz w:val="24"/>
                <w:szCs w:val="24"/>
                <w:highlight w:val="none"/>
                <w:lang w:val="en-US" w:eastAsia="zh-CN"/>
              </w:rPr>
              <w:t>2</w:t>
            </w:r>
            <w:r>
              <w:rPr>
                <w:rFonts w:hint="eastAsia" w:ascii="仿宋" w:hAnsi="仿宋" w:cs="仿宋"/>
                <w:bCs/>
                <w:sz w:val="24"/>
                <w:szCs w:val="24"/>
                <w:highlight w:val="none"/>
                <w:lang w:val="en-US" w:eastAsia="zh-CN"/>
              </w:rPr>
              <w:t>1</w:t>
            </w:r>
            <w:r>
              <w:rPr>
                <w:rFonts w:hint="eastAsia" w:ascii="仿宋" w:hAnsi="仿宋" w:eastAsia="仿宋" w:cs="仿宋"/>
                <w:bCs/>
                <w:sz w:val="24"/>
                <w:szCs w:val="24"/>
                <w:highlight w:val="none"/>
                <w:lang w:val="zh-CN" w:eastAsia="zh-CN"/>
              </w:rPr>
              <w:t>年1月1日以来（</w:t>
            </w:r>
            <w:r>
              <w:rPr>
                <w:rFonts w:hint="eastAsia" w:ascii="仿宋" w:hAnsi="仿宋" w:eastAsia="仿宋" w:cs="仿宋"/>
                <w:bCs/>
                <w:sz w:val="24"/>
                <w:szCs w:val="24"/>
                <w:highlight w:val="none"/>
                <w:lang w:val="en-US" w:eastAsia="zh-CN"/>
              </w:rPr>
              <w:t>以合同签订时间为准</w:t>
            </w:r>
            <w:r>
              <w:rPr>
                <w:rFonts w:hint="eastAsia" w:ascii="仿宋" w:hAnsi="仿宋" w:eastAsia="仿宋" w:cs="仿宋"/>
                <w:bCs/>
                <w:sz w:val="24"/>
                <w:szCs w:val="24"/>
                <w:highlight w:val="none"/>
                <w:lang w:val="zh-CN" w:eastAsia="zh-CN"/>
              </w:rPr>
              <w:t>）具有类似项目成功业绩的，每个业绩得</w:t>
            </w:r>
            <w:r>
              <w:rPr>
                <w:rFonts w:hint="eastAsia" w:ascii="仿宋" w:hAnsi="仿宋" w:eastAsia="仿宋" w:cs="仿宋"/>
                <w:bCs/>
                <w:sz w:val="24"/>
                <w:szCs w:val="24"/>
                <w:highlight w:val="none"/>
                <w:lang w:val="en-US" w:eastAsia="zh-CN"/>
              </w:rPr>
              <w:t>0.5</w:t>
            </w:r>
            <w:r>
              <w:rPr>
                <w:rFonts w:hint="eastAsia" w:ascii="仿宋" w:hAnsi="仿宋" w:eastAsia="仿宋" w:cs="仿宋"/>
                <w:bCs/>
                <w:sz w:val="24"/>
                <w:szCs w:val="24"/>
                <w:highlight w:val="none"/>
                <w:lang w:val="zh-CN" w:eastAsia="zh-CN"/>
              </w:rPr>
              <w:t>分，最多得</w:t>
            </w:r>
            <w:r>
              <w:rPr>
                <w:rFonts w:hint="eastAsia" w:ascii="仿宋" w:hAnsi="仿宋" w:cs="仿宋"/>
                <w:bCs/>
                <w:sz w:val="24"/>
                <w:szCs w:val="24"/>
                <w:highlight w:val="none"/>
                <w:lang w:val="en-US" w:eastAsia="zh-CN"/>
              </w:rPr>
              <w:t>1</w:t>
            </w:r>
            <w:r>
              <w:rPr>
                <w:rFonts w:hint="eastAsia" w:ascii="仿宋" w:hAnsi="仿宋" w:eastAsia="仿宋" w:cs="仿宋"/>
                <w:bCs/>
                <w:sz w:val="24"/>
                <w:szCs w:val="24"/>
                <w:highlight w:val="none"/>
                <w:lang w:val="zh-CN" w:eastAsia="zh-CN"/>
              </w:rPr>
              <w:t>分，</w:t>
            </w:r>
            <w:r>
              <w:rPr>
                <w:rFonts w:hint="eastAsia" w:ascii="仿宋" w:hAnsi="仿宋" w:eastAsia="仿宋" w:cs="仿宋"/>
                <w:bCs/>
                <w:sz w:val="24"/>
                <w:szCs w:val="24"/>
                <w:highlight w:val="none"/>
                <w:lang w:val="en-US" w:eastAsia="zh-CN"/>
              </w:rPr>
              <w:t>不提供不得分</w:t>
            </w:r>
            <w:r>
              <w:rPr>
                <w:rFonts w:hint="eastAsia" w:ascii="仿宋" w:hAnsi="仿宋" w:eastAsia="仿宋" w:cs="仿宋"/>
                <w:bCs/>
                <w:sz w:val="24"/>
                <w:szCs w:val="24"/>
                <w:highlight w:val="none"/>
                <w:lang w:val="zh-CN" w:eastAsia="zh-CN"/>
              </w:rPr>
              <w:t>。</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cs="仿宋_GB2312"/>
                <w:sz w:val="24"/>
                <w:highlight w:val="none"/>
                <w:lang w:val="en-US" w:eastAsia="zh-CN"/>
              </w:rPr>
              <w:t>注：</w:t>
            </w:r>
            <w:r>
              <w:rPr>
                <w:rFonts w:hint="eastAsia" w:ascii="仿宋" w:hAnsi="仿宋" w:eastAsia="仿宋" w:cs="仿宋"/>
                <w:color w:val="auto"/>
                <w:sz w:val="24"/>
                <w:highlight w:val="none"/>
                <w:lang w:val="en-US" w:eastAsia="zh-CN"/>
              </w:rPr>
              <w:t>（须提供合同复印件加盖公章为证明材料，未提供不得分；原件备查）</w:t>
            </w:r>
          </w:p>
        </w:tc>
        <w:tc>
          <w:tcPr>
            <w:tcW w:w="412"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1</w:t>
            </w:r>
          </w:p>
        </w:tc>
        <w:tc>
          <w:tcPr>
            <w:tcW w:w="943"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类似业绩</w:t>
            </w:r>
          </w:p>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58"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w:t>
            </w:r>
          </w:p>
        </w:tc>
        <w:tc>
          <w:tcPr>
            <w:tcW w:w="3285" w:type="pct"/>
            <w:noWrap w:val="0"/>
            <w:vAlign w:val="center"/>
          </w:tcPr>
          <w:p>
            <w:pPr>
              <w:spacing w:line="240" w:lineRule="auto"/>
              <w:outlineLvl w:val="0"/>
              <w:rPr>
                <w:rFonts w:hint="eastAsia" w:ascii="仿宋" w:hAnsi="仿宋" w:eastAsia="仿宋" w:cs="仿宋"/>
                <w:bCs/>
                <w:sz w:val="24"/>
                <w:szCs w:val="24"/>
                <w:highlight w:val="none"/>
                <w:lang w:val="zh-CN" w:eastAsia="zh-CN"/>
              </w:rPr>
            </w:pPr>
            <w:r>
              <w:rPr>
                <w:rFonts w:hint="eastAsia" w:ascii="仿宋" w:hAnsi="仿宋" w:eastAsia="仿宋" w:cs="仿宋_GB2312"/>
                <w:sz w:val="24"/>
                <w:highlight w:val="none"/>
              </w:rPr>
              <w:t>投标人具有质量管理认证体系,具有环境管理认证体系，具有职业健康资格认证体系，有一项得</w:t>
            </w:r>
            <w:r>
              <w:rPr>
                <w:rFonts w:hint="eastAsia" w:ascii="仿宋" w:hAnsi="仿宋" w:cs="仿宋_GB2312"/>
                <w:sz w:val="24"/>
                <w:highlight w:val="none"/>
                <w:lang w:val="en-US" w:eastAsia="zh-CN"/>
              </w:rPr>
              <w:t>2</w:t>
            </w:r>
            <w:r>
              <w:rPr>
                <w:rFonts w:hint="eastAsia" w:ascii="仿宋" w:hAnsi="仿宋" w:eastAsia="仿宋" w:cs="仿宋_GB2312"/>
                <w:sz w:val="24"/>
                <w:highlight w:val="none"/>
              </w:rPr>
              <w:t>分；满分</w:t>
            </w:r>
            <w:r>
              <w:rPr>
                <w:rFonts w:hint="eastAsia" w:ascii="仿宋" w:hAnsi="仿宋" w:cs="仿宋_GB2312"/>
                <w:sz w:val="24"/>
                <w:highlight w:val="none"/>
                <w:lang w:val="en-US" w:eastAsia="zh-CN"/>
              </w:rPr>
              <w:t>6</w:t>
            </w:r>
            <w:r>
              <w:rPr>
                <w:rFonts w:hint="eastAsia" w:ascii="仿宋" w:hAnsi="仿宋" w:eastAsia="仿宋" w:cs="仿宋_GB2312"/>
                <w:sz w:val="24"/>
                <w:highlight w:val="none"/>
              </w:rPr>
              <w:t>分，没有则不得分。（投标文件中提供认证证书复印件，</w:t>
            </w:r>
            <w:r>
              <w:rPr>
                <w:rFonts w:hint="eastAsia" w:ascii="仿宋" w:hAnsi="仿宋" w:eastAsia="仿宋" w:cs="仿宋"/>
                <w:sz w:val="24"/>
                <w:highlight w:val="none"/>
              </w:rPr>
              <w:t>不提供不得分）</w:t>
            </w:r>
          </w:p>
        </w:tc>
        <w:tc>
          <w:tcPr>
            <w:tcW w:w="412" w:type="pct"/>
            <w:noWrap w:val="0"/>
            <w:vAlign w:val="center"/>
          </w:tcPr>
          <w:p>
            <w:pPr>
              <w:spacing w:line="360" w:lineRule="auto"/>
              <w:jc w:val="center"/>
              <w:outlineLvl w:val="0"/>
              <w:rPr>
                <w:rFonts w:hint="eastAsia" w:ascii="仿宋" w:hAnsi="仿宋" w:eastAsia="仿宋" w:cs="仿宋"/>
                <w:bCs/>
                <w:sz w:val="24"/>
                <w:szCs w:val="24"/>
                <w:highlight w:val="none"/>
                <w:lang w:val="en-US" w:eastAsia="zh-CN"/>
              </w:rPr>
            </w:pPr>
            <w:r>
              <w:rPr>
                <w:rFonts w:hint="eastAsia" w:ascii="仿宋" w:hAnsi="仿宋" w:cs="仿宋_GB2312"/>
                <w:sz w:val="24"/>
                <w:highlight w:val="none"/>
                <w:lang w:val="en-US" w:eastAsia="zh-CN"/>
              </w:rPr>
              <w:t>6</w:t>
            </w:r>
          </w:p>
        </w:tc>
        <w:tc>
          <w:tcPr>
            <w:tcW w:w="943" w:type="pct"/>
            <w:noWrap w:val="0"/>
            <w:vAlign w:val="center"/>
          </w:tcPr>
          <w:p>
            <w:pPr>
              <w:spacing w:line="360" w:lineRule="auto"/>
              <w:jc w:val="center"/>
              <w:outlineLvl w:val="0"/>
              <w:rPr>
                <w:rFonts w:hint="eastAsia" w:ascii="仿宋" w:hAnsi="仿宋" w:eastAsia="仿宋" w:cs="仿宋_GB2312"/>
                <w:sz w:val="24"/>
                <w:highlight w:val="none"/>
              </w:rPr>
            </w:pPr>
            <w:r>
              <w:rPr>
                <w:rFonts w:hint="eastAsia" w:ascii="仿宋" w:hAnsi="仿宋" w:eastAsia="仿宋" w:cs="仿宋_GB2312"/>
                <w:sz w:val="24"/>
                <w:highlight w:val="none"/>
              </w:rPr>
              <w:t>认证体系</w:t>
            </w:r>
          </w:p>
          <w:p>
            <w:pPr>
              <w:spacing w:line="36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358" w:type="pct"/>
            <w:vMerge w:val="restar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w:t>
            </w:r>
          </w:p>
        </w:tc>
        <w:tc>
          <w:tcPr>
            <w:tcW w:w="3285" w:type="pct"/>
            <w:noWrap w:val="0"/>
            <w:vAlign w:val="center"/>
          </w:tcPr>
          <w:p>
            <w:pPr>
              <w:spacing w:line="240" w:lineRule="auto"/>
              <w:jc w:val="left"/>
              <w:outlineLvl w:val="0"/>
              <w:rPr>
                <w:rFonts w:hint="default" w:ascii="仿宋" w:hAnsi="仿宋" w:eastAsia="仿宋" w:cs="仿宋"/>
                <w:bCs/>
                <w:sz w:val="24"/>
                <w:szCs w:val="24"/>
                <w:highlight w:val="none"/>
                <w:lang w:val="zh-CN" w:eastAsia="zh-CN"/>
              </w:rPr>
            </w:pPr>
            <w:r>
              <w:rPr>
                <w:rFonts w:hint="default" w:ascii="仿宋" w:hAnsi="仿宋" w:eastAsia="仿宋" w:cs="仿宋"/>
                <w:bCs/>
                <w:sz w:val="24"/>
                <w:szCs w:val="24"/>
                <w:highlight w:val="none"/>
                <w:lang w:val="zh-CN" w:eastAsia="zh-CN"/>
              </w:rPr>
              <w:t>主题提炼</w:t>
            </w:r>
          </w:p>
          <w:p>
            <w:pPr>
              <w:spacing w:line="240" w:lineRule="auto"/>
              <w:jc w:val="left"/>
              <w:outlineLvl w:val="0"/>
              <w:rPr>
                <w:rFonts w:hint="eastAsia" w:ascii="仿宋" w:hAnsi="仿宋" w:eastAsia="仿宋" w:cs="仿宋"/>
                <w:bCs/>
                <w:sz w:val="24"/>
                <w:szCs w:val="24"/>
                <w:highlight w:val="none"/>
                <w:lang w:val="en-US" w:eastAsia="zh-CN"/>
              </w:rPr>
            </w:pPr>
            <w:r>
              <w:rPr>
                <w:rFonts w:hint="default" w:ascii="仿宋" w:hAnsi="仿宋" w:eastAsia="仿宋" w:cs="仿宋"/>
                <w:bCs/>
                <w:sz w:val="24"/>
                <w:szCs w:val="24"/>
                <w:highlight w:val="none"/>
                <w:lang w:val="zh-CN" w:eastAsia="zh-CN"/>
              </w:rPr>
              <w:t>根据</w:t>
            </w:r>
            <w:r>
              <w:rPr>
                <w:rFonts w:hint="eastAsia" w:ascii="仿宋" w:hAnsi="仿宋" w:cs="仿宋"/>
                <w:bCs/>
                <w:sz w:val="24"/>
                <w:szCs w:val="24"/>
                <w:highlight w:val="none"/>
                <w:lang w:val="zh-CN" w:eastAsia="zh-CN"/>
              </w:rPr>
              <w:t>义盛养老服务</w:t>
            </w:r>
            <w:r>
              <w:rPr>
                <w:rFonts w:hint="default" w:ascii="仿宋" w:hAnsi="仿宋" w:eastAsia="仿宋" w:cs="仿宋"/>
                <w:bCs/>
                <w:sz w:val="24"/>
                <w:szCs w:val="24"/>
                <w:highlight w:val="none"/>
                <w:lang w:val="zh-CN" w:eastAsia="zh-CN"/>
              </w:rPr>
              <w:t>为背景提炼主题，</w:t>
            </w:r>
            <w:r>
              <w:rPr>
                <w:rFonts w:hint="eastAsia" w:ascii="仿宋" w:hAnsi="仿宋" w:eastAsia="仿宋" w:cs="仿宋"/>
                <w:color w:val="000000"/>
                <w:sz w:val="24"/>
                <w:highlight w:val="none"/>
              </w:rPr>
              <w:t>要求充分说明主题，围绕工作重点，结合受众群体，建立中心主题思想，定制策划主题品牌，朗朗上口，并以此主题贯穿整体设计布局，围绕主题思想</w:t>
            </w:r>
            <w:r>
              <w:rPr>
                <w:rFonts w:hint="eastAsia" w:ascii="仿宋" w:hAnsi="仿宋" w:eastAsia="仿宋" w:cs="仿宋"/>
                <w:bCs/>
                <w:sz w:val="24"/>
                <w:szCs w:val="24"/>
                <w:highlight w:val="none"/>
                <w:lang w:val="en-US" w:eastAsia="zh-CN"/>
              </w:rPr>
              <w:t>。</w:t>
            </w:r>
          </w:p>
          <w:p>
            <w:pPr>
              <w:spacing w:line="240" w:lineRule="auto"/>
              <w:jc w:val="left"/>
              <w:outlineLvl w:val="0"/>
              <w:rPr>
                <w:rFonts w:hint="default" w:ascii="仿宋" w:hAnsi="仿宋" w:eastAsia="仿宋" w:cs="仿宋"/>
                <w:bCs/>
                <w:sz w:val="24"/>
                <w:szCs w:val="24"/>
                <w:highlight w:val="none"/>
                <w:lang w:val="en-US" w:eastAsia="zh-CN"/>
              </w:rPr>
            </w:pPr>
            <w:r>
              <w:rPr>
                <w:rFonts w:hint="default" w:ascii="仿宋" w:hAnsi="仿宋" w:eastAsia="仿宋" w:cs="仿宋"/>
                <w:bCs/>
                <w:sz w:val="24"/>
                <w:szCs w:val="24"/>
                <w:highlight w:val="none"/>
                <w:lang w:val="zh-CN" w:eastAsia="zh-CN"/>
              </w:rPr>
              <w:t>主题</w:t>
            </w:r>
            <w:r>
              <w:rPr>
                <w:rFonts w:hint="eastAsia" w:ascii="仿宋" w:hAnsi="仿宋" w:eastAsia="仿宋" w:cs="仿宋"/>
                <w:bCs/>
                <w:sz w:val="24"/>
                <w:szCs w:val="24"/>
                <w:highlight w:val="none"/>
                <w:lang w:val="en-US" w:eastAsia="zh-CN"/>
              </w:rPr>
              <w:t>设计方案思路清晰合理，完全符合采购人需求得5分；</w:t>
            </w:r>
            <w:r>
              <w:rPr>
                <w:rFonts w:hint="default" w:ascii="仿宋" w:hAnsi="仿宋" w:eastAsia="仿宋" w:cs="仿宋"/>
                <w:bCs/>
                <w:sz w:val="24"/>
                <w:szCs w:val="24"/>
                <w:highlight w:val="none"/>
                <w:lang w:val="zh-CN" w:eastAsia="zh-CN"/>
              </w:rPr>
              <w:t>主题</w:t>
            </w:r>
            <w:r>
              <w:rPr>
                <w:rFonts w:hint="eastAsia" w:ascii="仿宋" w:hAnsi="仿宋" w:eastAsia="仿宋" w:cs="仿宋"/>
                <w:bCs/>
                <w:sz w:val="24"/>
                <w:szCs w:val="24"/>
                <w:highlight w:val="none"/>
                <w:lang w:val="en-US" w:eastAsia="zh-CN"/>
              </w:rPr>
              <w:t>设计方案思路一般，基本符合采购人需求得3分；</w:t>
            </w:r>
            <w:r>
              <w:rPr>
                <w:rFonts w:hint="default" w:ascii="仿宋" w:hAnsi="仿宋" w:eastAsia="仿宋" w:cs="仿宋"/>
                <w:bCs/>
                <w:sz w:val="24"/>
                <w:szCs w:val="24"/>
                <w:highlight w:val="none"/>
                <w:lang w:val="zh-CN" w:eastAsia="zh-CN"/>
              </w:rPr>
              <w:t>主题</w:t>
            </w:r>
            <w:r>
              <w:rPr>
                <w:rFonts w:hint="eastAsia" w:ascii="仿宋" w:hAnsi="仿宋" w:eastAsia="仿宋" w:cs="仿宋"/>
                <w:bCs/>
                <w:sz w:val="24"/>
                <w:szCs w:val="24"/>
                <w:highlight w:val="none"/>
                <w:lang w:val="en-US" w:eastAsia="zh-CN"/>
              </w:rPr>
              <w:t>设计主题不明确、内容有欠缺，描述欠合理的得1分；否则不得分。</w:t>
            </w:r>
          </w:p>
        </w:tc>
        <w:tc>
          <w:tcPr>
            <w:tcW w:w="412"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p>
        </w:tc>
        <w:tc>
          <w:tcPr>
            <w:tcW w:w="943" w:type="pct"/>
            <w:vMerge w:val="restar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品牌文案策划   （主观）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358" w:type="pct"/>
            <w:vMerge w:val="continue"/>
            <w:noWrap w:val="0"/>
            <w:vAlign w:val="center"/>
          </w:tcPr>
          <w:p>
            <w:pPr>
              <w:spacing w:line="240" w:lineRule="auto"/>
              <w:jc w:val="center"/>
              <w:outlineLvl w:val="0"/>
              <w:rPr>
                <w:rFonts w:hint="eastAsia" w:ascii="仿宋" w:hAnsi="仿宋" w:eastAsia="仿宋" w:cs="仿宋"/>
                <w:bCs/>
                <w:sz w:val="24"/>
                <w:szCs w:val="24"/>
                <w:highlight w:val="none"/>
              </w:rPr>
            </w:pPr>
          </w:p>
        </w:tc>
        <w:tc>
          <w:tcPr>
            <w:tcW w:w="3285" w:type="pct"/>
            <w:noWrap w:val="0"/>
            <w:vAlign w:val="center"/>
          </w:tcPr>
          <w:p>
            <w:pPr>
              <w:spacing w:line="240" w:lineRule="auto"/>
              <w:jc w:val="left"/>
              <w:outlineLvl w:val="0"/>
              <w:rPr>
                <w:rFonts w:hint="default" w:ascii="仿宋" w:hAnsi="仿宋" w:eastAsia="仿宋" w:cs="仿宋"/>
                <w:bCs/>
                <w:sz w:val="24"/>
                <w:szCs w:val="24"/>
                <w:highlight w:val="none"/>
                <w:lang w:val="zh-CN" w:eastAsia="zh-CN"/>
              </w:rPr>
            </w:pPr>
            <w:r>
              <w:rPr>
                <w:rFonts w:hint="default" w:ascii="仿宋" w:hAnsi="仿宋" w:eastAsia="仿宋" w:cs="仿宋"/>
                <w:bCs/>
                <w:sz w:val="24"/>
                <w:szCs w:val="24"/>
                <w:highlight w:val="none"/>
                <w:lang w:val="zh-CN" w:eastAsia="zh-CN"/>
              </w:rPr>
              <w:t>主题延伸</w:t>
            </w:r>
          </w:p>
          <w:p>
            <w:pPr>
              <w:spacing w:line="240" w:lineRule="auto"/>
              <w:jc w:val="left"/>
              <w:outlineLvl w:val="0"/>
              <w:rPr>
                <w:rFonts w:hint="eastAsia" w:ascii="仿宋" w:hAnsi="仿宋" w:eastAsia="仿宋" w:cs="仿宋"/>
                <w:bCs/>
                <w:sz w:val="24"/>
                <w:szCs w:val="24"/>
                <w:highlight w:val="none"/>
                <w:lang w:val="en-US" w:eastAsia="zh-CN"/>
              </w:rPr>
            </w:pPr>
            <w:r>
              <w:rPr>
                <w:rFonts w:hint="default" w:ascii="仿宋" w:hAnsi="仿宋" w:eastAsia="仿宋" w:cs="仿宋"/>
                <w:bCs/>
                <w:sz w:val="24"/>
                <w:szCs w:val="24"/>
                <w:highlight w:val="none"/>
                <w:lang w:val="zh-CN" w:eastAsia="zh-CN"/>
              </w:rPr>
              <w:t>根据</w:t>
            </w:r>
            <w:r>
              <w:rPr>
                <w:rFonts w:hint="eastAsia" w:ascii="仿宋" w:hAnsi="仿宋" w:cs="仿宋"/>
                <w:bCs/>
                <w:sz w:val="24"/>
                <w:szCs w:val="24"/>
                <w:highlight w:val="none"/>
                <w:lang w:val="zh-CN" w:eastAsia="zh-CN"/>
              </w:rPr>
              <w:t>义盛养老服务</w:t>
            </w:r>
            <w:r>
              <w:rPr>
                <w:rFonts w:hint="eastAsia" w:ascii="仿宋" w:hAnsi="仿宋" w:cs="仿宋"/>
                <w:bCs/>
                <w:sz w:val="24"/>
                <w:szCs w:val="24"/>
                <w:highlight w:val="none"/>
                <w:lang w:val="en-US" w:eastAsia="zh-CN"/>
              </w:rPr>
              <w:t>中心</w:t>
            </w:r>
            <w:r>
              <w:rPr>
                <w:rFonts w:hint="default" w:ascii="仿宋" w:hAnsi="仿宋" w:eastAsia="仿宋" w:cs="仿宋"/>
                <w:bCs/>
                <w:sz w:val="24"/>
                <w:szCs w:val="24"/>
                <w:highlight w:val="none"/>
                <w:lang w:val="zh-CN" w:eastAsia="zh-CN"/>
              </w:rPr>
              <w:t>为背景</w:t>
            </w:r>
            <w:r>
              <w:rPr>
                <w:rFonts w:hint="eastAsia" w:ascii="仿宋" w:hAnsi="仿宋" w:eastAsia="仿宋" w:cs="仿宋"/>
                <w:bCs/>
                <w:sz w:val="24"/>
                <w:szCs w:val="24"/>
                <w:highlight w:val="none"/>
                <w:lang w:val="zh-CN" w:eastAsia="zh-CN"/>
              </w:rPr>
              <w:t>，</w:t>
            </w:r>
            <w:r>
              <w:rPr>
                <w:rFonts w:hint="default" w:ascii="仿宋" w:hAnsi="仿宋" w:eastAsia="仿宋" w:cs="仿宋"/>
                <w:bCs/>
                <w:sz w:val="24"/>
                <w:szCs w:val="24"/>
                <w:highlight w:val="none"/>
                <w:lang w:val="zh-CN" w:eastAsia="zh-CN"/>
              </w:rPr>
              <w:t>延伸致</w:t>
            </w:r>
            <w:r>
              <w:rPr>
                <w:rFonts w:hint="eastAsia" w:ascii="仿宋" w:hAnsi="仿宋" w:eastAsia="仿宋" w:cs="仿宋"/>
                <w:color w:val="000000"/>
                <w:sz w:val="24"/>
                <w:highlight w:val="none"/>
              </w:rPr>
              <w:t>品牌视觉</w:t>
            </w:r>
            <w:r>
              <w:rPr>
                <w:rFonts w:hint="eastAsia" w:ascii="仿宋" w:hAnsi="仿宋" w:cs="仿宋"/>
                <w:color w:val="000000"/>
                <w:sz w:val="24"/>
                <w:highlight w:val="none"/>
                <w:lang w:val="en-US" w:eastAsia="zh-CN"/>
              </w:rPr>
              <w:t>（包含品牌、IP、logo）</w:t>
            </w:r>
            <w:r>
              <w:rPr>
                <w:rFonts w:hint="eastAsia" w:ascii="仿宋" w:hAnsi="仿宋" w:eastAsia="仿宋" w:cs="仿宋"/>
                <w:bCs/>
                <w:sz w:val="24"/>
                <w:szCs w:val="24"/>
                <w:highlight w:val="none"/>
                <w:lang w:val="en-US" w:eastAsia="zh-CN"/>
              </w:rPr>
              <w:t>，贴合社区</w:t>
            </w:r>
            <w:r>
              <w:rPr>
                <w:rFonts w:hint="eastAsia" w:ascii="仿宋" w:hAnsi="仿宋" w:cs="仿宋"/>
                <w:bCs/>
                <w:sz w:val="24"/>
                <w:szCs w:val="24"/>
                <w:highlight w:val="none"/>
                <w:lang w:val="en-US" w:eastAsia="zh-CN"/>
              </w:rPr>
              <w:t>特色</w:t>
            </w:r>
            <w:r>
              <w:rPr>
                <w:rFonts w:hint="eastAsia" w:ascii="仿宋" w:hAnsi="仿宋" w:eastAsia="仿宋" w:cs="仿宋"/>
                <w:bCs/>
                <w:sz w:val="24"/>
                <w:szCs w:val="24"/>
                <w:highlight w:val="none"/>
                <w:lang w:val="en-US" w:eastAsia="zh-CN"/>
              </w:rPr>
              <w:t>。</w:t>
            </w:r>
          </w:p>
          <w:p>
            <w:pPr>
              <w:spacing w:line="240" w:lineRule="auto"/>
              <w:jc w:val="left"/>
              <w:outlineLvl w:val="0"/>
              <w:rPr>
                <w:rFonts w:hint="eastAsia" w:ascii="仿宋" w:hAnsi="仿宋" w:eastAsia="仿宋" w:cs="仿宋"/>
                <w:bCs/>
                <w:sz w:val="24"/>
                <w:szCs w:val="24"/>
                <w:highlight w:val="none"/>
                <w:lang w:val="zh-CN" w:eastAsia="zh-CN"/>
              </w:rPr>
            </w:pPr>
            <w:r>
              <w:rPr>
                <w:rFonts w:hint="eastAsia" w:ascii="仿宋" w:hAnsi="仿宋" w:cs="仿宋"/>
                <w:color w:val="000000"/>
                <w:sz w:val="24"/>
                <w:highlight w:val="none"/>
                <w:lang w:val="en-US" w:eastAsia="zh-CN"/>
              </w:rPr>
              <w:t>品牌、IP、logo</w:t>
            </w:r>
            <w:r>
              <w:rPr>
                <w:rFonts w:hint="eastAsia" w:ascii="仿宋" w:hAnsi="仿宋" w:eastAsia="仿宋" w:cs="仿宋"/>
                <w:bCs/>
                <w:sz w:val="24"/>
                <w:szCs w:val="24"/>
                <w:highlight w:val="none"/>
                <w:lang w:val="en-US" w:eastAsia="zh-CN"/>
              </w:rPr>
              <w:t>设计方案思路清晰合理，完全符合采购人需求得5分；</w:t>
            </w:r>
            <w:r>
              <w:rPr>
                <w:rFonts w:hint="eastAsia" w:ascii="仿宋" w:hAnsi="仿宋" w:cs="仿宋"/>
                <w:color w:val="000000"/>
                <w:sz w:val="24"/>
                <w:highlight w:val="none"/>
                <w:lang w:val="en-US" w:eastAsia="zh-CN"/>
              </w:rPr>
              <w:t>品牌、IP、logo</w:t>
            </w:r>
            <w:r>
              <w:rPr>
                <w:rFonts w:hint="eastAsia" w:ascii="仿宋" w:hAnsi="仿宋" w:eastAsia="仿宋" w:cs="仿宋"/>
                <w:bCs/>
                <w:sz w:val="24"/>
                <w:szCs w:val="24"/>
                <w:highlight w:val="none"/>
                <w:lang w:val="en-US" w:eastAsia="zh-CN"/>
              </w:rPr>
              <w:t>设计方案思路一般，基本符合采购人需求得3分；</w:t>
            </w:r>
            <w:r>
              <w:rPr>
                <w:rFonts w:hint="eastAsia" w:ascii="仿宋" w:hAnsi="仿宋" w:cs="仿宋"/>
                <w:color w:val="000000"/>
                <w:sz w:val="24"/>
                <w:highlight w:val="none"/>
                <w:lang w:val="en-US" w:eastAsia="zh-CN"/>
              </w:rPr>
              <w:t>品牌、IP、logo</w:t>
            </w:r>
            <w:r>
              <w:rPr>
                <w:rFonts w:hint="eastAsia" w:ascii="仿宋" w:hAnsi="仿宋" w:eastAsia="仿宋" w:cs="仿宋"/>
                <w:bCs/>
                <w:sz w:val="24"/>
                <w:szCs w:val="24"/>
                <w:highlight w:val="none"/>
                <w:lang w:val="en-US" w:eastAsia="zh-CN"/>
              </w:rPr>
              <w:t>设计主题不明确、内容有欠缺，描述欠合理的得1分；否则不得分。</w:t>
            </w:r>
          </w:p>
        </w:tc>
        <w:tc>
          <w:tcPr>
            <w:tcW w:w="412"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p>
        </w:tc>
        <w:tc>
          <w:tcPr>
            <w:tcW w:w="943" w:type="pct"/>
            <w:vMerge w:val="continue"/>
            <w:noWrap w:val="0"/>
            <w:vAlign w:val="center"/>
          </w:tcPr>
          <w:p>
            <w:pPr>
              <w:spacing w:line="240" w:lineRule="auto"/>
              <w:jc w:val="center"/>
              <w:outlineLvl w:val="0"/>
              <w:rPr>
                <w:rFonts w:hint="eastAsia" w:ascii="仿宋" w:hAnsi="仿宋" w:eastAsia="仿宋" w:cs="仿宋"/>
                <w:bCs/>
                <w:sz w:val="24"/>
                <w:szCs w:val="24"/>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整体方案完整度：</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根据标书内要求，区块标注清晰，内容深化度高，可实施性强，方案完整度好。</w:t>
            </w:r>
          </w:p>
          <w:p>
            <w:pPr>
              <w:spacing w:line="240" w:lineRule="auto"/>
              <w:jc w:val="left"/>
              <w:outlineLvl w:val="0"/>
              <w:rPr>
                <w:rFonts w:hint="eastAsia"/>
                <w:highlight w:val="none"/>
                <w:lang w:val="en-US" w:eastAsia="zh-CN"/>
              </w:rPr>
            </w:pPr>
            <w:r>
              <w:rPr>
                <w:rFonts w:hint="eastAsia" w:ascii="仿宋" w:hAnsi="仿宋" w:eastAsia="仿宋" w:cs="仿宋"/>
                <w:bCs/>
                <w:sz w:val="24"/>
                <w:szCs w:val="24"/>
                <w:highlight w:val="none"/>
                <w:lang w:val="en-US" w:eastAsia="zh-CN"/>
              </w:rPr>
              <w:t>方案全面完整得5分；方案较为完整得3分；方案简陋、不完整得1分；否则不得分。</w:t>
            </w:r>
          </w:p>
        </w:tc>
        <w:tc>
          <w:tcPr>
            <w:tcW w:w="412"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p>
        </w:tc>
        <w:tc>
          <w:tcPr>
            <w:tcW w:w="943"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 w:val="0"/>
                <w:bCs w:val="0"/>
                <w:color w:val="000000"/>
                <w:sz w:val="24"/>
                <w:highlight w:val="none"/>
              </w:rPr>
              <w:t>整体方案完整度</w:t>
            </w:r>
            <w:r>
              <w:rPr>
                <w:rFonts w:hint="eastAsia" w:ascii="仿宋" w:hAnsi="仿宋" w:eastAsia="仿宋" w:cs="仿宋"/>
                <w:bCs/>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noWrap w:val="0"/>
            <w:vAlign w:val="center"/>
          </w:tcPr>
          <w:p>
            <w:pPr>
              <w:spacing w:line="240" w:lineRule="auto"/>
              <w:jc w:val="center"/>
              <w:outlineLvl w:val="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5</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居家养老服务中心</w:t>
            </w:r>
            <w:r>
              <w:rPr>
                <w:rFonts w:hint="eastAsia" w:ascii="仿宋" w:hAnsi="仿宋" w:eastAsia="仿宋" w:cs="仿宋"/>
                <w:bCs/>
                <w:sz w:val="24"/>
                <w:szCs w:val="24"/>
                <w:highlight w:val="none"/>
                <w:lang w:val="en-US" w:eastAsia="zh-CN"/>
              </w:rPr>
              <w:t>展陈设计：</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color w:val="000000"/>
                <w:sz w:val="24"/>
                <w:highlight w:val="none"/>
              </w:rPr>
              <w:t>设计方案</w:t>
            </w:r>
            <w:r>
              <w:rPr>
                <w:rFonts w:ascii="仿宋" w:hAnsi="仿宋" w:eastAsia="仿宋" w:cs="仿宋"/>
                <w:color w:val="000000"/>
                <w:sz w:val="24"/>
                <w:highlight w:val="none"/>
              </w:rPr>
              <w:t>与</w:t>
            </w:r>
            <w:r>
              <w:rPr>
                <w:rFonts w:hint="eastAsia" w:ascii="仿宋" w:hAnsi="仿宋" w:eastAsia="仿宋" w:cs="仿宋"/>
                <w:color w:val="000000"/>
                <w:sz w:val="24"/>
                <w:highlight w:val="none"/>
              </w:rPr>
              <w:t>本项目的展示主题及定位</w:t>
            </w:r>
            <w:r>
              <w:rPr>
                <w:rFonts w:ascii="仿宋" w:hAnsi="仿宋" w:eastAsia="仿宋" w:cs="仿宋"/>
                <w:color w:val="000000"/>
                <w:sz w:val="24"/>
                <w:highlight w:val="none"/>
              </w:rPr>
              <w:t>相呼应</w:t>
            </w:r>
            <w:r>
              <w:rPr>
                <w:rFonts w:hint="eastAsia" w:ascii="仿宋" w:hAnsi="仿宋" w:eastAsia="仿宋" w:cs="仿宋"/>
                <w:color w:val="000000"/>
                <w:sz w:val="24"/>
                <w:highlight w:val="none"/>
                <w:lang w:eastAsia="zh-CN"/>
              </w:rPr>
              <w:t>，</w:t>
            </w:r>
            <w:r>
              <w:rPr>
                <w:rFonts w:hint="eastAsia" w:ascii="仿宋" w:hAnsi="仿宋" w:eastAsia="仿宋" w:cs="仿宋"/>
                <w:bCs/>
                <w:sz w:val="24"/>
                <w:szCs w:val="24"/>
                <w:highlight w:val="none"/>
                <w:lang w:val="en-US" w:eastAsia="zh-CN"/>
              </w:rPr>
              <w:t>符合社区的特点，设计新颖，有特色，颜色丰富，立体感强内容符合科学性、完整合理的得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lang w:val="en-US" w:eastAsia="zh-CN"/>
              </w:rPr>
              <w:t>分；内容基本完整，描述较合理的得</w:t>
            </w:r>
            <w:r>
              <w:rPr>
                <w:rFonts w:hint="eastAsia" w:ascii="仿宋" w:hAnsi="仿宋" w:cs="仿宋"/>
                <w:bCs/>
                <w:sz w:val="24"/>
                <w:szCs w:val="24"/>
                <w:highlight w:val="none"/>
                <w:lang w:val="en-US" w:eastAsia="zh-CN"/>
              </w:rPr>
              <w:t>3</w:t>
            </w:r>
            <w:r>
              <w:rPr>
                <w:rFonts w:hint="eastAsia" w:ascii="仿宋" w:hAnsi="仿宋" w:eastAsia="仿宋" w:cs="仿宋"/>
                <w:bCs/>
                <w:sz w:val="24"/>
                <w:szCs w:val="24"/>
                <w:highlight w:val="none"/>
                <w:lang w:val="en-US" w:eastAsia="zh-CN"/>
              </w:rPr>
              <w:t>分；内容有欠缺，描述欠合理的得1分；内容较差或未提供的不得分。</w:t>
            </w:r>
          </w:p>
        </w:tc>
        <w:tc>
          <w:tcPr>
            <w:tcW w:w="412"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5</w:t>
            </w:r>
          </w:p>
        </w:tc>
        <w:tc>
          <w:tcPr>
            <w:tcW w:w="943" w:type="pct"/>
            <w:vMerge w:val="restart"/>
            <w:noWrap w:val="0"/>
            <w:vAlign w:val="center"/>
          </w:tcPr>
          <w:p>
            <w:pPr>
              <w:spacing w:line="240" w:lineRule="auto"/>
              <w:jc w:val="center"/>
              <w:outlineLvl w:val="0"/>
              <w:rPr>
                <w:rFonts w:hint="eastAsia" w:ascii="仿宋" w:hAnsi="仿宋" w:eastAsia="仿宋" w:cs="仿宋"/>
                <w:bCs/>
                <w:sz w:val="24"/>
                <w:szCs w:val="24"/>
                <w:highlight w:val="none"/>
                <w:lang w:eastAsia="zh-CN"/>
              </w:rPr>
            </w:pPr>
            <w:r>
              <w:rPr>
                <w:rFonts w:hint="eastAsia" w:ascii="仿宋" w:hAnsi="仿宋" w:cs="仿宋"/>
                <w:bCs/>
                <w:sz w:val="24"/>
                <w:szCs w:val="24"/>
                <w:highlight w:val="none"/>
                <w:lang w:val="en-US" w:eastAsia="zh-CN"/>
              </w:rPr>
              <w:t>室内</w:t>
            </w:r>
            <w:r>
              <w:rPr>
                <w:rFonts w:hint="eastAsia" w:ascii="仿宋" w:hAnsi="仿宋" w:eastAsia="仿宋" w:cs="仿宋"/>
                <w:bCs/>
                <w:sz w:val="24"/>
                <w:szCs w:val="24"/>
                <w:highlight w:val="none"/>
                <w:lang w:val="en-US" w:eastAsia="zh-CN"/>
              </w:rPr>
              <w:t>设计（主观）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幸福学堂</w:t>
            </w:r>
            <w:r>
              <w:rPr>
                <w:rFonts w:hint="eastAsia" w:ascii="仿宋" w:hAnsi="仿宋" w:eastAsia="仿宋" w:cs="仿宋"/>
                <w:bCs/>
                <w:sz w:val="24"/>
                <w:szCs w:val="24"/>
                <w:highlight w:val="none"/>
                <w:lang w:val="en-US" w:eastAsia="zh-CN"/>
              </w:rPr>
              <w:t>展陈设计：</w:t>
            </w:r>
          </w:p>
          <w:p>
            <w:pPr>
              <w:spacing w:line="240" w:lineRule="auto"/>
              <w:jc w:val="left"/>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设计方案</w:t>
            </w:r>
            <w:r>
              <w:rPr>
                <w:rFonts w:ascii="仿宋" w:hAnsi="仿宋" w:eastAsia="仿宋" w:cs="仿宋"/>
                <w:color w:val="000000"/>
                <w:sz w:val="24"/>
                <w:highlight w:val="none"/>
              </w:rPr>
              <w:t>与</w:t>
            </w:r>
            <w:r>
              <w:rPr>
                <w:rFonts w:hint="eastAsia" w:ascii="仿宋" w:hAnsi="仿宋" w:eastAsia="仿宋" w:cs="仿宋"/>
                <w:color w:val="000000"/>
                <w:sz w:val="24"/>
                <w:highlight w:val="none"/>
              </w:rPr>
              <w:t>本项目的展示主题及定位</w:t>
            </w:r>
            <w:r>
              <w:rPr>
                <w:rFonts w:ascii="仿宋" w:hAnsi="仿宋" w:eastAsia="仿宋" w:cs="仿宋"/>
                <w:color w:val="000000"/>
                <w:sz w:val="24"/>
                <w:highlight w:val="none"/>
              </w:rPr>
              <w:t>相呼应</w:t>
            </w:r>
            <w:r>
              <w:rPr>
                <w:rFonts w:hint="eastAsia" w:ascii="仿宋" w:hAnsi="仿宋" w:eastAsia="仿宋" w:cs="仿宋"/>
                <w:color w:val="000000"/>
                <w:sz w:val="24"/>
                <w:highlight w:val="none"/>
                <w:lang w:eastAsia="zh-CN"/>
              </w:rPr>
              <w:t>，</w:t>
            </w:r>
            <w:r>
              <w:rPr>
                <w:rFonts w:hint="eastAsia" w:ascii="仿宋" w:hAnsi="仿宋" w:eastAsia="仿宋" w:cs="仿宋"/>
                <w:bCs/>
                <w:sz w:val="24"/>
                <w:szCs w:val="24"/>
                <w:highlight w:val="none"/>
                <w:lang w:val="en-US" w:eastAsia="zh-CN"/>
              </w:rPr>
              <w:t>符合社区的特点，设计新颖，有特色，颜色丰富，立体感强内容符合科学性、完整合理的得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lang w:val="en-US" w:eastAsia="zh-CN"/>
              </w:rPr>
              <w:t>分；内容基本完整，描述较合理的得</w:t>
            </w:r>
            <w:r>
              <w:rPr>
                <w:rFonts w:hint="eastAsia" w:ascii="仿宋" w:hAnsi="仿宋" w:cs="仿宋"/>
                <w:bCs/>
                <w:sz w:val="24"/>
                <w:szCs w:val="24"/>
                <w:highlight w:val="none"/>
                <w:lang w:val="en-US" w:eastAsia="zh-CN"/>
              </w:rPr>
              <w:t>3</w:t>
            </w:r>
            <w:r>
              <w:rPr>
                <w:rFonts w:hint="eastAsia" w:ascii="仿宋" w:hAnsi="仿宋" w:eastAsia="仿宋" w:cs="仿宋"/>
                <w:bCs/>
                <w:sz w:val="24"/>
                <w:szCs w:val="24"/>
                <w:highlight w:val="none"/>
                <w:lang w:val="en-US" w:eastAsia="zh-CN"/>
              </w:rPr>
              <w:t>分；内容有欠缺，描述欠合理的得1分；内容较差或未提供的不得分。</w:t>
            </w:r>
          </w:p>
        </w:tc>
        <w:tc>
          <w:tcPr>
            <w:tcW w:w="412"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5</w:t>
            </w:r>
          </w:p>
        </w:tc>
        <w:tc>
          <w:tcPr>
            <w:tcW w:w="943" w:type="pct"/>
            <w:vMerge w:val="continue"/>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7</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党群服务中心局部、颐康医院部分</w:t>
            </w:r>
            <w:r>
              <w:rPr>
                <w:rFonts w:hint="eastAsia" w:ascii="仿宋" w:hAnsi="仿宋" w:eastAsia="仿宋" w:cs="仿宋"/>
                <w:bCs/>
                <w:sz w:val="24"/>
                <w:szCs w:val="24"/>
                <w:highlight w:val="none"/>
                <w:lang w:val="en-US" w:eastAsia="zh-CN"/>
              </w:rPr>
              <w:t>展陈设计：</w:t>
            </w:r>
          </w:p>
          <w:p>
            <w:pPr>
              <w:spacing w:line="240" w:lineRule="auto"/>
              <w:jc w:val="left"/>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设计方案</w:t>
            </w:r>
            <w:r>
              <w:rPr>
                <w:rFonts w:ascii="仿宋" w:hAnsi="仿宋" w:eastAsia="仿宋" w:cs="仿宋"/>
                <w:color w:val="000000"/>
                <w:sz w:val="24"/>
                <w:highlight w:val="none"/>
              </w:rPr>
              <w:t>与</w:t>
            </w:r>
            <w:r>
              <w:rPr>
                <w:rFonts w:hint="eastAsia" w:ascii="仿宋" w:hAnsi="仿宋" w:eastAsia="仿宋" w:cs="仿宋"/>
                <w:color w:val="000000"/>
                <w:sz w:val="24"/>
                <w:highlight w:val="none"/>
              </w:rPr>
              <w:t>本项目的展示主题及定位</w:t>
            </w:r>
            <w:r>
              <w:rPr>
                <w:rFonts w:ascii="仿宋" w:hAnsi="仿宋" w:eastAsia="仿宋" w:cs="仿宋"/>
                <w:color w:val="000000"/>
                <w:sz w:val="24"/>
                <w:highlight w:val="none"/>
              </w:rPr>
              <w:t>相呼应</w:t>
            </w:r>
            <w:r>
              <w:rPr>
                <w:rFonts w:hint="eastAsia" w:ascii="仿宋" w:hAnsi="仿宋" w:eastAsia="仿宋" w:cs="仿宋"/>
                <w:color w:val="000000"/>
                <w:sz w:val="24"/>
                <w:highlight w:val="none"/>
                <w:lang w:eastAsia="zh-CN"/>
              </w:rPr>
              <w:t>，</w:t>
            </w:r>
            <w:r>
              <w:rPr>
                <w:rFonts w:hint="eastAsia" w:ascii="仿宋" w:hAnsi="仿宋" w:eastAsia="仿宋" w:cs="仿宋"/>
                <w:bCs/>
                <w:sz w:val="24"/>
                <w:szCs w:val="24"/>
                <w:highlight w:val="none"/>
                <w:lang w:val="en-US" w:eastAsia="zh-CN"/>
              </w:rPr>
              <w:t>符合社区的特点，设计新颖，有特色，颜色丰富，立体感强内容符合科学性、完整合理的得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lang w:val="en-US" w:eastAsia="zh-CN"/>
              </w:rPr>
              <w:t>分；内容基本完整，描述较合理的得</w:t>
            </w:r>
            <w:r>
              <w:rPr>
                <w:rFonts w:hint="eastAsia" w:ascii="仿宋" w:hAnsi="仿宋" w:cs="仿宋"/>
                <w:bCs/>
                <w:sz w:val="24"/>
                <w:szCs w:val="24"/>
                <w:highlight w:val="none"/>
                <w:lang w:val="en-US" w:eastAsia="zh-CN"/>
              </w:rPr>
              <w:t>3</w:t>
            </w:r>
            <w:r>
              <w:rPr>
                <w:rFonts w:hint="eastAsia" w:ascii="仿宋" w:hAnsi="仿宋" w:eastAsia="仿宋" w:cs="仿宋"/>
                <w:bCs/>
                <w:sz w:val="24"/>
                <w:szCs w:val="24"/>
                <w:highlight w:val="none"/>
                <w:lang w:val="en-US" w:eastAsia="zh-CN"/>
              </w:rPr>
              <w:t>分；内容有欠缺，描述欠合理的得1分；内容较差或未提供的不得分。</w:t>
            </w:r>
          </w:p>
        </w:tc>
        <w:tc>
          <w:tcPr>
            <w:tcW w:w="412" w:type="pct"/>
            <w:noWrap w:val="0"/>
            <w:vAlign w:val="center"/>
          </w:tcPr>
          <w:p>
            <w:pPr>
              <w:spacing w:line="240" w:lineRule="auto"/>
              <w:jc w:val="center"/>
              <w:outlineLvl w:val="0"/>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5</w:t>
            </w:r>
          </w:p>
        </w:tc>
        <w:tc>
          <w:tcPr>
            <w:tcW w:w="943" w:type="pct"/>
            <w:vMerge w:val="continue"/>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358"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8</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户外田园标识</w:t>
            </w:r>
            <w:r>
              <w:rPr>
                <w:rFonts w:hint="eastAsia" w:ascii="仿宋" w:hAnsi="仿宋" w:eastAsia="仿宋" w:cs="仿宋"/>
                <w:bCs/>
                <w:sz w:val="24"/>
                <w:szCs w:val="24"/>
                <w:highlight w:val="none"/>
                <w:lang w:val="en-US" w:eastAsia="zh-CN"/>
              </w:rPr>
              <w:t>设计：</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color w:val="000000"/>
                <w:sz w:val="24"/>
                <w:highlight w:val="none"/>
              </w:rPr>
              <w:t>设计方案</w:t>
            </w:r>
            <w:r>
              <w:rPr>
                <w:rFonts w:ascii="仿宋" w:hAnsi="仿宋" w:eastAsia="仿宋" w:cs="仿宋"/>
                <w:color w:val="000000"/>
                <w:sz w:val="24"/>
                <w:highlight w:val="none"/>
              </w:rPr>
              <w:t>与</w:t>
            </w:r>
            <w:r>
              <w:rPr>
                <w:rFonts w:hint="eastAsia" w:ascii="仿宋" w:hAnsi="仿宋" w:eastAsia="仿宋" w:cs="仿宋"/>
                <w:color w:val="000000"/>
                <w:sz w:val="24"/>
                <w:highlight w:val="none"/>
              </w:rPr>
              <w:t>本项目的展示主题及定位</w:t>
            </w:r>
            <w:r>
              <w:rPr>
                <w:rFonts w:ascii="仿宋" w:hAnsi="仿宋" w:eastAsia="仿宋" w:cs="仿宋"/>
                <w:color w:val="000000"/>
                <w:sz w:val="24"/>
                <w:highlight w:val="none"/>
              </w:rPr>
              <w:t>相呼应</w:t>
            </w:r>
            <w:r>
              <w:rPr>
                <w:rFonts w:hint="eastAsia" w:ascii="仿宋" w:hAnsi="仿宋" w:eastAsia="仿宋" w:cs="仿宋"/>
                <w:color w:val="000000"/>
                <w:sz w:val="24"/>
                <w:highlight w:val="none"/>
                <w:lang w:eastAsia="zh-CN"/>
              </w:rPr>
              <w:t>，</w:t>
            </w:r>
            <w:r>
              <w:rPr>
                <w:rFonts w:hint="eastAsia" w:ascii="仿宋" w:hAnsi="仿宋" w:eastAsia="仿宋" w:cs="仿宋"/>
                <w:bCs/>
                <w:sz w:val="24"/>
                <w:szCs w:val="24"/>
                <w:highlight w:val="none"/>
                <w:lang w:val="en-US" w:eastAsia="zh-CN"/>
              </w:rPr>
              <w:t>符合社区的特点，设计新颖，有特色，颜色丰富，立体感强内容符合科学性、完整合理的得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lang w:val="en-US" w:eastAsia="zh-CN"/>
              </w:rPr>
              <w:t>分；内容基本完整，描述较合理的得</w:t>
            </w:r>
            <w:r>
              <w:rPr>
                <w:rFonts w:hint="eastAsia" w:ascii="仿宋" w:hAnsi="仿宋" w:cs="仿宋"/>
                <w:bCs/>
                <w:sz w:val="24"/>
                <w:szCs w:val="24"/>
                <w:highlight w:val="none"/>
                <w:lang w:val="en-US" w:eastAsia="zh-CN"/>
              </w:rPr>
              <w:t>3</w:t>
            </w:r>
            <w:r>
              <w:rPr>
                <w:rFonts w:hint="eastAsia" w:ascii="仿宋" w:hAnsi="仿宋" w:eastAsia="仿宋" w:cs="仿宋"/>
                <w:bCs/>
                <w:sz w:val="24"/>
                <w:szCs w:val="24"/>
                <w:highlight w:val="none"/>
                <w:lang w:val="en-US" w:eastAsia="zh-CN"/>
              </w:rPr>
              <w:t>分；内容有欠缺，描述欠合理的得1分；内容较差或未提供的不得分。</w:t>
            </w:r>
          </w:p>
        </w:tc>
        <w:tc>
          <w:tcPr>
            <w:tcW w:w="412"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5</w:t>
            </w:r>
          </w:p>
        </w:tc>
        <w:tc>
          <w:tcPr>
            <w:tcW w:w="943" w:type="pct"/>
            <w:vMerge w:val="restar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室外标识标牌</w:t>
            </w:r>
            <w:r>
              <w:rPr>
                <w:rFonts w:hint="eastAsia" w:ascii="仿宋" w:hAnsi="仿宋" w:eastAsia="仿宋" w:cs="仿宋"/>
                <w:bCs/>
                <w:sz w:val="24"/>
                <w:szCs w:val="24"/>
                <w:highlight w:val="none"/>
                <w:lang w:val="en-US" w:eastAsia="zh-CN"/>
              </w:rPr>
              <w:t>设计（主观)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358"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9</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品牌标识标牌主题</w:t>
            </w:r>
            <w:r>
              <w:rPr>
                <w:rFonts w:hint="eastAsia" w:ascii="仿宋" w:hAnsi="仿宋" w:eastAsia="仿宋" w:cs="仿宋"/>
                <w:bCs/>
                <w:sz w:val="24"/>
                <w:szCs w:val="24"/>
                <w:highlight w:val="none"/>
                <w:lang w:val="en-US" w:eastAsia="zh-CN"/>
              </w:rPr>
              <w:t>设计：</w:t>
            </w:r>
          </w:p>
          <w:p>
            <w:pPr>
              <w:spacing w:line="240" w:lineRule="auto"/>
              <w:jc w:val="left"/>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设计方案</w:t>
            </w:r>
            <w:r>
              <w:rPr>
                <w:rFonts w:ascii="仿宋" w:hAnsi="仿宋" w:eastAsia="仿宋" w:cs="仿宋"/>
                <w:color w:val="000000"/>
                <w:sz w:val="24"/>
                <w:highlight w:val="none"/>
              </w:rPr>
              <w:t>与</w:t>
            </w:r>
            <w:r>
              <w:rPr>
                <w:rFonts w:hint="eastAsia" w:ascii="仿宋" w:hAnsi="仿宋" w:eastAsia="仿宋" w:cs="仿宋"/>
                <w:color w:val="000000"/>
                <w:sz w:val="24"/>
                <w:highlight w:val="none"/>
              </w:rPr>
              <w:t>本项目的展示主题及定位</w:t>
            </w:r>
            <w:r>
              <w:rPr>
                <w:rFonts w:ascii="仿宋" w:hAnsi="仿宋" w:eastAsia="仿宋" w:cs="仿宋"/>
                <w:color w:val="000000"/>
                <w:sz w:val="24"/>
                <w:highlight w:val="none"/>
              </w:rPr>
              <w:t>相呼应</w:t>
            </w:r>
            <w:r>
              <w:rPr>
                <w:rFonts w:hint="eastAsia" w:ascii="仿宋" w:hAnsi="仿宋" w:eastAsia="仿宋" w:cs="仿宋"/>
                <w:color w:val="000000"/>
                <w:sz w:val="24"/>
                <w:highlight w:val="none"/>
                <w:lang w:eastAsia="zh-CN"/>
              </w:rPr>
              <w:t>，</w:t>
            </w:r>
            <w:r>
              <w:rPr>
                <w:rFonts w:hint="eastAsia" w:ascii="仿宋" w:hAnsi="仿宋" w:eastAsia="仿宋" w:cs="仿宋"/>
                <w:bCs/>
                <w:sz w:val="24"/>
                <w:szCs w:val="24"/>
                <w:highlight w:val="none"/>
                <w:lang w:val="en-US" w:eastAsia="zh-CN"/>
              </w:rPr>
              <w:t>符合社区的特点，设计新颖，有特色，颜色丰富，立体感强内容符合科学性、完整合理的得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lang w:val="en-US" w:eastAsia="zh-CN"/>
              </w:rPr>
              <w:t>分；内容基本完整，描述较合理的得</w:t>
            </w:r>
            <w:r>
              <w:rPr>
                <w:rFonts w:hint="eastAsia" w:ascii="仿宋" w:hAnsi="仿宋" w:cs="仿宋"/>
                <w:bCs/>
                <w:sz w:val="24"/>
                <w:szCs w:val="24"/>
                <w:highlight w:val="none"/>
                <w:lang w:val="en-US" w:eastAsia="zh-CN"/>
              </w:rPr>
              <w:t>3</w:t>
            </w:r>
            <w:r>
              <w:rPr>
                <w:rFonts w:hint="eastAsia" w:ascii="仿宋" w:hAnsi="仿宋" w:eastAsia="仿宋" w:cs="仿宋"/>
                <w:bCs/>
                <w:sz w:val="24"/>
                <w:szCs w:val="24"/>
                <w:highlight w:val="none"/>
                <w:lang w:val="en-US" w:eastAsia="zh-CN"/>
              </w:rPr>
              <w:t>分；内容有欠缺，描述欠合理的得</w:t>
            </w:r>
            <w:r>
              <w:rPr>
                <w:rFonts w:hint="eastAsia" w:ascii="仿宋" w:hAnsi="仿宋" w:cs="仿宋"/>
                <w:bCs/>
                <w:sz w:val="24"/>
                <w:szCs w:val="24"/>
                <w:highlight w:val="none"/>
                <w:lang w:val="en-US" w:eastAsia="zh-CN"/>
              </w:rPr>
              <w:t>1</w:t>
            </w:r>
            <w:r>
              <w:rPr>
                <w:rFonts w:hint="eastAsia" w:ascii="仿宋" w:hAnsi="仿宋" w:eastAsia="仿宋" w:cs="仿宋"/>
                <w:bCs/>
                <w:sz w:val="24"/>
                <w:szCs w:val="24"/>
                <w:highlight w:val="none"/>
                <w:lang w:val="en-US" w:eastAsia="zh-CN"/>
              </w:rPr>
              <w:t>分；内容较差或未提供的不得分。</w:t>
            </w:r>
          </w:p>
        </w:tc>
        <w:tc>
          <w:tcPr>
            <w:tcW w:w="412"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5</w:t>
            </w:r>
          </w:p>
        </w:tc>
        <w:tc>
          <w:tcPr>
            <w:tcW w:w="943" w:type="pct"/>
            <w:vMerge w:val="continue"/>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358"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10</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户外长廊标识标牌</w:t>
            </w:r>
            <w:r>
              <w:rPr>
                <w:rFonts w:hint="eastAsia" w:ascii="仿宋" w:hAnsi="仿宋" w:eastAsia="仿宋" w:cs="仿宋"/>
                <w:bCs/>
                <w:sz w:val="24"/>
                <w:szCs w:val="24"/>
                <w:highlight w:val="none"/>
                <w:lang w:val="en-US" w:eastAsia="zh-CN"/>
              </w:rPr>
              <w:t>展陈设计：</w:t>
            </w:r>
          </w:p>
          <w:p>
            <w:pPr>
              <w:spacing w:line="240" w:lineRule="auto"/>
              <w:jc w:val="left"/>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设计方案</w:t>
            </w:r>
            <w:r>
              <w:rPr>
                <w:rFonts w:ascii="仿宋" w:hAnsi="仿宋" w:eastAsia="仿宋" w:cs="仿宋"/>
                <w:color w:val="000000"/>
                <w:sz w:val="24"/>
                <w:highlight w:val="none"/>
              </w:rPr>
              <w:t>与</w:t>
            </w:r>
            <w:r>
              <w:rPr>
                <w:rFonts w:hint="eastAsia" w:ascii="仿宋" w:hAnsi="仿宋" w:eastAsia="仿宋" w:cs="仿宋"/>
                <w:color w:val="000000"/>
                <w:sz w:val="24"/>
                <w:highlight w:val="none"/>
              </w:rPr>
              <w:t>本项目的展示主题及定位</w:t>
            </w:r>
            <w:r>
              <w:rPr>
                <w:rFonts w:ascii="仿宋" w:hAnsi="仿宋" w:eastAsia="仿宋" w:cs="仿宋"/>
                <w:color w:val="000000"/>
                <w:sz w:val="24"/>
                <w:highlight w:val="none"/>
              </w:rPr>
              <w:t>相呼应</w:t>
            </w:r>
            <w:r>
              <w:rPr>
                <w:rFonts w:hint="eastAsia" w:ascii="仿宋" w:hAnsi="仿宋" w:eastAsia="仿宋" w:cs="仿宋"/>
                <w:color w:val="000000"/>
                <w:sz w:val="24"/>
                <w:highlight w:val="none"/>
                <w:lang w:eastAsia="zh-CN"/>
              </w:rPr>
              <w:t>，</w:t>
            </w:r>
            <w:r>
              <w:rPr>
                <w:rFonts w:hint="eastAsia" w:ascii="仿宋" w:hAnsi="仿宋" w:eastAsia="仿宋" w:cs="仿宋"/>
                <w:bCs/>
                <w:sz w:val="24"/>
                <w:szCs w:val="24"/>
                <w:highlight w:val="none"/>
                <w:lang w:val="en-US" w:eastAsia="zh-CN"/>
              </w:rPr>
              <w:t>符合社区的特点，设计新颖，有特色，颜色丰富，立体感强内容符合科学性、完整合理的得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lang w:val="en-US" w:eastAsia="zh-CN"/>
              </w:rPr>
              <w:t>分；内容基本完整，描述较合理的得</w:t>
            </w:r>
            <w:r>
              <w:rPr>
                <w:rFonts w:hint="eastAsia" w:ascii="仿宋" w:hAnsi="仿宋" w:cs="仿宋"/>
                <w:bCs/>
                <w:sz w:val="24"/>
                <w:szCs w:val="24"/>
                <w:highlight w:val="none"/>
                <w:lang w:val="en-US" w:eastAsia="zh-CN"/>
              </w:rPr>
              <w:t>3</w:t>
            </w:r>
            <w:r>
              <w:rPr>
                <w:rFonts w:hint="eastAsia" w:ascii="仿宋" w:hAnsi="仿宋" w:eastAsia="仿宋" w:cs="仿宋"/>
                <w:bCs/>
                <w:sz w:val="24"/>
                <w:szCs w:val="24"/>
                <w:highlight w:val="none"/>
                <w:lang w:val="en-US" w:eastAsia="zh-CN"/>
              </w:rPr>
              <w:t>分；内容有欠缺，描述欠合理的得</w:t>
            </w:r>
            <w:r>
              <w:rPr>
                <w:rFonts w:hint="eastAsia" w:ascii="仿宋" w:hAnsi="仿宋" w:cs="仿宋"/>
                <w:bCs/>
                <w:sz w:val="24"/>
                <w:szCs w:val="24"/>
                <w:highlight w:val="none"/>
                <w:lang w:val="en-US" w:eastAsia="zh-CN"/>
              </w:rPr>
              <w:t>1</w:t>
            </w:r>
            <w:r>
              <w:rPr>
                <w:rFonts w:hint="eastAsia" w:ascii="仿宋" w:hAnsi="仿宋" w:eastAsia="仿宋" w:cs="仿宋"/>
                <w:bCs/>
                <w:sz w:val="24"/>
                <w:szCs w:val="24"/>
                <w:highlight w:val="none"/>
                <w:lang w:val="en-US" w:eastAsia="zh-CN"/>
              </w:rPr>
              <w:t>分；内容较差或未提供的不得分。</w:t>
            </w:r>
          </w:p>
        </w:tc>
        <w:tc>
          <w:tcPr>
            <w:tcW w:w="412"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5</w:t>
            </w:r>
          </w:p>
        </w:tc>
        <w:tc>
          <w:tcPr>
            <w:tcW w:w="943" w:type="pct"/>
            <w:vMerge w:val="continue"/>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358" w:type="pct"/>
            <w:noWrap w:val="0"/>
            <w:vAlign w:val="center"/>
          </w:tcPr>
          <w:p>
            <w:pPr>
              <w:spacing w:line="240" w:lineRule="auto"/>
              <w:jc w:val="center"/>
              <w:outlineLvl w:val="0"/>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11</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周边文创</w:t>
            </w:r>
            <w:r>
              <w:rPr>
                <w:rFonts w:hint="eastAsia" w:ascii="仿宋" w:hAnsi="仿宋" w:eastAsia="仿宋" w:cs="仿宋"/>
                <w:bCs/>
                <w:sz w:val="24"/>
                <w:szCs w:val="24"/>
                <w:highlight w:val="none"/>
                <w:lang w:val="en-US" w:eastAsia="zh-CN"/>
              </w:rPr>
              <w:t>设计：</w:t>
            </w:r>
          </w:p>
          <w:p>
            <w:pPr>
              <w:spacing w:line="240" w:lineRule="auto"/>
              <w:jc w:val="left"/>
              <w:outlineLvl w:val="0"/>
              <w:rPr>
                <w:rFonts w:hint="eastAsia" w:ascii="仿宋" w:hAnsi="仿宋" w:eastAsia="仿宋" w:cs="仿宋"/>
                <w:color w:val="000000"/>
                <w:sz w:val="24"/>
                <w:highlight w:val="none"/>
              </w:rPr>
            </w:pPr>
            <w:r>
              <w:rPr>
                <w:rFonts w:hint="eastAsia" w:ascii="仿宋" w:hAnsi="仿宋" w:eastAsia="仿宋" w:cs="仿宋"/>
                <w:color w:val="000000"/>
                <w:sz w:val="24"/>
                <w:highlight w:val="none"/>
              </w:rPr>
              <w:t>设计方案</w:t>
            </w:r>
            <w:r>
              <w:rPr>
                <w:rFonts w:ascii="仿宋" w:hAnsi="仿宋" w:eastAsia="仿宋" w:cs="仿宋"/>
                <w:color w:val="000000"/>
                <w:sz w:val="24"/>
                <w:highlight w:val="none"/>
              </w:rPr>
              <w:t>与</w:t>
            </w:r>
            <w:r>
              <w:rPr>
                <w:rFonts w:hint="eastAsia" w:ascii="仿宋" w:hAnsi="仿宋" w:eastAsia="仿宋" w:cs="仿宋"/>
                <w:color w:val="000000"/>
                <w:sz w:val="24"/>
                <w:highlight w:val="none"/>
              </w:rPr>
              <w:t>本项目的展示主题及定位</w:t>
            </w:r>
            <w:r>
              <w:rPr>
                <w:rFonts w:ascii="仿宋" w:hAnsi="仿宋" w:eastAsia="仿宋" w:cs="仿宋"/>
                <w:color w:val="000000"/>
                <w:sz w:val="24"/>
                <w:highlight w:val="none"/>
              </w:rPr>
              <w:t>相呼应</w:t>
            </w:r>
            <w:r>
              <w:rPr>
                <w:rFonts w:hint="eastAsia" w:ascii="仿宋" w:hAnsi="仿宋" w:eastAsia="仿宋" w:cs="仿宋"/>
                <w:color w:val="000000"/>
                <w:sz w:val="24"/>
                <w:highlight w:val="none"/>
                <w:lang w:eastAsia="zh-CN"/>
              </w:rPr>
              <w:t>，</w:t>
            </w:r>
            <w:r>
              <w:rPr>
                <w:rFonts w:hint="eastAsia" w:ascii="仿宋" w:hAnsi="仿宋" w:eastAsia="仿宋" w:cs="仿宋"/>
                <w:bCs/>
                <w:sz w:val="24"/>
                <w:szCs w:val="24"/>
                <w:highlight w:val="none"/>
                <w:lang w:val="en-US" w:eastAsia="zh-CN"/>
              </w:rPr>
              <w:t>符合社区的特点，设计新颖，有特色，颜色丰富，立体感强内容符合科学性、完整合理的得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lang w:val="en-US" w:eastAsia="zh-CN"/>
              </w:rPr>
              <w:t>分；内容基本完整，描述较合理的得</w:t>
            </w:r>
            <w:r>
              <w:rPr>
                <w:rFonts w:hint="eastAsia" w:ascii="仿宋" w:hAnsi="仿宋" w:cs="仿宋"/>
                <w:bCs/>
                <w:sz w:val="24"/>
                <w:szCs w:val="24"/>
                <w:highlight w:val="none"/>
                <w:lang w:val="en-US" w:eastAsia="zh-CN"/>
              </w:rPr>
              <w:t>3</w:t>
            </w:r>
            <w:r>
              <w:rPr>
                <w:rFonts w:hint="eastAsia" w:ascii="仿宋" w:hAnsi="仿宋" w:eastAsia="仿宋" w:cs="仿宋"/>
                <w:bCs/>
                <w:sz w:val="24"/>
                <w:szCs w:val="24"/>
                <w:highlight w:val="none"/>
                <w:lang w:val="en-US" w:eastAsia="zh-CN"/>
              </w:rPr>
              <w:t>分；内容有欠缺，描述欠合理的得</w:t>
            </w:r>
            <w:r>
              <w:rPr>
                <w:rFonts w:hint="eastAsia" w:ascii="仿宋" w:hAnsi="仿宋" w:cs="仿宋"/>
                <w:bCs/>
                <w:sz w:val="24"/>
                <w:szCs w:val="24"/>
                <w:highlight w:val="none"/>
                <w:lang w:val="en-US" w:eastAsia="zh-CN"/>
              </w:rPr>
              <w:t>1</w:t>
            </w:r>
            <w:r>
              <w:rPr>
                <w:rFonts w:hint="eastAsia" w:ascii="仿宋" w:hAnsi="仿宋" w:eastAsia="仿宋" w:cs="仿宋"/>
                <w:bCs/>
                <w:sz w:val="24"/>
                <w:szCs w:val="24"/>
                <w:highlight w:val="none"/>
                <w:lang w:val="en-US" w:eastAsia="zh-CN"/>
              </w:rPr>
              <w:t>分；内容较差或未提供的不得分。</w:t>
            </w:r>
          </w:p>
        </w:tc>
        <w:tc>
          <w:tcPr>
            <w:tcW w:w="412" w:type="pct"/>
            <w:noWrap w:val="0"/>
            <w:vAlign w:val="center"/>
          </w:tcPr>
          <w:p>
            <w:pPr>
              <w:spacing w:line="240" w:lineRule="auto"/>
              <w:jc w:val="center"/>
              <w:outlineLvl w:val="0"/>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5</w:t>
            </w:r>
          </w:p>
        </w:tc>
        <w:tc>
          <w:tcPr>
            <w:tcW w:w="943"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周边文创设计</w:t>
            </w:r>
            <w:r>
              <w:rPr>
                <w:rFonts w:hint="eastAsia" w:ascii="仿宋" w:hAnsi="仿宋" w:eastAsia="仿宋" w:cs="仿宋"/>
                <w:bCs/>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358"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12</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是否具有的合理、科学、全面的技术方案、优化方案</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根据对投标项目的理解程度、总体方案、组织实施、独到优势、</w:t>
            </w:r>
            <w:r>
              <w:rPr>
                <w:rFonts w:hint="eastAsia" w:ascii="仿宋" w:hAnsi="仿宋" w:eastAsia="仿宋" w:cs="仿宋"/>
                <w:bCs/>
                <w:sz w:val="24"/>
                <w:szCs w:val="24"/>
                <w:highlight w:val="none"/>
                <w:lang w:val="zh-CN" w:eastAsia="zh-CN"/>
              </w:rPr>
              <w:t>提供的本项目</w:t>
            </w:r>
            <w:r>
              <w:rPr>
                <w:rFonts w:hint="eastAsia" w:ascii="仿宋" w:hAnsi="仿宋" w:eastAsia="仿宋" w:cs="仿宋"/>
                <w:bCs/>
                <w:sz w:val="24"/>
                <w:szCs w:val="24"/>
                <w:highlight w:val="none"/>
                <w:lang w:val="en-US" w:eastAsia="zh-CN"/>
              </w:rPr>
              <w:t>现场</w:t>
            </w:r>
            <w:r>
              <w:rPr>
                <w:rFonts w:hint="eastAsia" w:ascii="仿宋" w:hAnsi="仿宋" w:eastAsia="仿宋" w:cs="仿宋"/>
                <w:bCs/>
                <w:sz w:val="24"/>
                <w:szCs w:val="24"/>
                <w:highlight w:val="none"/>
                <w:lang w:val="zh-CN" w:eastAsia="zh-CN"/>
              </w:rPr>
              <w:t>安装、</w:t>
            </w:r>
            <w:r>
              <w:rPr>
                <w:rFonts w:hint="eastAsia" w:ascii="仿宋" w:hAnsi="仿宋" w:eastAsia="仿宋" w:cs="仿宋"/>
                <w:bCs/>
                <w:sz w:val="24"/>
                <w:szCs w:val="24"/>
                <w:highlight w:val="none"/>
                <w:lang w:val="en-US" w:eastAsia="zh-CN"/>
              </w:rPr>
              <w:t>布置</w:t>
            </w:r>
            <w:r>
              <w:rPr>
                <w:rFonts w:hint="eastAsia" w:ascii="仿宋" w:hAnsi="仿宋" w:eastAsia="仿宋" w:cs="仿宋"/>
                <w:bCs/>
                <w:sz w:val="24"/>
                <w:szCs w:val="24"/>
                <w:highlight w:val="none"/>
                <w:lang w:val="zh-CN" w:eastAsia="zh-CN"/>
              </w:rPr>
              <w:t>实施方案，</w:t>
            </w:r>
            <w:r>
              <w:rPr>
                <w:rFonts w:hint="eastAsia" w:ascii="仿宋" w:hAnsi="仿宋" w:eastAsia="仿宋" w:cs="仿宋"/>
                <w:bCs/>
                <w:sz w:val="24"/>
                <w:szCs w:val="24"/>
                <w:highlight w:val="none"/>
                <w:lang w:val="en-US" w:eastAsia="zh-CN"/>
              </w:rPr>
              <w:t>所提供方案的合理性、</w:t>
            </w:r>
            <w:r>
              <w:rPr>
                <w:rFonts w:hint="eastAsia" w:ascii="仿宋" w:hAnsi="仿宋" w:eastAsia="仿宋" w:cs="仿宋"/>
                <w:bCs/>
                <w:sz w:val="24"/>
                <w:szCs w:val="24"/>
                <w:highlight w:val="none"/>
                <w:lang w:val="zh-CN" w:eastAsia="zh-CN"/>
              </w:rPr>
              <w:t>可行性、便利性、</w:t>
            </w:r>
            <w:r>
              <w:rPr>
                <w:rFonts w:hint="eastAsia" w:ascii="仿宋" w:hAnsi="仿宋" w:eastAsia="仿宋" w:cs="仿宋"/>
                <w:bCs/>
                <w:sz w:val="24"/>
                <w:szCs w:val="24"/>
                <w:highlight w:val="none"/>
                <w:lang w:val="en-US" w:eastAsia="zh-CN"/>
              </w:rPr>
              <w:t>安全性</w:t>
            </w:r>
            <w:r>
              <w:rPr>
                <w:rFonts w:hint="eastAsia" w:ascii="仿宋" w:hAnsi="仿宋" w:eastAsia="仿宋" w:cs="仿宋"/>
                <w:bCs/>
                <w:sz w:val="24"/>
                <w:szCs w:val="24"/>
                <w:highlight w:val="none"/>
                <w:lang w:val="zh-CN" w:eastAsia="zh-CN"/>
              </w:rPr>
              <w:t>等</w:t>
            </w:r>
            <w:r>
              <w:rPr>
                <w:rFonts w:hint="eastAsia" w:ascii="仿宋" w:hAnsi="仿宋" w:eastAsia="仿宋" w:cs="仿宋"/>
                <w:bCs/>
                <w:sz w:val="24"/>
                <w:szCs w:val="24"/>
                <w:highlight w:val="none"/>
                <w:lang w:val="en-US" w:eastAsia="zh-CN"/>
              </w:rPr>
              <w:t>等情况综合评定。</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内容符合项目实际情况</w:t>
            </w:r>
            <w:r>
              <w:rPr>
                <w:rFonts w:hint="eastAsia" w:ascii="仿宋" w:hAnsi="仿宋" w:eastAsia="仿宋" w:cs="仿宋"/>
                <w:bCs/>
                <w:sz w:val="24"/>
                <w:szCs w:val="24"/>
                <w:highlight w:val="none"/>
                <w:lang w:val="zh-CN" w:eastAsia="zh-CN"/>
              </w:rPr>
              <w:t>，</w:t>
            </w:r>
            <w:r>
              <w:rPr>
                <w:rFonts w:hint="eastAsia" w:ascii="仿宋" w:hAnsi="仿宋" w:eastAsia="仿宋" w:cs="仿宋"/>
                <w:bCs/>
                <w:sz w:val="24"/>
                <w:szCs w:val="24"/>
                <w:highlight w:val="none"/>
                <w:lang w:val="en-US" w:eastAsia="zh-CN"/>
              </w:rPr>
              <w:t>内容完整、描述完善的</w:t>
            </w:r>
            <w:r>
              <w:rPr>
                <w:rFonts w:hint="eastAsia" w:ascii="仿宋" w:hAnsi="仿宋" w:eastAsia="仿宋" w:cs="仿宋"/>
                <w:bCs/>
                <w:sz w:val="24"/>
                <w:szCs w:val="24"/>
                <w:highlight w:val="none"/>
                <w:lang w:val="zh-CN" w:eastAsia="zh-CN"/>
              </w:rPr>
              <w:t>得</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lang w:val="zh-CN" w:eastAsia="zh-CN"/>
              </w:rPr>
              <w:t>分，</w:t>
            </w:r>
            <w:r>
              <w:rPr>
                <w:rFonts w:hint="eastAsia" w:ascii="仿宋" w:hAnsi="仿宋" w:eastAsia="仿宋" w:cs="仿宋"/>
                <w:bCs/>
                <w:sz w:val="24"/>
                <w:szCs w:val="24"/>
                <w:highlight w:val="none"/>
                <w:lang w:val="en-US" w:eastAsia="zh-CN"/>
              </w:rPr>
              <w:t>基本满足项目</w:t>
            </w:r>
            <w:r>
              <w:rPr>
                <w:rFonts w:hint="eastAsia" w:ascii="仿宋" w:hAnsi="仿宋" w:eastAsia="仿宋" w:cs="仿宋"/>
                <w:bCs/>
                <w:sz w:val="24"/>
                <w:szCs w:val="24"/>
                <w:highlight w:val="none"/>
                <w:lang w:val="zh-CN" w:eastAsia="zh-CN"/>
              </w:rPr>
              <w:t>要求、</w:t>
            </w:r>
            <w:r>
              <w:rPr>
                <w:rFonts w:hint="eastAsia" w:ascii="仿宋" w:hAnsi="仿宋" w:eastAsia="仿宋" w:cs="仿宋"/>
                <w:bCs/>
                <w:sz w:val="24"/>
                <w:szCs w:val="24"/>
                <w:highlight w:val="none"/>
                <w:lang w:val="en-US" w:eastAsia="zh-CN"/>
              </w:rPr>
              <w:t>内容较完整的</w:t>
            </w:r>
            <w:r>
              <w:rPr>
                <w:rFonts w:hint="eastAsia" w:ascii="仿宋" w:hAnsi="仿宋" w:eastAsia="仿宋" w:cs="仿宋"/>
                <w:bCs/>
                <w:sz w:val="24"/>
                <w:szCs w:val="24"/>
                <w:highlight w:val="none"/>
                <w:lang w:val="zh-CN" w:eastAsia="zh-CN"/>
              </w:rPr>
              <w:t>得</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val="zh-CN" w:eastAsia="zh-CN"/>
              </w:rPr>
              <w:t>分，</w:t>
            </w:r>
            <w:r>
              <w:rPr>
                <w:rFonts w:hint="eastAsia" w:ascii="仿宋" w:hAnsi="仿宋" w:eastAsia="仿宋" w:cs="仿宋"/>
                <w:bCs/>
                <w:sz w:val="24"/>
                <w:szCs w:val="24"/>
                <w:highlight w:val="none"/>
                <w:lang w:val="en-US" w:eastAsia="zh-CN"/>
              </w:rPr>
              <w:t>内容有欠缺，描述欠合理的得1分；</w:t>
            </w:r>
            <w:r>
              <w:rPr>
                <w:rFonts w:hint="eastAsia" w:ascii="仿宋" w:hAnsi="仿宋" w:eastAsia="仿宋" w:cs="仿宋"/>
                <w:bCs/>
                <w:sz w:val="24"/>
                <w:szCs w:val="24"/>
                <w:highlight w:val="none"/>
                <w:lang w:val="zh-CN" w:eastAsia="zh-CN"/>
              </w:rPr>
              <w:t>不满足</w:t>
            </w:r>
            <w:r>
              <w:rPr>
                <w:rFonts w:hint="eastAsia" w:ascii="仿宋" w:hAnsi="仿宋" w:eastAsia="仿宋" w:cs="仿宋"/>
                <w:bCs/>
                <w:sz w:val="24"/>
                <w:szCs w:val="24"/>
                <w:highlight w:val="none"/>
                <w:lang w:val="en-US" w:eastAsia="zh-CN"/>
              </w:rPr>
              <w:t>或未提供的</w:t>
            </w:r>
            <w:r>
              <w:rPr>
                <w:rFonts w:hint="eastAsia" w:ascii="仿宋" w:hAnsi="仿宋" w:eastAsia="仿宋" w:cs="仿宋"/>
                <w:bCs/>
                <w:sz w:val="24"/>
                <w:szCs w:val="24"/>
                <w:highlight w:val="none"/>
                <w:lang w:val="zh-CN" w:eastAsia="zh-CN"/>
              </w:rPr>
              <w:t>不得分。</w:t>
            </w:r>
          </w:p>
        </w:tc>
        <w:tc>
          <w:tcPr>
            <w:tcW w:w="412"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p>
        </w:tc>
        <w:tc>
          <w:tcPr>
            <w:tcW w:w="943"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技术方案</w:t>
            </w:r>
          </w:p>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358"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r>
              <w:rPr>
                <w:rFonts w:hint="eastAsia" w:ascii="仿宋" w:hAnsi="仿宋" w:cs="仿宋"/>
                <w:bCs/>
                <w:sz w:val="24"/>
                <w:szCs w:val="24"/>
                <w:highlight w:val="none"/>
                <w:lang w:val="en-US" w:eastAsia="zh-CN"/>
              </w:rPr>
              <w:t>3</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项目进度计划：</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供应商对本项目的进度要求有具体的可行的进度实施计划及安排和保障措施。</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内容符合科学性、完整合理的得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lang w:val="en-US" w:eastAsia="zh-CN"/>
              </w:rPr>
              <w:t>分；内容基本完整，描述较合理的得</w:t>
            </w:r>
            <w:r>
              <w:rPr>
                <w:rFonts w:hint="eastAsia" w:ascii="仿宋" w:hAnsi="仿宋" w:cs="仿宋"/>
                <w:bCs/>
                <w:sz w:val="24"/>
                <w:szCs w:val="24"/>
                <w:highlight w:val="none"/>
                <w:lang w:val="en-US" w:eastAsia="zh-CN"/>
              </w:rPr>
              <w:t>3</w:t>
            </w:r>
            <w:r>
              <w:rPr>
                <w:rFonts w:hint="eastAsia" w:ascii="仿宋" w:hAnsi="仿宋" w:eastAsia="仿宋" w:cs="仿宋"/>
                <w:bCs/>
                <w:sz w:val="24"/>
                <w:szCs w:val="24"/>
                <w:highlight w:val="none"/>
                <w:lang w:val="en-US" w:eastAsia="zh-CN"/>
              </w:rPr>
              <w:t>分；内容有欠缺，描述欠合理的得1分；内容较差或未提供的不得分。</w:t>
            </w:r>
          </w:p>
        </w:tc>
        <w:tc>
          <w:tcPr>
            <w:tcW w:w="412"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5</w:t>
            </w:r>
          </w:p>
        </w:tc>
        <w:tc>
          <w:tcPr>
            <w:tcW w:w="943"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进度计划</w:t>
            </w:r>
          </w:p>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358"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r>
              <w:rPr>
                <w:rFonts w:hint="eastAsia" w:ascii="仿宋" w:hAnsi="仿宋" w:cs="仿宋"/>
                <w:bCs/>
                <w:sz w:val="24"/>
                <w:szCs w:val="24"/>
                <w:highlight w:val="none"/>
                <w:lang w:val="en-US" w:eastAsia="zh-CN"/>
              </w:rPr>
              <w:t>4</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现场安全文明管理措施：</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对现场施工、安装等是否有安全管理措施，并阐明具体的文明作业现场管理措施等综合评分。</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内容符合科学性、完整合理的得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lang w:val="en-US" w:eastAsia="zh-CN"/>
              </w:rPr>
              <w:t>分；内容基本完整，描述较合理的得3分；内容有欠缺，描述欠合理的得1分；内容较差或未提供的不得分。</w:t>
            </w:r>
          </w:p>
        </w:tc>
        <w:tc>
          <w:tcPr>
            <w:tcW w:w="412"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5</w:t>
            </w:r>
          </w:p>
        </w:tc>
        <w:tc>
          <w:tcPr>
            <w:tcW w:w="943"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安全文明措施</w:t>
            </w:r>
          </w:p>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358"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15</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项目实施安全保障及货物安全保障：</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供应商对本项目的实施安全、货物安全是否有具体、可行、有效的保障措施。</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内容符合科学性、完整合理的得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lang w:val="en-US" w:eastAsia="zh-CN"/>
              </w:rPr>
              <w:t>分；内容基本完整，描述较合理的得3分；内容有欠缺，描述欠合理的得1分；内容较差或未提供的不得分。</w:t>
            </w:r>
          </w:p>
        </w:tc>
        <w:tc>
          <w:tcPr>
            <w:tcW w:w="412"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5</w:t>
            </w:r>
          </w:p>
        </w:tc>
        <w:tc>
          <w:tcPr>
            <w:tcW w:w="943"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保障措施</w:t>
            </w:r>
          </w:p>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8"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16</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是否针对本项目具有明确的应急预案：</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包含但不限于突发天气、突发事件、运输安全、成品保护等工作中可能遇到的突发性情况所制定的应急预案），根据应急预案是否合理、规范、针对性强进行评审。</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内容符合科学性、完整合理的得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lang w:val="en-US" w:eastAsia="zh-CN"/>
              </w:rPr>
              <w:t>分；内容基本完整，描述较合理的得3分；内容有欠缺，描述欠合理的得1分；内容较差或未提供的不得分。</w:t>
            </w:r>
          </w:p>
        </w:tc>
        <w:tc>
          <w:tcPr>
            <w:tcW w:w="412"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5</w:t>
            </w:r>
          </w:p>
        </w:tc>
        <w:tc>
          <w:tcPr>
            <w:tcW w:w="943"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应急预案</w:t>
            </w:r>
          </w:p>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358"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17</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投标人提供的售后维护机构和人员配置等情况、售后服务方案、售后服务承诺的科学性、可行性、完整性。方案详细、合理、满足采购需求的得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lang w:val="en-US" w:eastAsia="zh-CN"/>
              </w:rPr>
              <w:t>分；方案可行、基本满足采购需求的得3分；方案一般、部分满足得1分，不满足不得分。</w:t>
            </w:r>
          </w:p>
        </w:tc>
        <w:tc>
          <w:tcPr>
            <w:tcW w:w="412"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5</w:t>
            </w:r>
          </w:p>
        </w:tc>
        <w:tc>
          <w:tcPr>
            <w:tcW w:w="943"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售后服务</w:t>
            </w:r>
          </w:p>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58" w:type="pct"/>
            <w:noWrap w:val="0"/>
            <w:vAlign w:val="center"/>
          </w:tcPr>
          <w:p>
            <w:pPr>
              <w:spacing w:line="240" w:lineRule="auto"/>
              <w:jc w:val="center"/>
              <w:outlineLvl w:val="0"/>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18</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color w:val="000000"/>
                <w:sz w:val="24"/>
                <w:highlight w:val="none"/>
                <w:lang w:val="en-US" w:eastAsia="zh-CN"/>
              </w:rPr>
              <w:t>投标人是否具有较强的服务能力，提供优质、快捷的服务等综合评定。服务能力相对较好的得</w:t>
            </w:r>
            <w:r>
              <w:rPr>
                <w:rFonts w:hint="eastAsia" w:ascii="仿宋" w:hAnsi="仿宋" w:cs="仿宋"/>
                <w:color w:val="000000"/>
                <w:sz w:val="24"/>
                <w:highlight w:val="none"/>
                <w:lang w:val="en-US" w:eastAsia="zh-CN"/>
              </w:rPr>
              <w:t>3</w:t>
            </w:r>
            <w:r>
              <w:rPr>
                <w:rFonts w:hint="eastAsia" w:ascii="仿宋" w:hAnsi="仿宋" w:eastAsia="仿宋" w:cs="仿宋"/>
                <w:color w:val="000000"/>
                <w:sz w:val="24"/>
                <w:highlight w:val="none"/>
                <w:lang w:val="en-US" w:eastAsia="zh-CN"/>
              </w:rPr>
              <w:t>分，较好的得</w:t>
            </w:r>
            <w:r>
              <w:rPr>
                <w:rFonts w:hint="eastAsia" w:ascii="仿宋" w:hAnsi="仿宋" w:cs="仿宋"/>
                <w:color w:val="000000"/>
                <w:sz w:val="24"/>
                <w:highlight w:val="none"/>
                <w:lang w:val="en-US" w:eastAsia="zh-CN"/>
              </w:rPr>
              <w:t>2</w:t>
            </w:r>
            <w:r>
              <w:rPr>
                <w:rFonts w:hint="eastAsia" w:ascii="仿宋" w:hAnsi="仿宋" w:eastAsia="仿宋" w:cs="仿宋"/>
                <w:color w:val="000000"/>
                <w:sz w:val="24"/>
                <w:highlight w:val="none"/>
                <w:lang w:val="en-US" w:eastAsia="zh-CN"/>
              </w:rPr>
              <w:t>分，一般的</w:t>
            </w:r>
            <w:r>
              <w:rPr>
                <w:rFonts w:hint="eastAsia" w:ascii="仿宋" w:hAnsi="仿宋" w:cs="仿宋"/>
                <w:color w:val="000000"/>
                <w:sz w:val="24"/>
                <w:highlight w:val="none"/>
                <w:lang w:val="en-US" w:eastAsia="zh-CN"/>
              </w:rPr>
              <w:t>得1分。</w:t>
            </w:r>
          </w:p>
        </w:tc>
        <w:tc>
          <w:tcPr>
            <w:tcW w:w="412" w:type="pct"/>
            <w:noWrap w:val="0"/>
            <w:vAlign w:val="center"/>
          </w:tcPr>
          <w:p>
            <w:pPr>
              <w:spacing w:line="240" w:lineRule="auto"/>
              <w:jc w:val="center"/>
              <w:outlineLvl w:val="0"/>
              <w:rPr>
                <w:rFonts w:hint="eastAsia" w:ascii="仿宋" w:hAnsi="仿宋" w:cs="仿宋"/>
                <w:bCs/>
                <w:sz w:val="24"/>
                <w:szCs w:val="24"/>
                <w:highlight w:val="none"/>
                <w:lang w:val="en-US" w:eastAsia="zh-CN"/>
              </w:rPr>
            </w:pPr>
            <w:r>
              <w:rPr>
                <w:rFonts w:hint="eastAsia" w:ascii="仿宋" w:hAnsi="仿宋" w:cs="仿宋"/>
                <w:color w:val="000000"/>
                <w:sz w:val="24"/>
                <w:highlight w:val="none"/>
                <w:lang w:val="en-US" w:eastAsia="zh-CN"/>
              </w:rPr>
              <w:t>3</w:t>
            </w:r>
          </w:p>
        </w:tc>
        <w:tc>
          <w:tcPr>
            <w:tcW w:w="943"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服务能力</w:t>
            </w:r>
            <w:r>
              <w:rPr>
                <w:rFonts w:hint="eastAsia" w:ascii="仿宋" w:hAnsi="仿宋" w:cs="仿宋"/>
                <w:color w:val="000000"/>
                <w:kern w:val="0"/>
                <w:sz w:val="24"/>
                <w:szCs w:val="24"/>
                <w:highlight w:val="none"/>
                <w:lang w:val="en-US" w:eastAsia="zh-CN" w:bidi="ar"/>
              </w:rPr>
              <w:t xml:space="preserve">    </w:t>
            </w:r>
            <w:r>
              <w:rPr>
                <w:rFonts w:hint="eastAsia" w:ascii="仿宋" w:hAnsi="仿宋" w:eastAsia="仿宋" w:cs="仿宋"/>
                <w:bCs/>
                <w:sz w:val="24"/>
                <w:szCs w:val="24"/>
                <w:highlight w:val="none"/>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358"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20</w:t>
            </w:r>
          </w:p>
        </w:tc>
        <w:tc>
          <w:tcPr>
            <w:tcW w:w="3285" w:type="pct"/>
            <w:noWrap w:val="0"/>
            <w:vAlign w:val="center"/>
          </w:tcPr>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有效投标报价的最低价作为评标基准价，其最低报价为满分；按［投标报价得分=（评标基准价/投标报价）*10］的计算公式计算。</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评标过程中，不得去掉报价中的最高报价和最低报价。</w:t>
            </w:r>
          </w:p>
          <w:p>
            <w:pPr>
              <w:spacing w:line="240" w:lineRule="auto"/>
              <w:jc w:val="left"/>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因落实政府采购政策需要进行价格调整的，以调整后的价格计算评标基准价和投标报价。</w:t>
            </w:r>
          </w:p>
        </w:tc>
        <w:tc>
          <w:tcPr>
            <w:tcW w:w="412" w:type="pct"/>
            <w:noWrap w:val="0"/>
            <w:vAlign w:val="center"/>
          </w:tcPr>
          <w:p>
            <w:pPr>
              <w:spacing w:line="240" w:lineRule="auto"/>
              <w:jc w:val="center"/>
              <w:outlineLvl w:val="0"/>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10</w:t>
            </w:r>
          </w:p>
        </w:tc>
        <w:tc>
          <w:tcPr>
            <w:tcW w:w="943" w:type="pct"/>
            <w:noWrap w:val="0"/>
            <w:vAlign w:val="center"/>
          </w:tcPr>
          <w:p>
            <w:pPr>
              <w:spacing w:line="240" w:lineRule="auto"/>
              <w:jc w:val="center"/>
              <w:outlineLvl w:val="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ighlight w:val="none"/>
        </w:rPr>
      </w:pPr>
      <w:r>
        <w:rPr>
          <w:rFonts w:hint="eastAsia" w:ascii="仿宋" w:hAnsi="仿宋" w:eastAsia="仿宋" w:cs="仿宋"/>
          <w:sz w:val="20"/>
          <w:szCs w:val="20"/>
          <w:highlight w:val="none"/>
          <w:shd w:val="clear" w:color="auto" w:fill="FFFFFF"/>
        </w:rPr>
        <w:t> *</w:t>
      </w:r>
      <w:r>
        <w:rPr>
          <w:rFonts w:hint="eastAsia" w:ascii="仿宋" w:hAnsi="仿宋" w:eastAsia="仿宋" w:cs="仿宋"/>
          <w:b/>
          <w:sz w:val="24"/>
          <w:highlight w:val="none"/>
        </w:rPr>
        <w:t>备注：</w:t>
      </w:r>
      <w:r>
        <w:rPr>
          <w:rFonts w:hint="eastAsia" w:ascii="仿宋" w:hAnsi="仿宋" w:eastAsia="仿宋" w:cs="仿宋"/>
          <w:sz w:val="24"/>
          <w:highlight w:val="none"/>
        </w:rPr>
        <w:t>投标人编制投标文件（商务技术文件部分）时，建议按此目录（序号和内容）提供评标标准相应的商务技术资料。 </w:t>
      </w:r>
      <w:bookmarkEnd w:id="25"/>
    </w:p>
    <w:p>
      <w:pPr>
        <w:pStyle w:val="4"/>
        <w:rPr>
          <w:rFonts w:hint="eastAsia"/>
          <w:highlight w:val="none"/>
        </w:rPr>
      </w:pPr>
    </w:p>
    <w:p>
      <w:pPr>
        <w:snapToGrid w:val="0"/>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32"/>
          <w:highlight w:val="none"/>
        </w:rPr>
        <w:t>一、评标方法</w:t>
      </w:r>
    </w:p>
    <w:p>
      <w:pPr>
        <w:adjustRightInd/>
        <w:spacing w:line="360" w:lineRule="auto"/>
        <w:ind w:firstLine="472" w:firstLineChars="196"/>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1.本项目采用综合评分法。</w:t>
      </w:r>
      <w:r>
        <w:rPr>
          <w:rFonts w:hint="eastAsia" w:ascii="仿宋_GB2312" w:hAnsi="仿宋_GB2312" w:eastAsia="仿宋_GB2312" w:cs="仿宋_GB2312"/>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b/>
          <w:sz w:val="32"/>
          <w:highlight w:val="none"/>
        </w:rPr>
        <w:t>二、评标标准</w:t>
      </w:r>
    </w:p>
    <w:p>
      <w:pPr>
        <w:spacing w:line="360" w:lineRule="auto"/>
        <w:ind w:firstLine="472" w:firstLineChars="196"/>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2.</w:t>
      </w:r>
      <w:r>
        <w:rPr>
          <w:rFonts w:hint="eastAsia" w:ascii="仿宋_GB2312" w:hAnsi="仿宋_GB2312" w:eastAsia="仿宋_GB2312" w:cs="仿宋_GB2312"/>
          <w:sz w:val="21"/>
          <w:highlight w:val="none"/>
        </w:rPr>
        <w:t xml:space="preserve"> </w:t>
      </w:r>
      <w:r>
        <w:rPr>
          <w:rFonts w:hint="eastAsia" w:ascii="仿宋_GB2312" w:hAnsi="仿宋_GB2312" w:eastAsia="仿宋_GB2312" w:cs="仿宋_GB2312"/>
          <w:b/>
          <w:sz w:val="24"/>
          <w:highlight w:val="none"/>
        </w:rPr>
        <w:t>评标标准：</w:t>
      </w:r>
      <w:r>
        <w:rPr>
          <w:rFonts w:hint="eastAsia" w:ascii="仿宋_GB2312" w:hAnsi="仿宋_GB2312" w:eastAsia="仿宋_GB2312" w:cs="仿宋_GB2312"/>
          <w:kern w:val="0"/>
          <w:sz w:val="24"/>
          <w:highlight w:val="none"/>
        </w:rPr>
        <w:t>见评标办法前附表。</w:t>
      </w:r>
    </w:p>
    <w:p>
      <w:pPr>
        <w:spacing w:line="360" w:lineRule="auto"/>
        <w:outlineLvl w:val="0"/>
        <w:rPr>
          <w:rFonts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rPr>
        <w:t>三、评标程序</w:t>
      </w:r>
    </w:p>
    <w:p>
      <w:pPr>
        <w:spacing w:line="360" w:lineRule="auto"/>
        <w:ind w:firstLine="472" w:firstLineChars="196"/>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3.1符合性审查。</w:t>
      </w:r>
      <w:r>
        <w:rPr>
          <w:rFonts w:hint="eastAsia" w:ascii="仿宋_GB2312" w:hAnsi="仿宋_GB2312" w:eastAsia="仿宋_GB2312" w:cs="仿宋_GB2312"/>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_GB2312" w:eastAsia="仿宋_GB2312" w:cs="仿宋_GB2312"/>
          <w:b/>
          <w:bCs/>
          <w:kern w:val="0"/>
          <w:sz w:val="24"/>
          <w:highlight w:val="none"/>
        </w:rPr>
      </w:pPr>
      <w:r>
        <w:rPr>
          <w:rFonts w:hint="eastAsia" w:ascii="仿宋_GB2312" w:hAnsi="仿宋_GB2312" w:eastAsia="仿宋_GB2312" w:cs="仿宋_GB2312"/>
          <w:b/>
          <w:kern w:val="0"/>
          <w:sz w:val="24"/>
          <w:highlight w:val="none"/>
        </w:rPr>
        <w:t>3.2 比较与评价。</w:t>
      </w:r>
      <w:r>
        <w:rPr>
          <w:rFonts w:hint="eastAsia" w:ascii="仿宋_GB2312" w:hAnsi="仿宋_GB2312" w:eastAsia="仿宋_GB2312" w:cs="仿宋_GB2312"/>
          <w:kern w:val="0"/>
          <w:sz w:val="24"/>
          <w:highlight w:val="none"/>
        </w:rPr>
        <w:t>评标委员会应当按照招标文件中规定的评标方法和标准，对符合性审查合格的投标文件进行商务和技术评估，综合比较与评价。</w:t>
      </w:r>
      <w:r>
        <w:rPr>
          <w:rFonts w:hint="eastAsia" w:ascii="仿宋_GB2312" w:hAnsi="仿宋_GB2312" w:eastAsia="仿宋_GB2312" w:cs="仿宋_GB2312"/>
          <w:b/>
          <w:bCs/>
          <w:kern w:val="0"/>
          <w:sz w:val="24"/>
          <w:highlight w:val="none"/>
        </w:rPr>
        <w:t>评审小组成员个人主观打分偏离所有评审小组成员主观打分平均值30%以上的，由评审委员会启动评分畸高、畸低行为认定程序。</w:t>
      </w:r>
    </w:p>
    <w:p>
      <w:pPr>
        <w:spacing w:line="360" w:lineRule="auto"/>
        <w:ind w:firstLine="472" w:firstLineChars="196"/>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3.3汇总商务技术得分。</w:t>
      </w:r>
      <w:r>
        <w:rPr>
          <w:rFonts w:hint="eastAsia" w:ascii="仿宋_GB2312" w:hAnsi="仿宋_GB2312" w:eastAsia="仿宋_GB2312" w:cs="仿宋_GB2312"/>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3.4报价评审。</w:t>
      </w:r>
    </w:p>
    <w:p>
      <w:pPr>
        <w:widowControl w:val="0"/>
        <w:adjustRightInd w:val="0"/>
        <w:spacing w:before="0" w:line="360" w:lineRule="auto"/>
        <w:ind w:firstLine="508" w:firstLineChars="212"/>
        <w:jc w:val="both"/>
        <w:rPr>
          <w:rFonts w:ascii="仿宋_GB2312" w:hAnsi="仿宋_GB2312" w:eastAsia="仿宋_GB2312" w:cs="仿宋_GB2312"/>
          <w:kern w:val="0"/>
          <w:sz w:val="24"/>
          <w:szCs w:val="20"/>
          <w:highlight w:val="none"/>
          <w:lang w:val="en-US" w:eastAsia="zh-CN" w:bidi="ar-SA"/>
        </w:rPr>
      </w:pPr>
      <w:r>
        <w:rPr>
          <w:rFonts w:hint="eastAsia" w:ascii="仿宋_GB2312" w:hAnsi="仿宋_GB2312" w:eastAsia="仿宋_GB2312" w:cs="仿宋_GB2312"/>
          <w:kern w:val="0"/>
          <w:sz w:val="24"/>
          <w:szCs w:val="20"/>
          <w:highlight w:val="none"/>
          <w:lang w:val="en-US" w:eastAsia="zh-CN" w:bidi="ar-SA"/>
        </w:rPr>
        <w:t>3.4.1投标文件报价出现前后不一致的，按照下列规定修正：</w:t>
      </w:r>
    </w:p>
    <w:p>
      <w:pPr>
        <w:widowControl w:val="0"/>
        <w:adjustRightInd w:val="0"/>
        <w:spacing w:before="0" w:line="360" w:lineRule="auto"/>
        <w:ind w:firstLine="480" w:firstLineChars="200"/>
        <w:jc w:val="both"/>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3.4.1.1投标文件中开标一览表（报价表）内容与投标文件中相应内容不一致的，以开标一览表（报价表）为准;</w:t>
      </w:r>
    </w:p>
    <w:p>
      <w:pPr>
        <w:widowControl w:val="0"/>
        <w:adjustRightInd w:val="0"/>
        <w:spacing w:before="0" w:line="360" w:lineRule="auto"/>
        <w:ind w:firstLine="480" w:firstLineChars="200"/>
        <w:jc w:val="both"/>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3.4.1.2大写金额和小写金额不一致的，以大写金额为准;</w:t>
      </w:r>
    </w:p>
    <w:p>
      <w:pPr>
        <w:widowControl w:val="0"/>
        <w:adjustRightInd w:val="0"/>
        <w:spacing w:before="0" w:line="360" w:lineRule="auto"/>
        <w:ind w:firstLine="480" w:firstLineChars="200"/>
        <w:jc w:val="both"/>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3.4.1.3单价金额小数点或者百分比有明显错位的，以开标一览表（报价表）的总价为准，并修改单价;</w:t>
      </w:r>
    </w:p>
    <w:p>
      <w:pPr>
        <w:widowControl w:val="0"/>
        <w:adjustRightInd w:val="0"/>
        <w:spacing w:before="0" w:line="360" w:lineRule="auto"/>
        <w:ind w:firstLine="480" w:firstLineChars="200"/>
        <w:jc w:val="both"/>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3.4.1.4总价金额与按单价汇总金额不一致的，以单价金额计算结果为准。</w:t>
      </w:r>
    </w:p>
    <w:p>
      <w:pPr>
        <w:widowControl w:val="0"/>
        <w:adjustRightInd w:val="0"/>
        <w:spacing w:before="0" w:line="360" w:lineRule="auto"/>
        <w:ind w:firstLine="480" w:firstLineChars="200"/>
        <w:jc w:val="both"/>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3.4.2投标文件出现不是唯一的、有选择性投标报价的，投标无效。</w:t>
      </w:r>
    </w:p>
    <w:p>
      <w:pPr>
        <w:snapToGrid w:val="0"/>
        <w:spacing w:line="360" w:lineRule="auto"/>
        <w:ind w:firstLine="480" w:firstLineChars="200"/>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3.4.3投标报价超过招标文件中规定的预算金额或者最高限价的，投标无效。</w:t>
      </w:r>
    </w:p>
    <w:p>
      <w:pPr>
        <w:widowControl w:val="0"/>
        <w:adjustRightInd w:val="0"/>
        <w:spacing w:before="0" w:line="360" w:lineRule="auto"/>
        <w:ind w:firstLine="480" w:firstLineChars="200"/>
        <w:jc w:val="both"/>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widowControl w:val="0"/>
        <w:adjustRightInd w:val="0"/>
        <w:spacing w:before="0" w:line="360" w:lineRule="auto"/>
        <w:ind w:firstLine="480" w:firstLineChars="200"/>
        <w:jc w:val="both"/>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bidi="ar-SA"/>
        </w:rPr>
        <w:t>3.4.5（本项目不适用）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3.5排序与推荐。</w:t>
      </w:r>
      <w:r>
        <w:rPr>
          <w:rFonts w:hint="eastAsia" w:ascii="仿宋_GB2312" w:hAnsi="仿宋_GB2312" w:eastAsia="仿宋_GB2312" w:cs="仿宋_GB2312"/>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_GB2312" w:hAnsi="仿宋_GB2312" w:eastAsia="仿宋_GB2312" w:cs="仿宋_GB2312"/>
          <w:b/>
          <w:kern w:val="0"/>
          <w:sz w:val="24"/>
          <w:highlight w:val="none"/>
        </w:rPr>
      </w:pPr>
      <w:r>
        <w:rPr>
          <w:rFonts w:hint="eastAsia" w:ascii="仿宋_GB2312" w:hAnsi="仿宋_GB2312" w:eastAsia="仿宋_GB2312" w:cs="仿宋_GB2312"/>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_GB2312" w:eastAsia="仿宋_GB2312" w:cs="仿宋_GB2312"/>
          <w:kern w:val="0"/>
          <w:sz w:val="24"/>
          <w:highlight w:val="none"/>
        </w:rPr>
      </w:pPr>
      <w:r>
        <w:rPr>
          <w:rFonts w:hint="eastAsia" w:ascii="仿宋_GB2312" w:hAnsi="仿宋_GB2312" w:eastAsia="仿宋_GB2312" w:cs="仿宋_GB2312"/>
          <w:b/>
          <w:kern w:val="0"/>
          <w:sz w:val="24"/>
          <w:highlight w:val="none"/>
        </w:rPr>
        <w:t>3.6编写评标报告。</w:t>
      </w:r>
      <w:r>
        <w:rPr>
          <w:rFonts w:hint="eastAsia" w:ascii="仿宋_GB2312" w:hAnsi="仿宋_GB2312" w:eastAsia="仿宋_GB2312" w:cs="仿宋_GB2312"/>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val="0"/>
        <w:adjustRightInd w:val="0"/>
        <w:spacing w:before="0" w:line="360" w:lineRule="auto"/>
        <w:ind w:left="0" w:leftChars="0" w:firstLine="0" w:firstLineChars="0"/>
        <w:jc w:val="both"/>
        <w:rPr>
          <w:rFonts w:hint="eastAsia" w:ascii="仿宋_GB2312" w:hAnsi="仿宋_GB2312" w:eastAsia="仿宋_GB2312" w:cs="仿宋_GB2312"/>
          <w:b/>
          <w:kern w:val="0"/>
          <w:sz w:val="36"/>
          <w:szCs w:val="36"/>
          <w:highlight w:val="none"/>
          <w:lang w:val="en-US" w:eastAsia="zh-CN" w:bidi="ar-SA"/>
        </w:rPr>
      </w:pPr>
      <w:r>
        <w:rPr>
          <w:rFonts w:hint="eastAsia" w:ascii="仿宋_GB2312" w:hAnsi="仿宋_GB2312" w:eastAsia="仿宋_GB2312" w:cs="仿宋_GB2312"/>
          <w:b/>
          <w:kern w:val="0"/>
          <w:sz w:val="36"/>
          <w:szCs w:val="36"/>
          <w:highlight w:val="none"/>
          <w:lang w:val="en-US" w:eastAsia="zh-CN" w:bidi="ar-SA"/>
        </w:rPr>
        <w:t>四、评标中的其他事项</w:t>
      </w:r>
    </w:p>
    <w:p>
      <w:pPr>
        <w:widowControl w:val="0"/>
        <w:adjustRightInd w:val="0"/>
        <w:spacing w:before="0" w:line="360" w:lineRule="auto"/>
        <w:ind w:firstLine="472" w:firstLineChars="196"/>
        <w:jc w:val="both"/>
        <w:rPr>
          <w:rFonts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b/>
          <w:kern w:val="0"/>
          <w:sz w:val="24"/>
          <w:szCs w:val="24"/>
          <w:highlight w:val="none"/>
          <w:lang w:val="en-US" w:eastAsia="zh-CN" w:bidi="ar-SA"/>
        </w:rPr>
        <w:t>4.1投标人澄清、说明或者补正。</w:t>
      </w:r>
      <w:r>
        <w:rPr>
          <w:rFonts w:hint="eastAsia" w:ascii="仿宋_GB2312" w:hAnsi="仿宋_GB2312" w:eastAsia="仿宋_GB2312" w:cs="仿宋_GB2312"/>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widowControl w:val="0"/>
        <w:adjustRightInd w:val="0"/>
        <w:spacing w:line="360" w:lineRule="auto"/>
        <w:ind w:left="1021" w:leftChars="226" w:hanging="479" w:firstLineChars="0"/>
        <w:jc w:val="both"/>
        <w:rPr>
          <w:rFonts w:ascii="仿宋_GB2312" w:hAnsi="仿宋_GB2312" w:eastAsia="仿宋_GB2312" w:cs="仿宋_GB2312"/>
          <w:kern w:val="2"/>
          <w:sz w:val="24"/>
          <w:szCs w:val="21"/>
          <w:highlight w:val="none"/>
          <w:lang w:val="en-US" w:eastAsia="zh-CN" w:bidi="ar-SA"/>
        </w:rPr>
      </w:pPr>
      <w:r>
        <w:rPr>
          <w:rFonts w:hint="eastAsia" w:ascii="仿宋_GB2312" w:hAnsi="仿宋_GB2312" w:eastAsia="仿宋_GB2312" w:cs="仿宋_GB2312"/>
          <w:b/>
          <w:kern w:val="0"/>
          <w:sz w:val="24"/>
          <w:szCs w:val="24"/>
          <w:highlight w:val="none"/>
          <w:lang w:val="en-US" w:eastAsia="zh-CN" w:bidi="ar-SA"/>
        </w:rPr>
        <w:t>4.2投标无效。</w:t>
      </w:r>
      <w:r>
        <w:rPr>
          <w:rFonts w:hint="eastAsia" w:ascii="仿宋_GB2312" w:hAnsi="仿宋_GB2312" w:eastAsia="仿宋_GB2312" w:cs="仿宋_GB2312"/>
          <w:kern w:val="2"/>
          <w:sz w:val="24"/>
          <w:szCs w:val="21"/>
          <w:highlight w:val="none"/>
          <w:lang w:val="en-US" w:eastAsia="zh-CN" w:bidi="ar-SA"/>
        </w:rPr>
        <w:t>有下列情况之一的，投标无效：</w:t>
      </w:r>
    </w:p>
    <w:p>
      <w:pPr>
        <w:spacing w:line="360" w:lineRule="auto"/>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4.2.1投标人不具备招标文件中规定的资格要求的（投标人未提供有效的资格文件的，未按照招标文件要求提供与资格条件相应的有效资格证明材料的，均视为投标人不具备招标文件中规定的资格要求）；</w:t>
      </w:r>
    </w:p>
    <w:p>
      <w:pPr>
        <w:spacing w:line="360" w:lineRule="auto"/>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4.2.2投标文件未按照招标文件要求签署、盖章的；</w:t>
      </w:r>
    </w:p>
    <w:p>
      <w:pPr>
        <w:spacing w:line="360" w:lineRule="auto"/>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4.2.4投标文件含有采购人不能接受的附加条件的（</w:t>
      </w:r>
      <w:r>
        <w:rPr>
          <w:rFonts w:hint="eastAsia" w:ascii="仿宋_GB2312" w:hAnsi="仿宋_GB2312" w:eastAsia="仿宋_GB2312" w:cs="仿宋_GB2312"/>
          <w:kern w:val="0"/>
          <w:sz w:val="24"/>
          <w:highlight w:val="none"/>
          <w:lang w:val="zh-CN"/>
        </w:rPr>
        <w:t>投标人未按开标一览表（报价表）格式填写的，采购内容未包含在《开标一览表（报价表）》名称栏中</w:t>
      </w:r>
      <w:r>
        <w:rPr>
          <w:rFonts w:hint="eastAsia" w:ascii="仿宋_GB2312" w:hAnsi="仿宋_GB2312" w:eastAsia="仿宋_GB2312" w:cs="仿宋_GB2312"/>
          <w:kern w:val="0"/>
          <w:sz w:val="24"/>
          <w:highlight w:val="none"/>
        </w:rPr>
        <w:t>或数量少于采购需求的</w:t>
      </w:r>
      <w:r>
        <w:rPr>
          <w:rFonts w:hint="eastAsia" w:ascii="仿宋_GB2312" w:hAnsi="仿宋_GB2312" w:eastAsia="仿宋_GB2312" w:cs="仿宋_GB2312"/>
          <w:kern w:val="0"/>
          <w:sz w:val="24"/>
          <w:highlight w:val="none"/>
          <w:lang w:val="zh-CN"/>
        </w:rPr>
        <w:t>，投标人不能作出合理解释的，均视为投标文件含有采购人不能接受的附加条件</w:t>
      </w:r>
      <w:r>
        <w:rPr>
          <w:rFonts w:hint="eastAsia" w:ascii="仿宋_GB2312" w:hAnsi="仿宋_GB2312" w:eastAsia="仿宋_GB2312" w:cs="仿宋_GB2312"/>
          <w:kern w:val="0"/>
          <w:sz w:val="24"/>
          <w:highlight w:val="none"/>
        </w:rPr>
        <w:t>）；</w:t>
      </w:r>
    </w:p>
    <w:p>
      <w:pPr>
        <w:spacing w:line="360" w:lineRule="auto"/>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4.2.5投标文件中承诺的投标有效期少于招标文件中载明的投标有效期的；</w:t>
      </w:r>
    </w:p>
    <w:p>
      <w:pPr>
        <w:spacing w:line="360" w:lineRule="auto"/>
        <w:ind w:firstLine="480" w:firstLineChars="200"/>
        <w:rPr>
          <w:rFonts w:ascii="仿宋_GB2312" w:hAnsi="仿宋_GB2312" w:eastAsia="仿宋_GB2312" w:cs="仿宋_GB2312"/>
          <w:sz w:val="21"/>
          <w:highlight w:val="none"/>
        </w:rPr>
      </w:pPr>
      <w:r>
        <w:rPr>
          <w:rFonts w:hint="eastAsia" w:ascii="仿宋_GB2312" w:hAnsi="仿宋_GB2312" w:eastAsia="仿宋_GB2312" w:cs="仿宋_GB2312"/>
          <w:kern w:val="0"/>
          <w:sz w:val="24"/>
          <w:highlight w:val="none"/>
        </w:rPr>
        <w:t>4.2.6在原定投标有效期满之前，如果出现特殊情况，采购代理机构以书面形式通知投标人延长投标有效期，投标人拒绝延长的；</w:t>
      </w:r>
    </w:p>
    <w:p>
      <w:pPr>
        <w:snapToGrid w:val="0"/>
        <w:spacing w:line="360" w:lineRule="auto"/>
        <w:ind w:firstLine="120" w:firstLineChars="50"/>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4.2.7投标文件出现不是唯一的、有选择性投标报价的;</w:t>
      </w:r>
    </w:p>
    <w:p>
      <w:pPr>
        <w:spacing w:line="360" w:lineRule="auto"/>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4.2.8投标报价超过招标文件中规定的预算金额或者最高限价的;</w:t>
      </w:r>
    </w:p>
    <w:p>
      <w:pPr>
        <w:spacing w:line="360" w:lineRule="auto"/>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4.2.9报价明显低于其他通过符合性审查投标人的报价，有可能影响产品质量或者不能诚信履约的，未能按要求提供书面说明或者提交相关证明材料，不能证明其报价合理性的;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4.2.10投标人对根据修正原则修正后的报价不确认的；</w:t>
      </w:r>
    </w:p>
    <w:p>
      <w:pPr>
        <w:spacing w:line="360" w:lineRule="auto"/>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4.2.11投标人提供虚假材料投标的；</w:t>
      </w:r>
    </w:p>
    <w:p>
      <w:pPr>
        <w:spacing w:line="360" w:lineRule="auto"/>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4.2.12投标人有恶意串通、妨碍其他投标人的竞争行为、损害采购人或者其他投标人的合法权益情形的；</w:t>
      </w:r>
    </w:p>
    <w:p>
      <w:pPr>
        <w:spacing w:line="360" w:lineRule="auto"/>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4.2.13招标文件要求提供样品，投标人未提供样品或提供的样品不满足采购需求实质性条件的；</w:t>
      </w:r>
    </w:p>
    <w:p>
      <w:pPr>
        <w:spacing w:line="360" w:lineRule="auto"/>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4.2.14投标文件不满足招标文件的其它实质性要求的；</w:t>
      </w:r>
    </w:p>
    <w:p>
      <w:pPr>
        <w:spacing w:line="360" w:lineRule="auto"/>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4.2.15法律、法规、规章（适用本市的）及省级以上规范性文件（适用本市的）规定的其他无效情形。</w:t>
      </w:r>
    </w:p>
    <w:p>
      <w:pPr>
        <w:widowControl w:val="0"/>
        <w:adjustRightInd w:val="0"/>
        <w:snapToGrid w:val="0"/>
        <w:spacing w:line="360" w:lineRule="auto"/>
        <w:ind w:firstLine="472" w:firstLineChars="196"/>
        <w:jc w:val="both"/>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kern w:val="2"/>
          <w:sz w:val="24"/>
          <w:szCs w:val="24"/>
          <w:highlight w:val="none"/>
          <w:lang w:val="en-US" w:eastAsia="zh-CN" w:bidi="ar-SA"/>
        </w:rPr>
        <w:t>5.废标。</w:t>
      </w:r>
      <w:r>
        <w:rPr>
          <w:rFonts w:hint="eastAsia" w:ascii="仿宋_GB2312" w:hAnsi="仿宋_GB2312" w:eastAsia="仿宋_GB2312" w:cs="仿宋_GB2312"/>
          <w:kern w:val="2"/>
          <w:sz w:val="24"/>
          <w:szCs w:val="24"/>
          <w:highlight w:val="none"/>
          <w:lang w:val="en-US" w:eastAsia="zh-CN" w:bidi="ar-SA"/>
        </w:rPr>
        <w:t>根据《中华人民共和国政府采购法》第三十六条之规定，在采购中，出现下列情形之一的，应予废标：</w:t>
      </w:r>
    </w:p>
    <w:p>
      <w:pPr>
        <w:widowControl w:val="0"/>
        <w:adjustRightInd w:val="0"/>
        <w:snapToGrid w:val="0"/>
        <w:spacing w:line="360" w:lineRule="auto"/>
        <w:ind w:firstLine="480" w:firstLineChars="200"/>
        <w:jc w:val="both"/>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5.1符合专业条件的供应商或者对招标文件作实质响应的供应商不足3家的；</w:t>
      </w:r>
    </w:p>
    <w:p>
      <w:pPr>
        <w:widowControl w:val="0"/>
        <w:adjustRightInd w:val="0"/>
        <w:snapToGrid w:val="0"/>
        <w:spacing w:line="360" w:lineRule="auto"/>
        <w:ind w:firstLine="480" w:firstLineChars="200"/>
        <w:jc w:val="both"/>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5.2出现影响采购公正的违法、违规行为的；</w:t>
      </w:r>
    </w:p>
    <w:p>
      <w:pPr>
        <w:widowControl w:val="0"/>
        <w:adjustRightInd w:val="0"/>
        <w:snapToGrid w:val="0"/>
        <w:spacing w:line="360" w:lineRule="auto"/>
        <w:ind w:firstLine="480" w:firstLineChars="200"/>
        <w:jc w:val="both"/>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5.3投标人的报价均超过了采购预算，采购人不能支付的；</w:t>
      </w:r>
    </w:p>
    <w:p>
      <w:pPr>
        <w:widowControl w:val="0"/>
        <w:adjustRightInd w:val="0"/>
        <w:snapToGrid w:val="0"/>
        <w:spacing w:line="360" w:lineRule="auto"/>
        <w:ind w:firstLine="480" w:firstLineChars="200"/>
        <w:jc w:val="both"/>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5.4因重大变故，采购任务取消的。</w:t>
      </w:r>
    </w:p>
    <w:p>
      <w:pPr>
        <w:widowControl w:val="0"/>
        <w:adjustRightInd w:val="0"/>
        <w:snapToGrid w:val="0"/>
        <w:spacing w:line="360" w:lineRule="auto"/>
        <w:ind w:firstLine="480" w:firstLineChars="200"/>
        <w:jc w:val="both"/>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废标后，采购代理机构应当将废标理由通知所有投标人。</w:t>
      </w:r>
    </w:p>
    <w:p>
      <w:pPr>
        <w:widowControl w:val="0"/>
        <w:adjustRightInd w:val="0"/>
        <w:snapToGrid w:val="0"/>
        <w:spacing w:line="360" w:lineRule="auto"/>
        <w:ind w:firstLine="590" w:firstLineChars="245"/>
        <w:jc w:val="both"/>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kern w:val="2"/>
          <w:sz w:val="24"/>
          <w:szCs w:val="24"/>
          <w:highlight w:val="none"/>
          <w:lang w:val="en-US" w:eastAsia="zh-CN" w:bidi="ar-SA"/>
        </w:rPr>
        <w:t>6.修改招标文件，重新组织采购活动。</w:t>
      </w:r>
      <w:r>
        <w:rPr>
          <w:rFonts w:hint="eastAsia" w:ascii="仿宋_GB2312" w:hAnsi="仿宋_GB2312" w:eastAsia="仿宋_GB2312" w:cs="仿宋_GB2312"/>
          <w:kern w:val="2"/>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widowControl w:val="0"/>
        <w:adjustRightInd w:val="0"/>
        <w:snapToGrid w:val="0"/>
        <w:spacing w:line="360" w:lineRule="auto"/>
        <w:ind w:firstLine="590" w:firstLineChars="245"/>
        <w:jc w:val="both"/>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kern w:val="0"/>
          <w:sz w:val="24"/>
          <w:szCs w:val="24"/>
          <w:highlight w:val="none"/>
          <w:lang w:val="en-US" w:eastAsia="zh-CN" w:bidi="ar-SA"/>
        </w:rPr>
        <w:t>7.重新开展采购。</w:t>
      </w:r>
      <w:r>
        <w:rPr>
          <w:rFonts w:hint="eastAsia" w:ascii="仿宋_GB2312" w:hAnsi="仿宋_GB2312" w:eastAsia="仿宋_GB2312" w:cs="仿宋_GB2312"/>
          <w:kern w:val="2"/>
          <w:sz w:val="24"/>
          <w:szCs w:val="24"/>
          <w:highlight w:val="none"/>
          <w:lang w:val="en-US" w:eastAsia="zh-CN" w:bidi="ar-SA"/>
        </w:rPr>
        <w:t>有政府采购法第七十一条、第七十二条规定的违法行为之一，影响或者可能影响中标结果的，依照下列规定处理：</w:t>
      </w:r>
    </w:p>
    <w:p>
      <w:pPr>
        <w:widowControl w:val="0"/>
        <w:adjustRightInd w:val="0"/>
        <w:snapToGrid w:val="0"/>
        <w:spacing w:line="360" w:lineRule="auto"/>
        <w:ind w:firstLine="600" w:firstLineChars="250"/>
        <w:jc w:val="both"/>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7.1未确定中标供应商的，终止本次政府采购活动，重新开展政府采购活动。</w:t>
      </w:r>
    </w:p>
    <w:p>
      <w:pPr>
        <w:widowControl w:val="0"/>
        <w:adjustRightInd w:val="0"/>
        <w:snapToGrid w:val="0"/>
        <w:spacing w:line="360" w:lineRule="auto"/>
        <w:ind w:firstLine="600" w:firstLineChars="250"/>
        <w:jc w:val="both"/>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7.2已确定中标供应商但尚未签订政府采购合同的，中标结果无效，从合格的中标候选人中另行确定中标人；没有合格的中标候选人的，重新开展政府采购活动。</w:t>
      </w:r>
    </w:p>
    <w:p>
      <w:pPr>
        <w:widowControl w:val="0"/>
        <w:adjustRightInd w:val="0"/>
        <w:snapToGrid w:val="0"/>
        <w:spacing w:line="360" w:lineRule="auto"/>
        <w:ind w:firstLine="600" w:firstLineChars="250"/>
        <w:jc w:val="both"/>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7.3政府采购合同已签订但尚未履行的，撤销合同，从合格的中标候选人中另行确定中标人；没有合格的中标候选人的，重新开展政府采购活动。</w:t>
      </w:r>
    </w:p>
    <w:p>
      <w:pPr>
        <w:widowControl w:val="0"/>
        <w:adjustRightInd w:val="0"/>
        <w:snapToGrid w:val="0"/>
        <w:spacing w:line="360" w:lineRule="auto"/>
        <w:ind w:firstLine="480" w:firstLineChars="200"/>
        <w:jc w:val="both"/>
        <w:rPr>
          <w:rFonts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7.4政府采购合同已经履行，给采购人、供应商造成损失的，由责任人承担赔偿责任。</w:t>
      </w:r>
    </w:p>
    <w:p>
      <w:pPr>
        <w:snapToGrid w:val="0"/>
        <w:spacing w:line="360" w:lineRule="auto"/>
        <w:rPr>
          <w:rFonts w:ascii="仿宋_GB2312" w:hAnsi="仿宋_GB2312" w:eastAsia="仿宋_GB2312" w:cs="仿宋_GB2312"/>
          <w:highlight w:val="none"/>
        </w:rPr>
        <w:sectPr>
          <w:footerReference r:id="rId8" w:type="default"/>
          <w:pgSz w:w="11907" w:h="16840"/>
          <w:pgMar w:top="680" w:right="1417" w:bottom="471" w:left="1417" w:header="851" w:footer="851"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kern w:val="2"/>
          <w:sz w:val="24"/>
          <w:szCs w:val="24"/>
          <w:highlight w:val="none"/>
          <w:lang w:val="en-US" w:eastAsia="zh-CN" w:bidi="ar-SA"/>
        </w:rPr>
        <w:t>7.5政府采购当事人有其他违反政府采购法</w:t>
      </w:r>
      <w:r>
        <w:rPr>
          <w:rFonts w:hint="eastAsia" w:ascii="仿宋_GB2312" w:hAnsi="仿宋_GB2312" w:eastAsia="仿宋_GB2312" w:cs="仿宋_GB2312"/>
          <w:kern w:val="0"/>
          <w:sz w:val="24"/>
          <w:szCs w:val="24"/>
          <w:highlight w:val="none"/>
          <w:lang w:val="en-US" w:eastAsia="zh-CN" w:bidi="ar-SA"/>
        </w:rPr>
        <w:t>或者政府采购法实施条例等法律法规规定</w:t>
      </w:r>
      <w:r>
        <w:rPr>
          <w:rFonts w:hint="eastAsia" w:ascii="仿宋_GB2312" w:hAnsi="仿宋_GB2312" w:eastAsia="仿宋_GB2312" w:cs="仿宋_GB2312"/>
          <w:kern w:val="2"/>
          <w:sz w:val="24"/>
          <w:szCs w:val="24"/>
          <w:highlight w:val="none"/>
          <w:lang w:val="en-US" w:eastAsia="zh-CN" w:bidi="ar-SA"/>
        </w:rPr>
        <w:t>的行为，经改正后仍然影响或者可能影响中标结果或者依法被认定为中标无效的，依照7.1-7.4规定处理。</w:t>
      </w:r>
    </w:p>
    <w:p>
      <w:pPr>
        <w:pStyle w:val="6"/>
        <w:ind w:left="0" w:leftChars="0" w:firstLine="0" w:firstLineChars="0"/>
        <w:rPr>
          <w:rFonts w:hint="eastAsia"/>
          <w:highlight w:val="none"/>
        </w:rPr>
      </w:pPr>
      <w:bookmarkStart w:id="395" w:name="第五部分"/>
      <w:bookmarkStart w:id="396" w:name="_Toc86217003"/>
    </w:p>
    <w:p>
      <w:pPr>
        <w:keepNext w:val="0"/>
        <w:keepLines w:val="0"/>
        <w:pageBreakBefore w:val="0"/>
        <w:kinsoku/>
        <w:wordWrap/>
        <w:overflowPunct/>
        <w:topLinePunct w:val="0"/>
        <w:bidi w:val="0"/>
        <w:adjustRightInd w:val="0"/>
        <w:snapToGrid/>
        <w:spacing w:line="360" w:lineRule="auto"/>
        <w:ind w:right="0" w:rightChars="0"/>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服务类</w:t>
      </w:r>
      <w:r>
        <w:rPr>
          <w:rFonts w:hint="eastAsia" w:ascii="仿宋" w:hAnsi="仿宋" w:eastAsia="仿宋" w:cs="仿宋"/>
          <w:b/>
          <w:color w:val="auto"/>
          <w:sz w:val="36"/>
          <w:szCs w:val="36"/>
          <w:highlight w:val="none"/>
        </w:rPr>
        <w:t>）</w:t>
      </w:r>
    </w:p>
    <w:p>
      <w:pPr>
        <w:pStyle w:val="699"/>
        <w:rPr>
          <w:rFonts w:hint="eastAsia" w:ascii="仿宋" w:hAnsi="仿宋" w:eastAsia="仿宋" w:cs="仿宋"/>
          <w:color w:val="auto"/>
          <w:szCs w:val="24"/>
          <w:highlight w:val="none"/>
        </w:rPr>
      </w:pPr>
    </w:p>
    <w:p>
      <w:pPr>
        <w:pStyle w:val="699"/>
        <w:rPr>
          <w:rFonts w:hint="eastAsia" w:ascii="仿宋" w:hAnsi="仿宋" w:eastAsia="仿宋" w:cs="仿宋"/>
          <w:color w:val="auto"/>
          <w:szCs w:val="24"/>
          <w:highlight w:val="none"/>
        </w:rPr>
      </w:pPr>
    </w:p>
    <w:p>
      <w:pPr>
        <w:pStyle w:val="699"/>
        <w:jc w:val="center"/>
        <w:rPr>
          <w:rFonts w:hint="eastAsia" w:ascii="仿宋" w:hAnsi="仿宋" w:eastAsia="仿宋" w:cs="仿宋"/>
          <w:color w:val="auto"/>
          <w:szCs w:val="24"/>
          <w:highlight w:val="none"/>
        </w:rPr>
      </w:pPr>
    </w:p>
    <w:p>
      <w:pPr>
        <w:pStyle w:val="699"/>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6"/>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Cs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line="480" w:lineRule="auto"/>
        <w:ind w:firstLine="960" w:firstLineChars="4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7"/>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4"/>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pStyle w:val="4"/>
        <w:rPr>
          <w:rFonts w:hint="eastAsia" w:ascii="仿宋" w:hAnsi="仿宋" w:eastAsia="仿宋" w:cs="仿宋"/>
          <w:color w:val="auto"/>
          <w:sz w:val="24"/>
          <w:highlight w:val="none"/>
        </w:rPr>
      </w:pPr>
    </w:p>
    <w:p>
      <w:pPr>
        <w:rPr>
          <w:rFonts w:hint="eastAsia"/>
          <w:highlight w:val="none"/>
        </w:rPr>
      </w:pPr>
    </w:p>
    <w:p>
      <w:pPr>
        <w:rPr>
          <w:rFonts w:hint="eastAsia" w:ascii="仿宋" w:hAnsi="仿宋" w:eastAsia="仿宋" w:cs="仿宋"/>
          <w:color w:val="auto"/>
          <w:sz w:val="24"/>
          <w:highlight w:val="none"/>
        </w:rPr>
      </w:pPr>
    </w:p>
    <w:p>
      <w:pPr>
        <w:pStyle w:val="6"/>
        <w:rPr>
          <w:rFonts w:hint="eastAsia"/>
          <w:highlight w:val="none"/>
        </w:rPr>
      </w:pP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合同编号：</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签订地点：                                 签订时间：20* 年  月  日</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甲方（需方）：                                     </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乙方（供方）：                                     </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供、需双方根据杭州市                             项目（招标编号</w:t>
      </w: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rPr>
        <w:t xml:space="preserve">  -  -   ）招标结果和招标文件的要求，并经双方协调一致，订立本采购合同。</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一、合同文件：</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1、合同条款。</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2、中标通知书。</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3、招标文件。</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4、更正公告。</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5、中标单位投标文件。</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6、其他。</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二、合同金额: 本合同金额为(大写)_________________元（￥　　　　元）人民币附：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《采购项目清单内容》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中标内容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中标单价（元）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rPr>
                <w:rFonts w:hint="eastAsia" w:ascii="仿宋" w:hAnsi="仿宋" w:eastAsia="仿宋"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rPr>
                <w:rFonts w:hint="eastAsia" w:ascii="仿宋" w:hAnsi="仿宋" w:eastAsia="仿宋" w:cs="仿宋"/>
                <w:color w:val="auto"/>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rPr>
                <w:rFonts w:hint="eastAsia" w:ascii="仿宋" w:hAnsi="仿宋" w:eastAsia="仿宋" w:cs="仿宋"/>
                <w:color w:val="auto"/>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rPr>
                <w:rFonts w:hint="eastAsia" w:ascii="仿宋" w:hAnsi="仿宋" w:eastAsia="仿宋" w:cs="仿宋"/>
                <w:color w:val="auto"/>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rPr>
                <w:rFonts w:hint="eastAsia" w:ascii="仿宋" w:hAnsi="仿宋" w:eastAsia="仿宋" w:cs="仿宋"/>
                <w:color w:val="auto"/>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rPr>
                <w:rFonts w:hint="eastAsia" w:ascii="仿宋" w:hAnsi="仿宋" w:eastAsia="仿宋" w:cs="仿宋"/>
                <w:color w:val="auto"/>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rPr>
                <w:rFonts w:hint="eastAsia" w:ascii="仿宋" w:hAnsi="仿宋" w:eastAsia="仿宋" w:cs="仿宋"/>
                <w:color w:val="auto"/>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rPr>
                <w:rFonts w:hint="eastAsia" w:ascii="仿宋" w:hAnsi="仿宋" w:eastAsia="仿宋" w:cs="仿宋"/>
                <w:color w:val="auto"/>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pStyle w:val="26"/>
              <w:snapToGrid w:val="0"/>
              <w:spacing w:line="360" w:lineRule="auto"/>
              <w:rPr>
                <w:rFonts w:hint="eastAsia" w:ascii="仿宋" w:hAnsi="仿宋" w:eastAsia="仿宋" w:cs="仿宋"/>
                <w:color w:val="auto"/>
                <w:highlight w:val="none"/>
              </w:rPr>
            </w:pPr>
          </w:p>
        </w:tc>
      </w:tr>
    </w:tbl>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三、技术资料</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1.乙方应按招标文件规定的时间向甲方提供有关技术资料。</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四、知识产权</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乙方应保证提供服务过程中不会侵犯任何第三方的知识产权。</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五、履约保证金</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乙方交纳人民币        元作为本合同的履约保证金</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合同价的1%</w:t>
      </w:r>
      <w:r>
        <w:rPr>
          <w:rFonts w:hint="eastAsia" w:ascii="仿宋" w:hAnsi="仿宋" w:cs="仿宋"/>
          <w:color w:val="auto"/>
          <w:highlight w:val="none"/>
          <w:lang w:val="en-US" w:eastAsia="zh-CN"/>
        </w:rPr>
        <w:t>，</w:t>
      </w:r>
      <w:r>
        <w:rPr>
          <w:rFonts w:hint="eastAsia" w:ascii="仿宋" w:hAnsi="仿宋" w:eastAsia="仿宋" w:cs="仿宋"/>
          <w:sz w:val="24"/>
          <w:highlight w:val="none"/>
        </w:rPr>
        <w:t>履约保证金形式应以银行、保险公司出具的保函形式提供</w:t>
      </w:r>
      <w:r>
        <w:rPr>
          <w:rFonts w:hint="eastAsia" w:ascii="仿宋" w:hAnsi="仿宋" w:cs="仿宋"/>
          <w:sz w:val="24"/>
          <w:highlight w:val="none"/>
          <w:lang w:eastAsia="zh-CN"/>
        </w:rPr>
        <w:t>）</w:t>
      </w:r>
      <w:r>
        <w:rPr>
          <w:rFonts w:hint="eastAsia" w:ascii="仿宋" w:hAnsi="仿宋" w:eastAsia="仿宋" w:cs="仿宋"/>
          <w:color w:val="auto"/>
          <w:highlight w:val="none"/>
        </w:rPr>
        <w:t>。</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六、转包或分包</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1.本合同范围的服务，应由乙方直接供应，不得转让他人供应；</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2.除非得到甲方的书面同意，乙方不得将本合同范围的服务全部或部分分包给他人供应；</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3.如有转让和未经甲方同意的分包行为，甲方有权解除合同，没收履约保证金并追究乙方的违约责任。</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七、服务质量保证期和服务质量保证金(选用)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服务质量保证期</w:t>
      </w:r>
      <w:r>
        <w:rPr>
          <w:rFonts w:hint="eastAsia" w:ascii="仿宋" w:hAnsi="仿宋" w:eastAsia="仿宋" w:cs="仿宋"/>
          <w:color w:val="auto"/>
          <w:highlight w:val="none"/>
          <w:u w:val="single"/>
          <w:lang w:val="en-US" w:eastAsia="zh-CN"/>
        </w:rPr>
        <w:t xml:space="preserve"> / </w:t>
      </w:r>
      <w:r>
        <w:rPr>
          <w:rFonts w:hint="eastAsia" w:ascii="仿宋" w:hAnsi="仿宋" w:eastAsia="仿宋" w:cs="仿宋"/>
          <w:color w:val="auto"/>
          <w:highlight w:val="none"/>
        </w:rPr>
        <w:t>年。（自验收合格之日起计）</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服务质量保证金</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八、合同履行时间、履行方式及履行地点</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履行时间：</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履行方式：</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 履行地点：</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九、款项支付</w:t>
      </w:r>
    </w:p>
    <w:p>
      <w:pPr>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1.付款方式：合同签订后，</w:t>
      </w:r>
      <w:r>
        <w:rPr>
          <w:rFonts w:hint="eastAsia" w:ascii="仿宋" w:hAnsi="仿宋" w:eastAsia="仿宋" w:cs="仿宋"/>
          <w:b w:val="0"/>
          <w:bCs/>
          <w:color w:val="auto"/>
          <w:sz w:val="24"/>
          <w:szCs w:val="24"/>
          <w:highlight w:val="none"/>
          <w:lang w:val="en-US" w:eastAsia="zh-CN"/>
        </w:rPr>
        <w:t>中标人先向采购人支付合同40%的预付款保函（应当以支票、汇票、本票或者金融机构、担保机构出具的保函等非现金形式提交。鼓励和支持供应商以银行、保险公司出具的保函形式提供），待采购人收到预付款保函后，采购人向中标人预付合同总价的40%。（签订合同时，乙方提出不要求预付款或降低预付款比例的，可不适用该条款），项目验收通过收到发票后10个工作日内采购人向中标单位支付至合同价的70%，验收通过满一年收到发票后5个工作日内支付至合同价的90%，验收通过满二年收到发票后10个工作日内支付至合同价的100%。</w:t>
      </w:r>
    </w:p>
    <w:p>
      <w:pPr>
        <w:pageBreakBefore w:val="0"/>
        <w:widowControl w:val="0"/>
        <w:kinsoku/>
        <w:wordWrap/>
        <w:overflowPunct/>
        <w:topLinePunct w:val="0"/>
        <w:bidi w:val="0"/>
        <w:adjustRightInd/>
        <w:snapToGrid/>
        <w:spacing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2.合同履行完毕，需方根据合同进行验收，验收合格后供应商按财政结算要求办理货款结算手续。</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十、税费</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十一、质量保证及后续服务</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 乙方应按招标文件规定向甲方提供服务。</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 乙方提供的服务成果在服务质量保证期内发生故障，乙方应负责免费提供后续服务。对达不到要求者，根据实际情况，经双方协商，可按以下办法处理：</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⑴重做：由乙方承担所发生的全部费用。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⑵贬值处理：由甲乙双方合议定价。</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⑶解除合同。</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 如在使用过程中发生问题，乙方在接到甲方通知后在   小时内到达甲方现场。</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4.在服务质量保证期内，乙方应对出现的质量及安全问题负责处理解决并承担一切费用。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十二、违约责任</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1.甲方无正当理由拒绝接收服务的，甲方向乙方偿付合同款项百分之 五 作为违约金。</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2.甲方无故逾期验收和办理款项支付手续的，甲方应按逾期付款总额每日万分之 五向乙方支付违约金。</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4.供方在服务项目验收合格之日起保修期内违反本合同有关承诺保证的，需方将有权不予退还质量保证金，损失赔偿不足部分，由乙方承担赔偿。</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5.如发现乙方违反招投标文件和合同的有关规定，甲方有权根据约定和《杭州市政府采购供应商合同履行和售后服务考核暂行办法》，对乙方进行处罚，并有权提前终止合同。</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十三、争议的解决</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因本合同引起的或与本合同有关的任何争议，合同双方应首先通过协商解决，达成书面协议，如协商不成，可选择下列第      种方式解决。</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（1）提请杭州仲裁委员会按照该会仲裁规则进行仲裁，仲裁裁决是终局的，对合同双方均有约束力。</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（2）向有管辖权的人民法院提起诉讼。</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十四、合同生效</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1.中标方持中标通知书作为与需方签订合同的凭证。</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2.本合同经需、供双方法定代表人（符合浙财采监【2013】24号第六条规定的为负责人）或其授权委托人签字并加盖单位公章后生效。</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需方（盖章）：                      供方（盖章）：</w:t>
      </w:r>
    </w:p>
    <w:p>
      <w:pPr>
        <w:pStyle w:val="26"/>
        <w:snapToGrid w:val="0"/>
        <w:spacing w:line="360" w:lineRule="auto"/>
        <w:rPr>
          <w:rFonts w:hint="eastAsia" w:ascii="仿宋" w:hAnsi="仿宋" w:eastAsia="仿宋" w:cs="仿宋"/>
          <w:color w:val="auto"/>
          <w:highlight w:val="none"/>
        </w:rPr>
      </w:pP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地址：                             地址：</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法定代表人（或委托代理人）签名：   法定代表人（或委托代理人）签名：</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邮政编码：                         邮政编码：</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    </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帐号：                             帐号：</w:t>
      </w: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pStyle w:val="9"/>
        <w:rPr>
          <w:rFonts w:hint="eastAsia" w:ascii="仿宋" w:hAnsi="仿宋" w:eastAsia="仿宋" w:cs="仿宋"/>
          <w:b/>
          <w:color w:val="auto"/>
          <w:sz w:val="36"/>
          <w:szCs w:val="20"/>
          <w:highlight w:val="none"/>
        </w:rPr>
      </w:pPr>
    </w:p>
    <w:p>
      <w:pPr>
        <w:rPr>
          <w:rFonts w:hint="eastAsia" w:ascii="仿宋" w:hAnsi="仿宋" w:eastAsia="仿宋" w:cs="仿宋"/>
          <w:b/>
          <w:color w:val="auto"/>
          <w:sz w:val="36"/>
          <w:szCs w:val="20"/>
          <w:highlight w:val="none"/>
        </w:rPr>
      </w:pPr>
    </w:p>
    <w:p>
      <w:pPr>
        <w:pStyle w:val="9"/>
        <w:rPr>
          <w:rFonts w:hint="eastAsia" w:ascii="仿宋" w:hAnsi="仿宋" w:eastAsia="仿宋" w:cs="仿宋"/>
          <w:b/>
          <w:color w:val="auto"/>
          <w:sz w:val="36"/>
          <w:szCs w:val="20"/>
          <w:highlight w:val="none"/>
        </w:rPr>
      </w:pPr>
    </w:p>
    <w:p>
      <w:pPr>
        <w:rPr>
          <w:rFonts w:hint="eastAsia" w:ascii="仿宋" w:hAnsi="仿宋" w:eastAsia="仿宋" w:cs="仿宋"/>
          <w:b/>
          <w:color w:val="auto"/>
          <w:sz w:val="36"/>
          <w:szCs w:val="20"/>
          <w:highlight w:val="none"/>
        </w:rPr>
      </w:pPr>
    </w:p>
    <w:p>
      <w:pPr>
        <w:pStyle w:val="9"/>
        <w:rPr>
          <w:rFonts w:hint="eastAsia" w:ascii="仿宋" w:hAnsi="仿宋" w:eastAsia="仿宋" w:cs="仿宋"/>
          <w:b/>
          <w:color w:val="auto"/>
          <w:sz w:val="36"/>
          <w:szCs w:val="20"/>
          <w:highlight w:val="none"/>
        </w:rPr>
      </w:pPr>
    </w:p>
    <w:p>
      <w:pPr>
        <w:rPr>
          <w:rFonts w:hint="eastAsia"/>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rPr>
          <w:rFonts w:hint="eastAsia" w:ascii="仿宋" w:hAnsi="仿宋" w:eastAsia="仿宋" w:cs="仿宋"/>
          <w:b/>
          <w:color w:val="auto"/>
          <w:sz w:val="36"/>
          <w:szCs w:val="20"/>
          <w:highlight w:val="none"/>
        </w:rPr>
      </w:pPr>
    </w:p>
    <w:p>
      <w:pPr>
        <w:pStyle w:val="6"/>
        <w:rPr>
          <w:rFonts w:hint="eastAsia" w:ascii="仿宋" w:hAnsi="仿宋" w:eastAsia="仿宋" w:cs="仿宋"/>
          <w:b/>
          <w:color w:val="auto"/>
          <w:sz w:val="36"/>
          <w:szCs w:val="20"/>
          <w:highlight w:val="none"/>
        </w:rPr>
      </w:pPr>
    </w:p>
    <w:p>
      <w:pPr>
        <w:rPr>
          <w:rFonts w:hint="eastAsia"/>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bookmarkStart w:id="406" w:name="_GoBack"/>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（2）联合协议（如果有）…………………………………………………（页码）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（3）落实政府采购政策需满足的资格要求（如果有）…………………（页码）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（4）本项目的特定资格要求（如果有）…………………………………（页码）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pStyle w:val="3"/>
        <w:rPr>
          <w:rFonts w:hint="eastAsia"/>
        </w:rPr>
      </w:pPr>
    </w:p>
    <w:p>
      <w:pPr>
        <w:pStyle w:val="3"/>
        <w:rPr>
          <w:rFonts w:hint="eastAsia"/>
          <w:b/>
          <w:bCs/>
          <w:highlight w:val="yellow"/>
          <w:u w:val="single"/>
        </w:rPr>
      </w:pPr>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w:t>
      </w:r>
      <w:r>
        <w:rPr>
          <w:rFonts w:hint="eastAsia"/>
          <w:highlight w:val="none"/>
        </w:rPr>
        <w:t>续，</w:t>
      </w:r>
      <w:r>
        <w:rPr>
          <w:rFonts w:hint="eastAsia"/>
          <w:b/>
          <w:bCs/>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二、联合协议（如果有）</w:t>
      </w:r>
    </w:p>
    <w:p>
      <w:pPr>
        <w:widowControl/>
        <w:spacing w:line="360" w:lineRule="auto"/>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[以联合体形式投标的，提供联合协议（附件5）；本项目不接受联合体投标或者投标人不以联合体形式投标的，则不需要提供]</w:t>
      </w:r>
    </w:p>
    <w:p>
      <w:pPr>
        <w:pStyle w:val="6"/>
        <w:rPr>
          <w:rFonts w:hint="eastAsia" w:ascii="仿宋_GB2312" w:hAnsi="仿宋_GB2312" w:eastAsia="仿宋_GB2312" w:cs="仿宋_GB2312"/>
          <w:b/>
          <w:sz w:val="24"/>
        </w:rPr>
      </w:pPr>
    </w:p>
    <w:p>
      <w:pPr>
        <w:rPr>
          <w:rFonts w:hint="eastAsia" w:ascii="仿宋_GB2312" w:hAnsi="仿宋_GB2312" w:eastAsia="仿宋_GB2312" w:cs="仿宋_GB2312"/>
          <w:b/>
          <w:sz w:val="24"/>
        </w:rPr>
      </w:pPr>
    </w:p>
    <w:p>
      <w:pPr>
        <w:pStyle w:val="6"/>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ascii="仿宋_GB2312" w:hAnsi="仿宋_GB2312" w:eastAsia="仿宋_GB2312" w:cs="仿宋_GB2312"/>
          <w:sz w:val="24"/>
        </w:rPr>
      </w:pPr>
      <w:r>
        <w:rPr>
          <w:rFonts w:hint="eastAsia" w:ascii="仿宋_GB2312" w:hAnsi="仿宋_GB2312" w:eastAsia="仿宋_GB2312" w:cs="仿宋_GB2312"/>
          <w:b/>
          <w:sz w:val="24"/>
        </w:rPr>
        <w:t>B.</w:t>
      </w:r>
      <w:r>
        <w:rPr>
          <w:rFonts w:hint="eastAsia" w:ascii="仿宋_GB2312" w:hAnsi="仿宋_GB2312" w:eastAsia="仿宋_GB2312" w:cs="仿宋_GB2312"/>
          <w:sz w:val="24"/>
        </w:rPr>
        <w:t>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line="360" w:lineRule="auto"/>
        <w:ind w:firstLine="480" w:firstLineChars="200"/>
        <w:rPr>
          <w:rFonts w:ascii="仿宋_GB2312" w:hAnsi="仿宋_GB2312" w:eastAsia="仿宋_GB2312" w:cs="仿宋_GB2312"/>
          <w:sz w:val="24"/>
        </w:rPr>
      </w:pPr>
    </w:p>
    <w:p>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C.</w:t>
      </w:r>
      <w:r>
        <w:rPr>
          <w:rFonts w:hint="eastAsia" w:ascii="仿宋_GB2312" w:hAnsi="仿宋_GB2312" w:eastAsia="仿宋_GB2312" w:cs="仿宋_GB2312"/>
          <w:sz w:val="24"/>
        </w:rPr>
        <w:t>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left="150"/>
        <w:jc w:val="center"/>
        <w:rPr>
          <w:rFonts w:ascii="仿宋_GB2312" w:hAnsi="仿宋_GB2312" w:eastAsia="仿宋_GB2312" w:cs="仿宋_GB2312"/>
          <w:b/>
          <w:kern w:val="0"/>
          <w:sz w:val="32"/>
          <w:szCs w:val="32"/>
        </w:rPr>
      </w:pPr>
    </w:p>
    <w:p>
      <w:pPr>
        <w:widowControl/>
        <w:spacing w:line="360" w:lineRule="auto"/>
        <w:ind w:left="150"/>
        <w:jc w:val="center"/>
        <w:rPr>
          <w:rFonts w:ascii="仿宋_GB2312" w:hAnsi="仿宋_GB2312" w:eastAsia="仿宋_GB2312" w:cs="仿宋_GB2312"/>
          <w:b/>
          <w:kern w:val="0"/>
          <w:sz w:val="32"/>
          <w:szCs w:val="32"/>
        </w:rPr>
      </w:pPr>
    </w:p>
    <w:p>
      <w:pPr>
        <w:widowControl/>
        <w:spacing w:line="360" w:lineRule="auto"/>
        <w:ind w:left="150"/>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四、本项目的特定资格要求（如果有）</w:t>
      </w:r>
    </w:p>
    <w:p>
      <w:pPr>
        <w:spacing w:line="360" w:lineRule="auto"/>
        <w:jc w:val="center"/>
        <w:rPr>
          <w:rFonts w:ascii="仿宋_GB2312" w:hAnsi="仿宋_GB2312" w:eastAsia="仿宋_GB2312" w:cs="仿宋_GB2312"/>
          <w:b/>
          <w:kern w:val="0"/>
          <w:sz w:val="36"/>
          <w:szCs w:val="36"/>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sz w:val="24"/>
        </w:rPr>
        <w:t>（根据招标公告本项目的特定资格要求提供相应的材料；未要求的，无需提供）</w:t>
      </w:r>
    </w:p>
    <w:p>
      <w:pPr>
        <w:snapToGrid w:val="0"/>
        <w:spacing w:before="50" w:after="50"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（1）投标函………………………………………………………………………（页码）</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（2）授权委托书或法定代表人（单位负责人、自然人本人）身份证明……（页码）</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（3）分包意向协议（如果有）…………………………………………………（页码）</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（4）符合性审查资料……………………………………………………………（页码）</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（5）评标标准相应的商务技术资料……………………………………………（页码）</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（6）投标标的清单………………………………………………………………（页码）</w:t>
      </w:r>
    </w:p>
    <w:p>
      <w:pPr>
        <w:snapToGrid w:val="0"/>
        <w:spacing w:line="360" w:lineRule="auto"/>
        <w:ind w:left="547" w:leftChars="228"/>
        <w:rPr>
          <w:rFonts w:ascii="仿宋_GB2312" w:hAnsi="仿宋_GB2312" w:eastAsia="仿宋_GB2312" w:cs="仿宋_GB2312"/>
          <w:sz w:val="24"/>
        </w:rPr>
      </w:pPr>
      <w:r>
        <w:rPr>
          <w:rFonts w:hint="eastAsia" w:ascii="仿宋_GB2312" w:hAnsi="仿宋_GB2312" w:eastAsia="仿宋_GB2312" w:cs="仿宋_GB2312"/>
          <w:sz w:val="24"/>
        </w:rPr>
        <w:t>（7）商务技术偏离表……………………………………………………………（页码）</w:t>
      </w:r>
    </w:p>
    <w:p>
      <w:pPr>
        <w:snapToGrid w:val="0"/>
        <w:spacing w:line="360" w:lineRule="auto"/>
        <w:ind w:left="547" w:leftChars="228"/>
        <w:rPr>
          <w:rFonts w:ascii="仿宋_GB2312" w:hAnsi="仿宋_GB2312" w:eastAsia="仿宋_GB2312" w:cs="仿宋_GB2312"/>
          <w:b/>
          <w:kern w:val="0"/>
          <w:sz w:val="32"/>
          <w:szCs w:val="32"/>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r>
        <w:rPr>
          <w:rFonts w:hint="eastAsia" w:ascii="仿宋_GB2312" w:hAnsi="仿宋_GB2312" w:eastAsia="仿宋_GB2312" w:cs="仿宋_GB2312"/>
          <w:sz w:val="24"/>
        </w:rPr>
        <w:t>…………………………………………（页码）</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2、我方的投标文件包括以下内容：</w:t>
      </w:r>
    </w:p>
    <w:p>
      <w:pPr>
        <w:snapToGrid w:val="0"/>
        <w:spacing w:line="360" w:lineRule="auto"/>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2.1资格文件：</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2.1.1承诺函；</w:t>
      </w:r>
    </w:p>
    <w:p>
      <w:pPr>
        <w:snapToGrid w:val="0"/>
        <w:spacing w:line="360" w:lineRule="auto"/>
        <w:ind w:left="480" w:leftChars="200" w:firstLine="480" w:firstLineChars="200"/>
        <w:rPr>
          <w:rFonts w:ascii="仿宋_GB2312" w:hAnsi="仿宋_GB2312" w:eastAsia="仿宋_GB2312" w:cs="仿宋_GB2312"/>
        </w:rPr>
      </w:pPr>
      <w:r>
        <w:rPr>
          <w:rFonts w:hint="eastAsia" w:ascii="仿宋_GB2312" w:hAnsi="仿宋_GB2312" w:eastAsia="仿宋_GB2312" w:cs="仿宋_GB2312"/>
          <w:sz w:val="24"/>
        </w:rPr>
        <w:t>2.1.2联合协议（如果有）；</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2.1.3落实政府采购政策需满足的资格要求（如果有）；</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2.1.4本项目的特定资格要求（如果有）。</w:t>
      </w:r>
    </w:p>
    <w:p>
      <w:pPr>
        <w:snapToGrid w:val="0"/>
        <w:spacing w:line="360" w:lineRule="auto"/>
        <w:ind w:firstLine="720" w:firstLineChars="3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商务技术</w:t>
      </w:r>
      <w:r>
        <w:rPr>
          <w:rFonts w:hint="eastAsia" w:ascii="仿宋_GB2312" w:hAnsi="仿宋_GB2312" w:eastAsia="仿宋_GB2312" w:cs="仿宋_GB2312"/>
          <w:sz w:val="24"/>
          <w:lang w:val="zh-CN"/>
        </w:rPr>
        <w:t>文件：</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2.2.1投标函；</w:t>
      </w:r>
      <w:r>
        <w:rPr>
          <w:rFonts w:hint="eastAsia" w:ascii="仿宋_GB2312" w:hAnsi="仿宋_GB2312" w:eastAsia="仿宋_GB2312" w:cs="仿宋_GB2312"/>
          <w:sz w:val="24"/>
          <w:lang w:val="zh-CN"/>
        </w:rPr>
        <w:t xml:space="preserve"> </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2.2.2授权委托书或法定代表人（单位负责人）身份证明；</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2.2.3分包意向协议（如果有）；</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2.2.4符合性审查资料；</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2.2.5评标标准相应的商务技术资料；</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2.2.6投标标的清单；</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2.2.7商务技术偏离表；</w:t>
      </w:r>
    </w:p>
    <w:p>
      <w:pPr>
        <w:snapToGrid w:val="0"/>
        <w:spacing w:line="360" w:lineRule="auto"/>
        <w:ind w:left="480" w:leftChars="2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pPr>
        <w:snapToGrid w:val="0"/>
        <w:spacing w:line="360" w:lineRule="auto"/>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3报价文件</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2.3.1开标一览表（报价表）；</w:t>
      </w:r>
    </w:p>
    <w:p>
      <w:pPr>
        <w:snapToGrid w:val="0"/>
        <w:spacing w:line="360" w:lineRule="auto"/>
        <w:ind w:left="48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2.3.2中小企业声明函（如果有）。</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4、如我方中标，我方承诺：</w:t>
      </w:r>
    </w:p>
    <w:p>
      <w:pPr>
        <w:snapToGrid w:val="0"/>
        <w:spacing w:line="360" w:lineRule="auto"/>
        <w:ind w:left="24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4.1在收到中标通知书后，在中标通知书规定的期限内与你方签订合同； </w:t>
      </w:r>
    </w:p>
    <w:p>
      <w:pPr>
        <w:snapToGrid w:val="0"/>
        <w:spacing w:line="360" w:lineRule="auto"/>
        <w:ind w:left="24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4.2在签订合同时不向你方提出附加条件； </w:t>
      </w:r>
    </w:p>
    <w:p>
      <w:pPr>
        <w:snapToGrid w:val="0"/>
        <w:spacing w:line="360" w:lineRule="auto"/>
        <w:ind w:left="24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4.3按照招标文件要求提交履约保证金； </w:t>
      </w:r>
    </w:p>
    <w:p>
      <w:pPr>
        <w:snapToGrid w:val="0"/>
        <w:spacing w:line="360" w:lineRule="auto"/>
        <w:ind w:left="24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4.4在合同约定的期限内完成合同规定的全部义务。 </w:t>
      </w:r>
    </w:p>
    <w:p>
      <w:pPr>
        <w:snapToGrid w:val="0"/>
        <w:spacing w:line="360" w:lineRule="auto"/>
        <w:ind w:left="24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5、其他补充说明: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spacing w:line="360" w:lineRule="auto"/>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 xml:space="preserve">投标人名称（电子签名）：                          </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pPr>
        <w:spacing w:line="360" w:lineRule="auto"/>
        <w:ind w:right="420"/>
        <w:rPr>
          <w:rFonts w:ascii="仿宋_GB2312" w:hAnsi="仿宋_GB2312" w:eastAsia="仿宋_GB2312" w:cs="仿宋_GB2312"/>
          <w:sz w:val="24"/>
        </w:rPr>
      </w:pPr>
    </w:p>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snapToGrid w:val="0"/>
        <w:spacing w:line="360" w:lineRule="auto"/>
        <w:ind w:left="480" w:leftChars="200" w:firstLine="4200" w:firstLineChars="1750"/>
        <w:rPr>
          <w:rFonts w:hint="eastAsia" w:ascii="仿宋" w:hAnsi="仿宋" w:eastAsia="仿宋" w:cs="仿宋"/>
          <w:color w:val="auto"/>
          <w:kern w:val="0"/>
          <w:sz w:val="24"/>
          <w:highlight w:val="none"/>
          <w:u w:val="singl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pStyle w:val="6"/>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6"/>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6"/>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6"/>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6"/>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6"/>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6"/>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6"/>
        <w:rPr>
          <w:rFonts w:hint="eastAsia" w:ascii="仿宋" w:hAnsi="仿宋" w:eastAsia="仿宋" w:cs="仿宋"/>
          <w:b/>
          <w:color w:val="auto"/>
          <w:kern w:val="0"/>
          <w:sz w:val="32"/>
          <w:szCs w:val="32"/>
          <w:highlight w:val="none"/>
          <w:lang w:val="zh-CN"/>
        </w:rPr>
      </w:pPr>
    </w:p>
    <w:p>
      <w:pPr>
        <w:pStyle w:val="6"/>
        <w:ind w:left="0" w:leftChars="0" w:firstLine="0" w:firstLineChars="0"/>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6"/>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6"/>
        <w:rPr>
          <w:rFonts w:hint="eastAsia" w:ascii="仿宋" w:hAnsi="仿宋" w:eastAsia="仿宋" w:cs="仿宋"/>
          <w:b/>
          <w:color w:val="auto"/>
          <w:kern w:val="0"/>
          <w:sz w:val="32"/>
          <w:szCs w:val="32"/>
          <w:highlight w:val="none"/>
          <w:lang w:val="zh-CN"/>
        </w:rPr>
      </w:pPr>
    </w:p>
    <w:p>
      <w:pPr>
        <w:rPr>
          <w:rFonts w:hint="eastAsia"/>
          <w:lang w:val="zh-CN"/>
        </w:rPr>
      </w:pPr>
    </w:p>
    <w:p>
      <w:pPr>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napToGrid w:val="0"/>
        <w:spacing w:line="360" w:lineRule="auto"/>
        <w:ind w:firstLine="2872" w:firstLineChars="894"/>
        <w:rPr>
          <w:rFonts w:ascii="仿宋_GB2312" w:hAnsi="仿宋_GB2312" w:eastAsia="仿宋_GB2312" w:cs="仿宋_GB2312"/>
        </w:rPr>
      </w:pPr>
      <w:r>
        <w:rPr>
          <w:rFonts w:hint="eastAsia" w:ascii="仿宋_GB2312" w:hAnsi="仿宋_GB2312" w:eastAsia="仿宋_GB2312" w:cs="仿宋_GB2312"/>
          <w:b/>
          <w:kern w:val="0"/>
          <w:sz w:val="32"/>
          <w:szCs w:val="32"/>
          <w:lang w:val="zh-CN"/>
        </w:rPr>
        <w:t>授权委托书（适用于非联合体投标）</w:t>
      </w:r>
      <w:r>
        <w:rPr>
          <w:rFonts w:hint="eastAsia" w:ascii="仿宋_GB2312" w:hAnsi="仿宋_GB2312" w:eastAsia="仿宋_GB2312" w:cs="仿宋_GB2312"/>
        </w:rPr>
        <w:t xml:space="preserve">                               </w:t>
      </w:r>
    </w:p>
    <w:p>
      <w:pPr>
        <w:snapToGrid w:val="0"/>
        <w:spacing w:line="360" w:lineRule="auto"/>
        <w:rPr>
          <w:rFonts w:ascii="仿宋_GB2312" w:hAnsi="仿宋_GB2312" w:eastAsia="仿宋_GB2312" w:cs="仿宋_GB2312"/>
          <w:kern w:val="0"/>
          <w:sz w:val="24"/>
        </w:rPr>
      </w:pPr>
      <w:r>
        <w:rPr>
          <w:rFonts w:hint="eastAsia" w:ascii="仿宋" w:hAnsi="仿宋" w:eastAsia="仿宋" w:cs="仿宋"/>
          <w:color w:val="auto"/>
          <w:sz w:val="24"/>
          <w:highlight w:val="none"/>
        </w:rPr>
        <w:t>（采购人）、（采购代理机构）</w:t>
      </w:r>
      <w:r>
        <w:rPr>
          <w:rFonts w:hint="eastAsia" w:ascii="仿宋_GB2312" w:hAnsi="仿宋_GB2312" w:eastAsia="仿宋_GB2312" w:cs="仿宋_GB2312"/>
          <w:kern w:val="0"/>
          <w:sz w:val="24"/>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（姓名）为我方代理人（身份证号码：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委托期限</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val="zh-CN"/>
        </w:rPr>
        <w:t>自</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日起至</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日止。</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特此告知。</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 xml:space="preserve">                                                 投标人名称(电子签名)：</w:t>
      </w:r>
    </w:p>
    <w:p>
      <w:pPr>
        <w:snapToGrid w:val="0"/>
        <w:spacing w:line="360" w:lineRule="auto"/>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lang w:val="zh-CN"/>
        </w:rPr>
        <w:t xml:space="preserve">                                                 签发日期：  年  月   日</w:t>
      </w:r>
    </w:p>
    <w:p>
      <w:pPr>
        <w:snapToGrid w:val="0"/>
        <w:spacing w:line="360" w:lineRule="auto"/>
        <w:rPr>
          <w:rFonts w:ascii="仿宋_GB2312" w:hAnsi="仿宋_GB2312" w:eastAsia="仿宋_GB2312" w:cs="仿宋_GB2312"/>
          <w:sz w:val="24"/>
          <w:highlight w:val="none"/>
        </w:rPr>
      </w:pPr>
    </w:p>
    <w:p>
      <w:pPr>
        <w:jc w:val="center"/>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lang w:val="zh-CN"/>
        </w:rPr>
        <w:t xml:space="preserve">      </w:t>
      </w:r>
      <w:r>
        <w:rPr>
          <w:rFonts w:hint="eastAsia" w:ascii="仿宋_GB2312" w:hAnsi="仿宋_GB2312" w:eastAsia="仿宋_GB2312" w:cs="仿宋_GB2312"/>
          <w:b/>
          <w:kern w:val="0"/>
          <w:sz w:val="32"/>
          <w:szCs w:val="32"/>
          <w:highlight w:val="none"/>
        </w:rPr>
        <w:t xml:space="preserve"> </w:t>
      </w:r>
      <w:r>
        <w:rPr>
          <w:rFonts w:hint="eastAsia" w:ascii="仿宋_GB2312" w:hAnsi="仿宋_GB2312" w:eastAsia="仿宋_GB2312" w:cs="仿宋_GB2312"/>
          <w:b/>
          <w:kern w:val="0"/>
          <w:sz w:val="32"/>
          <w:szCs w:val="32"/>
          <w:highlight w:val="none"/>
          <w:lang w:val="zh-CN"/>
        </w:rPr>
        <w:t>授权委托书（适用于联合体投标）</w:t>
      </w:r>
    </w:p>
    <w:p>
      <w:pPr>
        <w:snapToGrid w:val="0"/>
        <w:spacing w:line="360" w:lineRule="auto"/>
        <w:rPr>
          <w:rFonts w:ascii="仿宋_GB2312" w:hAnsi="仿宋_GB2312" w:eastAsia="仿宋_GB2312" w:cs="仿宋_GB2312"/>
          <w:kern w:val="0"/>
          <w:sz w:val="24"/>
          <w:highlight w:val="none"/>
        </w:rPr>
      </w:pPr>
      <w:r>
        <w:rPr>
          <w:rFonts w:hint="eastAsia" w:ascii="仿宋" w:hAnsi="仿宋" w:eastAsia="仿宋" w:cs="仿宋"/>
          <w:color w:val="auto"/>
          <w:sz w:val="24"/>
          <w:highlight w:val="none"/>
        </w:rPr>
        <w:t>（采购人）、（采购代理机构）</w:t>
      </w:r>
      <w:r>
        <w:rPr>
          <w:rFonts w:hint="eastAsia" w:ascii="仿宋_GB2312" w:hAnsi="仿宋_GB2312" w:eastAsia="仿宋_GB2312" w:cs="仿宋_GB2312"/>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_GB2312" w:hAnsi="仿宋_GB2312" w:eastAsia="仿宋_GB2312" w:cs="仿宋_GB2312"/>
          <w:kern w:val="0"/>
          <w:sz w:val="24"/>
          <w:highlight w:val="none"/>
        </w:rPr>
        <w:t>现</w:t>
      </w:r>
      <w:r>
        <w:rPr>
          <w:rFonts w:hint="eastAsia" w:ascii="仿宋_GB2312" w:hAnsi="仿宋_GB2312" w:eastAsia="仿宋_GB2312" w:cs="仿宋_GB2312"/>
          <w:kern w:val="0"/>
          <w:sz w:val="24"/>
          <w:highlight w:val="none"/>
          <w:lang w:val="zh-CN"/>
        </w:rPr>
        <w:t>委托</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（姓名）为我方代理人（身份证号码：</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，手机：</w:t>
      </w:r>
      <w:r>
        <w:rPr>
          <w:rFonts w:hint="eastAsia" w:ascii="仿宋_GB2312" w:hAnsi="仿宋_GB2312" w:eastAsia="仿宋_GB2312" w:cs="仿宋_GB2312"/>
          <w:kern w:val="0"/>
          <w:sz w:val="24"/>
          <w:highlight w:val="none"/>
          <w:u w:val="single"/>
          <w:lang w:val="zh-CN"/>
        </w:rPr>
        <w:t xml:space="preserve">          </w:t>
      </w:r>
      <w:r>
        <w:rPr>
          <w:rFonts w:hint="eastAsia" w:ascii="仿宋_GB2312" w:hAnsi="仿宋_GB2312" w:eastAsia="仿宋_GB2312" w:cs="仿宋_GB2312"/>
          <w:kern w:val="0"/>
          <w:sz w:val="24"/>
          <w:highlight w:val="none"/>
          <w:lang w:val="zh-CN"/>
        </w:rPr>
        <w:t>），</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委托期限</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lang w:val="zh-CN"/>
        </w:rPr>
        <w:t>自</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日起至</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年</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日止。</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zh-CN"/>
        </w:rPr>
        <w:t>特此告知。</w:t>
      </w:r>
    </w:p>
    <w:p>
      <w:pPr>
        <w:rPr>
          <w:rFonts w:ascii="仿宋_GB2312" w:hAnsi="仿宋_GB2312" w:eastAsia="仿宋_GB2312" w:cs="仿宋_GB2312"/>
          <w:b/>
          <w:kern w:val="0"/>
          <w:sz w:val="32"/>
          <w:szCs w:val="32"/>
        </w:rPr>
      </w:pPr>
    </w:p>
    <w:p>
      <w:pPr>
        <w:rPr>
          <w:rFonts w:ascii="仿宋_GB2312" w:hAnsi="仿宋_GB2312" w:eastAsia="仿宋_GB2312" w:cs="仿宋_GB2312"/>
        </w:rPr>
      </w:pP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pacing w:line="360" w:lineRule="auto"/>
        <w:ind w:firstLine="480" w:firstLineChars="200"/>
        <w:rPr>
          <w:rFonts w:ascii="仿宋_GB2312" w:hAnsi="仿宋_GB2312" w:eastAsia="仿宋_GB2312" w:cs="仿宋_GB2312"/>
          <w:sz w:val="24"/>
          <w:lang w:val="zh-CN"/>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6"/>
        <w:rPr>
          <w:rFonts w:hint="eastAsia"/>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三、分包意向协议（如果有）</w:t>
      </w:r>
    </w:p>
    <w:p>
      <w:pPr>
        <w:widowControl/>
        <w:spacing w:line="360" w:lineRule="auto"/>
        <w:ind w:firstLine="120" w:firstLineChars="5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中标后以分包方式履行合同的，提供分包意向协议(附件6)；采购人不同意分包或者投标人中标后不以分包方式履行合同的，则不需要提供。</w:t>
      </w:r>
      <w:r>
        <w:rPr>
          <w:rFonts w:hint="eastAsia" w:ascii="仿宋_GB2312" w:hAnsi="仿宋_GB2312" w:eastAsia="仿宋_GB2312" w:cs="仿宋_GB2312"/>
          <w:sz w:val="24"/>
        </w:rPr>
        <w:t>）</w:t>
      </w:r>
    </w:p>
    <w:p>
      <w:pPr>
        <w:pStyle w:val="6"/>
        <w:rPr>
          <w:rFonts w:hAnsi="仿宋_GB2312" w:cs="仿宋_GB2312"/>
        </w:rPr>
      </w:pPr>
    </w:p>
    <w:p>
      <w:pPr>
        <w:rPr>
          <w:rFonts w:ascii="仿宋_GB2312" w:hAnsi="仿宋_GB2312" w:eastAsia="仿宋_GB2312" w:cs="仿宋_GB2312"/>
        </w:rPr>
      </w:pPr>
    </w:p>
    <w:p>
      <w:pPr>
        <w:pStyle w:val="6"/>
        <w:rPr>
          <w:rFonts w:hAnsi="仿宋_GB2312" w:cs="仿宋_GB2312"/>
        </w:rPr>
      </w:pP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四、符合性审查资料</w:t>
      </w:r>
    </w:p>
    <w:p>
      <w:pPr>
        <w:jc w:val="center"/>
        <w:rPr>
          <w:rFonts w:ascii="仿宋_GB2312" w:hAnsi="仿宋_GB2312"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投标文件中的</w:t>
            </w:r>
          </w:p>
          <w:p>
            <w:pPr>
              <w:snapToGrid w:val="0"/>
              <w:spacing w:line="240" w:lineRule="atLeast"/>
              <w:jc w:val="center"/>
              <w:rPr>
                <w:rFonts w:ascii="仿宋_GB2312" w:hAnsi="仿宋_GB2312" w:eastAsia="仿宋_GB2312" w:cs="仿宋_GB2312"/>
                <w:b/>
                <w:sz w:val="24"/>
              </w:rPr>
            </w:pPr>
            <w:r>
              <w:rPr>
                <w:rFonts w:hint="eastAsia" w:ascii="仿宋_GB2312" w:hAnsi="仿宋_GB2312" w:eastAsia="仿宋_GB2312" w:cs="仿宋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见投标文件</w:t>
            </w:r>
          </w:p>
          <w:p>
            <w:pPr>
              <w:rPr>
                <w:rFonts w:ascii="仿宋_GB2312" w:hAnsi="仿宋_GB2312" w:eastAsia="仿宋_GB2312" w:cs="仿宋_GB2312"/>
              </w:rPr>
            </w:pPr>
            <w:r>
              <w:rPr>
                <w:rFonts w:hint="eastAsia" w:ascii="仿宋_GB2312" w:hAnsi="仿宋_GB2312" w:eastAsia="仿宋_GB2312" w:cs="仿宋_GB2312"/>
                <w:sz w:val="24"/>
              </w:rPr>
              <w:t>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pPr>
              <w:rPr>
                <w:rFonts w:ascii="仿宋_GB2312" w:hAnsi="仿宋_GB2312" w:eastAsia="仿宋_GB2312" w:cs="仿宋_GB2312"/>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投标文件满足招标文件的其它实质性要求。</w:t>
            </w:r>
          </w:p>
        </w:tc>
        <w:tc>
          <w:tcPr>
            <w:tcW w:w="2551" w:type="dxa"/>
            <w:vAlign w:val="center"/>
          </w:tcPr>
          <w:p>
            <w:pPr>
              <w:rPr>
                <w:rFonts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 系指实质性要求条款，招标文件无其它实质性要求的，无需提供）</w:t>
            </w:r>
          </w:p>
        </w:tc>
        <w:tc>
          <w:tcPr>
            <w:tcW w:w="1418" w:type="dxa"/>
          </w:tcPr>
          <w:p>
            <w:pPr>
              <w:rPr>
                <w:rFonts w:ascii="仿宋_GB2312" w:hAnsi="仿宋_GB2312" w:eastAsia="仿宋_GB2312" w:cs="仿宋_GB2312"/>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bl>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jc w:val="center"/>
        <w:rPr>
          <w:rFonts w:ascii="仿宋_GB2312" w:hAnsi="仿宋_GB2312" w:eastAsia="仿宋_GB2312" w:cs="仿宋_GB2312"/>
          <w:b/>
          <w:kern w:val="0"/>
          <w:sz w:val="32"/>
          <w:szCs w:val="32"/>
        </w:rPr>
      </w:pPr>
    </w:p>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 xml:space="preserve">投标人名称(电子签名)：                              </w:t>
      </w:r>
    </w:p>
    <w:p>
      <w:pPr>
        <w:pStyle w:val="26"/>
        <w:rPr>
          <w:rFonts w:ascii="仿宋_GB2312" w:hAnsi="仿宋_GB2312" w:eastAsia="仿宋_GB2312" w:cs="仿宋_GB2312"/>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kern w:val="0"/>
          <w:lang w:val="zh-CN"/>
        </w:rPr>
        <w:t xml:space="preserve">                   </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日期：  年  月  日</w:t>
      </w:r>
    </w:p>
    <w:p>
      <w:pPr>
        <w:jc w:val="center"/>
        <w:rPr>
          <w:rFonts w:ascii="仿宋_GB2312" w:hAnsi="仿宋_GB2312" w:eastAsia="仿宋_GB2312" w:cs="仿宋_GB2312"/>
        </w:rPr>
      </w:pPr>
      <w:r>
        <w:rPr>
          <w:rFonts w:hint="eastAsia" w:ascii="仿宋_GB2312" w:hAnsi="仿宋_GB2312" w:eastAsia="仿宋_GB2312" w:cs="仿宋_GB2312"/>
          <w:b/>
          <w:kern w:val="0"/>
          <w:sz w:val="32"/>
          <w:szCs w:val="32"/>
        </w:rPr>
        <w:t>五、评标标准相应的商务技术资料</w:t>
      </w:r>
    </w:p>
    <w:p>
      <w:pPr>
        <w:snapToGrid w:val="0"/>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（按招标文件第四部分评标办法前附表中“投标文件中评标标准相应的商务技术资料目录”提供资料）</w:t>
      </w:r>
    </w:p>
    <w:p>
      <w:pPr>
        <w:pStyle w:val="6"/>
      </w:pPr>
    </w:p>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 xml:space="preserve">投标人名称(电子签名)：                              </w:t>
      </w: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kern w:val="0"/>
          <w:sz w:val="24"/>
          <w:lang w:val="zh-CN"/>
        </w:rPr>
        <w:t xml:space="preserve">                   日期：  年  月  日</w:t>
      </w:r>
    </w:p>
    <w:p>
      <w:pPr>
        <w:jc w:val="center"/>
        <w:rPr>
          <w:rFonts w:ascii="仿宋_GB2312" w:hAnsi="仿宋_GB2312" w:eastAsia="仿宋_GB2312" w:cs="仿宋_GB2312"/>
          <w:b/>
          <w:kern w:val="0"/>
          <w:sz w:val="32"/>
          <w:szCs w:val="32"/>
        </w:rPr>
      </w:pPr>
    </w:p>
    <w:p>
      <w:pPr>
        <w:ind w:firstLine="2891" w:firstLineChars="900"/>
        <w:rPr>
          <w:rFonts w:hint="eastAsia" w:ascii="仿宋_GB2312" w:hAnsi="仿宋_GB2312" w:eastAsia="仿宋_GB2312" w:cs="仿宋_GB2312"/>
          <w:b/>
          <w:kern w:val="0"/>
          <w:sz w:val="32"/>
          <w:szCs w:val="32"/>
        </w:rPr>
      </w:pPr>
    </w:p>
    <w:p>
      <w:pPr>
        <w:ind w:firstLine="2891" w:firstLineChars="9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六、投标标的清单</w:t>
      </w:r>
    </w:p>
    <w:tbl>
      <w:tblPr>
        <w:tblStyle w:val="62"/>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r>
    </w:tbl>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 xml:space="preserve">投标人名称(电子签名)：                              </w:t>
      </w: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kern w:val="0"/>
          <w:sz w:val="24"/>
          <w:lang w:val="zh-CN"/>
        </w:rPr>
        <w:t xml:space="preserve">                   日期：  年  月  日</w:t>
      </w:r>
    </w:p>
    <w:p>
      <w:pPr>
        <w:jc w:val="center"/>
        <w:rPr>
          <w:rFonts w:ascii="仿宋_GB2312" w:hAnsi="仿宋_GB2312" w:eastAsia="仿宋_GB2312" w:cs="仿宋_GB2312"/>
          <w:b/>
          <w:kern w:val="0"/>
          <w:sz w:val="32"/>
          <w:szCs w:val="32"/>
        </w:rPr>
      </w:pPr>
    </w:p>
    <w:p>
      <w:pPr>
        <w:jc w:val="center"/>
        <w:rPr>
          <w:rFonts w:hint="eastAsia"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683"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招标文件章节及具体内容</w:t>
            </w:r>
          </w:p>
        </w:tc>
        <w:tc>
          <w:tcPr>
            <w:tcW w:w="3546"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投标文件章节及具体内容</w:t>
            </w:r>
          </w:p>
        </w:tc>
        <w:tc>
          <w:tcPr>
            <w:tcW w:w="1276" w:type="dxa"/>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683" w:type="dxa"/>
          </w:tcPr>
          <w:p>
            <w:pPr>
              <w:jc w:val="center"/>
              <w:rPr>
                <w:rFonts w:ascii="仿宋_GB2312" w:hAnsi="仿宋_GB2312" w:eastAsia="仿宋_GB2312" w:cs="仿宋_GB2312"/>
                <w:b/>
                <w:kern w:val="0"/>
                <w:sz w:val="32"/>
                <w:szCs w:val="32"/>
              </w:rPr>
            </w:pPr>
          </w:p>
        </w:tc>
        <w:tc>
          <w:tcPr>
            <w:tcW w:w="3546" w:type="dxa"/>
          </w:tcPr>
          <w:p>
            <w:pPr>
              <w:jc w:val="center"/>
              <w:rPr>
                <w:rFonts w:ascii="仿宋_GB2312" w:hAnsi="仿宋_GB2312" w:eastAsia="仿宋_GB2312" w:cs="仿宋_GB2312"/>
                <w:b/>
                <w:kern w:val="0"/>
                <w:sz w:val="32"/>
                <w:szCs w:val="32"/>
              </w:rPr>
            </w:pPr>
          </w:p>
        </w:tc>
        <w:tc>
          <w:tcPr>
            <w:tcW w:w="1276" w:type="dxa"/>
          </w:tcPr>
          <w:p>
            <w:pPr>
              <w:jc w:val="center"/>
              <w:rPr>
                <w:rFonts w:ascii="仿宋_GB2312" w:hAnsi="仿宋_GB2312" w:eastAsia="仿宋_GB2312" w:cs="仿宋_GB2312"/>
                <w:b/>
                <w:kern w:val="0"/>
                <w:sz w:val="32"/>
                <w:szCs w:val="32"/>
              </w:rPr>
            </w:pPr>
          </w:p>
        </w:tc>
      </w:tr>
    </w:tbl>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投标人保证：除商务技术偏离表列出的偏离外，投标人响应招标文件的全部要求</w:t>
      </w:r>
    </w:p>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注：按本格式和要求提供。</w:t>
      </w:r>
    </w:p>
    <w:p>
      <w:pPr>
        <w:ind w:firstLine="1911" w:firstLineChars="595"/>
        <w:rPr>
          <w:rFonts w:ascii="仿宋_GB2312" w:hAnsi="仿宋_GB2312" w:eastAsia="仿宋_GB2312" w:cs="仿宋_GB2312"/>
          <w:b/>
          <w:kern w:val="0"/>
          <w:sz w:val="32"/>
          <w:szCs w:val="32"/>
        </w:rPr>
      </w:pPr>
    </w:p>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 xml:space="preserve">投标人名称(电子签名)：                              </w:t>
      </w:r>
    </w:p>
    <w:p>
      <w:pPr>
        <w:jc w:val="center"/>
        <w:rPr>
          <w:rFonts w:ascii="仿宋_GB2312" w:hAnsi="仿宋_GB2312" w:eastAsia="仿宋_GB2312" w:cs="仿宋_GB2312"/>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kern w:val="0"/>
          <w:sz w:val="24"/>
          <w:lang w:val="zh-CN"/>
        </w:rPr>
        <w:t xml:space="preserve">                   日期：  年  月  日</w:t>
      </w:r>
    </w:p>
    <w:p>
      <w:pPr>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550"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550"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528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hint="eastAsia" w:ascii="仿宋" w:hAnsi="仿宋" w:eastAsia="仿宋" w:cs="仿宋"/>
          <w:b/>
          <w:kern w:val="0"/>
          <w:sz w:val="32"/>
          <w:szCs w:val="32"/>
        </w:rPr>
      </w:pPr>
      <w:r>
        <w:rPr>
          <w:rFonts w:hint="eastAsia" w:ascii="仿宋" w:hAnsi="仿宋" w:eastAsia="仿宋" w:cs="仿宋"/>
          <w:b/>
          <w:kern w:val="0"/>
          <w:sz w:val="32"/>
          <w:szCs w:val="32"/>
          <w:lang w:val="zh-CN"/>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u w:val="single"/>
          <w:lang w:eastAsia="zh-CN"/>
        </w:rPr>
        <w:t>杭州市钱塘区人民政府</w:t>
      </w:r>
      <w:r>
        <w:rPr>
          <w:rFonts w:hint="eastAsia" w:ascii="仿宋" w:hAnsi="仿宋" w:cs="仿宋"/>
          <w:sz w:val="24"/>
          <w:u w:val="single"/>
          <w:lang w:val="en-US" w:eastAsia="zh-CN"/>
        </w:rPr>
        <w:t>义蓬</w:t>
      </w:r>
      <w:r>
        <w:rPr>
          <w:rFonts w:hint="eastAsia" w:ascii="仿宋" w:hAnsi="仿宋" w:eastAsia="仿宋" w:cs="仿宋"/>
          <w:sz w:val="24"/>
          <w:u w:val="single"/>
          <w:lang w:eastAsia="zh-CN"/>
        </w:rPr>
        <w:t>街道办事处、浙江中合工程管理有限公司</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w:t>
      </w:r>
      <w:r>
        <w:rPr>
          <w:rFonts w:hint="eastAsia" w:ascii="仿宋" w:hAnsi="仿宋" w:eastAsia="仿宋" w:cs="仿宋"/>
          <w:kern w:val="0"/>
          <w:sz w:val="24"/>
          <w:highlight w:val="none"/>
          <w:lang w:val="zh-CN"/>
        </w:rPr>
        <w:t>格完成</w:t>
      </w:r>
      <w:r>
        <w:rPr>
          <w:rFonts w:hint="eastAsia" w:ascii="仿宋" w:hAnsi="仿宋" w:cs="仿宋"/>
          <w:sz w:val="24"/>
          <w:highlight w:val="none"/>
          <w:u w:val="single"/>
          <w:lang w:eastAsia="zh-CN"/>
        </w:rPr>
        <w:t>义蓬街道义盛社区标识标牌项目</w:t>
      </w:r>
      <w:r>
        <w:rPr>
          <w:rFonts w:hint="eastAsia" w:ascii="仿宋" w:hAnsi="仿宋" w:eastAsia="仿宋" w:cs="仿宋"/>
          <w:kern w:val="0"/>
          <w:sz w:val="24"/>
          <w:highlight w:val="none"/>
          <w:lang w:val="zh-CN"/>
        </w:rPr>
        <w:t>【</w:t>
      </w:r>
      <w:r>
        <w:rPr>
          <w:rFonts w:hint="eastAsia" w:ascii="仿宋" w:hAnsi="仿宋" w:eastAsia="仿宋" w:cs="仿宋"/>
          <w:kern w:val="0"/>
          <w:sz w:val="24"/>
          <w:lang w:val="zh-CN"/>
        </w:rPr>
        <w:t>项目编号：QTCG-GK-2024-111</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firstLine="482" w:firstLineChars="200"/>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注：</w:t>
      </w:r>
    </w:p>
    <w:p>
      <w:pPr>
        <w:spacing w:line="360" w:lineRule="auto"/>
        <w:ind w:left="-2" w:leftChars="-1"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1、投标人需按本表格式填写</w:t>
      </w:r>
      <w:r>
        <w:rPr>
          <w:rFonts w:hint="eastAsia" w:ascii="仿宋_GB2312" w:hAnsi="仿宋_GB2312" w:eastAsia="仿宋_GB2312" w:cs="仿宋_GB2312"/>
          <w:b/>
          <w:kern w:val="0"/>
          <w:sz w:val="24"/>
          <w:lang w:val="zh-CN"/>
        </w:rPr>
        <w:t>，</w:t>
      </w:r>
      <w:r>
        <w:rPr>
          <w:rFonts w:hint="eastAsia" w:ascii="仿宋_GB2312" w:hAnsi="仿宋_GB2312" w:eastAsia="仿宋_GB2312" w:cs="仿宋_GB2312"/>
          <w:b/>
          <w:kern w:val="0"/>
          <w:sz w:val="24"/>
        </w:rPr>
        <w:t>否则视为</w:t>
      </w:r>
      <w:r>
        <w:rPr>
          <w:rFonts w:hint="eastAsia" w:ascii="仿宋_GB2312" w:hAnsi="仿宋_GB2312" w:eastAsia="仿宋_GB2312" w:cs="仿宋_GB2312"/>
          <w:b/>
          <w:sz w:val="24"/>
        </w:rPr>
        <w:t>投标文件含有采购人不能接受的附加条件，投标无效</w:t>
      </w:r>
      <w:r>
        <w:rPr>
          <w:rFonts w:hint="eastAsia" w:ascii="仿宋_GB2312" w:hAnsi="仿宋_GB2312" w:eastAsia="仿宋_GB2312" w:cs="仿宋_GB2312"/>
          <w:kern w:val="0"/>
          <w:sz w:val="24"/>
          <w:lang w:val="zh-CN"/>
        </w:rPr>
        <w:t>。</w:t>
      </w:r>
    </w:p>
    <w:p>
      <w:pPr>
        <w:pStyle w:val="690"/>
        <w:keepNext w:val="0"/>
        <w:pageBreakBefore w:val="0"/>
        <w:tabs>
          <w:tab w:val="clear" w:pos="720"/>
        </w:tabs>
        <w:snapToGrid w:val="0"/>
        <w:spacing w:before="120" w:after="120"/>
        <w:ind w:firstLine="482" w:firstLineChars="200"/>
        <w:jc w:val="both"/>
        <w:outlineLvl w:val="9"/>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2、有关本项目实施所涉及的一切费用均计入报价。总价不为零，开标一览表（报价表）中部分产品、服务单价为零的，视作已包含在总价中。采购人将以合同形式有偿取得货物或服务，不接受投标人给予的赠品、回扣或者与采购无关的其他商品、服务；采购内容未包含在《开标一览表（报价表）》名称栏中</w:t>
      </w:r>
      <w:r>
        <w:rPr>
          <w:rFonts w:hint="eastAsia" w:ascii="仿宋_GB2312" w:hAnsi="仿宋_GB2312" w:eastAsia="仿宋_GB2312" w:cs="仿宋_GB2312"/>
          <w:kern w:val="0"/>
          <w:sz w:val="24"/>
        </w:rPr>
        <w:t>或数量少于采购需求的</w:t>
      </w:r>
      <w:r>
        <w:rPr>
          <w:rFonts w:hint="eastAsia" w:ascii="仿宋_GB2312" w:hAnsi="仿宋_GB2312" w:eastAsia="仿宋_GB2312" w:cs="仿宋_GB2312"/>
          <w:kern w:val="0"/>
          <w:sz w:val="24"/>
          <w:lang w:val="zh-CN"/>
        </w:rPr>
        <w:t>，投标人不能作出合理解释的，</w:t>
      </w:r>
      <w:r>
        <w:rPr>
          <w:rFonts w:hint="eastAsia" w:ascii="仿宋_GB2312" w:hAnsi="仿宋_GB2312" w:eastAsia="仿宋_GB2312" w:cs="仿宋_GB2312"/>
          <w:kern w:val="0"/>
          <w:sz w:val="24"/>
        </w:rPr>
        <w:t>视为</w:t>
      </w:r>
      <w:r>
        <w:rPr>
          <w:rFonts w:hint="eastAsia" w:ascii="仿宋_GB2312" w:hAnsi="仿宋_GB2312" w:eastAsia="仿宋_GB2312" w:cs="仿宋_GB2312"/>
          <w:sz w:val="24"/>
        </w:rPr>
        <w:t>投标文件含有采购人不能接受的附加条件的，投标无效。</w:t>
      </w:r>
    </w:p>
    <w:p>
      <w:pPr>
        <w:snapToGrid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szCs w:val="22"/>
          <w:lang w:val="zh-CN"/>
        </w:rPr>
        <w:t>4、</w:t>
      </w:r>
      <w:r>
        <w:rPr>
          <w:rFonts w:hint="eastAsia" w:ascii="仿宋_GB2312" w:hAnsi="仿宋_GB2312" w:eastAsia="仿宋_GB2312" w:cs="仿宋_GB231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val="0"/>
        <w:snapToGrid w:val="0"/>
        <w:spacing w:line="360" w:lineRule="auto"/>
        <w:ind w:left="480"/>
        <w:textAlignment w:val="auto"/>
        <w:rPr>
          <w:rFonts w:hint="eastAsia" w:ascii="仿宋" w:hAnsi="仿宋" w:eastAsia="仿宋" w:cs="仿宋"/>
          <w:b w:val="0"/>
          <w:bCs/>
          <w:kern w:val="0"/>
          <w:sz w:val="24"/>
          <w:highlight w:val="yellow"/>
          <w:lang w:val="zh-CN"/>
        </w:rPr>
      </w:pPr>
      <w:r>
        <w:rPr>
          <w:rFonts w:hint="eastAsia" w:ascii="仿宋_GB2312" w:hAnsi="仿宋_GB2312" w:eastAsia="仿宋_GB2312" w:cs="仿宋_GB2312"/>
          <w:snapToGrid/>
          <w:kern w:val="2"/>
          <w:sz w:val="24"/>
          <w:szCs w:val="20"/>
          <w:lang w:val="zh-CN" w:eastAsia="zh-CN" w:bidi="ar-SA"/>
        </w:rPr>
        <w:t>5、特别说明：▲供应商报价低于项目预算50%的，应当在报价文件中详细阐述不影响产品质量或者诚信履约的具体原因。</w:t>
      </w:r>
    </w:p>
    <w:p>
      <w:pPr>
        <w:autoSpaceDE w:val="0"/>
        <w:autoSpaceDN w:val="0"/>
        <w:spacing w:line="360" w:lineRule="auto"/>
        <w:ind w:left="2" w:leftChars="1" w:right="1120" w:firstLine="8880" w:firstLineChars="3700"/>
        <w:jc w:val="left"/>
        <w:rPr>
          <w:rFonts w:hint="eastAsia" w:ascii="仿宋" w:hAnsi="仿宋" w:eastAsia="仿宋" w:cs="仿宋"/>
          <w:color w:val="auto"/>
          <w:kern w:val="2"/>
          <w:sz w:val="32"/>
          <w:szCs w:val="32"/>
          <w:highlight w:val="none"/>
        </w:rPr>
        <w:sectPr>
          <w:headerReference r:id="rId18" w:type="first"/>
          <w:footerReference r:id="rId20" w:type="first"/>
          <w:headerReference r:id="rId17" w:type="default"/>
          <w:footerReference r:id="rId19" w:type="default"/>
          <w:pgSz w:w="16838" w:h="11906" w:orient="landscape"/>
          <w:pgMar w:top="1417" w:right="1276" w:bottom="539" w:left="1247" w:header="851" w:footer="992" w:gutter="0"/>
          <w:cols w:space="0" w:num="1"/>
          <w:titlePg/>
          <w:rtlGutter w:val="0"/>
          <w:docGrid w:linePitch="312" w:charSpace="0"/>
        </w:sectPr>
      </w:pPr>
      <w:r>
        <w:rPr>
          <w:rFonts w:hint="eastAsia" w:ascii="仿宋" w:hAnsi="仿宋" w:eastAsia="仿宋" w:cs="仿宋"/>
          <w:kern w:val="0"/>
          <w:sz w:val="24"/>
          <w:lang w:val="zh-CN"/>
        </w:rPr>
        <w:t xml:space="preserve">                                                                                                                                                                                                           </w:t>
      </w:r>
    </w:p>
    <w:p>
      <w:pPr>
        <w:pStyle w:val="690"/>
        <w:keepNext w:val="0"/>
        <w:pageBreakBefore w:val="0"/>
        <w:tabs>
          <w:tab w:val="clear" w:pos="720"/>
        </w:tabs>
        <w:snapToGrid w:val="0"/>
        <w:spacing w:before="120" w:after="120"/>
        <w:ind w:firstLine="643"/>
        <w:outlineLvl w:val="9"/>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二、</w:t>
      </w:r>
      <w:r>
        <w:rPr>
          <w:rFonts w:hint="eastAsia" w:ascii="仿宋_GB2312" w:hAnsi="仿宋_GB2312" w:eastAsia="仿宋_GB2312" w:cs="仿宋_GB2312"/>
          <w:sz w:val="32"/>
          <w:szCs w:val="32"/>
        </w:rPr>
        <w:t>中小企业声明函（如果有）</w:t>
      </w:r>
    </w:p>
    <w:p>
      <w:pPr>
        <w:widowControl/>
        <w:spacing w:line="360" w:lineRule="auto"/>
        <w:ind w:firstLine="120" w:firstLineChars="50"/>
        <w:jc w:val="left"/>
        <w:rPr>
          <w:rFonts w:ascii="仿宋_GB2312" w:hAnsi="仿宋_GB2312" w:eastAsia="仿宋_GB2312" w:cs="仿宋_GB2312"/>
          <w:b/>
          <w:sz w:val="24"/>
        </w:rPr>
      </w:pPr>
      <w:r>
        <w:rPr>
          <w:rFonts w:hint="eastAsia" w:ascii="仿宋_GB2312" w:hAnsi="仿宋_GB2312"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关于钱塘区政府采购支持中小企业信用融资相关事项通知</w:t>
      </w:r>
    </w:p>
    <w:p>
      <w:pPr>
        <w:spacing w:line="360" w:lineRule="auto"/>
        <w:jc w:val="center"/>
        <w:rPr>
          <w:rFonts w:hint="eastAsia" w:ascii="仿宋" w:hAnsi="仿宋" w:eastAsia="仿宋" w:cs="仿宋"/>
          <w:b/>
          <w:color w:val="auto"/>
          <w:szCs w:val="21"/>
          <w:highlight w:val="none"/>
        </w:rPr>
      </w:pP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pPr>
              <w:widowControl/>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pPr>
        <w:spacing w:line="360" w:lineRule="auto"/>
        <w:ind w:left="5060" w:hanging="5060" w:hangingChars="2100"/>
        <w:rPr>
          <w:rFonts w:hint="eastAsia" w:ascii="仿宋" w:hAnsi="仿宋" w:eastAsia="仿宋" w:cs="仿宋"/>
          <w:b/>
          <w:bCs/>
          <w:color w:val="auto"/>
          <w:kern w:val="0"/>
          <w:sz w:val="24"/>
          <w:highlight w:val="none"/>
        </w:rPr>
      </w:pPr>
    </w:p>
    <w:p>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97" w:name="_Toc465665161"/>
      <w:r>
        <w:rPr>
          <w:rFonts w:hint="eastAsia" w:ascii="仿宋" w:hAnsi="仿宋" w:eastAsia="仿宋" w:cs="仿宋"/>
          <w:color w:val="auto"/>
          <w:highlight w:val="none"/>
        </w:rPr>
        <w:t>附件</w:t>
      </w:r>
      <w:bookmarkEnd w:id="397"/>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398" w:name="OLE_LINK13"/>
      <w:bookmarkStart w:id="399" w:name="OLE_LINK14"/>
      <w:r>
        <w:rPr>
          <w:rFonts w:hint="eastAsia" w:ascii="仿宋" w:hAnsi="仿宋" w:eastAsia="仿宋" w:cs="仿宋"/>
          <w:b/>
          <w:color w:val="auto"/>
          <w:spacing w:val="6"/>
          <w:sz w:val="32"/>
          <w:szCs w:val="32"/>
          <w:highlight w:val="none"/>
        </w:rPr>
        <w:t>残疾人福利性单位声明函</w:t>
      </w:r>
    </w:p>
    <w:bookmarkEnd w:id="398"/>
    <w:bookmarkEnd w:id="399"/>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pStyle w:val="6"/>
        <w:rPr>
          <w:rFonts w:hint="eastAsia"/>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both"/>
        <w:rPr>
          <w:rFonts w:hint="eastAsia" w:ascii="仿宋" w:hAnsi="仿宋" w:eastAsia="仿宋" w:cs="仿宋"/>
          <w:b/>
          <w:color w:val="auto"/>
          <w:spacing w:val="6"/>
          <w:sz w:val="32"/>
          <w:szCs w:val="32"/>
          <w:highlight w:val="none"/>
        </w:rPr>
      </w:pPr>
    </w:p>
    <w:p>
      <w:pPr>
        <w:pStyle w:val="6"/>
        <w:rPr>
          <w:rFonts w:hint="eastAsia"/>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color w:val="auto"/>
          <w:spacing w:val="6"/>
          <w:sz w:val="32"/>
          <w:szCs w:val="32"/>
          <w:highlight w:val="none"/>
        </w:rPr>
      </w:pPr>
    </w:p>
    <w:p>
      <w:pPr>
        <w:autoSpaceDE w:val="0"/>
        <w:autoSpaceDN w:val="0"/>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spacing w:val="6"/>
          <w:sz w:val="32"/>
          <w:szCs w:val="32"/>
        </w:rPr>
        <w:t>附件5：</w:t>
      </w:r>
      <w:r>
        <w:rPr>
          <w:rFonts w:hint="eastAsia" w:ascii="仿宋_GB2312" w:hAnsi="仿宋_GB2312" w:eastAsia="仿宋_GB2312" w:cs="仿宋_GB2312"/>
          <w:b/>
          <w:kern w:val="0"/>
          <w:sz w:val="32"/>
          <w:szCs w:val="32"/>
          <w:lang w:val="zh-CN"/>
        </w:rPr>
        <w:t>联合协议</w:t>
      </w:r>
    </w:p>
    <w:p>
      <w:pPr>
        <w:widowControl/>
        <w:spacing w:line="360"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（联合体所有成员名称）</w:t>
      </w:r>
      <w:r>
        <w:rPr>
          <w:rFonts w:hint="eastAsia" w:ascii="仿宋_GB2312" w:hAnsi="仿宋_GB2312" w:eastAsia="仿宋_GB2312" w:cs="仿宋_GB2312"/>
          <w:kern w:val="0"/>
          <w:sz w:val="24"/>
        </w:rPr>
        <w:t>自愿</w:t>
      </w:r>
      <w:r>
        <w:rPr>
          <w:rFonts w:hint="eastAsia" w:ascii="仿宋_GB2312" w:hAnsi="仿宋_GB2312" w:eastAsia="仿宋_GB2312" w:cs="仿宋_GB2312"/>
          <w:kern w:val="0"/>
          <w:sz w:val="24"/>
          <w:lang w:val="zh-CN"/>
        </w:rPr>
        <w:t>组成一个联合体，以一个投</w:t>
      </w:r>
      <w:r>
        <w:rPr>
          <w:rFonts w:hint="eastAsia" w:ascii="仿宋_GB2312" w:hAnsi="仿宋_GB2312" w:eastAsia="仿宋_GB2312" w:cs="仿宋_GB2312"/>
          <w:kern w:val="0"/>
          <w:sz w:val="24"/>
          <w:highlight w:val="none"/>
          <w:lang w:val="zh-CN"/>
        </w:rPr>
        <w:t>标人的身份</w:t>
      </w:r>
      <w:r>
        <w:rPr>
          <w:rFonts w:hint="eastAsia" w:ascii="仿宋_GB2312" w:hAnsi="仿宋_GB2312" w:eastAsia="仿宋_GB2312" w:cs="仿宋_GB2312"/>
          <w:kern w:val="0"/>
          <w:sz w:val="24"/>
          <w:highlight w:val="none"/>
          <w:u w:val="none"/>
        </w:rPr>
        <w:t>参加</w:t>
      </w:r>
      <w:r>
        <w:rPr>
          <w:rFonts w:hint="eastAsia" w:ascii="仿宋" w:hAnsi="仿宋" w:eastAsia="仿宋" w:cs="仿宋"/>
          <w:color w:val="auto"/>
          <w:sz w:val="24"/>
          <w:highlight w:val="none"/>
        </w:rPr>
        <w:t>（项目名称）【招标编号：（采购编号）】</w:t>
      </w:r>
      <w:r>
        <w:rPr>
          <w:rFonts w:hint="eastAsia" w:ascii="仿宋_GB2312" w:hAnsi="仿宋_GB2312" w:eastAsia="仿宋_GB2312" w:cs="仿宋_GB2312"/>
          <w:kern w:val="0"/>
          <w:sz w:val="24"/>
          <w:highlight w:val="none"/>
          <w:lang w:val="zh-CN"/>
        </w:rPr>
        <w:t>投</w:t>
      </w:r>
      <w:r>
        <w:rPr>
          <w:rFonts w:hint="eastAsia" w:ascii="仿宋_GB2312" w:hAnsi="仿宋_GB2312" w:eastAsia="仿宋_GB2312" w:cs="仿宋_GB2312"/>
          <w:kern w:val="0"/>
          <w:sz w:val="24"/>
          <w:lang w:val="zh-CN"/>
        </w:rPr>
        <w:t xml:space="preserve">标。 </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一、各方一致决定，</w:t>
      </w:r>
      <w:r>
        <w:rPr>
          <w:rFonts w:hint="eastAsia" w:ascii="仿宋_GB2312" w:hAnsi="仿宋_GB2312" w:eastAsia="仿宋_GB2312" w:cs="仿宋_GB2312"/>
          <w:kern w:val="0"/>
          <w:sz w:val="24"/>
          <w:u w:val="single"/>
        </w:rPr>
        <w:t>（某联合体成员名称）</w:t>
      </w:r>
      <w:r>
        <w:rPr>
          <w:rFonts w:hint="eastAsia" w:ascii="仿宋_GB2312" w:hAnsi="仿宋_GB2312" w:eastAsia="仿宋_GB2312" w:cs="仿宋_GB2312"/>
          <w:kern w:val="0"/>
          <w:sz w:val="24"/>
        </w:rPr>
        <w:t>为联合体</w:t>
      </w:r>
      <w:r>
        <w:rPr>
          <w:rFonts w:hint="eastAsia" w:ascii="仿宋_GB2312" w:hAnsi="仿宋_GB2312" w:eastAsia="仿宋_GB2312" w:cs="仿宋_GB2312"/>
          <w:kern w:val="0"/>
          <w:sz w:val="24"/>
          <w:lang w:val="zh-CN"/>
        </w:rPr>
        <w:t>牵头人</w:t>
      </w:r>
      <w:r>
        <w:rPr>
          <w:rFonts w:hint="eastAsia" w:ascii="仿宋_GB2312" w:hAnsi="仿宋_GB2312" w:eastAsia="仿宋_GB2312" w:cs="仿宋_GB2312"/>
          <w:sz w:val="24"/>
        </w:rPr>
        <w:t>，代表所有联合体成员负责投标和合同实施阶段的主办、协调工作</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w:t>
      </w:r>
      <w:r>
        <w:rPr>
          <w:rFonts w:hint="eastAsia" w:ascii="仿宋_GB2312" w:hAnsi="仿宋_GB2312" w:eastAsia="仿宋_GB2312" w:cs="仿宋_GB2312"/>
          <w:sz w:val="24"/>
        </w:rPr>
        <w:t>所有联合体成员各方签署授权书，授权书载明的</w:t>
      </w:r>
      <w:r>
        <w:rPr>
          <w:rFonts w:hint="eastAsia" w:ascii="仿宋_GB2312" w:hAnsi="仿宋_GB2312"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三、本次联合投标中，分工如下：</w:t>
      </w:r>
    </w:p>
    <w:p>
      <w:pPr>
        <w:snapToGrid w:val="0"/>
        <w:spacing w:line="360" w:lineRule="auto"/>
        <w:ind w:firstLine="576"/>
        <w:rPr>
          <w:rFonts w:ascii="仿宋_GB2312" w:hAnsi="仿宋_GB2312" w:eastAsia="仿宋_GB2312" w:cs="仿宋_GB2312"/>
          <w:kern w:val="0"/>
          <w:sz w:val="24"/>
          <w:lang w:val="zh-CN"/>
        </w:rPr>
      </w:pPr>
      <w:bookmarkStart w:id="400" w:name="_Hlk101134295"/>
      <w:r>
        <w:rPr>
          <w:rFonts w:hint="eastAsia" w:ascii="仿宋_GB2312" w:hAnsi="仿宋_GB2312" w:eastAsia="仿宋_GB2312" w:cs="仿宋_GB2312"/>
          <w:kern w:val="0"/>
          <w:sz w:val="24"/>
          <w:u w:val="single"/>
        </w:rPr>
        <w:t>（联合体成员1）</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（联合体成员2）</w:t>
      </w:r>
      <w:r>
        <w:rPr>
          <w:rFonts w:hint="eastAsia" w:ascii="仿宋_GB2312" w:hAnsi="仿宋_GB2312" w:eastAsia="仿宋_GB2312" w:cs="仿宋_GB2312"/>
          <w:kern w:val="0"/>
          <w:sz w:val="24"/>
          <w:lang w:val="zh-CN"/>
        </w:rPr>
        <w:t>承担的工作和义务为：</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w:t>
      </w:r>
    </w:p>
    <w:bookmarkEnd w:id="400"/>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四、联合体成员中小企业合同份额。</w:t>
      </w:r>
    </w:p>
    <w:p>
      <w:pPr>
        <w:snapToGrid w:val="0"/>
        <w:spacing w:line="360" w:lineRule="auto"/>
        <w:ind w:firstLine="576"/>
        <w:rPr>
          <w:rFonts w:ascii="仿宋_GB2312" w:hAnsi="仿宋_GB2312" w:eastAsia="仿宋_GB2312" w:cs="仿宋_GB2312"/>
          <w:b/>
          <w:kern w:val="0"/>
          <w:sz w:val="24"/>
          <w:lang w:val="zh-CN"/>
        </w:rPr>
      </w:pPr>
      <w:r>
        <w:rPr>
          <w:rFonts w:hint="eastAsia" w:ascii="仿宋_GB2312" w:hAnsi="仿宋_GB2312" w:eastAsia="仿宋_GB2312" w:cs="仿宋_GB2312"/>
          <w:kern w:val="0"/>
          <w:sz w:val="24"/>
          <w:lang w:val="zh-CN"/>
        </w:rPr>
        <w:t>1、</w:t>
      </w:r>
      <w:r>
        <w:rPr>
          <w:rFonts w:hint="eastAsia" w:ascii="仿宋_GB2312" w:hAnsi="仿宋_GB2312" w:eastAsia="仿宋_GB2312" w:cs="仿宋_GB2312"/>
          <w:kern w:val="0"/>
          <w:sz w:val="24"/>
          <w:u w:val="single"/>
        </w:rPr>
        <w:t>（联合体成员X,……）</w:t>
      </w:r>
      <w:r>
        <w:rPr>
          <w:rFonts w:hint="eastAsia" w:ascii="仿宋_GB2312" w:hAnsi="仿宋_GB2312" w:eastAsia="仿宋_GB2312" w:cs="仿宋_GB2312"/>
          <w:kern w:val="0"/>
          <w:sz w:val="24"/>
        </w:rPr>
        <w:t>提供的</w:t>
      </w:r>
      <w:r>
        <w:rPr>
          <w:rFonts w:hint="eastAsia" w:ascii="仿宋_GB2312" w:hAnsi="仿宋_GB2312" w:eastAsia="仿宋_GB2312" w:cs="仿宋_GB2312"/>
          <w:kern w:val="0"/>
          <w:sz w:val="24"/>
          <w:lang w:eastAsia="zh-CN"/>
        </w:rPr>
        <w:t>服务</w:t>
      </w:r>
      <w:r>
        <w:rPr>
          <w:rFonts w:hint="eastAsia" w:ascii="仿宋_GB2312" w:hAnsi="仿宋_GB2312" w:eastAsia="仿宋_GB2312" w:cs="仿宋_GB2312"/>
          <w:kern w:val="0"/>
          <w:sz w:val="24"/>
        </w:rPr>
        <w:t>由小微企业</w:t>
      </w:r>
      <w:r>
        <w:rPr>
          <w:rFonts w:hint="eastAsia" w:ascii="仿宋_GB2312" w:hAnsi="仿宋_GB2312" w:eastAsia="仿宋_GB2312" w:cs="仿宋_GB2312"/>
          <w:kern w:val="0"/>
          <w:sz w:val="24"/>
          <w:lang w:eastAsia="zh-CN"/>
        </w:rPr>
        <w:t>承接</w:t>
      </w:r>
      <w:r>
        <w:rPr>
          <w:rFonts w:hint="eastAsia" w:ascii="仿宋_GB2312" w:hAnsi="仿宋_GB2312" w:eastAsia="仿宋_GB2312" w:cs="仿宋_GB2312"/>
          <w:kern w:val="0"/>
          <w:sz w:val="24"/>
        </w:rPr>
        <w:t>，其合同份额占到合同总金额</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sz w:val="24"/>
        </w:rPr>
        <w:t>2、中小企业合同金额达到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kern w:val="0"/>
          <w:sz w:val="24"/>
          <w:lang w:val="zh-CN"/>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五、如果中标，</w:t>
      </w:r>
      <w:r>
        <w:rPr>
          <w:rFonts w:hint="eastAsia" w:ascii="仿宋_GB2312" w:hAnsi="仿宋_GB2312" w:eastAsia="仿宋_GB2312" w:cs="仿宋_GB2312"/>
          <w:sz w:val="24"/>
        </w:rPr>
        <w:t>联合体各成员方共同与采购人签订合同，并就采购合同约定的事项对采购人承担连带责任。</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六、有关本次联合投标的其他事宜：</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firstLine="5040" w:firstLine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联合体成员名称(电子签名/公章)：</w:t>
      </w:r>
    </w:p>
    <w:p>
      <w:pPr>
        <w:snapToGrid w:val="0"/>
        <w:spacing w:line="360" w:lineRule="auto"/>
        <w:ind w:right="960"/>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pPr>
        <w:snapToGrid w:val="0"/>
        <w:spacing w:line="360" w:lineRule="auto"/>
        <w:ind w:firstLine="5040" w:firstLineChars="2100"/>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spacing w:line="360" w:lineRule="auto"/>
        <w:ind w:right="420"/>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snapToGrid w:val="0"/>
        <w:spacing w:line="360" w:lineRule="auto"/>
        <w:ind w:firstLine="3666" w:firstLineChars="1100"/>
        <w:rPr>
          <w:rFonts w:ascii="仿宋_GB2312" w:hAnsi="仿宋_GB2312" w:eastAsia="仿宋_GB2312" w:cs="仿宋_GB2312"/>
          <w:b/>
          <w:spacing w:val="6"/>
          <w:sz w:val="32"/>
          <w:szCs w:val="32"/>
        </w:rPr>
        <w:sectPr>
          <w:pgSz w:w="11906" w:h="16838"/>
          <w:pgMar w:top="680" w:right="1417"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666" w:firstLineChars="1100"/>
        <w:rPr>
          <w:rFonts w:ascii="仿宋_GB2312" w:hAnsi="仿宋_GB2312" w:eastAsia="仿宋_GB2312" w:cs="仿宋_GB2312"/>
          <w:b/>
          <w:kern w:val="0"/>
          <w:sz w:val="32"/>
          <w:szCs w:val="32"/>
        </w:rPr>
      </w:pPr>
      <w:r>
        <w:rPr>
          <w:rFonts w:hint="eastAsia" w:ascii="仿宋_GB2312" w:hAnsi="仿宋_GB2312" w:eastAsia="仿宋_GB2312" w:cs="仿宋_GB2312"/>
          <w:b/>
          <w:spacing w:val="6"/>
          <w:sz w:val="32"/>
          <w:szCs w:val="32"/>
        </w:rPr>
        <w:t>附件6：</w:t>
      </w:r>
      <w:r>
        <w:rPr>
          <w:rFonts w:hint="eastAsia" w:ascii="仿宋_GB2312" w:hAnsi="仿宋_GB2312" w:eastAsia="仿宋_GB2312" w:cs="仿宋_GB2312"/>
          <w:b/>
          <w:kern w:val="0"/>
          <w:sz w:val="32"/>
          <w:szCs w:val="32"/>
        </w:rPr>
        <w:t>分包意向协议</w:t>
      </w:r>
    </w:p>
    <w:p>
      <w:pPr>
        <w:widowControl/>
        <w:spacing w:line="360" w:lineRule="auto"/>
        <w:ind w:firstLine="120" w:firstLineChars="50"/>
        <w:jc w:val="lef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 w:hAnsi="仿宋" w:eastAsia="仿宋" w:cs="仿宋"/>
          <w:color w:val="auto"/>
          <w:sz w:val="24"/>
          <w:highlight w:val="none"/>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 xml:space="preserve">。 </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（分包供应商1名称）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（分包供应商1名称），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pStyle w:val="6"/>
        <w:ind w:left="758" w:leftChars="316" w:firstLine="229" w:firstLineChars="95"/>
        <w:rPr>
          <w:rFonts w:hAnsi="仿宋_GB2312" w:cs="仿宋_GB2312"/>
          <w:kern w:val="0"/>
          <w:sz w:val="24"/>
          <w:szCs w:val="24"/>
        </w:rPr>
      </w:pPr>
      <w:r>
        <w:rPr>
          <w:rFonts w:hint="eastAsia" w:hAnsi="仿宋_GB2312" w:cs="仿宋_GB2312"/>
          <w:kern w:val="0"/>
          <w:sz w:val="24"/>
          <w:szCs w:val="24"/>
        </w:rPr>
        <w:t>……</w:t>
      </w:r>
    </w:p>
    <w:p>
      <w:pPr>
        <w:snapToGrid w:val="0"/>
        <w:spacing w:line="360" w:lineRule="auto"/>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二、分包供应商中小企业合同份额</w:t>
      </w:r>
    </w:p>
    <w:p>
      <w:pPr>
        <w:snapToGrid w:val="0"/>
        <w:spacing w:line="360" w:lineRule="auto"/>
        <w:ind w:firstLine="576"/>
        <w:rPr>
          <w:rFonts w:ascii="仿宋_GB2312" w:hAnsi="仿宋_GB2312" w:eastAsia="仿宋_GB2312" w:cs="仿宋_GB2312"/>
          <w:b/>
          <w:kern w:val="0"/>
          <w:sz w:val="24"/>
          <w:lang w:val="zh-CN"/>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u w:val="single"/>
        </w:rPr>
        <w:t>（分包供应商X,……）提供的</w:t>
      </w:r>
      <w:r>
        <w:rPr>
          <w:rFonts w:hint="eastAsia" w:ascii="仿宋_GB2312" w:hAnsi="仿宋_GB2312" w:eastAsia="仿宋_GB2312" w:cs="仿宋_GB2312"/>
          <w:kern w:val="0"/>
          <w:sz w:val="24"/>
          <w:u w:val="single"/>
          <w:lang w:eastAsia="zh-CN"/>
        </w:rPr>
        <w:t>服务</w:t>
      </w:r>
      <w:r>
        <w:rPr>
          <w:rFonts w:hint="eastAsia" w:ascii="仿宋_GB2312" w:hAnsi="仿宋_GB2312" w:eastAsia="仿宋_GB2312" w:cs="仿宋_GB2312"/>
          <w:kern w:val="0"/>
          <w:sz w:val="24"/>
          <w:u w:val="single"/>
        </w:rPr>
        <w:t>全部</w:t>
      </w:r>
      <w:r>
        <w:rPr>
          <w:rFonts w:hint="eastAsia" w:ascii="仿宋_GB2312" w:hAnsi="仿宋_GB2312" w:eastAsia="仿宋_GB2312" w:cs="仿宋_GB2312"/>
          <w:kern w:val="0"/>
          <w:sz w:val="24"/>
          <w:highlight w:val="none"/>
          <w:u w:val="single"/>
        </w:rPr>
        <w:t>由（中型或小型或微型），</w:t>
      </w:r>
      <w:r>
        <w:rPr>
          <w:rFonts w:hint="eastAsia" w:ascii="仿宋_GB2312" w:hAnsi="仿宋_GB2312" w:eastAsia="仿宋_GB2312" w:cs="仿宋_GB2312"/>
          <w:kern w:val="0"/>
          <w:sz w:val="24"/>
          <w:highlight w:val="none"/>
        </w:rPr>
        <w:t>其</w:t>
      </w:r>
      <w:r>
        <w:rPr>
          <w:rFonts w:hint="eastAsia" w:ascii="仿宋_GB2312" w:hAnsi="仿宋_GB2312" w:eastAsia="仿宋_GB2312" w:cs="仿宋_GB2312"/>
          <w:kern w:val="0"/>
          <w:sz w:val="24"/>
        </w:rPr>
        <w:t>合同份额占到合同总金额</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pPr>
        <w:spacing w:line="360" w:lineRule="auto"/>
        <w:ind w:firstLine="480" w:firstLineChars="200"/>
        <w:rPr>
          <w:rFonts w:ascii="仿宋_GB2312" w:hAnsi="仿宋_GB2312" w:eastAsia="仿宋_GB2312" w:cs="仿宋_GB2312"/>
          <w:b/>
          <w:bCs/>
          <w:kern w:val="0"/>
          <w:sz w:val="24"/>
          <w:lang w:val="zh-CN"/>
        </w:rPr>
      </w:pPr>
      <w:r>
        <w:rPr>
          <w:rFonts w:hint="eastAsia" w:ascii="仿宋_GB2312" w:hAnsi="仿宋_GB2312" w:eastAsia="仿宋_GB2312" w:cs="仿宋_GB2312"/>
          <w:sz w:val="24"/>
        </w:rPr>
        <w:t>2、</w:t>
      </w:r>
      <w:bookmarkStart w:id="401" w:name="_Hlk101133173"/>
      <w:r>
        <w:rPr>
          <w:rFonts w:hint="eastAsia" w:ascii="仿宋_GB2312" w:hAnsi="仿宋_GB2312" w:eastAsia="仿宋_GB2312" w:cs="仿宋_GB2312"/>
          <w:sz w:val="24"/>
        </w:rPr>
        <w:t>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%，其中小微企业合同金额达到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要求合同分包形式参加的项目或采购包，供应商按招标文件第一部分招标公告申请人的资格要求中规定的</w:t>
      </w:r>
      <w:r>
        <w:rPr>
          <w:rFonts w:hint="eastAsia" w:ascii="仿宋_GB2312" w:hAnsi="仿宋_GB2312" w:eastAsia="仿宋_GB2312" w:cs="仿宋_GB2312"/>
          <w:b/>
          <w:kern w:val="0"/>
          <w:sz w:val="24"/>
          <w:lang w:val="zh-CN"/>
        </w:rPr>
        <w:t>分包意向协议</w:t>
      </w:r>
      <w:r>
        <w:rPr>
          <w:rFonts w:hint="eastAsia" w:ascii="仿宋_GB2312" w:hAnsi="仿宋_GB2312" w:eastAsia="仿宋_GB2312" w:cs="仿宋_GB2312"/>
          <w:b/>
          <w:bCs/>
          <w:sz w:val="24"/>
        </w:rPr>
        <w:t>中中小企业、小微企业合同金额应当达到的比例要求填写。</w:t>
      </w:r>
      <w:r>
        <w:rPr>
          <w:rFonts w:hint="eastAsia" w:ascii="仿宋_GB2312" w:hAnsi="仿宋_GB2312" w:eastAsia="仿宋_GB2312" w:cs="仿宋_GB2312"/>
          <w:b/>
          <w:bCs/>
          <w:kern w:val="0"/>
          <w:sz w:val="24"/>
          <w:lang w:val="zh-CN"/>
        </w:rPr>
        <w:t>）</w:t>
      </w:r>
      <w:bookmarkEnd w:id="401"/>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三、分包工作履行期限、地点、方式</w:t>
      </w:r>
    </w:p>
    <w:p>
      <w:pPr>
        <w:snapToGrid w:val="0"/>
        <w:ind w:firstLine="576"/>
        <w:rPr>
          <w:rFonts w:ascii="仿宋_GB2312" w:hAnsi="仿宋_GB2312" w:eastAsia="仿宋_GB2312" w:cs="仿宋_GB2312"/>
          <w:u w:val="single"/>
        </w:rPr>
      </w:pPr>
      <w:r>
        <w:rPr>
          <w:rFonts w:hint="eastAsia" w:ascii="仿宋_GB2312" w:hAnsi="仿宋_GB2312" w:eastAsia="仿宋_GB2312" w:cs="仿宋_GB2312"/>
          <w:u w:val="single"/>
        </w:rPr>
        <w:t xml:space="preserve">                                                                                  </w:t>
      </w:r>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四、质量</w:t>
      </w:r>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五、价款或者报酬</w:t>
      </w:r>
    </w:p>
    <w:p>
      <w:pPr>
        <w:snapToGrid w:val="0"/>
        <w:ind w:left="655" w:leftChars="273"/>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ind w:left="655" w:leftChars="273"/>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六、违约责任</w:t>
      </w:r>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七、争议解决的办法</w:t>
      </w:r>
    </w:p>
    <w:p>
      <w:pPr>
        <w:snapToGrid w:val="0"/>
        <w:ind w:firstLine="576"/>
        <w:rPr>
          <w:rFonts w:ascii="仿宋_GB2312" w:hAnsi="仿宋_GB2312" w:eastAsia="仿宋_GB2312" w:cs="仿宋_GB2312"/>
          <w:kern w:val="0"/>
          <w:sz w:val="24"/>
          <w:lang w:val="zh-CN"/>
        </w:rPr>
      </w:pPr>
      <w:r>
        <w:rPr>
          <w:rFonts w:hint="eastAsia" w:ascii="仿宋_GB2312" w:hAnsi="仿宋_GB2312" w:eastAsia="仿宋_GB2312" w:cs="仿宋_GB2312"/>
          <w:u w:val="single"/>
        </w:rPr>
        <w:t xml:space="preserve">                                                                                  </w:t>
      </w:r>
    </w:p>
    <w:p>
      <w:pPr>
        <w:snapToGrid w:val="0"/>
        <w:spacing w:line="360" w:lineRule="auto"/>
        <w:ind w:left="5861" w:leftChars="342" w:hanging="5040" w:hangingChars="21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投标人名称(电子签名)：</w:t>
      </w:r>
    </w:p>
    <w:p>
      <w:pPr>
        <w:snapToGrid w:val="0"/>
        <w:spacing w:line="360" w:lineRule="auto"/>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分包供应商名称(电子签名/公章)：</w:t>
      </w:r>
    </w:p>
    <w:p>
      <w:pPr>
        <w:snapToGrid w:val="0"/>
        <w:spacing w:line="360" w:lineRule="auto"/>
        <w:ind w:firstLine="5760" w:firstLineChars="2400"/>
        <w:rPr>
          <w:rFonts w:ascii="仿宋_GB2312" w:hAnsi="仿宋_GB2312" w:eastAsia="仿宋_GB2312" w:cs="仿宋_GB2312"/>
        </w:rPr>
      </w:pPr>
      <w:r>
        <w:rPr>
          <w:rFonts w:hint="eastAsia" w:ascii="仿宋_GB2312" w:hAnsi="仿宋_GB2312" w:eastAsia="仿宋_GB2312" w:cs="仿宋_GB2312"/>
          <w:kern w:val="0"/>
          <w:sz w:val="24"/>
          <w:lang w:val="zh-CN"/>
        </w:rPr>
        <w:t>……</w:t>
      </w:r>
    </w:p>
    <w:p>
      <w:pPr>
        <w:autoSpaceDE w:val="0"/>
        <w:autoSpaceDN w:val="0"/>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  年  月   日</w:t>
      </w:r>
    </w:p>
    <w:p>
      <w:pPr>
        <w:autoSpaceDE w:val="0"/>
        <w:autoSpaceDN w:val="0"/>
        <w:rPr>
          <w:rFonts w:ascii="仿宋_GB2312" w:hAnsi="仿宋_GB2312" w:eastAsia="仿宋_GB2312" w:cs="仿宋_GB2312"/>
          <w:b/>
          <w:spacing w:val="6"/>
          <w:sz w:val="32"/>
          <w:szCs w:val="32"/>
        </w:rPr>
      </w:pPr>
      <w:r>
        <w:rPr>
          <w:rFonts w:hint="eastAsia" w:ascii="仿宋_GB2312" w:hAnsi="仿宋_GB2312" w:eastAsia="仿宋_GB2312" w:cs="仿宋_GB2312"/>
          <w:sz w:val="24"/>
        </w:rPr>
        <w:t>注：按本格式和要求提供。</w:t>
      </w:r>
    </w:p>
    <w:p>
      <w:pPr>
        <w:pStyle w:val="6"/>
        <w:rPr>
          <w:rFonts w:hAnsi="仿宋_GB2312" w:cs="仿宋_GB2312"/>
        </w:rPr>
        <w:sectPr>
          <w:pgSz w:w="11906" w:h="16838"/>
          <w:pgMar w:top="680" w:right="1417"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autoSpaceDE w:val="0"/>
        <w:autoSpaceDN w:val="0"/>
        <w:jc w:val="center"/>
        <w:rPr>
          <w:rFonts w:ascii="仿宋_GB2312" w:hAnsi="仿宋_GB2312" w:eastAsia="仿宋_GB2312" w:cs="仿宋_GB2312"/>
          <w:b/>
          <w:sz w:val="32"/>
          <w:szCs w:val="32"/>
        </w:rPr>
      </w:pPr>
      <w:r>
        <w:rPr>
          <w:rFonts w:hint="eastAsia" w:ascii="仿宋_GB2312" w:hAnsi="仿宋_GB2312" w:eastAsia="仿宋_GB2312" w:cs="仿宋_GB2312"/>
          <w:b/>
          <w:spacing w:val="6"/>
          <w:sz w:val="32"/>
          <w:szCs w:val="32"/>
        </w:rPr>
        <w:t>附件7：</w:t>
      </w:r>
      <w:r>
        <w:rPr>
          <w:rFonts w:hint="eastAsia" w:ascii="仿宋_GB2312" w:hAnsi="仿宋_GB2312" w:eastAsia="仿宋_GB2312" w:cs="仿宋_GB2312"/>
          <w:b/>
          <w:sz w:val="32"/>
          <w:szCs w:val="32"/>
        </w:rPr>
        <w:t>中小企业声明函</w:t>
      </w:r>
    </w:p>
    <w:p>
      <w:pPr>
        <w:spacing w:line="360" w:lineRule="auto"/>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中小企业声明函</w:t>
      </w:r>
      <w:r>
        <w:rPr>
          <w:rFonts w:hint="eastAsia" w:ascii="仿宋_GB2312" w:hAnsi="仿宋_GB2312" w:eastAsia="仿宋_GB2312" w:cs="仿宋_GB2312"/>
          <w:b/>
          <w:sz w:val="32"/>
          <w:szCs w:val="32"/>
          <w:lang w:eastAsia="zh-CN"/>
        </w:rPr>
        <w:t>（服务）</w:t>
      </w:r>
    </w:p>
    <w:p>
      <w:pPr>
        <w:numPr>
          <w:ilvl w:val="0"/>
          <w:numId w:val="0"/>
        </w:numPr>
        <w:spacing w:line="360" w:lineRule="auto"/>
        <w:ind w:left="400" w:leftChars="0"/>
        <w:rPr>
          <w:rFonts w:hint="eastAsia" w:ascii="仿宋_GB2312" w:hAnsi="仿宋_GB2312" w:eastAsia="仿宋_GB2312" w:cs="仿宋_GB2312"/>
          <w:sz w:val="24"/>
          <w:highlight w:val="none"/>
        </w:rPr>
      </w:pPr>
      <w:r>
        <w:rPr>
          <w:rFonts w:hint="eastAsia" w:ascii="仿宋_GB2312" w:hAnsi="仿宋_GB2312" w:eastAsia="仿宋_GB2312" w:cs="仿宋_GB2312"/>
          <w:sz w:val="24"/>
        </w:rPr>
        <w:t xml:space="preserve">本公司（联合体）郑重声明，根据《政府采购促进中小企业发展管理办法》（财库﹝2020﹞46 号）的规定，本公司（联合体）参加 </w:t>
      </w:r>
      <w:r>
        <w:rPr>
          <w:rFonts w:hint="eastAsia" w:ascii="仿宋_GB2312" w:hAnsi="仿宋_GB2312" w:eastAsia="仿宋_GB2312" w:cs="仿宋_GB2312"/>
          <w:sz w:val="24"/>
          <w:u w:val="single"/>
          <w:lang w:val="en" w:eastAsia="zh-CN"/>
        </w:rPr>
        <w:t>杭州市钱塘区人民政府义蓬街道办事处</w:t>
      </w:r>
      <w:r>
        <w:rPr>
          <w:rFonts w:hint="eastAsia" w:ascii="仿宋_GB2312" w:hAnsi="仿宋_GB2312" w:eastAsia="仿宋_GB2312" w:cs="仿宋_GB2312"/>
          <w:sz w:val="24"/>
        </w:rPr>
        <w:t xml:space="preserve">的 </w:t>
      </w:r>
      <w:r>
        <w:rPr>
          <w:rFonts w:hint="eastAsia" w:ascii="仿宋_GB2312" w:hAnsi="仿宋_GB2312" w:eastAsia="仿宋_GB2312" w:cs="仿宋_GB2312"/>
          <w:sz w:val="24"/>
          <w:u w:val="single"/>
          <w:lang w:eastAsia="zh-CN"/>
        </w:rPr>
        <w:t>义蓬街道义盛社区标识标牌项目</w:t>
      </w:r>
      <w:r>
        <w:rPr>
          <w:rFonts w:hint="eastAsia" w:ascii="仿宋_GB2312" w:hAnsi="仿宋_GB2312" w:eastAsia="仿宋_GB2312" w:cs="仿宋_GB2312"/>
          <w:sz w:val="24"/>
        </w:rPr>
        <w:t xml:space="preserve"> 采购活动，服务全部由符合政策要求的中小企业承接</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相关企业（含联合体中的中小企业、签订分包意向协议的</w:t>
      </w:r>
      <w:r>
        <w:rPr>
          <w:rFonts w:hint="eastAsia" w:ascii="仿宋_GB2312" w:hAnsi="仿宋_GB2312" w:eastAsia="仿宋_GB2312" w:cs="仿宋_GB2312"/>
          <w:sz w:val="24"/>
          <w:highlight w:val="none"/>
        </w:rPr>
        <w:t>中小企业）的具体情况如下：</w:t>
      </w:r>
    </w:p>
    <w:p>
      <w:pPr>
        <w:numPr>
          <w:ilvl w:val="0"/>
          <w:numId w:val="5"/>
        </w:numPr>
        <w:spacing w:line="360" w:lineRule="auto"/>
        <w:ind w:left="0" w:leftChars="0" w:firstLine="400" w:firstLineChars="0"/>
        <w:rPr>
          <w:rFonts w:hint="eastAsia" w:ascii="仿宋_GB2312" w:hAnsi="仿宋_GB2312" w:eastAsia="仿宋_GB2312" w:cs="仿宋_GB2312"/>
          <w:sz w:val="24"/>
          <w:u w:val="single"/>
          <w:lang w:eastAsia="zh-CN"/>
        </w:rPr>
      </w:pPr>
      <w:r>
        <w:rPr>
          <w:rFonts w:hint="eastAsia" w:ascii="仿宋_GB2312" w:hAnsi="仿宋_GB2312" w:eastAsia="仿宋_GB2312" w:cs="仿宋_GB2312"/>
          <w:sz w:val="24"/>
          <w:highlight w:val="none"/>
          <w:u w:val="single"/>
          <w:lang w:eastAsia="zh-CN"/>
        </w:rPr>
        <w:t>义蓬街道义盛社区标识标牌项目</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rPr>
        <w:t>属于</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kern w:val="0"/>
          <w:sz w:val="24"/>
          <w:highlight w:val="none"/>
          <w:u w:val="single"/>
          <w:lang w:eastAsia="zh-CN"/>
        </w:rPr>
        <w:t>其他未列明行业</w:t>
      </w:r>
      <w:r>
        <w:rPr>
          <w:rFonts w:hint="eastAsia" w:ascii="仿宋_GB2312" w:hAnsi="仿宋_GB2312" w:eastAsia="仿宋_GB2312" w:cs="仿宋_GB2312"/>
          <w:sz w:val="24"/>
          <w:highlight w:val="none"/>
        </w:rPr>
        <w:t xml:space="preserve"> 行业 ；</w:t>
      </w:r>
      <w:r>
        <w:rPr>
          <w:rFonts w:hint="eastAsia" w:ascii="仿宋_GB2312" w:hAnsi="仿宋_GB2312" w:eastAsia="仿宋_GB2312" w:cs="仿宋_GB2312"/>
          <w:sz w:val="24"/>
          <w:highlight w:val="none"/>
          <w:lang w:eastAsia="zh-CN"/>
        </w:rPr>
        <w:t>承接企业</w:t>
      </w:r>
      <w:r>
        <w:rPr>
          <w:rFonts w:hint="eastAsia" w:ascii="仿宋_GB2312" w:hAnsi="仿宋_GB2312" w:eastAsia="仿宋_GB2312" w:cs="仿宋_GB2312"/>
          <w:sz w:val="24"/>
          <w:highlight w:val="none"/>
        </w:rPr>
        <w:t>为</w:t>
      </w:r>
      <w:r>
        <w:rPr>
          <w:rFonts w:hint="eastAsia" w:ascii="仿宋_GB2312" w:hAnsi="仿宋_GB2312" w:eastAsia="仿宋_GB2312" w:cs="仿宋_GB2312"/>
          <w:sz w:val="24"/>
          <w:highlight w:val="none"/>
          <w:u w:val="single"/>
        </w:rPr>
        <w:t xml:space="preserve"> （企业名称）</w:t>
      </w:r>
      <w:r>
        <w:rPr>
          <w:rFonts w:hint="eastAsia" w:ascii="仿宋_GB2312" w:hAnsi="仿宋_GB2312" w:eastAsia="仿宋_GB2312" w:cs="仿宋_GB2312"/>
          <w:sz w:val="24"/>
          <w:highlight w:val="none"/>
        </w:rPr>
        <w:t xml:space="preserve"> ，从业人员</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人，营业收入为</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万元，资产总额</w:t>
      </w:r>
      <w:r>
        <w:rPr>
          <w:rFonts w:hint="eastAsia" w:ascii="仿宋_GB2312" w:hAnsi="仿宋_GB2312" w:eastAsia="仿宋_GB2312" w:cs="仿宋_GB2312"/>
          <w:sz w:val="24"/>
        </w:rPr>
        <w:t>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snapToGrid w:val="0"/>
        <w:spacing w:line="360" w:lineRule="auto"/>
        <w:ind w:firstLine="5160" w:firstLineChars="215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spacing w:line="360" w:lineRule="auto"/>
        <w:jc w:val="left"/>
        <w:rPr>
          <w:rFonts w:ascii="仿宋_GB2312" w:hAnsi="仿宋_GB2312" w:eastAsia="仿宋_GB2312" w:cs="仿宋_GB2312"/>
          <w:sz w:val="18"/>
          <w:szCs w:val="18"/>
        </w:rPr>
      </w:pPr>
      <w:r>
        <w:rPr>
          <w:rFonts w:hint="eastAsia" w:ascii="仿宋_GB2312" w:hAnsi="仿宋_GB2312" w:eastAsia="仿宋_GB2312" w:cs="仿宋_GB2312"/>
          <w:szCs w:val="21"/>
        </w:rPr>
        <w:t>从业人员、营业收入、资产总额填报上一年度数据，无上一年度数据的新成立企业可不填报。</w:t>
      </w:r>
    </w:p>
    <w:p>
      <w:pPr>
        <w:spacing w:line="360" w:lineRule="auto"/>
        <w:ind w:right="420" w:firstLine="480" w:firstLineChars="200"/>
        <w:rPr>
          <w:rFonts w:ascii="仿宋_GB2312" w:hAnsi="仿宋_GB2312" w:eastAsia="仿宋_GB2312" w:cs="仿宋_GB2312"/>
          <w:sz w:val="24"/>
        </w:rPr>
      </w:pPr>
      <w:r>
        <w:rPr>
          <w:rFonts w:hint="eastAsia" w:ascii="仿宋_GB2312" w:hAnsi="仿宋_GB2312" w:eastAsia="仿宋_GB2312" w:cs="仿宋_GB2312"/>
          <w:sz w:val="24"/>
        </w:rPr>
        <w:t>注：</w:t>
      </w:r>
    </w:p>
    <w:p>
      <w:pPr>
        <w:spacing w:line="360" w:lineRule="auto"/>
        <w:ind w:right="420" w:firstLine="480" w:firstLineChars="200"/>
        <w:rPr>
          <w:rFonts w:ascii="仿宋_GB2312" w:hAnsi="仿宋_GB2312" w:eastAsia="仿宋_GB2312" w:cs="仿宋_GB2312"/>
          <w:sz w:val="24"/>
        </w:rPr>
      </w:pPr>
      <w:r>
        <w:rPr>
          <w:rFonts w:hint="eastAsia" w:ascii="仿宋_GB2312" w:hAnsi="仿宋_GB2312" w:eastAsia="仿宋_GB2312" w:cs="仿宋_GB2312"/>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bCs/>
          <w:color w:val="auto"/>
          <w:sz w:val="24"/>
          <w:highlight w:val="none"/>
        </w:rPr>
      </w:pPr>
      <w:r>
        <w:rPr>
          <w:rFonts w:hint="eastAsia" w:ascii="仿宋_GB2312" w:hAnsi="仿宋_GB2312" w:eastAsia="仿宋_GB2312"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406"/>
    <w:sectPr>
      <w:pgSz w:w="11906" w:h="16838"/>
      <w:pgMar w:top="1276" w:right="536"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仿宋"/>
    <w:panose1 w:val="0201050906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2" w:name="_Toc36110187"/>
    <w:bookmarkStart w:id="403" w:name="_Toc131845147"/>
    <w:bookmarkStart w:id="404" w:name="_Toc164085800"/>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zh-CN" w:eastAsia="zh-CN" w:bidi="ar-SA"/>
      </w:rPr>
      <w:t xml:space="preserve"> </w:t>
    </w:r>
    <w:r>
      <w:rPr>
        <w:rFonts w:ascii="Times New Roman" w:hAnsi="Times New Roman" w:eastAsia="宋体" w:cs="Times New Roman"/>
        <w:b/>
        <w:bCs/>
        <w:kern w:val="2"/>
        <w:sz w:val="18"/>
        <w:szCs w:val="18"/>
        <w:lang w:val="en-US" w:eastAsia="zh-CN" w:bidi="ar-SA"/>
      </w:rPr>
      <w:fldChar w:fldCharType="begin"/>
    </w:r>
    <w:r>
      <w:rPr>
        <w:rFonts w:ascii="Times New Roman" w:hAnsi="Times New Roman" w:eastAsia="宋体" w:cs="Times New Roman"/>
        <w:b/>
        <w:bCs/>
        <w:kern w:val="2"/>
        <w:sz w:val="18"/>
        <w:szCs w:val="18"/>
        <w:lang w:val="en-US" w:eastAsia="zh-CN" w:bidi="ar-SA"/>
      </w:rPr>
      <w:instrText xml:space="preserve">PAGE  \* Arabic  \* MERGEFORMAT</w:instrText>
    </w:r>
    <w:r>
      <w:rPr>
        <w:rFonts w:ascii="Times New Roman" w:hAnsi="Times New Roman" w:eastAsia="宋体" w:cs="Times New Roman"/>
        <w:b/>
        <w:bCs/>
        <w:kern w:val="2"/>
        <w:sz w:val="18"/>
        <w:szCs w:val="18"/>
        <w:lang w:val="en-US" w:eastAsia="zh-CN" w:bidi="ar-SA"/>
      </w:rPr>
      <w:fldChar w:fldCharType="separate"/>
    </w:r>
    <w:r>
      <w:rPr>
        <w:rFonts w:ascii="Times New Roman" w:hAnsi="Times New Roman" w:eastAsia="宋体" w:cs="Times New Roman"/>
        <w:b/>
        <w:bCs/>
        <w:kern w:val="2"/>
        <w:sz w:val="18"/>
        <w:szCs w:val="18"/>
        <w:lang w:val="zh-CN" w:eastAsia="zh-CN" w:bidi="ar-SA"/>
      </w:rPr>
      <w:t>31</w:t>
    </w:r>
    <w:r>
      <w:rPr>
        <w:rFonts w:ascii="Times New Roman" w:hAnsi="Times New Roman" w:eastAsia="宋体" w:cs="Times New Roman"/>
        <w:b/>
        <w:bCs/>
        <w:kern w:val="2"/>
        <w:sz w:val="18"/>
        <w:szCs w:val="18"/>
        <w:lang w:val="en-US" w:eastAsia="zh-CN" w:bidi="ar-SA"/>
      </w:rPr>
      <w:fldChar w:fldCharType="end"/>
    </w:r>
    <w:r>
      <w:rPr>
        <w:rFonts w:ascii="Times New Roman" w:hAnsi="Times New Roman" w:eastAsia="宋体" w:cs="Times New Roman"/>
        <w:kern w:val="2"/>
        <w:sz w:val="18"/>
        <w:szCs w:val="18"/>
        <w:lang w:val="zh-CN" w:eastAsia="zh-CN" w:bidi="ar-SA"/>
      </w:rPr>
      <w:t xml:space="preserve"> / </w:t>
    </w:r>
    <w:r>
      <w:rPr>
        <w:rFonts w:ascii="Times New Roman" w:hAnsi="Times New Roman" w:eastAsia="宋体" w:cs="Times New Roman"/>
        <w:b/>
        <w:bCs/>
        <w:kern w:val="2"/>
        <w:sz w:val="18"/>
        <w:szCs w:val="18"/>
        <w:lang w:val="en-US" w:eastAsia="zh-CN" w:bidi="ar-SA"/>
      </w:rPr>
      <w:fldChar w:fldCharType="begin"/>
    </w:r>
    <w:r>
      <w:rPr>
        <w:rFonts w:ascii="Times New Roman" w:hAnsi="Times New Roman" w:eastAsia="宋体" w:cs="Times New Roman"/>
        <w:b/>
        <w:bCs/>
        <w:kern w:val="2"/>
        <w:sz w:val="18"/>
        <w:szCs w:val="18"/>
        <w:lang w:val="en-US" w:eastAsia="zh-CN" w:bidi="ar-SA"/>
      </w:rPr>
      <w:instrText xml:space="preserve">NUMPAGES  \* Arabic  \* MERGEFORMAT</w:instrText>
    </w:r>
    <w:r>
      <w:rPr>
        <w:rFonts w:ascii="Times New Roman" w:hAnsi="Times New Roman" w:eastAsia="宋体" w:cs="Times New Roman"/>
        <w:b/>
        <w:bCs/>
        <w:kern w:val="2"/>
        <w:sz w:val="18"/>
        <w:szCs w:val="18"/>
        <w:lang w:val="en-US" w:eastAsia="zh-CN" w:bidi="ar-SA"/>
      </w:rPr>
      <w:fldChar w:fldCharType="separate"/>
    </w:r>
    <w:r>
      <w:rPr>
        <w:rFonts w:ascii="Times New Roman" w:hAnsi="Times New Roman" w:eastAsia="宋体" w:cs="Times New Roman"/>
        <w:b/>
        <w:bCs/>
        <w:kern w:val="2"/>
        <w:sz w:val="18"/>
        <w:szCs w:val="18"/>
        <w:lang w:val="zh-CN" w:eastAsia="zh-CN" w:bidi="ar-SA"/>
      </w:rPr>
      <w:t>91</w:t>
    </w:r>
    <w:r>
      <w:rPr>
        <w:rFonts w:ascii="Times New Roman" w:hAnsi="Times New Roman" w:eastAsia="宋体" w:cs="Times New Roman"/>
        <w:b/>
        <w:bCs/>
        <w:kern w:val="2"/>
        <w:sz w:val="18"/>
        <w:szCs w:val="18"/>
        <w:lang w:val="en-US" w:eastAsia="zh-CN" w:bidi="ar-SA"/>
      </w:rPr>
      <w:fldChar w:fldCharType="end"/>
    </w:r>
  </w:p>
  <w:p>
    <w:pPr>
      <w:widowControl w:val="0"/>
      <w:adjustRightInd w:val="0"/>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tabs>
        <w:tab w:val="right" w:pos="9040"/>
        <w:tab w:val="clear" w:pos="8306"/>
      </w:tabs>
      <w:ind w:right="-617" w:rightChars="-257"/>
      <w:jc w:val="right"/>
    </w:pPr>
    <w:r>
      <w:t></w:t>
    </w:r>
    <w:r>
      <w:rPr>
        <w:rFonts w:hint="eastAsia"/>
      </w:rPr>
      <w:t xml:space="preserve">       </w:t>
    </w:r>
    <w:r>
      <w:t>杭州市</w:t>
    </w:r>
    <w:r>
      <w:rPr>
        <w:rFonts w:hint="eastAsia"/>
        <w:lang w:val="en-US" w:eastAsia="zh-CN"/>
      </w:rPr>
      <w:t>钱塘区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en-US" w:eastAsia="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w:t>
    </w:r>
    <w:r>
      <w:rPr>
        <w:rFonts w:hint="eastAsia"/>
        <w:lang w:val="en-US" w:eastAsia="zh-CN"/>
      </w:rPr>
      <w:t>钱塘区</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6F05F"/>
    <w:multiLevelType w:val="singleLevel"/>
    <w:tmpl w:val="8E56F05F"/>
    <w:lvl w:ilvl="0" w:tentative="0">
      <w:start w:val="3"/>
      <w:numFmt w:val="chineseCounting"/>
      <w:suff w:val="space"/>
      <w:lvlText w:val="第%1部分"/>
      <w:lvlJc w:val="left"/>
      <w:rPr>
        <w:rFonts w:hint="eastAsia"/>
      </w:rPr>
    </w:lvl>
  </w:abstractNum>
  <w:abstractNum w:abstractNumId="1">
    <w:nsid w:val="F4CF58BF"/>
    <w:multiLevelType w:val="singleLevel"/>
    <w:tmpl w:val="F4CF58BF"/>
    <w:lvl w:ilvl="0" w:tentative="0">
      <w:start w:val="5"/>
      <w:numFmt w:val="chineseCounting"/>
      <w:suff w:val="nothing"/>
      <w:lvlText w:val="%1、"/>
      <w:lvlJc w:val="left"/>
      <w:rPr>
        <w:rFonts w:hint="eastAsia"/>
      </w:rPr>
    </w:lvl>
  </w:abstractNum>
  <w:abstractNum w:abstractNumId="2">
    <w:nsid w:val="FDDC0481"/>
    <w:multiLevelType w:val="singleLevel"/>
    <w:tmpl w:val="FDDC0481"/>
    <w:lvl w:ilvl="0" w:tentative="0">
      <w:start w:val="1"/>
      <w:numFmt w:val="chineseCounting"/>
      <w:suff w:val="nothing"/>
      <w:lvlText w:val="%1、"/>
      <w:lvlJc w:val="left"/>
      <w:rPr>
        <w:rFonts w:hint="eastAsia"/>
      </w:rPr>
    </w:lvl>
  </w:abstractNum>
  <w:abstractNum w:abstractNumId="3">
    <w:nsid w:val="FECE1E8E"/>
    <w:multiLevelType w:val="singleLevel"/>
    <w:tmpl w:val="FECE1E8E"/>
    <w:lvl w:ilvl="0" w:tentative="0">
      <w:start w:val="1"/>
      <w:numFmt w:val="decimal"/>
      <w:suff w:val="nothing"/>
      <w:lvlText w:val="%1．"/>
      <w:lvlJc w:val="left"/>
      <w:pPr>
        <w:ind w:left="0" w:firstLine="400"/>
      </w:pPr>
      <w:rPr>
        <w:rFonts w:hint="default"/>
      </w:rPr>
    </w:lvl>
  </w:abstractNum>
  <w:abstractNum w:abstractNumId="4">
    <w:nsid w:val="1920329B"/>
    <w:multiLevelType w:val="singleLevel"/>
    <w:tmpl w:val="1920329B"/>
    <w:lvl w:ilvl="0" w:tentative="0">
      <w:start w:val="2"/>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NzQ0M2RiN2Y4NWRiZDYxZDU3MWZiNWJjZThmMm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6F3B"/>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8FF"/>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249EB"/>
    <w:rsid w:val="017C039A"/>
    <w:rsid w:val="018F2EE2"/>
    <w:rsid w:val="019F7441"/>
    <w:rsid w:val="01B37585"/>
    <w:rsid w:val="01D55165"/>
    <w:rsid w:val="01DF6BF8"/>
    <w:rsid w:val="01EC2C57"/>
    <w:rsid w:val="023A32B8"/>
    <w:rsid w:val="023B6CB2"/>
    <w:rsid w:val="025129DE"/>
    <w:rsid w:val="026B2E25"/>
    <w:rsid w:val="0273010D"/>
    <w:rsid w:val="02824D4D"/>
    <w:rsid w:val="0293255D"/>
    <w:rsid w:val="02DA018C"/>
    <w:rsid w:val="02DC4B10"/>
    <w:rsid w:val="02DD76CE"/>
    <w:rsid w:val="02F36323"/>
    <w:rsid w:val="02F5619C"/>
    <w:rsid w:val="02FC44FD"/>
    <w:rsid w:val="0321400D"/>
    <w:rsid w:val="0326446A"/>
    <w:rsid w:val="032D5555"/>
    <w:rsid w:val="033243F7"/>
    <w:rsid w:val="036634D2"/>
    <w:rsid w:val="03DD35E4"/>
    <w:rsid w:val="04076900"/>
    <w:rsid w:val="041A5A3B"/>
    <w:rsid w:val="04205325"/>
    <w:rsid w:val="042311BA"/>
    <w:rsid w:val="042B157A"/>
    <w:rsid w:val="044A0B40"/>
    <w:rsid w:val="044C330C"/>
    <w:rsid w:val="048F763B"/>
    <w:rsid w:val="049F330E"/>
    <w:rsid w:val="04AA775C"/>
    <w:rsid w:val="04AF1889"/>
    <w:rsid w:val="04BC7924"/>
    <w:rsid w:val="04D75109"/>
    <w:rsid w:val="04F55751"/>
    <w:rsid w:val="04F66F48"/>
    <w:rsid w:val="05251E14"/>
    <w:rsid w:val="056401E1"/>
    <w:rsid w:val="05776166"/>
    <w:rsid w:val="05A16594"/>
    <w:rsid w:val="05A7762D"/>
    <w:rsid w:val="05DD06BF"/>
    <w:rsid w:val="05DE0936"/>
    <w:rsid w:val="05F83E3E"/>
    <w:rsid w:val="06043E9E"/>
    <w:rsid w:val="060E5941"/>
    <w:rsid w:val="06110FAF"/>
    <w:rsid w:val="06493CA7"/>
    <w:rsid w:val="065A3ABE"/>
    <w:rsid w:val="065A6178"/>
    <w:rsid w:val="066B5037"/>
    <w:rsid w:val="066F1CF3"/>
    <w:rsid w:val="067D155B"/>
    <w:rsid w:val="06802705"/>
    <w:rsid w:val="06930BB8"/>
    <w:rsid w:val="069A6270"/>
    <w:rsid w:val="06D939D5"/>
    <w:rsid w:val="071D4AEC"/>
    <w:rsid w:val="071D537B"/>
    <w:rsid w:val="07245D42"/>
    <w:rsid w:val="07256D45"/>
    <w:rsid w:val="07264C62"/>
    <w:rsid w:val="07373DFF"/>
    <w:rsid w:val="0779354C"/>
    <w:rsid w:val="07866B35"/>
    <w:rsid w:val="07BD64DF"/>
    <w:rsid w:val="07E94B80"/>
    <w:rsid w:val="08061376"/>
    <w:rsid w:val="08452D77"/>
    <w:rsid w:val="086401F8"/>
    <w:rsid w:val="08751CAA"/>
    <w:rsid w:val="087E4C40"/>
    <w:rsid w:val="089748FF"/>
    <w:rsid w:val="08A435E9"/>
    <w:rsid w:val="08D66AD6"/>
    <w:rsid w:val="08DA33A3"/>
    <w:rsid w:val="08E31652"/>
    <w:rsid w:val="08E80F13"/>
    <w:rsid w:val="08F1667E"/>
    <w:rsid w:val="0900410E"/>
    <w:rsid w:val="090D3E5F"/>
    <w:rsid w:val="09134260"/>
    <w:rsid w:val="09335624"/>
    <w:rsid w:val="093F6F9B"/>
    <w:rsid w:val="0944690F"/>
    <w:rsid w:val="09535675"/>
    <w:rsid w:val="095900C1"/>
    <w:rsid w:val="095F057D"/>
    <w:rsid w:val="09642282"/>
    <w:rsid w:val="096D7C7F"/>
    <w:rsid w:val="09733572"/>
    <w:rsid w:val="09772C16"/>
    <w:rsid w:val="098353B5"/>
    <w:rsid w:val="09A6701A"/>
    <w:rsid w:val="09A92330"/>
    <w:rsid w:val="09B06B87"/>
    <w:rsid w:val="09C120A6"/>
    <w:rsid w:val="09C13146"/>
    <w:rsid w:val="09E04166"/>
    <w:rsid w:val="09F14739"/>
    <w:rsid w:val="0A142DE9"/>
    <w:rsid w:val="0A173A74"/>
    <w:rsid w:val="0A1C0718"/>
    <w:rsid w:val="0A3E7710"/>
    <w:rsid w:val="0A5B7E63"/>
    <w:rsid w:val="0AA374A5"/>
    <w:rsid w:val="0AAB7649"/>
    <w:rsid w:val="0ABC5606"/>
    <w:rsid w:val="0AEC4F01"/>
    <w:rsid w:val="0B15276E"/>
    <w:rsid w:val="0B30404E"/>
    <w:rsid w:val="0B48482D"/>
    <w:rsid w:val="0B4C6C14"/>
    <w:rsid w:val="0B631A88"/>
    <w:rsid w:val="0B683D45"/>
    <w:rsid w:val="0B7F3F11"/>
    <w:rsid w:val="0B884417"/>
    <w:rsid w:val="0BF6188C"/>
    <w:rsid w:val="0BF73C91"/>
    <w:rsid w:val="0C0F6D61"/>
    <w:rsid w:val="0C170175"/>
    <w:rsid w:val="0C353956"/>
    <w:rsid w:val="0C474AE5"/>
    <w:rsid w:val="0C540FAF"/>
    <w:rsid w:val="0C571A41"/>
    <w:rsid w:val="0C5C1171"/>
    <w:rsid w:val="0C5E1CBC"/>
    <w:rsid w:val="0C615B50"/>
    <w:rsid w:val="0C662B30"/>
    <w:rsid w:val="0C827929"/>
    <w:rsid w:val="0C8445DA"/>
    <w:rsid w:val="0C87121B"/>
    <w:rsid w:val="0C9E222B"/>
    <w:rsid w:val="0CC007F7"/>
    <w:rsid w:val="0CD8573D"/>
    <w:rsid w:val="0CFE707A"/>
    <w:rsid w:val="0D0229A6"/>
    <w:rsid w:val="0D063BDA"/>
    <w:rsid w:val="0D08375F"/>
    <w:rsid w:val="0D184CFB"/>
    <w:rsid w:val="0D232EDB"/>
    <w:rsid w:val="0D4A7419"/>
    <w:rsid w:val="0D58062B"/>
    <w:rsid w:val="0D580CD3"/>
    <w:rsid w:val="0D827401"/>
    <w:rsid w:val="0D84094E"/>
    <w:rsid w:val="0D8A00E9"/>
    <w:rsid w:val="0D8D589E"/>
    <w:rsid w:val="0DA01C73"/>
    <w:rsid w:val="0DD63300"/>
    <w:rsid w:val="0DF50604"/>
    <w:rsid w:val="0DF702FE"/>
    <w:rsid w:val="0E060E51"/>
    <w:rsid w:val="0E5604B2"/>
    <w:rsid w:val="0E6D5D79"/>
    <w:rsid w:val="0E9D0089"/>
    <w:rsid w:val="0EB803EE"/>
    <w:rsid w:val="0EF94D4B"/>
    <w:rsid w:val="0F073156"/>
    <w:rsid w:val="0F4958DC"/>
    <w:rsid w:val="0F515DF7"/>
    <w:rsid w:val="0F596BA8"/>
    <w:rsid w:val="0F6248D2"/>
    <w:rsid w:val="0F693536"/>
    <w:rsid w:val="0F7B0511"/>
    <w:rsid w:val="0F7B76D9"/>
    <w:rsid w:val="0F816ACD"/>
    <w:rsid w:val="0F87344A"/>
    <w:rsid w:val="0F9832DB"/>
    <w:rsid w:val="0FAB7138"/>
    <w:rsid w:val="0FB76C18"/>
    <w:rsid w:val="0FBF3FD2"/>
    <w:rsid w:val="0FBF7FF3"/>
    <w:rsid w:val="0FDF5034"/>
    <w:rsid w:val="10001163"/>
    <w:rsid w:val="100250BF"/>
    <w:rsid w:val="10646583"/>
    <w:rsid w:val="1072498F"/>
    <w:rsid w:val="107D43E9"/>
    <w:rsid w:val="107D4B15"/>
    <w:rsid w:val="108A3C80"/>
    <w:rsid w:val="108F0808"/>
    <w:rsid w:val="10A049F6"/>
    <w:rsid w:val="10C26171"/>
    <w:rsid w:val="10F33360"/>
    <w:rsid w:val="10FC16EA"/>
    <w:rsid w:val="110F1D40"/>
    <w:rsid w:val="11266F33"/>
    <w:rsid w:val="11833402"/>
    <w:rsid w:val="118963A1"/>
    <w:rsid w:val="11B147AE"/>
    <w:rsid w:val="11B86CCE"/>
    <w:rsid w:val="11C6522A"/>
    <w:rsid w:val="11E104CC"/>
    <w:rsid w:val="11E20309"/>
    <w:rsid w:val="11FF551A"/>
    <w:rsid w:val="120328B4"/>
    <w:rsid w:val="12255233"/>
    <w:rsid w:val="12530213"/>
    <w:rsid w:val="125D4C68"/>
    <w:rsid w:val="127723A9"/>
    <w:rsid w:val="127B43A8"/>
    <w:rsid w:val="12862074"/>
    <w:rsid w:val="12883966"/>
    <w:rsid w:val="129E45B4"/>
    <w:rsid w:val="12D81596"/>
    <w:rsid w:val="12F126A5"/>
    <w:rsid w:val="13031039"/>
    <w:rsid w:val="13072A44"/>
    <w:rsid w:val="135F4BE2"/>
    <w:rsid w:val="139B1A0A"/>
    <w:rsid w:val="139D25C7"/>
    <w:rsid w:val="13BF3CE4"/>
    <w:rsid w:val="14081BDD"/>
    <w:rsid w:val="140E5EE8"/>
    <w:rsid w:val="141008D8"/>
    <w:rsid w:val="14125FE6"/>
    <w:rsid w:val="145F46B7"/>
    <w:rsid w:val="146D271E"/>
    <w:rsid w:val="14982588"/>
    <w:rsid w:val="149A5AD9"/>
    <w:rsid w:val="149A6173"/>
    <w:rsid w:val="14A7619D"/>
    <w:rsid w:val="150536C3"/>
    <w:rsid w:val="150C1963"/>
    <w:rsid w:val="151447A0"/>
    <w:rsid w:val="153576D5"/>
    <w:rsid w:val="154A6454"/>
    <w:rsid w:val="15602773"/>
    <w:rsid w:val="15762120"/>
    <w:rsid w:val="15F20C1E"/>
    <w:rsid w:val="1653052A"/>
    <w:rsid w:val="1658169C"/>
    <w:rsid w:val="16807086"/>
    <w:rsid w:val="16A8729C"/>
    <w:rsid w:val="16B33777"/>
    <w:rsid w:val="16BC70A7"/>
    <w:rsid w:val="16C6339E"/>
    <w:rsid w:val="16CD4677"/>
    <w:rsid w:val="172F2D79"/>
    <w:rsid w:val="17557BEF"/>
    <w:rsid w:val="17696E04"/>
    <w:rsid w:val="17B521EA"/>
    <w:rsid w:val="17CA75AF"/>
    <w:rsid w:val="17D349C1"/>
    <w:rsid w:val="1830729E"/>
    <w:rsid w:val="18323663"/>
    <w:rsid w:val="183811AC"/>
    <w:rsid w:val="183F0D66"/>
    <w:rsid w:val="18477C1A"/>
    <w:rsid w:val="185F0FC1"/>
    <w:rsid w:val="1870062C"/>
    <w:rsid w:val="18817102"/>
    <w:rsid w:val="18830A15"/>
    <w:rsid w:val="18852B28"/>
    <w:rsid w:val="188B5321"/>
    <w:rsid w:val="188B7B07"/>
    <w:rsid w:val="188C5EAB"/>
    <w:rsid w:val="18AD2173"/>
    <w:rsid w:val="18B1529D"/>
    <w:rsid w:val="18B52DD6"/>
    <w:rsid w:val="194E0F99"/>
    <w:rsid w:val="195C774C"/>
    <w:rsid w:val="197E61E3"/>
    <w:rsid w:val="19932372"/>
    <w:rsid w:val="19A20DD5"/>
    <w:rsid w:val="19AB6C74"/>
    <w:rsid w:val="19AE03F1"/>
    <w:rsid w:val="1A071A03"/>
    <w:rsid w:val="1A1F16AE"/>
    <w:rsid w:val="1A3B5C77"/>
    <w:rsid w:val="1A407C9B"/>
    <w:rsid w:val="1A984BAD"/>
    <w:rsid w:val="1AA7450E"/>
    <w:rsid w:val="1AB8220E"/>
    <w:rsid w:val="1AE4166C"/>
    <w:rsid w:val="1AF06CFB"/>
    <w:rsid w:val="1AF11B8D"/>
    <w:rsid w:val="1B11359C"/>
    <w:rsid w:val="1B2A271F"/>
    <w:rsid w:val="1B530544"/>
    <w:rsid w:val="1B713184"/>
    <w:rsid w:val="1B723200"/>
    <w:rsid w:val="1B894423"/>
    <w:rsid w:val="1BA209CF"/>
    <w:rsid w:val="1BB4777D"/>
    <w:rsid w:val="1BD75AB8"/>
    <w:rsid w:val="1C0459C2"/>
    <w:rsid w:val="1C13053F"/>
    <w:rsid w:val="1C1B3B4A"/>
    <w:rsid w:val="1C3D6766"/>
    <w:rsid w:val="1C6201FC"/>
    <w:rsid w:val="1C88086E"/>
    <w:rsid w:val="1C92024C"/>
    <w:rsid w:val="1CB25FAA"/>
    <w:rsid w:val="1CBA27B2"/>
    <w:rsid w:val="1CBD494F"/>
    <w:rsid w:val="1CC96B83"/>
    <w:rsid w:val="1CDF7469"/>
    <w:rsid w:val="1D266CE1"/>
    <w:rsid w:val="1D2B18B9"/>
    <w:rsid w:val="1D3963AF"/>
    <w:rsid w:val="1D3F269C"/>
    <w:rsid w:val="1D6A673C"/>
    <w:rsid w:val="1D9247AE"/>
    <w:rsid w:val="1D944134"/>
    <w:rsid w:val="1D9E652E"/>
    <w:rsid w:val="1DB567EC"/>
    <w:rsid w:val="1DDC5AED"/>
    <w:rsid w:val="1DF51A98"/>
    <w:rsid w:val="1E193E07"/>
    <w:rsid w:val="1E3D060F"/>
    <w:rsid w:val="1E3F7D2E"/>
    <w:rsid w:val="1E4134E4"/>
    <w:rsid w:val="1E5062B3"/>
    <w:rsid w:val="1E523514"/>
    <w:rsid w:val="1E560BB7"/>
    <w:rsid w:val="1E714A66"/>
    <w:rsid w:val="1E802593"/>
    <w:rsid w:val="1EA703CC"/>
    <w:rsid w:val="1EB7330C"/>
    <w:rsid w:val="1ED007AB"/>
    <w:rsid w:val="1F0A0FF3"/>
    <w:rsid w:val="1F5771FF"/>
    <w:rsid w:val="1FC05C69"/>
    <w:rsid w:val="1FC35DD8"/>
    <w:rsid w:val="1FD44489"/>
    <w:rsid w:val="1FE83A91"/>
    <w:rsid w:val="1FE868A9"/>
    <w:rsid w:val="20034907"/>
    <w:rsid w:val="200F3851"/>
    <w:rsid w:val="20173E4B"/>
    <w:rsid w:val="204E48BC"/>
    <w:rsid w:val="207B4905"/>
    <w:rsid w:val="208539D6"/>
    <w:rsid w:val="208921B3"/>
    <w:rsid w:val="20973DEB"/>
    <w:rsid w:val="209C5078"/>
    <w:rsid w:val="20B26522"/>
    <w:rsid w:val="20B44310"/>
    <w:rsid w:val="211116EB"/>
    <w:rsid w:val="213571AA"/>
    <w:rsid w:val="21460C26"/>
    <w:rsid w:val="216133FC"/>
    <w:rsid w:val="21D56769"/>
    <w:rsid w:val="21E14C3C"/>
    <w:rsid w:val="21E40288"/>
    <w:rsid w:val="21E52EF3"/>
    <w:rsid w:val="21FB5D7B"/>
    <w:rsid w:val="220B1C3D"/>
    <w:rsid w:val="221072CF"/>
    <w:rsid w:val="221D1D20"/>
    <w:rsid w:val="222A0391"/>
    <w:rsid w:val="22334A87"/>
    <w:rsid w:val="229949F1"/>
    <w:rsid w:val="22A55C69"/>
    <w:rsid w:val="22A87507"/>
    <w:rsid w:val="22BE6801"/>
    <w:rsid w:val="233500BF"/>
    <w:rsid w:val="23377FF7"/>
    <w:rsid w:val="236B425F"/>
    <w:rsid w:val="23836192"/>
    <w:rsid w:val="23901F29"/>
    <w:rsid w:val="239962AA"/>
    <w:rsid w:val="239A7798"/>
    <w:rsid w:val="239C0061"/>
    <w:rsid w:val="23B908A4"/>
    <w:rsid w:val="23BC1356"/>
    <w:rsid w:val="23E95BEF"/>
    <w:rsid w:val="23F8607F"/>
    <w:rsid w:val="23FA1FE5"/>
    <w:rsid w:val="23FD0064"/>
    <w:rsid w:val="245375B0"/>
    <w:rsid w:val="24642C0A"/>
    <w:rsid w:val="247E195A"/>
    <w:rsid w:val="247E49C4"/>
    <w:rsid w:val="249E7A14"/>
    <w:rsid w:val="24B22173"/>
    <w:rsid w:val="24B95AD9"/>
    <w:rsid w:val="24BE24DA"/>
    <w:rsid w:val="24CF5825"/>
    <w:rsid w:val="24D663E6"/>
    <w:rsid w:val="24D77F2B"/>
    <w:rsid w:val="24D804D4"/>
    <w:rsid w:val="24E22A16"/>
    <w:rsid w:val="25292B82"/>
    <w:rsid w:val="253D487F"/>
    <w:rsid w:val="258A1146"/>
    <w:rsid w:val="258B00E2"/>
    <w:rsid w:val="25A917A6"/>
    <w:rsid w:val="25BE27CC"/>
    <w:rsid w:val="25F54D01"/>
    <w:rsid w:val="25F74A5C"/>
    <w:rsid w:val="2600781F"/>
    <w:rsid w:val="2609650F"/>
    <w:rsid w:val="2628662C"/>
    <w:rsid w:val="262D45DE"/>
    <w:rsid w:val="263A5594"/>
    <w:rsid w:val="268873DC"/>
    <w:rsid w:val="26891855"/>
    <w:rsid w:val="268D2755"/>
    <w:rsid w:val="26A53EF9"/>
    <w:rsid w:val="26A94201"/>
    <w:rsid w:val="26AC274F"/>
    <w:rsid w:val="26B26BA7"/>
    <w:rsid w:val="26C304D5"/>
    <w:rsid w:val="27044A29"/>
    <w:rsid w:val="271D34C8"/>
    <w:rsid w:val="273E043A"/>
    <w:rsid w:val="274C2B57"/>
    <w:rsid w:val="27595274"/>
    <w:rsid w:val="276142BF"/>
    <w:rsid w:val="27783712"/>
    <w:rsid w:val="27907362"/>
    <w:rsid w:val="27930616"/>
    <w:rsid w:val="27952750"/>
    <w:rsid w:val="27B24123"/>
    <w:rsid w:val="28044029"/>
    <w:rsid w:val="28333E1D"/>
    <w:rsid w:val="283F090E"/>
    <w:rsid w:val="28454BD6"/>
    <w:rsid w:val="28455253"/>
    <w:rsid w:val="28551971"/>
    <w:rsid w:val="285B1C53"/>
    <w:rsid w:val="289F7086"/>
    <w:rsid w:val="28C32028"/>
    <w:rsid w:val="28CC490F"/>
    <w:rsid w:val="28DA0759"/>
    <w:rsid w:val="28DE40AA"/>
    <w:rsid w:val="291E49C7"/>
    <w:rsid w:val="29266E45"/>
    <w:rsid w:val="29345E77"/>
    <w:rsid w:val="294C65AD"/>
    <w:rsid w:val="2963612E"/>
    <w:rsid w:val="29806583"/>
    <w:rsid w:val="298B3C4C"/>
    <w:rsid w:val="29B91B25"/>
    <w:rsid w:val="29F26D24"/>
    <w:rsid w:val="29F82F90"/>
    <w:rsid w:val="2A15033F"/>
    <w:rsid w:val="2A1662C1"/>
    <w:rsid w:val="2A1C7367"/>
    <w:rsid w:val="2A2815FA"/>
    <w:rsid w:val="2A325A8B"/>
    <w:rsid w:val="2A503C36"/>
    <w:rsid w:val="2A6D6092"/>
    <w:rsid w:val="2A783C63"/>
    <w:rsid w:val="2A7D76B4"/>
    <w:rsid w:val="2B0100FD"/>
    <w:rsid w:val="2B1020EE"/>
    <w:rsid w:val="2B437463"/>
    <w:rsid w:val="2B45448D"/>
    <w:rsid w:val="2B5260DB"/>
    <w:rsid w:val="2B5B5A5F"/>
    <w:rsid w:val="2B67536E"/>
    <w:rsid w:val="2B7807EE"/>
    <w:rsid w:val="2B7B2D90"/>
    <w:rsid w:val="2BA03472"/>
    <w:rsid w:val="2BBF00EC"/>
    <w:rsid w:val="2BC36A66"/>
    <w:rsid w:val="2BC37CFD"/>
    <w:rsid w:val="2BD5237F"/>
    <w:rsid w:val="2BE536CE"/>
    <w:rsid w:val="2BE758D9"/>
    <w:rsid w:val="2C09049E"/>
    <w:rsid w:val="2C0A4D8F"/>
    <w:rsid w:val="2C0A653C"/>
    <w:rsid w:val="2C181117"/>
    <w:rsid w:val="2C191F85"/>
    <w:rsid w:val="2C587C1E"/>
    <w:rsid w:val="2C797CD0"/>
    <w:rsid w:val="2C923DA9"/>
    <w:rsid w:val="2CE82D6F"/>
    <w:rsid w:val="2CFC0B7C"/>
    <w:rsid w:val="2D343236"/>
    <w:rsid w:val="2D4C1961"/>
    <w:rsid w:val="2DBD0A88"/>
    <w:rsid w:val="2DD15014"/>
    <w:rsid w:val="2DF72DE4"/>
    <w:rsid w:val="2DFA0DC5"/>
    <w:rsid w:val="2E0220AF"/>
    <w:rsid w:val="2E1126DF"/>
    <w:rsid w:val="2E4B082A"/>
    <w:rsid w:val="2E556795"/>
    <w:rsid w:val="2E563BF7"/>
    <w:rsid w:val="2E5D4E86"/>
    <w:rsid w:val="2E5D790B"/>
    <w:rsid w:val="2E693FEF"/>
    <w:rsid w:val="2E9A3C18"/>
    <w:rsid w:val="2EBB0FEE"/>
    <w:rsid w:val="2EC63002"/>
    <w:rsid w:val="2EFA733D"/>
    <w:rsid w:val="2F0A6B38"/>
    <w:rsid w:val="2F124686"/>
    <w:rsid w:val="2F1750AC"/>
    <w:rsid w:val="2F271BFC"/>
    <w:rsid w:val="2F5A34F6"/>
    <w:rsid w:val="2F787B90"/>
    <w:rsid w:val="2F886979"/>
    <w:rsid w:val="2F946CCB"/>
    <w:rsid w:val="2F9652B7"/>
    <w:rsid w:val="2FD25781"/>
    <w:rsid w:val="2FFD7934"/>
    <w:rsid w:val="30405223"/>
    <w:rsid w:val="30534F57"/>
    <w:rsid w:val="305B1897"/>
    <w:rsid w:val="30733ACD"/>
    <w:rsid w:val="308C3862"/>
    <w:rsid w:val="309379D8"/>
    <w:rsid w:val="30A270F7"/>
    <w:rsid w:val="30CD2C66"/>
    <w:rsid w:val="30D90298"/>
    <w:rsid w:val="30DF1478"/>
    <w:rsid w:val="30EC586F"/>
    <w:rsid w:val="31264419"/>
    <w:rsid w:val="31490FC3"/>
    <w:rsid w:val="31554CFE"/>
    <w:rsid w:val="31905D36"/>
    <w:rsid w:val="319375DC"/>
    <w:rsid w:val="319C6071"/>
    <w:rsid w:val="31AC537E"/>
    <w:rsid w:val="31D7650C"/>
    <w:rsid w:val="31DC7DE2"/>
    <w:rsid w:val="31E3679B"/>
    <w:rsid w:val="31E732FD"/>
    <w:rsid w:val="32517576"/>
    <w:rsid w:val="32545E86"/>
    <w:rsid w:val="328D5B94"/>
    <w:rsid w:val="32BE5C2C"/>
    <w:rsid w:val="32FB6478"/>
    <w:rsid w:val="33263B3F"/>
    <w:rsid w:val="334E24B3"/>
    <w:rsid w:val="336963EB"/>
    <w:rsid w:val="337230F3"/>
    <w:rsid w:val="33816EEB"/>
    <w:rsid w:val="33846123"/>
    <w:rsid w:val="33EB55CD"/>
    <w:rsid w:val="33EC194A"/>
    <w:rsid w:val="33EC4C02"/>
    <w:rsid w:val="340D2360"/>
    <w:rsid w:val="3410665D"/>
    <w:rsid w:val="34124E23"/>
    <w:rsid w:val="341365A3"/>
    <w:rsid w:val="34211214"/>
    <w:rsid w:val="342B1616"/>
    <w:rsid w:val="342E63AB"/>
    <w:rsid w:val="343155AF"/>
    <w:rsid w:val="34950E68"/>
    <w:rsid w:val="34986E94"/>
    <w:rsid w:val="34AF62C9"/>
    <w:rsid w:val="34CB4388"/>
    <w:rsid w:val="34E95E89"/>
    <w:rsid w:val="34FA6E12"/>
    <w:rsid w:val="351B7034"/>
    <w:rsid w:val="353428FA"/>
    <w:rsid w:val="353F5AA9"/>
    <w:rsid w:val="356E638F"/>
    <w:rsid w:val="358D5588"/>
    <w:rsid w:val="35BA6262"/>
    <w:rsid w:val="360C2F1F"/>
    <w:rsid w:val="360D1549"/>
    <w:rsid w:val="36383C2B"/>
    <w:rsid w:val="363A3B40"/>
    <w:rsid w:val="364D069A"/>
    <w:rsid w:val="365302AE"/>
    <w:rsid w:val="36607A0A"/>
    <w:rsid w:val="366A4187"/>
    <w:rsid w:val="366E227C"/>
    <w:rsid w:val="366F2E0D"/>
    <w:rsid w:val="367B6A5C"/>
    <w:rsid w:val="367E6AA5"/>
    <w:rsid w:val="368F553E"/>
    <w:rsid w:val="36A74ADA"/>
    <w:rsid w:val="36AD60D5"/>
    <w:rsid w:val="36B224F9"/>
    <w:rsid w:val="36CD06D8"/>
    <w:rsid w:val="36EC0CC9"/>
    <w:rsid w:val="370C12F5"/>
    <w:rsid w:val="37153EE7"/>
    <w:rsid w:val="371D36CD"/>
    <w:rsid w:val="373F410B"/>
    <w:rsid w:val="376822D6"/>
    <w:rsid w:val="37BA1D5F"/>
    <w:rsid w:val="37C30C14"/>
    <w:rsid w:val="37EE7094"/>
    <w:rsid w:val="37FC4126"/>
    <w:rsid w:val="38262F33"/>
    <w:rsid w:val="38296C89"/>
    <w:rsid w:val="383002EB"/>
    <w:rsid w:val="38586797"/>
    <w:rsid w:val="3894435E"/>
    <w:rsid w:val="38BC0149"/>
    <w:rsid w:val="38D87D1C"/>
    <w:rsid w:val="39095129"/>
    <w:rsid w:val="393022D9"/>
    <w:rsid w:val="39636459"/>
    <w:rsid w:val="396B7F6C"/>
    <w:rsid w:val="39B417A9"/>
    <w:rsid w:val="39B966BF"/>
    <w:rsid w:val="39FC5695"/>
    <w:rsid w:val="3A006D8E"/>
    <w:rsid w:val="3A3651E5"/>
    <w:rsid w:val="3A547712"/>
    <w:rsid w:val="3A6F0BDF"/>
    <w:rsid w:val="3A744481"/>
    <w:rsid w:val="3A8C7BEF"/>
    <w:rsid w:val="3A906246"/>
    <w:rsid w:val="3B183024"/>
    <w:rsid w:val="3B221D3B"/>
    <w:rsid w:val="3B2349B7"/>
    <w:rsid w:val="3B616CFF"/>
    <w:rsid w:val="3B6259F6"/>
    <w:rsid w:val="3B7017EA"/>
    <w:rsid w:val="3B976654"/>
    <w:rsid w:val="3BC01EFC"/>
    <w:rsid w:val="3BCA786A"/>
    <w:rsid w:val="3BD31E2F"/>
    <w:rsid w:val="3BD625E2"/>
    <w:rsid w:val="3BF15831"/>
    <w:rsid w:val="3BF36F22"/>
    <w:rsid w:val="3C105946"/>
    <w:rsid w:val="3C471448"/>
    <w:rsid w:val="3C5F759A"/>
    <w:rsid w:val="3C6C525A"/>
    <w:rsid w:val="3C795D45"/>
    <w:rsid w:val="3C9963E7"/>
    <w:rsid w:val="3CAD1E92"/>
    <w:rsid w:val="3CCE23CB"/>
    <w:rsid w:val="3CD17D17"/>
    <w:rsid w:val="3CE56CCD"/>
    <w:rsid w:val="3CF96EA3"/>
    <w:rsid w:val="3D092ABE"/>
    <w:rsid w:val="3D3C7F39"/>
    <w:rsid w:val="3D440F09"/>
    <w:rsid w:val="3D4504A0"/>
    <w:rsid w:val="3D662991"/>
    <w:rsid w:val="3D8734BB"/>
    <w:rsid w:val="3D9A11D4"/>
    <w:rsid w:val="3DA16D89"/>
    <w:rsid w:val="3DA364BE"/>
    <w:rsid w:val="3DB54E2C"/>
    <w:rsid w:val="3DE041CB"/>
    <w:rsid w:val="3E0D48F6"/>
    <w:rsid w:val="3E1868B4"/>
    <w:rsid w:val="3E377251"/>
    <w:rsid w:val="3E42664B"/>
    <w:rsid w:val="3E5A7334"/>
    <w:rsid w:val="3E6F7297"/>
    <w:rsid w:val="3E7B5D6B"/>
    <w:rsid w:val="3E843E66"/>
    <w:rsid w:val="3E8F51FE"/>
    <w:rsid w:val="3E926F87"/>
    <w:rsid w:val="3E9A59DE"/>
    <w:rsid w:val="3EAF4836"/>
    <w:rsid w:val="3EC33DFA"/>
    <w:rsid w:val="3EF90B81"/>
    <w:rsid w:val="3F0538C0"/>
    <w:rsid w:val="3F060E16"/>
    <w:rsid w:val="3F1D1096"/>
    <w:rsid w:val="3F2F0234"/>
    <w:rsid w:val="3F401855"/>
    <w:rsid w:val="3F6363FE"/>
    <w:rsid w:val="3F6A5E19"/>
    <w:rsid w:val="3F756B8F"/>
    <w:rsid w:val="3F7B6278"/>
    <w:rsid w:val="3F81250C"/>
    <w:rsid w:val="3F95482B"/>
    <w:rsid w:val="3FB3156E"/>
    <w:rsid w:val="3FD57736"/>
    <w:rsid w:val="3FFB181F"/>
    <w:rsid w:val="400022D9"/>
    <w:rsid w:val="40181D19"/>
    <w:rsid w:val="4019356B"/>
    <w:rsid w:val="401C35B7"/>
    <w:rsid w:val="401E5FF4"/>
    <w:rsid w:val="40592157"/>
    <w:rsid w:val="406E1CAE"/>
    <w:rsid w:val="4096091E"/>
    <w:rsid w:val="40970E8F"/>
    <w:rsid w:val="40A0133A"/>
    <w:rsid w:val="40C31A53"/>
    <w:rsid w:val="40FF545D"/>
    <w:rsid w:val="410067C8"/>
    <w:rsid w:val="4105229D"/>
    <w:rsid w:val="4133382B"/>
    <w:rsid w:val="4135050E"/>
    <w:rsid w:val="41806702"/>
    <w:rsid w:val="418F0D2A"/>
    <w:rsid w:val="41A444BF"/>
    <w:rsid w:val="41A87593"/>
    <w:rsid w:val="41D01505"/>
    <w:rsid w:val="41D80075"/>
    <w:rsid w:val="41E9396D"/>
    <w:rsid w:val="41F30347"/>
    <w:rsid w:val="42474939"/>
    <w:rsid w:val="424C3C57"/>
    <w:rsid w:val="42613FF3"/>
    <w:rsid w:val="42660D96"/>
    <w:rsid w:val="42756FAE"/>
    <w:rsid w:val="42857F51"/>
    <w:rsid w:val="428667D2"/>
    <w:rsid w:val="42C102E6"/>
    <w:rsid w:val="42CD1CE0"/>
    <w:rsid w:val="42E1381E"/>
    <w:rsid w:val="42ED6459"/>
    <w:rsid w:val="42F62DE5"/>
    <w:rsid w:val="42FE58DD"/>
    <w:rsid w:val="43087E22"/>
    <w:rsid w:val="43174B3D"/>
    <w:rsid w:val="43415CBD"/>
    <w:rsid w:val="434B790E"/>
    <w:rsid w:val="4360274F"/>
    <w:rsid w:val="4369300C"/>
    <w:rsid w:val="43721740"/>
    <w:rsid w:val="437A2EFB"/>
    <w:rsid w:val="437C436D"/>
    <w:rsid w:val="43977AB6"/>
    <w:rsid w:val="439B0949"/>
    <w:rsid w:val="439C056B"/>
    <w:rsid w:val="43A3342B"/>
    <w:rsid w:val="43BC29BB"/>
    <w:rsid w:val="43C77C27"/>
    <w:rsid w:val="43DE09EE"/>
    <w:rsid w:val="44002FAD"/>
    <w:rsid w:val="441D54B8"/>
    <w:rsid w:val="447D039C"/>
    <w:rsid w:val="4488419C"/>
    <w:rsid w:val="449101DD"/>
    <w:rsid w:val="44953938"/>
    <w:rsid w:val="44DE1391"/>
    <w:rsid w:val="44E679FE"/>
    <w:rsid w:val="451B225C"/>
    <w:rsid w:val="452410C9"/>
    <w:rsid w:val="45317DFB"/>
    <w:rsid w:val="45554E75"/>
    <w:rsid w:val="456D3CE4"/>
    <w:rsid w:val="4579042C"/>
    <w:rsid w:val="457F0571"/>
    <w:rsid w:val="457F108D"/>
    <w:rsid w:val="458043A8"/>
    <w:rsid w:val="45851176"/>
    <w:rsid w:val="45C63B94"/>
    <w:rsid w:val="45E87A96"/>
    <w:rsid w:val="45F8417E"/>
    <w:rsid w:val="46004DE1"/>
    <w:rsid w:val="460A1F68"/>
    <w:rsid w:val="460E7DA5"/>
    <w:rsid w:val="46256F3D"/>
    <w:rsid w:val="46402DFD"/>
    <w:rsid w:val="46422483"/>
    <w:rsid w:val="4659254A"/>
    <w:rsid w:val="465B0637"/>
    <w:rsid w:val="465E3F0D"/>
    <w:rsid w:val="466A16E6"/>
    <w:rsid w:val="466A3D31"/>
    <w:rsid w:val="46893F2B"/>
    <w:rsid w:val="46B575C9"/>
    <w:rsid w:val="46C4686E"/>
    <w:rsid w:val="47150D60"/>
    <w:rsid w:val="471D37A1"/>
    <w:rsid w:val="471F398D"/>
    <w:rsid w:val="474349B2"/>
    <w:rsid w:val="47785793"/>
    <w:rsid w:val="477B778F"/>
    <w:rsid w:val="478203EC"/>
    <w:rsid w:val="479223B1"/>
    <w:rsid w:val="47A13F1B"/>
    <w:rsid w:val="47A73327"/>
    <w:rsid w:val="47B025FA"/>
    <w:rsid w:val="47F92430"/>
    <w:rsid w:val="4809698F"/>
    <w:rsid w:val="4811697D"/>
    <w:rsid w:val="484C4889"/>
    <w:rsid w:val="48627FD5"/>
    <w:rsid w:val="487A3E25"/>
    <w:rsid w:val="488B5503"/>
    <w:rsid w:val="48937E21"/>
    <w:rsid w:val="489A0361"/>
    <w:rsid w:val="48B94FF3"/>
    <w:rsid w:val="48BC573A"/>
    <w:rsid w:val="48E37AAB"/>
    <w:rsid w:val="48FD4B4C"/>
    <w:rsid w:val="4908230F"/>
    <w:rsid w:val="490A68E0"/>
    <w:rsid w:val="491055FE"/>
    <w:rsid w:val="495F5B3E"/>
    <w:rsid w:val="496F77D7"/>
    <w:rsid w:val="497654FD"/>
    <w:rsid w:val="49B64211"/>
    <w:rsid w:val="49BE56DF"/>
    <w:rsid w:val="49C16F7D"/>
    <w:rsid w:val="49CF3474"/>
    <w:rsid w:val="49F6167F"/>
    <w:rsid w:val="4A064FA0"/>
    <w:rsid w:val="4A080708"/>
    <w:rsid w:val="4A16615C"/>
    <w:rsid w:val="4A1A388C"/>
    <w:rsid w:val="4A4424D7"/>
    <w:rsid w:val="4A675D7F"/>
    <w:rsid w:val="4AB82D0F"/>
    <w:rsid w:val="4AEB7664"/>
    <w:rsid w:val="4AFD7C19"/>
    <w:rsid w:val="4B0567D1"/>
    <w:rsid w:val="4B236AAE"/>
    <w:rsid w:val="4B2E4C36"/>
    <w:rsid w:val="4B707271"/>
    <w:rsid w:val="4B9739F7"/>
    <w:rsid w:val="4BEE2503"/>
    <w:rsid w:val="4C245A30"/>
    <w:rsid w:val="4C2757BD"/>
    <w:rsid w:val="4C806C7C"/>
    <w:rsid w:val="4C997D3D"/>
    <w:rsid w:val="4CB6685F"/>
    <w:rsid w:val="4CC367FE"/>
    <w:rsid w:val="4CC72A3A"/>
    <w:rsid w:val="4CDE27F3"/>
    <w:rsid w:val="4CEC60BF"/>
    <w:rsid w:val="4D077F3C"/>
    <w:rsid w:val="4D122BF3"/>
    <w:rsid w:val="4D123355"/>
    <w:rsid w:val="4D211BAD"/>
    <w:rsid w:val="4D243AAB"/>
    <w:rsid w:val="4D2A3B31"/>
    <w:rsid w:val="4D312C52"/>
    <w:rsid w:val="4D7F5185"/>
    <w:rsid w:val="4D905305"/>
    <w:rsid w:val="4D964A72"/>
    <w:rsid w:val="4D9C1254"/>
    <w:rsid w:val="4E2023C2"/>
    <w:rsid w:val="4E351802"/>
    <w:rsid w:val="4E4C6050"/>
    <w:rsid w:val="4E523A78"/>
    <w:rsid w:val="4E5D3ACD"/>
    <w:rsid w:val="4E793892"/>
    <w:rsid w:val="4E800872"/>
    <w:rsid w:val="4E854A1D"/>
    <w:rsid w:val="4EC569ED"/>
    <w:rsid w:val="4ED50EA1"/>
    <w:rsid w:val="4EEC050C"/>
    <w:rsid w:val="4F104EC3"/>
    <w:rsid w:val="4F47354A"/>
    <w:rsid w:val="4F701B08"/>
    <w:rsid w:val="4F911C54"/>
    <w:rsid w:val="4F9F6A34"/>
    <w:rsid w:val="4FE625E0"/>
    <w:rsid w:val="5021480F"/>
    <w:rsid w:val="503A5393"/>
    <w:rsid w:val="50962ECB"/>
    <w:rsid w:val="50A42E38"/>
    <w:rsid w:val="50A4577F"/>
    <w:rsid w:val="50A538CF"/>
    <w:rsid w:val="50B53FBE"/>
    <w:rsid w:val="50B73D1F"/>
    <w:rsid w:val="50BD5BC9"/>
    <w:rsid w:val="50C11EEE"/>
    <w:rsid w:val="50CE1332"/>
    <w:rsid w:val="50E40117"/>
    <w:rsid w:val="50E85C10"/>
    <w:rsid w:val="50E97CFC"/>
    <w:rsid w:val="50FA4028"/>
    <w:rsid w:val="51024103"/>
    <w:rsid w:val="5105097F"/>
    <w:rsid w:val="51085492"/>
    <w:rsid w:val="510D65B7"/>
    <w:rsid w:val="511157AB"/>
    <w:rsid w:val="5142540C"/>
    <w:rsid w:val="51497F84"/>
    <w:rsid w:val="518832C8"/>
    <w:rsid w:val="51A0432A"/>
    <w:rsid w:val="51A86090"/>
    <w:rsid w:val="51B7396D"/>
    <w:rsid w:val="51DB38BF"/>
    <w:rsid w:val="521265C8"/>
    <w:rsid w:val="522013CE"/>
    <w:rsid w:val="522E4CC3"/>
    <w:rsid w:val="52412A09"/>
    <w:rsid w:val="5244713B"/>
    <w:rsid w:val="52615633"/>
    <w:rsid w:val="526702B9"/>
    <w:rsid w:val="52977FD4"/>
    <w:rsid w:val="529C2335"/>
    <w:rsid w:val="52A25790"/>
    <w:rsid w:val="52A96B6F"/>
    <w:rsid w:val="52B45975"/>
    <w:rsid w:val="52C378C2"/>
    <w:rsid w:val="52D94AA4"/>
    <w:rsid w:val="52E53CDC"/>
    <w:rsid w:val="52EA3A62"/>
    <w:rsid w:val="52ED4596"/>
    <w:rsid w:val="52F50BB8"/>
    <w:rsid w:val="53097272"/>
    <w:rsid w:val="53544462"/>
    <w:rsid w:val="536113AB"/>
    <w:rsid w:val="5397158E"/>
    <w:rsid w:val="53EB113C"/>
    <w:rsid w:val="54013861"/>
    <w:rsid w:val="541F321E"/>
    <w:rsid w:val="543F566E"/>
    <w:rsid w:val="54487265"/>
    <w:rsid w:val="544D6070"/>
    <w:rsid w:val="54605E1E"/>
    <w:rsid w:val="54656D67"/>
    <w:rsid w:val="54B3506A"/>
    <w:rsid w:val="54CA0D16"/>
    <w:rsid w:val="54DD4057"/>
    <w:rsid w:val="54E7490F"/>
    <w:rsid w:val="550764A4"/>
    <w:rsid w:val="550B2BF6"/>
    <w:rsid w:val="55214EB5"/>
    <w:rsid w:val="552D7E98"/>
    <w:rsid w:val="55364EFD"/>
    <w:rsid w:val="555D3FFE"/>
    <w:rsid w:val="555D4828"/>
    <w:rsid w:val="557A4C8B"/>
    <w:rsid w:val="558931E1"/>
    <w:rsid w:val="55923347"/>
    <w:rsid w:val="55925180"/>
    <w:rsid w:val="55983B1B"/>
    <w:rsid w:val="559B2D78"/>
    <w:rsid w:val="559F5436"/>
    <w:rsid w:val="55A8376B"/>
    <w:rsid w:val="55AE6607"/>
    <w:rsid w:val="55DC29B6"/>
    <w:rsid w:val="55DD4241"/>
    <w:rsid w:val="55EC1538"/>
    <w:rsid w:val="561C5C67"/>
    <w:rsid w:val="562468CA"/>
    <w:rsid w:val="563E1B99"/>
    <w:rsid w:val="56486A5C"/>
    <w:rsid w:val="566B6D1E"/>
    <w:rsid w:val="566F1F48"/>
    <w:rsid w:val="56BC2FA6"/>
    <w:rsid w:val="56CA56C3"/>
    <w:rsid w:val="57032A2C"/>
    <w:rsid w:val="57053291"/>
    <w:rsid w:val="570F5219"/>
    <w:rsid w:val="575D12B5"/>
    <w:rsid w:val="57610A87"/>
    <w:rsid w:val="577B1140"/>
    <w:rsid w:val="577B7F21"/>
    <w:rsid w:val="577F181B"/>
    <w:rsid w:val="57921984"/>
    <w:rsid w:val="579737F0"/>
    <w:rsid w:val="57AB7B30"/>
    <w:rsid w:val="57AF5251"/>
    <w:rsid w:val="57B26373"/>
    <w:rsid w:val="57B63F04"/>
    <w:rsid w:val="57CB64E6"/>
    <w:rsid w:val="57CD20C2"/>
    <w:rsid w:val="57D675AB"/>
    <w:rsid w:val="57D95FDD"/>
    <w:rsid w:val="588A050B"/>
    <w:rsid w:val="58917D2F"/>
    <w:rsid w:val="5894085C"/>
    <w:rsid w:val="58AE4F0C"/>
    <w:rsid w:val="58B85899"/>
    <w:rsid w:val="58D173B3"/>
    <w:rsid w:val="58E363A9"/>
    <w:rsid w:val="58F85DEC"/>
    <w:rsid w:val="595E1678"/>
    <w:rsid w:val="596D5BD4"/>
    <w:rsid w:val="597E3DD8"/>
    <w:rsid w:val="598D6C40"/>
    <w:rsid w:val="59A04E1D"/>
    <w:rsid w:val="59ED41B0"/>
    <w:rsid w:val="59EE6F2C"/>
    <w:rsid w:val="59F80043"/>
    <w:rsid w:val="5A09252F"/>
    <w:rsid w:val="5A0B2778"/>
    <w:rsid w:val="5A2A7C7B"/>
    <w:rsid w:val="5A3E2560"/>
    <w:rsid w:val="5A5D3B6E"/>
    <w:rsid w:val="5A637A76"/>
    <w:rsid w:val="5A6D33BA"/>
    <w:rsid w:val="5A755946"/>
    <w:rsid w:val="5A792B1F"/>
    <w:rsid w:val="5A874767"/>
    <w:rsid w:val="5A8E2EAB"/>
    <w:rsid w:val="5A9304C2"/>
    <w:rsid w:val="5A9A3DBD"/>
    <w:rsid w:val="5AAD6F28"/>
    <w:rsid w:val="5AD22D98"/>
    <w:rsid w:val="5AD63A24"/>
    <w:rsid w:val="5B21454D"/>
    <w:rsid w:val="5B2E1A1D"/>
    <w:rsid w:val="5B510A5B"/>
    <w:rsid w:val="5B843A1C"/>
    <w:rsid w:val="5B873E3F"/>
    <w:rsid w:val="5BA02688"/>
    <w:rsid w:val="5C02690E"/>
    <w:rsid w:val="5C196DA7"/>
    <w:rsid w:val="5C205C9B"/>
    <w:rsid w:val="5C2A048C"/>
    <w:rsid w:val="5C2F5FC8"/>
    <w:rsid w:val="5C3902D5"/>
    <w:rsid w:val="5C3D2493"/>
    <w:rsid w:val="5C80234E"/>
    <w:rsid w:val="5C8A680C"/>
    <w:rsid w:val="5CC337CD"/>
    <w:rsid w:val="5D0C4701"/>
    <w:rsid w:val="5D0F0395"/>
    <w:rsid w:val="5D221076"/>
    <w:rsid w:val="5D292A17"/>
    <w:rsid w:val="5D3513BC"/>
    <w:rsid w:val="5D397964"/>
    <w:rsid w:val="5D5A391C"/>
    <w:rsid w:val="5D5B3481"/>
    <w:rsid w:val="5D5F10C0"/>
    <w:rsid w:val="5D891B7B"/>
    <w:rsid w:val="5DAD38EE"/>
    <w:rsid w:val="5DB1138B"/>
    <w:rsid w:val="5DE51034"/>
    <w:rsid w:val="5E006862"/>
    <w:rsid w:val="5E0207B9"/>
    <w:rsid w:val="5E127950"/>
    <w:rsid w:val="5E1834A1"/>
    <w:rsid w:val="5E261785"/>
    <w:rsid w:val="5E2C5875"/>
    <w:rsid w:val="5E2C6C63"/>
    <w:rsid w:val="5E335564"/>
    <w:rsid w:val="5E4A7017"/>
    <w:rsid w:val="5E552BBA"/>
    <w:rsid w:val="5E5B12F6"/>
    <w:rsid w:val="5E611C10"/>
    <w:rsid w:val="5E7924E3"/>
    <w:rsid w:val="5E973525"/>
    <w:rsid w:val="5EFC7377"/>
    <w:rsid w:val="5F06174D"/>
    <w:rsid w:val="5F205F8A"/>
    <w:rsid w:val="5F2C38F8"/>
    <w:rsid w:val="5F3A3602"/>
    <w:rsid w:val="5F6277C6"/>
    <w:rsid w:val="5F6D0B1D"/>
    <w:rsid w:val="5F8D0B82"/>
    <w:rsid w:val="5FA6729D"/>
    <w:rsid w:val="5FA82666"/>
    <w:rsid w:val="5FCC5339"/>
    <w:rsid w:val="5FE34A5B"/>
    <w:rsid w:val="5FE4307B"/>
    <w:rsid w:val="5FFE1E36"/>
    <w:rsid w:val="60232584"/>
    <w:rsid w:val="604D4D4A"/>
    <w:rsid w:val="605204D7"/>
    <w:rsid w:val="607330CE"/>
    <w:rsid w:val="60825176"/>
    <w:rsid w:val="609F2AC4"/>
    <w:rsid w:val="609F6606"/>
    <w:rsid w:val="60DC5CFB"/>
    <w:rsid w:val="60EA5239"/>
    <w:rsid w:val="60FA2EE8"/>
    <w:rsid w:val="61054A27"/>
    <w:rsid w:val="610A52BC"/>
    <w:rsid w:val="611D2366"/>
    <w:rsid w:val="61421856"/>
    <w:rsid w:val="615227C4"/>
    <w:rsid w:val="61654E3F"/>
    <w:rsid w:val="61767EFC"/>
    <w:rsid w:val="6182292A"/>
    <w:rsid w:val="619863BE"/>
    <w:rsid w:val="619F7F92"/>
    <w:rsid w:val="61A30182"/>
    <w:rsid w:val="61A83401"/>
    <w:rsid w:val="61CB6793"/>
    <w:rsid w:val="61F94C26"/>
    <w:rsid w:val="62000E56"/>
    <w:rsid w:val="623244F9"/>
    <w:rsid w:val="62483940"/>
    <w:rsid w:val="624F3E49"/>
    <w:rsid w:val="62632286"/>
    <w:rsid w:val="62885958"/>
    <w:rsid w:val="62CA79B8"/>
    <w:rsid w:val="62E20CB1"/>
    <w:rsid w:val="62F40B65"/>
    <w:rsid w:val="62FC2CFE"/>
    <w:rsid w:val="63024505"/>
    <w:rsid w:val="630E4B89"/>
    <w:rsid w:val="63400ABB"/>
    <w:rsid w:val="635B1DB5"/>
    <w:rsid w:val="63711FED"/>
    <w:rsid w:val="63880DDC"/>
    <w:rsid w:val="638D750D"/>
    <w:rsid w:val="63A70E45"/>
    <w:rsid w:val="63AC6CC0"/>
    <w:rsid w:val="63B3765E"/>
    <w:rsid w:val="63BC45E5"/>
    <w:rsid w:val="63CE52D9"/>
    <w:rsid w:val="63EC71C5"/>
    <w:rsid w:val="63F303BE"/>
    <w:rsid w:val="64055776"/>
    <w:rsid w:val="64240056"/>
    <w:rsid w:val="64346872"/>
    <w:rsid w:val="643B782A"/>
    <w:rsid w:val="643E143A"/>
    <w:rsid w:val="648B6EEF"/>
    <w:rsid w:val="64C158BF"/>
    <w:rsid w:val="64CE2EAA"/>
    <w:rsid w:val="64F25582"/>
    <w:rsid w:val="650054DB"/>
    <w:rsid w:val="653C3090"/>
    <w:rsid w:val="65457BCE"/>
    <w:rsid w:val="65854376"/>
    <w:rsid w:val="658767BE"/>
    <w:rsid w:val="65892531"/>
    <w:rsid w:val="65D025CA"/>
    <w:rsid w:val="65FF1B98"/>
    <w:rsid w:val="66195831"/>
    <w:rsid w:val="662A4220"/>
    <w:rsid w:val="662E75B1"/>
    <w:rsid w:val="66342C2E"/>
    <w:rsid w:val="663E784C"/>
    <w:rsid w:val="66630D48"/>
    <w:rsid w:val="668B6A45"/>
    <w:rsid w:val="66CD36E6"/>
    <w:rsid w:val="66DB1413"/>
    <w:rsid w:val="67136C12"/>
    <w:rsid w:val="672F3F24"/>
    <w:rsid w:val="673E055F"/>
    <w:rsid w:val="67551CE3"/>
    <w:rsid w:val="67A22552"/>
    <w:rsid w:val="67B22DCC"/>
    <w:rsid w:val="67BE71AA"/>
    <w:rsid w:val="67D90273"/>
    <w:rsid w:val="67DE5875"/>
    <w:rsid w:val="67E55852"/>
    <w:rsid w:val="67EB1AB4"/>
    <w:rsid w:val="67FA1285"/>
    <w:rsid w:val="6825309F"/>
    <w:rsid w:val="683A3D2B"/>
    <w:rsid w:val="68551F4F"/>
    <w:rsid w:val="68774B26"/>
    <w:rsid w:val="687C10C9"/>
    <w:rsid w:val="687F015B"/>
    <w:rsid w:val="68840C16"/>
    <w:rsid w:val="68876EFB"/>
    <w:rsid w:val="68884654"/>
    <w:rsid w:val="689F444F"/>
    <w:rsid w:val="68B96DBB"/>
    <w:rsid w:val="68BA6CFF"/>
    <w:rsid w:val="68BE495C"/>
    <w:rsid w:val="68CA2805"/>
    <w:rsid w:val="68E937A3"/>
    <w:rsid w:val="690D7F75"/>
    <w:rsid w:val="69111FC0"/>
    <w:rsid w:val="69247D13"/>
    <w:rsid w:val="693E15D3"/>
    <w:rsid w:val="69513A22"/>
    <w:rsid w:val="69561038"/>
    <w:rsid w:val="69627681"/>
    <w:rsid w:val="69766FE4"/>
    <w:rsid w:val="6977531D"/>
    <w:rsid w:val="69A300BA"/>
    <w:rsid w:val="69A51678"/>
    <w:rsid w:val="69A7626C"/>
    <w:rsid w:val="69AE66C0"/>
    <w:rsid w:val="69B12712"/>
    <w:rsid w:val="69CC2BFF"/>
    <w:rsid w:val="69CE6E20"/>
    <w:rsid w:val="69D41F5D"/>
    <w:rsid w:val="69FD55B8"/>
    <w:rsid w:val="6A050368"/>
    <w:rsid w:val="6A0B1C62"/>
    <w:rsid w:val="6A2406C8"/>
    <w:rsid w:val="6A37493D"/>
    <w:rsid w:val="6A5A184D"/>
    <w:rsid w:val="6A5D1F52"/>
    <w:rsid w:val="6A667CB9"/>
    <w:rsid w:val="6A7C687C"/>
    <w:rsid w:val="6A82511C"/>
    <w:rsid w:val="6A9A3191"/>
    <w:rsid w:val="6ADE0BD1"/>
    <w:rsid w:val="6AE83F12"/>
    <w:rsid w:val="6AE96859"/>
    <w:rsid w:val="6B147746"/>
    <w:rsid w:val="6B24787C"/>
    <w:rsid w:val="6B573233"/>
    <w:rsid w:val="6B574999"/>
    <w:rsid w:val="6B5B6274"/>
    <w:rsid w:val="6B935D53"/>
    <w:rsid w:val="6B99520C"/>
    <w:rsid w:val="6BFD721F"/>
    <w:rsid w:val="6C097901"/>
    <w:rsid w:val="6C196F71"/>
    <w:rsid w:val="6C226FCB"/>
    <w:rsid w:val="6C2E3BA6"/>
    <w:rsid w:val="6C31226F"/>
    <w:rsid w:val="6C313697"/>
    <w:rsid w:val="6C44786E"/>
    <w:rsid w:val="6C552F0B"/>
    <w:rsid w:val="6C5A07E8"/>
    <w:rsid w:val="6C757A27"/>
    <w:rsid w:val="6C8C67B7"/>
    <w:rsid w:val="6C9D744C"/>
    <w:rsid w:val="6C9F0987"/>
    <w:rsid w:val="6CDC2FD4"/>
    <w:rsid w:val="6CE33A9C"/>
    <w:rsid w:val="6D167928"/>
    <w:rsid w:val="6D26299B"/>
    <w:rsid w:val="6D34343E"/>
    <w:rsid w:val="6D3C0545"/>
    <w:rsid w:val="6D4772EC"/>
    <w:rsid w:val="6D8819DC"/>
    <w:rsid w:val="6D9078AF"/>
    <w:rsid w:val="6DAA3FEF"/>
    <w:rsid w:val="6DC0172B"/>
    <w:rsid w:val="6DCB690C"/>
    <w:rsid w:val="6DD41A5B"/>
    <w:rsid w:val="6DDB1B0C"/>
    <w:rsid w:val="6DDD7632"/>
    <w:rsid w:val="6DF43C2E"/>
    <w:rsid w:val="6DF51CA3"/>
    <w:rsid w:val="6DFA795E"/>
    <w:rsid w:val="6E4A39F8"/>
    <w:rsid w:val="6E5A6DD8"/>
    <w:rsid w:val="6E8335BD"/>
    <w:rsid w:val="6E8E12EF"/>
    <w:rsid w:val="6E972936"/>
    <w:rsid w:val="6ED446C5"/>
    <w:rsid w:val="6F2A2D4B"/>
    <w:rsid w:val="6F2A7D94"/>
    <w:rsid w:val="6F8331F1"/>
    <w:rsid w:val="6F906926"/>
    <w:rsid w:val="6F9A118C"/>
    <w:rsid w:val="6FAE1A09"/>
    <w:rsid w:val="6FCC5197"/>
    <w:rsid w:val="6FD75BF8"/>
    <w:rsid w:val="70253512"/>
    <w:rsid w:val="70635EE3"/>
    <w:rsid w:val="707723D0"/>
    <w:rsid w:val="70983CE4"/>
    <w:rsid w:val="709F6AD5"/>
    <w:rsid w:val="70CC4DD8"/>
    <w:rsid w:val="70D06A63"/>
    <w:rsid w:val="70F5661B"/>
    <w:rsid w:val="71233EF6"/>
    <w:rsid w:val="71360107"/>
    <w:rsid w:val="713752AB"/>
    <w:rsid w:val="713B688E"/>
    <w:rsid w:val="71867A4F"/>
    <w:rsid w:val="71B5658F"/>
    <w:rsid w:val="71CF7BDA"/>
    <w:rsid w:val="71D43752"/>
    <w:rsid w:val="71E35433"/>
    <w:rsid w:val="71F1796A"/>
    <w:rsid w:val="72154626"/>
    <w:rsid w:val="721C27FE"/>
    <w:rsid w:val="72262B5D"/>
    <w:rsid w:val="72283FF7"/>
    <w:rsid w:val="722D0A37"/>
    <w:rsid w:val="722E7212"/>
    <w:rsid w:val="723A0474"/>
    <w:rsid w:val="724C67D0"/>
    <w:rsid w:val="724D0AFE"/>
    <w:rsid w:val="725923E4"/>
    <w:rsid w:val="726C5429"/>
    <w:rsid w:val="72864BF7"/>
    <w:rsid w:val="729023FC"/>
    <w:rsid w:val="72E42103"/>
    <w:rsid w:val="72F50DA2"/>
    <w:rsid w:val="737C169B"/>
    <w:rsid w:val="73C0646E"/>
    <w:rsid w:val="73D17C39"/>
    <w:rsid w:val="742222F5"/>
    <w:rsid w:val="74476126"/>
    <w:rsid w:val="74511C71"/>
    <w:rsid w:val="74706664"/>
    <w:rsid w:val="747F3682"/>
    <w:rsid w:val="74956EB9"/>
    <w:rsid w:val="749C4185"/>
    <w:rsid w:val="74AB3134"/>
    <w:rsid w:val="74B15375"/>
    <w:rsid w:val="75067759"/>
    <w:rsid w:val="752E6DCD"/>
    <w:rsid w:val="7551380D"/>
    <w:rsid w:val="75600BE5"/>
    <w:rsid w:val="7564475C"/>
    <w:rsid w:val="7583797F"/>
    <w:rsid w:val="75BB0783"/>
    <w:rsid w:val="75CD61DE"/>
    <w:rsid w:val="75D20F1D"/>
    <w:rsid w:val="75D56A86"/>
    <w:rsid w:val="75DA2C18"/>
    <w:rsid w:val="75F54412"/>
    <w:rsid w:val="760F2C9B"/>
    <w:rsid w:val="761D08E0"/>
    <w:rsid w:val="765D347C"/>
    <w:rsid w:val="767D5E56"/>
    <w:rsid w:val="768129FD"/>
    <w:rsid w:val="76826699"/>
    <w:rsid w:val="76C87133"/>
    <w:rsid w:val="76CD08D5"/>
    <w:rsid w:val="76DB4B92"/>
    <w:rsid w:val="76E9489D"/>
    <w:rsid w:val="77052AA4"/>
    <w:rsid w:val="77136511"/>
    <w:rsid w:val="77340A39"/>
    <w:rsid w:val="77343640"/>
    <w:rsid w:val="77351FD0"/>
    <w:rsid w:val="77472422"/>
    <w:rsid w:val="777F31F2"/>
    <w:rsid w:val="779F1DFC"/>
    <w:rsid w:val="77D1700D"/>
    <w:rsid w:val="77EC04CC"/>
    <w:rsid w:val="78003D06"/>
    <w:rsid w:val="786460E7"/>
    <w:rsid w:val="78775729"/>
    <w:rsid w:val="78A42DB0"/>
    <w:rsid w:val="78A656AB"/>
    <w:rsid w:val="78B2245C"/>
    <w:rsid w:val="78E172CC"/>
    <w:rsid w:val="78E71CAD"/>
    <w:rsid w:val="78EA1D1F"/>
    <w:rsid w:val="78F148D9"/>
    <w:rsid w:val="7904172F"/>
    <w:rsid w:val="790F7E27"/>
    <w:rsid w:val="792A231A"/>
    <w:rsid w:val="79316829"/>
    <w:rsid w:val="7967694A"/>
    <w:rsid w:val="797E66A9"/>
    <w:rsid w:val="79A97383"/>
    <w:rsid w:val="79D41D23"/>
    <w:rsid w:val="79E27E8B"/>
    <w:rsid w:val="79F850CE"/>
    <w:rsid w:val="79FD443C"/>
    <w:rsid w:val="7A020420"/>
    <w:rsid w:val="7A1D1975"/>
    <w:rsid w:val="7A3E5150"/>
    <w:rsid w:val="7A41472A"/>
    <w:rsid w:val="7A4670D6"/>
    <w:rsid w:val="7A534B63"/>
    <w:rsid w:val="7A615382"/>
    <w:rsid w:val="7A635363"/>
    <w:rsid w:val="7A67303B"/>
    <w:rsid w:val="7A850E5E"/>
    <w:rsid w:val="7AAB1D04"/>
    <w:rsid w:val="7AAF05A8"/>
    <w:rsid w:val="7ABA4368"/>
    <w:rsid w:val="7AD05746"/>
    <w:rsid w:val="7AEF309B"/>
    <w:rsid w:val="7B257FFD"/>
    <w:rsid w:val="7B2C39A7"/>
    <w:rsid w:val="7B343476"/>
    <w:rsid w:val="7B5A2978"/>
    <w:rsid w:val="7B5A7E4C"/>
    <w:rsid w:val="7B667AF9"/>
    <w:rsid w:val="7B7468F8"/>
    <w:rsid w:val="7BAB4A71"/>
    <w:rsid w:val="7BC938EC"/>
    <w:rsid w:val="7BD66146"/>
    <w:rsid w:val="7BEE0103"/>
    <w:rsid w:val="7C0A0FE4"/>
    <w:rsid w:val="7C254906"/>
    <w:rsid w:val="7C4E5B9F"/>
    <w:rsid w:val="7C590818"/>
    <w:rsid w:val="7C7272B1"/>
    <w:rsid w:val="7C7C10F6"/>
    <w:rsid w:val="7C853BEA"/>
    <w:rsid w:val="7C881368"/>
    <w:rsid w:val="7CD40756"/>
    <w:rsid w:val="7CE27788"/>
    <w:rsid w:val="7D0C32F1"/>
    <w:rsid w:val="7D0F408D"/>
    <w:rsid w:val="7D1D3EEF"/>
    <w:rsid w:val="7D491C6C"/>
    <w:rsid w:val="7D5429C0"/>
    <w:rsid w:val="7D5D253D"/>
    <w:rsid w:val="7D6D05DE"/>
    <w:rsid w:val="7D6E6D43"/>
    <w:rsid w:val="7DB57A34"/>
    <w:rsid w:val="7DDAA029"/>
    <w:rsid w:val="7DE60973"/>
    <w:rsid w:val="7DEF0916"/>
    <w:rsid w:val="7DFB432E"/>
    <w:rsid w:val="7E1E5218"/>
    <w:rsid w:val="7E4C02D3"/>
    <w:rsid w:val="7E9A4E1F"/>
    <w:rsid w:val="7EA7723A"/>
    <w:rsid w:val="7EF56FBB"/>
    <w:rsid w:val="7EFF551E"/>
    <w:rsid w:val="7F0768EB"/>
    <w:rsid w:val="7F143BEC"/>
    <w:rsid w:val="7F22175F"/>
    <w:rsid w:val="7F2C5FB2"/>
    <w:rsid w:val="7F3823EB"/>
    <w:rsid w:val="7F715AF2"/>
    <w:rsid w:val="7F886E69"/>
    <w:rsid w:val="7F954211"/>
    <w:rsid w:val="7FC26792"/>
    <w:rsid w:val="7FF0144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仿宋" w:cs="Times New Roman"/>
      <w:kern w:val="2"/>
      <w:sz w:val="24"/>
      <w:szCs w:val="24"/>
      <w:lang w:val="en-US" w:eastAsia="zh-CN" w:bidi="ar-SA"/>
    </w:rPr>
  </w:style>
  <w:style w:type="paragraph" w:styleId="5">
    <w:name w:val="heading 1"/>
    <w:basedOn w:val="1"/>
    <w:next w:val="1"/>
    <w:link w:val="7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18"/>
    <w:autoRedefine/>
    <w:qFormat/>
    <w:uiPriority w:val="0"/>
    <w:pPr>
      <w:ind w:firstLine="420"/>
    </w:pPr>
    <w:rPr>
      <w:rFonts w:hAnsi="Calibri" w:cs="Times New Roman"/>
      <w:snapToGrid/>
      <w:szCs w:val="20"/>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7"/>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1"/>
    <w:autoRedefine/>
    <w:qFormat/>
    <w:uiPriority w:val="0"/>
    <w:pPr>
      <w:shd w:val="clear" w:color="auto" w:fill="000080"/>
    </w:pPr>
  </w:style>
  <w:style w:type="paragraph" w:styleId="22">
    <w:name w:val="annotation text"/>
    <w:basedOn w:val="1"/>
    <w:link w:val="341"/>
    <w:autoRedefine/>
    <w:qFormat/>
    <w:uiPriority w:val="99"/>
    <w:pPr>
      <w:jc w:val="left"/>
    </w:pPr>
  </w:style>
  <w:style w:type="paragraph" w:styleId="23">
    <w:name w:val="Salutation"/>
    <w:basedOn w:val="1"/>
    <w:next w:val="1"/>
    <w:link w:val="295"/>
    <w:autoRedefine/>
    <w:qFormat/>
    <w:uiPriority w:val="0"/>
    <w:rPr>
      <w:rFonts w:ascii="仿宋_GB2312" w:eastAsia="仿宋_GB2312"/>
      <w:sz w:val="28"/>
      <w:szCs w:val="20"/>
    </w:rPr>
  </w:style>
  <w:style w:type="paragraph" w:styleId="24">
    <w:name w:val="Body Text 3"/>
    <w:basedOn w:val="1"/>
    <w:link w:val="327"/>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0"/>
    <w:rPr>
      <w:rFonts w:ascii="宋体" w:hAnsi="宋体" w:eastAsia="仿宋" w:cs="Arial"/>
      <w:snapToGrid w:val="0"/>
      <w:sz w:val="24"/>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0"/>
    <w:autoRedefine/>
    <w:qFormat/>
    <w:uiPriority w:val="99"/>
    <w:pPr>
      <w:tabs>
        <w:tab w:val="center" w:pos="4153"/>
        <w:tab w:val="right" w:pos="8306"/>
      </w:tabs>
      <w:snapToGrid w:val="0"/>
      <w:jc w:val="left"/>
    </w:pPr>
    <w:rPr>
      <w:sz w:val="18"/>
      <w:szCs w:val="18"/>
    </w:rPr>
  </w:style>
  <w:style w:type="paragraph" w:styleId="42">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8"/>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7"/>
    <w:autoRedefine/>
    <w:qFormat/>
    <w:uiPriority w:val="0"/>
    <w:rPr>
      <w:b/>
      <w:bCs/>
    </w:rPr>
  </w:style>
  <w:style w:type="paragraph" w:styleId="61">
    <w:name w:val="Body Text First Indent 2"/>
    <w:basedOn w:val="26"/>
    <w:next w:val="1"/>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1 Char"/>
    <w:link w:val="5"/>
    <w:autoRedefine/>
    <w:qFormat/>
    <w:uiPriority w:val="9"/>
    <w:rPr>
      <w:b/>
      <w:bCs/>
      <w:kern w:val="44"/>
      <w:sz w:val="44"/>
      <w:szCs w:val="44"/>
    </w:rPr>
  </w:style>
  <w:style w:type="character" w:customStyle="1" w:styleId="80">
    <w:name w:val="标题 2 Char"/>
    <w:autoRedefine/>
    <w:qFormat/>
    <w:uiPriority w:val="0"/>
    <w:rPr>
      <w:rFonts w:ascii="Arial" w:hAnsi="Arial" w:eastAsia="黑体"/>
      <w:b/>
      <w:kern w:val="2"/>
      <w:sz w:val="32"/>
      <w:lang w:val="en-US" w:eastAsia="zh-CN"/>
    </w:rPr>
  </w:style>
  <w:style w:type="character" w:customStyle="1" w:styleId="81">
    <w:name w:val="标题 4 Char"/>
    <w:autoRedefine/>
    <w:qFormat/>
    <w:uiPriority w:val="0"/>
    <w:rPr>
      <w:rFonts w:ascii="Arial" w:hAnsi="Arial" w:eastAsia="黑体"/>
      <w:b/>
      <w:kern w:val="2"/>
      <w:sz w:val="28"/>
    </w:rPr>
  </w:style>
  <w:style w:type="character" w:customStyle="1" w:styleId="82">
    <w:name w:val="标题 3 字符"/>
    <w:autoRedefine/>
    <w:qFormat/>
    <w:uiPriority w:val="9"/>
    <w:rPr>
      <w:b/>
      <w:bCs/>
      <w:kern w:val="2"/>
      <w:sz w:val="32"/>
      <w:szCs w:val="32"/>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4"/>
    <w:autoRedefine/>
    <w:qFormat/>
    <w:uiPriority w:val="0"/>
    <w:rPr>
      <w:rFonts w:ascii="宋体" w:hAnsi="宋体" w:eastAsia="仿宋" w:cs="Arial"/>
      <w:snapToGrid w:val="0"/>
      <w:kern w:val="2"/>
      <w:sz w:val="24"/>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6"/>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7"/>
    <w:autoRedefine/>
    <w:qFormat/>
    <w:uiPriority w:val="0"/>
    <w:rPr>
      <w:rFonts w:ascii="宋体"/>
      <w:kern w:val="2"/>
      <w:sz w:val="24"/>
      <w:szCs w:val="21"/>
      <w:lang w:val="zh-CN"/>
    </w:rPr>
  </w:style>
  <w:style w:type="character" w:customStyle="1" w:styleId="181">
    <w:name w:val="标题 9 Char"/>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21"/>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8"/>
    <w:autoRedefine/>
    <w:qFormat/>
    <w:uiPriority w:val="0"/>
    <w:rPr>
      <w:rFonts w:ascii="仿宋_GB2312" w:hAnsi="仿宋" w:eastAsia="仿宋_GB2312" w:cs="仿宋_GB2312"/>
      <w:sz w:val="32"/>
      <w:szCs w:val="30"/>
      <w:lang w:val="zh-CN"/>
    </w:rPr>
  </w:style>
  <w:style w:type="character" w:customStyle="1" w:styleId="217">
    <w:name w:val="HTML 地址 Char"/>
    <w:link w:val="31"/>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8"/>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9"/>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6"/>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9"/>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3"/>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8"/>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1"/>
    <w:autoRedefine/>
    <w:qFormat/>
    <w:uiPriority w:val="0"/>
    <w:rPr>
      <w:b/>
      <w:bCs/>
      <w:kern w:val="2"/>
      <w:sz w:val="24"/>
      <w:szCs w:val="24"/>
    </w:rPr>
  </w:style>
  <w:style w:type="character" w:customStyle="1" w:styleId="305">
    <w:name w:val="正文文本缩进 2 Char"/>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3"/>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8"/>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4"/>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autoRedefine/>
    <w:qFormat/>
    <w:uiPriority w:val="0"/>
    <w:rPr>
      <w:kern w:val="2"/>
      <w:sz w:val="21"/>
      <w:szCs w:val="24"/>
    </w:rPr>
  </w:style>
  <w:style w:type="character" w:customStyle="1" w:styleId="342">
    <w:name w:val="签名 Char"/>
    <w:link w:val="43"/>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1"/>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2"/>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8"/>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7"/>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9"/>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5"/>
    <w:autoRedefine/>
    <w:qFormat/>
    <w:uiPriority w:val="0"/>
    <w:pPr>
      <w:tabs>
        <w:tab w:val="left" w:pos="840"/>
      </w:tabs>
      <w:adjustRightInd/>
      <w:ind w:left="840" w:hanging="420"/>
    </w:pPr>
  </w:style>
  <w:style w:type="paragraph" w:customStyle="1" w:styleId="623">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next w:val="2"/>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1"/>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5"/>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9"/>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_Style 468"/>
    <w:basedOn w:val="1"/>
    <w:next w:val="256"/>
    <w:autoRedefine/>
    <w:qFormat/>
    <w:uiPriority w:val="99"/>
    <w:pPr>
      <w:adjustRightInd w:val="0"/>
      <w:spacing w:line="360" w:lineRule="auto"/>
      <w:ind w:firstLine="200" w:firstLineChars="200"/>
    </w:pPr>
    <w:rPr>
      <w:rFonts w:ascii="宋体" w:hAnsi="宋体" w:eastAsia="宋体" w:cs="Times New Roman"/>
      <w:kern w:val="0"/>
      <w:sz w:val="20"/>
    </w:rPr>
  </w:style>
  <w:style w:type="character" w:customStyle="1" w:styleId="962">
    <w:name w:val="ca-1"/>
    <w:autoRedefine/>
    <w:qFormat/>
    <w:uiPriority w:val="0"/>
  </w:style>
  <w:style w:type="paragraph" w:customStyle="1" w:styleId="963">
    <w:name w:val="[Normal]"/>
    <w:autoRedefine/>
    <w:qFormat/>
    <w:uiPriority w:val="0"/>
    <w:rPr>
      <w:rFonts w:ascii="宋体" w:hAnsi="宋体" w:eastAsia="宋体" w:cs="Times New Roman"/>
      <w:sz w:val="24"/>
      <w:szCs w:val="22"/>
      <w:lang w:val="zh-CN" w:eastAsia="zh-CN" w:bidi="ar-SA"/>
    </w:rPr>
  </w:style>
  <w:style w:type="character" w:customStyle="1" w:styleId="964">
    <w:name w:val="无"/>
    <w:autoRedefine/>
    <w:qFormat/>
    <w:uiPriority w:val="0"/>
  </w:style>
  <w:style w:type="paragraph" w:customStyle="1" w:styleId="96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6">
    <w:name w:val="Subtle Emphasis"/>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65</Pages>
  <Words>33233</Words>
  <Characters>35293</Characters>
  <Lines>287</Lines>
  <Paragraphs>81</Paragraphs>
  <TotalTime>41</TotalTime>
  <ScaleCrop>false</ScaleCrop>
  <LinksUpToDate>false</LinksUpToDate>
  <CharactersWithSpaces>40707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w</cp:lastModifiedBy>
  <cp:lastPrinted>2023-04-17T23:59:00Z</cp:lastPrinted>
  <dcterms:modified xsi:type="dcterms:W3CDTF">2024-05-31T08:42:31Z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35453953822948539E629D4A5CB6A177_13</vt:lpwstr>
  </property>
</Properties>
</file>