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Style w:val="3"/>
        <w:ind w:left="0" w:firstLineChars="0" w:firstLine="0"/>
        <w:jc w:val="both"/>
        <w:rPr>
          <w:rFonts w:ascii="宋体" w:eastAsia="宋体" w:cs="宋体" w:hAnsi="宋体" w:hint="eastAsia"/>
          <w:b w:val="0"/>
          <w:iCs/>
          <w:sz w:val="24"/>
          <w:szCs w:val="24"/>
          <w:shd w:val="clear" w:color="auto" w:fill="auto"/>
        </w:rPr>
      </w:pPr>
      <w:r>
        <w:rPr>
          <w:rFonts w:ascii="仿宋" w:eastAsia="仿宋" w:cs="仿宋" w:hAnsi="仿宋" w:hint="eastAsia"/>
          <w:b w:val="0"/>
          <w:iCs/>
          <w:sz w:val="24"/>
          <w:szCs w:val="24"/>
          <w:shd w:val="clear" w:color="auto" w:fill="auto"/>
        </w:rPr>
        <w:t xml:space="preserve">附件一   </w:t>
      </w:r>
      <w:r>
        <w:rPr>
          <w:rFonts w:ascii="宋体" w:eastAsia="宋体" w:cs="宋体" w:hAnsi="宋体" w:hint="eastAsia"/>
          <w:b w:val="0"/>
          <w:iCs/>
          <w:sz w:val="24"/>
          <w:szCs w:val="24"/>
          <w:shd w:val="clear" w:color="auto" w:fill="auto"/>
        </w:rPr>
        <w:t xml:space="preserve">     </w:t>
      </w:r>
    </w:p>
    <w:p>
      <w:pPr>
        <w:pStyle w:val="3"/>
        <w:ind w:left="0" w:firstLineChars="0" w:firstLine="0"/>
        <w:jc w:val="center"/>
        <w:rPr>
          <w:rFonts w:ascii="黑体" w:eastAsia="黑体" w:cs="黑体" w:hAnsi="黑体" w:hint="eastAsia"/>
          <w:b w:val="0"/>
          <w:iCs/>
          <w:sz w:val="24"/>
          <w:szCs w:val="24"/>
          <w:shd w:val="clear" w:color="auto" w:fill="auto"/>
        </w:rPr>
      </w:pPr>
      <w:r>
        <w:rPr>
          <w:rFonts w:ascii="黑体" w:eastAsia="黑体" w:cs="黑体" w:hAnsi="黑体" w:hint="eastAsia"/>
          <w:b w:val="0"/>
          <w:iCs/>
          <w:sz w:val="24"/>
          <w:szCs w:val="24"/>
          <w:shd w:val="clear" w:color="auto" w:fill="auto"/>
        </w:rPr>
        <w:t>温州职业技术学院瓯海校区保洁工作日常管理考核及打分细则</w:t>
      </w:r>
    </w:p>
    <w:tbl>
      <w:tblPr>
        <w:jc w:val="center"/>
        <w:tblW w:w="8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1129"/>
        <w:gridCol w:w="521"/>
        <w:gridCol w:w="18"/>
        <w:gridCol w:w="3962"/>
        <w:gridCol w:w="660"/>
        <w:gridCol w:w="2193"/>
      </w:tblGrid>
      <w:tr>
        <w:trPr>
          <w:trHeight w:val="637"/>
        </w:trPr>
        <w:tc>
          <w:tcPr>
            <w:tcW w:w="1129" w:type="dxa"/>
            <w:vAlign w:val="center"/>
          </w:tcPr>
          <w:p>
            <w:pPr>
              <w:spacing w:line="300" w:lineRule="atLeast"/>
              <w:ind w:left="0" w:right="-2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检查</w:t>
            </w:r>
          </w:p>
          <w:p>
            <w:pPr>
              <w:spacing w:line="300" w:lineRule="atLeast"/>
              <w:ind w:left="0" w:right="-2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项目</w:t>
            </w:r>
          </w:p>
        </w:tc>
        <w:tc>
          <w:tcPr>
            <w:tcW w:w="521" w:type="dxa"/>
            <w:vAlign w:val="center"/>
          </w:tcPr>
          <w:p>
            <w:pPr>
              <w:spacing w:line="300" w:lineRule="atLeast"/>
              <w:ind w:right="-2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序号</w:t>
            </w:r>
          </w:p>
        </w:tc>
        <w:tc>
          <w:tcPr>
            <w:tcW w:w="3980" w:type="dxa"/>
            <w:gridSpan w:val="2"/>
            <w:vAlign w:val="center"/>
          </w:tcPr>
          <w:p>
            <w:pPr>
              <w:spacing w:line="300" w:lineRule="atLeast"/>
              <w:ind w:left="177" w:right="-2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检查标准</w:t>
            </w:r>
          </w:p>
        </w:tc>
        <w:tc>
          <w:tcPr>
            <w:tcW w:w="660" w:type="dxa"/>
            <w:vAlign w:val="center"/>
          </w:tcPr>
          <w:p>
            <w:pPr>
              <w:spacing w:line="300" w:lineRule="atLeast"/>
              <w:ind w:right="-2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分值</w:t>
            </w:r>
          </w:p>
        </w:tc>
        <w:tc>
          <w:tcPr>
            <w:tcW w:w="2193" w:type="dxa"/>
            <w:vAlign w:val="center"/>
          </w:tcPr>
          <w:p>
            <w:pPr>
              <w:spacing w:line="300" w:lineRule="atLeast"/>
              <w:ind w:left="177" w:right="-2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扣分</w:t>
            </w:r>
          </w:p>
        </w:tc>
      </w:tr>
      <w:tr>
        <w:trPr>
          <w:trHeight w:val="90"/>
        </w:trPr>
        <w:tc>
          <w:tcPr>
            <w:tcW w:w="1129" w:type="dxa"/>
            <w:vMerge w:val="restart"/>
            <w:vAlign w:val="center"/>
          </w:tcPr>
          <w:p>
            <w:pPr>
              <w:spacing w:line="300" w:lineRule="atLeast"/>
              <w:ind w:left="0"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管理措施（27分）</w:t>
            </w: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w:t>
            </w:r>
          </w:p>
        </w:tc>
        <w:tc>
          <w:tcPr>
            <w:tcW w:w="3980" w:type="dxa"/>
            <w:gridSpan w:val="2"/>
            <w:tcBorders>
              <w:left w:val="single" w:sz="4" w:space="0" w:color="auto"/>
            </w:tcBorders>
            <w:vAlign w:val="center"/>
          </w:tcPr>
          <w:p>
            <w:pPr>
              <w:keepNext w:val="0"/>
              <w:keepLines w:val="0"/>
              <w:pageBreakBefore w:val="0"/>
              <w:widowControl w:val="0"/>
              <w:kinsoku/>
              <w:wordWrap/>
              <w:overflowPunct/>
              <w:topLinePunct w:val="0"/>
              <w:autoSpaceDE/>
              <w:autoSpaceDN/>
              <w:adjustRightInd/>
              <w:snapToGrid/>
              <w:spacing w:line="260" w:lineRule="exact"/>
              <w:ind w:right="-20"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乙方为甲方/管理方提供保洁服务的保洁员，应当将人员变更情况提前 5 个工作日报备，每周统计人员变更情况表,经甲方/管理方认可后方可进行。</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4</w:t>
            </w:r>
          </w:p>
        </w:tc>
        <w:tc>
          <w:tcPr>
            <w:tcW w:w="2193" w:type="dxa"/>
            <w:tcBorders>
              <w:left w:val="single" w:sz="4" w:space="0" w:color="auto"/>
            </w:tcBorders>
            <w:vAlign w:val="center"/>
          </w:tcPr>
          <w:p>
            <w:pPr>
              <w:spacing w:line="260" w:lineRule="atLeast"/>
              <w:ind w:right="17" w:firstLineChars="0" w:firstLine="0"/>
              <w:jc w:val="both"/>
              <w:rPr>
                <w:rFonts w:ascii="仿宋" w:eastAsia="仿宋" w:cs="仿宋" w:hAnsi="仿宋" w:hint="eastAsia"/>
                <w:bCs/>
                <w:iCs/>
                <w:sz w:val="24"/>
                <w:szCs w:val="24"/>
                <w:shd w:val="clear" w:color="auto" w:fill="auto"/>
              </w:rPr>
            </w:pPr>
          </w:p>
        </w:tc>
      </w:tr>
      <w:tr>
        <w:trPr>
          <w:trHeight w:val="567"/>
        </w:trPr>
        <w:tc>
          <w:tcPr>
            <w:tcW w:w="1129" w:type="dxa"/>
            <w:vMerge/>
          </w:tcP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w:t>
            </w:r>
          </w:p>
        </w:tc>
        <w:tc>
          <w:tcPr>
            <w:tcW w:w="3980" w:type="dxa"/>
            <w:gridSpan w:val="2"/>
            <w:tcBorders>
              <w:left w:val="single" w:sz="4" w:space="0" w:color="auto"/>
            </w:tcBorders>
            <w:vAlign w:val="center"/>
          </w:tcPr>
          <w:p>
            <w:pPr>
              <w:keepNext w:val="0"/>
              <w:keepLines w:val="0"/>
              <w:pageBreakBefore w:val="0"/>
              <w:widowControl w:val="0"/>
              <w:kinsoku/>
              <w:wordWrap/>
              <w:overflowPunct/>
              <w:topLinePunct w:val="0"/>
              <w:autoSpaceDE/>
              <w:autoSpaceDN/>
              <w:adjustRightInd/>
              <w:snapToGrid/>
              <w:spacing w:line="260" w:lineRule="exact"/>
              <w:ind w:left="105" w:right="-77"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每周初提交保洁工作计划并基于专业技能根据要求提供妥善的保洁建议</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w:t>
            </w:r>
          </w:p>
        </w:tc>
        <w:tc>
          <w:tcPr>
            <w:tcW w:w="2193" w:type="dxa"/>
            <w:tcBorders>
              <w:left w:val="single" w:sz="4" w:space="0" w:color="auto"/>
            </w:tcBorders>
            <w:vAlign w:val="center"/>
          </w:tcPr>
          <w:p>
            <w:pPr>
              <w:spacing w:line="260" w:lineRule="atLeast"/>
              <w:ind w:firstLineChars="0" w:firstLine="0"/>
              <w:jc w:val="both"/>
              <w:rPr>
                <w:rFonts w:ascii="仿宋" w:eastAsia="仿宋" w:cs="仿宋" w:hAnsi="仿宋" w:hint="eastAsia"/>
                <w:bCs/>
                <w:iCs/>
                <w:sz w:val="24"/>
                <w:szCs w:val="24"/>
                <w:shd w:val="clear" w:color="auto" w:fill="auto"/>
              </w:rPr>
            </w:pPr>
          </w:p>
        </w:tc>
      </w:tr>
      <w:tr>
        <w:trPr>
          <w:trHeight w:val="731"/>
        </w:trPr>
        <w:tc>
          <w:tcPr>
            <w:tcW w:w="1129" w:type="dxa"/>
            <w:vMerge/>
          </w:tcP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3</w:t>
            </w:r>
          </w:p>
        </w:tc>
        <w:tc>
          <w:tcPr>
            <w:tcW w:w="3980" w:type="dxa"/>
            <w:gridSpan w:val="2"/>
            <w:tcBorders>
              <w:left w:val="single" w:sz="4" w:space="0" w:color="auto"/>
            </w:tcBorders>
            <w:vAlign w:val="center"/>
          </w:tcPr>
          <w:p>
            <w:pPr>
              <w:keepNext w:val="0"/>
              <w:keepLines w:val="0"/>
              <w:pageBreakBefore w:val="0"/>
              <w:widowControl w:val="0"/>
              <w:kinsoku/>
              <w:wordWrap/>
              <w:overflowPunct/>
              <w:topLinePunct w:val="0"/>
              <w:autoSpaceDE/>
              <w:autoSpaceDN/>
              <w:adjustRightInd/>
              <w:snapToGrid/>
              <w:spacing w:line="260" w:lineRule="exact"/>
              <w:ind w:left="105" w:right="-77"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有内部质量管理体系，每月 25 日前上交当月度工作总结及下月工作计划、巡查表，考勤表、记录表、交班记录等</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5</w:t>
            </w:r>
          </w:p>
        </w:tc>
        <w:tc>
          <w:tcPr>
            <w:tcW w:w="2193" w:type="dxa"/>
            <w:tcBorders>
              <w:left w:val="single" w:sz="4" w:space="0" w:color="auto"/>
            </w:tcBorders>
            <w:vAlign w:val="center"/>
          </w:tcPr>
          <w:p>
            <w:pPr>
              <w:spacing w:line="26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将根据计划进行检查，缺其中一项， 扣一分，扣完为止。</w:t>
            </w:r>
          </w:p>
        </w:tc>
      </w:tr>
      <w:tr>
        <w:tc>
          <w:tcPr>
            <w:tcW w:w="1129" w:type="dxa"/>
            <w:vMerge/>
          </w:tcP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4</w:t>
            </w:r>
          </w:p>
        </w:tc>
        <w:tc>
          <w:tcPr>
            <w:tcW w:w="3980" w:type="dxa"/>
            <w:gridSpan w:val="2"/>
            <w:tcBorders>
              <w:left w:val="single" w:sz="4" w:space="0" w:color="auto"/>
            </w:tcBorders>
            <w:vAlign w:val="center"/>
          </w:tcPr>
          <w:p>
            <w:pPr>
              <w:keepNext w:val="0"/>
              <w:keepLines w:val="0"/>
              <w:pageBreakBefore w:val="0"/>
              <w:widowControl w:val="0"/>
              <w:kinsoku/>
              <w:wordWrap/>
              <w:overflowPunct/>
              <w:topLinePunct w:val="0"/>
              <w:autoSpaceDE/>
              <w:autoSpaceDN/>
              <w:adjustRightInd/>
              <w:snapToGrid/>
              <w:spacing w:line="260" w:lineRule="exact"/>
              <w:ind w:left="105" w:right="-20"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乙方派驻在现场的管理人员和作业人员均应服从甲方/管理方的工作调动，按要求每周须参加甲方/管理方保洁工作会议。</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w:t>
            </w:r>
          </w:p>
        </w:tc>
        <w:tc>
          <w:tcPr>
            <w:tcW w:w="2193" w:type="dxa"/>
            <w:tcBorders>
              <w:left w:val="single" w:sz="4" w:space="0" w:color="auto"/>
            </w:tcBorders>
            <w:vAlign w:val="center"/>
          </w:tcPr>
          <w:p>
            <w:pPr>
              <w:spacing w:line="26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未在规定时间参会，会议无记录，扣一分。</w:t>
            </w:r>
          </w:p>
        </w:tc>
      </w:tr>
      <w:tr>
        <w:trPr>
          <w:trHeight w:val="709"/>
        </w:trPr>
        <w:tc>
          <w:tcPr>
            <w:tcW w:w="1129" w:type="dxa"/>
            <w:vMerge/>
          </w:tcP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5</w:t>
            </w:r>
          </w:p>
        </w:tc>
        <w:tc>
          <w:tcPr>
            <w:tcW w:w="3980" w:type="dxa"/>
            <w:gridSpan w:val="2"/>
            <w:tcBorders>
              <w:left w:val="single" w:sz="4" w:space="0" w:color="auto"/>
            </w:tcBorders>
            <w:vAlign w:val="center"/>
          </w:tcPr>
          <w:p>
            <w:pPr>
              <w:keepNext w:val="0"/>
              <w:keepLines w:val="0"/>
              <w:pageBreakBefore w:val="0"/>
              <w:widowControl w:val="0"/>
              <w:kinsoku/>
              <w:wordWrap/>
              <w:overflowPunct/>
              <w:topLinePunct w:val="0"/>
              <w:autoSpaceDE/>
              <w:autoSpaceDN/>
              <w:adjustRightInd/>
              <w:snapToGrid/>
              <w:spacing w:line="260" w:lineRule="exact"/>
              <w:ind w:left="105" w:right="-77"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保证人员到岗到位，不能低于投标文件承诺人数。</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12</w:t>
            </w:r>
          </w:p>
        </w:tc>
        <w:tc>
          <w:tcPr>
            <w:tcW w:w="2193" w:type="dxa"/>
            <w:tcBorders>
              <w:left w:val="single" w:sz="4" w:space="0" w:color="auto"/>
            </w:tcBorders>
            <w:vAlign w:val="center"/>
          </w:tcPr>
          <w:p>
            <w:pPr>
              <w:spacing w:line="26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每缺一人扣一分，扣完为止。</w:t>
            </w:r>
          </w:p>
        </w:tc>
      </w:tr>
      <w:tr>
        <w:trPr>
          <w:trHeight w:val="578"/>
        </w:trPr>
        <w:tc>
          <w:tcPr>
            <w:tcW w:w="1129" w:type="dxa"/>
            <w:vMerge/>
          </w:tcP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6</w:t>
            </w:r>
          </w:p>
        </w:tc>
        <w:tc>
          <w:tcPr>
            <w:tcW w:w="3980" w:type="dxa"/>
            <w:gridSpan w:val="2"/>
            <w:tcBorders>
              <w:left w:val="single" w:sz="4" w:space="0" w:color="auto"/>
            </w:tcBorders>
            <w:vAlign w:val="center"/>
          </w:tcPr>
          <w:p>
            <w:pPr>
              <w:keepNext w:val="0"/>
              <w:keepLines w:val="0"/>
              <w:pageBreakBefore w:val="0"/>
              <w:widowControl w:val="0"/>
              <w:kinsoku/>
              <w:wordWrap/>
              <w:overflowPunct/>
              <w:topLinePunct w:val="0"/>
              <w:autoSpaceDE/>
              <w:autoSpaceDN/>
              <w:adjustRightInd/>
              <w:snapToGrid/>
              <w:spacing w:line="260" w:lineRule="exact"/>
              <w:ind w:left="105" w:right="-77"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项目经理专职配备或区域主管专职配备或班组长人员专职配备</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w:t>
            </w:r>
          </w:p>
        </w:tc>
        <w:tc>
          <w:tcPr>
            <w:tcW w:w="2193" w:type="dxa"/>
            <w:tcBorders>
              <w:left w:val="single" w:sz="4" w:space="0" w:color="auto"/>
            </w:tcBorders>
            <w:vAlign w:val="center"/>
          </w:tcPr>
          <w:p>
            <w:pPr>
              <w:spacing w:line="26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未按投标文件承诺，缺一人扣一分</w:t>
            </w:r>
          </w:p>
        </w:tc>
      </w:tr>
      <w:tr>
        <w:trPr>
          <w:trHeight w:val="933"/>
        </w:trPr>
        <w:tc>
          <w:tcPr>
            <w:tcW w:w="1129" w:type="dxa"/>
            <w:vMerge w:val="restart"/>
            <w:vAlign w:val="center"/>
          </w:tcPr>
          <w:p>
            <w:pPr>
              <w:spacing w:line="300" w:lineRule="atLeast"/>
              <w:ind w:left="0"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着装</w:t>
            </w:r>
          </w:p>
          <w:p>
            <w:pPr>
              <w:spacing w:line="300" w:lineRule="atLeast"/>
              <w:ind w:left="0"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（4分）</w:t>
            </w: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7</w:t>
            </w:r>
          </w:p>
        </w:tc>
        <w:tc>
          <w:tcPr>
            <w:tcW w:w="3980" w:type="dxa"/>
            <w:gridSpan w:val="2"/>
            <w:tcBorders>
              <w:left w:val="single" w:sz="4" w:space="0" w:color="auto"/>
            </w:tcBorders>
            <w:vAlign w:val="center"/>
          </w:tcPr>
          <w:p>
            <w:pPr>
              <w:keepNext w:val="0"/>
              <w:keepLines w:val="0"/>
              <w:pageBreakBefore w:val="0"/>
              <w:widowControl w:val="0"/>
              <w:kinsoku/>
              <w:wordWrap/>
              <w:overflowPunct/>
              <w:topLinePunct w:val="0"/>
              <w:autoSpaceDE/>
              <w:autoSpaceDN/>
              <w:adjustRightInd/>
              <w:snapToGrid/>
              <w:spacing w:line="260" w:lineRule="exact"/>
              <w:ind w:left="105" w:right="-20"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按规定穿着工服，佩戴工号</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w:t>
            </w:r>
          </w:p>
        </w:tc>
        <w:tc>
          <w:tcPr>
            <w:tcW w:w="2193" w:type="dxa"/>
            <w:tcBorders>
              <w:left w:val="single" w:sz="4" w:space="0" w:color="auto"/>
            </w:tcBorders>
            <w:vAlign w:val="center"/>
          </w:tcPr>
          <w:p>
            <w:pPr>
              <w:spacing w:line="260" w:lineRule="atLeast"/>
              <w:ind w:right="-2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发现一次给予口头警告，再次发现扣一分，扣完为止。</w:t>
            </w:r>
          </w:p>
        </w:tc>
      </w:tr>
      <w:tr>
        <w:trPr>
          <w:trHeight w:val="934"/>
        </w:trPr>
        <w:tc>
          <w:tcPr>
            <w:tcW w:w="1129" w:type="dxa"/>
            <w:vMerge/>
          </w:tcPr>
          <w:p/>
        </w:tc>
        <w:tc>
          <w:tcPr>
            <w:tcW w:w="521" w:type="dxa"/>
            <w:tcBorders>
              <w:left w:val="single" w:sz="4" w:space="0" w:color="auto"/>
            </w:tcBorders>
            <w:vAlign w:val="center"/>
          </w:tcPr>
          <w:p>
            <w:pPr>
              <w:spacing w:line="300" w:lineRule="atLeast"/>
              <w:ind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8</w:t>
            </w:r>
          </w:p>
        </w:tc>
        <w:tc>
          <w:tcPr>
            <w:tcW w:w="3980" w:type="dxa"/>
            <w:gridSpan w:val="2"/>
            <w:tcBorders>
              <w:left w:val="single" w:sz="4" w:space="0" w:color="auto"/>
            </w:tcBorders>
            <w:vAlign w:val="center"/>
          </w:tcPr>
          <w:p>
            <w:pPr>
              <w:keepNext w:val="0"/>
              <w:keepLines w:val="0"/>
              <w:pageBreakBefore w:val="0"/>
              <w:widowControl w:val="0"/>
              <w:kinsoku/>
              <w:wordWrap/>
              <w:overflowPunct/>
              <w:topLinePunct w:val="0"/>
              <w:autoSpaceDE/>
              <w:autoSpaceDN/>
              <w:adjustRightInd/>
              <w:snapToGrid/>
              <w:spacing w:line="260" w:lineRule="exact"/>
              <w:ind w:left="105" w:right="-77"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工服整洁无污物、干净无破损、不缺衣扣</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w:t>
            </w:r>
          </w:p>
        </w:tc>
        <w:tc>
          <w:tcPr>
            <w:tcW w:w="2193" w:type="dxa"/>
            <w:tcBorders>
              <w:left w:val="single" w:sz="4" w:space="0" w:color="auto"/>
            </w:tcBorders>
            <w:vAlign w:val="center"/>
          </w:tcPr>
          <w:p>
            <w:pPr>
              <w:spacing w:line="26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发现一次给予口头警告，再次发现扣一分，扣完为止。</w:t>
            </w:r>
          </w:p>
        </w:tc>
      </w:tr>
      <w:tr>
        <w:trPr>
          <w:trHeight w:val="998"/>
        </w:trPr>
        <w:tc>
          <w:tcPr>
            <w:tcW w:w="1129" w:type="dxa"/>
            <w:vMerge w:val="restart"/>
            <w:vAlign w:val="center"/>
          </w:tcPr>
          <w:p>
            <w:pPr>
              <w:spacing w:line="300" w:lineRule="atLeast"/>
              <w:ind w:leftChars="-40" w:left="-112"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服务态度（6分）</w:t>
            </w: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9</w:t>
            </w:r>
          </w:p>
        </w:tc>
        <w:tc>
          <w:tcPr>
            <w:tcW w:w="3980" w:type="dxa"/>
            <w:gridSpan w:val="2"/>
            <w:tcBorders>
              <w:left w:val="single" w:sz="4" w:space="0" w:color="auto"/>
            </w:tcBorders>
            <w:vAlign w:val="center"/>
          </w:tcPr>
          <w:p>
            <w:pPr>
              <w:keepNext w:val="0"/>
              <w:keepLines w:val="0"/>
              <w:pageBreakBefore w:val="0"/>
              <w:widowControl w:val="0"/>
              <w:kinsoku/>
              <w:wordWrap/>
              <w:overflowPunct/>
              <w:topLinePunct w:val="0"/>
              <w:autoSpaceDE/>
              <w:autoSpaceDN/>
              <w:adjustRightInd/>
              <w:snapToGrid/>
              <w:spacing w:line="260" w:lineRule="exact"/>
              <w:ind w:left="105" w:right="-77"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工作期间不得伸懒腰、袖手、背手、叉腰或将手插入衣（裤袋，不在工作状态</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w:t>
            </w:r>
          </w:p>
        </w:tc>
        <w:tc>
          <w:tcPr>
            <w:tcW w:w="2193" w:type="dxa"/>
            <w:tcBorders>
              <w:left w:val="single" w:sz="4" w:space="0" w:color="auto"/>
            </w:tcBorders>
            <w:vAlign w:val="center"/>
          </w:tcPr>
          <w:p>
            <w:pPr>
              <w:spacing w:line="26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发现一次给予口头警告，再次发现扣一分，扣完为止。</w:t>
            </w:r>
          </w:p>
        </w:tc>
      </w:tr>
      <w:tr>
        <w:tc>
          <w:tcPr>
            <w:tcW w:w="1129" w:type="dxa"/>
            <w:vMerge/>
            <w:vAlign w:val="center"/>
          </w:tcP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10</w:t>
            </w:r>
          </w:p>
        </w:tc>
        <w:tc>
          <w:tcPr>
            <w:tcW w:w="3980" w:type="dxa"/>
            <w:gridSpan w:val="2"/>
            <w:tcBorders>
              <w:left w:val="single" w:sz="4" w:space="0" w:color="auto"/>
            </w:tcBorders>
            <w:vAlign w:val="center"/>
          </w:tcPr>
          <w:p>
            <w:pPr>
              <w:keepNext w:val="0"/>
              <w:keepLines w:val="0"/>
              <w:pageBreakBefore w:val="0"/>
              <w:widowControl w:val="0"/>
              <w:kinsoku/>
              <w:wordWrap/>
              <w:overflowPunct/>
              <w:topLinePunct w:val="0"/>
              <w:autoSpaceDE/>
              <w:autoSpaceDN/>
              <w:adjustRightInd/>
              <w:snapToGrid/>
              <w:spacing w:line="260" w:lineRule="exact"/>
              <w:ind w:left="105" w:right="-20"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态度和蔼、微笑服务</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w:t>
            </w:r>
          </w:p>
        </w:tc>
        <w:tc>
          <w:tcPr>
            <w:tcW w:w="2193" w:type="dxa"/>
            <w:tcBorders>
              <w:left w:val="single" w:sz="4" w:space="0" w:color="auto"/>
            </w:tcBorders>
            <w:vAlign w:val="center"/>
          </w:tcPr>
          <w:p>
            <w:pPr>
              <w:spacing w:line="26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发现一次给予口头警告，再次发现扣一分，扣完为止。</w:t>
            </w:r>
          </w:p>
        </w:tc>
      </w:tr>
      <w:tr>
        <w:tc>
          <w:tcPr>
            <w:tcW w:w="1129" w:type="dxa"/>
            <w:vMerge/>
            <w:vAlign w:val="center"/>
          </w:tcP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11</w:t>
            </w:r>
          </w:p>
        </w:tc>
        <w:tc>
          <w:tcPr>
            <w:tcW w:w="3980" w:type="dxa"/>
            <w:gridSpan w:val="2"/>
            <w:tcBorders>
              <w:left w:val="single" w:sz="4" w:space="0" w:color="auto"/>
            </w:tcBorders>
            <w:vAlign w:val="center"/>
          </w:tcPr>
          <w:p>
            <w:pPr>
              <w:keepNext w:val="0"/>
              <w:keepLines w:val="0"/>
              <w:pageBreakBefore w:val="0"/>
              <w:widowControl w:val="0"/>
              <w:kinsoku/>
              <w:wordWrap/>
              <w:overflowPunct/>
              <w:topLinePunct w:val="0"/>
              <w:autoSpaceDE/>
              <w:autoSpaceDN/>
              <w:adjustRightInd/>
              <w:snapToGrid/>
              <w:spacing w:line="260" w:lineRule="exact"/>
              <w:ind w:left="105" w:right="-20"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服务意识强，周到热情</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w:t>
            </w:r>
          </w:p>
        </w:tc>
        <w:tc>
          <w:tcPr>
            <w:tcW w:w="2193" w:type="dxa"/>
            <w:tcBorders>
              <w:left w:val="single" w:sz="4" w:space="0" w:color="auto"/>
            </w:tcBorders>
            <w:vAlign w:val="center"/>
          </w:tcPr>
          <w:p>
            <w:pPr>
              <w:spacing w:line="26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发现一次给予口头警告，再次发现扣一分，扣完为止。</w:t>
            </w:r>
          </w:p>
        </w:tc>
      </w:tr>
      <w:tr>
        <w:trPr>
          <w:trHeight w:val="1001"/>
        </w:trPr>
        <w:tc>
          <w:tcPr>
            <w:tcW w:w="1129" w:type="dxa"/>
            <w:vMerge w:val="restart"/>
            <w:vAlign w:val="center"/>
          </w:tcPr>
          <w:p>
            <w:pPr>
              <w:spacing w:line="300" w:lineRule="atLeast"/>
              <w:ind w:left="0"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工作纪律</w:t>
            </w:r>
          </w:p>
          <w:p>
            <w:pPr>
              <w:spacing w:line="300" w:lineRule="atLeast"/>
              <w:ind w:left="0"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（15分）</w:t>
            </w: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12</w:t>
            </w:r>
          </w:p>
        </w:tc>
        <w:tc>
          <w:tcPr>
            <w:tcW w:w="3980" w:type="dxa"/>
            <w:gridSpan w:val="2"/>
            <w:tcBorders>
              <w:left w:val="single" w:sz="4" w:space="0" w:color="auto"/>
            </w:tcBorders>
            <w:vAlign w:val="center"/>
          </w:tcPr>
          <w:p>
            <w:pPr>
              <w:keepNext w:val="0"/>
              <w:keepLines w:val="0"/>
              <w:pageBreakBefore w:val="0"/>
              <w:widowControl w:val="0"/>
              <w:kinsoku/>
              <w:wordWrap/>
              <w:overflowPunct/>
              <w:topLinePunct w:val="0"/>
              <w:autoSpaceDE/>
              <w:autoSpaceDN/>
              <w:adjustRightInd/>
              <w:snapToGrid/>
              <w:spacing w:line="260" w:lineRule="exact"/>
              <w:ind w:left="105" w:right="-20"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遵守甲方、乙方的工作纪律，坚守岗位，执行岗位责任制，按时交接班，严禁脱岗、误班。</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w:t>
            </w:r>
          </w:p>
        </w:tc>
        <w:tc>
          <w:tcPr>
            <w:tcW w:w="2193" w:type="dxa"/>
            <w:tcBorders>
              <w:left w:val="single" w:sz="4" w:space="0" w:color="auto"/>
            </w:tcBorders>
            <w:vAlign w:val="center"/>
          </w:tcPr>
          <w:p>
            <w:pPr>
              <w:spacing w:line="26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发现一次给予口头警告，再次发现扣一分，扣完为止。</w:t>
            </w:r>
          </w:p>
        </w:tc>
      </w:tr>
      <w:tr>
        <w:trPr>
          <w:trHeight w:val="456"/>
        </w:trPr>
        <w:tc>
          <w:tcPr>
            <w:tcW w:w="1129" w:type="dxa"/>
            <w:vMerge/>
          </w:tcP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13</w:t>
            </w:r>
          </w:p>
        </w:tc>
        <w:tc>
          <w:tcPr>
            <w:tcW w:w="3980" w:type="dxa"/>
            <w:gridSpan w:val="2"/>
            <w:tcBorders>
              <w:left w:val="single" w:sz="4" w:space="0" w:color="auto"/>
            </w:tcBorders>
            <w:vAlign w:val="center"/>
          </w:tcPr>
          <w:p>
            <w:pPr>
              <w:keepNext w:val="0"/>
              <w:keepLines w:val="0"/>
              <w:pageBreakBefore w:val="0"/>
              <w:widowControl w:val="0"/>
              <w:kinsoku/>
              <w:wordWrap/>
              <w:overflowPunct/>
              <w:topLinePunct w:val="0"/>
              <w:autoSpaceDE/>
              <w:autoSpaceDN/>
              <w:adjustRightInd/>
              <w:snapToGrid/>
              <w:spacing w:line="260" w:lineRule="exact"/>
              <w:ind w:left="105" w:right="-20"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当班时间不得窜岗、离岗（特许除外）闲聊、勾肩搭背、并大声喧哗。</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w:t>
            </w:r>
          </w:p>
        </w:tc>
        <w:tc>
          <w:tcPr>
            <w:tcW w:w="2193" w:type="dxa"/>
            <w:tcBorders>
              <w:left w:val="single" w:sz="4" w:space="0" w:color="auto"/>
            </w:tcBorders>
            <w:vAlign w:val="center"/>
          </w:tcPr>
          <w:p>
            <w:pPr>
              <w:spacing w:line="260" w:lineRule="atLeast"/>
              <w:ind w:left="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发现一次给予口头警告，再次发现扣一分，扣完为止。</w:t>
            </w:r>
          </w:p>
          <w:p>
            <w:pPr>
              <w:spacing w:line="260" w:lineRule="atLeast"/>
              <w:ind w:left="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每投诉一次经双方确认扣一分。</w:t>
            </w:r>
          </w:p>
        </w:tc>
      </w:tr>
      <w:tr>
        <w:trPr>
          <w:trHeight w:val="759"/>
        </w:trPr>
        <w:tc>
          <w:tcPr>
            <w:tcW w:w="1129" w:type="dxa"/>
            <w:vMerge/>
          </w:tcP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14</w:t>
            </w:r>
          </w:p>
        </w:tc>
        <w:tc>
          <w:tcPr>
            <w:tcW w:w="3980" w:type="dxa"/>
            <w:gridSpan w:val="2"/>
            <w:tcBorders>
              <w:left w:val="single" w:sz="4" w:space="0" w:color="auto"/>
            </w:tcBorders>
            <w:vAlign w:val="center"/>
          </w:tcPr>
          <w:p>
            <w:pPr>
              <w:keepNext w:val="0"/>
              <w:keepLines w:val="0"/>
              <w:pageBreakBefore w:val="0"/>
              <w:widowControl w:val="0"/>
              <w:kinsoku/>
              <w:wordWrap/>
              <w:overflowPunct/>
              <w:topLinePunct w:val="0"/>
              <w:autoSpaceDE/>
              <w:autoSpaceDN/>
              <w:adjustRightInd/>
              <w:snapToGrid/>
              <w:spacing w:line="260" w:lineRule="exact"/>
              <w:ind w:left="105" w:right="-20"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员工不得在公共区域内抽烟或随地吐痰，丢杂物。</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w:t>
            </w:r>
          </w:p>
        </w:tc>
        <w:tc>
          <w:tcPr>
            <w:tcW w:w="2193" w:type="dxa"/>
            <w:tcBorders>
              <w:left w:val="single" w:sz="4" w:space="0" w:color="auto"/>
            </w:tcBorders>
            <w:vAlign w:val="center"/>
          </w:tcPr>
          <w:p>
            <w:pPr>
              <w:spacing w:line="26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发现一次给予口头警告，再次发现扣一分，扣完为止。</w:t>
            </w:r>
          </w:p>
        </w:tc>
      </w:tr>
      <w:tr>
        <w:trPr>
          <w:trHeight w:val="740"/>
        </w:trPr>
        <w:tc>
          <w:tcPr>
            <w:tcW w:w="1129" w:type="dxa"/>
            <w:vMerge/>
          </w:tcP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15</w:t>
            </w:r>
          </w:p>
        </w:tc>
        <w:tc>
          <w:tcPr>
            <w:tcW w:w="3980" w:type="dxa"/>
            <w:gridSpan w:val="2"/>
            <w:tcBorders>
              <w:left w:val="single" w:sz="4" w:space="0" w:color="auto"/>
            </w:tcBorders>
            <w:vAlign w:val="center"/>
          </w:tcPr>
          <w:p>
            <w:pPr>
              <w:keepNext w:val="0"/>
              <w:keepLines w:val="0"/>
              <w:pageBreakBefore w:val="0"/>
              <w:widowControl w:val="0"/>
              <w:kinsoku/>
              <w:wordWrap/>
              <w:overflowPunct/>
              <w:topLinePunct w:val="0"/>
              <w:autoSpaceDE/>
              <w:autoSpaceDN/>
              <w:adjustRightInd/>
              <w:snapToGrid/>
              <w:spacing w:line="260" w:lineRule="exact"/>
              <w:ind w:left="105" w:right="-20"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保洁工具不得乱丢乱放。</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w:t>
            </w:r>
          </w:p>
        </w:tc>
        <w:tc>
          <w:tcPr>
            <w:tcW w:w="2193" w:type="dxa"/>
            <w:tcBorders>
              <w:left w:val="single" w:sz="4" w:space="0" w:color="auto"/>
            </w:tcBorders>
            <w:vAlign w:val="center"/>
          </w:tcPr>
          <w:p>
            <w:pPr>
              <w:spacing w:line="26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发现一次给予口头警告，再次发现扣一分，扣完为止。</w:t>
            </w:r>
          </w:p>
        </w:tc>
      </w:tr>
      <w:tr>
        <w:trPr>
          <w:trHeight w:val="812"/>
        </w:trPr>
        <w:tc>
          <w:tcPr>
            <w:tcW w:w="1129" w:type="dxa"/>
            <w:vMerge/>
          </w:tcP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16</w:t>
            </w:r>
          </w:p>
        </w:tc>
        <w:tc>
          <w:tcPr>
            <w:tcW w:w="3980" w:type="dxa"/>
            <w:gridSpan w:val="2"/>
            <w:tcBorders>
              <w:left w:val="single" w:sz="4" w:space="0" w:color="auto"/>
            </w:tcBorders>
            <w:vAlign w:val="center"/>
          </w:tcPr>
          <w:p>
            <w:pPr>
              <w:keepNext w:val="0"/>
              <w:keepLines w:val="0"/>
              <w:pageBreakBefore w:val="0"/>
              <w:widowControl w:val="0"/>
              <w:kinsoku/>
              <w:wordWrap/>
              <w:overflowPunct/>
              <w:topLinePunct w:val="0"/>
              <w:autoSpaceDE/>
              <w:autoSpaceDN/>
              <w:adjustRightInd/>
              <w:snapToGrid/>
              <w:spacing w:line="260" w:lineRule="exact"/>
              <w:ind w:left="105" w:right="-20"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在任何区域发现客人遗留物品应即时上交。</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w:t>
            </w:r>
          </w:p>
        </w:tc>
        <w:tc>
          <w:tcPr>
            <w:tcW w:w="2193" w:type="dxa"/>
            <w:tcBorders>
              <w:left w:val="single" w:sz="4" w:space="0" w:color="auto"/>
            </w:tcBorders>
            <w:vAlign w:val="center"/>
          </w:tcPr>
          <w:p>
            <w:pPr>
              <w:spacing w:line="26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发现一次给予口头警告，再次发现扣一分，扣完为止。</w:t>
            </w:r>
          </w:p>
        </w:tc>
      </w:tr>
      <w:tr>
        <w:tc>
          <w:tcPr>
            <w:tcW w:w="1129" w:type="dxa"/>
            <w:vMerge/>
          </w:tcP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17</w:t>
            </w:r>
          </w:p>
        </w:tc>
        <w:tc>
          <w:tcPr>
            <w:tcW w:w="3980" w:type="dxa"/>
            <w:gridSpan w:val="2"/>
            <w:tcBorders>
              <w:left w:val="single" w:sz="4" w:space="0" w:color="auto"/>
            </w:tcBorders>
            <w:vAlign w:val="center"/>
          </w:tcPr>
          <w:p>
            <w:pPr>
              <w:keepNext w:val="0"/>
              <w:keepLines w:val="0"/>
              <w:pageBreakBefore w:val="0"/>
              <w:widowControl w:val="0"/>
              <w:kinsoku/>
              <w:wordWrap/>
              <w:overflowPunct/>
              <w:topLinePunct w:val="0"/>
              <w:autoSpaceDE/>
              <w:autoSpaceDN/>
              <w:adjustRightInd/>
              <w:snapToGrid/>
              <w:spacing w:line="260" w:lineRule="exact"/>
              <w:ind w:left="105" w:right="-20"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不得发生师生投诉。</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5</w:t>
            </w:r>
          </w:p>
        </w:tc>
        <w:tc>
          <w:tcPr>
            <w:tcW w:w="2193" w:type="dxa"/>
            <w:tcBorders>
              <w:left w:val="single" w:sz="4" w:space="0" w:color="auto"/>
            </w:tcBorders>
            <w:vAlign w:val="center"/>
          </w:tcPr>
          <w:p>
            <w:pPr>
              <w:spacing w:line="26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发现一次经双方确认后扣一分，扣完为止。</w:t>
            </w:r>
          </w:p>
        </w:tc>
      </w:tr>
      <w:tr>
        <w:tc>
          <w:tcPr>
            <w:tcW w:w="1129" w:type="dxa"/>
            <w:vMerge w:val="restart"/>
            <w:vAlign w:val="center"/>
          </w:tcPr>
          <w:p>
            <w:pPr>
              <w:spacing w:line="300" w:lineRule="atLeast"/>
              <w:ind w:left="0"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保洁质量</w:t>
            </w:r>
          </w:p>
          <w:p>
            <w:pPr>
              <w:spacing w:line="300" w:lineRule="atLeast"/>
              <w:ind w:left="0"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（20分）</w:t>
            </w: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18</w:t>
            </w:r>
          </w:p>
        </w:tc>
        <w:tc>
          <w:tcPr>
            <w:tcW w:w="3980" w:type="dxa"/>
            <w:gridSpan w:val="2"/>
            <w:tcBorders>
              <w:left w:val="single" w:sz="4" w:space="0" w:color="auto"/>
            </w:tcBorders>
            <w:vAlign w:val="center"/>
          </w:tcPr>
          <w:p>
            <w:pPr>
              <w:keepNext w:val="0"/>
              <w:keepLines w:val="0"/>
              <w:pageBreakBefore w:val="0"/>
              <w:widowControl w:val="0"/>
              <w:kinsoku/>
              <w:wordWrap/>
              <w:overflowPunct/>
              <w:topLinePunct w:val="0"/>
              <w:autoSpaceDE/>
              <w:autoSpaceDN/>
              <w:adjustRightInd/>
              <w:snapToGrid/>
              <w:spacing w:line="260" w:lineRule="exact"/>
              <w:ind w:left="105" w:right="-20"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日检：依据采购文件中和投标文件中承诺的保洁频率、保洁巡回检查表内容</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10</w:t>
            </w:r>
          </w:p>
        </w:tc>
        <w:tc>
          <w:tcPr>
            <w:tcW w:w="2193" w:type="dxa"/>
            <w:vMerge w:val="restart"/>
            <w:tcBorders>
              <w:left w:val="single" w:sz="4" w:space="0" w:color="auto"/>
            </w:tcBorders>
            <w:vAlign w:val="center"/>
          </w:tcPr>
          <w:p>
            <w:pPr>
              <w:spacing w:line="260" w:lineRule="atLeast"/>
              <w:ind w:right="-2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每处达不到其中要求扣一分，扣完为止</w:t>
            </w:r>
          </w:p>
        </w:tc>
      </w:tr>
      <w:tr>
        <w:tc>
          <w:tcPr>
            <w:tcW w:w="1129" w:type="dxa"/>
            <w:vMerge/>
            <w:vAlign w:val="center"/>
          </w:tcP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19</w:t>
            </w:r>
          </w:p>
        </w:tc>
        <w:tc>
          <w:tcPr>
            <w:tcW w:w="3980" w:type="dxa"/>
            <w:gridSpan w:val="2"/>
            <w:tcBorders>
              <w:left w:val="single" w:sz="4" w:space="0" w:color="auto"/>
            </w:tcBorders>
            <w:vAlign w:val="center"/>
          </w:tcPr>
          <w:p>
            <w:pPr>
              <w:keepNext w:val="0"/>
              <w:keepLines w:val="0"/>
              <w:pageBreakBefore w:val="0"/>
              <w:widowControl w:val="0"/>
              <w:kinsoku/>
              <w:wordWrap/>
              <w:overflowPunct/>
              <w:topLinePunct w:val="0"/>
              <w:autoSpaceDE/>
              <w:autoSpaceDN/>
              <w:adjustRightInd/>
              <w:snapToGrid/>
              <w:spacing w:line="260" w:lineRule="exact"/>
              <w:ind w:left="105" w:right="-20"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周检：依据采购文件中和投标文件中承诺的保洁频率</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5</w:t>
            </w:r>
          </w:p>
        </w:tc>
        <w:tc>
          <w:tcPr>
            <w:tcW w:w="2193" w:type="dxa"/>
            <w:vMerge/>
            <w:tcBorders>
              <w:left w:val="single" w:sz="4" w:space="0" w:color="auto"/>
            </w:tcBorders>
            <w:vAlign w:val="center"/>
          </w:tcPr>
          <w:p/>
        </w:tc>
      </w:tr>
      <w:tr>
        <w:tc>
          <w:tcPr>
            <w:tcW w:w="1129" w:type="dxa"/>
            <w:vMerge/>
            <w:vAlign w:val="center"/>
          </w:tcP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20</w:t>
            </w:r>
          </w:p>
        </w:tc>
        <w:tc>
          <w:tcPr>
            <w:tcW w:w="3980" w:type="dxa"/>
            <w:gridSpan w:val="2"/>
            <w:tcBorders>
              <w:left w:val="single" w:sz="4" w:space="0" w:color="auto"/>
            </w:tcBorders>
            <w:vAlign w:val="center"/>
          </w:tcPr>
          <w:p>
            <w:pPr>
              <w:keepNext w:val="0"/>
              <w:keepLines w:val="0"/>
              <w:pageBreakBefore w:val="0"/>
              <w:widowControl w:val="0"/>
              <w:kinsoku/>
              <w:wordWrap/>
              <w:overflowPunct/>
              <w:topLinePunct w:val="0"/>
              <w:autoSpaceDE/>
              <w:autoSpaceDN/>
              <w:adjustRightInd/>
              <w:snapToGrid/>
              <w:spacing w:line="260" w:lineRule="exact"/>
              <w:ind w:left="105" w:right="-20"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月检：依据采购文件中和投标文件中承诺的保洁频率</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5</w:t>
            </w:r>
          </w:p>
        </w:tc>
        <w:tc>
          <w:tcPr>
            <w:tcW w:w="2193" w:type="dxa"/>
            <w:vMerge/>
            <w:tcBorders>
              <w:left w:val="single" w:sz="4" w:space="0" w:color="auto"/>
            </w:tcBorders>
            <w:vAlign w:val="center"/>
          </w:tcPr>
          <w:p/>
        </w:tc>
      </w:tr>
      <w:tr>
        <w:tc>
          <w:tcPr>
            <w:tcW w:w="1129" w:type="dxa"/>
            <w:vMerge w:val="restart"/>
            <w:vAlign w:val="center"/>
          </w:tcPr>
          <w:p>
            <w:pPr>
              <w:spacing w:line="300" w:lineRule="atLeast"/>
              <w:ind w:left="-113"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操作规程（6分）</w:t>
            </w: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21</w:t>
            </w:r>
          </w:p>
        </w:tc>
        <w:tc>
          <w:tcPr>
            <w:tcW w:w="3980" w:type="dxa"/>
            <w:gridSpan w:val="2"/>
            <w:tcBorders>
              <w:left w:val="single" w:sz="4" w:space="0" w:color="auto"/>
            </w:tcBorders>
          </w:tcPr>
          <w:p>
            <w:pPr>
              <w:keepNext w:val="0"/>
              <w:keepLines w:val="0"/>
              <w:pageBreakBefore w:val="0"/>
              <w:widowControl w:val="0"/>
              <w:kinsoku/>
              <w:wordWrap/>
              <w:overflowPunct/>
              <w:topLinePunct w:val="0"/>
              <w:autoSpaceDE/>
              <w:autoSpaceDN/>
              <w:adjustRightInd/>
              <w:snapToGrid/>
              <w:spacing w:line="260" w:lineRule="exact"/>
              <w:ind w:left="105" w:right="-20"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经培训后仍达不到标准操作规程</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w:t>
            </w:r>
          </w:p>
        </w:tc>
        <w:tc>
          <w:tcPr>
            <w:tcW w:w="2193" w:type="dxa"/>
            <w:vMerge w:val="restart"/>
            <w:tcBorders>
              <w:left w:val="single" w:sz="4" w:space="0" w:color="auto"/>
            </w:tcBorders>
            <w:vAlign w:val="center"/>
          </w:tcPr>
          <w:p>
            <w:pPr>
              <w:spacing w:line="260" w:lineRule="atLeast"/>
              <w:ind w:right="-2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达不到标准扣一分。</w:t>
            </w:r>
          </w:p>
        </w:tc>
      </w:tr>
      <w:tr>
        <w:tc>
          <w:tcPr>
            <w:tcW w:w="1129" w:type="dxa"/>
            <w:vMerge/>
            <w:vAlign w:val="center"/>
          </w:tcP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22</w:t>
            </w:r>
          </w:p>
        </w:tc>
        <w:tc>
          <w:tcPr>
            <w:tcW w:w="3980" w:type="dxa"/>
            <w:gridSpan w:val="2"/>
            <w:tcBorders>
              <w:left w:val="single" w:sz="4" w:space="0" w:color="auto"/>
            </w:tcBorders>
          </w:tcPr>
          <w:p>
            <w:pPr>
              <w:keepNext w:val="0"/>
              <w:keepLines w:val="0"/>
              <w:pageBreakBefore w:val="0"/>
              <w:widowControl w:val="0"/>
              <w:kinsoku/>
              <w:wordWrap/>
              <w:overflowPunct/>
              <w:topLinePunct w:val="0"/>
              <w:autoSpaceDE/>
              <w:autoSpaceDN/>
              <w:adjustRightInd/>
              <w:snapToGrid/>
              <w:spacing w:line="260" w:lineRule="exact"/>
              <w:ind w:left="105" w:right="-20"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不按工作计划进行保洁工作</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w:t>
            </w:r>
          </w:p>
        </w:tc>
        <w:tc>
          <w:tcPr>
            <w:tcW w:w="2193" w:type="dxa"/>
            <w:vMerge/>
            <w:tcBorders>
              <w:left w:val="single" w:sz="4" w:space="0" w:color="auto"/>
            </w:tcBorders>
          </w:tcPr>
          <w:p/>
        </w:tc>
      </w:tr>
      <w:tr>
        <w:tc>
          <w:tcPr>
            <w:tcW w:w="1129" w:type="dxa"/>
            <w:vMerge/>
            <w:vAlign w:val="center"/>
          </w:tcP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23</w:t>
            </w:r>
          </w:p>
        </w:tc>
        <w:tc>
          <w:tcPr>
            <w:tcW w:w="3980" w:type="dxa"/>
            <w:gridSpan w:val="2"/>
            <w:tcBorders>
              <w:left w:val="single" w:sz="4" w:space="0" w:color="auto"/>
            </w:tcBorders>
          </w:tcPr>
          <w:p>
            <w:pPr>
              <w:keepNext w:val="0"/>
              <w:keepLines w:val="0"/>
              <w:pageBreakBefore w:val="0"/>
              <w:widowControl w:val="0"/>
              <w:kinsoku/>
              <w:wordWrap/>
              <w:overflowPunct/>
              <w:topLinePunct w:val="0"/>
              <w:autoSpaceDE/>
              <w:autoSpaceDN/>
              <w:adjustRightInd/>
              <w:snapToGrid/>
              <w:spacing w:line="260" w:lineRule="exact"/>
              <w:ind w:left="105" w:right="-20"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不按工作流程进行清洁工作</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w:t>
            </w:r>
          </w:p>
        </w:tc>
        <w:tc>
          <w:tcPr>
            <w:tcW w:w="2193" w:type="dxa"/>
            <w:vMerge/>
            <w:tcBorders>
              <w:left w:val="single" w:sz="4" w:space="0" w:color="auto"/>
            </w:tcBorders>
          </w:tcPr>
          <w:p/>
        </w:tc>
      </w:tr>
      <w:tr>
        <w:trPr>
          <w:trHeight w:val="557"/>
        </w:trPr>
        <w:tc>
          <w:tcPr>
            <w:tcW w:w="1129" w:type="dxa"/>
            <w:vMerge w:val="restart"/>
            <w:vAlign w:val="center"/>
          </w:tcPr>
          <w:p>
            <w:pPr>
              <w:spacing w:line="300" w:lineRule="atLeast"/>
              <w:ind w:left="0"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特殊领域</w:t>
            </w:r>
          </w:p>
          <w:p>
            <w:pPr>
              <w:spacing w:line="300" w:lineRule="atLeast"/>
              <w:ind w:left="0"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（22分）</w:t>
            </w: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24</w:t>
            </w:r>
          </w:p>
        </w:tc>
        <w:tc>
          <w:tcPr>
            <w:tcW w:w="3980" w:type="dxa"/>
            <w:gridSpan w:val="2"/>
            <w:tcBorders>
              <w:left w:val="single" w:sz="4" w:space="0" w:color="auto"/>
            </w:tcBorders>
          </w:tcPr>
          <w:p>
            <w:pPr>
              <w:keepNext w:val="0"/>
              <w:keepLines w:val="0"/>
              <w:pageBreakBefore w:val="0"/>
              <w:widowControl w:val="0"/>
              <w:kinsoku/>
              <w:wordWrap/>
              <w:overflowPunct/>
              <w:topLinePunct w:val="0"/>
              <w:autoSpaceDE/>
              <w:autoSpaceDN/>
              <w:adjustRightInd/>
              <w:snapToGrid/>
              <w:spacing w:line="260" w:lineRule="exact"/>
              <w:ind w:left="105" w:right="-20"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幕墙、顶棚、雨棚、玻璃，无污渍、无灰尘、无水迹、无划伤</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w:t>
            </w:r>
          </w:p>
        </w:tc>
        <w:tc>
          <w:tcPr>
            <w:tcW w:w="2193" w:type="dxa"/>
            <w:vMerge w:val="restart"/>
            <w:tcBorders>
              <w:left w:val="single" w:sz="4" w:space="0" w:color="auto"/>
            </w:tcBorders>
            <w:vAlign w:val="center"/>
          </w:tcPr>
          <w:p>
            <w:pPr>
              <w:spacing w:line="260" w:lineRule="atLeast"/>
              <w:ind w:right="-2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达不到其中要求每处扣一分，扣完为止</w:t>
            </w:r>
          </w:p>
        </w:tc>
      </w:tr>
      <w:tr>
        <w:tc>
          <w:tcPr>
            <w:tcW w:w="1129" w:type="dxa"/>
            <w:vMerge/>
          </w:tcP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25</w:t>
            </w:r>
          </w:p>
        </w:tc>
        <w:tc>
          <w:tcPr>
            <w:tcW w:w="3980" w:type="dxa"/>
            <w:gridSpan w:val="2"/>
            <w:tcBorders>
              <w:left w:val="single" w:sz="4" w:space="0" w:color="auto"/>
            </w:tcBorders>
          </w:tcPr>
          <w:p>
            <w:pPr>
              <w:keepNext w:val="0"/>
              <w:keepLines w:val="0"/>
              <w:pageBreakBefore w:val="0"/>
              <w:widowControl w:val="0"/>
              <w:kinsoku/>
              <w:wordWrap/>
              <w:overflowPunct/>
              <w:topLinePunct w:val="0"/>
              <w:autoSpaceDE/>
              <w:autoSpaceDN/>
              <w:adjustRightInd/>
              <w:snapToGrid/>
              <w:spacing w:line="260" w:lineRule="exact"/>
              <w:ind w:left="105" w:right="-20"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 xml:space="preserve">地面无积水，无污物，台盆无污迹，座便器光亮清洁、无污迹、水垢、无臭味，淋浴房光亮、无污迹、水垢，及时收集垃圾并分类，按规定装袋，保持垃圾桶清洁，桶外无散乱垃圾、无污迹，垃圾不满溢。 </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3</w:t>
            </w:r>
          </w:p>
        </w:tc>
        <w:tc>
          <w:tcPr>
            <w:tcW w:w="2193" w:type="dxa"/>
            <w:vMerge/>
            <w:tcBorders>
              <w:left w:val="single" w:sz="4" w:space="0" w:color="auto"/>
            </w:tcBorders>
          </w:tcPr>
          <w:p/>
        </w:tc>
      </w:tr>
      <w:tr>
        <w:tc>
          <w:tcPr>
            <w:tcW w:w="1129" w:type="dxa"/>
            <w:vMerge/>
          </w:tcP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26</w:t>
            </w:r>
          </w:p>
        </w:tc>
        <w:tc>
          <w:tcPr>
            <w:tcW w:w="3980" w:type="dxa"/>
            <w:gridSpan w:val="2"/>
            <w:tcBorders>
              <w:left w:val="single" w:sz="4" w:space="0" w:color="auto"/>
            </w:tcBorders>
          </w:tcPr>
          <w:p>
            <w:pPr>
              <w:keepNext w:val="0"/>
              <w:keepLines w:val="0"/>
              <w:pageBreakBefore w:val="0"/>
              <w:widowControl w:val="0"/>
              <w:kinsoku/>
              <w:wordWrap/>
              <w:overflowPunct/>
              <w:topLinePunct w:val="0"/>
              <w:autoSpaceDE/>
              <w:autoSpaceDN/>
              <w:adjustRightInd/>
              <w:snapToGrid/>
              <w:spacing w:line="260" w:lineRule="exact"/>
              <w:ind w:left="105" w:right="-20"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重大活动期间，活动范围内保洁服务不到位，师生提出中肯意见。</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3</w:t>
            </w:r>
          </w:p>
        </w:tc>
        <w:tc>
          <w:tcPr>
            <w:tcW w:w="2193" w:type="dxa"/>
            <w:vMerge w:val="restart"/>
            <w:tcBorders>
              <w:left w:val="single" w:sz="4" w:space="0" w:color="auto"/>
            </w:tcBorders>
            <w:vAlign w:val="center"/>
          </w:tcPr>
          <w:p>
            <w:pPr>
              <w:spacing w:line="260" w:lineRule="atLeast"/>
              <w:ind w:left="177" w:right="-2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每发现一次扣一分，扣完为止</w:t>
            </w:r>
          </w:p>
        </w:tc>
      </w:tr>
      <w:tr>
        <w:tc>
          <w:tcPr>
            <w:tcW w:w="1129" w:type="dxa"/>
            <w:vMerge/>
          </w:tcP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27</w:t>
            </w:r>
          </w:p>
        </w:tc>
        <w:tc>
          <w:tcPr>
            <w:tcW w:w="3980" w:type="dxa"/>
            <w:gridSpan w:val="2"/>
            <w:tcBorders>
              <w:left w:val="single" w:sz="4" w:space="0" w:color="auto"/>
            </w:tcBorders>
          </w:tcPr>
          <w:p>
            <w:pPr>
              <w:keepNext w:val="0"/>
              <w:keepLines w:val="0"/>
              <w:pageBreakBefore w:val="0"/>
              <w:widowControl w:val="0"/>
              <w:kinsoku/>
              <w:wordWrap/>
              <w:overflowPunct/>
              <w:topLinePunct w:val="0"/>
              <w:autoSpaceDE/>
              <w:autoSpaceDN/>
              <w:adjustRightInd/>
              <w:snapToGrid/>
              <w:spacing w:line="260" w:lineRule="exact"/>
              <w:ind w:left="105" w:right="-20"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垃圾未装袋或垃圾未存放在指定地点或垃圾清运不及时。</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5</w:t>
            </w:r>
          </w:p>
        </w:tc>
        <w:tc>
          <w:tcPr>
            <w:tcW w:w="2193" w:type="dxa"/>
            <w:vMerge/>
            <w:tcBorders>
              <w:left w:val="single" w:sz="4" w:space="0" w:color="auto"/>
            </w:tcBorders>
          </w:tcPr>
          <w:p/>
        </w:tc>
      </w:tr>
      <w:tr>
        <w:tc>
          <w:tcPr>
            <w:tcW w:w="1129" w:type="dxa"/>
            <w:vMerge/>
          </w:tcP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28</w:t>
            </w:r>
          </w:p>
        </w:tc>
        <w:tc>
          <w:tcPr>
            <w:tcW w:w="3980" w:type="dxa"/>
            <w:gridSpan w:val="2"/>
            <w:tcBorders>
              <w:left w:val="single" w:sz="4" w:space="0" w:color="auto"/>
            </w:tcBorders>
          </w:tcPr>
          <w:p>
            <w:pPr>
              <w:keepNext w:val="0"/>
              <w:keepLines w:val="0"/>
              <w:pageBreakBefore w:val="0"/>
              <w:widowControl w:val="0"/>
              <w:kinsoku/>
              <w:wordWrap/>
              <w:overflowPunct/>
              <w:topLinePunct w:val="0"/>
              <w:autoSpaceDE/>
              <w:autoSpaceDN/>
              <w:adjustRightInd/>
              <w:snapToGrid/>
              <w:spacing w:line="260" w:lineRule="exact"/>
              <w:ind w:left="105" w:right="-20"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会场服务及时、整洁，无投诉</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5</w:t>
            </w:r>
          </w:p>
        </w:tc>
        <w:tc>
          <w:tcPr>
            <w:tcW w:w="2193" w:type="dxa"/>
            <w:vMerge/>
            <w:tcBorders>
              <w:left w:val="single" w:sz="4" w:space="0" w:color="auto"/>
            </w:tcBorders>
          </w:tcPr>
          <w:p/>
        </w:tc>
      </w:tr>
      <w:tr>
        <w:trPr>
          <w:trHeight w:val="325"/>
        </w:trPr>
        <w:tc>
          <w:tcPr>
            <w:tcW w:w="1129" w:type="dxa"/>
            <w:vMerge/>
            <w:tcBorders>
              <w:bottom w:val="single" w:sz="4" w:space="0" w:color="auto"/>
            </w:tcBorders>
          </w:tcPr>
          <w:p/>
        </w:tc>
        <w:tc>
          <w:tcPr>
            <w:tcW w:w="521" w:type="dxa"/>
            <w:tcBorders>
              <w:bottom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29</w:t>
            </w:r>
          </w:p>
        </w:tc>
        <w:tc>
          <w:tcPr>
            <w:tcW w:w="3980" w:type="dxa"/>
            <w:gridSpan w:val="2"/>
            <w:tcBorders>
              <w:bottom w:val="single" w:sz="4" w:space="0" w:color="auto"/>
            </w:tcBorders>
          </w:tcPr>
          <w:p>
            <w:pPr>
              <w:keepNext w:val="0"/>
              <w:keepLines w:val="0"/>
              <w:pageBreakBefore w:val="0"/>
              <w:widowControl w:val="0"/>
              <w:kinsoku/>
              <w:wordWrap/>
              <w:overflowPunct/>
              <w:topLinePunct w:val="0"/>
              <w:autoSpaceDE/>
              <w:autoSpaceDN/>
              <w:adjustRightInd/>
              <w:snapToGrid/>
              <w:spacing w:line="260" w:lineRule="exact"/>
              <w:ind w:left="105" w:right="-20"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突发公共卫生事件期间的卫生防疫工作</w:t>
            </w:r>
          </w:p>
        </w:tc>
        <w:tc>
          <w:tcPr>
            <w:tcW w:w="660" w:type="dxa"/>
            <w:tcBorders>
              <w:bottom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w:t>
            </w:r>
          </w:p>
        </w:tc>
        <w:tc>
          <w:tcPr>
            <w:tcW w:w="2193" w:type="dxa"/>
            <w:vMerge/>
            <w:tcBorders>
              <w:left w:val="single" w:sz="4" w:space="0" w:color="auto"/>
            </w:tcBorders>
          </w:tcPr>
          <w:p/>
        </w:tc>
      </w:tr>
      <w:tr>
        <w:tc>
          <w:tcPr>
            <w:tcW w:w="1129" w:type="dxa"/>
            <w:vMerge/>
          </w:tcPr>
          <w:p/>
        </w:tc>
        <w:tc>
          <w:tcPr>
            <w:tcW w:w="521"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30</w:t>
            </w:r>
          </w:p>
        </w:tc>
        <w:tc>
          <w:tcPr>
            <w:tcW w:w="3980" w:type="dxa"/>
            <w:gridSpan w:val="2"/>
            <w:tcBorders>
              <w:left w:val="single" w:sz="4" w:space="0" w:color="auto"/>
            </w:tcBorders>
          </w:tcPr>
          <w:p>
            <w:pPr>
              <w:keepNext w:val="0"/>
              <w:keepLines w:val="0"/>
              <w:pageBreakBefore w:val="0"/>
              <w:widowControl w:val="0"/>
              <w:kinsoku/>
              <w:wordWrap/>
              <w:overflowPunct/>
              <w:topLinePunct w:val="0"/>
              <w:autoSpaceDE/>
              <w:autoSpaceDN/>
              <w:adjustRightInd/>
              <w:snapToGrid/>
              <w:spacing w:line="260" w:lineRule="exact"/>
              <w:ind w:left="105" w:right="-20" w:firstLineChars="0" w:firstLine="0"/>
              <w:contextualSpacing/>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台风天及暴雨天之前屋面必须清理干净，屋面或地下室下水道清理不及时出现1次</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w:t>
            </w:r>
          </w:p>
        </w:tc>
        <w:tc>
          <w:tcPr>
            <w:tcW w:w="2193" w:type="dxa"/>
            <w:vMerge/>
            <w:tcBorders>
              <w:left w:val="single" w:sz="4" w:space="0" w:color="auto"/>
            </w:tcBorders>
          </w:tcPr>
          <w:p/>
        </w:tc>
      </w:tr>
      <w:tr>
        <w:trPr>
          <w:trHeight w:val="487"/>
        </w:trPr>
        <w:tc>
          <w:tcPr>
            <w:tcW w:w="5630" w:type="dxa"/>
            <w:gridSpan w:val="4"/>
            <w:vAlign w:val="center"/>
          </w:tcPr>
          <w:p>
            <w:pPr>
              <w:spacing w:line="300" w:lineRule="atLeast"/>
              <w:ind w:left="0" w:right="2972"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 xml:space="preserve">               合计</w:t>
            </w:r>
          </w:p>
        </w:tc>
        <w:tc>
          <w:tcPr>
            <w:tcW w:w="660" w:type="dxa"/>
            <w:tcBorders>
              <w:left w:val="single" w:sz="4" w:space="0" w:color="auto"/>
            </w:tcBorders>
            <w:vAlign w:val="center"/>
          </w:tcPr>
          <w:p>
            <w:pPr>
              <w:spacing w:line="300" w:lineRule="atLeast"/>
              <w:ind w:right="-2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100</w:t>
            </w:r>
          </w:p>
        </w:tc>
        <w:tc>
          <w:tcPr>
            <w:tcW w:w="2193" w:type="dxa"/>
            <w:tcBorders>
              <w:left w:val="single" w:sz="4" w:space="0" w:color="auto"/>
            </w:tcBorders>
          </w:tcPr>
          <w:p>
            <w:pPr>
              <w:spacing w:line="300" w:lineRule="atLeast"/>
              <w:ind w:left="177" w:right="-20" w:firstLineChars="0" w:firstLine="0"/>
              <w:jc w:val="both"/>
              <w:rPr>
                <w:rFonts w:ascii="仿宋" w:eastAsia="仿宋" w:cs="仿宋" w:hAnsi="仿宋" w:hint="eastAsia"/>
                <w:bCs/>
                <w:iCs/>
                <w:sz w:val="24"/>
                <w:szCs w:val="24"/>
                <w:shd w:val="clear" w:color="auto" w:fill="auto"/>
              </w:rPr>
            </w:pPr>
          </w:p>
        </w:tc>
      </w:tr>
      <w:tr>
        <w:trPr>
          <w:trHeight w:val="487"/>
        </w:trPr>
        <w:tc>
          <w:tcPr>
            <w:tcW w:w="1668" w:type="dxa"/>
            <w:gridSpan w:val="3"/>
            <w:vAlign w:val="center"/>
          </w:tcPr>
          <w:p>
            <w:pPr>
              <w:spacing w:line="30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加分</w:t>
            </w:r>
          </w:p>
        </w:tc>
        <w:tc>
          <w:tcPr>
            <w:tcW w:w="3962" w:type="dxa"/>
            <w:tcBorders>
              <w:left w:val="single" w:sz="4" w:space="0" w:color="auto"/>
            </w:tcBorders>
            <w:vAlign w:val="center"/>
          </w:tcPr>
          <w:p>
            <w:pPr>
              <w:spacing w:line="30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有拾金不昧、见义勇为等文明正能量行为，</w:t>
            </w:r>
          </w:p>
        </w:tc>
        <w:tc>
          <w:tcPr>
            <w:tcW w:w="660" w:type="dxa"/>
            <w:tcBorders>
              <w:left w:val="single" w:sz="4" w:space="0" w:color="auto"/>
            </w:tcBorders>
            <w:vAlign w:val="center"/>
          </w:tcPr>
          <w:p>
            <w:pPr>
              <w:widowControl/>
              <w:spacing w:line="300" w:lineRule="atLeast"/>
              <w:ind w:firstLineChars="0" w:firstLine="0"/>
              <w:jc w:val="both"/>
              <w:rPr>
                <w:rFonts w:ascii="仿宋" w:eastAsia="仿宋" w:cs="仿宋" w:hAnsi="仿宋" w:hint="eastAsia"/>
                <w:bCs/>
                <w:iCs/>
                <w:sz w:val="24"/>
                <w:szCs w:val="24"/>
                <w:shd w:val="clear" w:color="auto" w:fill="auto"/>
              </w:rPr>
            </w:pPr>
          </w:p>
        </w:tc>
        <w:tc>
          <w:tcPr>
            <w:tcW w:w="2193" w:type="dxa"/>
            <w:tcBorders>
              <w:left w:val="single" w:sz="4" w:space="0" w:color="auto"/>
            </w:tcBorders>
            <w:vAlign w:val="center"/>
          </w:tcPr>
          <w:p>
            <w:pPr>
              <w:widowControl/>
              <w:spacing w:line="30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视情情况加1--10分</w:t>
            </w:r>
          </w:p>
        </w:tc>
      </w:tr>
    </w:tbl>
    <w:p>
      <w:pPr>
        <w:pStyle w:val="3"/>
        <w:ind w:left="0" w:firstLineChars="0" w:firstLine="0"/>
        <w:jc w:val="both"/>
        <w:rPr>
          <w:rFonts w:ascii="仿宋" w:eastAsia="仿宋" w:cs="仿宋" w:hAnsi="仿宋" w:hint="eastAsia"/>
          <w:b w:val="0"/>
          <w:iCs/>
          <w:sz w:val="24"/>
          <w:szCs w:val="24"/>
          <w:shd w:val="clear" w:color="auto" w:fill="auto"/>
        </w:rPr>
      </w:pPr>
      <w:bookmarkStart w:id="0" w:name="_Toc101611682"/>
      <w:r>
        <w:rPr>
          <w:rFonts w:ascii="仿宋" w:eastAsia="仿宋" w:cs="仿宋" w:hAnsi="仿宋" w:hint="eastAsia"/>
          <w:b w:val="0"/>
          <w:iCs/>
          <w:sz w:val="24"/>
          <w:szCs w:val="24"/>
          <w:shd w:val="clear" w:color="auto" w:fill="auto"/>
        </w:rPr>
        <w:t xml:space="preserve">附件二            </w:t>
      </w:r>
    </w:p>
    <w:p>
      <w:pPr>
        <w:pStyle w:val="3"/>
        <w:ind w:left="0" w:firstLineChars="0" w:firstLine="0"/>
        <w:jc w:val="center"/>
        <w:rPr>
          <w:rFonts w:ascii="黑体" w:eastAsia="黑体" w:cs="黑体" w:hAnsi="黑体" w:hint="eastAsia"/>
          <w:b w:val="0"/>
          <w:iCs/>
          <w:sz w:val="24"/>
          <w:szCs w:val="24"/>
          <w:shd w:val="clear" w:color="auto" w:fill="auto"/>
        </w:rPr>
      </w:pPr>
      <w:r>
        <w:rPr>
          <w:rFonts w:ascii="黑体" w:eastAsia="黑体" w:cs="黑体" w:hAnsi="黑体" w:hint="eastAsia"/>
          <w:b w:val="0"/>
          <w:iCs/>
          <w:sz w:val="24"/>
          <w:szCs w:val="24"/>
          <w:shd w:val="clear" w:color="auto" w:fill="auto"/>
        </w:rPr>
        <w:t>温州职业技术学院瓯海校区维修检查评分标准</w:t>
      </w:r>
    </w:p>
    <w:tbl>
      <w:tblPr>
        <w:jc w:val="center"/>
        <w:tblW w:w="8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1502"/>
        <w:gridCol w:w="4500"/>
        <w:gridCol w:w="2499"/>
      </w:tblGrid>
      <w:tr>
        <w:trPr>
          <w:trHeight w:val="509"/>
        </w:trPr>
        <w:tc>
          <w:tcPr>
            <w:tcW w:w="1502" w:type="dxa"/>
            <w:vAlign w:val="center"/>
          </w:tcPr>
          <w:p>
            <w:pPr>
              <w:spacing w:line="300" w:lineRule="atLeast"/>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项目</w:t>
            </w:r>
          </w:p>
        </w:tc>
        <w:tc>
          <w:tcPr>
            <w:tcW w:w="4500" w:type="dxa"/>
            <w:vAlign w:val="center"/>
          </w:tcPr>
          <w:p>
            <w:pPr>
              <w:spacing w:line="300" w:lineRule="atLeast"/>
              <w:ind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分项标准</w:t>
            </w:r>
          </w:p>
        </w:tc>
        <w:tc>
          <w:tcPr>
            <w:tcW w:w="2499" w:type="dxa"/>
            <w:vAlign w:val="center"/>
          </w:tcPr>
          <w:p>
            <w:pPr>
              <w:spacing w:line="300" w:lineRule="atLeast"/>
              <w:ind w:leftChars="-5" w:left="0" w:hangingChars="6" w:hanging="14"/>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评分细则</w:t>
            </w:r>
          </w:p>
        </w:tc>
      </w:tr>
      <w:tr>
        <w:trPr>
          <w:trHeight w:val="509"/>
        </w:trPr>
        <w:tc>
          <w:tcPr>
            <w:tcW w:w="1502" w:type="dxa"/>
            <w:vMerge w:val="restart"/>
            <w:vAlign w:val="center"/>
          </w:tcPr>
          <w:p>
            <w:pPr>
              <w:spacing w:line="300" w:lineRule="atLeast"/>
              <w:ind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房屋维护</w:t>
            </w:r>
          </w:p>
          <w:p>
            <w:pPr>
              <w:spacing w:line="300" w:lineRule="atLeast"/>
              <w:ind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（20分）</w:t>
            </w:r>
          </w:p>
        </w:tc>
        <w:tc>
          <w:tcPr>
            <w:tcW w:w="4500" w:type="dxa"/>
            <w:tcBorders>
              <w:left w:val="single" w:sz="4" w:space="0" w:color="auto"/>
            </w:tcBorders>
            <w:vAlign w:val="center"/>
          </w:tcPr>
          <w:p>
            <w:pPr>
              <w:spacing w:line="30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屋面：及时清扫、冲洗，检查雨水口有无堵塞、伸缩缝有无开裂、隔热层有无空洞、起鼓，检查屋面有无渗漏等（3分）</w:t>
            </w:r>
          </w:p>
        </w:tc>
        <w:tc>
          <w:tcPr>
            <w:tcW w:w="2499" w:type="dxa"/>
            <w:tcBorders>
              <w:left w:val="single" w:sz="4" w:space="0" w:color="auto"/>
            </w:tcBorders>
            <w:vAlign w:val="center"/>
          </w:tcPr>
          <w:p>
            <w:pPr>
              <w:spacing w:line="300" w:lineRule="atLeast"/>
              <w:ind w:leftChars="-5" w:left="0" w:hangingChars="6" w:hanging="14"/>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每处扣1分。</w:t>
            </w:r>
          </w:p>
        </w:tc>
      </w:tr>
      <w:tr>
        <w:trPr>
          <w:trHeight w:val="509"/>
        </w:trPr>
        <w:tc>
          <w:tcPr>
            <w:tcW w:w="1502" w:type="dxa"/>
            <w:vMerge/>
            <w:vAlign w:val="center"/>
          </w:tcPr>
          <w:p/>
        </w:tc>
        <w:tc>
          <w:tcPr>
            <w:tcW w:w="4500" w:type="dxa"/>
            <w:tcBorders>
              <w:left w:val="single" w:sz="4" w:space="0" w:color="auto"/>
            </w:tcBorders>
            <w:vAlign w:val="center"/>
          </w:tcPr>
          <w:p>
            <w:pPr>
              <w:spacing w:line="30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楼地面、公共通道：有无空鼓、破裂、松脱、破损等（4分）</w:t>
            </w:r>
          </w:p>
        </w:tc>
        <w:tc>
          <w:tcPr>
            <w:tcW w:w="2499" w:type="dxa"/>
            <w:tcBorders>
              <w:left w:val="single" w:sz="4" w:space="0" w:color="auto"/>
            </w:tcBorders>
            <w:vAlign w:val="center"/>
          </w:tcPr>
          <w:p>
            <w:pPr>
              <w:spacing w:line="300" w:lineRule="atLeast"/>
              <w:ind w:leftChars="-5" w:left="0" w:hangingChars="6" w:hanging="14"/>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每处扣1分。</w:t>
            </w:r>
          </w:p>
        </w:tc>
      </w:tr>
      <w:tr>
        <w:trPr>
          <w:trHeight w:val="509"/>
        </w:trPr>
        <w:tc>
          <w:tcPr>
            <w:tcW w:w="1502" w:type="dxa"/>
            <w:vMerge/>
            <w:vAlign w:val="center"/>
          </w:tcPr>
          <w:p/>
        </w:tc>
        <w:tc>
          <w:tcPr>
            <w:tcW w:w="4500" w:type="dxa"/>
            <w:tcBorders>
              <w:left w:val="single" w:sz="4" w:space="0" w:color="auto"/>
            </w:tcBorders>
            <w:vAlign w:val="center"/>
          </w:tcPr>
          <w:p>
            <w:pPr>
              <w:spacing w:line="30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楼梯：踏步有无损坏，地砖有无松脱、空鼓、开裂、损坏等（4分）；</w:t>
            </w:r>
          </w:p>
        </w:tc>
        <w:tc>
          <w:tcPr>
            <w:tcW w:w="2499" w:type="dxa"/>
            <w:tcBorders>
              <w:left w:val="single" w:sz="4" w:space="0" w:color="auto"/>
            </w:tcBorders>
            <w:vAlign w:val="center"/>
          </w:tcPr>
          <w:p>
            <w:pPr>
              <w:spacing w:line="300" w:lineRule="atLeast"/>
              <w:ind w:leftChars="-5" w:left="0" w:hangingChars="6" w:hanging="14"/>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每处扣1分。</w:t>
            </w:r>
          </w:p>
        </w:tc>
      </w:tr>
      <w:tr>
        <w:trPr>
          <w:trHeight w:val="509"/>
        </w:trPr>
        <w:tc>
          <w:tcPr>
            <w:tcW w:w="1502" w:type="dxa"/>
            <w:vMerge/>
            <w:vAlign w:val="center"/>
          </w:tcPr>
          <w:p/>
        </w:tc>
        <w:tc>
          <w:tcPr>
            <w:tcW w:w="4500" w:type="dxa"/>
            <w:tcBorders>
              <w:left w:val="single" w:sz="4" w:space="0" w:color="auto"/>
            </w:tcBorders>
            <w:vAlign w:val="center"/>
          </w:tcPr>
          <w:p>
            <w:pPr>
              <w:spacing w:line="30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內外墙面：有无裂缝、起鼓、脱落、变色、渗漏、破损﹙含玻璃﹚等（3分）</w:t>
            </w:r>
          </w:p>
        </w:tc>
        <w:tc>
          <w:tcPr>
            <w:tcW w:w="2499" w:type="dxa"/>
            <w:tcBorders>
              <w:left w:val="single" w:sz="4" w:space="0" w:color="auto"/>
            </w:tcBorders>
            <w:vAlign w:val="center"/>
          </w:tcPr>
          <w:p>
            <w:pPr>
              <w:spacing w:line="300" w:lineRule="atLeast"/>
              <w:ind w:leftChars="-5" w:left="0" w:hangingChars="6" w:hanging="14"/>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每处扣1分。</w:t>
            </w:r>
          </w:p>
        </w:tc>
      </w:tr>
      <w:tr>
        <w:trPr>
          <w:trHeight w:val="509"/>
        </w:trPr>
        <w:tc>
          <w:tcPr>
            <w:tcW w:w="1502" w:type="dxa"/>
            <w:vMerge/>
            <w:vAlign w:val="center"/>
          </w:tcPr>
          <w:p/>
        </w:tc>
        <w:tc>
          <w:tcPr>
            <w:tcW w:w="4500" w:type="dxa"/>
            <w:tcBorders>
              <w:left w:val="single" w:sz="4" w:space="0" w:color="auto"/>
            </w:tcBorders>
            <w:vAlign w:val="center"/>
          </w:tcPr>
          <w:p>
            <w:pPr>
              <w:spacing w:line="30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吊顶及雨棚：有无裂缝、起鼓、脱落、变色、渗漏、破损等，雨棚拉杆是否牢固（3分）</w:t>
            </w:r>
          </w:p>
        </w:tc>
        <w:tc>
          <w:tcPr>
            <w:tcW w:w="2499" w:type="dxa"/>
            <w:tcBorders>
              <w:left w:val="single" w:sz="4" w:space="0" w:color="auto"/>
            </w:tcBorders>
            <w:vAlign w:val="center"/>
          </w:tcPr>
          <w:p>
            <w:pPr>
              <w:spacing w:line="300" w:lineRule="atLeast"/>
              <w:ind w:leftChars="-5" w:left="0" w:hangingChars="6" w:hanging="14"/>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每处扣1分。</w:t>
            </w:r>
          </w:p>
        </w:tc>
      </w:tr>
      <w:tr>
        <w:trPr>
          <w:trHeight w:val="509"/>
        </w:trPr>
        <w:tc>
          <w:tcPr>
            <w:tcW w:w="1502" w:type="dxa"/>
            <w:vMerge/>
            <w:vAlign w:val="center"/>
          </w:tcPr>
          <w:p/>
        </w:tc>
        <w:tc>
          <w:tcPr>
            <w:tcW w:w="4500" w:type="dxa"/>
            <w:tcBorders>
              <w:left w:val="single" w:sz="4" w:space="0" w:color="auto"/>
            </w:tcBorders>
            <w:vAlign w:val="center"/>
          </w:tcPr>
          <w:p>
            <w:pPr>
              <w:spacing w:line="30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门窗：经常检查门窗有无松动、下垂、腐朽、变形、生锈、破损、铰链、门拉手损坏等（3分）</w:t>
            </w:r>
          </w:p>
        </w:tc>
        <w:tc>
          <w:tcPr>
            <w:tcW w:w="2499" w:type="dxa"/>
            <w:tcBorders>
              <w:left w:val="single" w:sz="4" w:space="0" w:color="auto"/>
            </w:tcBorders>
            <w:vAlign w:val="center"/>
          </w:tcPr>
          <w:p>
            <w:pPr>
              <w:spacing w:line="300" w:lineRule="atLeast"/>
              <w:ind w:leftChars="-5" w:left="0" w:hangingChars="6" w:hanging="14"/>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每处扣1分。</w:t>
            </w:r>
          </w:p>
        </w:tc>
      </w:tr>
      <w:tr>
        <w:trPr>
          <w:trHeight w:val="283"/>
        </w:trPr>
        <w:tc>
          <w:tcPr>
            <w:tcW w:w="1502" w:type="dxa"/>
            <w:vMerge w:val="restart"/>
            <w:vAlign w:val="center"/>
          </w:tcPr>
          <w:p>
            <w:pPr>
              <w:spacing w:line="300" w:lineRule="atLeast"/>
              <w:ind w:left="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设施设备</w:t>
            </w:r>
          </w:p>
          <w:p>
            <w:pPr>
              <w:spacing w:line="300" w:lineRule="atLeast"/>
              <w:ind w:left="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维修保养</w:t>
            </w:r>
          </w:p>
          <w:p>
            <w:pPr>
              <w:spacing w:line="300" w:lineRule="atLeast"/>
              <w:ind w:left="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(55分)</w:t>
            </w:r>
          </w:p>
        </w:tc>
        <w:tc>
          <w:tcPr>
            <w:tcW w:w="4500" w:type="dxa"/>
            <w:tcBorders>
              <w:left w:val="single" w:sz="4" w:space="0" w:color="auto"/>
            </w:tcBorders>
            <w:vAlign w:val="center"/>
          </w:tcPr>
          <w:p>
            <w:pPr>
              <w:widowControl/>
              <w:spacing w:line="30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24小时维修报修电话(5分)</w:t>
            </w:r>
          </w:p>
        </w:tc>
        <w:tc>
          <w:tcPr>
            <w:tcW w:w="2499" w:type="dxa"/>
            <w:tcBorders>
              <w:left w:val="single" w:sz="4" w:space="0" w:color="auto"/>
            </w:tcBorders>
            <w:vAlign w:val="center"/>
          </w:tcPr>
          <w:p>
            <w:pPr>
              <w:spacing w:line="300" w:lineRule="atLeast"/>
              <w:ind w:leftChars="-5" w:left="0" w:hangingChars="6" w:hanging="14"/>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无人接听1次扣1分。</w:t>
            </w:r>
          </w:p>
        </w:tc>
      </w:tr>
      <w:tr>
        <w:trPr>
          <w:trHeight w:val="509"/>
        </w:trPr>
        <w:tc>
          <w:tcPr>
            <w:tcW w:w="1502" w:type="dxa"/>
            <w:vMerge/>
            <w:vAlign w:val="center"/>
          </w:tcPr>
          <w:p/>
        </w:tc>
        <w:tc>
          <w:tcPr>
            <w:tcW w:w="4500" w:type="dxa"/>
            <w:tcBorders>
              <w:left w:val="single" w:sz="4" w:space="0" w:color="auto"/>
            </w:tcBorders>
            <w:vAlign w:val="center"/>
          </w:tcPr>
          <w:p>
            <w:pPr>
              <w:widowControl/>
              <w:spacing w:line="30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紧急维修不超过30分钟，简单维修24小时内完成，一般修72小时内完成(10分)</w:t>
            </w:r>
          </w:p>
        </w:tc>
        <w:tc>
          <w:tcPr>
            <w:tcW w:w="2499" w:type="dxa"/>
            <w:tcBorders>
              <w:left w:val="single" w:sz="4" w:space="0" w:color="auto"/>
            </w:tcBorders>
            <w:vAlign w:val="center"/>
          </w:tcPr>
          <w:p>
            <w:pPr>
              <w:spacing w:line="300" w:lineRule="atLeast"/>
              <w:ind w:leftChars="-5" w:left="0" w:hangingChars="6" w:hanging="14"/>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超过以上时间每次扣1分。</w:t>
            </w:r>
          </w:p>
        </w:tc>
      </w:tr>
      <w:tr>
        <w:trPr>
          <w:trHeight w:val="509"/>
        </w:trPr>
        <w:tc>
          <w:tcPr>
            <w:tcW w:w="1502" w:type="dxa"/>
            <w:vMerge/>
            <w:vAlign w:val="center"/>
          </w:tcPr>
          <w:p/>
        </w:tc>
        <w:tc>
          <w:tcPr>
            <w:tcW w:w="4500" w:type="dxa"/>
            <w:tcBorders>
              <w:left w:val="single" w:sz="4" w:space="0" w:color="auto"/>
            </w:tcBorders>
            <w:vAlign w:val="center"/>
          </w:tcPr>
          <w:p>
            <w:pPr>
              <w:spacing w:line="30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完善的标准化管理程序，设备运行、维修、维护、保养记录(5分)</w:t>
            </w:r>
          </w:p>
        </w:tc>
        <w:tc>
          <w:tcPr>
            <w:tcW w:w="2499" w:type="dxa"/>
            <w:tcBorders>
              <w:left w:val="single" w:sz="4" w:space="0" w:color="auto"/>
            </w:tcBorders>
            <w:vAlign w:val="center"/>
          </w:tcPr>
          <w:p>
            <w:pPr>
              <w:spacing w:line="300" w:lineRule="atLeast"/>
              <w:ind w:leftChars="-5" w:left="0" w:hangingChars="6" w:hanging="14"/>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少以上记录1次扣1分。</w:t>
            </w:r>
          </w:p>
        </w:tc>
      </w:tr>
      <w:tr>
        <w:trPr>
          <w:trHeight w:val="509"/>
        </w:trPr>
        <w:tc>
          <w:tcPr>
            <w:tcW w:w="1502" w:type="dxa"/>
            <w:vMerge/>
            <w:vAlign w:val="center"/>
          </w:tcPr>
          <w:p/>
        </w:tc>
        <w:tc>
          <w:tcPr>
            <w:tcW w:w="4500" w:type="dxa"/>
            <w:tcBorders>
              <w:left w:val="single" w:sz="4" w:space="0" w:color="auto"/>
            </w:tcBorders>
            <w:vAlign w:val="center"/>
          </w:tcPr>
          <w:p>
            <w:pPr>
              <w:spacing w:line="30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做好设备房（配电房、强、弱电井，水泵房，集水井、路灯、楼梯灯等）的巡视工作，并将相关巡视记录存档(10分)</w:t>
            </w:r>
          </w:p>
        </w:tc>
        <w:tc>
          <w:tcPr>
            <w:tcW w:w="2499" w:type="dxa"/>
            <w:tcBorders>
              <w:left w:val="single" w:sz="4" w:space="0" w:color="auto"/>
            </w:tcBorders>
            <w:vAlign w:val="center"/>
          </w:tcPr>
          <w:p>
            <w:pPr>
              <w:spacing w:line="300" w:lineRule="atLeast"/>
              <w:ind w:leftChars="-5" w:left="0" w:hangingChars="6" w:hanging="14"/>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不符要求的，每处扣1分。</w:t>
            </w:r>
          </w:p>
        </w:tc>
      </w:tr>
      <w:tr>
        <w:trPr>
          <w:trHeight w:val="355"/>
        </w:trPr>
        <w:tc>
          <w:tcPr>
            <w:tcW w:w="1502" w:type="dxa"/>
            <w:vMerge/>
            <w:vAlign w:val="center"/>
          </w:tcPr>
          <w:p/>
        </w:tc>
        <w:tc>
          <w:tcPr>
            <w:tcW w:w="4500" w:type="dxa"/>
            <w:tcBorders>
              <w:left w:val="single" w:sz="4" w:space="0" w:color="auto"/>
            </w:tcBorders>
            <w:vAlign w:val="center"/>
          </w:tcPr>
          <w:p>
            <w:pPr>
              <w:spacing w:line="30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维修结束后及时清理维修现场(5分)</w:t>
            </w:r>
          </w:p>
        </w:tc>
        <w:tc>
          <w:tcPr>
            <w:tcW w:w="2499" w:type="dxa"/>
            <w:tcBorders>
              <w:left w:val="single" w:sz="4" w:space="0" w:color="auto"/>
            </w:tcBorders>
            <w:vAlign w:val="center"/>
          </w:tcPr>
          <w:p>
            <w:pPr>
              <w:spacing w:line="300" w:lineRule="atLeast"/>
              <w:ind w:leftChars="-5" w:left="0" w:hangingChars="6" w:hanging="14"/>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每次扣1分。</w:t>
            </w:r>
          </w:p>
        </w:tc>
      </w:tr>
      <w:tr>
        <w:trPr>
          <w:trHeight w:val="509"/>
        </w:trPr>
        <w:tc>
          <w:tcPr>
            <w:tcW w:w="1502" w:type="dxa"/>
            <w:vMerge/>
            <w:vAlign w:val="center"/>
          </w:tcPr>
          <w:p/>
        </w:tc>
        <w:tc>
          <w:tcPr>
            <w:tcW w:w="4500" w:type="dxa"/>
            <w:tcBorders>
              <w:left w:val="single" w:sz="4" w:space="0" w:color="auto"/>
            </w:tcBorders>
            <w:vAlign w:val="center"/>
          </w:tcPr>
          <w:p>
            <w:pPr>
              <w:spacing w:line="30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维修办公室干净、整齐，上班期间按规定着装（工作服、工作鞋、工号牌等(5分)</w:t>
            </w:r>
          </w:p>
        </w:tc>
        <w:tc>
          <w:tcPr>
            <w:tcW w:w="2499" w:type="dxa"/>
            <w:tcBorders>
              <w:left w:val="single" w:sz="4" w:space="0" w:color="auto"/>
            </w:tcBorders>
            <w:vAlign w:val="center"/>
          </w:tcPr>
          <w:p>
            <w:pPr>
              <w:spacing w:line="300" w:lineRule="atLeast"/>
              <w:ind w:leftChars="-5" w:left="0" w:hangingChars="6" w:hanging="14"/>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每次扣1分。</w:t>
            </w:r>
          </w:p>
        </w:tc>
      </w:tr>
      <w:tr>
        <w:trPr>
          <w:trHeight w:val="509"/>
        </w:trPr>
        <w:tc>
          <w:tcPr>
            <w:tcW w:w="1502" w:type="dxa"/>
            <w:vMerge/>
            <w:vAlign w:val="center"/>
          </w:tcPr>
          <w:p/>
        </w:tc>
        <w:tc>
          <w:tcPr>
            <w:tcW w:w="4500" w:type="dxa"/>
            <w:tcBorders>
              <w:left w:val="single" w:sz="4" w:space="0" w:color="auto"/>
            </w:tcBorders>
            <w:vAlign w:val="center"/>
          </w:tcPr>
          <w:p>
            <w:pPr>
              <w:spacing w:line="30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不遵守安全操作规程，盲目操作或由于工作马虎造成电气事故或其它事故(15分)</w:t>
            </w:r>
          </w:p>
        </w:tc>
        <w:tc>
          <w:tcPr>
            <w:tcW w:w="2499" w:type="dxa"/>
            <w:tcBorders>
              <w:left w:val="single" w:sz="4" w:space="0" w:color="auto"/>
            </w:tcBorders>
            <w:vAlign w:val="center"/>
          </w:tcPr>
          <w:p>
            <w:pPr>
              <w:spacing w:line="300" w:lineRule="atLeast"/>
              <w:ind w:leftChars="-5" w:left="0" w:hangingChars="6" w:hanging="14"/>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视情节轻重扣分。</w:t>
            </w:r>
          </w:p>
        </w:tc>
      </w:tr>
      <w:tr>
        <w:trPr>
          <w:trHeight w:val="390"/>
        </w:trPr>
        <w:tc>
          <w:tcPr>
            <w:tcW w:w="1502" w:type="dxa"/>
            <w:vMerge w:val="restart"/>
            <w:vAlign w:val="center"/>
          </w:tcPr>
          <w:p>
            <w:pPr>
              <w:spacing w:line="300" w:lineRule="atLeast"/>
              <w:ind w:left="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服务态度</w:t>
            </w:r>
          </w:p>
          <w:p>
            <w:pPr>
              <w:spacing w:line="300" w:lineRule="atLeast"/>
              <w:ind w:left="0"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(25分)</w:t>
            </w:r>
          </w:p>
        </w:tc>
        <w:tc>
          <w:tcPr>
            <w:tcW w:w="4500" w:type="dxa"/>
            <w:tcBorders>
              <w:left w:val="single" w:sz="4" w:space="0" w:color="auto"/>
            </w:tcBorders>
            <w:vAlign w:val="center"/>
          </w:tcPr>
          <w:p>
            <w:pPr>
              <w:spacing w:line="30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服务态度生硬，不能满足用户的合理要求或维修（杂工）服务不及时及其它问题，投诉经调查属实(15分)</w:t>
            </w:r>
          </w:p>
        </w:tc>
        <w:tc>
          <w:tcPr>
            <w:tcW w:w="2499" w:type="dxa"/>
            <w:tcBorders>
              <w:left w:val="single" w:sz="4" w:space="0" w:color="auto"/>
            </w:tcBorders>
            <w:vAlign w:val="center"/>
          </w:tcPr>
          <w:p>
            <w:pPr>
              <w:spacing w:line="300" w:lineRule="atLeast"/>
              <w:ind w:leftChars="-5" w:left="0" w:hangingChars="6" w:hanging="14"/>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一次投诉（书面、口头等）扣3分。</w:t>
            </w:r>
          </w:p>
        </w:tc>
      </w:tr>
      <w:tr>
        <w:trPr>
          <w:trHeight w:val="210"/>
        </w:trPr>
        <w:tc>
          <w:tcPr>
            <w:tcW w:w="1502" w:type="dxa"/>
            <w:vMerge/>
            <w:vAlign w:val="center"/>
          </w:tcPr>
          <w:p/>
        </w:tc>
        <w:tc>
          <w:tcPr>
            <w:tcW w:w="4500" w:type="dxa"/>
            <w:tcBorders>
              <w:left w:val="single" w:sz="4" w:space="0" w:color="auto"/>
            </w:tcBorders>
            <w:vAlign w:val="center"/>
          </w:tcPr>
          <w:p>
            <w:pPr>
              <w:widowControl/>
              <w:spacing w:line="30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提供服务过程中注意环保节能，浪费水、电、公物等资源(10分)</w:t>
            </w:r>
          </w:p>
        </w:tc>
        <w:tc>
          <w:tcPr>
            <w:tcW w:w="2499" w:type="dxa"/>
            <w:tcBorders>
              <w:left w:val="single" w:sz="4" w:space="0" w:color="auto"/>
            </w:tcBorders>
            <w:vAlign w:val="center"/>
          </w:tcPr>
          <w:p>
            <w:pPr>
              <w:widowControl/>
              <w:spacing w:line="300" w:lineRule="atLeast"/>
              <w:ind w:leftChars="-5" w:left="0" w:hangingChars="6" w:hanging="14"/>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发现一起扣1分。</w:t>
            </w:r>
          </w:p>
        </w:tc>
      </w:tr>
      <w:tr>
        <w:trPr>
          <w:trHeight w:val="495"/>
        </w:trPr>
        <w:tc>
          <w:tcPr>
            <w:tcW w:w="1502" w:type="dxa"/>
            <w:vAlign w:val="center"/>
          </w:tcPr>
          <w:p>
            <w:pPr>
              <w:spacing w:line="300" w:lineRule="atLeast"/>
              <w:ind w:firstLineChars="0" w:firstLine="0"/>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加分</w:t>
            </w:r>
          </w:p>
        </w:tc>
        <w:tc>
          <w:tcPr>
            <w:tcW w:w="4500" w:type="dxa"/>
            <w:tcBorders>
              <w:left w:val="single" w:sz="4" w:space="0" w:color="auto"/>
            </w:tcBorders>
            <w:vAlign w:val="center"/>
          </w:tcPr>
          <w:p>
            <w:pPr>
              <w:widowControl/>
              <w:spacing w:line="30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有拾金不昧、见义勇为等文明正能量行为，</w:t>
            </w:r>
          </w:p>
        </w:tc>
        <w:tc>
          <w:tcPr>
            <w:tcW w:w="2499" w:type="dxa"/>
            <w:tcBorders>
              <w:left w:val="single" w:sz="4" w:space="0" w:color="auto"/>
            </w:tcBorders>
            <w:vAlign w:val="center"/>
          </w:tcPr>
          <w:p>
            <w:pPr>
              <w:widowControl/>
              <w:spacing w:line="300" w:lineRule="atLeast"/>
              <w:ind w:leftChars="-5" w:left="0" w:hangingChars="6" w:hanging="14"/>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视情情况加1-----10分。</w:t>
            </w:r>
          </w:p>
        </w:tc>
      </w:tr>
    </w:tbl>
    <w:p>
      <w:pPr>
        <w:pStyle w:val="3"/>
        <w:ind w:left="0" w:firstLineChars="0" w:firstLine="0"/>
        <w:jc w:val="both"/>
        <w:rPr>
          <w:rFonts w:ascii="宋体" w:eastAsia="宋体" w:cs="宋体" w:hAnsi="宋体" w:hint="eastAsia"/>
          <w:b w:val="0"/>
          <w:iCs/>
          <w:sz w:val="24"/>
          <w:szCs w:val="24"/>
          <w:shd w:val="clear" w:color="auto" w:fill="auto"/>
        </w:rPr>
      </w:pPr>
      <w:bookmarkStart w:id="1" w:name="_Toc101611683"/>
      <w:bookmarkEnd w:id="0"/>
      <w:r>
        <w:rPr>
          <w:rFonts w:ascii="仿宋" w:eastAsia="仿宋" w:cs="仿宋" w:hAnsi="仿宋" w:hint="eastAsia"/>
          <w:b w:val="0"/>
          <w:iCs/>
          <w:sz w:val="24"/>
          <w:szCs w:val="24"/>
          <w:shd w:val="clear" w:color="auto" w:fill="auto"/>
        </w:rPr>
        <w:t xml:space="preserve">附件三 </w:t>
      </w:r>
      <w:r>
        <w:rPr>
          <w:rFonts w:ascii="宋体" w:eastAsia="宋体" w:cs="宋体" w:hAnsi="宋体" w:hint="eastAsia"/>
          <w:b w:val="0"/>
          <w:iCs/>
          <w:sz w:val="24"/>
          <w:szCs w:val="24"/>
          <w:shd w:val="clear" w:color="auto" w:fill="auto"/>
        </w:rPr>
        <w:t xml:space="preserve">            </w:t>
      </w:r>
    </w:p>
    <w:p>
      <w:pPr>
        <w:pStyle w:val="3"/>
        <w:ind w:left="0" w:firstLineChars="0" w:firstLine="0"/>
        <w:jc w:val="center"/>
        <w:rPr>
          <w:rFonts w:ascii="宋体" w:eastAsia="宋体" w:cs="宋体" w:hAnsi="宋体" w:hint="eastAsia"/>
          <w:b w:val="0"/>
          <w:iCs/>
          <w:sz w:val="24"/>
          <w:szCs w:val="24"/>
          <w:shd w:val="clear" w:color="auto" w:fill="auto"/>
        </w:rPr>
      </w:pPr>
      <w:r>
        <w:rPr>
          <w:rFonts w:ascii="黑体" w:eastAsia="黑体" w:cs="黑体" w:hAnsi="黑体" w:hint="eastAsia"/>
          <w:b w:val="0"/>
          <w:iCs/>
          <w:sz w:val="24"/>
          <w:szCs w:val="24"/>
          <w:shd w:val="clear" w:color="auto" w:fill="auto"/>
        </w:rPr>
        <w:t>温州职业技术学院瓯海校区绿地养护检查评分标准</w:t>
      </w:r>
    </w:p>
    <w:tbl>
      <w:tblPr>
        <w:jc w:val="center"/>
        <w:tblW w:w="8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1134"/>
        <w:gridCol w:w="4150"/>
        <w:gridCol w:w="3052"/>
      </w:tblGrid>
      <w:tr>
        <w:trPr>
          <w:trHeight w:val="509"/>
        </w:trPr>
        <w:tc>
          <w:tcPr>
            <w:tcW w:w="1134" w:type="dxa"/>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项目</w:t>
            </w:r>
          </w:p>
        </w:tc>
        <w:tc>
          <w:tcPr>
            <w:tcW w:w="4150" w:type="dxa"/>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分项标准</w:t>
            </w:r>
          </w:p>
        </w:tc>
        <w:tc>
          <w:tcPr>
            <w:tcW w:w="3052" w:type="dxa"/>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评分细则</w:t>
            </w:r>
          </w:p>
        </w:tc>
      </w:tr>
      <w:tr>
        <w:trPr>
          <w:trHeight w:val="1160"/>
        </w:trPr>
        <w:tc>
          <w:tcPr>
            <w:tcW w:w="1134" w:type="dxa"/>
            <w:vMerge w:val="restart"/>
            <w:vAlign w:val="center"/>
          </w:tcPr>
          <w:p>
            <w:pPr>
              <w:spacing w:line="340" w:lineRule="atLeast"/>
              <w:ind w:left="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色块、乔木类养护</w:t>
            </w:r>
          </w:p>
          <w:p>
            <w:pPr>
              <w:spacing w:line="340" w:lineRule="atLeast"/>
              <w:ind w:left="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（30分）</w:t>
            </w:r>
          </w:p>
        </w:tc>
        <w:tc>
          <w:tcPr>
            <w:tcW w:w="4150"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根据设计意图体现植物造景，对植物群落进行合理养护，使植物季相分明，色彩丰富，生长茂盛，营造优美植物景观。（8分）</w:t>
            </w:r>
          </w:p>
        </w:tc>
        <w:tc>
          <w:tcPr>
            <w:tcW w:w="3052"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因养护不当造成植物生长不良或影响景观的，每处扣1分</w:t>
            </w:r>
          </w:p>
        </w:tc>
      </w:tr>
      <w:tr>
        <w:trPr>
          <w:trHeight w:val="1538"/>
        </w:trPr>
        <w:tc>
          <w:tcPr>
            <w:tcW w:w="1134" w:type="dxa"/>
            <w:vMerge/>
            <w:vAlign w:val="center"/>
          </w:tcPr>
          <w:p/>
        </w:tc>
        <w:tc>
          <w:tcPr>
            <w:tcW w:w="4150"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树林及时修剪，无倾斜倒伏，无徒长枝、病虫枝、枯枝；宿根植物及时翻种、断根、间删。（10分）</w:t>
            </w:r>
          </w:p>
        </w:tc>
        <w:tc>
          <w:tcPr>
            <w:tcW w:w="3052"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树形不优美、有倾斜倒伏，每株扣1分；有徒长枝、病虫枝、枯枝的，每处扣0.5分；宿根植物没和到及时翻种、断根、间删的，每处扣1分。</w:t>
            </w:r>
          </w:p>
        </w:tc>
      </w:tr>
      <w:tr>
        <w:trPr>
          <w:trHeight w:val="1495"/>
        </w:trPr>
        <w:tc>
          <w:tcPr>
            <w:tcW w:w="1134" w:type="dxa"/>
            <w:vMerge/>
            <w:vAlign w:val="center"/>
          </w:tcPr>
          <w:p/>
        </w:tc>
        <w:tc>
          <w:tcPr>
            <w:tcW w:w="4150"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草坪及地被生长茂盛，无空秃，无明显杂草。草坪边缘线清晰（及时切边），草高不超过8厘米，常绿草草坪要求草种纯正，草高不超过6厘米。（6分）</w:t>
            </w:r>
          </w:p>
        </w:tc>
        <w:tc>
          <w:tcPr>
            <w:tcW w:w="3052" w:type="dxa"/>
            <w:tcBorders>
              <w:left w:val="single" w:sz="4" w:space="0" w:color="auto"/>
            </w:tcBorders>
            <w:vAlign w:val="center"/>
          </w:tcPr>
          <w:p>
            <w:pPr>
              <w:spacing w:line="340" w:lineRule="atLeast"/>
              <w:ind w:left="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草坪有空秃的，每平方米扣0.5分；</w:t>
            </w:r>
          </w:p>
          <w:p>
            <w:pPr>
              <w:spacing w:line="340" w:lineRule="atLeast"/>
              <w:ind w:left="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草坪边缘线不清晰的，每处扣0.5分；草坪修剪不及时，每处扣1分；</w:t>
            </w:r>
          </w:p>
          <w:p>
            <w:pPr>
              <w:spacing w:line="340" w:lineRule="atLeast"/>
              <w:ind w:left="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常绿草草种不纯正，每处扣0.5分。</w:t>
            </w:r>
          </w:p>
        </w:tc>
      </w:tr>
      <w:tr>
        <w:trPr>
          <w:trHeight w:val="509"/>
        </w:trPr>
        <w:tc>
          <w:tcPr>
            <w:tcW w:w="1134" w:type="dxa"/>
            <w:vMerge/>
            <w:vAlign w:val="center"/>
          </w:tcPr>
          <w:p/>
        </w:tc>
        <w:tc>
          <w:tcPr>
            <w:tcW w:w="4150"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绿地内无杂草。（6分）</w:t>
            </w:r>
          </w:p>
        </w:tc>
        <w:tc>
          <w:tcPr>
            <w:tcW w:w="3052"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绿地内发杂草明显的，每处扣1分。</w:t>
            </w:r>
          </w:p>
        </w:tc>
      </w:tr>
      <w:tr>
        <w:trPr>
          <w:trHeight w:val="1309"/>
        </w:trPr>
        <w:tc>
          <w:tcPr>
            <w:tcW w:w="1134" w:type="dxa"/>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植物保存率（18分）</w:t>
            </w:r>
          </w:p>
        </w:tc>
        <w:tc>
          <w:tcPr>
            <w:tcW w:w="4150"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黄土不裸露，树木保存率100%。（18分）</w:t>
            </w:r>
          </w:p>
        </w:tc>
        <w:tc>
          <w:tcPr>
            <w:tcW w:w="3052"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乔木每死、缺一株，扣1.5分；大中型灌木每死、缺一株，扣1分；小灌木死、缺株明显，每处扣1分。有黄土裸露的，每处扣1分。</w:t>
            </w:r>
          </w:p>
        </w:tc>
      </w:tr>
      <w:tr>
        <w:trPr>
          <w:trHeight w:val="1358"/>
        </w:trPr>
        <w:tc>
          <w:tcPr>
            <w:tcW w:w="1134" w:type="dxa"/>
            <w:vMerge w:val="restart"/>
            <w:vAlign w:val="center"/>
          </w:tcPr>
          <w:p>
            <w:pPr>
              <w:spacing w:line="340" w:lineRule="atLeast"/>
              <w:ind w:left="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设施维护</w:t>
            </w:r>
          </w:p>
          <w:p>
            <w:pPr>
              <w:spacing w:line="340" w:lineRule="atLeast"/>
              <w:ind w:left="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（10分）</w:t>
            </w:r>
          </w:p>
        </w:tc>
        <w:tc>
          <w:tcPr>
            <w:tcW w:w="4150"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园路、铺装地坪平整，无大面积破损、无积水、无淤泥。（4分）</w:t>
            </w:r>
          </w:p>
        </w:tc>
        <w:tc>
          <w:tcPr>
            <w:tcW w:w="3052"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园路破损或积水面积在1平方米以内的，每处扣0.5分；面积在1-5平方米的，每处扣1分；面积在5平方米以上的，每处扣2分。草坪积水每处扣1分。</w:t>
            </w:r>
          </w:p>
        </w:tc>
      </w:tr>
      <w:tr>
        <w:trPr>
          <w:trHeight w:val="514"/>
        </w:trPr>
        <w:tc>
          <w:tcPr>
            <w:tcW w:w="1134" w:type="dxa"/>
            <w:vMerge/>
            <w:vAlign w:val="center"/>
          </w:tcPr>
          <w:p/>
        </w:tc>
        <w:tc>
          <w:tcPr>
            <w:tcW w:w="4150"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园林建筑的绿化保持美观，及时修整，维护良好。（6分）</w:t>
            </w:r>
          </w:p>
        </w:tc>
        <w:tc>
          <w:tcPr>
            <w:tcW w:w="3052" w:type="dxa"/>
            <w:tcBorders>
              <w:left w:val="single" w:sz="4" w:space="0" w:color="auto"/>
            </w:tcBorders>
            <w:vAlign w:val="center"/>
          </w:tcPr>
          <w:p>
            <w:pPr>
              <w:spacing w:line="340" w:lineRule="atLeast"/>
              <w:ind w:left="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园林构筑物破损失修、漆面剥落的，每处扣1分；</w:t>
            </w:r>
          </w:p>
          <w:p>
            <w:pPr>
              <w:spacing w:line="340" w:lineRule="atLeast"/>
              <w:ind w:left="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园林构筑物存在安全隐患的，扣除本分项全部分数（3分）；</w:t>
            </w:r>
          </w:p>
          <w:p>
            <w:pPr>
              <w:spacing w:line="340" w:lineRule="atLeast"/>
              <w:ind w:left="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园林构筑物表面有刻、招贴的，每处扣1分。</w:t>
            </w:r>
          </w:p>
        </w:tc>
      </w:tr>
      <w:tr>
        <w:trPr>
          <w:trHeight w:val="1124"/>
        </w:trPr>
        <w:tc>
          <w:tcPr>
            <w:tcW w:w="1134" w:type="dxa"/>
            <w:vAlign w:val="center"/>
          </w:tcPr>
          <w:p>
            <w:pPr>
              <w:spacing w:line="340" w:lineRule="atLeast"/>
              <w:ind w:left="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土肥标准</w:t>
            </w:r>
          </w:p>
          <w:p>
            <w:pPr>
              <w:spacing w:line="340" w:lineRule="atLeast"/>
              <w:ind w:left="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（12分）</w:t>
            </w:r>
          </w:p>
        </w:tc>
        <w:tc>
          <w:tcPr>
            <w:tcW w:w="4150"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土壤疏松，根据植物生长特性及时施肥，要求一年施肥二次，并适时加施追肥，改善土壤理化性状。（12分）</w:t>
            </w:r>
          </w:p>
        </w:tc>
        <w:tc>
          <w:tcPr>
            <w:tcW w:w="3052" w:type="dxa"/>
            <w:tcBorders>
              <w:left w:val="single" w:sz="4" w:space="0" w:color="auto"/>
            </w:tcBorders>
            <w:vAlign w:val="center"/>
          </w:tcPr>
          <w:p>
            <w:pPr>
              <w:spacing w:line="340" w:lineRule="atLeast"/>
              <w:ind w:left="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土壤板结、有明显积水的，每处扣2分；</w:t>
            </w:r>
          </w:p>
          <w:p>
            <w:pPr>
              <w:spacing w:line="340" w:lineRule="atLeast"/>
              <w:ind w:left="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无施肥记录或不按规定施肥的，扣除本分项全部分数8分。</w:t>
            </w:r>
          </w:p>
        </w:tc>
      </w:tr>
      <w:tr>
        <w:trPr>
          <w:trHeight w:val="1242"/>
        </w:trPr>
        <w:tc>
          <w:tcPr>
            <w:tcW w:w="1134" w:type="dxa"/>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病虫害防治（10分）</w:t>
            </w:r>
          </w:p>
        </w:tc>
        <w:tc>
          <w:tcPr>
            <w:tcW w:w="4150"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提倡综合防治，以防为主。病虫害危害应控制在以不影响观赏效果的范围之内。（10分）</w:t>
            </w:r>
          </w:p>
        </w:tc>
        <w:tc>
          <w:tcPr>
            <w:tcW w:w="3052" w:type="dxa"/>
            <w:tcBorders>
              <w:left w:val="single" w:sz="4" w:space="0" w:color="auto"/>
            </w:tcBorders>
            <w:vAlign w:val="center"/>
          </w:tcPr>
          <w:p>
            <w:pPr>
              <w:spacing w:line="340" w:lineRule="atLeast"/>
              <w:ind w:left="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乔木有明显病虫害的，每发现一株扣0.5分。</w:t>
            </w:r>
          </w:p>
          <w:p>
            <w:pPr>
              <w:spacing w:line="340" w:lineRule="atLeast"/>
              <w:ind w:left="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绿化带有明显病虫害的，每处扣1分。</w:t>
            </w:r>
          </w:p>
        </w:tc>
      </w:tr>
      <w:tr>
        <w:trPr>
          <w:trHeight w:val="998"/>
        </w:trPr>
        <w:tc>
          <w:tcPr>
            <w:tcW w:w="1134" w:type="dxa"/>
            <w:vMerge w:val="restart"/>
            <w:vAlign w:val="center"/>
          </w:tcPr>
          <w:p>
            <w:pPr>
              <w:spacing w:line="340" w:lineRule="atLeast"/>
              <w:ind w:left="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卫生标准</w:t>
            </w:r>
          </w:p>
          <w:p>
            <w:pPr>
              <w:spacing w:line="340" w:lineRule="atLeast"/>
              <w:ind w:left="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（8分）</w:t>
            </w:r>
          </w:p>
        </w:tc>
        <w:tc>
          <w:tcPr>
            <w:tcW w:w="4150"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绿地及附属设施整洁，地面卫生，无垃圾杂物，无招贴，叶片无积尘。（4分）</w:t>
            </w:r>
          </w:p>
        </w:tc>
        <w:tc>
          <w:tcPr>
            <w:tcW w:w="3052"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叶片有明显积尘，扣1分。</w:t>
            </w:r>
          </w:p>
        </w:tc>
      </w:tr>
      <w:tr>
        <w:trPr>
          <w:trHeight w:val="840"/>
        </w:trPr>
        <w:tc>
          <w:tcPr>
            <w:tcW w:w="1134" w:type="dxa"/>
            <w:vMerge/>
            <w:vAlign w:val="center"/>
          </w:tcPr>
          <w:p/>
        </w:tc>
        <w:tc>
          <w:tcPr>
            <w:tcW w:w="4150"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绿化垃圾日产日清，无绿地卫生死角。（4分）</w:t>
            </w:r>
          </w:p>
        </w:tc>
        <w:tc>
          <w:tcPr>
            <w:tcW w:w="3052" w:type="dxa"/>
            <w:tcBorders>
              <w:left w:val="single" w:sz="4" w:space="0" w:color="auto"/>
            </w:tcBorders>
            <w:vAlign w:val="center"/>
          </w:tcPr>
          <w:p>
            <w:pPr>
              <w:spacing w:line="340" w:lineRule="atLeast"/>
              <w:ind w:left="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绿地内垃圾较多的，一次扣2分；</w:t>
            </w:r>
          </w:p>
          <w:p>
            <w:pPr>
              <w:spacing w:line="340" w:lineRule="atLeast"/>
              <w:ind w:left="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有卫生死角的，扣除本分项全部分数4分。</w:t>
            </w:r>
          </w:p>
        </w:tc>
      </w:tr>
      <w:tr>
        <w:trPr>
          <w:trHeight w:val="838"/>
        </w:trPr>
        <w:tc>
          <w:tcPr>
            <w:tcW w:w="1134" w:type="dxa"/>
            <w:vMerge w:val="restart"/>
            <w:vAlign w:val="center"/>
          </w:tcPr>
          <w:p>
            <w:pPr>
              <w:spacing w:line="340" w:lineRule="atLeast"/>
              <w:ind w:left="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管理标准</w:t>
            </w:r>
          </w:p>
          <w:p>
            <w:pPr>
              <w:spacing w:line="340" w:lineRule="atLeast"/>
              <w:ind w:left="0"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（12分）</w:t>
            </w:r>
          </w:p>
        </w:tc>
        <w:tc>
          <w:tcPr>
            <w:tcW w:w="4150"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树枝或树枝上无钉子、铁丝等破坏树木生长的现象。（4分）</w:t>
            </w:r>
          </w:p>
        </w:tc>
        <w:tc>
          <w:tcPr>
            <w:tcW w:w="3052"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树干或树枝上有钉子或扎缚铁丝、电线者，每处扣0.5分。</w:t>
            </w:r>
          </w:p>
        </w:tc>
      </w:tr>
      <w:tr>
        <w:trPr>
          <w:trHeight w:val="797"/>
        </w:trPr>
        <w:tc>
          <w:tcPr>
            <w:tcW w:w="1134" w:type="dxa"/>
            <w:vMerge/>
            <w:vAlign w:val="center"/>
          </w:tcPr>
          <w:p/>
        </w:tc>
        <w:tc>
          <w:tcPr>
            <w:tcW w:w="4150"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绿地管理制度落实，养护管理人员到位（4分）</w:t>
            </w:r>
          </w:p>
        </w:tc>
        <w:tc>
          <w:tcPr>
            <w:tcW w:w="3052"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绿地管理制度未得到全面落实的，扣2分；管理人员未到位的，扣2分。</w:t>
            </w:r>
          </w:p>
        </w:tc>
      </w:tr>
      <w:tr>
        <w:trPr>
          <w:trHeight w:val="881"/>
        </w:trPr>
        <w:tc>
          <w:tcPr>
            <w:tcW w:w="1134" w:type="dxa"/>
            <w:vMerge/>
            <w:vAlign w:val="center"/>
          </w:tcPr>
          <w:p/>
        </w:tc>
        <w:tc>
          <w:tcPr>
            <w:tcW w:w="4150"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无违章占绿、无违法建设</w:t>
            </w:r>
          </w:p>
        </w:tc>
        <w:tc>
          <w:tcPr>
            <w:tcW w:w="3052"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一旦发现违章占绿或违法建设情况，未及时查处，扣除该项目全部分数（12分）。</w:t>
            </w:r>
          </w:p>
        </w:tc>
      </w:tr>
      <w:tr>
        <w:trPr>
          <w:trHeight w:val="1044"/>
        </w:trPr>
        <w:tc>
          <w:tcPr>
            <w:tcW w:w="1134" w:type="dxa"/>
            <w:vMerge/>
            <w:vAlign w:val="center"/>
          </w:tcPr>
          <w:p/>
        </w:tc>
        <w:tc>
          <w:tcPr>
            <w:tcW w:w="4150"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秩序良好，无乱堆乱放、晾晒衣物现象。（4分）</w:t>
            </w:r>
          </w:p>
        </w:tc>
        <w:tc>
          <w:tcPr>
            <w:tcW w:w="3052" w:type="dxa"/>
            <w:tcBorders>
              <w:left w:val="single" w:sz="4" w:space="0" w:color="auto"/>
            </w:tcBorders>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有乱堆乱放杂物情况的，每处扣2分；有晾晒衣物情况的，每处扣2分。</w:t>
            </w:r>
          </w:p>
        </w:tc>
      </w:tr>
      <w:tr>
        <w:trPr>
          <w:trHeight w:val="3362"/>
        </w:trPr>
        <w:tc>
          <w:tcPr>
            <w:tcW w:w="1134" w:type="dxa"/>
            <w:vAlign w:val="center"/>
          </w:tcPr>
          <w:p>
            <w:pPr>
              <w:spacing w:line="340" w:lineRule="atLeast"/>
              <w:ind w:firstLineChars="0" w:firstLine="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扣罚金额</w:t>
            </w:r>
          </w:p>
        </w:tc>
        <w:tc>
          <w:tcPr>
            <w:tcW w:w="7202" w:type="dxa"/>
            <w:gridSpan w:val="2"/>
            <w:tcBorders>
              <w:left w:val="single" w:sz="4" w:space="0" w:color="auto"/>
            </w:tcBorders>
            <w:vAlign w:val="center"/>
          </w:tcPr>
          <w:p>
            <w:pPr>
              <w:spacing w:line="340" w:lineRule="atLeast"/>
              <w:ind w:firstLineChars="200" w:firstLine="48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1、草坪有明显病虫害和杂物等，每处酌情扣10—50元。绿地要基本无杂草，无杂物，发现不符要求，每处扣10—50元。</w:t>
            </w:r>
          </w:p>
          <w:p>
            <w:pPr>
              <w:spacing w:line="340" w:lineRule="atLeast"/>
              <w:ind w:firstLineChars="200" w:firstLine="48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2、由于养护管理不善，造成苗木死亡。①负责适时补植同样品种和大小基本相符树木。②按市场价赔偿。</w:t>
            </w:r>
          </w:p>
          <w:p>
            <w:pPr>
              <w:spacing w:line="340" w:lineRule="atLeast"/>
              <w:ind w:firstLineChars="200" w:firstLine="48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3、树木修剪按校园绿化区划分，每个绿化区有发现修剪不及时和不符合标准，酌情扣罚50—100元。</w:t>
            </w:r>
          </w:p>
          <w:p>
            <w:pPr>
              <w:spacing w:line="340" w:lineRule="atLeast"/>
              <w:ind w:firstLineChars="200" w:firstLine="48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4、养护单位必须按照植物生长规律按时、足量对学校所有绿地植物施肥，发现偷工减料或由于肥料原因造成的苗木或绿地损失，甲方会对乙方的承包款进行相应的扣罚，并在每月不定期检查打分过程中进行扣分处理，若连续两次得分在75分以下，取消养护单位的养护资格。</w:t>
            </w:r>
          </w:p>
        </w:tc>
      </w:tr>
    </w:tbl>
    <w:p>
      <w:pPr>
        <w:spacing w:line="340" w:lineRule="atLeast"/>
        <w:ind w:firstLineChars="200" w:firstLine="480"/>
        <w:jc w:val="both"/>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备注；校区保洁、维修、绿地养护在每月不定期检查打分中，其加权（权重分别为保洁60%、维修20%、绿化20%）得分连续两次在75分以下，将取消供应商资格。</w:t>
      </w:r>
    </w:p>
    <w:p>
      <w:bookmarkStart w:id="2" w:name="_GoBack"/>
      <w:bookmarkEnd w:id="1"/>
      <w:bookmarkEnd w:id="2"/>
    </w:p>
    <w:sectPr>
      <w:pgSz w:w="11907" w:h="16839"/>
      <w:pgMar w:top="1440" w:right="1800" w:bottom="1440" w:left="1800" w:header="851" w:footer="992" w:gutter="0"/>
      <w:docGrid w:type="lines" w:linePitch="381" w:charSpace="0"/>
    </w:sectPr>
  </w:body>
</w:document>
</file>

<file path=word/fontTable.xml><?xml version="1.0" encoding="utf-8"?>
<w:fonts xmlns:w="http://schemas.openxmlformats.org/wordprocessingml/2006/main" xmlns:r="http://schemas.openxmlformats.org/officeDocument/2006/relationships">
  <w:font w:name="仿宋">
    <w:panose1 w:val="02010609060101010101"/>
    <w:charset w:val="86"/>
    <w:family w:val="modern"/>
    <w:pitch w:val="variable"/>
    <w:sig w:usb0="800002BF" w:usb1="38CF7CFA" w:usb2="00000016" w:usb3="00000000" w:csb0="00040001" w:csb1="00000000"/>
  </w:font>
  <w:font w:name="宋体">
    <w:panose1 w:val="02010600030101010101"/>
    <w:charset w:val="86"/>
    <w:family w:val="auto"/>
    <w:pitch w:val="variable"/>
    <w:sig w:usb0="00000003" w:usb1="080E0000" w:usb2="00000000" w:usb3="00000000" w:csb0="00040001" w:csb1="00000000"/>
  </w:font>
  <w:font w:name="黑体">
    <w:panose1 w:val="02010609060101010101"/>
    <w:charset w:val="86"/>
    <w:family w:val="auto"/>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0"/>
    <w:family w:val="auto"/>
    <w:pitch w:val="variable"/>
    <w:sig w:usb0="00007A87" w:usb1="80000000" w:usb2="00000008" w:usb3="00000000" w:csb0="400001FF" w:csb1="FFFF0000"/>
  </w:font>
  <w:font w:name="Calibri">
    <w:panose1 w:val="020F0502020204030204"/>
    <w:charset w:val="00"/>
    <w:family w:val="swiss"/>
    <w:pitch w:val="variable"/>
    <w:sig w:usb0="E4002EFF" w:usb1="C000247B" w:usb2="00000009" w:usb3="00000000" w:csb0="200001F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isplayBackgroundShape/>
  <w:bordersDoNotSurroundHeader/>
  <w:bordersDoNotSurroundFooter/>
  <w:defaultTabStop w:val="420"/>
  <w:drawingGridHorizontalSpacing w:val="140"/>
  <w:drawingGridVerticalSpacing w:val="190"/>
  <w:displayHorizontalDrawingGridEvery w:val="0"/>
  <w:displayVerticalDrawingGridEvery w:val="1"/>
  <w:characterSpacingControl w:val="compressPunctuation"/>
  <w:compat>
    <w:spaceForUL/>
    <w:balanceSingleByteDoubleByteWidth/>
    <w:ulTrailSpace/>
    <w:doNotExpandShiftReturn/>
    <w:adjustLineHeightInTable/>
    <w:compatSetting w:name="compatibilityMode" w:uri="http://schemas.microsoft.com/office/word" w:val="15"/>
  </w:compat>
  <m:mathPr>
    <m:mathFont m:val="Cambria Math"/>
    <m:brkBin m:val="before"/>
    <m:brkBinSub m:val="--"/>
    <m:smallFrac/>
    <m:dispDef/>
    <m:lMargin m:val="0"/>
    <m:rMargin m:val="0"/>
    <m:defJc m:val="centerGroup"/>
    <m:wrapIndent m:val="1440"/>
    <m:intLim m:val="subSup"/>
    <m:naryLim m:val="undOvr"/>
  </m:mathPr>
  <w:doNotIncludeSubdocsInStat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qFormat/>
    <w:next w:val="1"/>
    <w:pPr>
      <w:widowControl w:val="0"/>
      <w:spacing w:line="480" w:lineRule="exact"/>
      <w:ind w:firstLineChars="200" w:firstLine="200"/>
      <w:contextualSpacing/>
    </w:pPr>
    <w:rPr>
      <w:rFonts w:ascii="Calibri" w:eastAsia="仿宋" w:cs="黑体" w:hAnsi="Calibri"/>
      <w:kern w:val="2"/>
      <w:sz w:val="28"/>
      <w:szCs w:val="22"/>
      <w:lang w:val="en-US" w:eastAsia="zh-CN" w:bidi="ar-SA"/>
    </w:rPr>
  </w:style>
  <w:style w:type="paragraph" w:styleId="1">
    <w:name w:val="heading 1"/>
    <w:qFormat/>
    <w:basedOn w:val="0"/>
    <w:next w:val="0"/>
    <w:link w:val="1Char"/>
    <w:pPr>
      <w:keepNext/>
      <w:keepLines/>
      <w:spacing w:before="340" w:after="330" w:line="578" w:lineRule="auto"/>
      <w:outlineLvl w:val="0"/>
    </w:pPr>
    <w:rPr>
      <w:b/>
      <w:bCs/>
      <w:kern w:val="44"/>
      <w:sz w:val="44"/>
      <w:szCs w:val="44"/>
    </w:rPr>
  </w:style>
  <w:style w:type="character" w:customStyle="1" w:styleId="1Char">
    <w:name w:val="heading 1 Char"/>
    <w:basedOn w:val="10"/>
    <w:link w:val="1"/>
    <w:rPr>
      <w:rFonts w:ascii="Calibri" w:eastAsia="仿宋" w:cs="黑体" w:hAnsi="Calibri"/>
      <w:b/>
      <w:bCs/>
      <w:kern w:val="44"/>
      <w:sz w:val="44"/>
      <w:szCs w:val="44"/>
      <w:lang w:val="en-US" w:eastAsia="zh-CN" w:bidi="ar-SA"/>
    </w:rPr>
  </w:style>
  <w:style w:type="paragraph" w:styleId="2">
    <w:name w:val="heading 2"/>
    <w:qFormat/>
    <w:basedOn w:val="0"/>
    <w:next w:val="0"/>
    <w:link w:val="2Char"/>
    <w:pPr>
      <w:keepNext/>
      <w:keepLines/>
      <w:spacing w:before="260" w:after="260" w:line="415" w:lineRule="auto"/>
      <w:outlineLvl w:val="1"/>
    </w:pPr>
    <w:rPr>
      <w:rFonts w:ascii="Times New Roman" w:eastAsia="黑体" w:hAnsi="Times New Roman"/>
      <w:b/>
      <w:bCs/>
      <w:sz w:val="32"/>
      <w:szCs w:val="32"/>
    </w:rPr>
  </w:style>
  <w:style w:type="character" w:customStyle="1" w:styleId="2Char">
    <w:name w:val="heading 2 Char"/>
    <w:basedOn w:val="10"/>
    <w:link w:val="2"/>
    <w:rPr>
      <w:rFonts w:ascii="Times New Roman" w:eastAsia="黑体" w:cs="黑体" w:hAnsi="Calibri"/>
      <w:b/>
      <w:bCs/>
      <w:kern w:val="2"/>
      <w:sz w:val="32"/>
      <w:szCs w:val="32"/>
      <w:lang w:val="en-US" w:eastAsia="zh-CN" w:bidi="ar-SA"/>
    </w:rPr>
  </w:style>
  <w:style w:type="paragraph" w:styleId="3">
    <w:name w:val="heading 3"/>
    <w:qFormat/>
    <w:basedOn w:val="0"/>
    <w:next w:val="0"/>
    <w:link w:val="3Char"/>
    <w:pPr>
      <w:keepNext/>
      <w:keepLines/>
      <w:spacing w:line="413" w:lineRule="auto"/>
      <w:ind w:firstLineChars="200" w:firstLine="200"/>
      <w:contextualSpacing/>
      <w:outlineLvl w:val="2"/>
    </w:pPr>
    <w:rPr>
      <w:rFonts w:ascii="Times New Roman" w:eastAsia="仿宋" w:cs="Times New Roman" w:hAnsi="Times New Roman"/>
      <w:b/>
      <w:bCs/>
      <w:color w:val="FF0000"/>
      <w:kern w:val="2"/>
      <w:sz w:val="28"/>
      <w:szCs w:val="32"/>
      <w:lang w:val="en-US" w:eastAsia="zh-CN" w:bidi="ar-SA"/>
    </w:rPr>
  </w:style>
  <w:style w:type="character" w:customStyle="1" w:styleId="3Char">
    <w:name w:val="heading 3 Char"/>
    <w:basedOn w:val="10"/>
    <w:link w:val="3"/>
    <w:rPr>
      <w:rFonts w:ascii="Times New Roman" w:eastAsia="仿宋" w:cs="Times New Roman" w:hAnsi="Times New Roman"/>
      <w:b/>
      <w:bCs/>
      <w:color w:val="FF0000"/>
      <w:kern w:val="2"/>
      <w:sz w:val="28"/>
      <w:szCs w:val="32"/>
      <w:lang w:val="en-US" w:eastAsia="zh-CN" w:bidi="ar-SA"/>
    </w:rPr>
  </w:style>
  <w:style w:type="character" w:default="1" w:styleId="10">
    <w:name w:val="Default Paragraph Font"/>
    <w:qFormat/>
  </w:style>
  <w:style w:type="paragraph" w:styleId="36">
    <w:name w:val="table of figures"/>
    <w:qFormat/>
    <w:basedOn w:val="0"/>
    <w:next w:val="0"/>
    <w:pPr>
      <w:ind w:leftChars="200" w:left="400" w:hangingChars="200" w:hanging="200"/>
    </w:p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
        <a:ea typeface=""/>
        <a:cs typeface=""/>
      </a:majorFont>
      <a:minorFont>
        <a:latin typefa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1"/>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1"/>
        </a:gradFill>
      </a:fillStyleLst>
      <a:lnStyleLst>
        <a:ln w="6350" cmpd="sng" cap="flat">
          <a:solidFill>
            <a:schemeClr val="phClr"/>
          </a:solidFill>
          <a:prstDash val="solid"/>
          <a:miter/>
        </a:ln>
        <a:ln w="12700" cmpd="sng" cap="flat">
          <a:solidFill>
            <a:schemeClr val="phClr"/>
          </a:solidFill>
          <a:prstDash val="solid"/>
          <a:miter/>
        </a:ln>
        <a:ln w="19050" cmpd="sng" cap="flat">
          <a:solidFill>
            <a:schemeClr val="phClr"/>
          </a:solidFill>
          <a:prstDash val="solid"/>
          <a:miter/>
        </a:ln>
      </a:lnStyleLst>
      <a:effectStyleLst>
        <a:effectStyle>
          <a:effectLst/>
        </a:effectStyle>
        <a:effectStyle>
          <a:effectLst/>
        </a:effectStyle>
        <a:effectStyle>
          <a:effectLst>
            <a:outerShdw sx="100000" sy="100000" algn="b" rotWithShape="0" blurRad="57150" dist="19050" dir="5400000">
              <a:srgbClr val="000000">
                <a:alpha val="62745"/>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1"/>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1 0 1 0 0 0 3000 0 1 1 1 1"/>
    <sectPr/>
  </customProps>
</customData>
</file>

<file path=customXml/itemProps1.xml><?xml version="1.0" encoding="utf-8"?>
<ds:datastoreItem xmlns:ds="http://schemas.openxmlformats.org/officeDocument/2006/customXml" ds:itemID="{4BC59365-39BE-4FE6-944D-8D5436F0B780}">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0</TotalTime>
  <Application>Yozo_Office9.0.5445.102ZH</Application>
  <Pages>6</Pages>
  <Words>0</Words>
  <Characters>3095</Characters>
  <Lines>0</Lines>
  <Paragraphs>11</Paragraphs>
  <CharactersWithSpaces>4127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dc:creator>
  <cp:lastModifiedBy>admin</cp:lastModifiedBy>
  <cp:revision>1</cp:revision>
  <dcterms:created xsi:type="dcterms:W3CDTF">2024-12-30T02:06:48Z</dcterms:created>
  <dcterms:modified xsi:type="dcterms:W3CDTF">2024-12-30T02:07:02Z</dcterms:modified>
</cp:coreProperties>
</file>