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jc w:val="center"/>
        <w:rPr>
          <w:rFonts w:hint="eastAsia" w:ascii="黑体" w:hAnsi="黑体" w:eastAsia="黑体" w:cs="黑体"/>
          <w:b/>
          <w:bCs/>
          <w:color w:val="auto"/>
          <w:sz w:val="36"/>
          <w:szCs w:val="36"/>
          <w:highlight w:val="none"/>
        </w:rPr>
      </w:pPr>
      <w:r>
        <w:rPr>
          <w:rFonts w:hint="eastAsia" w:ascii="黑体" w:hAnsi="黑体" w:eastAsia="黑体" w:cs="黑体"/>
          <w:b/>
          <w:bCs/>
          <w:color w:val="auto"/>
          <w:sz w:val="36"/>
          <w:szCs w:val="36"/>
          <w:highlight w:val="none"/>
          <w:lang w:val="en-US" w:eastAsia="zh-CN"/>
        </w:rPr>
        <w:t>温州华侨职业中等专业学校物业服务定期</w:t>
      </w:r>
      <w:r>
        <w:rPr>
          <w:rFonts w:hint="eastAsia" w:ascii="黑体" w:hAnsi="黑体" w:eastAsia="黑体" w:cs="黑体"/>
          <w:b/>
          <w:bCs/>
          <w:color w:val="auto"/>
          <w:sz w:val="36"/>
          <w:szCs w:val="36"/>
          <w:highlight w:val="none"/>
        </w:rPr>
        <w:t>考核方案</w:t>
      </w:r>
    </w:p>
    <w:p>
      <w:pPr>
        <w:numPr>
          <w:ilvl w:val="0"/>
          <w:numId w:val="0"/>
        </w:numPr>
        <w:jc w:val="center"/>
        <w:rPr>
          <w:rFonts w:hint="eastAsia" w:ascii="黑体" w:hAnsi="黑体" w:eastAsia="黑体" w:cs="黑体"/>
          <w:b/>
          <w:bCs/>
          <w:color w:val="auto"/>
          <w:sz w:val="36"/>
          <w:szCs w:val="36"/>
          <w:highlight w:val="none"/>
        </w:rPr>
      </w:pPr>
      <w:r>
        <w:rPr>
          <w:rFonts w:hint="eastAsia" w:ascii="黑体" w:hAnsi="黑体" w:eastAsia="黑体" w:cs="黑体"/>
          <w:b/>
          <w:bCs/>
          <w:color w:val="auto"/>
          <w:sz w:val="36"/>
          <w:szCs w:val="36"/>
          <w:highlight w:val="none"/>
        </w:rPr>
        <w:t>（附物业服务考核</w:t>
      </w:r>
      <w:r>
        <w:rPr>
          <w:rFonts w:hint="eastAsia" w:ascii="黑体" w:hAnsi="黑体" w:eastAsia="黑体" w:cs="黑体"/>
          <w:b/>
          <w:bCs/>
          <w:color w:val="auto"/>
          <w:sz w:val="36"/>
          <w:szCs w:val="36"/>
          <w:highlight w:val="none"/>
          <w:lang w:eastAsia="zh-CN"/>
        </w:rPr>
        <w:t>参考</w:t>
      </w:r>
      <w:r>
        <w:rPr>
          <w:rFonts w:hint="eastAsia" w:ascii="黑体" w:hAnsi="黑体" w:eastAsia="黑体" w:cs="黑体"/>
          <w:b/>
          <w:bCs/>
          <w:color w:val="auto"/>
          <w:sz w:val="36"/>
          <w:szCs w:val="36"/>
          <w:highlight w:val="none"/>
        </w:rPr>
        <w:t>评分表）</w:t>
      </w:r>
    </w:p>
    <w:p>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依据《物权法》、《物业管理条例》等有关法律、法规、政策的规定，结合</w:t>
      </w:r>
      <w:r>
        <w:rPr>
          <w:rFonts w:hint="eastAsia" w:ascii="宋体" w:hAnsi="宋体" w:eastAsia="宋体" w:cs="宋体"/>
          <w:color w:val="auto"/>
          <w:sz w:val="24"/>
          <w:szCs w:val="24"/>
          <w:highlight w:val="none"/>
          <w:lang w:val="en-US" w:eastAsia="zh-CN"/>
        </w:rPr>
        <w:t>学校</w:t>
      </w:r>
      <w:r>
        <w:rPr>
          <w:rFonts w:hint="eastAsia" w:ascii="宋体" w:hAnsi="宋体" w:eastAsia="宋体" w:cs="宋体"/>
          <w:color w:val="auto"/>
          <w:sz w:val="24"/>
          <w:szCs w:val="24"/>
          <w:highlight w:val="none"/>
        </w:rPr>
        <w:t>实际，现制定以下《</w:t>
      </w:r>
      <w:r>
        <w:rPr>
          <w:rFonts w:hint="eastAsia" w:ascii="宋体" w:hAnsi="宋体" w:cs="宋体"/>
          <w:color w:val="auto"/>
          <w:sz w:val="24"/>
          <w:szCs w:val="24"/>
          <w:highlight w:val="none"/>
          <w:lang w:val="en-US" w:eastAsia="zh-CN"/>
        </w:rPr>
        <w:t>温州华侨职业中等专业学校</w:t>
      </w:r>
      <w:r>
        <w:rPr>
          <w:rFonts w:hint="eastAsia" w:ascii="宋体" w:hAnsi="宋体" w:eastAsia="宋体" w:cs="宋体"/>
          <w:color w:val="auto"/>
          <w:sz w:val="24"/>
          <w:szCs w:val="24"/>
          <w:highlight w:val="none"/>
        </w:rPr>
        <w:t>物业</w:t>
      </w:r>
      <w:r>
        <w:rPr>
          <w:rFonts w:hint="eastAsia" w:ascii="宋体" w:hAnsi="宋体" w:cs="宋体"/>
          <w:color w:val="auto"/>
          <w:sz w:val="24"/>
          <w:szCs w:val="24"/>
          <w:highlight w:val="none"/>
          <w:lang w:val="en-US" w:eastAsia="zh-CN"/>
        </w:rPr>
        <w:t>服务</w:t>
      </w:r>
      <w:r>
        <w:rPr>
          <w:rFonts w:hint="eastAsia" w:ascii="宋体" w:hAnsi="宋体" w:eastAsia="宋体" w:cs="宋体"/>
          <w:color w:val="auto"/>
          <w:sz w:val="24"/>
          <w:szCs w:val="24"/>
          <w:highlight w:val="none"/>
        </w:rPr>
        <w:t>定期考核方案》，甲、乙双方共同遵守、执行：</w:t>
      </w:r>
    </w:p>
    <w:p>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一、指导思想</w:t>
      </w:r>
    </w:p>
    <w:p>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为进一步加强</w:t>
      </w:r>
      <w:r>
        <w:rPr>
          <w:rFonts w:hint="eastAsia" w:ascii="宋体" w:hAnsi="宋体" w:eastAsia="宋体" w:cs="宋体"/>
          <w:color w:val="auto"/>
          <w:sz w:val="24"/>
          <w:szCs w:val="24"/>
          <w:highlight w:val="none"/>
          <w:lang w:val="en-US" w:eastAsia="zh-CN"/>
        </w:rPr>
        <w:t>学校</w:t>
      </w:r>
      <w:r>
        <w:rPr>
          <w:rFonts w:hint="eastAsia" w:ascii="宋体" w:hAnsi="宋体" w:eastAsia="宋体" w:cs="宋体"/>
          <w:color w:val="auto"/>
          <w:sz w:val="24"/>
          <w:szCs w:val="24"/>
          <w:highlight w:val="none"/>
        </w:rPr>
        <w:t>物业服务工作的管理，继续规范</w:t>
      </w:r>
      <w:r>
        <w:rPr>
          <w:rFonts w:hint="eastAsia" w:ascii="宋体" w:hAnsi="宋体" w:eastAsia="宋体" w:cs="宋体"/>
          <w:color w:val="auto"/>
          <w:sz w:val="24"/>
          <w:szCs w:val="24"/>
          <w:highlight w:val="none"/>
          <w:lang w:val="en-US" w:eastAsia="zh-CN"/>
        </w:rPr>
        <w:t>校</w:t>
      </w:r>
      <w:r>
        <w:rPr>
          <w:rFonts w:hint="eastAsia" w:ascii="宋体" w:hAnsi="宋体" w:eastAsia="宋体" w:cs="宋体"/>
          <w:color w:val="auto"/>
          <w:sz w:val="24"/>
          <w:szCs w:val="24"/>
          <w:highlight w:val="none"/>
        </w:rPr>
        <w:t>内物业管理服务行为，遵循市场竞争、优胜劣汰的市场经济规律，确保</w:t>
      </w:r>
      <w:r>
        <w:rPr>
          <w:rFonts w:hint="eastAsia" w:ascii="宋体" w:hAnsi="宋体" w:cs="宋体"/>
          <w:color w:val="auto"/>
          <w:sz w:val="24"/>
          <w:szCs w:val="24"/>
          <w:highlight w:val="none"/>
          <w:lang w:val="en-US" w:eastAsia="zh-CN"/>
        </w:rPr>
        <w:t>温州华侨职业中等专业学校</w:t>
      </w:r>
      <w:r>
        <w:rPr>
          <w:rFonts w:hint="eastAsia" w:ascii="宋体" w:hAnsi="宋体" w:eastAsia="宋体" w:cs="宋体"/>
          <w:color w:val="auto"/>
          <w:sz w:val="24"/>
          <w:szCs w:val="24"/>
          <w:highlight w:val="none"/>
        </w:rPr>
        <w:t>的物业</w:t>
      </w:r>
      <w:r>
        <w:rPr>
          <w:rFonts w:hint="eastAsia" w:ascii="宋体" w:hAnsi="宋体" w:cs="宋体"/>
          <w:color w:val="auto"/>
          <w:sz w:val="24"/>
          <w:szCs w:val="24"/>
          <w:highlight w:val="none"/>
          <w:lang w:val="en-US" w:eastAsia="zh-CN"/>
        </w:rPr>
        <w:t>服务</w:t>
      </w:r>
      <w:r>
        <w:rPr>
          <w:rFonts w:hint="eastAsia" w:ascii="宋体" w:hAnsi="宋体" w:eastAsia="宋体" w:cs="宋体"/>
          <w:color w:val="auto"/>
          <w:sz w:val="24"/>
          <w:szCs w:val="24"/>
          <w:highlight w:val="none"/>
        </w:rPr>
        <w:t>质量，努力打造一个安定、和谐、舒畅、文明的</w:t>
      </w:r>
      <w:r>
        <w:rPr>
          <w:rFonts w:hint="eastAsia" w:ascii="宋体" w:hAnsi="宋体" w:eastAsia="宋体" w:cs="宋体"/>
          <w:color w:val="auto"/>
          <w:sz w:val="24"/>
          <w:szCs w:val="24"/>
          <w:highlight w:val="none"/>
          <w:lang w:val="en-US" w:eastAsia="zh-CN"/>
        </w:rPr>
        <w:t>校园最优服务品质</w:t>
      </w:r>
      <w:r>
        <w:rPr>
          <w:rFonts w:hint="eastAsia" w:ascii="宋体" w:hAnsi="宋体" w:eastAsia="宋体" w:cs="宋体"/>
          <w:color w:val="auto"/>
          <w:sz w:val="24"/>
          <w:szCs w:val="24"/>
          <w:highlight w:val="none"/>
        </w:rPr>
        <w:t>。</w:t>
      </w:r>
    </w:p>
    <w:p>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二、考核安排</w:t>
      </w:r>
    </w:p>
    <w:p>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考核分</w:t>
      </w:r>
      <w:r>
        <w:rPr>
          <w:rFonts w:hint="eastAsia" w:ascii="宋体" w:hAnsi="宋体" w:cs="宋体"/>
          <w:color w:val="auto"/>
          <w:sz w:val="24"/>
          <w:szCs w:val="24"/>
          <w:highlight w:val="none"/>
          <w:lang w:val="en-US" w:eastAsia="zh-CN"/>
        </w:rPr>
        <w:t>日常</w:t>
      </w:r>
      <w:r>
        <w:rPr>
          <w:rFonts w:hint="eastAsia" w:ascii="宋体" w:hAnsi="宋体" w:eastAsia="宋体" w:cs="宋体"/>
          <w:color w:val="auto"/>
          <w:sz w:val="24"/>
          <w:szCs w:val="24"/>
          <w:highlight w:val="none"/>
        </w:rPr>
        <w:t>考核和</w:t>
      </w:r>
      <w:r>
        <w:rPr>
          <w:rFonts w:hint="eastAsia" w:ascii="宋体" w:hAnsi="宋体" w:cs="宋体"/>
          <w:color w:val="auto"/>
          <w:sz w:val="24"/>
          <w:szCs w:val="24"/>
          <w:highlight w:val="none"/>
          <w:lang w:val="en-US" w:eastAsia="zh-CN"/>
        </w:rPr>
        <w:t>月</w:t>
      </w:r>
      <w:r>
        <w:rPr>
          <w:rFonts w:hint="eastAsia" w:ascii="宋体" w:hAnsi="宋体" w:eastAsia="宋体" w:cs="宋体"/>
          <w:color w:val="auto"/>
          <w:sz w:val="24"/>
          <w:szCs w:val="24"/>
          <w:highlight w:val="none"/>
        </w:rPr>
        <w:t>考核相结合，实行百分制量化考核。</w:t>
      </w:r>
      <w:r>
        <w:rPr>
          <w:rFonts w:hint="eastAsia" w:ascii="宋体" w:hAnsi="宋体" w:cs="宋体"/>
          <w:color w:val="auto"/>
          <w:sz w:val="24"/>
          <w:szCs w:val="24"/>
          <w:highlight w:val="none"/>
          <w:lang w:val="en-US" w:eastAsia="zh-CN"/>
        </w:rPr>
        <w:t>日常</w:t>
      </w:r>
      <w:r>
        <w:rPr>
          <w:rFonts w:hint="eastAsia" w:ascii="宋体" w:hAnsi="宋体" w:eastAsia="宋体" w:cs="宋体"/>
          <w:color w:val="auto"/>
          <w:sz w:val="24"/>
          <w:szCs w:val="24"/>
          <w:highlight w:val="none"/>
        </w:rPr>
        <w:t>考核以抽查为主，由甲方牵头</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可视情不定期邀请</w:t>
      </w:r>
      <w:r>
        <w:rPr>
          <w:rFonts w:hint="eastAsia" w:ascii="宋体" w:hAnsi="宋体" w:eastAsia="宋体" w:cs="宋体"/>
          <w:color w:val="auto"/>
          <w:sz w:val="24"/>
          <w:szCs w:val="24"/>
          <w:highlight w:val="none"/>
          <w:lang w:val="en-US" w:eastAsia="zh-CN"/>
        </w:rPr>
        <w:t>相关考核部门</w:t>
      </w:r>
      <w:r>
        <w:rPr>
          <w:rFonts w:hint="eastAsia" w:ascii="宋体" w:hAnsi="宋体" w:eastAsia="宋体" w:cs="宋体"/>
          <w:color w:val="auto"/>
          <w:sz w:val="24"/>
          <w:szCs w:val="24"/>
          <w:highlight w:val="none"/>
        </w:rPr>
        <w:t>以及</w:t>
      </w:r>
      <w:r>
        <w:rPr>
          <w:rFonts w:hint="eastAsia" w:ascii="宋体" w:hAnsi="宋体" w:eastAsia="宋体" w:cs="宋体"/>
          <w:color w:val="auto"/>
          <w:sz w:val="24"/>
          <w:szCs w:val="24"/>
          <w:highlight w:val="none"/>
          <w:lang w:val="en-US" w:eastAsia="zh-CN"/>
        </w:rPr>
        <w:t>师生</w:t>
      </w:r>
      <w:r>
        <w:rPr>
          <w:rFonts w:hint="eastAsia" w:ascii="宋体" w:hAnsi="宋体" w:eastAsia="宋体" w:cs="宋体"/>
          <w:color w:val="auto"/>
          <w:sz w:val="24"/>
          <w:szCs w:val="24"/>
          <w:highlight w:val="none"/>
        </w:rPr>
        <w:t>代表进行</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日常考核结果作为月考核的依据</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月</w:t>
      </w:r>
      <w:r>
        <w:rPr>
          <w:rFonts w:hint="eastAsia" w:ascii="宋体" w:hAnsi="宋体" w:eastAsia="宋体" w:cs="宋体"/>
          <w:color w:val="auto"/>
          <w:sz w:val="24"/>
          <w:szCs w:val="24"/>
          <w:highlight w:val="none"/>
        </w:rPr>
        <w:t>考核由甲方牵头</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邀请</w:t>
      </w:r>
      <w:r>
        <w:rPr>
          <w:rFonts w:hint="eastAsia" w:ascii="宋体" w:hAnsi="宋体" w:eastAsia="宋体" w:cs="宋体"/>
          <w:color w:val="auto"/>
          <w:sz w:val="24"/>
          <w:szCs w:val="24"/>
          <w:highlight w:val="none"/>
          <w:lang w:val="en-US" w:eastAsia="zh-CN"/>
        </w:rPr>
        <w:t>相关考核部门</w:t>
      </w:r>
      <w:r>
        <w:rPr>
          <w:rFonts w:hint="eastAsia" w:ascii="宋体" w:hAnsi="宋体" w:eastAsia="宋体" w:cs="宋体"/>
          <w:color w:val="auto"/>
          <w:sz w:val="24"/>
          <w:szCs w:val="24"/>
          <w:highlight w:val="none"/>
        </w:rPr>
        <w:t>、以及</w:t>
      </w:r>
      <w:r>
        <w:rPr>
          <w:rFonts w:hint="eastAsia" w:ascii="宋体" w:hAnsi="宋体" w:eastAsia="宋体" w:cs="宋体"/>
          <w:color w:val="auto"/>
          <w:sz w:val="24"/>
          <w:szCs w:val="24"/>
          <w:highlight w:val="none"/>
          <w:lang w:val="en-US" w:eastAsia="zh-CN"/>
        </w:rPr>
        <w:t>师生</w:t>
      </w:r>
      <w:r>
        <w:rPr>
          <w:rFonts w:hint="eastAsia" w:ascii="宋体" w:hAnsi="宋体" w:eastAsia="宋体" w:cs="宋体"/>
          <w:color w:val="auto"/>
          <w:sz w:val="24"/>
          <w:szCs w:val="24"/>
          <w:highlight w:val="none"/>
        </w:rPr>
        <w:t>代表等参加</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即：</w:t>
      </w:r>
      <w:r>
        <w:rPr>
          <w:rFonts w:hint="eastAsia" w:ascii="宋体" w:hAnsi="宋体" w:eastAsia="宋体" w:cs="宋体"/>
          <w:color w:val="auto"/>
          <w:sz w:val="24"/>
          <w:szCs w:val="24"/>
          <w:highlight w:val="none"/>
          <w:lang w:val="en-US" w:eastAsia="zh-CN"/>
        </w:rPr>
        <w:t>每个</w:t>
      </w:r>
      <w:r>
        <w:rPr>
          <w:rFonts w:hint="eastAsia" w:ascii="宋体" w:hAnsi="宋体" w:cs="宋体"/>
          <w:color w:val="auto"/>
          <w:sz w:val="24"/>
          <w:szCs w:val="24"/>
          <w:highlight w:val="none"/>
          <w:lang w:val="en-US" w:eastAsia="zh-CN"/>
        </w:rPr>
        <w:t>月</w:t>
      </w:r>
      <w:r>
        <w:rPr>
          <w:rFonts w:hint="eastAsia" w:ascii="宋体" w:hAnsi="宋体" w:eastAsia="宋体" w:cs="宋体"/>
          <w:color w:val="auto"/>
          <w:sz w:val="24"/>
          <w:szCs w:val="24"/>
          <w:highlight w:val="none"/>
          <w:lang w:val="en-US" w:eastAsia="zh-CN"/>
        </w:rPr>
        <w:t>对</w:t>
      </w:r>
      <w:r>
        <w:rPr>
          <w:rFonts w:hint="eastAsia" w:ascii="宋体" w:hAnsi="宋体" w:eastAsia="宋体" w:cs="宋体"/>
          <w:color w:val="auto"/>
          <w:sz w:val="24"/>
          <w:szCs w:val="24"/>
          <w:highlight w:val="none"/>
        </w:rPr>
        <w:t>物业管理情况进行考核，直至《服务合同》期满终止。</w:t>
      </w:r>
    </w:p>
    <w:p>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最终考核</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由</w:t>
      </w:r>
      <w:r>
        <w:rPr>
          <w:rFonts w:hint="eastAsia" w:ascii="宋体" w:hAnsi="宋体" w:eastAsia="宋体" w:cs="宋体"/>
          <w:color w:val="auto"/>
          <w:sz w:val="24"/>
          <w:szCs w:val="24"/>
          <w:highlight w:val="none"/>
          <w:lang w:val="en-US" w:eastAsia="zh-CN"/>
        </w:rPr>
        <w:t>后勤</w:t>
      </w:r>
      <w:r>
        <w:rPr>
          <w:rFonts w:hint="eastAsia" w:ascii="宋体" w:hAnsi="宋体" w:cs="宋体"/>
          <w:color w:val="auto"/>
          <w:sz w:val="24"/>
          <w:szCs w:val="24"/>
          <w:highlight w:val="none"/>
          <w:lang w:val="en-US" w:eastAsia="zh-CN"/>
        </w:rPr>
        <w:t>保障</w:t>
      </w:r>
      <w:r>
        <w:rPr>
          <w:rFonts w:hint="eastAsia" w:ascii="宋体" w:hAnsi="宋体" w:eastAsia="宋体" w:cs="宋体"/>
          <w:color w:val="auto"/>
          <w:sz w:val="24"/>
          <w:szCs w:val="24"/>
          <w:highlight w:val="none"/>
          <w:lang w:val="en-US" w:eastAsia="zh-CN"/>
        </w:rPr>
        <w:t>处领导</w:t>
      </w:r>
      <w:r>
        <w:rPr>
          <w:rFonts w:hint="eastAsia" w:ascii="宋体" w:hAnsi="宋体" w:eastAsia="宋体" w:cs="宋体"/>
          <w:color w:val="auto"/>
          <w:sz w:val="24"/>
          <w:szCs w:val="24"/>
          <w:highlight w:val="none"/>
        </w:rPr>
        <w:t>成员担任组长、副组长及组员，统一协调考核有关事宜。</w:t>
      </w:r>
    </w:p>
    <w:p>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三、考核规则</w:t>
      </w:r>
    </w:p>
    <w:p>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评分表依据《</w:t>
      </w:r>
      <w:r>
        <w:rPr>
          <w:rFonts w:hint="eastAsia" w:ascii="宋体" w:hAnsi="宋体" w:cs="宋体"/>
          <w:color w:val="auto"/>
          <w:sz w:val="24"/>
          <w:szCs w:val="24"/>
          <w:highlight w:val="none"/>
          <w:lang w:val="en-US" w:eastAsia="zh-CN"/>
        </w:rPr>
        <w:t>温州华侨职业中等专业学校</w:t>
      </w:r>
      <w:r>
        <w:rPr>
          <w:rFonts w:hint="eastAsia" w:ascii="宋体" w:hAnsi="宋体" w:eastAsia="宋体" w:cs="宋体"/>
          <w:color w:val="auto"/>
          <w:sz w:val="24"/>
          <w:szCs w:val="24"/>
          <w:highlight w:val="none"/>
        </w:rPr>
        <w:t>物业</w:t>
      </w:r>
      <w:r>
        <w:rPr>
          <w:rFonts w:hint="eastAsia" w:ascii="宋体" w:hAnsi="宋体" w:eastAsia="宋体" w:cs="宋体"/>
          <w:color w:val="auto"/>
          <w:sz w:val="24"/>
          <w:szCs w:val="24"/>
          <w:highlight w:val="none"/>
          <w:lang w:val="en-US" w:eastAsia="zh-CN"/>
        </w:rPr>
        <w:t>考核评分表</w:t>
      </w:r>
      <w:r>
        <w:rPr>
          <w:rFonts w:hint="eastAsia" w:ascii="宋体" w:hAnsi="宋体" w:eastAsia="宋体" w:cs="宋体"/>
          <w:color w:val="auto"/>
          <w:sz w:val="24"/>
          <w:szCs w:val="24"/>
          <w:highlight w:val="none"/>
        </w:rPr>
        <w:t>》规定的有关要求制作，分为“</w:t>
      </w:r>
      <w:r>
        <w:rPr>
          <w:rFonts w:hint="eastAsia" w:ascii="宋体" w:hAnsi="宋体" w:eastAsia="宋体" w:cs="宋体"/>
          <w:color w:val="auto"/>
          <w:sz w:val="24"/>
          <w:szCs w:val="24"/>
          <w:highlight w:val="none"/>
          <w:lang w:val="en-US" w:eastAsia="zh-CN"/>
        </w:rPr>
        <w:t>员工考核</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安全秩序维护</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绿化养护</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“保洁服务”、</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维修维护</w:t>
      </w:r>
      <w:r>
        <w:rPr>
          <w:rFonts w:hint="eastAsia" w:ascii="宋体" w:hAnsi="宋体" w:eastAsia="宋体" w:cs="宋体"/>
          <w:color w:val="auto"/>
          <w:sz w:val="24"/>
          <w:szCs w:val="24"/>
          <w:highlight w:val="none"/>
        </w:rPr>
        <w:t>”等共</w:t>
      </w:r>
      <w:r>
        <w:rPr>
          <w:rFonts w:hint="eastAsia" w:ascii="宋体" w:hAnsi="宋体" w:cs="宋体"/>
          <w:color w:val="auto"/>
          <w:sz w:val="24"/>
          <w:szCs w:val="24"/>
          <w:highlight w:val="none"/>
          <w:lang w:val="en-US" w:eastAsia="zh-CN"/>
        </w:rPr>
        <w:t>五大</w:t>
      </w:r>
      <w:r>
        <w:rPr>
          <w:rFonts w:hint="eastAsia" w:ascii="宋体" w:hAnsi="宋体" w:eastAsia="宋体" w:cs="宋体"/>
          <w:color w:val="auto"/>
          <w:sz w:val="24"/>
          <w:szCs w:val="24"/>
          <w:highlight w:val="none"/>
        </w:rPr>
        <w:t>项评分项目，每个项目根据所列标准分别得出项目评分，评分表满分为100分，达标分为90（含）分，低于90分为不达标</w:t>
      </w:r>
      <w:r>
        <w:rPr>
          <w:rFonts w:hint="eastAsia" w:ascii="宋体" w:hAnsi="宋体" w:eastAsia="宋体" w:cs="宋体"/>
          <w:color w:val="auto"/>
          <w:sz w:val="24"/>
          <w:szCs w:val="24"/>
          <w:highlight w:val="none"/>
          <w:lang w:eastAsia="zh-CN"/>
        </w:rPr>
        <w:t>。</w:t>
      </w:r>
    </w:p>
    <w:p>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考评时由考核人根据实际情况依据上述考核标准自行判别并填写一份评分表。考核结束后，由甲方安排专人、乙方派员现场监督，汇总所有考核人填写的评分</w:t>
      </w:r>
      <w:r>
        <w:rPr>
          <w:rFonts w:hint="eastAsia" w:ascii="宋体" w:hAnsi="宋体" w:eastAsia="宋体" w:cs="宋体"/>
          <w:color w:val="auto"/>
          <w:sz w:val="24"/>
          <w:szCs w:val="24"/>
          <w:highlight w:val="none"/>
          <w:lang w:eastAsia="zh-CN"/>
        </w:rPr>
        <w:t>情况</w:t>
      </w:r>
      <w:r>
        <w:rPr>
          <w:rFonts w:hint="eastAsia" w:ascii="宋体" w:hAnsi="宋体" w:eastAsia="宋体" w:cs="宋体"/>
          <w:color w:val="auto"/>
          <w:sz w:val="24"/>
          <w:szCs w:val="24"/>
          <w:highlight w:val="none"/>
        </w:rPr>
        <w:t>。</w:t>
      </w:r>
    </w:p>
    <w:p>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日常</w:t>
      </w:r>
      <w:r>
        <w:rPr>
          <w:rFonts w:hint="eastAsia" w:ascii="宋体" w:hAnsi="宋体" w:eastAsia="宋体" w:cs="宋体"/>
          <w:color w:val="auto"/>
          <w:sz w:val="24"/>
          <w:szCs w:val="24"/>
          <w:highlight w:val="none"/>
        </w:rPr>
        <w:t>考核不合格的给予口头警告，并立刻进行整改，整改时间为期</w:t>
      </w:r>
      <w:r>
        <w:rPr>
          <w:rFonts w:hint="eastAsia" w:ascii="宋体" w:hAnsi="宋体" w:eastAsia="宋体" w:cs="宋体"/>
          <w:color w:val="auto"/>
          <w:sz w:val="24"/>
          <w:szCs w:val="24"/>
          <w:highlight w:val="none"/>
          <w:lang w:val="en-US" w:eastAsia="zh-CN"/>
        </w:rPr>
        <w:t>一周</w:t>
      </w:r>
      <w:r>
        <w:rPr>
          <w:rFonts w:hint="eastAsia" w:ascii="宋体" w:hAnsi="宋体" w:eastAsia="宋体" w:cs="宋体"/>
          <w:color w:val="auto"/>
          <w:sz w:val="24"/>
          <w:szCs w:val="24"/>
          <w:highlight w:val="none"/>
        </w:rPr>
        <w:t>，整改后考核仍不合格的给予黄牌警告，并立刻进行第二次整改，整改时间为期1</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天，整改后考核仍不合格的，给予红牌警告，并按照上述《服务合同》有关约定执行。</w:t>
      </w:r>
    </w:p>
    <w:p>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每两个口头警告等于一个黄牌警告，每两个黄牌警告等于一个红牌处分，一旦被给予红牌处分的，按照上述《服务合同》有关约定执行。</w:t>
      </w:r>
    </w:p>
    <w:p>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在整个考核期间，若出现由于乙方工作失误、失责、拖延等原因而直接导致恶性事件发生，或因乙方管理不善而间接加剧了事件后果的严重性，如火灾、盗窃、交通事故、</w:t>
      </w:r>
      <w:r>
        <w:rPr>
          <w:rFonts w:hint="eastAsia" w:ascii="宋体" w:hAnsi="宋体" w:eastAsia="宋体" w:cs="宋体"/>
          <w:color w:val="auto"/>
          <w:sz w:val="24"/>
          <w:szCs w:val="24"/>
          <w:highlight w:val="none"/>
          <w:lang w:val="en-US" w:eastAsia="zh-CN"/>
        </w:rPr>
        <w:t>疫情防控不力、人员管理不到位、</w:t>
      </w:r>
      <w:r>
        <w:rPr>
          <w:rFonts w:hint="eastAsia" w:ascii="宋体" w:hAnsi="宋体" w:eastAsia="宋体" w:cs="宋体"/>
          <w:color w:val="auto"/>
          <w:sz w:val="24"/>
          <w:szCs w:val="24"/>
          <w:highlight w:val="none"/>
        </w:rPr>
        <w:t>聚众殴斗等，并导致</w:t>
      </w:r>
      <w:r>
        <w:rPr>
          <w:rFonts w:hint="eastAsia" w:ascii="宋体" w:hAnsi="宋体" w:eastAsia="宋体" w:cs="宋体"/>
          <w:color w:val="auto"/>
          <w:sz w:val="24"/>
          <w:szCs w:val="24"/>
          <w:highlight w:val="none"/>
          <w:lang w:val="en-US" w:eastAsia="zh-CN"/>
        </w:rPr>
        <w:t>校园内</w:t>
      </w:r>
      <w:r>
        <w:rPr>
          <w:rFonts w:hint="eastAsia" w:ascii="宋体" w:hAnsi="宋体" w:eastAsia="宋体" w:cs="宋体"/>
          <w:color w:val="auto"/>
          <w:sz w:val="24"/>
          <w:szCs w:val="24"/>
          <w:highlight w:val="none"/>
        </w:rPr>
        <w:t>伤亡或重大经济损失的，则直接出示红牌处分，《服务合同》即时终止，并且被考核人要承担相应的法律责任。</w:t>
      </w:r>
    </w:p>
    <w:p>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lang w:eastAsia="zh-CN"/>
        </w:rPr>
        <w:t>四、处罚细则</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rPr>
        <w:t>甲方对乙方管理服务采用《</w:t>
      </w:r>
      <w:r>
        <w:rPr>
          <w:rFonts w:hint="eastAsia" w:ascii="宋体" w:hAnsi="宋体" w:cs="宋体"/>
          <w:color w:val="auto"/>
          <w:sz w:val="24"/>
          <w:szCs w:val="24"/>
          <w:highlight w:val="none"/>
          <w:lang w:val="en-US" w:eastAsia="zh-CN"/>
        </w:rPr>
        <w:t>温州华侨职业中等专业学校物业服务管理</w:t>
      </w:r>
      <w:r>
        <w:rPr>
          <w:rFonts w:hint="eastAsia" w:ascii="宋体" w:hAnsi="宋体" w:eastAsia="宋体" w:cs="宋体"/>
          <w:color w:val="auto"/>
          <w:sz w:val="24"/>
          <w:szCs w:val="24"/>
          <w:highlight w:val="none"/>
        </w:rPr>
        <w:t>考核评分细则》考核，考核小组</w:t>
      </w:r>
      <w:r>
        <w:rPr>
          <w:rFonts w:hint="eastAsia" w:ascii="宋体" w:hAnsi="宋体" w:cs="宋体"/>
          <w:color w:val="auto"/>
          <w:sz w:val="24"/>
          <w:szCs w:val="24"/>
          <w:highlight w:val="none"/>
          <w:lang w:val="en-US" w:eastAsia="zh-CN"/>
        </w:rPr>
        <w:t>每月</w:t>
      </w:r>
      <w:r>
        <w:rPr>
          <w:rFonts w:hint="eastAsia" w:ascii="宋体" w:hAnsi="宋体" w:eastAsia="宋体" w:cs="宋体"/>
          <w:color w:val="auto"/>
          <w:sz w:val="24"/>
          <w:szCs w:val="24"/>
          <w:highlight w:val="none"/>
        </w:rPr>
        <w:t>采取定时或抽查形式进行考核，考核采用百分制（附考核评分细则），达标分为</w:t>
      </w:r>
      <w:r>
        <w:rPr>
          <w:rFonts w:hint="eastAsia" w:ascii="宋体" w:hAnsi="宋体" w:eastAsia="宋体" w:cs="宋体"/>
          <w:color w:val="auto"/>
          <w:sz w:val="24"/>
          <w:szCs w:val="24"/>
          <w:highlight w:val="none"/>
          <w:lang w:val="en-US" w:eastAsia="zh-CN"/>
        </w:rPr>
        <w:t>90</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eastAsia="zh-CN"/>
        </w:rPr>
        <w:t>低于</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0分为不达标。</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w:t>
      </w:r>
      <w:r>
        <w:rPr>
          <w:rFonts w:hint="eastAsia" w:ascii="宋体" w:hAnsi="宋体" w:cs="宋体"/>
          <w:bCs/>
          <w:color w:val="auto"/>
          <w:sz w:val="24"/>
          <w:szCs w:val="24"/>
          <w:highlight w:val="none"/>
          <w:lang w:eastAsia="zh-CN"/>
        </w:rPr>
        <w:t>.</w:t>
      </w:r>
      <w:r>
        <w:rPr>
          <w:rFonts w:hint="eastAsia" w:ascii="宋体" w:hAnsi="宋体" w:eastAsia="宋体" w:cs="宋体"/>
          <w:bCs/>
          <w:color w:val="auto"/>
          <w:sz w:val="24"/>
          <w:szCs w:val="24"/>
          <w:highlight w:val="none"/>
        </w:rPr>
        <w:t>奖惩办法</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每</w:t>
      </w:r>
      <w:r>
        <w:rPr>
          <w:rFonts w:hint="eastAsia" w:ascii="宋体" w:hAnsi="宋体" w:cs="宋体"/>
          <w:bCs/>
          <w:color w:val="auto"/>
          <w:sz w:val="24"/>
          <w:szCs w:val="24"/>
          <w:highlight w:val="none"/>
          <w:lang w:val="en-US" w:eastAsia="zh-CN"/>
        </w:rPr>
        <w:t>月</w:t>
      </w:r>
      <w:r>
        <w:rPr>
          <w:rFonts w:hint="eastAsia" w:ascii="宋体" w:hAnsi="宋体" w:eastAsia="宋体" w:cs="宋体"/>
          <w:bCs/>
          <w:color w:val="auto"/>
          <w:sz w:val="24"/>
          <w:szCs w:val="24"/>
          <w:highlight w:val="none"/>
        </w:rPr>
        <w:t>由甲方组织人员对乙方的服务进行检查、评分。</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color w:val="auto"/>
          <w:sz w:val="24"/>
          <w:szCs w:val="24"/>
          <w:highlight w:val="none"/>
          <w:u w:val="none"/>
        </w:rPr>
      </w:pPr>
      <w:r>
        <w:rPr>
          <w:rFonts w:hint="eastAsia" w:ascii="宋体" w:hAnsi="宋体" w:eastAsia="宋体" w:cs="宋体"/>
          <w:b w:val="0"/>
          <w:bCs/>
          <w:color w:val="auto"/>
          <w:sz w:val="24"/>
          <w:szCs w:val="24"/>
          <w:highlight w:val="none"/>
          <w:u w:val="none"/>
        </w:rPr>
        <w:t>考评指标总分100分，履职考评得分在</w:t>
      </w:r>
      <w:r>
        <w:rPr>
          <w:rFonts w:hint="eastAsia" w:ascii="宋体" w:hAnsi="宋体" w:eastAsia="宋体" w:cs="宋体"/>
          <w:b w:val="0"/>
          <w:bCs/>
          <w:color w:val="auto"/>
          <w:sz w:val="24"/>
          <w:szCs w:val="24"/>
          <w:highlight w:val="none"/>
          <w:u w:val="none"/>
          <w:lang w:val="en-US" w:eastAsia="zh-CN"/>
        </w:rPr>
        <w:t>90</w:t>
      </w:r>
      <w:r>
        <w:rPr>
          <w:rFonts w:hint="eastAsia" w:ascii="宋体" w:hAnsi="宋体" w:eastAsia="宋体" w:cs="宋体"/>
          <w:b w:val="0"/>
          <w:bCs/>
          <w:color w:val="auto"/>
          <w:sz w:val="24"/>
          <w:szCs w:val="24"/>
          <w:highlight w:val="none"/>
          <w:u w:val="none"/>
        </w:rPr>
        <w:t>分（含</w:t>
      </w:r>
      <w:r>
        <w:rPr>
          <w:rFonts w:hint="eastAsia" w:ascii="宋体" w:hAnsi="宋体" w:eastAsia="宋体" w:cs="宋体"/>
          <w:b w:val="0"/>
          <w:bCs/>
          <w:color w:val="auto"/>
          <w:sz w:val="24"/>
          <w:szCs w:val="24"/>
          <w:highlight w:val="none"/>
          <w:u w:val="none"/>
          <w:lang w:val="en-US" w:eastAsia="zh-CN"/>
        </w:rPr>
        <w:t>90</w:t>
      </w:r>
      <w:r>
        <w:rPr>
          <w:rFonts w:hint="eastAsia" w:ascii="宋体" w:hAnsi="宋体" w:eastAsia="宋体" w:cs="宋体"/>
          <w:b w:val="0"/>
          <w:bCs/>
          <w:color w:val="auto"/>
          <w:sz w:val="24"/>
          <w:szCs w:val="24"/>
          <w:highlight w:val="none"/>
          <w:u w:val="none"/>
        </w:rPr>
        <w:t>分）以上为合格，</w:t>
      </w:r>
      <w:r>
        <w:rPr>
          <w:rFonts w:hint="eastAsia" w:ascii="宋体" w:hAnsi="宋体" w:eastAsia="宋体" w:cs="宋体"/>
          <w:b w:val="0"/>
          <w:bCs/>
          <w:color w:val="auto"/>
          <w:sz w:val="24"/>
          <w:szCs w:val="24"/>
          <w:highlight w:val="none"/>
          <w:u w:val="none"/>
          <w:lang w:val="en-US" w:eastAsia="zh-CN"/>
        </w:rPr>
        <w:t>90</w:t>
      </w:r>
      <w:r>
        <w:rPr>
          <w:rFonts w:hint="eastAsia" w:ascii="宋体" w:hAnsi="宋体" w:eastAsia="宋体" w:cs="宋体"/>
          <w:b w:val="0"/>
          <w:bCs/>
          <w:color w:val="auto"/>
          <w:sz w:val="24"/>
          <w:szCs w:val="24"/>
          <w:highlight w:val="none"/>
          <w:u w:val="none"/>
        </w:rPr>
        <w:t>分以下的为不合格。考评结果与服务费挂钩</w:t>
      </w:r>
      <w:r>
        <w:rPr>
          <w:rFonts w:hint="eastAsia" w:ascii="宋体" w:hAnsi="宋体" w:cs="宋体"/>
          <w:b w:val="0"/>
          <w:bCs/>
          <w:color w:val="auto"/>
          <w:sz w:val="24"/>
          <w:szCs w:val="24"/>
          <w:highlight w:val="none"/>
          <w:u w:val="none"/>
          <w:lang w:eastAsia="zh-CN"/>
        </w:rPr>
        <w:t>，</w:t>
      </w:r>
      <w:r>
        <w:rPr>
          <w:rFonts w:hint="eastAsia" w:ascii="宋体" w:hAnsi="宋体" w:eastAsia="宋体" w:cs="宋体"/>
          <w:b w:val="0"/>
          <w:bCs/>
          <w:color w:val="auto"/>
          <w:sz w:val="24"/>
          <w:szCs w:val="24"/>
          <w:highlight w:val="none"/>
          <w:u w:val="none"/>
        </w:rPr>
        <w:t>合格的全额结算服务费用，不合格的按得分的比例结算服务费用</w:t>
      </w:r>
      <w:r>
        <w:rPr>
          <w:rFonts w:hint="eastAsia" w:ascii="宋体" w:hAnsi="宋体" w:cs="宋体"/>
          <w:b w:val="0"/>
          <w:bCs/>
          <w:color w:val="auto"/>
          <w:sz w:val="24"/>
          <w:szCs w:val="24"/>
          <w:highlight w:val="none"/>
          <w:u w:val="none"/>
          <w:lang w:eastAsia="zh-CN"/>
        </w:rPr>
        <w:t>。</w:t>
      </w:r>
      <w:r>
        <w:rPr>
          <w:rFonts w:hint="eastAsia" w:ascii="宋体" w:hAnsi="宋体" w:eastAsia="宋体" w:cs="宋体"/>
          <w:b w:val="0"/>
          <w:bCs/>
          <w:color w:val="auto"/>
          <w:sz w:val="24"/>
          <w:szCs w:val="24"/>
          <w:highlight w:val="none"/>
          <w:u w:val="none"/>
        </w:rPr>
        <w:t>每项目考核分以90分达标分，以此为标准，</w:t>
      </w:r>
      <w:r>
        <w:rPr>
          <w:rFonts w:hint="eastAsia" w:ascii="宋体" w:hAnsi="宋体" w:cs="宋体"/>
          <w:b w:val="0"/>
          <w:bCs/>
          <w:color w:val="auto"/>
          <w:sz w:val="24"/>
          <w:szCs w:val="24"/>
          <w:highlight w:val="none"/>
          <w:u w:val="none"/>
          <w:lang w:eastAsia="zh-CN"/>
        </w:rPr>
        <w:t>月</w:t>
      </w:r>
      <w:r>
        <w:rPr>
          <w:rFonts w:hint="eastAsia" w:ascii="宋体" w:hAnsi="宋体" w:eastAsia="宋体" w:cs="宋体"/>
          <w:b w:val="0"/>
          <w:bCs/>
          <w:color w:val="auto"/>
          <w:sz w:val="24"/>
          <w:szCs w:val="24"/>
          <w:highlight w:val="none"/>
          <w:u w:val="none"/>
        </w:rPr>
        <w:t>度评分在达标分以下，每项考核分每下降1分扣除当</w:t>
      </w:r>
      <w:r>
        <w:rPr>
          <w:rFonts w:hint="eastAsia" w:ascii="宋体" w:hAnsi="宋体" w:cs="宋体"/>
          <w:b w:val="0"/>
          <w:bCs/>
          <w:color w:val="auto"/>
          <w:sz w:val="24"/>
          <w:szCs w:val="24"/>
          <w:highlight w:val="none"/>
          <w:u w:val="none"/>
          <w:lang w:val="en-US" w:eastAsia="zh-CN"/>
        </w:rPr>
        <w:t>月</w:t>
      </w:r>
      <w:r>
        <w:rPr>
          <w:rFonts w:hint="eastAsia" w:ascii="宋体" w:hAnsi="宋体" w:eastAsia="宋体" w:cs="宋体"/>
          <w:b w:val="0"/>
          <w:bCs/>
          <w:color w:val="auto"/>
          <w:sz w:val="24"/>
          <w:szCs w:val="24"/>
          <w:highlight w:val="none"/>
          <w:u w:val="none"/>
        </w:rPr>
        <w:t>合同款（即总合同金额除以</w:t>
      </w:r>
      <w:r>
        <w:rPr>
          <w:rFonts w:hint="eastAsia" w:ascii="宋体" w:hAnsi="宋体" w:cs="宋体"/>
          <w:b w:val="0"/>
          <w:bCs/>
          <w:color w:val="auto"/>
          <w:sz w:val="24"/>
          <w:szCs w:val="24"/>
          <w:highlight w:val="none"/>
          <w:u w:val="none"/>
          <w:lang w:val="en-US" w:eastAsia="zh-CN"/>
        </w:rPr>
        <w:t>12月</w:t>
      </w:r>
      <w:r>
        <w:rPr>
          <w:rFonts w:hint="eastAsia" w:ascii="宋体" w:hAnsi="宋体" w:eastAsia="宋体" w:cs="宋体"/>
          <w:b w:val="0"/>
          <w:bCs/>
          <w:color w:val="auto"/>
          <w:sz w:val="24"/>
          <w:szCs w:val="24"/>
          <w:highlight w:val="none"/>
          <w:u w:val="none"/>
        </w:rPr>
        <w:t>）</w:t>
      </w:r>
      <w:r>
        <w:rPr>
          <w:rFonts w:hint="eastAsia" w:ascii="宋体" w:hAnsi="宋体" w:cs="宋体"/>
          <w:b w:val="0"/>
          <w:bCs/>
          <w:color w:val="auto"/>
          <w:sz w:val="24"/>
          <w:szCs w:val="24"/>
          <w:highlight w:val="none"/>
          <w:u w:val="none"/>
          <w:lang w:val="en-US" w:eastAsia="zh-CN"/>
        </w:rPr>
        <w:t>的</w:t>
      </w:r>
      <w:r>
        <w:rPr>
          <w:rFonts w:hint="eastAsia" w:ascii="宋体" w:hAnsi="宋体" w:eastAsia="宋体" w:cs="宋体"/>
          <w:b w:val="0"/>
          <w:bCs/>
          <w:color w:val="auto"/>
          <w:sz w:val="24"/>
          <w:szCs w:val="24"/>
          <w:highlight w:val="none"/>
          <w:u w:val="none"/>
        </w:rPr>
        <w:t>1%，处罚金从当</w:t>
      </w:r>
      <w:r>
        <w:rPr>
          <w:rFonts w:hint="eastAsia" w:ascii="宋体" w:hAnsi="宋体" w:cs="宋体"/>
          <w:b w:val="0"/>
          <w:bCs/>
          <w:color w:val="auto"/>
          <w:sz w:val="24"/>
          <w:szCs w:val="24"/>
          <w:highlight w:val="none"/>
          <w:u w:val="none"/>
          <w:lang w:val="en-US" w:eastAsia="zh-CN"/>
        </w:rPr>
        <w:t>月</w:t>
      </w:r>
      <w:r>
        <w:rPr>
          <w:rFonts w:hint="eastAsia" w:ascii="宋体" w:hAnsi="宋体" w:eastAsia="宋体" w:cs="宋体"/>
          <w:b w:val="0"/>
          <w:bCs/>
          <w:color w:val="auto"/>
          <w:sz w:val="24"/>
          <w:szCs w:val="24"/>
          <w:highlight w:val="none"/>
          <w:u w:val="none"/>
        </w:rPr>
        <w:t>服务费扣除。（考评不合格的</w:t>
      </w:r>
      <w:r>
        <w:rPr>
          <w:rFonts w:hint="eastAsia" w:ascii="宋体" w:hAnsi="宋体" w:eastAsia="宋体" w:cs="宋体"/>
          <w:b w:val="0"/>
          <w:bCs/>
          <w:color w:val="auto"/>
          <w:sz w:val="24"/>
          <w:szCs w:val="24"/>
          <w:highlight w:val="none"/>
          <w:u w:val="none"/>
          <w:lang w:eastAsia="zh-CN"/>
        </w:rPr>
        <w:t>暂且不</w:t>
      </w:r>
      <w:r>
        <w:rPr>
          <w:rFonts w:hint="eastAsia" w:ascii="宋体" w:hAnsi="宋体" w:eastAsia="宋体" w:cs="宋体"/>
          <w:b w:val="0"/>
          <w:bCs/>
          <w:color w:val="auto"/>
          <w:sz w:val="24"/>
          <w:szCs w:val="24"/>
          <w:highlight w:val="none"/>
          <w:u w:val="none"/>
        </w:rPr>
        <w:t>支付，但整改后达到合格标准的按原得分比例结算服务费用）</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color w:val="auto"/>
          <w:sz w:val="24"/>
          <w:szCs w:val="24"/>
          <w:highlight w:val="none"/>
          <w:u w:val="none"/>
          <w:lang w:val="en-US" w:eastAsia="zh-CN"/>
        </w:rPr>
      </w:pPr>
      <w:r>
        <w:rPr>
          <w:rFonts w:hint="eastAsia" w:ascii="宋体" w:hAnsi="宋体" w:eastAsia="宋体" w:cs="宋体"/>
          <w:b w:val="0"/>
          <w:bCs/>
          <w:color w:val="auto"/>
          <w:sz w:val="24"/>
          <w:szCs w:val="24"/>
          <w:highlight w:val="none"/>
          <w:u w:val="none"/>
          <w:lang w:val="en-US" w:eastAsia="zh-CN"/>
        </w:rPr>
        <w:t>注：在服务期间甲方可根据实际政策变更，对考核评分表进行适当调整。</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宋体" w:hAnsi="宋体" w:eastAsia="宋体" w:cs="宋体"/>
          <w:b/>
          <w:color w:val="auto"/>
          <w:sz w:val="24"/>
          <w:szCs w:val="24"/>
          <w:highlight w:val="none"/>
          <w:u w:val="single"/>
          <w:lang w:val="en-US" w:eastAsia="zh-CN"/>
        </w:rPr>
      </w:pP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br w:type="page"/>
      </w:r>
      <w:r>
        <w:rPr>
          <w:rFonts w:hint="eastAsia" w:ascii="宋体" w:hAnsi="宋体" w:eastAsia="宋体" w:cs="宋体"/>
          <w:color w:val="auto"/>
          <w:sz w:val="24"/>
          <w:szCs w:val="24"/>
          <w:highlight w:val="none"/>
          <w:lang w:val="en-US" w:eastAsia="zh-CN"/>
        </w:rPr>
        <w:t>附件一：物业员工考核评分表</w:t>
      </w:r>
    </w:p>
    <w:tbl>
      <w:tblPr>
        <w:tblStyle w:val="4"/>
        <w:tblW w:w="9285" w:type="dxa"/>
        <w:tblInd w:w="-27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23"/>
        <w:gridCol w:w="6173"/>
        <w:gridCol w:w="914"/>
        <w:gridCol w:w="840"/>
        <w:gridCol w:w="7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4" w:hRule="atLeast"/>
        </w:trPr>
        <w:tc>
          <w:tcPr>
            <w:tcW w:w="9285" w:type="dxa"/>
            <w:gridSpan w:val="5"/>
            <w:noWrap w:val="0"/>
            <w:vAlign w:val="top"/>
          </w:tcPr>
          <w:p>
            <w:pPr>
              <w:pStyle w:val="7"/>
              <w:keepNext w:val="0"/>
              <w:keepLines w:val="0"/>
              <w:suppressLineNumbers w:val="0"/>
              <w:spacing w:before="177" w:beforeAutospacing="0" w:after="0" w:afterAutospacing="0"/>
              <w:ind w:left="62" w:right="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物业员工考核</w:t>
            </w:r>
            <w:r>
              <w:rPr>
                <w:rFonts w:hint="eastAsia" w:ascii="宋体" w:hAnsi="宋体" w:eastAsia="宋体" w:cs="宋体"/>
                <w:b/>
                <w:color w:val="auto"/>
                <w:sz w:val="21"/>
                <w:szCs w:val="21"/>
                <w:highlight w:val="none"/>
                <w:lang w:eastAsia="zh-CN"/>
              </w:rPr>
              <w:t>参考</w:t>
            </w:r>
            <w:r>
              <w:rPr>
                <w:rFonts w:hint="eastAsia" w:ascii="宋体" w:hAnsi="宋体" w:eastAsia="宋体" w:cs="宋体"/>
                <w:b/>
                <w:color w:val="auto"/>
                <w:sz w:val="21"/>
                <w:szCs w:val="21"/>
                <w:highlight w:val="none"/>
              </w:rPr>
              <w:t>评分表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9" w:hRule="atLeast"/>
        </w:trPr>
        <w:tc>
          <w:tcPr>
            <w:tcW w:w="623" w:type="dxa"/>
            <w:noWrap w:val="0"/>
            <w:vAlign w:val="top"/>
          </w:tcPr>
          <w:p>
            <w:pPr>
              <w:pStyle w:val="7"/>
              <w:keepNext w:val="0"/>
              <w:keepLines w:val="0"/>
              <w:pageBreakBefore w:val="0"/>
              <w:widowControl w:val="0"/>
              <w:suppressLineNumbers w:val="0"/>
              <w:kinsoku/>
              <w:wordWrap/>
              <w:overflowPunct/>
              <w:topLinePunct w:val="0"/>
              <w:autoSpaceDE/>
              <w:autoSpaceDN/>
              <w:bidi w:val="0"/>
              <w:adjustRightInd/>
              <w:snapToGrid/>
              <w:spacing w:before="87" w:beforeAutospacing="0" w:after="0" w:afterAutospacing="0" w:line="240" w:lineRule="exact"/>
              <w:ind w:left="172" w:right="0"/>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w w:val="105"/>
                <w:sz w:val="21"/>
                <w:szCs w:val="21"/>
                <w:highlight w:val="none"/>
              </w:rPr>
              <w:t>序号</w:t>
            </w:r>
          </w:p>
        </w:tc>
        <w:tc>
          <w:tcPr>
            <w:tcW w:w="6173" w:type="dxa"/>
            <w:noWrap w:val="0"/>
            <w:vAlign w:val="top"/>
          </w:tcPr>
          <w:p>
            <w:pPr>
              <w:pStyle w:val="7"/>
              <w:keepNext w:val="0"/>
              <w:keepLines w:val="0"/>
              <w:pageBreakBefore w:val="0"/>
              <w:widowControl w:val="0"/>
              <w:suppressLineNumbers w:val="0"/>
              <w:kinsoku/>
              <w:wordWrap/>
              <w:overflowPunct/>
              <w:topLinePunct w:val="0"/>
              <w:autoSpaceDE/>
              <w:autoSpaceDN/>
              <w:bidi w:val="0"/>
              <w:adjustRightInd/>
              <w:snapToGrid/>
              <w:spacing w:before="87" w:beforeAutospacing="0" w:after="0" w:afterAutospacing="0" w:line="240" w:lineRule="exact"/>
              <w:ind w:left="0" w:right="2626"/>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w w:val="105"/>
                <w:sz w:val="21"/>
                <w:szCs w:val="21"/>
                <w:highlight w:val="none"/>
                <w:lang w:val="en-US" w:eastAsia="zh-CN"/>
              </w:rPr>
              <w:t xml:space="preserve">            </w:t>
            </w:r>
            <w:r>
              <w:rPr>
                <w:rFonts w:hint="eastAsia" w:ascii="宋体" w:hAnsi="宋体" w:eastAsia="宋体" w:cs="宋体"/>
                <w:b/>
                <w:bCs/>
                <w:color w:val="auto"/>
                <w:w w:val="105"/>
                <w:sz w:val="21"/>
                <w:szCs w:val="21"/>
                <w:highlight w:val="none"/>
              </w:rPr>
              <w:t>考核内容</w:t>
            </w:r>
          </w:p>
        </w:tc>
        <w:tc>
          <w:tcPr>
            <w:tcW w:w="914" w:type="dxa"/>
            <w:noWrap w:val="0"/>
            <w:vAlign w:val="top"/>
          </w:tcPr>
          <w:p>
            <w:pPr>
              <w:pStyle w:val="7"/>
              <w:keepNext w:val="0"/>
              <w:keepLines w:val="0"/>
              <w:pageBreakBefore w:val="0"/>
              <w:widowControl w:val="0"/>
              <w:suppressLineNumbers w:val="0"/>
              <w:kinsoku/>
              <w:wordWrap/>
              <w:overflowPunct/>
              <w:topLinePunct w:val="0"/>
              <w:autoSpaceDE/>
              <w:autoSpaceDN/>
              <w:bidi w:val="0"/>
              <w:adjustRightInd/>
              <w:snapToGrid/>
              <w:spacing w:before="87" w:beforeAutospacing="0" w:after="0" w:afterAutospacing="0" w:line="240" w:lineRule="exact"/>
              <w:ind w:left="0" w:right="0"/>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w w:val="105"/>
                <w:sz w:val="21"/>
                <w:szCs w:val="21"/>
                <w:highlight w:val="none"/>
              </w:rPr>
              <w:t>考核标准</w:t>
            </w:r>
          </w:p>
        </w:tc>
        <w:tc>
          <w:tcPr>
            <w:tcW w:w="840" w:type="dxa"/>
            <w:noWrap w:val="0"/>
            <w:vAlign w:val="top"/>
          </w:tcPr>
          <w:p>
            <w:pPr>
              <w:pStyle w:val="7"/>
              <w:keepNext w:val="0"/>
              <w:keepLines w:val="0"/>
              <w:pageBreakBefore w:val="0"/>
              <w:widowControl w:val="0"/>
              <w:suppressLineNumbers w:val="0"/>
              <w:kinsoku/>
              <w:wordWrap/>
              <w:overflowPunct/>
              <w:topLinePunct w:val="0"/>
              <w:autoSpaceDE/>
              <w:autoSpaceDN/>
              <w:bidi w:val="0"/>
              <w:adjustRightInd/>
              <w:snapToGrid/>
              <w:spacing w:before="87" w:beforeAutospacing="0" w:after="0" w:afterAutospacing="0" w:line="240" w:lineRule="exact"/>
              <w:ind w:left="0" w:right="0"/>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w w:val="105"/>
                <w:sz w:val="21"/>
                <w:szCs w:val="21"/>
                <w:highlight w:val="none"/>
              </w:rPr>
              <w:t>应扣分</w:t>
            </w:r>
          </w:p>
        </w:tc>
        <w:tc>
          <w:tcPr>
            <w:tcW w:w="735" w:type="dxa"/>
            <w:noWrap w:val="0"/>
            <w:vAlign w:val="top"/>
          </w:tcPr>
          <w:p>
            <w:pPr>
              <w:pStyle w:val="7"/>
              <w:keepNext w:val="0"/>
              <w:keepLines w:val="0"/>
              <w:pageBreakBefore w:val="0"/>
              <w:widowControl w:val="0"/>
              <w:suppressLineNumbers w:val="0"/>
              <w:kinsoku/>
              <w:wordWrap/>
              <w:overflowPunct/>
              <w:topLinePunct w:val="0"/>
              <w:autoSpaceDE/>
              <w:autoSpaceDN/>
              <w:bidi w:val="0"/>
              <w:adjustRightInd/>
              <w:snapToGrid/>
              <w:spacing w:before="87" w:beforeAutospacing="0" w:after="0" w:afterAutospacing="0" w:line="240" w:lineRule="exact"/>
              <w:ind w:left="0" w:right="256"/>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w w:val="105"/>
                <w:sz w:val="21"/>
                <w:szCs w:val="21"/>
                <w:highlight w:val="none"/>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7" w:hRule="atLeast"/>
        </w:trPr>
        <w:tc>
          <w:tcPr>
            <w:tcW w:w="623" w:type="dxa"/>
            <w:vMerge w:val="restart"/>
            <w:noWrap w:val="0"/>
            <w:vAlign w:val="top"/>
          </w:tcPr>
          <w:p>
            <w:pPr>
              <w:pStyle w:val="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p>
            <w:pPr>
              <w:pStyle w:val="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p>
            <w:pPr>
              <w:pStyle w:val="7"/>
              <w:keepNext w:val="0"/>
              <w:keepLines w:val="0"/>
              <w:pageBreakBefore w:val="0"/>
              <w:widowControl w:val="0"/>
              <w:suppressLineNumbers w:val="0"/>
              <w:kinsoku/>
              <w:wordWrap/>
              <w:overflowPunct/>
              <w:topLinePunct w:val="0"/>
              <w:autoSpaceDE/>
              <w:autoSpaceDN/>
              <w:bidi w:val="0"/>
              <w:adjustRightInd/>
              <w:snapToGrid/>
              <w:spacing w:before="6" w:beforeAutospacing="0" w:after="0" w:afterAutospacing="0" w:line="240" w:lineRule="exact"/>
              <w:ind w:left="0" w:right="0"/>
              <w:textAlignment w:val="auto"/>
              <w:rPr>
                <w:rFonts w:hint="eastAsia" w:ascii="宋体" w:hAnsi="宋体" w:eastAsia="宋体" w:cs="宋体"/>
                <w:color w:val="auto"/>
                <w:sz w:val="21"/>
                <w:szCs w:val="21"/>
                <w:highlight w:val="none"/>
              </w:rPr>
            </w:pPr>
          </w:p>
          <w:p>
            <w:pPr>
              <w:pStyle w:val="7"/>
              <w:keepNext w:val="0"/>
              <w:keepLines w:val="0"/>
              <w:pageBreakBefore w:val="0"/>
              <w:widowControl w:val="0"/>
              <w:suppressLineNumbers w:val="0"/>
              <w:kinsoku/>
              <w:wordWrap/>
              <w:overflowPunct/>
              <w:topLinePunct w:val="0"/>
              <w:autoSpaceDE/>
              <w:autoSpaceDN/>
              <w:bidi w:val="0"/>
              <w:adjustRightInd/>
              <w:snapToGrid/>
              <w:spacing w:before="6" w:beforeAutospacing="0" w:after="0" w:afterAutospacing="0" w:line="240" w:lineRule="exact"/>
              <w:ind w:left="0" w:right="0"/>
              <w:textAlignment w:val="auto"/>
              <w:rPr>
                <w:rFonts w:hint="eastAsia" w:ascii="宋体" w:hAnsi="宋体" w:eastAsia="宋体" w:cs="宋体"/>
                <w:color w:val="auto"/>
                <w:sz w:val="21"/>
                <w:szCs w:val="21"/>
                <w:highlight w:val="none"/>
              </w:rPr>
            </w:pPr>
          </w:p>
          <w:p>
            <w:pPr>
              <w:pStyle w:val="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2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w w:val="105"/>
                <w:sz w:val="21"/>
                <w:szCs w:val="21"/>
                <w:highlight w:val="none"/>
              </w:rPr>
              <w:t>1</w:t>
            </w:r>
          </w:p>
        </w:tc>
        <w:tc>
          <w:tcPr>
            <w:tcW w:w="6173" w:type="dxa"/>
            <w:noWrap w:val="0"/>
            <w:vAlign w:val="top"/>
          </w:tcPr>
          <w:p>
            <w:pPr>
              <w:pStyle w:val="7"/>
              <w:keepNext w:val="0"/>
              <w:keepLines w:val="0"/>
              <w:pageBreakBefore w:val="0"/>
              <w:widowControl w:val="0"/>
              <w:suppressLineNumbers w:val="0"/>
              <w:kinsoku/>
              <w:wordWrap/>
              <w:overflowPunct/>
              <w:topLinePunct w:val="0"/>
              <w:autoSpaceDE/>
              <w:autoSpaceDN/>
              <w:bidi w:val="0"/>
              <w:adjustRightInd/>
              <w:snapToGrid/>
              <w:spacing w:before="33" w:beforeAutospacing="0" w:after="0" w:afterAutospacing="0" w:line="240" w:lineRule="exact"/>
              <w:ind w:left="21" w:right="0"/>
              <w:textAlignment w:val="auto"/>
              <w:rPr>
                <w:rFonts w:hint="eastAsia" w:ascii="宋体" w:hAnsi="宋体" w:eastAsia="宋体" w:cs="宋体"/>
                <w:color w:val="auto"/>
                <w:sz w:val="21"/>
                <w:szCs w:val="21"/>
                <w:highlight w:val="none"/>
              </w:rPr>
            </w:pPr>
            <w:r>
              <w:rPr>
                <w:rFonts w:hint="eastAsia" w:ascii="宋体" w:hAnsi="宋体" w:eastAsia="宋体" w:cs="宋体"/>
                <w:color w:val="auto"/>
                <w:w w:val="105"/>
                <w:sz w:val="21"/>
                <w:szCs w:val="21"/>
                <w:highlight w:val="none"/>
              </w:rPr>
              <w:t>1.1不按规定佩带胸牌；</w:t>
            </w:r>
          </w:p>
        </w:tc>
        <w:tc>
          <w:tcPr>
            <w:tcW w:w="914" w:type="dxa"/>
            <w:vMerge w:val="restart"/>
            <w:noWrap w:val="0"/>
            <w:vAlign w:val="top"/>
          </w:tcPr>
          <w:p>
            <w:pPr>
              <w:pStyle w:val="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p>
            <w:pPr>
              <w:pStyle w:val="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p>
            <w:pPr>
              <w:pStyle w:val="7"/>
              <w:keepNext w:val="0"/>
              <w:keepLines w:val="0"/>
              <w:pageBreakBefore w:val="0"/>
              <w:widowControl w:val="0"/>
              <w:suppressLineNumbers w:val="0"/>
              <w:kinsoku/>
              <w:wordWrap/>
              <w:overflowPunct/>
              <w:topLinePunct w:val="0"/>
              <w:autoSpaceDE/>
              <w:autoSpaceDN/>
              <w:bidi w:val="0"/>
              <w:adjustRightInd/>
              <w:snapToGrid/>
              <w:spacing w:before="8" w:beforeAutospacing="0" w:after="0" w:afterAutospacing="0" w:line="240" w:lineRule="exact"/>
              <w:ind w:left="0" w:right="0"/>
              <w:textAlignment w:val="auto"/>
              <w:rPr>
                <w:rFonts w:hint="eastAsia" w:ascii="宋体" w:hAnsi="宋体" w:eastAsia="宋体" w:cs="宋体"/>
                <w:color w:val="auto"/>
                <w:sz w:val="21"/>
                <w:szCs w:val="21"/>
                <w:highlight w:val="none"/>
              </w:rPr>
            </w:pPr>
          </w:p>
          <w:p>
            <w:pPr>
              <w:pStyle w:val="7"/>
              <w:keepNext w:val="0"/>
              <w:keepLines w:val="0"/>
              <w:pageBreakBefore w:val="0"/>
              <w:widowControl w:val="0"/>
              <w:suppressLineNumbers w:val="0"/>
              <w:kinsoku/>
              <w:wordWrap/>
              <w:overflowPunct/>
              <w:topLinePunct w:val="0"/>
              <w:autoSpaceDE/>
              <w:autoSpaceDN/>
              <w:bidi w:val="0"/>
              <w:adjustRightInd/>
              <w:snapToGrid/>
              <w:spacing w:before="8" w:beforeAutospacing="0" w:after="0" w:afterAutospacing="0" w:line="240" w:lineRule="exact"/>
              <w:ind w:left="0" w:right="0"/>
              <w:textAlignment w:val="auto"/>
              <w:rPr>
                <w:rFonts w:hint="eastAsia" w:ascii="宋体" w:hAnsi="宋体" w:eastAsia="宋体" w:cs="宋体"/>
                <w:color w:val="auto"/>
                <w:sz w:val="21"/>
                <w:szCs w:val="21"/>
                <w:highlight w:val="none"/>
              </w:rPr>
            </w:pPr>
          </w:p>
          <w:p>
            <w:pPr>
              <w:pStyle w:val="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111" w:right="20" w:hanging="7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每发现一条,对物</w:t>
            </w:r>
            <w:r>
              <w:rPr>
                <w:rFonts w:hint="eastAsia" w:ascii="宋体" w:hAnsi="宋体" w:eastAsia="宋体" w:cs="宋体"/>
                <w:color w:val="auto"/>
                <w:w w:val="105"/>
                <w:sz w:val="21"/>
                <w:szCs w:val="21"/>
                <w:highlight w:val="none"/>
              </w:rPr>
              <w:t>业公司扣0.5分</w:t>
            </w:r>
          </w:p>
        </w:tc>
        <w:tc>
          <w:tcPr>
            <w:tcW w:w="840" w:type="dxa"/>
            <w:vMerge w:val="restart"/>
            <w:noWrap w:val="0"/>
            <w:vAlign w:val="top"/>
          </w:tcPr>
          <w:p>
            <w:pPr>
              <w:pStyle w:val="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735" w:type="dxa"/>
            <w:vMerge w:val="restart"/>
            <w:noWrap w:val="0"/>
            <w:vAlign w:val="top"/>
          </w:tcPr>
          <w:p>
            <w:pPr>
              <w:pStyle w:val="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7" w:hRule="atLeast"/>
        </w:trPr>
        <w:tc>
          <w:tcPr>
            <w:tcW w:w="623"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6173" w:type="dxa"/>
            <w:noWrap w:val="0"/>
            <w:vAlign w:val="top"/>
          </w:tcPr>
          <w:p>
            <w:pPr>
              <w:pStyle w:val="7"/>
              <w:keepNext w:val="0"/>
              <w:keepLines w:val="0"/>
              <w:pageBreakBefore w:val="0"/>
              <w:widowControl w:val="0"/>
              <w:suppressLineNumbers w:val="0"/>
              <w:kinsoku/>
              <w:wordWrap/>
              <w:overflowPunct/>
              <w:topLinePunct w:val="0"/>
              <w:autoSpaceDE/>
              <w:autoSpaceDN/>
              <w:bidi w:val="0"/>
              <w:adjustRightInd/>
              <w:snapToGrid/>
              <w:spacing w:before="33" w:beforeAutospacing="0" w:after="0" w:afterAutospacing="0" w:line="240" w:lineRule="exact"/>
              <w:ind w:left="21" w:right="0"/>
              <w:textAlignment w:val="auto"/>
              <w:rPr>
                <w:rFonts w:hint="eastAsia" w:ascii="宋体" w:hAnsi="宋体" w:eastAsia="宋体" w:cs="宋体"/>
                <w:color w:val="auto"/>
                <w:sz w:val="21"/>
                <w:szCs w:val="21"/>
                <w:highlight w:val="none"/>
              </w:rPr>
            </w:pPr>
            <w:r>
              <w:rPr>
                <w:rFonts w:hint="eastAsia" w:ascii="宋体" w:hAnsi="宋体" w:eastAsia="宋体" w:cs="宋体"/>
                <w:color w:val="auto"/>
                <w:w w:val="105"/>
                <w:sz w:val="21"/>
                <w:szCs w:val="21"/>
                <w:highlight w:val="none"/>
              </w:rPr>
              <w:t>1.2上班时未穿工作服或服饰不整；</w:t>
            </w:r>
          </w:p>
        </w:tc>
        <w:tc>
          <w:tcPr>
            <w:tcW w:w="914"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840"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735"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7" w:hRule="atLeast"/>
        </w:trPr>
        <w:tc>
          <w:tcPr>
            <w:tcW w:w="623"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6173" w:type="dxa"/>
            <w:noWrap w:val="0"/>
            <w:vAlign w:val="top"/>
          </w:tcPr>
          <w:p>
            <w:pPr>
              <w:pStyle w:val="7"/>
              <w:keepNext w:val="0"/>
              <w:keepLines w:val="0"/>
              <w:pageBreakBefore w:val="0"/>
              <w:widowControl w:val="0"/>
              <w:suppressLineNumbers w:val="0"/>
              <w:kinsoku/>
              <w:wordWrap/>
              <w:overflowPunct/>
              <w:topLinePunct w:val="0"/>
              <w:autoSpaceDE/>
              <w:autoSpaceDN/>
              <w:bidi w:val="0"/>
              <w:adjustRightInd/>
              <w:snapToGrid/>
              <w:spacing w:before="33" w:beforeAutospacing="0" w:after="0" w:afterAutospacing="0" w:line="240" w:lineRule="exact"/>
              <w:ind w:left="21" w:right="0"/>
              <w:textAlignment w:val="auto"/>
              <w:rPr>
                <w:rFonts w:hint="eastAsia" w:ascii="宋体" w:hAnsi="宋体" w:eastAsia="宋体" w:cs="宋体"/>
                <w:color w:val="auto"/>
                <w:sz w:val="21"/>
                <w:szCs w:val="21"/>
                <w:highlight w:val="none"/>
              </w:rPr>
            </w:pPr>
            <w:r>
              <w:rPr>
                <w:rFonts w:hint="eastAsia" w:ascii="宋体" w:hAnsi="宋体" w:eastAsia="宋体" w:cs="宋体"/>
                <w:color w:val="auto"/>
                <w:w w:val="105"/>
                <w:sz w:val="21"/>
                <w:szCs w:val="21"/>
                <w:highlight w:val="none"/>
              </w:rPr>
              <w:t>1.3在</w:t>
            </w:r>
            <w:r>
              <w:rPr>
                <w:rFonts w:hint="eastAsia" w:ascii="宋体" w:hAnsi="宋体" w:eastAsia="宋体" w:cs="宋体"/>
                <w:color w:val="auto"/>
                <w:w w:val="105"/>
                <w:sz w:val="21"/>
                <w:szCs w:val="21"/>
                <w:highlight w:val="none"/>
                <w:lang w:eastAsia="zh-CN"/>
              </w:rPr>
              <w:t>学校</w:t>
            </w:r>
            <w:r>
              <w:rPr>
                <w:rFonts w:hint="eastAsia" w:ascii="宋体" w:hAnsi="宋体" w:eastAsia="宋体" w:cs="宋体"/>
                <w:color w:val="auto"/>
                <w:w w:val="105"/>
                <w:sz w:val="21"/>
                <w:szCs w:val="21"/>
                <w:highlight w:val="none"/>
              </w:rPr>
              <w:t>内乱扔杂物；</w:t>
            </w:r>
          </w:p>
        </w:tc>
        <w:tc>
          <w:tcPr>
            <w:tcW w:w="914"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840"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735"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7" w:hRule="atLeast"/>
        </w:trPr>
        <w:tc>
          <w:tcPr>
            <w:tcW w:w="623"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6173" w:type="dxa"/>
            <w:noWrap w:val="0"/>
            <w:vAlign w:val="top"/>
          </w:tcPr>
          <w:p>
            <w:pPr>
              <w:pStyle w:val="7"/>
              <w:keepNext w:val="0"/>
              <w:keepLines w:val="0"/>
              <w:pageBreakBefore w:val="0"/>
              <w:widowControl w:val="0"/>
              <w:suppressLineNumbers w:val="0"/>
              <w:kinsoku/>
              <w:wordWrap/>
              <w:overflowPunct/>
              <w:topLinePunct w:val="0"/>
              <w:autoSpaceDE/>
              <w:autoSpaceDN/>
              <w:bidi w:val="0"/>
              <w:adjustRightInd/>
              <w:snapToGrid/>
              <w:spacing w:before="33" w:beforeAutospacing="0" w:after="0" w:afterAutospacing="0" w:line="240" w:lineRule="exact"/>
              <w:ind w:left="21" w:right="0"/>
              <w:textAlignment w:val="auto"/>
              <w:rPr>
                <w:rFonts w:hint="eastAsia" w:ascii="宋体" w:hAnsi="宋体" w:eastAsia="宋体" w:cs="宋体"/>
                <w:color w:val="auto"/>
                <w:sz w:val="21"/>
                <w:szCs w:val="21"/>
                <w:highlight w:val="none"/>
              </w:rPr>
            </w:pPr>
            <w:r>
              <w:rPr>
                <w:rFonts w:hint="eastAsia" w:ascii="宋体" w:hAnsi="宋体" w:eastAsia="宋体" w:cs="宋体"/>
                <w:color w:val="auto"/>
                <w:w w:val="105"/>
                <w:sz w:val="21"/>
                <w:szCs w:val="21"/>
                <w:highlight w:val="none"/>
              </w:rPr>
              <w:t>1.4未经同意擅自带人进入</w:t>
            </w:r>
            <w:r>
              <w:rPr>
                <w:rFonts w:hint="eastAsia" w:ascii="宋体" w:hAnsi="宋体" w:eastAsia="宋体" w:cs="宋体"/>
                <w:color w:val="auto"/>
                <w:w w:val="105"/>
                <w:sz w:val="21"/>
                <w:szCs w:val="21"/>
                <w:highlight w:val="none"/>
                <w:lang w:val="en-US" w:eastAsia="zh-CN"/>
              </w:rPr>
              <w:t>学校</w:t>
            </w:r>
            <w:r>
              <w:rPr>
                <w:rFonts w:hint="eastAsia" w:ascii="宋体" w:hAnsi="宋体" w:eastAsia="宋体" w:cs="宋体"/>
                <w:color w:val="auto"/>
                <w:w w:val="105"/>
                <w:sz w:val="21"/>
                <w:szCs w:val="21"/>
                <w:highlight w:val="none"/>
              </w:rPr>
              <w:t>参观；</w:t>
            </w:r>
          </w:p>
        </w:tc>
        <w:tc>
          <w:tcPr>
            <w:tcW w:w="914"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840"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735"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7" w:hRule="atLeast"/>
        </w:trPr>
        <w:tc>
          <w:tcPr>
            <w:tcW w:w="623"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6173" w:type="dxa"/>
            <w:noWrap w:val="0"/>
            <w:vAlign w:val="top"/>
          </w:tcPr>
          <w:p>
            <w:pPr>
              <w:pStyle w:val="7"/>
              <w:keepNext w:val="0"/>
              <w:keepLines w:val="0"/>
              <w:pageBreakBefore w:val="0"/>
              <w:widowControl w:val="0"/>
              <w:suppressLineNumbers w:val="0"/>
              <w:kinsoku/>
              <w:wordWrap/>
              <w:overflowPunct/>
              <w:topLinePunct w:val="0"/>
              <w:autoSpaceDE/>
              <w:autoSpaceDN/>
              <w:bidi w:val="0"/>
              <w:adjustRightInd/>
              <w:snapToGrid/>
              <w:spacing w:before="33" w:beforeAutospacing="0" w:after="0" w:afterAutospacing="0" w:line="240" w:lineRule="exact"/>
              <w:ind w:left="21" w:right="0"/>
              <w:textAlignment w:val="auto"/>
              <w:rPr>
                <w:rFonts w:hint="eastAsia" w:ascii="宋体" w:hAnsi="宋体" w:eastAsia="宋体" w:cs="宋体"/>
                <w:color w:val="auto"/>
                <w:sz w:val="21"/>
                <w:szCs w:val="21"/>
                <w:highlight w:val="none"/>
              </w:rPr>
            </w:pPr>
            <w:r>
              <w:rPr>
                <w:rFonts w:hint="eastAsia" w:ascii="宋体" w:hAnsi="宋体" w:eastAsia="宋体" w:cs="宋体"/>
                <w:color w:val="auto"/>
                <w:w w:val="105"/>
                <w:sz w:val="21"/>
                <w:szCs w:val="21"/>
                <w:highlight w:val="none"/>
              </w:rPr>
              <w:t>1.5当班时行为不检点，如嘻皮笑脸，大声喧哗，追逐打闹，勾肩搭背等；</w:t>
            </w:r>
          </w:p>
        </w:tc>
        <w:tc>
          <w:tcPr>
            <w:tcW w:w="914"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840"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735"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7" w:hRule="atLeast"/>
        </w:trPr>
        <w:tc>
          <w:tcPr>
            <w:tcW w:w="623"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6173" w:type="dxa"/>
            <w:noWrap w:val="0"/>
            <w:vAlign w:val="top"/>
          </w:tcPr>
          <w:p>
            <w:pPr>
              <w:pStyle w:val="7"/>
              <w:keepNext w:val="0"/>
              <w:keepLines w:val="0"/>
              <w:pageBreakBefore w:val="0"/>
              <w:widowControl w:val="0"/>
              <w:suppressLineNumbers w:val="0"/>
              <w:kinsoku/>
              <w:wordWrap/>
              <w:overflowPunct/>
              <w:topLinePunct w:val="0"/>
              <w:autoSpaceDE/>
              <w:autoSpaceDN/>
              <w:bidi w:val="0"/>
              <w:adjustRightInd/>
              <w:snapToGrid/>
              <w:spacing w:before="33" w:beforeAutospacing="0" w:after="0" w:afterAutospacing="0" w:line="240" w:lineRule="exact"/>
              <w:ind w:left="21" w:right="0"/>
              <w:textAlignment w:val="auto"/>
              <w:rPr>
                <w:rFonts w:hint="eastAsia" w:ascii="宋体" w:hAnsi="宋体" w:eastAsia="宋体" w:cs="宋体"/>
                <w:color w:val="auto"/>
                <w:sz w:val="21"/>
                <w:szCs w:val="21"/>
                <w:highlight w:val="none"/>
              </w:rPr>
            </w:pPr>
            <w:r>
              <w:rPr>
                <w:rFonts w:hint="eastAsia" w:ascii="宋体" w:hAnsi="宋体" w:eastAsia="宋体" w:cs="宋体"/>
                <w:color w:val="auto"/>
                <w:w w:val="105"/>
                <w:sz w:val="21"/>
                <w:szCs w:val="21"/>
                <w:highlight w:val="none"/>
              </w:rPr>
              <w:t>1.6上班无故迟到，早退，串岗或擅离岗位10分钟以内，</w:t>
            </w:r>
          </w:p>
        </w:tc>
        <w:tc>
          <w:tcPr>
            <w:tcW w:w="914"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840"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735"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7" w:hRule="atLeast"/>
        </w:trPr>
        <w:tc>
          <w:tcPr>
            <w:tcW w:w="623"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6173" w:type="dxa"/>
            <w:noWrap w:val="0"/>
            <w:vAlign w:val="top"/>
          </w:tcPr>
          <w:p>
            <w:pPr>
              <w:pStyle w:val="7"/>
              <w:keepNext w:val="0"/>
              <w:keepLines w:val="0"/>
              <w:pageBreakBefore w:val="0"/>
              <w:widowControl w:val="0"/>
              <w:suppressLineNumbers w:val="0"/>
              <w:kinsoku/>
              <w:wordWrap/>
              <w:overflowPunct/>
              <w:topLinePunct w:val="0"/>
              <w:autoSpaceDE/>
              <w:autoSpaceDN/>
              <w:bidi w:val="0"/>
              <w:adjustRightInd/>
              <w:snapToGrid/>
              <w:spacing w:before="33" w:beforeAutospacing="0" w:after="0" w:afterAutospacing="0" w:line="240" w:lineRule="exact"/>
              <w:ind w:left="21" w:right="0"/>
              <w:textAlignment w:val="auto"/>
              <w:rPr>
                <w:rFonts w:hint="eastAsia" w:ascii="宋体" w:hAnsi="宋体" w:eastAsia="宋体" w:cs="宋体"/>
                <w:color w:val="auto"/>
                <w:sz w:val="21"/>
                <w:szCs w:val="21"/>
                <w:highlight w:val="none"/>
              </w:rPr>
            </w:pPr>
            <w:r>
              <w:rPr>
                <w:rFonts w:hint="eastAsia" w:ascii="宋体" w:hAnsi="宋体" w:eastAsia="宋体" w:cs="宋体"/>
                <w:color w:val="auto"/>
                <w:w w:val="105"/>
                <w:sz w:val="21"/>
                <w:szCs w:val="21"/>
                <w:highlight w:val="none"/>
              </w:rPr>
              <w:t>1.7不按规定填写操作记录、交接班记录；</w:t>
            </w:r>
          </w:p>
        </w:tc>
        <w:tc>
          <w:tcPr>
            <w:tcW w:w="914"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840"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735"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7" w:hRule="atLeast"/>
        </w:trPr>
        <w:tc>
          <w:tcPr>
            <w:tcW w:w="623"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6173" w:type="dxa"/>
            <w:noWrap w:val="0"/>
            <w:vAlign w:val="top"/>
          </w:tcPr>
          <w:p>
            <w:pPr>
              <w:pStyle w:val="7"/>
              <w:keepNext w:val="0"/>
              <w:keepLines w:val="0"/>
              <w:pageBreakBefore w:val="0"/>
              <w:widowControl w:val="0"/>
              <w:suppressLineNumbers w:val="0"/>
              <w:kinsoku/>
              <w:wordWrap/>
              <w:overflowPunct/>
              <w:topLinePunct w:val="0"/>
              <w:autoSpaceDE/>
              <w:autoSpaceDN/>
              <w:bidi w:val="0"/>
              <w:adjustRightInd/>
              <w:snapToGrid/>
              <w:spacing w:before="33" w:beforeAutospacing="0" w:after="0" w:afterAutospacing="0" w:line="240" w:lineRule="exact"/>
              <w:ind w:left="21" w:right="0"/>
              <w:textAlignment w:val="auto"/>
              <w:rPr>
                <w:rFonts w:hint="eastAsia" w:ascii="宋体" w:hAnsi="宋体" w:eastAsia="宋体" w:cs="宋体"/>
                <w:color w:val="auto"/>
                <w:sz w:val="21"/>
                <w:szCs w:val="21"/>
                <w:highlight w:val="none"/>
              </w:rPr>
            </w:pPr>
            <w:r>
              <w:rPr>
                <w:rFonts w:hint="eastAsia" w:ascii="宋体" w:hAnsi="宋体" w:eastAsia="宋体" w:cs="宋体"/>
                <w:color w:val="auto"/>
                <w:w w:val="105"/>
                <w:sz w:val="21"/>
                <w:szCs w:val="21"/>
                <w:highlight w:val="none"/>
              </w:rPr>
              <w:t>1.8违反电话使用规定，打私人电话聊天；</w:t>
            </w:r>
          </w:p>
        </w:tc>
        <w:tc>
          <w:tcPr>
            <w:tcW w:w="914"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840"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735"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7" w:hRule="atLeast"/>
        </w:trPr>
        <w:tc>
          <w:tcPr>
            <w:tcW w:w="623"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6173" w:type="dxa"/>
            <w:noWrap w:val="0"/>
            <w:vAlign w:val="top"/>
          </w:tcPr>
          <w:p>
            <w:pPr>
              <w:pStyle w:val="7"/>
              <w:keepNext w:val="0"/>
              <w:keepLines w:val="0"/>
              <w:pageBreakBefore w:val="0"/>
              <w:widowControl w:val="0"/>
              <w:suppressLineNumbers w:val="0"/>
              <w:kinsoku/>
              <w:wordWrap/>
              <w:overflowPunct/>
              <w:topLinePunct w:val="0"/>
              <w:autoSpaceDE/>
              <w:autoSpaceDN/>
              <w:bidi w:val="0"/>
              <w:adjustRightInd/>
              <w:snapToGrid/>
              <w:spacing w:before="33" w:beforeAutospacing="0" w:after="0" w:afterAutospacing="0" w:line="240" w:lineRule="exact"/>
              <w:ind w:left="21" w:right="0"/>
              <w:textAlignment w:val="auto"/>
              <w:rPr>
                <w:rFonts w:hint="eastAsia" w:ascii="宋体" w:hAnsi="宋体" w:eastAsia="宋体" w:cs="宋体"/>
                <w:color w:val="auto"/>
                <w:sz w:val="21"/>
                <w:szCs w:val="21"/>
                <w:highlight w:val="none"/>
              </w:rPr>
            </w:pPr>
            <w:r>
              <w:rPr>
                <w:rFonts w:hint="eastAsia" w:ascii="宋体" w:hAnsi="宋体" w:eastAsia="宋体" w:cs="宋体"/>
                <w:color w:val="auto"/>
                <w:w w:val="105"/>
                <w:sz w:val="21"/>
                <w:szCs w:val="21"/>
                <w:highlight w:val="none"/>
              </w:rPr>
              <w:t>1.9工作时间看书籍，擅自换班、调班；</w:t>
            </w:r>
          </w:p>
        </w:tc>
        <w:tc>
          <w:tcPr>
            <w:tcW w:w="914"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840"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735"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7" w:hRule="atLeast"/>
        </w:trPr>
        <w:tc>
          <w:tcPr>
            <w:tcW w:w="623"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6173" w:type="dxa"/>
            <w:noWrap w:val="0"/>
            <w:vAlign w:val="top"/>
          </w:tcPr>
          <w:p>
            <w:pPr>
              <w:pStyle w:val="7"/>
              <w:keepNext w:val="0"/>
              <w:keepLines w:val="0"/>
              <w:pageBreakBefore w:val="0"/>
              <w:widowControl w:val="0"/>
              <w:suppressLineNumbers w:val="0"/>
              <w:kinsoku/>
              <w:wordWrap/>
              <w:overflowPunct/>
              <w:topLinePunct w:val="0"/>
              <w:autoSpaceDE/>
              <w:autoSpaceDN/>
              <w:bidi w:val="0"/>
              <w:adjustRightInd/>
              <w:snapToGrid/>
              <w:spacing w:before="33" w:beforeAutospacing="0" w:after="0" w:afterAutospacing="0" w:line="240" w:lineRule="exact"/>
              <w:ind w:left="21" w:right="0"/>
              <w:textAlignment w:val="auto"/>
              <w:rPr>
                <w:rFonts w:hint="eastAsia" w:ascii="宋体" w:hAnsi="宋体" w:eastAsia="宋体" w:cs="宋体"/>
                <w:color w:val="auto"/>
                <w:sz w:val="21"/>
                <w:szCs w:val="21"/>
                <w:highlight w:val="none"/>
              </w:rPr>
            </w:pPr>
            <w:r>
              <w:rPr>
                <w:rFonts w:hint="eastAsia" w:ascii="宋体" w:hAnsi="宋体" w:eastAsia="宋体" w:cs="宋体"/>
                <w:color w:val="auto"/>
                <w:w w:val="105"/>
                <w:sz w:val="21"/>
                <w:szCs w:val="21"/>
                <w:highlight w:val="none"/>
              </w:rPr>
              <w:t>1.10每个小时各个楼层有巡逻记录，未记录扣0.5分。</w:t>
            </w:r>
          </w:p>
        </w:tc>
        <w:tc>
          <w:tcPr>
            <w:tcW w:w="914"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840"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735"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7" w:hRule="atLeast"/>
        </w:trPr>
        <w:tc>
          <w:tcPr>
            <w:tcW w:w="623" w:type="dxa"/>
            <w:vMerge w:val="restart"/>
            <w:noWrap w:val="0"/>
            <w:vAlign w:val="top"/>
          </w:tcPr>
          <w:p>
            <w:pPr>
              <w:pStyle w:val="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p>
            <w:pPr>
              <w:pStyle w:val="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p>
            <w:pPr>
              <w:pStyle w:val="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p>
            <w:pPr>
              <w:pStyle w:val="7"/>
              <w:keepNext w:val="0"/>
              <w:keepLines w:val="0"/>
              <w:pageBreakBefore w:val="0"/>
              <w:widowControl w:val="0"/>
              <w:suppressLineNumbers w:val="0"/>
              <w:kinsoku/>
              <w:wordWrap/>
              <w:overflowPunct/>
              <w:topLinePunct w:val="0"/>
              <w:autoSpaceDE/>
              <w:autoSpaceDN/>
              <w:bidi w:val="0"/>
              <w:adjustRightInd/>
              <w:snapToGrid/>
              <w:spacing w:before="6" w:beforeAutospacing="0" w:after="0" w:afterAutospacing="0" w:line="240" w:lineRule="exact"/>
              <w:ind w:left="0" w:right="0"/>
              <w:textAlignment w:val="auto"/>
              <w:rPr>
                <w:rFonts w:hint="eastAsia" w:ascii="宋体" w:hAnsi="宋体" w:eastAsia="宋体" w:cs="宋体"/>
                <w:color w:val="auto"/>
                <w:sz w:val="21"/>
                <w:szCs w:val="21"/>
                <w:highlight w:val="none"/>
              </w:rPr>
            </w:pPr>
          </w:p>
          <w:p>
            <w:pPr>
              <w:pStyle w:val="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2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w w:val="105"/>
                <w:sz w:val="21"/>
                <w:szCs w:val="21"/>
                <w:highlight w:val="none"/>
              </w:rPr>
              <w:t>2</w:t>
            </w:r>
          </w:p>
        </w:tc>
        <w:tc>
          <w:tcPr>
            <w:tcW w:w="6173" w:type="dxa"/>
            <w:noWrap w:val="0"/>
            <w:vAlign w:val="top"/>
          </w:tcPr>
          <w:p>
            <w:pPr>
              <w:pStyle w:val="7"/>
              <w:keepNext w:val="0"/>
              <w:keepLines w:val="0"/>
              <w:pageBreakBefore w:val="0"/>
              <w:widowControl w:val="0"/>
              <w:suppressLineNumbers w:val="0"/>
              <w:kinsoku/>
              <w:wordWrap/>
              <w:overflowPunct/>
              <w:topLinePunct w:val="0"/>
              <w:autoSpaceDE/>
              <w:autoSpaceDN/>
              <w:bidi w:val="0"/>
              <w:adjustRightInd/>
              <w:snapToGrid/>
              <w:spacing w:before="33" w:beforeAutospacing="0" w:after="0" w:afterAutospacing="0" w:line="240" w:lineRule="exact"/>
              <w:ind w:left="21" w:right="0"/>
              <w:textAlignment w:val="auto"/>
              <w:rPr>
                <w:rFonts w:hint="eastAsia" w:ascii="宋体" w:hAnsi="宋体" w:eastAsia="宋体" w:cs="宋体"/>
                <w:color w:val="auto"/>
                <w:sz w:val="21"/>
                <w:szCs w:val="21"/>
                <w:highlight w:val="none"/>
              </w:rPr>
            </w:pPr>
            <w:r>
              <w:rPr>
                <w:rFonts w:hint="eastAsia" w:ascii="宋体" w:hAnsi="宋体" w:eastAsia="宋体" w:cs="宋体"/>
                <w:color w:val="auto"/>
                <w:w w:val="105"/>
                <w:sz w:val="21"/>
                <w:szCs w:val="21"/>
                <w:highlight w:val="none"/>
              </w:rPr>
              <w:t>2.1没有正当理由或未经部门领导同意而擅自离开工作岗位10分钟以上；</w:t>
            </w:r>
          </w:p>
        </w:tc>
        <w:tc>
          <w:tcPr>
            <w:tcW w:w="914" w:type="dxa"/>
            <w:vMerge w:val="restart"/>
            <w:noWrap w:val="0"/>
            <w:vAlign w:val="top"/>
          </w:tcPr>
          <w:p>
            <w:pPr>
              <w:pStyle w:val="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p>
            <w:pPr>
              <w:pStyle w:val="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p>
            <w:pPr>
              <w:pStyle w:val="7"/>
              <w:keepNext w:val="0"/>
              <w:keepLines w:val="0"/>
              <w:pageBreakBefore w:val="0"/>
              <w:widowControl w:val="0"/>
              <w:suppressLineNumbers w:val="0"/>
              <w:kinsoku/>
              <w:wordWrap/>
              <w:overflowPunct/>
              <w:topLinePunct w:val="0"/>
              <w:autoSpaceDE/>
              <w:autoSpaceDN/>
              <w:bidi w:val="0"/>
              <w:adjustRightInd/>
              <w:snapToGrid/>
              <w:spacing w:before="8" w:beforeAutospacing="0" w:after="0" w:afterAutospacing="0" w:line="240" w:lineRule="exact"/>
              <w:ind w:left="0" w:right="0"/>
              <w:textAlignment w:val="auto"/>
              <w:rPr>
                <w:rFonts w:hint="eastAsia" w:ascii="宋体" w:hAnsi="宋体" w:eastAsia="宋体" w:cs="宋体"/>
                <w:color w:val="auto"/>
                <w:sz w:val="21"/>
                <w:szCs w:val="21"/>
                <w:highlight w:val="none"/>
              </w:rPr>
            </w:pPr>
          </w:p>
          <w:p>
            <w:pPr>
              <w:pStyle w:val="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183" w:right="20" w:hanging="142"/>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每发现一条,对物</w:t>
            </w:r>
            <w:r>
              <w:rPr>
                <w:rFonts w:hint="eastAsia" w:ascii="宋体" w:hAnsi="宋体" w:eastAsia="宋体" w:cs="宋体"/>
                <w:color w:val="auto"/>
                <w:w w:val="105"/>
                <w:sz w:val="21"/>
                <w:szCs w:val="21"/>
                <w:highlight w:val="none"/>
              </w:rPr>
              <w:t>业公司扣1分</w:t>
            </w:r>
          </w:p>
        </w:tc>
        <w:tc>
          <w:tcPr>
            <w:tcW w:w="840" w:type="dxa"/>
            <w:vMerge w:val="restart"/>
            <w:noWrap w:val="0"/>
            <w:vAlign w:val="top"/>
          </w:tcPr>
          <w:p>
            <w:pPr>
              <w:pStyle w:val="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735" w:type="dxa"/>
            <w:vMerge w:val="restart"/>
            <w:noWrap w:val="0"/>
            <w:vAlign w:val="top"/>
          </w:tcPr>
          <w:p>
            <w:pPr>
              <w:pStyle w:val="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7" w:hRule="atLeast"/>
        </w:trPr>
        <w:tc>
          <w:tcPr>
            <w:tcW w:w="623"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6173" w:type="dxa"/>
            <w:noWrap w:val="0"/>
            <w:vAlign w:val="top"/>
          </w:tcPr>
          <w:p>
            <w:pPr>
              <w:pStyle w:val="7"/>
              <w:keepNext w:val="0"/>
              <w:keepLines w:val="0"/>
              <w:pageBreakBefore w:val="0"/>
              <w:widowControl w:val="0"/>
              <w:suppressLineNumbers w:val="0"/>
              <w:kinsoku/>
              <w:wordWrap/>
              <w:overflowPunct/>
              <w:topLinePunct w:val="0"/>
              <w:autoSpaceDE/>
              <w:autoSpaceDN/>
              <w:bidi w:val="0"/>
              <w:adjustRightInd/>
              <w:snapToGrid/>
              <w:spacing w:before="33" w:beforeAutospacing="0" w:after="0" w:afterAutospacing="0" w:line="240" w:lineRule="exact"/>
              <w:ind w:left="21" w:right="0"/>
              <w:textAlignment w:val="auto"/>
              <w:rPr>
                <w:rFonts w:hint="eastAsia" w:ascii="宋体" w:hAnsi="宋体" w:eastAsia="宋体" w:cs="宋体"/>
                <w:color w:val="auto"/>
                <w:sz w:val="21"/>
                <w:szCs w:val="21"/>
                <w:highlight w:val="none"/>
              </w:rPr>
            </w:pPr>
            <w:r>
              <w:rPr>
                <w:rFonts w:hint="eastAsia" w:ascii="宋体" w:hAnsi="宋体" w:eastAsia="宋体" w:cs="宋体"/>
                <w:color w:val="auto"/>
                <w:w w:val="105"/>
                <w:sz w:val="21"/>
                <w:szCs w:val="21"/>
                <w:highlight w:val="none"/>
              </w:rPr>
              <w:t>2.2在禁止吸烟区域吸烟或使用明火；</w:t>
            </w:r>
          </w:p>
        </w:tc>
        <w:tc>
          <w:tcPr>
            <w:tcW w:w="914"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840"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735"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7" w:hRule="atLeast"/>
        </w:trPr>
        <w:tc>
          <w:tcPr>
            <w:tcW w:w="623"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6173" w:type="dxa"/>
            <w:noWrap w:val="0"/>
            <w:vAlign w:val="top"/>
          </w:tcPr>
          <w:p>
            <w:pPr>
              <w:pStyle w:val="7"/>
              <w:keepNext w:val="0"/>
              <w:keepLines w:val="0"/>
              <w:pageBreakBefore w:val="0"/>
              <w:widowControl w:val="0"/>
              <w:suppressLineNumbers w:val="0"/>
              <w:kinsoku/>
              <w:wordWrap/>
              <w:overflowPunct/>
              <w:topLinePunct w:val="0"/>
              <w:autoSpaceDE/>
              <w:autoSpaceDN/>
              <w:bidi w:val="0"/>
              <w:adjustRightInd/>
              <w:snapToGrid/>
              <w:spacing w:before="33" w:beforeAutospacing="0" w:after="0" w:afterAutospacing="0" w:line="240" w:lineRule="exact"/>
              <w:ind w:left="21" w:right="0"/>
              <w:textAlignment w:val="auto"/>
              <w:rPr>
                <w:rFonts w:hint="eastAsia" w:ascii="宋体" w:hAnsi="宋体" w:eastAsia="宋体" w:cs="宋体"/>
                <w:color w:val="auto"/>
                <w:sz w:val="21"/>
                <w:szCs w:val="21"/>
                <w:highlight w:val="none"/>
              </w:rPr>
            </w:pPr>
            <w:r>
              <w:rPr>
                <w:rFonts w:hint="eastAsia" w:ascii="宋体" w:hAnsi="宋体" w:eastAsia="宋体" w:cs="宋体"/>
                <w:color w:val="auto"/>
                <w:w w:val="105"/>
                <w:sz w:val="21"/>
                <w:szCs w:val="21"/>
                <w:highlight w:val="none"/>
              </w:rPr>
              <w:t>2.3未经许可而使用单位或</w:t>
            </w:r>
            <w:r>
              <w:rPr>
                <w:rFonts w:hint="eastAsia" w:ascii="宋体" w:hAnsi="宋体" w:eastAsia="宋体" w:cs="宋体"/>
                <w:color w:val="auto"/>
                <w:w w:val="105"/>
                <w:sz w:val="21"/>
                <w:szCs w:val="21"/>
                <w:highlight w:val="none"/>
                <w:lang w:eastAsia="zh-CN"/>
              </w:rPr>
              <w:t>学校</w:t>
            </w:r>
            <w:r>
              <w:rPr>
                <w:rFonts w:hint="eastAsia" w:ascii="宋体" w:hAnsi="宋体" w:eastAsia="宋体" w:cs="宋体"/>
                <w:color w:val="auto"/>
                <w:w w:val="105"/>
                <w:sz w:val="21"/>
                <w:szCs w:val="21"/>
                <w:highlight w:val="none"/>
              </w:rPr>
              <w:t>内设施、设备、仪表、仪器或其他财物；</w:t>
            </w:r>
          </w:p>
        </w:tc>
        <w:tc>
          <w:tcPr>
            <w:tcW w:w="914"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840"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735"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7" w:hRule="atLeast"/>
        </w:trPr>
        <w:tc>
          <w:tcPr>
            <w:tcW w:w="623"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6173" w:type="dxa"/>
            <w:noWrap w:val="0"/>
            <w:vAlign w:val="top"/>
          </w:tcPr>
          <w:p>
            <w:pPr>
              <w:pStyle w:val="7"/>
              <w:keepNext w:val="0"/>
              <w:keepLines w:val="0"/>
              <w:pageBreakBefore w:val="0"/>
              <w:widowControl w:val="0"/>
              <w:suppressLineNumbers w:val="0"/>
              <w:kinsoku/>
              <w:wordWrap/>
              <w:overflowPunct/>
              <w:topLinePunct w:val="0"/>
              <w:autoSpaceDE/>
              <w:autoSpaceDN/>
              <w:bidi w:val="0"/>
              <w:adjustRightInd/>
              <w:snapToGrid/>
              <w:spacing w:before="33" w:beforeAutospacing="0" w:after="0" w:afterAutospacing="0" w:line="240" w:lineRule="exact"/>
              <w:ind w:left="21" w:right="0"/>
              <w:textAlignment w:val="auto"/>
              <w:rPr>
                <w:rFonts w:hint="eastAsia" w:ascii="宋体" w:hAnsi="宋体" w:eastAsia="宋体" w:cs="宋体"/>
                <w:color w:val="auto"/>
                <w:sz w:val="21"/>
                <w:szCs w:val="21"/>
                <w:highlight w:val="none"/>
              </w:rPr>
            </w:pPr>
            <w:r>
              <w:rPr>
                <w:rFonts w:hint="eastAsia" w:ascii="宋体" w:hAnsi="宋体" w:eastAsia="宋体" w:cs="宋体"/>
                <w:color w:val="auto"/>
                <w:w w:val="105"/>
                <w:sz w:val="21"/>
                <w:szCs w:val="21"/>
                <w:highlight w:val="none"/>
              </w:rPr>
              <w:t>2.4使用不文明的语言对待同事和客人；</w:t>
            </w:r>
          </w:p>
        </w:tc>
        <w:tc>
          <w:tcPr>
            <w:tcW w:w="914"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840"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735"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7" w:hRule="atLeast"/>
        </w:trPr>
        <w:tc>
          <w:tcPr>
            <w:tcW w:w="623"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6173" w:type="dxa"/>
            <w:noWrap w:val="0"/>
            <w:vAlign w:val="top"/>
          </w:tcPr>
          <w:p>
            <w:pPr>
              <w:pStyle w:val="7"/>
              <w:keepNext w:val="0"/>
              <w:keepLines w:val="0"/>
              <w:pageBreakBefore w:val="0"/>
              <w:widowControl w:val="0"/>
              <w:suppressLineNumbers w:val="0"/>
              <w:kinsoku/>
              <w:wordWrap/>
              <w:overflowPunct/>
              <w:topLinePunct w:val="0"/>
              <w:autoSpaceDE/>
              <w:autoSpaceDN/>
              <w:bidi w:val="0"/>
              <w:adjustRightInd/>
              <w:snapToGrid/>
              <w:spacing w:before="33" w:beforeAutospacing="0" w:after="0" w:afterAutospacing="0" w:line="240" w:lineRule="exact"/>
              <w:ind w:left="21" w:right="0"/>
              <w:textAlignment w:val="auto"/>
              <w:rPr>
                <w:rFonts w:hint="eastAsia" w:ascii="宋体" w:hAnsi="宋体" w:eastAsia="宋体" w:cs="宋体"/>
                <w:color w:val="auto"/>
                <w:sz w:val="21"/>
                <w:szCs w:val="21"/>
                <w:highlight w:val="none"/>
              </w:rPr>
            </w:pPr>
            <w:r>
              <w:rPr>
                <w:rFonts w:hint="eastAsia" w:ascii="宋体" w:hAnsi="宋体" w:eastAsia="宋体" w:cs="宋体"/>
                <w:color w:val="auto"/>
                <w:w w:val="105"/>
                <w:sz w:val="21"/>
                <w:szCs w:val="21"/>
                <w:highlight w:val="none"/>
              </w:rPr>
              <w:t>2.5故意消极怠工；</w:t>
            </w:r>
          </w:p>
        </w:tc>
        <w:tc>
          <w:tcPr>
            <w:tcW w:w="914"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840"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735"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7" w:hRule="atLeast"/>
        </w:trPr>
        <w:tc>
          <w:tcPr>
            <w:tcW w:w="623"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6173" w:type="dxa"/>
            <w:noWrap w:val="0"/>
            <w:vAlign w:val="top"/>
          </w:tcPr>
          <w:p>
            <w:pPr>
              <w:pStyle w:val="7"/>
              <w:keepNext w:val="0"/>
              <w:keepLines w:val="0"/>
              <w:pageBreakBefore w:val="0"/>
              <w:widowControl w:val="0"/>
              <w:suppressLineNumbers w:val="0"/>
              <w:kinsoku/>
              <w:wordWrap/>
              <w:overflowPunct/>
              <w:topLinePunct w:val="0"/>
              <w:autoSpaceDE/>
              <w:autoSpaceDN/>
              <w:bidi w:val="0"/>
              <w:adjustRightInd/>
              <w:snapToGrid/>
              <w:spacing w:before="33" w:beforeAutospacing="0" w:after="0" w:afterAutospacing="0" w:line="240" w:lineRule="exact"/>
              <w:ind w:left="21" w:right="0"/>
              <w:textAlignment w:val="auto"/>
              <w:rPr>
                <w:rFonts w:hint="eastAsia" w:ascii="宋体" w:hAnsi="宋体" w:eastAsia="宋体" w:cs="宋体"/>
                <w:color w:val="auto"/>
                <w:sz w:val="21"/>
                <w:szCs w:val="21"/>
                <w:highlight w:val="none"/>
              </w:rPr>
            </w:pPr>
            <w:r>
              <w:rPr>
                <w:rFonts w:hint="eastAsia" w:ascii="宋体" w:hAnsi="宋体" w:eastAsia="宋体" w:cs="宋体"/>
                <w:color w:val="auto"/>
                <w:w w:val="105"/>
                <w:sz w:val="21"/>
                <w:szCs w:val="21"/>
                <w:highlight w:val="none"/>
              </w:rPr>
              <w:t>2.6发现公司财物丢失、损坏时，置若罔闻，无动于衷，在被调查时提供虚假情况；</w:t>
            </w:r>
          </w:p>
        </w:tc>
        <w:tc>
          <w:tcPr>
            <w:tcW w:w="914"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840"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735"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7" w:hRule="atLeast"/>
        </w:trPr>
        <w:tc>
          <w:tcPr>
            <w:tcW w:w="623"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6173" w:type="dxa"/>
            <w:noWrap w:val="0"/>
            <w:vAlign w:val="top"/>
          </w:tcPr>
          <w:p>
            <w:pPr>
              <w:pStyle w:val="7"/>
              <w:keepNext w:val="0"/>
              <w:keepLines w:val="0"/>
              <w:pageBreakBefore w:val="0"/>
              <w:widowControl w:val="0"/>
              <w:suppressLineNumbers w:val="0"/>
              <w:kinsoku/>
              <w:wordWrap/>
              <w:overflowPunct/>
              <w:topLinePunct w:val="0"/>
              <w:autoSpaceDE/>
              <w:autoSpaceDN/>
              <w:bidi w:val="0"/>
              <w:adjustRightInd/>
              <w:snapToGrid/>
              <w:spacing w:before="33" w:beforeAutospacing="0" w:after="0" w:afterAutospacing="0" w:line="240" w:lineRule="exact"/>
              <w:ind w:left="21" w:right="0"/>
              <w:textAlignment w:val="auto"/>
              <w:rPr>
                <w:rFonts w:hint="eastAsia" w:ascii="宋体" w:hAnsi="宋体" w:eastAsia="宋体" w:cs="宋体"/>
                <w:color w:val="auto"/>
                <w:sz w:val="21"/>
                <w:szCs w:val="21"/>
                <w:highlight w:val="none"/>
              </w:rPr>
            </w:pPr>
            <w:r>
              <w:rPr>
                <w:rFonts w:hint="eastAsia" w:ascii="宋体" w:hAnsi="宋体" w:eastAsia="宋体" w:cs="宋体"/>
                <w:color w:val="auto"/>
                <w:w w:val="105"/>
                <w:sz w:val="21"/>
                <w:szCs w:val="21"/>
                <w:highlight w:val="none"/>
              </w:rPr>
              <w:t>2.7工作中经常拖拖拉拉，出工不出力，屡教不改；</w:t>
            </w:r>
          </w:p>
        </w:tc>
        <w:tc>
          <w:tcPr>
            <w:tcW w:w="914"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840"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735"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7" w:hRule="atLeast"/>
        </w:trPr>
        <w:tc>
          <w:tcPr>
            <w:tcW w:w="623"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6173" w:type="dxa"/>
            <w:noWrap w:val="0"/>
            <w:vAlign w:val="top"/>
          </w:tcPr>
          <w:p>
            <w:pPr>
              <w:pStyle w:val="7"/>
              <w:keepNext w:val="0"/>
              <w:keepLines w:val="0"/>
              <w:pageBreakBefore w:val="0"/>
              <w:widowControl w:val="0"/>
              <w:suppressLineNumbers w:val="0"/>
              <w:kinsoku/>
              <w:wordWrap/>
              <w:overflowPunct/>
              <w:topLinePunct w:val="0"/>
              <w:autoSpaceDE/>
              <w:autoSpaceDN/>
              <w:bidi w:val="0"/>
              <w:adjustRightInd/>
              <w:snapToGrid/>
              <w:spacing w:before="33" w:beforeAutospacing="0" w:after="0" w:afterAutospacing="0" w:line="240" w:lineRule="exact"/>
              <w:ind w:left="21" w:right="0"/>
              <w:textAlignment w:val="auto"/>
              <w:rPr>
                <w:rFonts w:hint="eastAsia" w:ascii="宋体" w:hAnsi="宋体" w:eastAsia="宋体" w:cs="宋体"/>
                <w:color w:val="auto"/>
                <w:sz w:val="21"/>
                <w:szCs w:val="21"/>
                <w:highlight w:val="none"/>
              </w:rPr>
            </w:pPr>
            <w:r>
              <w:rPr>
                <w:rFonts w:hint="eastAsia" w:ascii="宋体" w:hAnsi="宋体" w:eastAsia="宋体" w:cs="宋体"/>
                <w:color w:val="auto"/>
                <w:w w:val="105"/>
                <w:sz w:val="21"/>
                <w:szCs w:val="21"/>
                <w:highlight w:val="none"/>
              </w:rPr>
              <w:t>2.8当班时睡觉、下棋、打扑克、听收录机或干私事等；</w:t>
            </w:r>
          </w:p>
        </w:tc>
        <w:tc>
          <w:tcPr>
            <w:tcW w:w="914"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840"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735"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7" w:hRule="atLeast"/>
        </w:trPr>
        <w:tc>
          <w:tcPr>
            <w:tcW w:w="623"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6173" w:type="dxa"/>
            <w:noWrap w:val="0"/>
            <w:vAlign w:val="top"/>
          </w:tcPr>
          <w:p>
            <w:pPr>
              <w:pStyle w:val="7"/>
              <w:keepNext w:val="0"/>
              <w:keepLines w:val="0"/>
              <w:pageBreakBefore w:val="0"/>
              <w:widowControl w:val="0"/>
              <w:suppressLineNumbers w:val="0"/>
              <w:kinsoku/>
              <w:wordWrap/>
              <w:overflowPunct/>
              <w:topLinePunct w:val="0"/>
              <w:autoSpaceDE/>
              <w:autoSpaceDN/>
              <w:bidi w:val="0"/>
              <w:adjustRightInd/>
              <w:snapToGrid/>
              <w:spacing w:before="33" w:beforeAutospacing="0" w:after="0" w:afterAutospacing="0" w:line="240" w:lineRule="exact"/>
              <w:ind w:left="21" w:right="0"/>
              <w:textAlignment w:val="auto"/>
              <w:rPr>
                <w:rFonts w:hint="eastAsia" w:ascii="宋体" w:hAnsi="宋体" w:eastAsia="宋体" w:cs="宋体"/>
                <w:color w:val="auto"/>
                <w:sz w:val="21"/>
                <w:szCs w:val="21"/>
                <w:highlight w:val="none"/>
              </w:rPr>
            </w:pPr>
            <w:r>
              <w:rPr>
                <w:rFonts w:hint="eastAsia" w:ascii="宋体" w:hAnsi="宋体" w:eastAsia="宋体" w:cs="宋体"/>
                <w:color w:val="auto"/>
                <w:w w:val="105"/>
                <w:sz w:val="21"/>
                <w:szCs w:val="21"/>
                <w:highlight w:val="none"/>
              </w:rPr>
              <w:t>2.9违反操作规程，造成轻微损失；</w:t>
            </w:r>
          </w:p>
        </w:tc>
        <w:tc>
          <w:tcPr>
            <w:tcW w:w="914"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840"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735"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7" w:hRule="atLeast"/>
        </w:trPr>
        <w:tc>
          <w:tcPr>
            <w:tcW w:w="623"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6173" w:type="dxa"/>
            <w:noWrap w:val="0"/>
            <w:vAlign w:val="top"/>
          </w:tcPr>
          <w:p>
            <w:pPr>
              <w:pStyle w:val="7"/>
              <w:keepNext w:val="0"/>
              <w:keepLines w:val="0"/>
              <w:pageBreakBefore w:val="0"/>
              <w:widowControl w:val="0"/>
              <w:suppressLineNumbers w:val="0"/>
              <w:kinsoku/>
              <w:wordWrap/>
              <w:overflowPunct/>
              <w:topLinePunct w:val="0"/>
              <w:autoSpaceDE/>
              <w:autoSpaceDN/>
              <w:bidi w:val="0"/>
              <w:adjustRightInd/>
              <w:snapToGrid/>
              <w:spacing w:before="33" w:beforeAutospacing="0" w:after="0" w:afterAutospacing="0" w:line="240" w:lineRule="exact"/>
              <w:ind w:left="21" w:right="0"/>
              <w:textAlignment w:val="auto"/>
              <w:rPr>
                <w:rFonts w:hint="eastAsia" w:ascii="宋体" w:hAnsi="宋体" w:eastAsia="宋体" w:cs="宋体"/>
                <w:color w:val="auto"/>
                <w:sz w:val="21"/>
                <w:szCs w:val="21"/>
                <w:highlight w:val="none"/>
              </w:rPr>
            </w:pPr>
            <w:r>
              <w:rPr>
                <w:rFonts w:hint="eastAsia" w:ascii="宋体" w:hAnsi="宋体" w:eastAsia="宋体" w:cs="宋体"/>
                <w:color w:val="auto"/>
                <w:w w:val="105"/>
                <w:sz w:val="21"/>
                <w:szCs w:val="21"/>
                <w:highlight w:val="none"/>
              </w:rPr>
              <w:t>2.10</w:t>
            </w:r>
            <w:r>
              <w:rPr>
                <w:rFonts w:hint="eastAsia" w:ascii="宋体" w:hAnsi="宋体" w:eastAsia="宋体" w:cs="宋体"/>
                <w:color w:val="auto"/>
                <w:spacing w:val="-6"/>
                <w:w w:val="105"/>
                <w:sz w:val="21"/>
                <w:szCs w:val="21"/>
                <w:highlight w:val="none"/>
              </w:rPr>
              <w:t>员工因故中途替换的，三天后</w:t>
            </w:r>
            <w:r>
              <w:rPr>
                <w:rFonts w:hint="eastAsia" w:ascii="宋体" w:hAnsi="宋体" w:cs="宋体"/>
                <w:color w:val="auto"/>
                <w:spacing w:val="-6"/>
                <w:w w:val="105"/>
                <w:sz w:val="21"/>
                <w:szCs w:val="21"/>
                <w:highlight w:val="none"/>
                <w:lang w:eastAsia="zh-CN"/>
              </w:rPr>
              <w:t>应当</w:t>
            </w:r>
            <w:r>
              <w:rPr>
                <w:rFonts w:hint="eastAsia" w:ascii="宋体" w:hAnsi="宋体" w:eastAsia="宋体" w:cs="宋体"/>
                <w:color w:val="auto"/>
                <w:spacing w:val="-6"/>
                <w:w w:val="105"/>
                <w:sz w:val="21"/>
                <w:szCs w:val="21"/>
                <w:highlight w:val="none"/>
              </w:rPr>
              <w:t>有人顶岗，若三天后无人顶岗的，每缺一天扣</w:t>
            </w:r>
            <w:r>
              <w:rPr>
                <w:rFonts w:hint="eastAsia" w:ascii="宋体" w:hAnsi="宋体" w:eastAsia="宋体" w:cs="宋体"/>
                <w:color w:val="auto"/>
                <w:w w:val="105"/>
                <w:sz w:val="21"/>
                <w:szCs w:val="21"/>
                <w:highlight w:val="none"/>
              </w:rPr>
              <w:t>1</w:t>
            </w:r>
            <w:r>
              <w:rPr>
                <w:rFonts w:hint="eastAsia" w:ascii="宋体" w:hAnsi="宋体" w:eastAsia="宋体" w:cs="宋体"/>
                <w:color w:val="auto"/>
                <w:spacing w:val="-2"/>
                <w:w w:val="105"/>
                <w:sz w:val="21"/>
                <w:szCs w:val="21"/>
                <w:highlight w:val="none"/>
              </w:rPr>
              <w:t>分。</w:t>
            </w:r>
          </w:p>
        </w:tc>
        <w:tc>
          <w:tcPr>
            <w:tcW w:w="914"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840"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735"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7" w:hRule="atLeast"/>
        </w:trPr>
        <w:tc>
          <w:tcPr>
            <w:tcW w:w="623" w:type="dxa"/>
            <w:vMerge w:val="restart"/>
            <w:noWrap w:val="0"/>
            <w:vAlign w:val="top"/>
          </w:tcPr>
          <w:p>
            <w:pPr>
              <w:pStyle w:val="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p>
            <w:pPr>
              <w:pStyle w:val="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p>
            <w:pPr>
              <w:pStyle w:val="7"/>
              <w:keepNext w:val="0"/>
              <w:keepLines w:val="0"/>
              <w:pageBreakBefore w:val="0"/>
              <w:widowControl w:val="0"/>
              <w:suppressLineNumbers w:val="0"/>
              <w:kinsoku/>
              <w:wordWrap/>
              <w:overflowPunct/>
              <w:topLinePunct w:val="0"/>
              <w:autoSpaceDE/>
              <w:autoSpaceDN/>
              <w:bidi w:val="0"/>
              <w:adjustRightInd/>
              <w:snapToGrid/>
              <w:spacing w:before="83" w:beforeAutospacing="0" w:after="0" w:afterAutospacing="0" w:line="240" w:lineRule="exact"/>
              <w:ind w:left="2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w w:val="105"/>
                <w:sz w:val="21"/>
                <w:szCs w:val="21"/>
                <w:highlight w:val="none"/>
              </w:rPr>
              <w:t>3</w:t>
            </w:r>
          </w:p>
        </w:tc>
        <w:tc>
          <w:tcPr>
            <w:tcW w:w="6173" w:type="dxa"/>
            <w:noWrap w:val="0"/>
            <w:vAlign w:val="top"/>
          </w:tcPr>
          <w:p>
            <w:pPr>
              <w:pStyle w:val="7"/>
              <w:keepNext w:val="0"/>
              <w:keepLines w:val="0"/>
              <w:pageBreakBefore w:val="0"/>
              <w:widowControl w:val="0"/>
              <w:suppressLineNumbers w:val="0"/>
              <w:kinsoku/>
              <w:wordWrap/>
              <w:overflowPunct/>
              <w:topLinePunct w:val="0"/>
              <w:autoSpaceDE/>
              <w:autoSpaceDN/>
              <w:bidi w:val="0"/>
              <w:adjustRightInd/>
              <w:snapToGrid/>
              <w:spacing w:before="33" w:beforeAutospacing="0" w:after="0" w:afterAutospacing="0" w:line="240" w:lineRule="exact"/>
              <w:ind w:left="21" w:right="0"/>
              <w:textAlignment w:val="auto"/>
              <w:rPr>
                <w:rFonts w:hint="eastAsia" w:ascii="宋体" w:hAnsi="宋体" w:eastAsia="宋体" w:cs="宋体"/>
                <w:color w:val="auto"/>
                <w:sz w:val="21"/>
                <w:szCs w:val="21"/>
                <w:highlight w:val="none"/>
              </w:rPr>
            </w:pPr>
            <w:r>
              <w:rPr>
                <w:rFonts w:hint="eastAsia" w:ascii="宋体" w:hAnsi="宋体" w:eastAsia="宋体" w:cs="宋体"/>
                <w:color w:val="auto"/>
                <w:w w:val="105"/>
                <w:sz w:val="21"/>
                <w:szCs w:val="21"/>
                <w:highlight w:val="none"/>
              </w:rPr>
              <w:t>3.l</w:t>
            </w:r>
            <w:r>
              <w:rPr>
                <w:rFonts w:hint="eastAsia" w:ascii="宋体" w:hAnsi="宋体" w:eastAsia="宋体" w:cs="宋体"/>
                <w:color w:val="auto"/>
                <w:spacing w:val="-6"/>
                <w:w w:val="105"/>
                <w:sz w:val="21"/>
                <w:szCs w:val="21"/>
                <w:highlight w:val="none"/>
              </w:rPr>
              <w:t>不服从上级指令，甚至拒绝或有意不完成指派的工作，紧急情况下不完成指定的工作；</w:t>
            </w:r>
          </w:p>
        </w:tc>
        <w:tc>
          <w:tcPr>
            <w:tcW w:w="914" w:type="dxa"/>
            <w:vMerge w:val="restart"/>
            <w:noWrap w:val="0"/>
            <w:vAlign w:val="top"/>
          </w:tcPr>
          <w:p>
            <w:pPr>
              <w:pStyle w:val="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p>
            <w:pPr>
              <w:pStyle w:val="7"/>
              <w:keepNext w:val="0"/>
              <w:keepLines w:val="0"/>
              <w:pageBreakBefore w:val="0"/>
              <w:widowControl w:val="0"/>
              <w:suppressLineNumbers w:val="0"/>
              <w:kinsoku/>
              <w:wordWrap/>
              <w:overflowPunct/>
              <w:topLinePunct w:val="0"/>
              <w:autoSpaceDE/>
              <w:autoSpaceDN/>
              <w:bidi w:val="0"/>
              <w:adjustRightInd/>
              <w:snapToGrid/>
              <w:spacing w:before="4" w:beforeAutospacing="0" w:after="0" w:afterAutospacing="0" w:line="240" w:lineRule="exact"/>
              <w:ind w:left="0" w:right="0"/>
              <w:textAlignment w:val="auto"/>
              <w:rPr>
                <w:rFonts w:hint="eastAsia" w:ascii="宋体" w:hAnsi="宋体" w:eastAsia="宋体" w:cs="宋体"/>
                <w:color w:val="auto"/>
                <w:sz w:val="21"/>
                <w:szCs w:val="21"/>
                <w:highlight w:val="none"/>
              </w:rPr>
            </w:pPr>
          </w:p>
          <w:p>
            <w:pPr>
              <w:pStyle w:val="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183" w:right="20" w:hanging="142"/>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每发现一条,对物</w:t>
            </w:r>
            <w:r>
              <w:rPr>
                <w:rFonts w:hint="eastAsia" w:ascii="宋体" w:hAnsi="宋体" w:eastAsia="宋体" w:cs="宋体"/>
                <w:color w:val="auto"/>
                <w:w w:val="105"/>
                <w:sz w:val="21"/>
                <w:szCs w:val="21"/>
                <w:highlight w:val="none"/>
              </w:rPr>
              <w:t>业公司扣3分</w:t>
            </w:r>
          </w:p>
        </w:tc>
        <w:tc>
          <w:tcPr>
            <w:tcW w:w="840" w:type="dxa"/>
            <w:vMerge w:val="restart"/>
            <w:noWrap w:val="0"/>
            <w:vAlign w:val="top"/>
          </w:tcPr>
          <w:p>
            <w:pPr>
              <w:pStyle w:val="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735" w:type="dxa"/>
            <w:vMerge w:val="restart"/>
            <w:noWrap w:val="0"/>
            <w:vAlign w:val="top"/>
          </w:tcPr>
          <w:p>
            <w:pPr>
              <w:pStyle w:val="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7" w:hRule="atLeast"/>
        </w:trPr>
        <w:tc>
          <w:tcPr>
            <w:tcW w:w="623"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6173" w:type="dxa"/>
            <w:noWrap w:val="0"/>
            <w:vAlign w:val="top"/>
          </w:tcPr>
          <w:p>
            <w:pPr>
              <w:pStyle w:val="7"/>
              <w:keepNext w:val="0"/>
              <w:keepLines w:val="0"/>
              <w:pageBreakBefore w:val="0"/>
              <w:widowControl w:val="0"/>
              <w:suppressLineNumbers w:val="0"/>
              <w:kinsoku/>
              <w:wordWrap/>
              <w:overflowPunct/>
              <w:topLinePunct w:val="0"/>
              <w:autoSpaceDE/>
              <w:autoSpaceDN/>
              <w:bidi w:val="0"/>
              <w:adjustRightInd/>
              <w:snapToGrid/>
              <w:spacing w:before="33" w:beforeAutospacing="0" w:after="0" w:afterAutospacing="0" w:line="240" w:lineRule="exact"/>
              <w:ind w:left="21" w:right="0"/>
              <w:textAlignment w:val="auto"/>
              <w:rPr>
                <w:rFonts w:hint="eastAsia" w:ascii="宋体" w:hAnsi="宋体" w:eastAsia="宋体" w:cs="宋体"/>
                <w:color w:val="auto"/>
                <w:sz w:val="21"/>
                <w:szCs w:val="21"/>
                <w:highlight w:val="none"/>
              </w:rPr>
            </w:pPr>
            <w:r>
              <w:rPr>
                <w:rFonts w:hint="eastAsia" w:ascii="宋体" w:hAnsi="宋体" w:eastAsia="宋体" w:cs="宋体"/>
                <w:color w:val="auto"/>
                <w:w w:val="105"/>
                <w:sz w:val="21"/>
                <w:szCs w:val="21"/>
                <w:highlight w:val="none"/>
              </w:rPr>
              <w:t>3.2故意损坏公共财物；</w:t>
            </w:r>
          </w:p>
        </w:tc>
        <w:tc>
          <w:tcPr>
            <w:tcW w:w="914"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840"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735"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7" w:hRule="atLeast"/>
        </w:trPr>
        <w:tc>
          <w:tcPr>
            <w:tcW w:w="623"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6173" w:type="dxa"/>
            <w:noWrap w:val="0"/>
            <w:vAlign w:val="top"/>
          </w:tcPr>
          <w:p>
            <w:pPr>
              <w:pStyle w:val="7"/>
              <w:keepNext w:val="0"/>
              <w:keepLines w:val="0"/>
              <w:pageBreakBefore w:val="0"/>
              <w:widowControl w:val="0"/>
              <w:suppressLineNumbers w:val="0"/>
              <w:kinsoku/>
              <w:wordWrap/>
              <w:overflowPunct/>
              <w:topLinePunct w:val="0"/>
              <w:autoSpaceDE/>
              <w:autoSpaceDN/>
              <w:bidi w:val="0"/>
              <w:adjustRightInd/>
              <w:snapToGrid/>
              <w:spacing w:before="33" w:beforeAutospacing="0" w:after="0" w:afterAutospacing="0" w:line="240" w:lineRule="exact"/>
              <w:ind w:left="21" w:right="0"/>
              <w:textAlignment w:val="auto"/>
              <w:rPr>
                <w:rFonts w:hint="eastAsia" w:ascii="宋体" w:hAnsi="宋体" w:eastAsia="宋体" w:cs="宋体"/>
                <w:color w:val="auto"/>
                <w:sz w:val="21"/>
                <w:szCs w:val="21"/>
                <w:highlight w:val="none"/>
              </w:rPr>
            </w:pPr>
            <w:r>
              <w:rPr>
                <w:rFonts w:hint="eastAsia" w:ascii="宋体" w:hAnsi="宋体" w:eastAsia="宋体" w:cs="宋体"/>
                <w:color w:val="auto"/>
                <w:w w:val="105"/>
                <w:sz w:val="21"/>
                <w:szCs w:val="21"/>
                <w:highlight w:val="none"/>
              </w:rPr>
              <w:t>3.3在</w:t>
            </w:r>
            <w:r>
              <w:rPr>
                <w:rFonts w:hint="eastAsia" w:ascii="宋体" w:hAnsi="宋体" w:eastAsia="宋体" w:cs="宋体"/>
                <w:color w:val="auto"/>
                <w:w w:val="105"/>
                <w:sz w:val="21"/>
                <w:szCs w:val="21"/>
                <w:highlight w:val="none"/>
                <w:lang w:eastAsia="zh-CN"/>
              </w:rPr>
              <w:t>学校</w:t>
            </w:r>
            <w:r>
              <w:rPr>
                <w:rFonts w:hint="eastAsia" w:ascii="宋体" w:hAnsi="宋体" w:eastAsia="宋体" w:cs="宋体"/>
                <w:color w:val="auto"/>
                <w:w w:val="105"/>
                <w:sz w:val="21"/>
                <w:szCs w:val="21"/>
                <w:highlight w:val="none"/>
              </w:rPr>
              <w:t>内进行任何形式的赌博；</w:t>
            </w:r>
          </w:p>
        </w:tc>
        <w:tc>
          <w:tcPr>
            <w:tcW w:w="914"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840"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735"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7" w:hRule="atLeast"/>
        </w:trPr>
        <w:tc>
          <w:tcPr>
            <w:tcW w:w="623"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6173" w:type="dxa"/>
            <w:noWrap w:val="0"/>
            <w:vAlign w:val="top"/>
          </w:tcPr>
          <w:p>
            <w:pPr>
              <w:pStyle w:val="7"/>
              <w:keepNext w:val="0"/>
              <w:keepLines w:val="0"/>
              <w:pageBreakBefore w:val="0"/>
              <w:widowControl w:val="0"/>
              <w:suppressLineNumbers w:val="0"/>
              <w:kinsoku/>
              <w:wordWrap/>
              <w:overflowPunct/>
              <w:topLinePunct w:val="0"/>
              <w:autoSpaceDE/>
              <w:autoSpaceDN/>
              <w:bidi w:val="0"/>
              <w:adjustRightInd/>
              <w:snapToGrid/>
              <w:spacing w:before="33" w:beforeAutospacing="0" w:after="0" w:afterAutospacing="0" w:line="240" w:lineRule="exact"/>
              <w:ind w:left="21" w:right="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3.4玩忽职守，违反技术操作规程和安全规程，违章指挥或隐瞒工作过失造成事故或损失的；</w:t>
            </w:r>
          </w:p>
        </w:tc>
        <w:tc>
          <w:tcPr>
            <w:tcW w:w="914"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840"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735"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7" w:hRule="atLeast"/>
        </w:trPr>
        <w:tc>
          <w:tcPr>
            <w:tcW w:w="623"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6173" w:type="dxa"/>
            <w:noWrap w:val="0"/>
            <w:vAlign w:val="top"/>
          </w:tcPr>
          <w:p>
            <w:pPr>
              <w:pStyle w:val="7"/>
              <w:keepNext w:val="0"/>
              <w:keepLines w:val="0"/>
              <w:pageBreakBefore w:val="0"/>
              <w:widowControl w:val="0"/>
              <w:suppressLineNumbers w:val="0"/>
              <w:kinsoku/>
              <w:wordWrap/>
              <w:overflowPunct/>
              <w:topLinePunct w:val="0"/>
              <w:autoSpaceDE/>
              <w:autoSpaceDN/>
              <w:bidi w:val="0"/>
              <w:adjustRightInd/>
              <w:snapToGrid/>
              <w:spacing w:before="33" w:beforeAutospacing="0" w:after="0" w:afterAutospacing="0" w:line="240" w:lineRule="exact"/>
              <w:ind w:left="21" w:right="0"/>
              <w:textAlignment w:val="auto"/>
              <w:rPr>
                <w:rFonts w:hint="eastAsia" w:ascii="宋体" w:hAnsi="宋体" w:eastAsia="宋体" w:cs="宋体"/>
                <w:color w:val="auto"/>
                <w:sz w:val="21"/>
                <w:szCs w:val="21"/>
                <w:highlight w:val="none"/>
              </w:rPr>
            </w:pPr>
            <w:r>
              <w:rPr>
                <w:rFonts w:hint="eastAsia" w:ascii="宋体" w:hAnsi="宋体" w:eastAsia="宋体" w:cs="宋体"/>
                <w:color w:val="auto"/>
                <w:w w:val="105"/>
                <w:sz w:val="21"/>
                <w:szCs w:val="21"/>
                <w:highlight w:val="none"/>
              </w:rPr>
              <w:t>3.5损坏设备、工具造成经济损失的；</w:t>
            </w:r>
          </w:p>
        </w:tc>
        <w:tc>
          <w:tcPr>
            <w:tcW w:w="914"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840"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735"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7" w:hRule="atLeast"/>
        </w:trPr>
        <w:tc>
          <w:tcPr>
            <w:tcW w:w="623"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6173" w:type="dxa"/>
            <w:noWrap w:val="0"/>
            <w:vAlign w:val="top"/>
          </w:tcPr>
          <w:p>
            <w:pPr>
              <w:pStyle w:val="7"/>
              <w:keepNext w:val="0"/>
              <w:keepLines w:val="0"/>
              <w:pageBreakBefore w:val="0"/>
              <w:widowControl w:val="0"/>
              <w:suppressLineNumbers w:val="0"/>
              <w:kinsoku/>
              <w:wordWrap/>
              <w:overflowPunct/>
              <w:topLinePunct w:val="0"/>
              <w:autoSpaceDE/>
              <w:autoSpaceDN/>
              <w:bidi w:val="0"/>
              <w:adjustRightInd/>
              <w:snapToGrid/>
              <w:spacing w:before="33" w:beforeAutospacing="0" w:after="0" w:afterAutospacing="0" w:line="240" w:lineRule="exact"/>
              <w:ind w:left="21" w:right="0"/>
              <w:textAlignment w:val="auto"/>
              <w:rPr>
                <w:rFonts w:hint="eastAsia" w:ascii="宋体" w:hAnsi="宋体" w:eastAsia="宋体" w:cs="宋体"/>
                <w:color w:val="auto"/>
                <w:sz w:val="21"/>
                <w:szCs w:val="21"/>
                <w:highlight w:val="none"/>
              </w:rPr>
            </w:pPr>
            <w:r>
              <w:rPr>
                <w:rFonts w:hint="eastAsia" w:ascii="宋体" w:hAnsi="宋体" w:eastAsia="宋体" w:cs="宋体"/>
                <w:color w:val="auto"/>
                <w:w w:val="105"/>
                <w:sz w:val="21"/>
                <w:szCs w:val="21"/>
                <w:highlight w:val="none"/>
              </w:rPr>
              <w:t>3.6服务态度差，造成客户投诉，经核实后，确为事实的。</w:t>
            </w:r>
          </w:p>
        </w:tc>
        <w:tc>
          <w:tcPr>
            <w:tcW w:w="914"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840"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735" w:type="dxa"/>
            <w:vMerge w:val="continue"/>
            <w:tcBorders>
              <w:top w:val="nil"/>
            </w:tcBorders>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7" w:hRule="atLeast"/>
        </w:trPr>
        <w:tc>
          <w:tcPr>
            <w:tcW w:w="623" w:type="dxa"/>
            <w:vMerge w:val="restart"/>
            <w:noWrap w:val="0"/>
            <w:vAlign w:val="center"/>
          </w:tcPr>
          <w:p>
            <w:pPr>
              <w:pStyle w:val="7"/>
              <w:keepNext w:val="0"/>
              <w:keepLines w:val="0"/>
              <w:pageBreakBefore w:val="0"/>
              <w:widowControl w:val="0"/>
              <w:suppressLineNumbers w:val="0"/>
              <w:kinsoku/>
              <w:wordWrap/>
              <w:overflowPunct/>
              <w:topLinePunct w:val="0"/>
              <w:autoSpaceDE/>
              <w:autoSpaceDN/>
              <w:bidi w:val="0"/>
              <w:adjustRightInd/>
              <w:snapToGrid/>
              <w:spacing w:before="33" w:beforeAutospacing="0" w:after="0" w:afterAutospacing="0" w:line="240" w:lineRule="exact"/>
              <w:ind w:left="21" w:right="0"/>
              <w:jc w:val="center"/>
              <w:textAlignment w:val="auto"/>
              <w:rPr>
                <w:rFonts w:hint="eastAsia" w:ascii="宋体" w:hAnsi="宋体" w:eastAsia="宋体" w:cs="宋体"/>
                <w:color w:val="auto"/>
                <w:w w:val="105"/>
                <w:sz w:val="21"/>
                <w:szCs w:val="21"/>
                <w:highlight w:val="none"/>
              </w:rPr>
            </w:pPr>
          </w:p>
          <w:p>
            <w:pPr>
              <w:pStyle w:val="7"/>
              <w:keepNext w:val="0"/>
              <w:keepLines w:val="0"/>
              <w:pageBreakBefore w:val="0"/>
              <w:widowControl w:val="0"/>
              <w:suppressLineNumbers w:val="0"/>
              <w:kinsoku/>
              <w:wordWrap/>
              <w:overflowPunct/>
              <w:topLinePunct w:val="0"/>
              <w:autoSpaceDE/>
              <w:autoSpaceDN/>
              <w:bidi w:val="0"/>
              <w:adjustRightInd/>
              <w:snapToGrid/>
              <w:spacing w:before="33" w:beforeAutospacing="0" w:after="0" w:afterAutospacing="0" w:line="240" w:lineRule="exact"/>
              <w:ind w:left="21" w:right="0"/>
              <w:jc w:val="center"/>
              <w:textAlignment w:val="auto"/>
              <w:rPr>
                <w:rFonts w:hint="eastAsia" w:ascii="宋体" w:hAnsi="宋体" w:eastAsia="宋体" w:cs="宋体"/>
                <w:color w:val="auto"/>
                <w:w w:val="105"/>
                <w:sz w:val="21"/>
                <w:szCs w:val="21"/>
                <w:highlight w:val="none"/>
              </w:rPr>
            </w:pPr>
            <w:r>
              <w:rPr>
                <w:rFonts w:hint="eastAsia" w:ascii="宋体" w:hAnsi="宋体" w:eastAsia="宋体" w:cs="宋体"/>
                <w:color w:val="auto"/>
                <w:w w:val="105"/>
                <w:sz w:val="21"/>
                <w:szCs w:val="21"/>
                <w:highlight w:val="none"/>
              </w:rPr>
              <w:t>4</w:t>
            </w:r>
          </w:p>
        </w:tc>
        <w:tc>
          <w:tcPr>
            <w:tcW w:w="6173" w:type="dxa"/>
            <w:noWrap w:val="0"/>
            <w:vAlign w:val="top"/>
          </w:tcPr>
          <w:p>
            <w:pPr>
              <w:pStyle w:val="7"/>
              <w:keepNext w:val="0"/>
              <w:keepLines w:val="0"/>
              <w:pageBreakBefore w:val="0"/>
              <w:widowControl w:val="0"/>
              <w:suppressLineNumbers w:val="0"/>
              <w:kinsoku/>
              <w:wordWrap/>
              <w:overflowPunct/>
              <w:topLinePunct w:val="0"/>
              <w:autoSpaceDE/>
              <w:autoSpaceDN/>
              <w:bidi w:val="0"/>
              <w:adjustRightInd/>
              <w:snapToGrid/>
              <w:spacing w:before="33" w:beforeAutospacing="0" w:after="0" w:afterAutospacing="0" w:line="240" w:lineRule="exact"/>
              <w:ind w:left="21" w:right="0"/>
              <w:textAlignment w:val="auto"/>
              <w:rPr>
                <w:rFonts w:hint="eastAsia" w:ascii="宋体" w:hAnsi="宋体" w:eastAsia="宋体" w:cs="宋体"/>
                <w:color w:val="auto"/>
                <w:w w:val="105"/>
                <w:sz w:val="21"/>
                <w:szCs w:val="21"/>
                <w:highlight w:val="none"/>
              </w:rPr>
            </w:pPr>
            <w:r>
              <w:rPr>
                <w:rFonts w:hint="eastAsia" w:ascii="宋体" w:hAnsi="宋体" w:eastAsia="宋体" w:cs="宋体"/>
                <w:color w:val="auto"/>
                <w:w w:val="105"/>
                <w:sz w:val="21"/>
                <w:szCs w:val="21"/>
                <w:highlight w:val="none"/>
              </w:rPr>
              <w:t>4.1用非法手段偷窃或涂改原始记录、帐单及单据，造成后果；</w:t>
            </w:r>
          </w:p>
        </w:tc>
        <w:tc>
          <w:tcPr>
            <w:tcW w:w="914" w:type="dxa"/>
            <w:vMerge w:val="restart"/>
            <w:noWrap w:val="0"/>
            <w:vAlign w:val="top"/>
          </w:tcPr>
          <w:p>
            <w:pPr>
              <w:pStyle w:val="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p>
            <w:pPr>
              <w:pStyle w:val="7"/>
              <w:keepNext w:val="0"/>
              <w:keepLines w:val="0"/>
              <w:pageBreakBefore w:val="0"/>
              <w:widowControl w:val="0"/>
              <w:suppressLineNumbers w:val="0"/>
              <w:kinsoku/>
              <w:wordWrap/>
              <w:overflowPunct/>
              <w:topLinePunct w:val="0"/>
              <w:autoSpaceDE/>
              <w:autoSpaceDN/>
              <w:bidi w:val="0"/>
              <w:adjustRightInd/>
              <w:snapToGrid/>
              <w:spacing w:before="105" w:beforeAutospacing="0" w:after="0" w:afterAutospacing="0" w:line="240" w:lineRule="exact"/>
              <w:ind w:left="147" w:right="20" w:hanging="106"/>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每发现一条,对物</w:t>
            </w:r>
            <w:r>
              <w:rPr>
                <w:rFonts w:hint="eastAsia" w:ascii="宋体" w:hAnsi="宋体" w:eastAsia="宋体" w:cs="宋体"/>
                <w:color w:val="auto"/>
                <w:w w:val="105"/>
                <w:sz w:val="21"/>
                <w:szCs w:val="21"/>
                <w:highlight w:val="none"/>
              </w:rPr>
              <w:t>业公司扣10分</w:t>
            </w:r>
          </w:p>
        </w:tc>
        <w:tc>
          <w:tcPr>
            <w:tcW w:w="840" w:type="dxa"/>
            <w:vMerge w:val="restart"/>
            <w:noWrap w:val="0"/>
            <w:vAlign w:val="top"/>
          </w:tcPr>
          <w:p>
            <w:pPr>
              <w:pStyle w:val="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c>
          <w:tcPr>
            <w:tcW w:w="735" w:type="dxa"/>
            <w:vMerge w:val="restart"/>
            <w:noWrap w:val="0"/>
            <w:vAlign w:val="top"/>
          </w:tcPr>
          <w:p>
            <w:pPr>
              <w:pStyle w:val="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rPr>
                <w:rFonts w:hint="eastAsia" w:ascii="宋体" w:hAnsi="宋体" w:eastAsia="宋体" w:cs="宋体"/>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7" w:hRule="atLeast"/>
        </w:trPr>
        <w:tc>
          <w:tcPr>
            <w:tcW w:w="623" w:type="dxa"/>
            <w:vMerge w:val="continue"/>
            <w:tcBorders>
              <w:top w:val="nil"/>
            </w:tcBorders>
            <w:noWrap w:val="0"/>
            <w:vAlign w:val="top"/>
          </w:tcPr>
          <w:p>
            <w:pPr>
              <w:pStyle w:val="7"/>
              <w:keepNext w:val="0"/>
              <w:keepLines w:val="0"/>
              <w:suppressLineNumbers w:val="0"/>
              <w:spacing w:before="33" w:beforeAutospacing="0" w:after="0" w:afterAutospacing="0" w:line="174" w:lineRule="exact"/>
              <w:ind w:left="21" w:right="0"/>
              <w:rPr>
                <w:rFonts w:hint="eastAsia" w:ascii="宋体" w:hAnsi="宋体" w:eastAsia="宋体" w:cs="宋体"/>
                <w:color w:val="auto"/>
                <w:w w:val="105"/>
                <w:sz w:val="21"/>
                <w:szCs w:val="21"/>
                <w:highlight w:val="none"/>
              </w:rPr>
            </w:pPr>
          </w:p>
        </w:tc>
        <w:tc>
          <w:tcPr>
            <w:tcW w:w="6173" w:type="dxa"/>
            <w:noWrap w:val="0"/>
            <w:vAlign w:val="top"/>
          </w:tcPr>
          <w:p>
            <w:pPr>
              <w:pStyle w:val="7"/>
              <w:keepNext w:val="0"/>
              <w:keepLines w:val="0"/>
              <w:suppressLineNumbers w:val="0"/>
              <w:spacing w:before="33" w:beforeAutospacing="0" w:after="0" w:afterAutospacing="0" w:line="174" w:lineRule="exact"/>
              <w:ind w:left="21" w:right="0"/>
              <w:rPr>
                <w:rFonts w:hint="eastAsia" w:ascii="宋体" w:hAnsi="宋体" w:eastAsia="宋体" w:cs="宋体"/>
                <w:color w:val="auto"/>
                <w:w w:val="105"/>
                <w:sz w:val="21"/>
                <w:szCs w:val="21"/>
                <w:highlight w:val="none"/>
              </w:rPr>
            </w:pPr>
            <w:r>
              <w:rPr>
                <w:rFonts w:hint="eastAsia" w:ascii="宋体" w:hAnsi="宋体" w:eastAsia="宋体" w:cs="宋体"/>
                <w:color w:val="auto"/>
                <w:w w:val="105"/>
                <w:sz w:val="21"/>
                <w:szCs w:val="21"/>
                <w:highlight w:val="none"/>
              </w:rPr>
              <w:t>4.2用威胁手段当众侮辱客人及上级管理人员和同事等；</w:t>
            </w:r>
          </w:p>
        </w:tc>
        <w:tc>
          <w:tcPr>
            <w:tcW w:w="914" w:type="dxa"/>
            <w:vMerge w:val="continue"/>
            <w:tcBorders>
              <w:top w:val="nil"/>
            </w:tcBorders>
            <w:noWrap w:val="0"/>
            <w:vAlign w:val="top"/>
          </w:tcPr>
          <w:p>
            <w:pPr>
              <w:keepNext w:val="0"/>
              <w:keepLines w:val="0"/>
              <w:suppressLineNumbers w:val="0"/>
              <w:spacing w:before="0" w:beforeAutospacing="0" w:after="0" w:afterAutospacing="0"/>
              <w:ind w:left="0" w:right="0"/>
              <w:rPr>
                <w:rFonts w:hint="eastAsia" w:ascii="宋体" w:hAnsi="宋体" w:eastAsia="宋体" w:cs="宋体"/>
                <w:color w:val="auto"/>
                <w:sz w:val="21"/>
                <w:szCs w:val="21"/>
                <w:highlight w:val="none"/>
              </w:rPr>
            </w:pPr>
          </w:p>
        </w:tc>
        <w:tc>
          <w:tcPr>
            <w:tcW w:w="840" w:type="dxa"/>
            <w:vMerge w:val="continue"/>
            <w:tcBorders>
              <w:top w:val="nil"/>
            </w:tcBorders>
            <w:noWrap w:val="0"/>
            <w:vAlign w:val="top"/>
          </w:tcPr>
          <w:p>
            <w:pPr>
              <w:keepNext w:val="0"/>
              <w:keepLines w:val="0"/>
              <w:suppressLineNumbers w:val="0"/>
              <w:spacing w:before="0" w:beforeAutospacing="0" w:after="0" w:afterAutospacing="0"/>
              <w:ind w:left="0" w:right="0"/>
              <w:rPr>
                <w:rFonts w:hint="eastAsia" w:ascii="宋体" w:hAnsi="宋体" w:eastAsia="宋体" w:cs="宋体"/>
                <w:color w:val="auto"/>
                <w:sz w:val="21"/>
                <w:szCs w:val="21"/>
                <w:highlight w:val="none"/>
              </w:rPr>
            </w:pPr>
          </w:p>
        </w:tc>
        <w:tc>
          <w:tcPr>
            <w:tcW w:w="735" w:type="dxa"/>
            <w:vMerge w:val="continue"/>
            <w:tcBorders>
              <w:top w:val="nil"/>
            </w:tcBorders>
            <w:noWrap w:val="0"/>
            <w:vAlign w:val="top"/>
          </w:tcPr>
          <w:p>
            <w:pPr>
              <w:keepNext w:val="0"/>
              <w:keepLines w:val="0"/>
              <w:suppressLineNumbers w:val="0"/>
              <w:spacing w:before="0" w:beforeAutospacing="0" w:after="0" w:afterAutospacing="0"/>
              <w:ind w:left="0" w:right="0"/>
              <w:rPr>
                <w:rFonts w:hint="eastAsia" w:ascii="宋体" w:hAnsi="宋体" w:eastAsia="宋体" w:cs="宋体"/>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7" w:hRule="atLeast"/>
        </w:trPr>
        <w:tc>
          <w:tcPr>
            <w:tcW w:w="623" w:type="dxa"/>
            <w:vMerge w:val="continue"/>
            <w:tcBorders>
              <w:top w:val="nil"/>
            </w:tcBorders>
            <w:noWrap w:val="0"/>
            <w:vAlign w:val="top"/>
          </w:tcPr>
          <w:p>
            <w:pPr>
              <w:pStyle w:val="7"/>
              <w:keepNext w:val="0"/>
              <w:keepLines w:val="0"/>
              <w:suppressLineNumbers w:val="0"/>
              <w:spacing w:before="33" w:beforeAutospacing="0" w:after="0" w:afterAutospacing="0" w:line="174" w:lineRule="exact"/>
              <w:ind w:left="21" w:right="0"/>
              <w:rPr>
                <w:rFonts w:hint="eastAsia" w:ascii="宋体" w:hAnsi="宋体" w:eastAsia="宋体" w:cs="宋体"/>
                <w:color w:val="auto"/>
                <w:w w:val="105"/>
                <w:sz w:val="21"/>
                <w:szCs w:val="21"/>
                <w:highlight w:val="none"/>
              </w:rPr>
            </w:pPr>
          </w:p>
        </w:tc>
        <w:tc>
          <w:tcPr>
            <w:tcW w:w="6173" w:type="dxa"/>
            <w:noWrap w:val="0"/>
            <w:vAlign w:val="top"/>
          </w:tcPr>
          <w:p>
            <w:pPr>
              <w:pStyle w:val="7"/>
              <w:keepNext w:val="0"/>
              <w:keepLines w:val="0"/>
              <w:suppressLineNumbers w:val="0"/>
              <w:spacing w:before="33" w:beforeAutospacing="0" w:after="0" w:afterAutospacing="0" w:line="174" w:lineRule="exact"/>
              <w:ind w:left="21" w:right="0"/>
              <w:rPr>
                <w:rFonts w:hint="eastAsia" w:ascii="宋体" w:hAnsi="宋体" w:eastAsia="宋体" w:cs="宋体"/>
                <w:color w:val="auto"/>
                <w:w w:val="105"/>
                <w:sz w:val="21"/>
                <w:szCs w:val="21"/>
                <w:highlight w:val="none"/>
              </w:rPr>
            </w:pPr>
            <w:r>
              <w:rPr>
                <w:rFonts w:hint="eastAsia" w:ascii="宋体" w:hAnsi="宋体" w:eastAsia="宋体" w:cs="宋体"/>
                <w:color w:val="auto"/>
                <w:w w:val="105"/>
                <w:sz w:val="21"/>
                <w:szCs w:val="21"/>
                <w:highlight w:val="none"/>
              </w:rPr>
              <w:t>4.3严重玩忽职守，人为造成设备损坏，导致公共利益损失；</w:t>
            </w:r>
          </w:p>
        </w:tc>
        <w:tc>
          <w:tcPr>
            <w:tcW w:w="914" w:type="dxa"/>
            <w:vMerge w:val="continue"/>
            <w:tcBorders>
              <w:top w:val="nil"/>
            </w:tcBorders>
            <w:noWrap w:val="0"/>
            <w:vAlign w:val="top"/>
          </w:tcPr>
          <w:p>
            <w:pPr>
              <w:keepNext w:val="0"/>
              <w:keepLines w:val="0"/>
              <w:suppressLineNumbers w:val="0"/>
              <w:spacing w:before="0" w:beforeAutospacing="0" w:after="0" w:afterAutospacing="0"/>
              <w:ind w:left="0" w:right="0"/>
              <w:rPr>
                <w:rFonts w:hint="eastAsia" w:ascii="宋体" w:hAnsi="宋体" w:eastAsia="宋体" w:cs="宋体"/>
                <w:color w:val="auto"/>
                <w:sz w:val="21"/>
                <w:szCs w:val="21"/>
                <w:highlight w:val="none"/>
              </w:rPr>
            </w:pPr>
          </w:p>
        </w:tc>
        <w:tc>
          <w:tcPr>
            <w:tcW w:w="840" w:type="dxa"/>
            <w:vMerge w:val="continue"/>
            <w:tcBorders>
              <w:top w:val="nil"/>
            </w:tcBorders>
            <w:noWrap w:val="0"/>
            <w:vAlign w:val="top"/>
          </w:tcPr>
          <w:p>
            <w:pPr>
              <w:keepNext w:val="0"/>
              <w:keepLines w:val="0"/>
              <w:suppressLineNumbers w:val="0"/>
              <w:spacing w:before="0" w:beforeAutospacing="0" w:after="0" w:afterAutospacing="0"/>
              <w:ind w:left="0" w:right="0"/>
              <w:rPr>
                <w:rFonts w:hint="eastAsia" w:ascii="宋体" w:hAnsi="宋体" w:eastAsia="宋体" w:cs="宋体"/>
                <w:color w:val="auto"/>
                <w:sz w:val="21"/>
                <w:szCs w:val="21"/>
                <w:highlight w:val="none"/>
              </w:rPr>
            </w:pPr>
          </w:p>
        </w:tc>
        <w:tc>
          <w:tcPr>
            <w:tcW w:w="735" w:type="dxa"/>
            <w:vMerge w:val="continue"/>
            <w:tcBorders>
              <w:top w:val="nil"/>
            </w:tcBorders>
            <w:noWrap w:val="0"/>
            <w:vAlign w:val="top"/>
          </w:tcPr>
          <w:p>
            <w:pPr>
              <w:keepNext w:val="0"/>
              <w:keepLines w:val="0"/>
              <w:suppressLineNumbers w:val="0"/>
              <w:spacing w:before="0" w:beforeAutospacing="0" w:after="0" w:afterAutospacing="0"/>
              <w:ind w:left="0" w:right="0"/>
              <w:rPr>
                <w:rFonts w:hint="eastAsia" w:ascii="宋体" w:hAnsi="宋体" w:eastAsia="宋体" w:cs="宋体"/>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7" w:hRule="atLeast"/>
        </w:trPr>
        <w:tc>
          <w:tcPr>
            <w:tcW w:w="623" w:type="dxa"/>
            <w:vMerge w:val="continue"/>
            <w:tcBorders>
              <w:top w:val="nil"/>
            </w:tcBorders>
            <w:noWrap w:val="0"/>
            <w:vAlign w:val="top"/>
          </w:tcPr>
          <w:p>
            <w:pPr>
              <w:pStyle w:val="7"/>
              <w:keepNext w:val="0"/>
              <w:keepLines w:val="0"/>
              <w:suppressLineNumbers w:val="0"/>
              <w:spacing w:before="33" w:beforeAutospacing="0" w:after="0" w:afterAutospacing="0" w:line="174" w:lineRule="exact"/>
              <w:ind w:left="21" w:right="0"/>
              <w:rPr>
                <w:rFonts w:hint="eastAsia" w:ascii="宋体" w:hAnsi="宋体" w:eastAsia="宋体" w:cs="宋体"/>
                <w:color w:val="auto"/>
                <w:w w:val="105"/>
                <w:sz w:val="21"/>
                <w:szCs w:val="21"/>
                <w:highlight w:val="none"/>
              </w:rPr>
            </w:pPr>
          </w:p>
        </w:tc>
        <w:tc>
          <w:tcPr>
            <w:tcW w:w="6173" w:type="dxa"/>
            <w:noWrap w:val="0"/>
            <w:vAlign w:val="top"/>
          </w:tcPr>
          <w:p>
            <w:pPr>
              <w:pStyle w:val="7"/>
              <w:keepNext w:val="0"/>
              <w:keepLines w:val="0"/>
              <w:suppressLineNumbers w:val="0"/>
              <w:spacing w:before="33" w:beforeAutospacing="0" w:after="0" w:afterAutospacing="0" w:line="174" w:lineRule="exact"/>
              <w:ind w:left="21" w:right="0"/>
              <w:rPr>
                <w:rFonts w:hint="eastAsia" w:ascii="宋体" w:hAnsi="宋体" w:eastAsia="宋体" w:cs="宋体"/>
                <w:color w:val="auto"/>
                <w:w w:val="105"/>
                <w:sz w:val="21"/>
                <w:szCs w:val="21"/>
                <w:highlight w:val="none"/>
              </w:rPr>
            </w:pPr>
            <w:r>
              <w:rPr>
                <w:rFonts w:hint="eastAsia" w:ascii="宋体" w:hAnsi="宋体" w:eastAsia="宋体" w:cs="宋体"/>
                <w:color w:val="auto"/>
                <w:w w:val="105"/>
                <w:sz w:val="21"/>
                <w:szCs w:val="21"/>
                <w:highlight w:val="none"/>
              </w:rPr>
              <w:t>4.4因违反国家法律被公安机关拘留或处以拘留以上处罚；</w:t>
            </w:r>
          </w:p>
        </w:tc>
        <w:tc>
          <w:tcPr>
            <w:tcW w:w="914" w:type="dxa"/>
            <w:vMerge w:val="continue"/>
            <w:tcBorders>
              <w:top w:val="nil"/>
            </w:tcBorders>
            <w:noWrap w:val="0"/>
            <w:vAlign w:val="top"/>
          </w:tcPr>
          <w:p>
            <w:pPr>
              <w:keepNext w:val="0"/>
              <w:keepLines w:val="0"/>
              <w:suppressLineNumbers w:val="0"/>
              <w:spacing w:before="0" w:beforeAutospacing="0" w:after="0" w:afterAutospacing="0"/>
              <w:ind w:left="0" w:right="0"/>
              <w:rPr>
                <w:rFonts w:hint="eastAsia" w:ascii="宋体" w:hAnsi="宋体" w:eastAsia="宋体" w:cs="宋体"/>
                <w:color w:val="auto"/>
                <w:sz w:val="21"/>
                <w:szCs w:val="21"/>
                <w:highlight w:val="none"/>
              </w:rPr>
            </w:pPr>
          </w:p>
        </w:tc>
        <w:tc>
          <w:tcPr>
            <w:tcW w:w="840" w:type="dxa"/>
            <w:vMerge w:val="continue"/>
            <w:tcBorders>
              <w:top w:val="nil"/>
            </w:tcBorders>
            <w:noWrap w:val="0"/>
            <w:vAlign w:val="top"/>
          </w:tcPr>
          <w:p>
            <w:pPr>
              <w:keepNext w:val="0"/>
              <w:keepLines w:val="0"/>
              <w:suppressLineNumbers w:val="0"/>
              <w:spacing w:before="0" w:beforeAutospacing="0" w:after="0" w:afterAutospacing="0"/>
              <w:ind w:left="0" w:right="0"/>
              <w:rPr>
                <w:rFonts w:hint="eastAsia" w:ascii="宋体" w:hAnsi="宋体" w:eastAsia="宋体" w:cs="宋体"/>
                <w:color w:val="auto"/>
                <w:sz w:val="21"/>
                <w:szCs w:val="21"/>
                <w:highlight w:val="none"/>
              </w:rPr>
            </w:pPr>
          </w:p>
        </w:tc>
        <w:tc>
          <w:tcPr>
            <w:tcW w:w="735" w:type="dxa"/>
            <w:vMerge w:val="continue"/>
            <w:tcBorders>
              <w:top w:val="nil"/>
            </w:tcBorders>
            <w:noWrap w:val="0"/>
            <w:vAlign w:val="top"/>
          </w:tcPr>
          <w:p>
            <w:pPr>
              <w:keepNext w:val="0"/>
              <w:keepLines w:val="0"/>
              <w:suppressLineNumbers w:val="0"/>
              <w:spacing w:before="0" w:beforeAutospacing="0" w:after="0" w:afterAutospacing="0"/>
              <w:ind w:left="0" w:right="0"/>
              <w:rPr>
                <w:rFonts w:hint="eastAsia" w:ascii="宋体" w:hAnsi="宋体" w:eastAsia="宋体" w:cs="宋体"/>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trPr>
        <w:tc>
          <w:tcPr>
            <w:tcW w:w="623" w:type="dxa"/>
            <w:vMerge w:val="continue"/>
            <w:tcBorders>
              <w:top w:val="nil"/>
            </w:tcBorders>
            <w:noWrap w:val="0"/>
            <w:vAlign w:val="top"/>
          </w:tcPr>
          <w:p>
            <w:pPr>
              <w:pStyle w:val="7"/>
              <w:keepNext w:val="0"/>
              <w:keepLines w:val="0"/>
              <w:suppressLineNumbers w:val="0"/>
              <w:spacing w:before="33" w:beforeAutospacing="0" w:after="0" w:afterAutospacing="0" w:line="174" w:lineRule="exact"/>
              <w:ind w:left="21" w:right="0"/>
              <w:rPr>
                <w:rFonts w:hint="eastAsia" w:ascii="宋体" w:hAnsi="宋体" w:eastAsia="宋体" w:cs="宋体"/>
                <w:color w:val="auto"/>
                <w:w w:val="105"/>
                <w:sz w:val="21"/>
                <w:szCs w:val="21"/>
                <w:highlight w:val="none"/>
              </w:rPr>
            </w:pPr>
          </w:p>
        </w:tc>
        <w:tc>
          <w:tcPr>
            <w:tcW w:w="6173" w:type="dxa"/>
            <w:noWrap w:val="0"/>
            <w:vAlign w:val="center"/>
          </w:tcPr>
          <w:p>
            <w:pPr>
              <w:pStyle w:val="7"/>
              <w:keepNext w:val="0"/>
              <w:keepLines w:val="0"/>
              <w:suppressLineNumbers w:val="0"/>
              <w:spacing w:before="33" w:beforeAutospacing="0" w:after="0" w:afterAutospacing="0" w:line="174" w:lineRule="exact"/>
              <w:ind w:left="21" w:right="0"/>
              <w:jc w:val="both"/>
              <w:rPr>
                <w:rFonts w:hint="eastAsia" w:ascii="宋体" w:hAnsi="宋体" w:eastAsia="宋体" w:cs="宋体"/>
                <w:color w:val="auto"/>
                <w:w w:val="105"/>
                <w:sz w:val="21"/>
                <w:szCs w:val="21"/>
                <w:highlight w:val="none"/>
              </w:rPr>
            </w:pPr>
            <w:r>
              <w:rPr>
                <w:rFonts w:hint="eastAsia" w:ascii="宋体" w:hAnsi="宋体" w:eastAsia="宋体" w:cs="宋体"/>
                <w:color w:val="auto"/>
                <w:w w:val="105"/>
                <w:sz w:val="21"/>
                <w:szCs w:val="21"/>
                <w:highlight w:val="none"/>
              </w:rPr>
              <w:t>4.5未设置工作人员岗位一览表。</w:t>
            </w:r>
          </w:p>
        </w:tc>
        <w:tc>
          <w:tcPr>
            <w:tcW w:w="914" w:type="dxa"/>
            <w:vMerge w:val="continue"/>
            <w:tcBorders>
              <w:top w:val="nil"/>
            </w:tcBorders>
            <w:noWrap w:val="0"/>
            <w:vAlign w:val="top"/>
          </w:tcPr>
          <w:p>
            <w:pPr>
              <w:keepNext w:val="0"/>
              <w:keepLines w:val="0"/>
              <w:suppressLineNumbers w:val="0"/>
              <w:spacing w:before="0" w:beforeAutospacing="0" w:after="0" w:afterAutospacing="0"/>
              <w:ind w:left="0" w:right="0"/>
              <w:rPr>
                <w:rFonts w:hint="eastAsia" w:ascii="宋体" w:hAnsi="宋体" w:eastAsia="宋体" w:cs="宋体"/>
                <w:color w:val="auto"/>
                <w:sz w:val="21"/>
                <w:szCs w:val="21"/>
                <w:highlight w:val="none"/>
              </w:rPr>
            </w:pPr>
          </w:p>
        </w:tc>
        <w:tc>
          <w:tcPr>
            <w:tcW w:w="840" w:type="dxa"/>
            <w:vMerge w:val="continue"/>
            <w:tcBorders>
              <w:top w:val="nil"/>
            </w:tcBorders>
            <w:noWrap w:val="0"/>
            <w:vAlign w:val="top"/>
          </w:tcPr>
          <w:p>
            <w:pPr>
              <w:keepNext w:val="0"/>
              <w:keepLines w:val="0"/>
              <w:suppressLineNumbers w:val="0"/>
              <w:spacing w:before="0" w:beforeAutospacing="0" w:after="0" w:afterAutospacing="0"/>
              <w:ind w:left="0" w:right="0"/>
              <w:rPr>
                <w:rFonts w:hint="eastAsia" w:ascii="宋体" w:hAnsi="宋体" w:eastAsia="宋体" w:cs="宋体"/>
                <w:color w:val="auto"/>
                <w:sz w:val="21"/>
                <w:szCs w:val="21"/>
                <w:highlight w:val="none"/>
              </w:rPr>
            </w:pPr>
          </w:p>
        </w:tc>
        <w:tc>
          <w:tcPr>
            <w:tcW w:w="735" w:type="dxa"/>
            <w:vMerge w:val="continue"/>
            <w:tcBorders>
              <w:top w:val="nil"/>
            </w:tcBorders>
            <w:noWrap w:val="0"/>
            <w:vAlign w:val="top"/>
          </w:tcPr>
          <w:p>
            <w:pPr>
              <w:keepNext w:val="0"/>
              <w:keepLines w:val="0"/>
              <w:suppressLineNumbers w:val="0"/>
              <w:spacing w:before="0" w:beforeAutospacing="0" w:after="0" w:afterAutospacing="0"/>
              <w:ind w:left="0" w:right="0"/>
              <w:rPr>
                <w:rFonts w:hint="eastAsia" w:ascii="宋体" w:hAnsi="宋体" w:eastAsia="宋体" w:cs="宋体"/>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8" w:hRule="atLeast"/>
        </w:trPr>
        <w:tc>
          <w:tcPr>
            <w:tcW w:w="9285" w:type="dxa"/>
            <w:gridSpan w:val="5"/>
            <w:noWrap w:val="0"/>
            <w:vAlign w:val="center"/>
          </w:tcPr>
          <w:p>
            <w:pPr>
              <w:pStyle w:val="7"/>
              <w:keepNext w:val="0"/>
              <w:keepLines w:val="0"/>
              <w:suppressLineNumbers w:val="0"/>
              <w:spacing w:before="40" w:beforeAutospacing="0" w:after="0" w:afterAutospacing="0"/>
              <w:ind w:left="20" w:right="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合计得分（起评分为100分，达标分为90（含）分， 低于90分为不达标）：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trPr>
        <w:tc>
          <w:tcPr>
            <w:tcW w:w="9285" w:type="dxa"/>
            <w:gridSpan w:val="5"/>
            <w:noWrap w:val="0"/>
            <w:vAlign w:val="center"/>
          </w:tcPr>
          <w:p>
            <w:pPr>
              <w:pStyle w:val="7"/>
              <w:keepNext w:val="0"/>
              <w:keepLines w:val="0"/>
              <w:suppressLineNumbers w:val="0"/>
              <w:tabs>
                <w:tab w:val="left" w:pos="2790"/>
              </w:tabs>
              <w:spacing w:before="0" w:beforeAutospacing="0" w:after="0" w:afterAutospacing="0"/>
              <w:ind w:left="0" w:right="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考核总体建</w:t>
            </w:r>
            <w:r>
              <w:rPr>
                <w:rFonts w:hint="eastAsia" w:ascii="宋体" w:hAnsi="宋体" w:eastAsia="宋体" w:cs="宋体"/>
                <w:b/>
                <w:color w:val="auto"/>
                <w:spacing w:val="-19"/>
                <w:sz w:val="21"/>
                <w:szCs w:val="21"/>
                <w:highlight w:val="none"/>
              </w:rPr>
              <w:t>议</w:t>
            </w:r>
            <w:r>
              <w:rPr>
                <w:rFonts w:hint="eastAsia" w:ascii="宋体" w:hAnsi="宋体" w:eastAsia="宋体" w:cs="宋体"/>
                <w:b/>
                <w:color w:val="auto"/>
                <w:spacing w:val="-3"/>
                <w:sz w:val="21"/>
                <w:szCs w:val="21"/>
                <w:highlight w:val="none"/>
              </w:rPr>
              <w:t>：①</w:t>
            </w:r>
            <w:r>
              <w:rPr>
                <w:rFonts w:hint="eastAsia" w:ascii="宋体" w:hAnsi="宋体" w:eastAsia="宋体" w:cs="宋体"/>
                <w:b/>
                <w:color w:val="auto"/>
                <w:sz w:val="21"/>
                <w:szCs w:val="21"/>
                <w:highlight w:val="none"/>
              </w:rPr>
              <w:t>考核不合格</w:t>
            </w:r>
            <w:r>
              <w:rPr>
                <w:rFonts w:hint="eastAsia" w:ascii="宋体" w:hAnsi="宋体" w:eastAsia="宋体" w:cs="宋体"/>
                <w:b/>
                <w:color w:val="auto"/>
                <w:sz w:val="21"/>
                <w:szCs w:val="21"/>
                <w:highlight w:val="none"/>
              </w:rPr>
              <w:tab/>
            </w:r>
            <w:r>
              <w:rPr>
                <w:rFonts w:hint="eastAsia" w:ascii="宋体" w:hAnsi="宋体" w:eastAsia="宋体" w:cs="宋体"/>
                <w:b/>
                <w:color w:val="auto"/>
                <w:spacing w:val="-4"/>
                <w:sz w:val="21"/>
                <w:szCs w:val="21"/>
                <w:highlight w:val="none"/>
              </w:rPr>
              <w:t>②</w:t>
            </w:r>
            <w:r>
              <w:rPr>
                <w:rFonts w:hint="eastAsia" w:ascii="宋体" w:hAnsi="宋体" w:eastAsia="宋体" w:cs="宋体"/>
                <w:b/>
                <w:color w:val="auto"/>
                <w:sz w:val="21"/>
                <w:szCs w:val="21"/>
                <w:highlight w:val="none"/>
              </w:rPr>
              <w:t>考核合格</w:t>
            </w:r>
            <w:r>
              <w:rPr>
                <w:rFonts w:hint="eastAsia" w:ascii="宋体" w:hAnsi="宋体" w:eastAsia="宋体" w:cs="宋体"/>
                <w:b/>
                <w:color w:val="auto"/>
                <w:spacing w:val="87"/>
                <w:sz w:val="21"/>
                <w:szCs w:val="21"/>
                <w:highlight w:val="none"/>
              </w:rPr>
              <w:t xml:space="preserve"> </w:t>
            </w:r>
            <w:r>
              <w:rPr>
                <w:rFonts w:hint="eastAsia" w:ascii="宋体" w:hAnsi="宋体" w:eastAsia="宋体" w:cs="宋体"/>
                <w:b/>
                <w:color w:val="auto"/>
                <w:spacing w:val="-3"/>
                <w:sz w:val="21"/>
                <w:szCs w:val="21"/>
                <w:highlight w:val="none"/>
              </w:rPr>
              <w:t>③</w:t>
            </w:r>
            <w:r>
              <w:rPr>
                <w:rFonts w:hint="eastAsia" w:ascii="宋体" w:hAnsi="宋体" w:eastAsia="宋体" w:cs="宋体"/>
                <w:b/>
                <w:color w:val="auto"/>
                <w:sz w:val="21"/>
                <w:szCs w:val="21"/>
                <w:highlight w:val="none"/>
              </w:rPr>
              <w:t>考核良好</w:t>
            </w:r>
            <w:r>
              <w:rPr>
                <w:rFonts w:hint="eastAsia" w:ascii="宋体" w:hAnsi="宋体" w:eastAsia="宋体" w:cs="宋体"/>
                <w:b/>
                <w:color w:val="auto"/>
                <w:spacing w:val="87"/>
                <w:sz w:val="21"/>
                <w:szCs w:val="21"/>
                <w:highlight w:val="none"/>
              </w:rPr>
              <w:t xml:space="preserve"> </w:t>
            </w:r>
            <w:r>
              <w:rPr>
                <w:rFonts w:hint="eastAsia" w:ascii="宋体" w:hAnsi="宋体" w:eastAsia="宋体" w:cs="宋体"/>
                <w:b/>
                <w:color w:val="auto"/>
                <w:spacing w:val="-4"/>
                <w:sz w:val="21"/>
                <w:szCs w:val="21"/>
                <w:highlight w:val="none"/>
              </w:rPr>
              <w:t>④</w:t>
            </w:r>
            <w:r>
              <w:rPr>
                <w:rFonts w:hint="eastAsia" w:ascii="宋体" w:hAnsi="宋体" w:eastAsia="宋体" w:cs="宋体"/>
                <w:b/>
                <w:color w:val="auto"/>
                <w:sz w:val="21"/>
                <w:szCs w:val="21"/>
                <w:highlight w:val="none"/>
              </w:rPr>
              <w:t>考核优秀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9285" w:type="dxa"/>
            <w:gridSpan w:val="5"/>
            <w:noWrap w:val="0"/>
            <w:vAlign w:val="center"/>
          </w:tcPr>
          <w:p>
            <w:pPr>
              <w:pStyle w:val="7"/>
              <w:keepNext w:val="0"/>
              <w:keepLines w:val="0"/>
              <w:suppressLineNumbers w:val="0"/>
              <w:tabs>
                <w:tab w:val="left" w:pos="2990"/>
              </w:tabs>
              <w:spacing w:before="40" w:beforeAutospacing="0" w:after="0" w:afterAutospacing="0"/>
              <w:ind w:left="0" w:right="0" w:firstLine="2319" w:firstLineChars="1100"/>
              <w:jc w:val="both"/>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签字盖</w:t>
            </w:r>
            <w:r>
              <w:rPr>
                <w:rFonts w:hint="eastAsia" w:ascii="宋体" w:hAnsi="宋体" w:eastAsia="宋体" w:cs="宋体"/>
                <w:b/>
                <w:color w:val="auto"/>
                <w:spacing w:val="-15"/>
                <w:sz w:val="21"/>
                <w:szCs w:val="21"/>
                <w:highlight w:val="none"/>
              </w:rPr>
              <w:t>章</w:t>
            </w:r>
            <w:r>
              <w:rPr>
                <w:rFonts w:hint="eastAsia" w:ascii="宋体" w:hAnsi="宋体" w:eastAsia="宋体" w:cs="宋体"/>
                <w:b/>
                <w:color w:val="auto"/>
                <w:sz w:val="21"/>
                <w:szCs w:val="21"/>
                <w:highlight w:val="none"/>
              </w:rPr>
              <w:t>：</w:t>
            </w:r>
            <w:r>
              <w:rPr>
                <w:rFonts w:hint="eastAsia" w:ascii="宋体" w:hAnsi="宋体" w:eastAsia="宋体" w:cs="宋体"/>
                <w:b/>
                <w:color w:val="auto"/>
                <w:sz w:val="21"/>
                <w:szCs w:val="21"/>
                <w:highlight w:val="none"/>
              </w:rPr>
              <w:tab/>
            </w:r>
            <w:r>
              <w:rPr>
                <w:rFonts w:hint="eastAsia" w:ascii="宋体" w:hAnsi="宋体" w:eastAsia="宋体" w:cs="宋体"/>
                <w:b/>
                <w:color w:val="auto"/>
                <w:sz w:val="21"/>
                <w:szCs w:val="21"/>
                <w:highlight w:val="none"/>
                <w:lang w:val="en-US" w:eastAsia="zh-CN"/>
              </w:rPr>
              <w:t xml:space="preserve">                                </w:t>
            </w:r>
            <w:r>
              <w:rPr>
                <w:rFonts w:hint="eastAsia" w:ascii="宋体" w:hAnsi="宋体" w:eastAsia="宋体" w:cs="宋体"/>
                <w:b/>
                <w:color w:val="auto"/>
                <w:sz w:val="21"/>
                <w:szCs w:val="21"/>
                <w:highlight w:val="none"/>
              </w:rPr>
              <w:t>时</w:t>
            </w:r>
            <w:r>
              <w:rPr>
                <w:rFonts w:hint="eastAsia" w:ascii="宋体" w:hAnsi="宋体" w:eastAsia="宋体" w:cs="宋体"/>
                <w:b/>
                <w:color w:val="auto"/>
                <w:spacing w:val="-8"/>
                <w:sz w:val="21"/>
                <w:szCs w:val="21"/>
                <w:highlight w:val="none"/>
              </w:rPr>
              <w:t>间</w:t>
            </w:r>
            <w:r>
              <w:rPr>
                <w:rFonts w:hint="eastAsia" w:ascii="宋体" w:hAnsi="宋体" w:eastAsia="宋体" w:cs="宋体"/>
                <w:b/>
                <w:color w:val="auto"/>
                <w:sz w:val="21"/>
                <w:szCs w:val="21"/>
                <w:highlight w:val="none"/>
              </w:rPr>
              <w:t>：</w:t>
            </w:r>
          </w:p>
        </w:tc>
      </w:tr>
    </w:tbl>
    <w:p>
      <w:pPr>
        <w:spacing w:line="240" w:lineRule="auto"/>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lang w:val="en-US" w:eastAsia="zh-CN"/>
        </w:rPr>
        <w:br w:type="page"/>
      </w:r>
      <w:r>
        <w:rPr>
          <w:rFonts w:hint="eastAsia" w:ascii="宋体" w:hAnsi="宋体" w:eastAsia="宋体" w:cs="宋体"/>
          <w:color w:val="auto"/>
          <w:sz w:val="24"/>
          <w:szCs w:val="24"/>
          <w:highlight w:val="none"/>
          <w:lang w:val="en-US" w:eastAsia="zh-CN"/>
        </w:rPr>
        <w:t>附件二：安全秩序维护服务考核表</w:t>
      </w:r>
    </w:p>
    <w:tbl>
      <w:tblPr>
        <w:tblStyle w:val="5"/>
        <w:tblW w:w="9555" w:type="dxa"/>
        <w:tblInd w:w="-3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5"/>
        <w:gridCol w:w="840"/>
        <w:gridCol w:w="6900"/>
        <w:gridCol w:w="720"/>
        <w:gridCol w:w="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4" w:hRule="atLeast"/>
        </w:trPr>
        <w:tc>
          <w:tcPr>
            <w:tcW w:w="9555" w:type="dxa"/>
            <w:gridSpan w:val="5"/>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b/>
                <w:color w:val="auto"/>
                <w:kern w:val="2"/>
                <w:sz w:val="21"/>
                <w:szCs w:val="21"/>
                <w:highlight w:val="none"/>
                <w:lang w:val="en-US" w:eastAsia="zh-CN" w:bidi="zh-CN"/>
              </w:rPr>
              <w:t>安全秩序维护服务考核表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8" w:hRule="atLeast"/>
        </w:trPr>
        <w:tc>
          <w:tcPr>
            <w:tcW w:w="615"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序号</w:t>
            </w:r>
          </w:p>
        </w:tc>
        <w:tc>
          <w:tcPr>
            <w:tcW w:w="84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考核内容</w:t>
            </w:r>
          </w:p>
        </w:tc>
        <w:tc>
          <w:tcPr>
            <w:tcW w:w="690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考核标准</w:t>
            </w:r>
          </w:p>
        </w:tc>
        <w:tc>
          <w:tcPr>
            <w:tcW w:w="72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color w:val="auto"/>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应扣分</w:t>
            </w:r>
          </w:p>
        </w:tc>
        <w:tc>
          <w:tcPr>
            <w:tcW w:w="48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color w:val="auto"/>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3" w:hRule="atLeast"/>
        </w:trPr>
        <w:tc>
          <w:tcPr>
            <w:tcW w:w="615"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1</w:t>
            </w:r>
          </w:p>
        </w:tc>
        <w:tc>
          <w:tcPr>
            <w:tcW w:w="84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出勤情况</w:t>
            </w:r>
          </w:p>
        </w:tc>
        <w:tc>
          <w:tcPr>
            <w:tcW w:w="690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1未按规定时间上班迟到早退、脱岗、离岗，每次扣5分。</w:t>
            </w:r>
          </w:p>
        </w:tc>
        <w:tc>
          <w:tcPr>
            <w:tcW w:w="72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w w:val="105"/>
                <w:kern w:val="2"/>
                <w:sz w:val="21"/>
                <w:szCs w:val="21"/>
                <w:highlight w:val="none"/>
                <w:lang w:val="en-US" w:eastAsia="zh-CN" w:bidi="zh-CN"/>
              </w:rPr>
            </w:pPr>
          </w:p>
        </w:tc>
        <w:tc>
          <w:tcPr>
            <w:tcW w:w="48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w w:val="105"/>
                <w:kern w:val="2"/>
                <w:sz w:val="21"/>
                <w:szCs w:val="21"/>
                <w:highlight w:val="none"/>
                <w:lang w:val="en-US" w:eastAsia="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615" w:type="dxa"/>
            <w:vMerge w:val="restar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2</w:t>
            </w:r>
          </w:p>
        </w:tc>
        <w:tc>
          <w:tcPr>
            <w:tcW w:w="840" w:type="dxa"/>
            <w:vMerge w:val="restar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工作表现</w:t>
            </w:r>
          </w:p>
        </w:tc>
        <w:tc>
          <w:tcPr>
            <w:tcW w:w="690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2.1熟悉学校的环境，能处理和应对校区公共秩序维护工作，能正确使用各类消防、物防、技防器械和设备，能够熟悉、掌握各类刑事、治安案件和各类灾害事故的应急预案，（每次扣1分）</w:t>
            </w:r>
          </w:p>
        </w:tc>
        <w:tc>
          <w:tcPr>
            <w:tcW w:w="720"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c>
          <w:tcPr>
            <w:tcW w:w="480"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615" w:type="dxa"/>
            <w:vMerge w:val="continue"/>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宋体" w:hAnsi="宋体" w:eastAsia="宋体" w:cs="宋体"/>
                <w:color w:val="auto"/>
                <w:w w:val="105"/>
                <w:kern w:val="2"/>
                <w:sz w:val="21"/>
                <w:szCs w:val="21"/>
                <w:highlight w:val="none"/>
                <w:lang w:val="en-US" w:eastAsia="zh-CN" w:bidi="zh-CN"/>
              </w:rPr>
            </w:pPr>
          </w:p>
        </w:tc>
        <w:tc>
          <w:tcPr>
            <w:tcW w:w="840" w:type="dxa"/>
            <w:vMerge w:val="continue"/>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宋体" w:hAnsi="宋体" w:eastAsia="宋体" w:cs="宋体"/>
                <w:color w:val="auto"/>
                <w:w w:val="105"/>
                <w:kern w:val="2"/>
                <w:sz w:val="21"/>
                <w:szCs w:val="21"/>
                <w:highlight w:val="none"/>
                <w:lang w:val="en-US" w:eastAsia="zh-CN" w:bidi="zh-CN"/>
              </w:rPr>
            </w:pPr>
          </w:p>
        </w:tc>
        <w:tc>
          <w:tcPr>
            <w:tcW w:w="690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2.2上岗时佩戴统一标志，按需求穿戴统一制服，配备对讲装置和其他必备的安全护卫器械，装备佩戴规范，仪容仪表规范整齐，当值时坐姿挺直，站岗时不倚不靠、采用跨立站岗，（每次扣1分）</w:t>
            </w:r>
          </w:p>
        </w:tc>
        <w:tc>
          <w:tcPr>
            <w:tcW w:w="720"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c>
          <w:tcPr>
            <w:tcW w:w="480"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9" w:hRule="atLeast"/>
        </w:trPr>
        <w:tc>
          <w:tcPr>
            <w:tcW w:w="615" w:type="dxa"/>
            <w:vMerge w:val="continue"/>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宋体" w:hAnsi="宋体" w:eastAsia="宋体" w:cs="宋体"/>
                <w:color w:val="auto"/>
                <w:w w:val="105"/>
                <w:kern w:val="2"/>
                <w:sz w:val="21"/>
                <w:szCs w:val="21"/>
                <w:highlight w:val="none"/>
                <w:lang w:val="en-US" w:eastAsia="zh-CN" w:bidi="zh-CN"/>
              </w:rPr>
            </w:pPr>
          </w:p>
        </w:tc>
        <w:tc>
          <w:tcPr>
            <w:tcW w:w="840" w:type="dxa"/>
            <w:vMerge w:val="continue"/>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宋体" w:hAnsi="宋体" w:eastAsia="宋体" w:cs="宋体"/>
                <w:color w:val="auto"/>
                <w:w w:val="105"/>
                <w:kern w:val="2"/>
                <w:sz w:val="21"/>
                <w:szCs w:val="21"/>
                <w:highlight w:val="none"/>
                <w:lang w:val="en-US" w:eastAsia="zh-CN" w:bidi="zh-CN"/>
              </w:rPr>
            </w:pPr>
          </w:p>
        </w:tc>
        <w:tc>
          <w:tcPr>
            <w:tcW w:w="690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2.3文明执勤，训练有素，言语规范，认真负责；值班期间不得玩手机，不得有抽烟等不文明行为，（每次扣1分）</w:t>
            </w:r>
          </w:p>
        </w:tc>
        <w:tc>
          <w:tcPr>
            <w:tcW w:w="720"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c>
          <w:tcPr>
            <w:tcW w:w="480"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06" w:hRule="atLeast"/>
        </w:trPr>
        <w:tc>
          <w:tcPr>
            <w:tcW w:w="615" w:type="dxa"/>
            <w:vMerge w:val="continue"/>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宋体" w:hAnsi="宋体" w:eastAsia="宋体" w:cs="宋体"/>
                <w:color w:val="auto"/>
                <w:w w:val="105"/>
                <w:kern w:val="2"/>
                <w:sz w:val="21"/>
                <w:szCs w:val="21"/>
                <w:highlight w:val="none"/>
                <w:lang w:val="en-US" w:eastAsia="zh-CN" w:bidi="zh-CN"/>
              </w:rPr>
            </w:pPr>
          </w:p>
        </w:tc>
        <w:tc>
          <w:tcPr>
            <w:tcW w:w="840" w:type="dxa"/>
            <w:vMerge w:val="continue"/>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宋体" w:hAnsi="宋体" w:eastAsia="宋体" w:cs="宋体"/>
                <w:color w:val="auto"/>
                <w:w w:val="105"/>
                <w:kern w:val="2"/>
                <w:sz w:val="21"/>
                <w:szCs w:val="21"/>
                <w:highlight w:val="none"/>
                <w:lang w:val="en-US" w:eastAsia="zh-CN" w:bidi="zh-CN"/>
              </w:rPr>
            </w:pPr>
          </w:p>
        </w:tc>
        <w:tc>
          <w:tcPr>
            <w:tcW w:w="690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2.4门岗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① 服务时间：出入口24小时值班看守。</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② 交接班：有详细完整的交接班记录。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③ 外来人员：对外来人员询问登记，并联系相关老师，决定是否放行。严格执行出入登记制度，严防没有持有效证件的人员进入。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④ 外来车辆：对进出校园的车辆严格控制，确需进入的实施证（卡）管理和登记，引导车辆有序通行、停放。</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⑤ 物品进出：物品进出实施分类管理，实行物品进出审验制度，杜绝危险物品进入校区内、并进行记录。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⑥ 值班室、出入口清洁：保持值班室、出入口环境整洁、道路畅通。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学生放学：根据学校的需要，参与学生放学秩序管理。（每次扣1分）</w:t>
            </w:r>
          </w:p>
        </w:tc>
        <w:tc>
          <w:tcPr>
            <w:tcW w:w="720"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c>
          <w:tcPr>
            <w:tcW w:w="480"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37" w:hRule="atLeast"/>
        </w:trPr>
        <w:tc>
          <w:tcPr>
            <w:tcW w:w="615" w:type="dxa"/>
            <w:vMerge w:val="continue"/>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w w:val="105"/>
                <w:kern w:val="2"/>
                <w:sz w:val="21"/>
                <w:szCs w:val="21"/>
                <w:highlight w:val="none"/>
                <w:lang w:val="en-US" w:eastAsia="zh-CN" w:bidi="zh-CN"/>
              </w:rPr>
            </w:pPr>
          </w:p>
        </w:tc>
        <w:tc>
          <w:tcPr>
            <w:tcW w:w="840" w:type="dxa"/>
            <w:vMerge w:val="continue"/>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w w:val="105"/>
                <w:kern w:val="2"/>
                <w:sz w:val="21"/>
                <w:szCs w:val="21"/>
                <w:highlight w:val="none"/>
                <w:lang w:val="en-US" w:eastAsia="zh-CN" w:bidi="zh-CN"/>
              </w:rPr>
            </w:pPr>
          </w:p>
        </w:tc>
        <w:tc>
          <w:tcPr>
            <w:tcW w:w="690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2.5巡逻岗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① 服务时间：实行24小时巡逻并做好记录。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② 校区巡逻：秩序维护人员手持巡更采集器，按指定的时间和路线每二小时巡查一次，重点部位、重</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点区域每1小时巡逻一次。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③ 车库巡逻：车辆行驶安全、停放有序、无可见安全隐患。</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④ 消防巡查：消防通道及安全疏散出入口无占用、堵塞、封闭，应急照明与指示灯、消防栓及灭火器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等消防设施完好无损，发现问题及时报告。</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⑤ 业主帮助：在遇到师生需要帮助时，主动热情；在遇到师生紧急求助时，巡逻人员需要1分钟响应启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动、3分钟到场、5分钟内采取相应措施。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⑥ 外来人员询问：在校园内遇见外来人员进出询问，并联系门岗，确定是否正常进入，排除隐患。对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可疑人员及时劝离校园。</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⑦ 应急响应：接到火警、警情后需要1分钟响应启动、3分钟到场扑救、5分钟协同作战，并第一时间上</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报学校与警方，协助采取有关措施。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⑧ 系统报警处理：在遇到异常情况时，巡逻人员需要1分钟响应启动、3分钟到场扑救、5分钟协同作</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战，使损失减到最小。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⑨ 制止校园内发生的打架斗殴和违纪违规行为，调解处理校园内发生的一般纠纷，调解不成的移交有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关部门处理或向公安机关报警。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⑩ 发现未经允许置留在校园内过夜的学生家长或其他人员按照有关规定劝其离开。</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巡逻过程中发现的水电浪费现象应拍照取证、做好登记、及时纠正，并上报主管及学校。（每次扣1分）</w:t>
            </w:r>
          </w:p>
        </w:tc>
        <w:tc>
          <w:tcPr>
            <w:tcW w:w="720"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c>
          <w:tcPr>
            <w:tcW w:w="480"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28" w:hRule="atLeast"/>
        </w:trPr>
        <w:tc>
          <w:tcPr>
            <w:tcW w:w="615" w:type="dxa"/>
            <w:vMerge w:val="continue"/>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w w:val="105"/>
                <w:kern w:val="2"/>
                <w:sz w:val="21"/>
                <w:szCs w:val="21"/>
                <w:highlight w:val="none"/>
                <w:lang w:val="en-US" w:eastAsia="zh-CN" w:bidi="zh-CN"/>
              </w:rPr>
            </w:pPr>
          </w:p>
        </w:tc>
        <w:tc>
          <w:tcPr>
            <w:tcW w:w="840" w:type="dxa"/>
            <w:vMerge w:val="continue"/>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w w:val="105"/>
                <w:kern w:val="2"/>
                <w:sz w:val="21"/>
                <w:szCs w:val="21"/>
                <w:highlight w:val="none"/>
                <w:lang w:val="en-US" w:eastAsia="zh-CN" w:bidi="zh-CN"/>
              </w:rPr>
            </w:pPr>
          </w:p>
        </w:tc>
        <w:tc>
          <w:tcPr>
            <w:tcW w:w="690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2.6消控中心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① 服务时间：设有监控中心，具备录像监控等技防设施，双班三岗，24小时开通值守，注视各设备所</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传达的信息并做好记录。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② 紧急处理：监控中心接到报警信号后，及时呼叫巡逻岗赶到现场进行处理。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③ 其他帮助：接受师生求助的要求，解答相关老师的询问。</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④ 应急预案和演习：监控中心控制室内悬挂火警、警情应急预案；每学年组织不少于1次的应急预案演</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习，消防演练应当设置明显标识并事先告知演练范围内的人员，避免意外事故发生。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每学年开展不少于两次电气线路安全性能检测，及时更换老化电气线路。（每次扣1分）</w:t>
            </w:r>
          </w:p>
        </w:tc>
        <w:tc>
          <w:tcPr>
            <w:tcW w:w="720"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c>
          <w:tcPr>
            <w:tcW w:w="480"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atLeast"/>
        </w:trPr>
        <w:tc>
          <w:tcPr>
            <w:tcW w:w="615" w:type="dxa"/>
            <w:vMerge w:val="continue"/>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w w:val="105"/>
                <w:kern w:val="2"/>
                <w:sz w:val="21"/>
                <w:szCs w:val="21"/>
                <w:highlight w:val="none"/>
                <w:lang w:val="en-US" w:eastAsia="zh-CN" w:bidi="zh-CN"/>
              </w:rPr>
            </w:pPr>
          </w:p>
        </w:tc>
        <w:tc>
          <w:tcPr>
            <w:tcW w:w="840" w:type="dxa"/>
            <w:vMerge w:val="continue"/>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w w:val="105"/>
                <w:kern w:val="2"/>
                <w:sz w:val="21"/>
                <w:szCs w:val="21"/>
                <w:highlight w:val="none"/>
                <w:lang w:val="en-US" w:eastAsia="zh-CN" w:bidi="zh-CN"/>
              </w:rPr>
            </w:pPr>
          </w:p>
        </w:tc>
        <w:tc>
          <w:tcPr>
            <w:tcW w:w="690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2.7车辆管理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① 停车场巡查：每天不少于6次巡查，检查车辆门窗关闭情况，车辆外观，有无易燃、易爆及危险物品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存放。</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外来车辆停放管理：记录准确，完整可追溯。（每次扣1分）</w:t>
            </w:r>
          </w:p>
        </w:tc>
        <w:tc>
          <w:tcPr>
            <w:tcW w:w="720"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c>
          <w:tcPr>
            <w:tcW w:w="480"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1" w:hRule="atLeast"/>
        </w:trPr>
        <w:tc>
          <w:tcPr>
            <w:tcW w:w="615" w:type="dxa"/>
            <w:vMerge w:val="continue"/>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w w:val="105"/>
                <w:kern w:val="2"/>
                <w:sz w:val="21"/>
                <w:szCs w:val="21"/>
                <w:highlight w:val="none"/>
                <w:lang w:val="en-US" w:eastAsia="zh-CN" w:bidi="zh-CN"/>
              </w:rPr>
            </w:pPr>
          </w:p>
        </w:tc>
        <w:tc>
          <w:tcPr>
            <w:tcW w:w="840" w:type="dxa"/>
            <w:vMerge w:val="continue"/>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w w:val="105"/>
                <w:kern w:val="2"/>
                <w:sz w:val="21"/>
                <w:szCs w:val="21"/>
                <w:highlight w:val="none"/>
                <w:lang w:val="en-US" w:eastAsia="zh-CN" w:bidi="zh-CN"/>
              </w:rPr>
            </w:pPr>
          </w:p>
        </w:tc>
        <w:tc>
          <w:tcPr>
            <w:tcW w:w="690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2.8突发事件处理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按照要求制订各类突发事件应急预案，并将预案内容在物业办公室、监控室、机房等处张榜悬挂。在各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楼层固定位置悬挂疏散示意图及引路标志，每学年组织不少于1次的突发事件应急演习。当发生台风、暴</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雨等灾害性天气及其他危害公共突发事件时，应采取以下应急措施：对设备机房、停车场、广告牌、电</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线杆等露天设施进行检查和加固。各岗位人员</w:t>
            </w:r>
            <w:r>
              <w:rPr>
                <w:rFonts w:hint="eastAsia" w:ascii="宋体" w:hAnsi="宋体" w:cs="宋体"/>
                <w:color w:val="auto"/>
                <w:w w:val="105"/>
                <w:kern w:val="2"/>
                <w:sz w:val="21"/>
                <w:szCs w:val="21"/>
                <w:highlight w:val="none"/>
                <w:lang w:val="en-US" w:eastAsia="zh-CN" w:bidi="zh-CN"/>
              </w:rPr>
              <w:t>应当</w:t>
            </w:r>
            <w:r>
              <w:rPr>
                <w:rFonts w:hint="eastAsia" w:ascii="宋体" w:hAnsi="宋体" w:eastAsia="宋体" w:cs="宋体"/>
                <w:color w:val="auto"/>
                <w:w w:val="105"/>
                <w:kern w:val="2"/>
                <w:sz w:val="21"/>
                <w:szCs w:val="21"/>
                <w:highlight w:val="none"/>
                <w:lang w:val="en-US" w:eastAsia="zh-CN" w:bidi="zh-CN"/>
              </w:rPr>
              <w:t>按规定实行岗位警戒，根据不同突发事件的现场情况</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进行应变处理，在有关部门到达现场前，确保人身安全，减少财产损失，并全力协助处理相关事宜。对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待上访人员做到耐心说服，及时报告有关部门予以妥善处置。物业提供搬运服务和应急服务。（每次扣1分）</w:t>
            </w:r>
          </w:p>
        </w:tc>
        <w:tc>
          <w:tcPr>
            <w:tcW w:w="720"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c>
          <w:tcPr>
            <w:tcW w:w="480"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6" w:hRule="atLeast"/>
        </w:trPr>
        <w:tc>
          <w:tcPr>
            <w:tcW w:w="615" w:type="dxa"/>
            <w:vMerge w:val="continue"/>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w w:val="105"/>
                <w:kern w:val="2"/>
                <w:sz w:val="21"/>
                <w:szCs w:val="21"/>
                <w:highlight w:val="none"/>
                <w:lang w:val="en-US" w:eastAsia="zh-CN" w:bidi="zh-CN"/>
              </w:rPr>
            </w:pPr>
          </w:p>
        </w:tc>
        <w:tc>
          <w:tcPr>
            <w:tcW w:w="840" w:type="dxa"/>
            <w:vMerge w:val="continue"/>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w w:val="105"/>
                <w:kern w:val="2"/>
                <w:sz w:val="21"/>
                <w:szCs w:val="21"/>
                <w:highlight w:val="none"/>
                <w:lang w:val="en-US" w:eastAsia="zh-CN" w:bidi="zh-CN"/>
              </w:rPr>
            </w:pPr>
          </w:p>
        </w:tc>
        <w:tc>
          <w:tcPr>
            <w:tcW w:w="690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2.9其他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大型活动：甲方组织的大型活动及重要接待等常规性及临时性的任务予以积极响应并配合完成。</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投标人校园防疫服务：成立防疫领导小组，健全防控应急预案、落实疫情防控措施、落实物业人员网格</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化管控、各区域消毒工作安排、增强师生的疫情防控意识和公共卫生责任感以及采购人安排的其他防疫</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工作。（每次扣1分）</w:t>
            </w:r>
          </w:p>
        </w:tc>
        <w:tc>
          <w:tcPr>
            <w:tcW w:w="720"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c>
          <w:tcPr>
            <w:tcW w:w="480"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9555" w:type="dxa"/>
            <w:gridSpan w:val="5"/>
            <w:noWrap w:val="0"/>
            <w:vAlign w:val="top"/>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b/>
                <w:color w:val="auto"/>
                <w:sz w:val="21"/>
                <w:szCs w:val="21"/>
                <w:highlight w:val="none"/>
              </w:rPr>
              <w:t>合计得分（起评分为100分，达标分为90（含）分， 低于90分为不达标）：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7" w:hRule="atLeast"/>
        </w:trPr>
        <w:tc>
          <w:tcPr>
            <w:tcW w:w="9555" w:type="dxa"/>
            <w:gridSpan w:val="5"/>
            <w:noWrap w:val="0"/>
            <w:vAlign w:val="top"/>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b/>
                <w:color w:val="auto"/>
                <w:sz w:val="21"/>
                <w:szCs w:val="21"/>
                <w:highlight w:val="none"/>
              </w:rPr>
              <w:t>考核总体建议：①考核不合格</w:t>
            </w:r>
            <w:r>
              <w:rPr>
                <w:rFonts w:hint="eastAsia" w:ascii="宋体" w:hAnsi="宋体" w:eastAsia="宋体" w:cs="宋体"/>
                <w:b/>
                <w:color w:val="auto"/>
                <w:sz w:val="21"/>
                <w:szCs w:val="21"/>
                <w:highlight w:val="none"/>
              </w:rPr>
              <w:tab/>
            </w:r>
            <w:r>
              <w:rPr>
                <w:rFonts w:hint="eastAsia" w:ascii="宋体" w:hAnsi="宋体" w:eastAsia="宋体" w:cs="宋体"/>
                <w:b/>
                <w:color w:val="auto"/>
                <w:sz w:val="21"/>
                <w:szCs w:val="21"/>
                <w:highlight w:val="none"/>
              </w:rPr>
              <w:t>②考核合格</w:t>
            </w:r>
            <w:r>
              <w:rPr>
                <w:rFonts w:hint="eastAsia" w:ascii="宋体" w:hAnsi="宋体" w:eastAsia="宋体" w:cs="宋体"/>
                <w:b/>
                <w:color w:val="auto"/>
                <w:spacing w:val="8"/>
                <w:sz w:val="21"/>
                <w:szCs w:val="21"/>
                <w:highlight w:val="none"/>
              </w:rPr>
              <w:t xml:space="preserve"> </w:t>
            </w:r>
            <w:r>
              <w:rPr>
                <w:rFonts w:hint="eastAsia" w:ascii="宋体" w:hAnsi="宋体" w:eastAsia="宋体" w:cs="宋体"/>
                <w:b/>
                <w:color w:val="auto"/>
                <w:sz w:val="21"/>
                <w:szCs w:val="21"/>
                <w:highlight w:val="none"/>
              </w:rPr>
              <w:t>③考核良好</w:t>
            </w:r>
            <w:r>
              <w:rPr>
                <w:rFonts w:hint="eastAsia" w:ascii="宋体" w:hAnsi="宋体" w:eastAsia="宋体" w:cs="宋体"/>
                <w:b/>
                <w:color w:val="auto"/>
                <w:spacing w:val="9"/>
                <w:sz w:val="21"/>
                <w:szCs w:val="21"/>
                <w:highlight w:val="none"/>
              </w:rPr>
              <w:t xml:space="preserve"> </w:t>
            </w:r>
            <w:r>
              <w:rPr>
                <w:rFonts w:hint="eastAsia" w:ascii="宋体" w:hAnsi="宋体" w:eastAsia="宋体" w:cs="宋体"/>
                <w:b/>
                <w:color w:val="auto"/>
                <w:sz w:val="21"/>
                <w:szCs w:val="21"/>
                <w:highlight w:val="none"/>
              </w:rPr>
              <w:t>④考核优秀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trPr>
        <w:tc>
          <w:tcPr>
            <w:tcW w:w="9555" w:type="dxa"/>
            <w:gridSpan w:val="5"/>
            <w:noWrap w:val="0"/>
            <w:vAlign w:val="top"/>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签字盖章：</w:t>
            </w:r>
            <w:r>
              <w:rPr>
                <w:rFonts w:hint="eastAsia" w:ascii="宋体" w:hAnsi="宋体" w:eastAsia="宋体" w:cs="宋体"/>
                <w:b/>
                <w:color w:val="auto"/>
                <w:sz w:val="21"/>
                <w:szCs w:val="21"/>
                <w:highlight w:val="none"/>
              </w:rPr>
              <w:tab/>
            </w:r>
            <w:r>
              <w:rPr>
                <w:rFonts w:hint="eastAsia" w:ascii="宋体" w:hAnsi="宋体" w:eastAsia="宋体" w:cs="宋体"/>
                <w:b/>
                <w:color w:val="auto"/>
                <w:sz w:val="21"/>
                <w:szCs w:val="21"/>
                <w:highlight w:val="none"/>
                <w:lang w:val="en-US" w:eastAsia="zh-CN"/>
              </w:rPr>
              <w:t xml:space="preserve">                                          </w:t>
            </w:r>
            <w:r>
              <w:rPr>
                <w:rFonts w:hint="eastAsia" w:ascii="宋体" w:hAnsi="宋体" w:eastAsia="宋体" w:cs="宋体"/>
                <w:b/>
                <w:color w:val="auto"/>
                <w:sz w:val="21"/>
                <w:szCs w:val="21"/>
                <w:highlight w:val="none"/>
              </w:rPr>
              <w:t>时间：</w:t>
            </w:r>
          </w:p>
        </w:tc>
      </w:tr>
    </w:tbl>
    <w:p>
      <w:pPr>
        <w:spacing w:line="24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br w:type="page"/>
      </w:r>
      <w:r>
        <w:rPr>
          <w:rFonts w:hint="eastAsia" w:ascii="宋体" w:hAnsi="宋体" w:eastAsia="宋体" w:cs="宋体"/>
          <w:color w:val="auto"/>
          <w:sz w:val="24"/>
          <w:szCs w:val="24"/>
          <w:highlight w:val="none"/>
          <w:lang w:val="en-US" w:eastAsia="zh-CN"/>
        </w:rPr>
        <w:t>附件三：绿化养护服务考核表</w:t>
      </w:r>
    </w:p>
    <w:tbl>
      <w:tblPr>
        <w:tblStyle w:val="5"/>
        <w:tblW w:w="9135" w:type="dxa"/>
        <w:tblInd w:w="-1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0"/>
        <w:gridCol w:w="1140"/>
        <w:gridCol w:w="6180"/>
        <w:gridCol w:w="735"/>
        <w:gridCol w:w="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4" w:hRule="atLeast"/>
        </w:trPr>
        <w:tc>
          <w:tcPr>
            <w:tcW w:w="9135" w:type="dxa"/>
            <w:gridSpan w:val="5"/>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b/>
                <w:color w:val="auto"/>
                <w:kern w:val="2"/>
                <w:sz w:val="21"/>
                <w:szCs w:val="21"/>
                <w:highlight w:val="none"/>
                <w:lang w:val="en-US" w:eastAsia="zh-CN" w:bidi="zh-CN"/>
              </w:rPr>
              <w:t>绿化养护服务考核表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8" w:hRule="atLeast"/>
        </w:trPr>
        <w:tc>
          <w:tcPr>
            <w:tcW w:w="57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序号</w:t>
            </w:r>
          </w:p>
        </w:tc>
        <w:tc>
          <w:tcPr>
            <w:tcW w:w="114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考核内容</w:t>
            </w:r>
          </w:p>
        </w:tc>
        <w:tc>
          <w:tcPr>
            <w:tcW w:w="618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考核标准</w:t>
            </w:r>
          </w:p>
        </w:tc>
        <w:tc>
          <w:tcPr>
            <w:tcW w:w="73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color w:val="auto"/>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应扣分</w:t>
            </w:r>
          </w:p>
        </w:tc>
        <w:tc>
          <w:tcPr>
            <w:tcW w:w="51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color w:val="auto"/>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57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1</w:t>
            </w:r>
          </w:p>
        </w:tc>
        <w:tc>
          <w:tcPr>
            <w:tcW w:w="114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出勤情况</w:t>
            </w:r>
          </w:p>
        </w:tc>
        <w:tc>
          <w:tcPr>
            <w:tcW w:w="618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1未按规定时间上班迟到早退、脱岗、离岗，每次扣5分。</w:t>
            </w:r>
          </w:p>
        </w:tc>
        <w:tc>
          <w:tcPr>
            <w:tcW w:w="73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w w:val="105"/>
                <w:kern w:val="2"/>
                <w:sz w:val="21"/>
                <w:szCs w:val="21"/>
                <w:highlight w:val="none"/>
                <w:lang w:val="en-US" w:eastAsia="zh-CN" w:bidi="zh-CN"/>
              </w:rPr>
            </w:pPr>
          </w:p>
        </w:tc>
        <w:tc>
          <w:tcPr>
            <w:tcW w:w="51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w w:val="105"/>
                <w:kern w:val="2"/>
                <w:sz w:val="21"/>
                <w:szCs w:val="21"/>
                <w:highlight w:val="none"/>
                <w:lang w:val="en-US" w:eastAsia="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3" w:hRule="atLeast"/>
        </w:trPr>
        <w:tc>
          <w:tcPr>
            <w:tcW w:w="570" w:type="dxa"/>
            <w:vMerge w:val="restar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2</w:t>
            </w:r>
          </w:p>
        </w:tc>
        <w:tc>
          <w:tcPr>
            <w:tcW w:w="1140" w:type="dxa"/>
            <w:vMerge w:val="restar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工作表现</w:t>
            </w:r>
          </w:p>
        </w:tc>
        <w:tc>
          <w:tcPr>
            <w:tcW w:w="618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2.1无明显杂草，草坪、地被纯度在90%以上，每次扣1分。</w:t>
            </w:r>
          </w:p>
        </w:tc>
        <w:tc>
          <w:tcPr>
            <w:tcW w:w="735"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c>
          <w:tcPr>
            <w:tcW w:w="510"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570" w:type="dxa"/>
            <w:vMerge w:val="continue"/>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宋体" w:hAnsi="宋体" w:eastAsia="宋体" w:cs="宋体"/>
                <w:color w:val="auto"/>
                <w:w w:val="105"/>
                <w:kern w:val="2"/>
                <w:sz w:val="21"/>
                <w:szCs w:val="21"/>
                <w:highlight w:val="none"/>
                <w:lang w:val="en-US" w:eastAsia="zh-CN" w:bidi="zh-CN"/>
              </w:rPr>
            </w:pPr>
          </w:p>
        </w:tc>
        <w:tc>
          <w:tcPr>
            <w:tcW w:w="1140" w:type="dxa"/>
            <w:vMerge w:val="continue"/>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宋体" w:hAnsi="宋体" w:eastAsia="宋体" w:cs="宋体"/>
                <w:color w:val="auto"/>
                <w:w w:val="105"/>
                <w:kern w:val="2"/>
                <w:sz w:val="21"/>
                <w:szCs w:val="21"/>
                <w:highlight w:val="none"/>
                <w:lang w:val="en-US" w:eastAsia="zh-CN" w:bidi="zh-CN"/>
              </w:rPr>
            </w:pPr>
          </w:p>
        </w:tc>
        <w:tc>
          <w:tcPr>
            <w:tcW w:w="618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2.2上岗时佩戴统一标志，按需求穿戴统一制服，配备对讲装置和其他必备的安全护卫器械，装备佩戴规范，仪容仪表规范整齐，当值时坐姿挺直，站岗时不倚不靠、采用跨立站岗，每次扣1分。</w:t>
            </w:r>
          </w:p>
        </w:tc>
        <w:tc>
          <w:tcPr>
            <w:tcW w:w="735"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c>
          <w:tcPr>
            <w:tcW w:w="510"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trPr>
        <w:tc>
          <w:tcPr>
            <w:tcW w:w="570" w:type="dxa"/>
            <w:vMerge w:val="continue"/>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宋体" w:hAnsi="宋体" w:eastAsia="宋体" w:cs="宋体"/>
                <w:color w:val="auto"/>
                <w:w w:val="105"/>
                <w:kern w:val="2"/>
                <w:sz w:val="21"/>
                <w:szCs w:val="21"/>
                <w:highlight w:val="none"/>
                <w:lang w:val="en-US" w:eastAsia="zh-CN" w:bidi="zh-CN"/>
              </w:rPr>
            </w:pPr>
          </w:p>
        </w:tc>
        <w:tc>
          <w:tcPr>
            <w:tcW w:w="1140" w:type="dxa"/>
            <w:vMerge w:val="continue"/>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宋体" w:hAnsi="宋体" w:eastAsia="宋体" w:cs="宋体"/>
                <w:color w:val="auto"/>
                <w:w w:val="105"/>
                <w:kern w:val="2"/>
                <w:sz w:val="21"/>
                <w:szCs w:val="21"/>
                <w:highlight w:val="none"/>
                <w:lang w:val="en-US" w:eastAsia="zh-CN" w:bidi="zh-CN"/>
              </w:rPr>
            </w:pPr>
          </w:p>
        </w:tc>
        <w:tc>
          <w:tcPr>
            <w:tcW w:w="618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2.3树木底下土壤疏松，透气良好，土壤呈松弛团粒，深达 5cm 左右。不伤及树皮、根系，每次扣1分。</w:t>
            </w:r>
          </w:p>
        </w:tc>
        <w:tc>
          <w:tcPr>
            <w:tcW w:w="735"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c>
          <w:tcPr>
            <w:tcW w:w="510"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6" w:hRule="atLeast"/>
        </w:trPr>
        <w:tc>
          <w:tcPr>
            <w:tcW w:w="570" w:type="dxa"/>
            <w:vMerge w:val="continue"/>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宋体" w:hAnsi="宋体" w:eastAsia="宋体" w:cs="宋体"/>
                <w:color w:val="auto"/>
                <w:w w:val="105"/>
                <w:kern w:val="2"/>
                <w:sz w:val="21"/>
                <w:szCs w:val="21"/>
                <w:highlight w:val="none"/>
                <w:lang w:val="en-US" w:eastAsia="zh-CN" w:bidi="zh-CN"/>
              </w:rPr>
            </w:pPr>
          </w:p>
        </w:tc>
        <w:tc>
          <w:tcPr>
            <w:tcW w:w="1140" w:type="dxa"/>
            <w:vMerge w:val="continue"/>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宋体" w:hAnsi="宋体" w:eastAsia="宋体" w:cs="宋体"/>
                <w:color w:val="auto"/>
                <w:w w:val="105"/>
                <w:kern w:val="2"/>
                <w:sz w:val="21"/>
                <w:szCs w:val="21"/>
                <w:highlight w:val="none"/>
                <w:lang w:val="en-US" w:eastAsia="zh-CN" w:bidi="zh-CN"/>
              </w:rPr>
            </w:pPr>
          </w:p>
        </w:tc>
        <w:tc>
          <w:tcPr>
            <w:tcW w:w="618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2.4清理绿地石块做到每月一次，无明显砖石瓦砾、纸屑、塑料，绿地整洁，每次扣1分。</w:t>
            </w:r>
          </w:p>
        </w:tc>
        <w:tc>
          <w:tcPr>
            <w:tcW w:w="735"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c>
          <w:tcPr>
            <w:tcW w:w="510"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7" w:hRule="atLeast"/>
        </w:trPr>
        <w:tc>
          <w:tcPr>
            <w:tcW w:w="570" w:type="dxa"/>
            <w:vMerge w:val="continue"/>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w w:val="105"/>
                <w:kern w:val="2"/>
                <w:sz w:val="21"/>
                <w:szCs w:val="21"/>
                <w:highlight w:val="none"/>
                <w:lang w:val="en-US" w:eastAsia="zh-CN" w:bidi="zh-CN"/>
              </w:rPr>
            </w:pPr>
          </w:p>
        </w:tc>
        <w:tc>
          <w:tcPr>
            <w:tcW w:w="1140" w:type="dxa"/>
            <w:vMerge w:val="continue"/>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w w:val="105"/>
                <w:kern w:val="2"/>
                <w:sz w:val="21"/>
                <w:szCs w:val="21"/>
                <w:highlight w:val="none"/>
                <w:lang w:val="en-US" w:eastAsia="zh-CN" w:bidi="zh-CN"/>
              </w:rPr>
            </w:pPr>
          </w:p>
        </w:tc>
        <w:tc>
          <w:tcPr>
            <w:tcW w:w="618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2.5树木、草地浇水 ，适时适量浇水，不干不浇、浇则浇透。维护管理校园内绿化设施（喷灌、给水器等）。每次扣1分。</w:t>
            </w:r>
          </w:p>
        </w:tc>
        <w:tc>
          <w:tcPr>
            <w:tcW w:w="735"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c>
          <w:tcPr>
            <w:tcW w:w="510"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8" w:hRule="atLeast"/>
        </w:trPr>
        <w:tc>
          <w:tcPr>
            <w:tcW w:w="570" w:type="dxa"/>
            <w:vMerge w:val="continue"/>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w w:val="105"/>
                <w:kern w:val="2"/>
                <w:sz w:val="21"/>
                <w:szCs w:val="21"/>
                <w:highlight w:val="none"/>
                <w:lang w:val="en-US" w:eastAsia="zh-CN" w:bidi="zh-CN"/>
              </w:rPr>
            </w:pPr>
          </w:p>
        </w:tc>
        <w:tc>
          <w:tcPr>
            <w:tcW w:w="1140" w:type="dxa"/>
            <w:vMerge w:val="continue"/>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w w:val="105"/>
                <w:kern w:val="2"/>
                <w:sz w:val="21"/>
                <w:szCs w:val="21"/>
                <w:highlight w:val="none"/>
                <w:lang w:val="en-US" w:eastAsia="zh-CN" w:bidi="zh-CN"/>
              </w:rPr>
            </w:pPr>
          </w:p>
        </w:tc>
        <w:tc>
          <w:tcPr>
            <w:tcW w:w="618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2.6乔木修剪：  2次/年，生长季，休眠期各一次。 及时修去枯死枝、病虫枝、徒长枝、内堂枝、并生枝和损伤枝。使得树枝分布均匀，树形优美，无多余枝条。剪口平滑，树皮无撕裂现象。（每次扣1分）</w:t>
            </w:r>
          </w:p>
        </w:tc>
        <w:tc>
          <w:tcPr>
            <w:tcW w:w="735"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c>
          <w:tcPr>
            <w:tcW w:w="510"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36" w:hRule="atLeast"/>
        </w:trPr>
        <w:tc>
          <w:tcPr>
            <w:tcW w:w="570" w:type="dxa"/>
            <w:vMerge w:val="continue"/>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w w:val="105"/>
                <w:kern w:val="2"/>
                <w:sz w:val="21"/>
                <w:szCs w:val="21"/>
                <w:highlight w:val="none"/>
                <w:lang w:val="en-US" w:eastAsia="zh-CN" w:bidi="zh-CN"/>
              </w:rPr>
            </w:pPr>
          </w:p>
        </w:tc>
        <w:tc>
          <w:tcPr>
            <w:tcW w:w="1140" w:type="dxa"/>
            <w:vMerge w:val="continue"/>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w w:val="105"/>
                <w:kern w:val="2"/>
                <w:sz w:val="21"/>
                <w:szCs w:val="21"/>
                <w:highlight w:val="none"/>
                <w:lang w:val="en-US" w:eastAsia="zh-CN" w:bidi="zh-CN"/>
              </w:rPr>
            </w:pPr>
          </w:p>
        </w:tc>
        <w:tc>
          <w:tcPr>
            <w:tcW w:w="618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2.7灌木修剪、 隔草沟处理： 根据灌木生长情况安排 根据花灌木的开花习性做适当修剪，使花木茂盛，花期延长，整形灌木造型明显，线条整齐，长枝不超过30cm。合理安排草皮与灌木分割，做好隔草沟。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绿篱修剪：  根据绿篱生长情况安排 绿篱成型，线条整齐，树种之间有界限。造型美观，长势良好，无死株，无严重断档，缺档不超过1米长。</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乔灌木施肥：  2次/年 采取沟施或穴施。施肥、浇水及时，覆土平整，肥料不露出土面，不沾污树木叶面。</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草地、地被施肥：  1次/季 播施或喷施。结合天气在雨天前进行。浓度合适，一般每平方30g，草地色彩碧绿，生长茂盛。</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防寒、抗旱：  根据天气情况及时安排 在寒潮来之前，做好防寒防冻、乔木刷白等措施。高温天气采取苗木抗旱措施。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防风工作  根据天气情况及时安排 在大风来之前做好支柱，删去密枝等工作，风雨过后12小时内，能及时清除断枝落叶，扶正倒斜树木。（每次扣1分）</w:t>
            </w:r>
          </w:p>
        </w:tc>
        <w:tc>
          <w:tcPr>
            <w:tcW w:w="735"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c>
          <w:tcPr>
            <w:tcW w:w="510"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1" w:hRule="atLeast"/>
        </w:trPr>
        <w:tc>
          <w:tcPr>
            <w:tcW w:w="570" w:type="dxa"/>
            <w:vMerge w:val="continue"/>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w w:val="105"/>
                <w:kern w:val="2"/>
                <w:sz w:val="21"/>
                <w:szCs w:val="21"/>
                <w:highlight w:val="none"/>
                <w:lang w:val="en-US" w:eastAsia="zh-CN" w:bidi="zh-CN"/>
              </w:rPr>
            </w:pPr>
          </w:p>
        </w:tc>
        <w:tc>
          <w:tcPr>
            <w:tcW w:w="1140" w:type="dxa"/>
            <w:vMerge w:val="continue"/>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w w:val="105"/>
                <w:kern w:val="2"/>
                <w:sz w:val="21"/>
                <w:szCs w:val="21"/>
                <w:highlight w:val="none"/>
                <w:lang w:val="en-US" w:eastAsia="zh-CN" w:bidi="zh-CN"/>
              </w:rPr>
            </w:pPr>
          </w:p>
        </w:tc>
        <w:tc>
          <w:tcPr>
            <w:tcW w:w="618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2.8补栽补种：  按花草树木栽种季节，及时补栽补种 无明显黄土裸露，行道树缺株率在3%以下，如发现有植株死亡和缺少，在发现一周内，更换相同种类和高度的植物，及时浇水，保证成活，当天补栽，当天清理，新补植行道树、灌木成活率达95%以上。</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防病治虫、灭四害 根据虫害及时防治，并且暑期要求对所有植物普防一次 无明显枯枝枯叶，病虫危害率控制在15%以下。树叶上无灰尘，不霉，树干不枯死和腐烂。预防在前，除治在后，合理安排施药时间，且出示警示牌或通知物业出示警示牌。春秋两季协助开展“红火蚁”等处理工作。</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草坪修剪：  根据灌木生长情况安排 草坪生长较好，较平整，高度控制在10厘米左右，无大片杂草，无片状裸露地面。修剪平整，边缘整齐。</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草坪补缺填平  补缺工作自发现一周内完成 无明显黄土裸露，能及时补缺，最大裸露块不超过0.3 ㎡，低洼处要以土填平重栽。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室内绿植：  及时进行室内绿化常规养护。寒暑假期间集中养护。（每次扣1分）</w:t>
            </w:r>
          </w:p>
        </w:tc>
        <w:tc>
          <w:tcPr>
            <w:tcW w:w="735"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c>
          <w:tcPr>
            <w:tcW w:w="510"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8" w:hRule="atLeast"/>
        </w:trPr>
        <w:tc>
          <w:tcPr>
            <w:tcW w:w="9135" w:type="dxa"/>
            <w:gridSpan w:val="5"/>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b/>
                <w:color w:val="auto"/>
                <w:sz w:val="21"/>
                <w:szCs w:val="21"/>
                <w:highlight w:val="none"/>
              </w:rPr>
              <w:t>合计得分（起评分为100分，达标分为90（含）分， 低于90分为不达标）：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8" w:hRule="atLeast"/>
        </w:trPr>
        <w:tc>
          <w:tcPr>
            <w:tcW w:w="9135" w:type="dxa"/>
            <w:gridSpan w:val="5"/>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b/>
                <w:color w:val="auto"/>
                <w:sz w:val="21"/>
                <w:szCs w:val="21"/>
                <w:highlight w:val="none"/>
              </w:rPr>
              <w:t>考核总体建议：①考核不合格</w:t>
            </w:r>
            <w:r>
              <w:rPr>
                <w:rFonts w:hint="eastAsia" w:ascii="宋体" w:hAnsi="宋体" w:eastAsia="宋体" w:cs="宋体"/>
                <w:b/>
                <w:color w:val="auto"/>
                <w:sz w:val="21"/>
                <w:szCs w:val="21"/>
                <w:highlight w:val="none"/>
              </w:rPr>
              <w:tab/>
            </w:r>
            <w:r>
              <w:rPr>
                <w:rFonts w:hint="eastAsia" w:ascii="宋体" w:hAnsi="宋体" w:eastAsia="宋体" w:cs="宋体"/>
                <w:b/>
                <w:color w:val="auto"/>
                <w:sz w:val="21"/>
                <w:szCs w:val="21"/>
                <w:highlight w:val="none"/>
              </w:rPr>
              <w:t>②考核合格</w:t>
            </w:r>
            <w:r>
              <w:rPr>
                <w:rFonts w:hint="eastAsia" w:ascii="宋体" w:hAnsi="宋体" w:eastAsia="宋体" w:cs="宋体"/>
                <w:b/>
                <w:color w:val="auto"/>
                <w:spacing w:val="8"/>
                <w:sz w:val="21"/>
                <w:szCs w:val="21"/>
                <w:highlight w:val="none"/>
              </w:rPr>
              <w:t xml:space="preserve"> </w:t>
            </w:r>
            <w:r>
              <w:rPr>
                <w:rFonts w:hint="eastAsia" w:ascii="宋体" w:hAnsi="宋体" w:eastAsia="宋体" w:cs="宋体"/>
                <w:b/>
                <w:color w:val="auto"/>
                <w:sz w:val="21"/>
                <w:szCs w:val="21"/>
                <w:highlight w:val="none"/>
              </w:rPr>
              <w:t>③考核良好</w:t>
            </w:r>
            <w:r>
              <w:rPr>
                <w:rFonts w:hint="eastAsia" w:ascii="宋体" w:hAnsi="宋体" w:eastAsia="宋体" w:cs="宋体"/>
                <w:b/>
                <w:color w:val="auto"/>
                <w:spacing w:val="9"/>
                <w:sz w:val="21"/>
                <w:szCs w:val="21"/>
                <w:highlight w:val="none"/>
              </w:rPr>
              <w:t xml:space="preserve"> </w:t>
            </w:r>
            <w:r>
              <w:rPr>
                <w:rFonts w:hint="eastAsia" w:ascii="宋体" w:hAnsi="宋体" w:eastAsia="宋体" w:cs="宋体"/>
                <w:b/>
                <w:color w:val="auto"/>
                <w:sz w:val="21"/>
                <w:szCs w:val="21"/>
                <w:highlight w:val="none"/>
              </w:rPr>
              <w:t>④考核优秀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atLeast"/>
        </w:trPr>
        <w:tc>
          <w:tcPr>
            <w:tcW w:w="9135" w:type="dxa"/>
            <w:gridSpan w:val="5"/>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签字盖章：</w:t>
            </w:r>
            <w:r>
              <w:rPr>
                <w:rFonts w:hint="eastAsia" w:ascii="宋体" w:hAnsi="宋体" w:eastAsia="宋体" w:cs="宋体"/>
                <w:b/>
                <w:color w:val="auto"/>
                <w:sz w:val="21"/>
                <w:szCs w:val="21"/>
                <w:highlight w:val="none"/>
              </w:rPr>
              <w:tab/>
            </w:r>
            <w:r>
              <w:rPr>
                <w:rFonts w:hint="eastAsia" w:ascii="宋体" w:hAnsi="宋体" w:eastAsia="宋体" w:cs="宋体"/>
                <w:b/>
                <w:color w:val="auto"/>
                <w:sz w:val="21"/>
                <w:szCs w:val="21"/>
                <w:highlight w:val="none"/>
                <w:lang w:val="en-US" w:eastAsia="zh-CN"/>
              </w:rPr>
              <w:t xml:space="preserve">                                          </w:t>
            </w:r>
            <w:r>
              <w:rPr>
                <w:rFonts w:hint="eastAsia" w:ascii="宋体" w:hAnsi="宋体" w:eastAsia="宋体" w:cs="宋体"/>
                <w:b/>
                <w:color w:val="auto"/>
                <w:sz w:val="21"/>
                <w:szCs w:val="21"/>
                <w:highlight w:val="none"/>
              </w:rPr>
              <w:t>时间：</w:t>
            </w:r>
          </w:p>
        </w:tc>
      </w:tr>
    </w:tbl>
    <w:p>
      <w:p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br w:type="page"/>
      </w:r>
    </w:p>
    <w:p>
      <w:p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附件</w:t>
      </w:r>
      <w:r>
        <w:rPr>
          <w:rFonts w:hint="eastAsia" w:ascii="宋体" w:hAnsi="宋体" w:cs="宋体"/>
          <w:color w:val="auto"/>
          <w:sz w:val="24"/>
          <w:szCs w:val="24"/>
          <w:highlight w:val="none"/>
          <w:lang w:val="en-US" w:eastAsia="zh-CN"/>
        </w:rPr>
        <w:t>四</w:t>
      </w:r>
      <w:r>
        <w:rPr>
          <w:rFonts w:hint="eastAsia" w:ascii="宋体" w:hAnsi="宋体" w:eastAsia="宋体" w:cs="宋体"/>
          <w:color w:val="auto"/>
          <w:sz w:val="24"/>
          <w:szCs w:val="24"/>
          <w:highlight w:val="none"/>
          <w:lang w:val="en-US" w:eastAsia="zh-CN"/>
        </w:rPr>
        <w:t>：保洁服务考核表</w:t>
      </w:r>
    </w:p>
    <w:tbl>
      <w:tblPr>
        <w:tblStyle w:val="5"/>
        <w:tblW w:w="9015" w:type="dxa"/>
        <w:tblInd w:w="-2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990"/>
        <w:gridCol w:w="6000"/>
        <w:gridCol w:w="825"/>
        <w:gridCol w:w="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4" w:hRule="atLeast"/>
        </w:trPr>
        <w:tc>
          <w:tcPr>
            <w:tcW w:w="9015" w:type="dxa"/>
            <w:gridSpan w:val="5"/>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b/>
                <w:color w:val="auto"/>
                <w:kern w:val="2"/>
                <w:sz w:val="21"/>
                <w:szCs w:val="21"/>
                <w:highlight w:val="none"/>
                <w:lang w:val="en-US" w:eastAsia="zh-CN" w:bidi="zh-CN"/>
              </w:rPr>
              <w:t>保洁服务考核表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525"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序号</w:t>
            </w:r>
          </w:p>
        </w:tc>
        <w:tc>
          <w:tcPr>
            <w:tcW w:w="99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考核内容</w:t>
            </w:r>
          </w:p>
        </w:tc>
        <w:tc>
          <w:tcPr>
            <w:tcW w:w="600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考核标准</w:t>
            </w:r>
          </w:p>
        </w:tc>
        <w:tc>
          <w:tcPr>
            <w:tcW w:w="82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color w:val="auto"/>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应扣分</w:t>
            </w:r>
          </w:p>
        </w:tc>
        <w:tc>
          <w:tcPr>
            <w:tcW w:w="67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color w:val="auto"/>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4" w:hRule="atLeast"/>
        </w:trPr>
        <w:tc>
          <w:tcPr>
            <w:tcW w:w="525" w:type="dxa"/>
            <w:vMerge w:val="restar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1</w:t>
            </w:r>
          </w:p>
        </w:tc>
        <w:tc>
          <w:tcPr>
            <w:tcW w:w="990" w:type="dxa"/>
            <w:vMerge w:val="restar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大厅清洁</w:t>
            </w:r>
          </w:p>
        </w:tc>
        <w:tc>
          <w:tcPr>
            <w:tcW w:w="600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1.1地面有烟蒂、纸屑、果皮等杂物、有污迹，花岗岩地面、墙面无光泽扣0.5分。</w:t>
            </w:r>
          </w:p>
        </w:tc>
        <w:tc>
          <w:tcPr>
            <w:tcW w:w="82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w w:val="105"/>
                <w:kern w:val="2"/>
                <w:sz w:val="21"/>
                <w:szCs w:val="21"/>
                <w:highlight w:val="none"/>
                <w:lang w:val="en-US" w:eastAsia="zh-CN" w:bidi="zh-CN"/>
              </w:rPr>
            </w:pPr>
          </w:p>
        </w:tc>
        <w:tc>
          <w:tcPr>
            <w:tcW w:w="67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w w:val="105"/>
                <w:kern w:val="2"/>
                <w:sz w:val="21"/>
                <w:szCs w:val="21"/>
                <w:highlight w:val="none"/>
                <w:lang w:val="en-US" w:eastAsia="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7" w:hRule="atLeast"/>
        </w:trPr>
        <w:tc>
          <w:tcPr>
            <w:tcW w:w="525" w:type="dxa"/>
            <w:vMerge w:val="continue"/>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w w:val="105"/>
                <w:kern w:val="2"/>
                <w:sz w:val="21"/>
                <w:szCs w:val="21"/>
                <w:highlight w:val="none"/>
                <w:lang w:val="en-US" w:eastAsia="zh-CN" w:bidi="zh-CN"/>
              </w:rPr>
            </w:pPr>
          </w:p>
        </w:tc>
        <w:tc>
          <w:tcPr>
            <w:tcW w:w="990" w:type="dxa"/>
            <w:vMerge w:val="continue"/>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w w:val="105"/>
                <w:kern w:val="2"/>
                <w:sz w:val="21"/>
                <w:szCs w:val="21"/>
                <w:highlight w:val="none"/>
                <w:lang w:val="en-US" w:eastAsia="zh-CN" w:bidi="zh-CN"/>
              </w:rPr>
            </w:pPr>
          </w:p>
        </w:tc>
        <w:tc>
          <w:tcPr>
            <w:tcW w:w="600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1.2公共设施表面用纸巾擦拭有明显灰尘扣1分；</w:t>
            </w:r>
          </w:p>
        </w:tc>
        <w:tc>
          <w:tcPr>
            <w:tcW w:w="82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w w:val="105"/>
                <w:kern w:val="2"/>
                <w:sz w:val="21"/>
                <w:szCs w:val="21"/>
                <w:highlight w:val="none"/>
                <w:lang w:val="en-US" w:eastAsia="zh-CN" w:bidi="zh-CN"/>
              </w:rPr>
            </w:pPr>
          </w:p>
        </w:tc>
        <w:tc>
          <w:tcPr>
            <w:tcW w:w="67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w w:val="105"/>
                <w:kern w:val="2"/>
                <w:sz w:val="21"/>
                <w:szCs w:val="21"/>
                <w:highlight w:val="none"/>
                <w:lang w:val="en-US" w:eastAsia="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525" w:type="dxa"/>
            <w:vMerge w:val="continue"/>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w w:val="105"/>
                <w:kern w:val="2"/>
                <w:sz w:val="21"/>
                <w:szCs w:val="21"/>
                <w:highlight w:val="none"/>
                <w:lang w:val="en-US" w:eastAsia="zh-CN" w:bidi="zh-CN"/>
              </w:rPr>
            </w:pPr>
          </w:p>
        </w:tc>
        <w:tc>
          <w:tcPr>
            <w:tcW w:w="990" w:type="dxa"/>
            <w:vMerge w:val="continue"/>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w w:val="105"/>
                <w:kern w:val="2"/>
                <w:sz w:val="21"/>
                <w:szCs w:val="21"/>
                <w:highlight w:val="none"/>
                <w:lang w:val="en-US" w:eastAsia="zh-CN" w:bidi="zh-CN"/>
              </w:rPr>
            </w:pPr>
          </w:p>
        </w:tc>
        <w:tc>
          <w:tcPr>
            <w:tcW w:w="600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1.3不锈钢表面不光亮,表面有污迹；扣1分；</w:t>
            </w:r>
          </w:p>
        </w:tc>
        <w:tc>
          <w:tcPr>
            <w:tcW w:w="82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w w:val="105"/>
                <w:kern w:val="2"/>
                <w:sz w:val="21"/>
                <w:szCs w:val="21"/>
                <w:highlight w:val="none"/>
                <w:lang w:val="en-US" w:eastAsia="zh-CN" w:bidi="zh-CN"/>
              </w:rPr>
            </w:pPr>
          </w:p>
        </w:tc>
        <w:tc>
          <w:tcPr>
            <w:tcW w:w="67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w w:val="105"/>
                <w:kern w:val="2"/>
                <w:sz w:val="21"/>
                <w:szCs w:val="21"/>
                <w:highlight w:val="none"/>
                <w:lang w:val="en-US" w:eastAsia="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trPr>
        <w:tc>
          <w:tcPr>
            <w:tcW w:w="525" w:type="dxa"/>
            <w:vMerge w:val="continue"/>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w w:val="105"/>
                <w:kern w:val="2"/>
                <w:sz w:val="21"/>
                <w:szCs w:val="21"/>
                <w:highlight w:val="none"/>
                <w:lang w:val="en-US" w:eastAsia="zh-CN" w:bidi="zh-CN"/>
              </w:rPr>
            </w:pPr>
          </w:p>
        </w:tc>
        <w:tc>
          <w:tcPr>
            <w:tcW w:w="990" w:type="dxa"/>
            <w:vMerge w:val="continue"/>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w w:val="105"/>
                <w:kern w:val="2"/>
                <w:sz w:val="21"/>
                <w:szCs w:val="21"/>
                <w:highlight w:val="none"/>
                <w:lang w:val="en-US" w:eastAsia="zh-CN" w:bidi="zh-CN"/>
              </w:rPr>
            </w:pPr>
          </w:p>
        </w:tc>
        <w:tc>
          <w:tcPr>
            <w:tcW w:w="600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1.4玻璃门有水迹、手印、灰尘；扣0.5分；</w:t>
            </w:r>
          </w:p>
        </w:tc>
        <w:tc>
          <w:tcPr>
            <w:tcW w:w="82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w w:val="105"/>
                <w:kern w:val="2"/>
                <w:sz w:val="21"/>
                <w:szCs w:val="21"/>
                <w:highlight w:val="none"/>
                <w:lang w:val="en-US" w:eastAsia="zh-CN" w:bidi="zh-CN"/>
              </w:rPr>
            </w:pPr>
          </w:p>
        </w:tc>
        <w:tc>
          <w:tcPr>
            <w:tcW w:w="67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w w:val="105"/>
                <w:kern w:val="2"/>
                <w:sz w:val="21"/>
                <w:szCs w:val="21"/>
                <w:highlight w:val="none"/>
                <w:lang w:val="en-US" w:eastAsia="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1" w:hRule="atLeast"/>
        </w:trPr>
        <w:tc>
          <w:tcPr>
            <w:tcW w:w="525" w:type="dxa"/>
            <w:vMerge w:val="continue"/>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w w:val="105"/>
                <w:kern w:val="2"/>
                <w:sz w:val="21"/>
                <w:szCs w:val="21"/>
                <w:highlight w:val="none"/>
                <w:lang w:val="en-US" w:eastAsia="zh-CN" w:bidi="zh-CN"/>
              </w:rPr>
            </w:pPr>
          </w:p>
        </w:tc>
        <w:tc>
          <w:tcPr>
            <w:tcW w:w="990" w:type="dxa"/>
            <w:vMerge w:val="continue"/>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w w:val="105"/>
                <w:kern w:val="2"/>
                <w:sz w:val="21"/>
                <w:szCs w:val="21"/>
                <w:highlight w:val="none"/>
                <w:lang w:val="en-US" w:eastAsia="zh-CN" w:bidi="zh-CN"/>
              </w:rPr>
            </w:pPr>
          </w:p>
        </w:tc>
        <w:tc>
          <w:tcPr>
            <w:tcW w:w="600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1.5顶面、风口目视有污迹、灰尘；扣0.5分。</w:t>
            </w:r>
          </w:p>
        </w:tc>
        <w:tc>
          <w:tcPr>
            <w:tcW w:w="82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w w:val="105"/>
                <w:kern w:val="2"/>
                <w:sz w:val="21"/>
                <w:szCs w:val="21"/>
                <w:highlight w:val="none"/>
                <w:lang w:val="en-US" w:eastAsia="zh-CN" w:bidi="zh-CN"/>
              </w:rPr>
            </w:pPr>
          </w:p>
        </w:tc>
        <w:tc>
          <w:tcPr>
            <w:tcW w:w="67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w w:val="105"/>
                <w:kern w:val="2"/>
                <w:sz w:val="21"/>
                <w:szCs w:val="21"/>
                <w:highlight w:val="none"/>
                <w:lang w:val="en-US" w:eastAsia="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3" w:hRule="atLeast"/>
        </w:trPr>
        <w:tc>
          <w:tcPr>
            <w:tcW w:w="525"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2</w:t>
            </w:r>
          </w:p>
        </w:tc>
        <w:tc>
          <w:tcPr>
            <w:tcW w:w="99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楼层通道地面清洁</w:t>
            </w:r>
          </w:p>
        </w:tc>
        <w:tc>
          <w:tcPr>
            <w:tcW w:w="600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2.1、地面目视不干净，有污迹，无光泽的扣1分。</w:t>
            </w:r>
          </w:p>
        </w:tc>
        <w:tc>
          <w:tcPr>
            <w:tcW w:w="825"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c>
          <w:tcPr>
            <w:tcW w:w="675"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 w:hRule="atLeast"/>
        </w:trPr>
        <w:tc>
          <w:tcPr>
            <w:tcW w:w="525" w:type="dxa"/>
            <w:vMerge w:val="restar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3</w:t>
            </w:r>
          </w:p>
        </w:tc>
        <w:tc>
          <w:tcPr>
            <w:tcW w:w="990" w:type="dxa"/>
            <w:vMerge w:val="restar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公共卫生间清洗</w:t>
            </w:r>
          </w:p>
        </w:tc>
        <w:tc>
          <w:tcPr>
            <w:tcW w:w="600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3.1花、墙角、灯具目视有灰尘、蜘蛛网扣1分。</w:t>
            </w:r>
          </w:p>
        </w:tc>
        <w:tc>
          <w:tcPr>
            <w:tcW w:w="825"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c>
          <w:tcPr>
            <w:tcW w:w="675"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 w:hRule="atLeast"/>
        </w:trPr>
        <w:tc>
          <w:tcPr>
            <w:tcW w:w="525" w:type="dxa"/>
            <w:vMerge w:val="continue"/>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宋体" w:hAnsi="宋体" w:eastAsia="宋体" w:cs="宋体"/>
                <w:color w:val="auto"/>
                <w:w w:val="105"/>
                <w:kern w:val="2"/>
                <w:sz w:val="21"/>
                <w:szCs w:val="21"/>
                <w:highlight w:val="none"/>
                <w:lang w:val="en-US" w:eastAsia="zh-CN" w:bidi="zh-CN"/>
              </w:rPr>
            </w:pPr>
          </w:p>
        </w:tc>
        <w:tc>
          <w:tcPr>
            <w:tcW w:w="990" w:type="dxa"/>
            <w:vMerge w:val="continue"/>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宋体" w:hAnsi="宋体" w:eastAsia="宋体" w:cs="宋体"/>
                <w:color w:val="auto"/>
                <w:w w:val="105"/>
                <w:kern w:val="2"/>
                <w:sz w:val="21"/>
                <w:szCs w:val="21"/>
                <w:highlight w:val="none"/>
                <w:lang w:val="en-US" w:eastAsia="zh-CN" w:bidi="zh-CN"/>
              </w:rPr>
            </w:pPr>
          </w:p>
        </w:tc>
        <w:tc>
          <w:tcPr>
            <w:tcW w:w="600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3.2目视便器不洁净有黄迹；厕位有异味、臭味扣1分。</w:t>
            </w:r>
          </w:p>
        </w:tc>
        <w:tc>
          <w:tcPr>
            <w:tcW w:w="825"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c>
          <w:tcPr>
            <w:tcW w:w="675"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525" w:type="dxa"/>
            <w:vMerge w:val="continue"/>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宋体" w:hAnsi="宋体" w:eastAsia="宋体" w:cs="宋体"/>
                <w:color w:val="auto"/>
                <w:w w:val="105"/>
                <w:kern w:val="2"/>
                <w:sz w:val="21"/>
                <w:szCs w:val="21"/>
                <w:highlight w:val="none"/>
                <w:lang w:val="en-US" w:eastAsia="zh-CN" w:bidi="zh-CN"/>
              </w:rPr>
            </w:pPr>
          </w:p>
        </w:tc>
        <w:tc>
          <w:tcPr>
            <w:tcW w:w="990" w:type="dxa"/>
            <w:vMerge w:val="continue"/>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宋体" w:hAnsi="宋体" w:eastAsia="宋体" w:cs="宋体"/>
                <w:color w:val="auto"/>
                <w:w w:val="105"/>
                <w:kern w:val="2"/>
                <w:sz w:val="21"/>
                <w:szCs w:val="21"/>
                <w:highlight w:val="none"/>
                <w:lang w:val="en-US" w:eastAsia="zh-CN" w:bidi="zh-CN"/>
              </w:rPr>
            </w:pPr>
          </w:p>
        </w:tc>
        <w:tc>
          <w:tcPr>
            <w:tcW w:w="600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3.3地面有烟蒂，纸屑、果皮等杂物扣1分。</w:t>
            </w:r>
          </w:p>
        </w:tc>
        <w:tc>
          <w:tcPr>
            <w:tcW w:w="825"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c>
          <w:tcPr>
            <w:tcW w:w="675"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525"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4</w:t>
            </w:r>
          </w:p>
        </w:tc>
        <w:tc>
          <w:tcPr>
            <w:tcW w:w="99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灯具清洁</w:t>
            </w:r>
          </w:p>
        </w:tc>
        <w:tc>
          <w:tcPr>
            <w:tcW w:w="600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4.1灯具、灯管有灰尘，灯具内有蚊虫，灯盖、灯罩不明亮扣1分。</w:t>
            </w:r>
          </w:p>
        </w:tc>
        <w:tc>
          <w:tcPr>
            <w:tcW w:w="825"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c>
          <w:tcPr>
            <w:tcW w:w="675"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trPr>
        <w:tc>
          <w:tcPr>
            <w:tcW w:w="525" w:type="dxa"/>
            <w:vMerge w:val="restar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5</w:t>
            </w:r>
          </w:p>
        </w:tc>
        <w:tc>
          <w:tcPr>
            <w:tcW w:w="990" w:type="dxa"/>
            <w:vMerge w:val="restar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室外地面清洁</w:t>
            </w:r>
          </w:p>
        </w:tc>
        <w:tc>
          <w:tcPr>
            <w:tcW w:w="600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5.1地面有杂物、积水、明显污迹、泥沙扣1分。</w:t>
            </w:r>
          </w:p>
        </w:tc>
        <w:tc>
          <w:tcPr>
            <w:tcW w:w="825"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c>
          <w:tcPr>
            <w:tcW w:w="675"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3" w:hRule="atLeast"/>
        </w:trPr>
        <w:tc>
          <w:tcPr>
            <w:tcW w:w="525" w:type="dxa"/>
            <w:vMerge w:val="continue"/>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w w:val="105"/>
                <w:kern w:val="2"/>
                <w:sz w:val="21"/>
                <w:szCs w:val="21"/>
                <w:highlight w:val="none"/>
                <w:lang w:val="en-US" w:eastAsia="zh-CN" w:bidi="zh-CN"/>
              </w:rPr>
            </w:pPr>
          </w:p>
        </w:tc>
        <w:tc>
          <w:tcPr>
            <w:tcW w:w="990" w:type="dxa"/>
            <w:vMerge w:val="continue"/>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w w:val="105"/>
                <w:kern w:val="2"/>
                <w:sz w:val="21"/>
                <w:szCs w:val="21"/>
                <w:highlight w:val="none"/>
                <w:lang w:val="en-US" w:eastAsia="zh-CN" w:bidi="zh-CN"/>
              </w:rPr>
            </w:pPr>
          </w:p>
        </w:tc>
        <w:tc>
          <w:tcPr>
            <w:tcW w:w="600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5.2垃圾桶外表有明显污迹、垃圾粘附物扣1分。</w:t>
            </w:r>
          </w:p>
        </w:tc>
        <w:tc>
          <w:tcPr>
            <w:tcW w:w="825"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c>
          <w:tcPr>
            <w:tcW w:w="675"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7" w:hRule="atLeast"/>
        </w:trPr>
        <w:tc>
          <w:tcPr>
            <w:tcW w:w="525" w:type="dxa"/>
            <w:vMerge w:val="continue"/>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w w:val="105"/>
                <w:kern w:val="2"/>
                <w:sz w:val="21"/>
                <w:szCs w:val="21"/>
                <w:highlight w:val="none"/>
                <w:lang w:val="en-US" w:eastAsia="zh-CN" w:bidi="zh-CN"/>
              </w:rPr>
            </w:pPr>
          </w:p>
        </w:tc>
        <w:tc>
          <w:tcPr>
            <w:tcW w:w="990" w:type="dxa"/>
            <w:vMerge w:val="continue"/>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w w:val="105"/>
                <w:kern w:val="2"/>
                <w:sz w:val="21"/>
                <w:szCs w:val="21"/>
                <w:highlight w:val="none"/>
                <w:lang w:val="en-US" w:eastAsia="zh-CN" w:bidi="zh-CN"/>
              </w:rPr>
            </w:pPr>
          </w:p>
        </w:tc>
        <w:tc>
          <w:tcPr>
            <w:tcW w:w="600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5.3沙井、明沟内有积水、杂物扣1分。</w:t>
            </w:r>
          </w:p>
        </w:tc>
        <w:tc>
          <w:tcPr>
            <w:tcW w:w="825"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c>
          <w:tcPr>
            <w:tcW w:w="675"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6" w:hRule="atLeast"/>
        </w:trPr>
        <w:tc>
          <w:tcPr>
            <w:tcW w:w="525" w:type="dxa"/>
            <w:vMerge w:val="continue"/>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w w:val="105"/>
                <w:kern w:val="2"/>
                <w:sz w:val="21"/>
                <w:szCs w:val="21"/>
                <w:highlight w:val="none"/>
                <w:lang w:val="en-US" w:eastAsia="zh-CN" w:bidi="zh-CN"/>
              </w:rPr>
            </w:pPr>
          </w:p>
        </w:tc>
        <w:tc>
          <w:tcPr>
            <w:tcW w:w="990" w:type="dxa"/>
            <w:vMerge w:val="continue"/>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w w:val="105"/>
                <w:kern w:val="2"/>
                <w:sz w:val="21"/>
                <w:szCs w:val="21"/>
                <w:highlight w:val="none"/>
                <w:lang w:val="en-US" w:eastAsia="zh-CN" w:bidi="zh-CN"/>
              </w:rPr>
            </w:pPr>
          </w:p>
        </w:tc>
        <w:tc>
          <w:tcPr>
            <w:tcW w:w="600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5.4污水溢出地面扣1分。</w:t>
            </w:r>
          </w:p>
        </w:tc>
        <w:tc>
          <w:tcPr>
            <w:tcW w:w="825"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c>
          <w:tcPr>
            <w:tcW w:w="675"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trPr>
        <w:tc>
          <w:tcPr>
            <w:tcW w:w="525" w:type="dxa"/>
            <w:vMerge w:val="continue"/>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w w:val="105"/>
                <w:kern w:val="2"/>
                <w:sz w:val="21"/>
                <w:szCs w:val="21"/>
                <w:highlight w:val="none"/>
                <w:lang w:val="en-US" w:eastAsia="zh-CN" w:bidi="zh-CN"/>
              </w:rPr>
            </w:pPr>
          </w:p>
        </w:tc>
        <w:tc>
          <w:tcPr>
            <w:tcW w:w="990" w:type="dxa"/>
            <w:vMerge w:val="continue"/>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w w:val="105"/>
                <w:kern w:val="2"/>
                <w:sz w:val="21"/>
                <w:szCs w:val="21"/>
                <w:highlight w:val="none"/>
                <w:lang w:val="en-US" w:eastAsia="zh-CN" w:bidi="zh-CN"/>
              </w:rPr>
            </w:pPr>
          </w:p>
        </w:tc>
        <w:tc>
          <w:tcPr>
            <w:tcW w:w="600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5.5地下雨、污水管井井底有沉淀物、水流不畅通，井盖上有污物扣1分</w:t>
            </w:r>
          </w:p>
        </w:tc>
        <w:tc>
          <w:tcPr>
            <w:tcW w:w="825"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c>
          <w:tcPr>
            <w:tcW w:w="675"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8" w:hRule="atLeast"/>
        </w:trPr>
        <w:tc>
          <w:tcPr>
            <w:tcW w:w="9015" w:type="dxa"/>
            <w:gridSpan w:val="5"/>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b/>
                <w:color w:val="auto"/>
                <w:sz w:val="21"/>
                <w:szCs w:val="21"/>
                <w:highlight w:val="none"/>
              </w:rPr>
              <w:t>合计得分（起评分为100分，达标分为90（含）分， 低于90分为不达标）：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3" w:hRule="atLeast"/>
        </w:trPr>
        <w:tc>
          <w:tcPr>
            <w:tcW w:w="9015" w:type="dxa"/>
            <w:gridSpan w:val="5"/>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b/>
                <w:color w:val="auto"/>
                <w:sz w:val="21"/>
                <w:szCs w:val="21"/>
                <w:highlight w:val="none"/>
              </w:rPr>
              <w:t>考核总体建议：①考核不合格</w:t>
            </w:r>
            <w:r>
              <w:rPr>
                <w:rFonts w:hint="eastAsia" w:ascii="宋体" w:hAnsi="宋体" w:eastAsia="宋体" w:cs="宋体"/>
                <w:b/>
                <w:color w:val="auto"/>
                <w:sz w:val="21"/>
                <w:szCs w:val="21"/>
                <w:highlight w:val="none"/>
              </w:rPr>
              <w:tab/>
            </w:r>
            <w:r>
              <w:rPr>
                <w:rFonts w:hint="eastAsia" w:ascii="宋体" w:hAnsi="宋体" w:eastAsia="宋体" w:cs="宋体"/>
                <w:b/>
                <w:color w:val="auto"/>
                <w:sz w:val="21"/>
                <w:szCs w:val="21"/>
                <w:highlight w:val="none"/>
              </w:rPr>
              <w:t>②考核合格</w:t>
            </w:r>
            <w:r>
              <w:rPr>
                <w:rFonts w:hint="eastAsia" w:ascii="宋体" w:hAnsi="宋体" w:eastAsia="宋体" w:cs="宋体"/>
                <w:b/>
                <w:color w:val="auto"/>
                <w:spacing w:val="8"/>
                <w:sz w:val="21"/>
                <w:szCs w:val="21"/>
                <w:highlight w:val="none"/>
              </w:rPr>
              <w:t xml:space="preserve"> </w:t>
            </w:r>
            <w:r>
              <w:rPr>
                <w:rFonts w:hint="eastAsia" w:ascii="宋体" w:hAnsi="宋体" w:eastAsia="宋体" w:cs="宋体"/>
                <w:b/>
                <w:color w:val="auto"/>
                <w:sz w:val="21"/>
                <w:szCs w:val="21"/>
                <w:highlight w:val="none"/>
              </w:rPr>
              <w:t>③考核良好</w:t>
            </w:r>
            <w:r>
              <w:rPr>
                <w:rFonts w:hint="eastAsia" w:ascii="宋体" w:hAnsi="宋体" w:eastAsia="宋体" w:cs="宋体"/>
                <w:b/>
                <w:color w:val="auto"/>
                <w:spacing w:val="9"/>
                <w:sz w:val="21"/>
                <w:szCs w:val="21"/>
                <w:highlight w:val="none"/>
              </w:rPr>
              <w:t xml:space="preserve"> </w:t>
            </w:r>
            <w:r>
              <w:rPr>
                <w:rFonts w:hint="eastAsia" w:ascii="宋体" w:hAnsi="宋体" w:eastAsia="宋体" w:cs="宋体"/>
                <w:b/>
                <w:color w:val="auto"/>
                <w:sz w:val="21"/>
                <w:szCs w:val="21"/>
                <w:highlight w:val="none"/>
              </w:rPr>
              <w:t>④考核优秀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5" w:hRule="atLeast"/>
        </w:trPr>
        <w:tc>
          <w:tcPr>
            <w:tcW w:w="9015" w:type="dxa"/>
            <w:gridSpan w:val="5"/>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签字盖章：</w:t>
            </w:r>
            <w:r>
              <w:rPr>
                <w:rFonts w:hint="eastAsia" w:ascii="宋体" w:hAnsi="宋体" w:eastAsia="宋体" w:cs="宋体"/>
                <w:b/>
                <w:color w:val="auto"/>
                <w:sz w:val="21"/>
                <w:szCs w:val="21"/>
                <w:highlight w:val="none"/>
              </w:rPr>
              <w:tab/>
            </w:r>
            <w:r>
              <w:rPr>
                <w:rFonts w:hint="eastAsia" w:ascii="宋体" w:hAnsi="宋体" w:eastAsia="宋体" w:cs="宋体"/>
                <w:b/>
                <w:color w:val="auto"/>
                <w:sz w:val="21"/>
                <w:szCs w:val="21"/>
                <w:highlight w:val="none"/>
                <w:lang w:val="en-US" w:eastAsia="zh-CN"/>
              </w:rPr>
              <w:t xml:space="preserve">                                          </w:t>
            </w:r>
            <w:r>
              <w:rPr>
                <w:rFonts w:hint="eastAsia" w:ascii="宋体" w:hAnsi="宋体" w:eastAsia="宋体" w:cs="宋体"/>
                <w:b/>
                <w:color w:val="auto"/>
                <w:sz w:val="21"/>
                <w:szCs w:val="21"/>
                <w:highlight w:val="none"/>
              </w:rPr>
              <w:t>时间：</w:t>
            </w:r>
          </w:p>
        </w:tc>
      </w:tr>
    </w:tbl>
    <w:p>
      <w:p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br w:type="page"/>
      </w:r>
      <w:r>
        <w:rPr>
          <w:rFonts w:hint="eastAsia" w:ascii="宋体" w:hAnsi="宋体" w:eastAsia="宋体" w:cs="宋体"/>
          <w:color w:val="auto"/>
          <w:sz w:val="24"/>
          <w:szCs w:val="24"/>
          <w:highlight w:val="none"/>
          <w:lang w:val="en-US" w:eastAsia="zh-CN"/>
        </w:rPr>
        <w:t>附件</w:t>
      </w:r>
      <w:r>
        <w:rPr>
          <w:rFonts w:hint="eastAsia" w:ascii="宋体" w:hAnsi="宋体" w:cs="宋体"/>
          <w:color w:val="auto"/>
          <w:sz w:val="24"/>
          <w:szCs w:val="24"/>
          <w:highlight w:val="none"/>
          <w:lang w:val="en-US" w:eastAsia="zh-CN"/>
        </w:rPr>
        <w:t>五</w:t>
      </w:r>
      <w:r>
        <w:rPr>
          <w:rFonts w:hint="eastAsia" w:ascii="宋体" w:hAnsi="宋体" w:eastAsia="宋体" w:cs="宋体"/>
          <w:color w:val="auto"/>
          <w:sz w:val="24"/>
          <w:szCs w:val="24"/>
          <w:highlight w:val="none"/>
          <w:lang w:val="en-US" w:eastAsia="zh-CN"/>
        </w:rPr>
        <w:t>：维修维护管理考核表</w:t>
      </w:r>
    </w:p>
    <w:tbl>
      <w:tblPr>
        <w:tblStyle w:val="5"/>
        <w:tblW w:w="9195" w:type="dxa"/>
        <w:tblInd w:w="-1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900"/>
        <w:gridCol w:w="6135"/>
        <w:gridCol w:w="855"/>
        <w:gridCol w:w="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4" w:hRule="atLeast"/>
        </w:trPr>
        <w:tc>
          <w:tcPr>
            <w:tcW w:w="9195" w:type="dxa"/>
            <w:gridSpan w:val="5"/>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b/>
                <w:color w:val="auto"/>
                <w:kern w:val="2"/>
                <w:sz w:val="21"/>
                <w:szCs w:val="21"/>
                <w:highlight w:val="none"/>
                <w:lang w:val="en-US" w:eastAsia="zh-CN" w:bidi="zh-CN"/>
              </w:rPr>
              <w:t>维修维护管理考核表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7" w:hRule="atLeast"/>
        </w:trPr>
        <w:tc>
          <w:tcPr>
            <w:tcW w:w="675"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序号</w:t>
            </w:r>
          </w:p>
        </w:tc>
        <w:tc>
          <w:tcPr>
            <w:tcW w:w="90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考核内容</w:t>
            </w:r>
          </w:p>
        </w:tc>
        <w:tc>
          <w:tcPr>
            <w:tcW w:w="6135"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考核标准</w:t>
            </w:r>
          </w:p>
        </w:tc>
        <w:tc>
          <w:tcPr>
            <w:tcW w:w="85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color w:val="auto"/>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应扣分</w:t>
            </w:r>
          </w:p>
        </w:tc>
        <w:tc>
          <w:tcPr>
            <w:tcW w:w="63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color w:val="auto"/>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trPr>
        <w:tc>
          <w:tcPr>
            <w:tcW w:w="675"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1</w:t>
            </w:r>
          </w:p>
        </w:tc>
        <w:tc>
          <w:tcPr>
            <w:tcW w:w="900"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出勤情况</w:t>
            </w:r>
          </w:p>
        </w:tc>
        <w:tc>
          <w:tcPr>
            <w:tcW w:w="6135"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1未按规定时间上班迟到早退、脱岗、离岗，每次扣5分。</w:t>
            </w:r>
          </w:p>
        </w:tc>
        <w:tc>
          <w:tcPr>
            <w:tcW w:w="855"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w w:val="105"/>
                <w:kern w:val="2"/>
                <w:sz w:val="21"/>
                <w:szCs w:val="21"/>
                <w:highlight w:val="none"/>
                <w:lang w:val="en-US" w:eastAsia="zh-CN" w:bidi="zh-CN"/>
              </w:rPr>
            </w:pPr>
          </w:p>
        </w:tc>
        <w:tc>
          <w:tcPr>
            <w:tcW w:w="63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w w:val="105"/>
                <w:kern w:val="2"/>
                <w:sz w:val="21"/>
                <w:szCs w:val="21"/>
                <w:highlight w:val="none"/>
                <w:lang w:val="en-US" w:eastAsia="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03" w:hRule="atLeast"/>
        </w:trPr>
        <w:tc>
          <w:tcPr>
            <w:tcW w:w="675" w:type="dxa"/>
            <w:vMerge w:val="restar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2</w:t>
            </w:r>
          </w:p>
        </w:tc>
        <w:tc>
          <w:tcPr>
            <w:tcW w:w="900" w:type="dxa"/>
            <w:vMerge w:val="restar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工作表现</w:t>
            </w:r>
          </w:p>
        </w:tc>
        <w:tc>
          <w:tcPr>
            <w:tcW w:w="6135"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2.1房屋建筑公用部位</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①门、窗、桌椅、黑板、电扇等配件完好、开闭灵活并无异常声响，保证教育教学的需要。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②房屋外观完好、整洁、外墙面砖、涂料、顶面粉刷层无大面积脱落，面砖、地砖平整，无大面积起壳、缺损。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③路灯、楼道灯、各房间内的照明灯，亮灯率不低于95﹪，公共照明设备完好。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④围墙：每天巡查不少于一次，围墙完好，铁栅栏围墙表面无锈蚀。</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⑤场地、步道、路面、侧石、井盖等：道路畅通，路面平整；井盖无缺损、无丢失，路面井盖不影响车辆和行人通行。</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⑥雕塑、景观小品、护栏：保持原有面貌，保证其安全使用。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⑦安全标志等：清晰完整，设施运行正常。</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⑧公共雨、污水管道、房顶：保证畅通无堵，疏通不少于一次，屋顶檐沟每月检查。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⑨化粪池：保持通畅、无堵塞、无满溢，每学年至少清掏一次。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⑩伸缩门、道闸：启动灵活，完好无损，正常使用，每月保养一次。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标识：每周清洁维护，确保无破损无缺失。（每次扣1分）</w:t>
            </w:r>
          </w:p>
        </w:tc>
        <w:tc>
          <w:tcPr>
            <w:tcW w:w="855"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c>
          <w:tcPr>
            <w:tcW w:w="630"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85" w:hRule="atLeast"/>
        </w:trPr>
        <w:tc>
          <w:tcPr>
            <w:tcW w:w="675" w:type="dxa"/>
            <w:vMerge w:val="continue"/>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宋体" w:hAnsi="宋体" w:eastAsia="宋体" w:cs="宋体"/>
                <w:color w:val="auto"/>
                <w:w w:val="105"/>
                <w:kern w:val="2"/>
                <w:sz w:val="21"/>
                <w:szCs w:val="21"/>
                <w:highlight w:val="none"/>
                <w:lang w:val="en-US" w:eastAsia="zh-CN" w:bidi="zh-CN"/>
              </w:rPr>
            </w:pPr>
          </w:p>
        </w:tc>
        <w:tc>
          <w:tcPr>
            <w:tcW w:w="900" w:type="dxa"/>
            <w:vMerge w:val="continue"/>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宋体" w:hAnsi="宋体" w:eastAsia="宋体" w:cs="宋体"/>
                <w:color w:val="auto"/>
                <w:w w:val="105"/>
                <w:kern w:val="2"/>
                <w:sz w:val="21"/>
                <w:szCs w:val="21"/>
                <w:highlight w:val="none"/>
                <w:lang w:val="en-US" w:eastAsia="zh-CN" w:bidi="zh-CN"/>
              </w:rPr>
            </w:pPr>
          </w:p>
        </w:tc>
        <w:tc>
          <w:tcPr>
            <w:tcW w:w="6135"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2.2供电系统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供电运行和维修人员</w:t>
            </w:r>
            <w:r>
              <w:rPr>
                <w:rFonts w:hint="eastAsia" w:ascii="宋体" w:hAnsi="宋体" w:cs="宋体"/>
                <w:color w:val="auto"/>
                <w:w w:val="105"/>
                <w:kern w:val="2"/>
                <w:sz w:val="21"/>
                <w:szCs w:val="21"/>
                <w:highlight w:val="none"/>
                <w:lang w:val="en-US" w:eastAsia="zh-CN" w:bidi="zh-CN"/>
              </w:rPr>
              <w:t>应当</w:t>
            </w:r>
            <w:r>
              <w:rPr>
                <w:rFonts w:hint="eastAsia" w:ascii="宋体" w:hAnsi="宋体" w:eastAsia="宋体" w:cs="宋体"/>
                <w:color w:val="auto"/>
                <w:w w:val="105"/>
                <w:kern w:val="2"/>
                <w:sz w:val="21"/>
                <w:szCs w:val="21"/>
                <w:highlight w:val="none"/>
                <w:lang w:val="en-US" w:eastAsia="zh-CN" w:bidi="zh-CN"/>
              </w:rPr>
              <w:t>持证上岗；严格执行用电安全规范，确保用电安全；高配设备根据市电力局相关操作规程执行。</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①各分电表箱、配电箱、配电柜及每层管线分线盒：无积尘，接头无松动现象；每季清洁一次，主要用电线路的绝缘状况，每月至少测试一次，绝缘良好。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②总配电箱：每月至少保养一次，日常无积尘，接头无松动现象。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③公共使用的照明、指示灯具线路、开关要保证完好。对公共户外照明和办公、教室照明每天巡检一次，并有巡检记录。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④设备出现故障时，维修人员应在接到报修后5分钟内到达现场，设备维修合格率达到100%，一般性维修不过夜。（维修人员应保持通讯畅通）。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⑤避雷设备完好、有效、安全。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⑥及时发现用电异常现象，每周做好总表、分表（住校生、食堂）用电记录，发现异常及时报告，并作出处理。限电、停电需提前48小时在办公平台公告，做好实施方案，但因突发事件造成的临时停电除外。（每次扣1分）。</w:t>
            </w:r>
          </w:p>
        </w:tc>
        <w:tc>
          <w:tcPr>
            <w:tcW w:w="855"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c>
          <w:tcPr>
            <w:tcW w:w="630"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5" w:hRule="atLeast"/>
        </w:trPr>
        <w:tc>
          <w:tcPr>
            <w:tcW w:w="675" w:type="dxa"/>
            <w:vMerge w:val="continue"/>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宋体" w:hAnsi="宋体" w:eastAsia="宋体" w:cs="宋体"/>
                <w:color w:val="auto"/>
                <w:w w:val="105"/>
                <w:kern w:val="2"/>
                <w:sz w:val="21"/>
                <w:szCs w:val="21"/>
                <w:highlight w:val="none"/>
                <w:lang w:val="en-US" w:eastAsia="zh-CN" w:bidi="zh-CN"/>
              </w:rPr>
            </w:pPr>
          </w:p>
        </w:tc>
        <w:tc>
          <w:tcPr>
            <w:tcW w:w="900" w:type="dxa"/>
            <w:vMerge w:val="continue"/>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宋体" w:hAnsi="宋体" w:eastAsia="宋体" w:cs="宋体"/>
                <w:color w:val="auto"/>
                <w:w w:val="105"/>
                <w:kern w:val="2"/>
                <w:sz w:val="21"/>
                <w:szCs w:val="21"/>
                <w:highlight w:val="none"/>
                <w:lang w:val="en-US" w:eastAsia="zh-CN" w:bidi="zh-CN"/>
              </w:rPr>
            </w:pPr>
          </w:p>
        </w:tc>
        <w:tc>
          <w:tcPr>
            <w:tcW w:w="6135"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2.3供水系统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①供水设备：设施设备完好、无渗漏、无污染；</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②水泵：每季对润滑点加油，保证二次供水正常</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③泵房出现故障时，维修人员应在接到报修后5分钟内到达现场，维修合格率100%，一般性故障排除不过夜。</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④及时发现用水异常现象，每周做好总表、分表用水记录，发现异常及时报告，并作出处理。停水、限水需提前在办公平台公告。</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协助做好水平衡测试工作。（每次扣1分）。</w:t>
            </w:r>
          </w:p>
        </w:tc>
        <w:tc>
          <w:tcPr>
            <w:tcW w:w="855"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c>
          <w:tcPr>
            <w:tcW w:w="630"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06" w:hRule="atLeast"/>
        </w:trPr>
        <w:tc>
          <w:tcPr>
            <w:tcW w:w="675" w:type="dxa"/>
            <w:vMerge w:val="continue"/>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宋体" w:hAnsi="宋体" w:eastAsia="宋体" w:cs="宋体"/>
                <w:color w:val="auto"/>
                <w:w w:val="105"/>
                <w:kern w:val="2"/>
                <w:sz w:val="21"/>
                <w:szCs w:val="21"/>
                <w:highlight w:val="none"/>
                <w:lang w:val="en-US" w:eastAsia="zh-CN" w:bidi="zh-CN"/>
              </w:rPr>
            </w:pPr>
          </w:p>
        </w:tc>
        <w:tc>
          <w:tcPr>
            <w:tcW w:w="900" w:type="dxa"/>
            <w:vMerge w:val="continue"/>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宋体" w:hAnsi="宋体" w:eastAsia="宋体" w:cs="宋体"/>
                <w:color w:val="auto"/>
                <w:w w:val="105"/>
                <w:kern w:val="2"/>
                <w:sz w:val="21"/>
                <w:szCs w:val="21"/>
                <w:highlight w:val="none"/>
                <w:lang w:val="en-US" w:eastAsia="zh-CN" w:bidi="zh-CN"/>
              </w:rPr>
            </w:pPr>
          </w:p>
        </w:tc>
        <w:tc>
          <w:tcPr>
            <w:tcW w:w="6135"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2.4排水系统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①污水泵、提升泵、排水泵：能正常运行，无渗漏水现象；每季润滑加油一次、一级保养一次。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②污水处理系统：每学年至少两次全面维护保养；污水处理系统正常运行，周边基本无异味和明显噪声，过滤隔栅无堵塞，污水排放符合环保要求。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③控制柜：每月检查一次，控制柜电器性能完好，运作正常。</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④窨井、窨沟、排水沟、集水井：管道通畅，无堵塞外溢现象。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排污泵、排气扇：每月试运行，运转灵活。（每次扣1分）。</w:t>
            </w:r>
          </w:p>
        </w:tc>
        <w:tc>
          <w:tcPr>
            <w:tcW w:w="855"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c>
          <w:tcPr>
            <w:tcW w:w="630"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0" w:hRule="atLeast"/>
        </w:trPr>
        <w:tc>
          <w:tcPr>
            <w:tcW w:w="675" w:type="dxa"/>
            <w:vMerge w:val="continue"/>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w w:val="105"/>
                <w:kern w:val="2"/>
                <w:sz w:val="21"/>
                <w:szCs w:val="21"/>
                <w:highlight w:val="none"/>
                <w:lang w:val="en-US" w:eastAsia="zh-CN" w:bidi="zh-CN"/>
              </w:rPr>
            </w:pPr>
          </w:p>
        </w:tc>
        <w:tc>
          <w:tcPr>
            <w:tcW w:w="900" w:type="dxa"/>
            <w:vMerge w:val="continue"/>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w w:val="105"/>
                <w:kern w:val="2"/>
                <w:sz w:val="21"/>
                <w:szCs w:val="21"/>
                <w:highlight w:val="none"/>
                <w:lang w:val="en-US" w:eastAsia="zh-CN" w:bidi="zh-CN"/>
              </w:rPr>
            </w:pPr>
          </w:p>
        </w:tc>
        <w:tc>
          <w:tcPr>
            <w:tcW w:w="6135"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000000" w:themeColor="text1"/>
                <w:w w:val="105"/>
                <w:kern w:val="2"/>
                <w:sz w:val="21"/>
                <w:szCs w:val="21"/>
                <w:highlight w:val="none"/>
                <w:lang w:val="en-US" w:eastAsia="zh-CN" w:bidi="zh-CN"/>
                <w14:textFill>
                  <w14:solidFill>
                    <w14:schemeClr w14:val="tx1"/>
                  </w14:solidFill>
                </w14:textFill>
              </w:rPr>
            </w:pPr>
            <w:r>
              <w:rPr>
                <w:rFonts w:hint="eastAsia" w:ascii="宋体" w:hAnsi="宋体" w:eastAsia="宋体" w:cs="宋体"/>
                <w:color w:val="000000" w:themeColor="text1"/>
                <w:w w:val="105"/>
                <w:kern w:val="2"/>
                <w:sz w:val="21"/>
                <w:szCs w:val="21"/>
                <w:highlight w:val="none"/>
                <w:lang w:val="en-US" w:eastAsia="zh-CN" w:bidi="zh-CN"/>
                <w14:textFill>
                  <w14:solidFill>
                    <w14:schemeClr w14:val="tx1"/>
                  </w14:solidFill>
                </w14:textFill>
              </w:rPr>
              <w:t>2.5弱电系统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000000" w:themeColor="text1"/>
                <w:w w:val="105"/>
                <w:kern w:val="2"/>
                <w:sz w:val="21"/>
                <w:szCs w:val="21"/>
                <w:highlight w:val="none"/>
                <w:lang w:val="en-US" w:eastAsia="zh-CN" w:bidi="zh-CN"/>
                <w14:textFill>
                  <w14:solidFill>
                    <w14:schemeClr w14:val="tx1"/>
                  </w14:solidFill>
                </w14:textFill>
              </w:rPr>
            </w:pPr>
            <w:r>
              <w:rPr>
                <w:rFonts w:hint="eastAsia" w:ascii="宋体" w:hAnsi="宋体" w:eastAsia="宋体" w:cs="宋体"/>
                <w:color w:val="000000" w:themeColor="text1"/>
                <w:w w:val="105"/>
                <w:kern w:val="2"/>
                <w:sz w:val="21"/>
                <w:szCs w:val="21"/>
                <w:highlight w:val="none"/>
                <w:lang w:val="en-US" w:eastAsia="zh-CN" w:bidi="zh-CN"/>
                <w14:textFill>
                  <w14:solidFill>
                    <w14:schemeClr w14:val="tx1"/>
                  </w14:solidFill>
                </w14:textFill>
              </w:rPr>
              <w:t>①监控系统：保证24小时运行正常，能清楚显示出入人员的面部特征和车辆的车牌号，录像功能正常，每季调试保养，出现故障及时联系维修部门。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000000" w:themeColor="text1"/>
                <w:w w:val="105"/>
                <w:kern w:val="2"/>
                <w:sz w:val="21"/>
                <w:szCs w:val="21"/>
                <w:highlight w:val="none"/>
                <w:lang w:val="en-US" w:eastAsia="zh-CN" w:bidi="zh-CN"/>
                <w14:textFill>
                  <w14:solidFill>
                    <w14:schemeClr w14:val="tx1"/>
                  </w14:solidFill>
                </w14:textFill>
              </w:rPr>
            </w:pPr>
            <w:r>
              <w:rPr>
                <w:rFonts w:hint="eastAsia" w:ascii="宋体" w:hAnsi="宋体" w:eastAsia="宋体" w:cs="宋体"/>
                <w:color w:val="000000" w:themeColor="text1"/>
                <w:w w:val="105"/>
                <w:kern w:val="2"/>
                <w:sz w:val="21"/>
                <w:szCs w:val="21"/>
                <w:highlight w:val="none"/>
                <w:lang w:val="en-US" w:eastAsia="zh-CN" w:bidi="zh-CN"/>
                <w14:textFill>
                  <w14:solidFill>
                    <w14:schemeClr w14:val="tx1"/>
                  </w14:solidFill>
                </w14:textFill>
              </w:rPr>
              <w:t>②周界报警安防系统：每周检查，24小时设防正常运行，每季调试保养。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000000" w:themeColor="text1"/>
                <w:w w:val="105"/>
                <w:kern w:val="2"/>
                <w:sz w:val="21"/>
                <w:szCs w:val="21"/>
                <w:highlight w:val="none"/>
                <w:lang w:val="en-US" w:eastAsia="zh-CN" w:bidi="zh-CN"/>
                <w14:textFill>
                  <w14:solidFill>
                    <w14:schemeClr w14:val="tx1"/>
                  </w14:solidFill>
                </w14:textFill>
              </w:rPr>
            </w:pPr>
            <w:r>
              <w:rPr>
                <w:rFonts w:hint="eastAsia" w:ascii="宋体" w:hAnsi="宋体" w:eastAsia="宋体" w:cs="宋体"/>
                <w:color w:val="000000" w:themeColor="text1"/>
                <w:w w:val="105"/>
                <w:kern w:val="2"/>
                <w:sz w:val="21"/>
                <w:szCs w:val="21"/>
                <w:highlight w:val="none"/>
                <w:lang w:val="en-US" w:eastAsia="zh-CN" w:bidi="zh-CN"/>
                <w14:textFill>
                  <w14:solidFill>
                    <w14:schemeClr w14:val="tx1"/>
                  </w14:solidFill>
                </w14:textFill>
              </w:rPr>
              <w:t>③电子巡更：每周检查，确保正常运行，保持巡查时间、地点、人员和顺序等数据的显示、归档、查询和打印等功能正常；每季调试保养不少于一次。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协助校园内网络及计算机的维护。（每次扣1分）。</w:t>
            </w:r>
          </w:p>
        </w:tc>
        <w:tc>
          <w:tcPr>
            <w:tcW w:w="855"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c>
          <w:tcPr>
            <w:tcW w:w="630"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4" w:hRule="atLeast"/>
        </w:trPr>
        <w:tc>
          <w:tcPr>
            <w:tcW w:w="675" w:type="dxa"/>
            <w:vMerge w:val="continue"/>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w w:val="105"/>
                <w:kern w:val="2"/>
                <w:sz w:val="21"/>
                <w:szCs w:val="21"/>
                <w:highlight w:val="none"/>
                <w:lang w:val="en-US" w:eastAsia="zh-CN" w:bidi="zh-CN"/>
              </w:rPr>
            </w:pPr>
          </w:p>
        </w:tc>
        <w:tc>
          <w:tcPr>
            <w:tcW w:w="900" w:type="dxa"/>
            <w:vMerge w:val="continue"/>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w w:val="105"/>
                <w:kern w:val="2"/>
                <w:sz w:val="21"/>
                <w:szCs w:val="21"/>
                <w:highlight w:val="none"/>
                <w:lang w:val="en-US" w:eastAsia="zh-CN" w:bidi="zh-CN"/>
              </w:rPr>
            </w:pPr>
          </w:p>
        </w:tc>
        <w:tc>
          <w:tcPr>
            <w:tcW w:w="6135"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2.6消防系统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①消防泵：每月一次启动检查并记录，运行正常，设施完好、无渗漏；一级保养一次。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②消防栓：每月巡查一次，消防栓箱内各种配件完好。保养一次，表面无生锈现象，颜色一致；阀杆加注润滑油，启动灵活运行正常，放水检查。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③火警、报警功能：功能正常。</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④探测器控制装置：每学年测试一次，保证功能正常。</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⑤火灾探测器：每学年测试一次，完好无损，运行正常，出现问题及时清洗或更换。</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⑥消防水带：每学年检查一次，完好无缺，无霉变。</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⑦灭火器：每具灭火器应当附挂《灭火器检查表》，每月至少检查一次并做好检查记录；发现问题要及时更新或充压，表面无积尘。</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⑧消防喷淋：每月至少保养一次，管道表面无生锈现象，颜色一致。</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⑨消防仪表：每周巡查，压力正常。</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⑩防火门、防火窗、防火卷帘及其他消防设施器材：每学年至少一次维护检查，发现损坏时及时修复，确保设施器材完好。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⑪风机房内设备设施：一次全面保养，设备正常运行，无损坏现象，表面无积尘，并做好记录。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中控室：24小时值班，值班人员</w:t>
            </w:r>
            <w:r>
              <w:rPr>
                <w:rFonts w:hint="eastAsia" w:ascii="宋体" w:hAnsi="宋体" w:cs="宋体"/>
                <w:color w:val="auto"/>
                <w:w w:val="105"/>
                <w:kern w:val="2"/>
                <w:sz w:val="21"/>
                <w:szCs w:val="21"/>
                <w:highlight w:val="none"/>
                <w:lang w:val="en-US" w:eastAsia="zh-CN" w:bidi="zh-CN"/>
              </w:rPr>
              <w:t>应当</w:t>
            </w:r>
            <w:r>
              <w:rPr>
                <w:rFonts w:hint="eastAsia" w:ascii="宋体" w:hAnsi="宋体" w:eastAsia="宋体" w:cs="宋体"/>
                <w:color w:val="auto"/>
                <w:w w:val="105"/>
                <w:kern w:val="2"/>
                <w:sz w:val="21"/>
                <w:szCs w:val="21"/>
                <w:highlight w:val="none"/>
                <w:lang w:val="en-US" w:eastAsia="zh-CN" w:bidi="zh-CN"/>
              </w:rPr>
              <w:t>持证上岗；保证监控系统、灯光系统、消防系统、背景音乐系统运行正常，各系统工作稳定；一般性故障立即排除，维修合格率100%，暂时不能处理的需4小时内通知有关部门采取应急措施，应急措施得当有效；每月至少一次消防普查；设备机房整洁；保证设备机房的安全。（每次扣1分）。</w:t>
            </w:r>
          </w:p>
        </w:tc>
        <w:tc>
          <w:tcPr>
            <w:tcW w:w="855"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c>
          <w:tcPr>
            <w:tcW w:w="630"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57" w:hRule="atLeast"/>
        </w:trPr>
        <w:tc>
          <w:tcPr>
            <w:tcW w:w="675" w:type="dxa"/>
            <w:vMerge w:val="continue"/>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w w:val="105"/>
                <w:kern w:val="2"/>
                <w:sz w:val="21"/>
                <w:szCs w:val="21"/>
                <w:highlight w:val="none"/>
                <w:lang w:val="en-US" w:eastAsia="zh-CN" w:bidi="zh-CN"/>
              </w:rPr>
            </w:pPr>
          </w:p>
        </w:tc>
        <w:tc>
          <w:tcPr>
            <w:tcW w:w="900" w:type="dxa"/>
            <w:vMerge w:val="continue"/>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w w:val="105"/>
                <w:kern w:val="2"/>
                <w:sz w:val="21"/>
                <w:szCs w:val="21"/>
                <w:highlight w:val="none"/>
                <w:lang w:val="en-US" w:eastAsia="zh-CN" w:bidi="zh-CN"/>
              </w:rPr>
            </w:pPr>
          </w:p>
        </w:tc>
        <w:tc>
          <w:tcPr>
            <w:tcW w:w="6135"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000000" w:themeColor="text1"/>
                <w:w w:val="105"/>
                <w:kern w:val="2"/>
                <w:sz w:val="21"/>
                <w:szCs w:val="21"/>
                <w:highlight w:val="none"/>
                <w:lang w:val="en-US" w:eastAsia="zh-CN" w:bidi="zh-CN"/>
                <w14:textFill>
                  <w14:solidFill>
                    <w14:schemeClr w14:val="tx1"/>
                  </w14:solidFill>
                </w14:textFill>
              </w:rPr>
            </w:pPr>
            <w:r>
              <w:rPr>
                <w:rFonts w:hint="eastAsia" w:ascii="宋体" w:hAnsi="宋体" w:eastAsia="宋体" w:cs="宋体"/>
                <w:color w:val="000000" w:themeColor="text1"/>
                <w:w w:val="105"/>
                <w:kern w:val="2"/>
                <w:sz w:val="21"/>
                <w:szCs w:val="21"/>
                <w:highlight w:val="none"/>
                <w:lang w:val="en-US" w:eastAsia="zh-CN" w:bidi="zh-CN"/>
                <w14:textFill>
                  <w14:solidFill>
                    <w14:schemeClr w14:val="tx1"/>
                  </w14:solidFill>
                </w14:textFill>
              </w:rPr>
              <w:t>2.7电梯、中央空调、弱电系统维保协调及日常运行管理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000000" w:themeColor="text1"/>
                <w:w w:val="105"/>
                <w:kern w:val="2"/>
                <w:sz w:val="21"/>
                <w:szCs w:val="21"/>
                <w:highlight w:val="none"/>
                <w:lang w:val="en-US" w:eastAsia="zh-CN" w:bidi="zh-CN"/>
                <w14:textFill>
                  <w14:solidFill>
                    <w14:schemeClr w14:val="tx1"/>
                  </w14:solidFill>
                </w14:textFill>
              </w:rPr>
            </w:pPr>
            <w:r>
              <w:rPr>
                <w:rFonts w:hint="eastAsia" w:ascii="宋体" w:hAnsi="宋体" w:eastAsia="宋体" w:cs="宋体"/>
                <w:color w:val="000000" w:themeColor="text1"/>
                <w:w w:val="105"/>
                <w:kern w:val="2"/>
                <w:sz w:val="21"/>
                <w:szCs w:val="21"/>
                <w:highlight w:val="none"/>
                <w:lang w:val="en-US" w:eastAsia="zh-CN" w:bidi="zh-CN"/>
                <w14:textFill>
                  <w14:solidFill>
                    <w14:schemeClr w14:val="tx1"/>
                  </w14:solidFill>
                </w14:textFill>
              </w:rPr>
              <w:t>①保证采购人全部电梯及中央空调的供水供电，做好电梯设备的保洁工作。</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000000" w:themeColor="text1"/>
                <w:w w:val="105"/>
                <w:kern w:val="2"/>
                <w:sz w:val="21"/>
                <w:szCs w:val="21"/>
                <w:highlight w:val="none"/>
                <w:lang w:val="en-US" w:eastAsia="zh-CN" w:bidi="zh-CN"/>
                <w14:textFill>
                  <w14:solidFill>
                    <w14:schemeClr w14:val="tx1"/>
                  </w14:solidFill>
                </w14:textFill>
              </w:rPr>
            </w:pPr>
            <w:r>
              <w:rPr>
                <w:rFonts w:hint="eastAsia" w:ascii="宋体" w:hAnsi="宋体" w:eastAsia="宋体" w:cs="宋体"/>
                <w:color w:val="000000" w:themeColor="text1"/>
                <w:w w:val="105"/>
                <w:kern w:val="2"/>
                <w:sz w:val="21"/>
                <w:szCs w:val="21"/>
                <w:highlight w:val="none"/>
                <w:lang w:val="en-US" w:eastAsia="zh-CN" w:bidi="zh-CN"/>
                <w14:textFill>
                  <w14:solidFill>
                    <w14:schemeClr w14:val="tx1"/>
                  </w14:solidFill>
                </w14:textFill>
              </w:rPr>
              <w:t>②建设特种设备管理员与操作人员队伍，承担电梯等设备运行中的应急救援工作。校区内应至少配备2名以上特种设备管理人员，严格做到持证上岗。明确并于相关设备处公示各区域管理人员及应急救援联系方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000000" w:themeColor="text1"/>
                <w:w w:val="105"/>
                <w:kern w:val="2"/>
                <w:sz w:val="21"/>
                <w:szCs w:val="21"/>
                <w:highlight w:val="none"/>
                <w:lang w:val="en-US" w:eastAsia="zh-CN" w:bidi="zh-CN"/>
                <w14:textFill>
                  <w14:solidFill>
                    <w14:schemeClr w14:val="tx1"/>
                  </w14:solidFill>
                </w14:textFill>
              </w:rPr>
            </w:pPr>
            <w:r>
              <w:rPr>
                <w:rFonts w:hint="eastAsia" w:ascii="宋体" w:hAnsi="宋体" w:eastAsia="宋体" w:cs="宋体"/>
                <w:color w:val="000000" w:themeColor="text1"/>
                <w:w w:val="105"/>
                <w:kern w:val="2"/>
                <w:sz w:val="21"/>
                <w:szCs w:val="21"/>
                <w:highlight w:val="none"/>
                <w:lang w:val="en-US" w:eastAsia="zh-CN" w:bidi="zh-CN"/>
                <w14:textFill>
                  <w14:solidFill>
                    <w14:schemeClr w14:val="tx1"/>
                  </w14:solidFill>
                </w14:textFill>
              </w:rPr>
              <w:t>③严格执行国家有关电梯管理规定和安全规程，电梯准用证、年检合格证、维修保养合同完备，每周进行日常维护，保证各学校电梯设备正常使用。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000000" w:themeColor="text1"/>
                <w:w w:val="105"/>
                <w:kern w:val="2"/>
                <w:sz w:val="21"/>
                <w:szCs w:val="21"/>
                <w:highlight w:val="none"/>
                <w:lang w:val="en-US" w:eastAsia="zh-CN" w:bidi="zh-CN"/>
                <w14:textFill>
                  <w14:solidFill>
                    <w14:schemeClr w14:val="tx1"/>
                  </w14:solidFill>
                </w14:textFill>
              </w:rPr>
            </w:pPr>
            <w:r>
              <w:rPr>
                <w:rFonts w:hint="eastAsia" w:ascii="宋体" w:hAnsi="宋体" w:eastAsia="宋体" w:cs="宋体"/>
                <w:color w:val="000000" w:themeColor="text1"/>
                <w:w w:val="105"/>
                <w:kern w:val="2"/>
                <w:sz w:val="21"/>
                <w:szCs w:val="21"/>
                <w:highlight w:val="none"/>
                <w:lang w:val="en-US" w:eastAsia="zh-CN" w:bidi="zh-CN"/>
                <w14:textFill>
                  <w14:solidFill>
                    <w14:schemeClr w14:val="tx1"/>
                  </w14:solidFill>
                </w14:textFill>
              </w:rPr>
              <w:t>④建立空调运行管理制度和安全操作规程，定期检查空调设备和管道，做好中央空调设备季节性切换工作，并每年做好空调各进风口滤网的清洗工作。保证空调系统安全运行和正常使用，运行中无超标噪音和严重滴漏水现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0000FF"/>
                <w:w w:val="105"/>
                <w:kern w:val="2"/>
                <w:sz w:val="21"/>
                <w:szCs w:val="21"/>
                <w:highlight w:val="none"/>
                <w:lang w:val="en-US" w:eastAsia="zh-CN" w:bidi="zh-CN"/>
              </w:rPr>
            </w:pPr>
            <w:r>
              <w:rPr>
                <w:rFonts w:hint="eastAsia" w:ascii="宋体" w:hAnsi="宋体" w:eastAsia="宋体" w:cs="宋体"/>
                <w:color w:val="000000" w:themeColor="text1"/>
                <w:w w:val="105"/>
                <w:kern w:val="2"/>
                <w:sz w:val="21"/>
                <w:szCs w:val="21"/>
                <w:highlight w:val="none"/>
                <w:lang w:val="en-US" w:eastAsia="zh-CN" w:bidi="zh-CN"/>
                <w14:textFill>
                  <w14:solidFill>
                    <w14:schemeClr w14:val="tx1"/>
                  </w14:solidFill>
                </w14:textFill>
              </w:rPr>
              <w:t>电梯维保与空调维保由外包单位负责，物业需要公布故障报修渠道，承担设备故障报修受理，及时通知相关负责人及相关维保单位进行故障检查，做好设备报修处置记录，并报设备主管部门备案，对承包方的维保工作进行严格监管，并配合协助相关维保单位进行设备维保、年检、维修等工作。（每次扣1分）。</w:t>
            </w:r>
          </w:p>
        </w:tc>
        <w:tc>
          <w:tcPr>
            <w:tcW w:w="855"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c>
          <w:tcPr>
            <w:tcW w:w="630"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8" w:hRule="atLeast"/>
        </w:trPr>
        <w:tc>
          <w:tcPr>
            <w:tcW w:w="675" w:type="dxa"/>
            <w:vMerge w:val="continue"/>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w w:val="105"/>
                <w:kern w:val="2"/>
                <w:sz w:val="21"/>
                <w:szCs w:val="21"/>
                <w:highlight w:val="none"/>
                <w:lang w:val="en-US" w:eastAsia="zh-CN" w:bidi="zh-CN"/>
              </w:rPr>
            </w:pPr>
          </w:p>
        </w:tc>
        <w:tc>
          <w:tcPr>
            <w:tcW w:w="900" w:type="dxa"/>
            <w:vMerge w:val="continue"/>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w w:val="105"/>
                <w:kern w:val="2"/>
                <w:sz w:val="21"/>
                <w:szCs w:val="21"/>
                <w:highlight w:val="none"/>
                <w:lang w:val="en-US" w:eastAsia="zh-CN" w:bidi="zh-CN"/>
              </w:rPr>
            </w:pPr>
          </w:p>
        </w:tc>
        <w:tc>
          <w:tcPr>
            <w:tcW w:w="6135"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2.8零星维修服务：①　楼宇内卫生设施维修与更换（包括但不限于各种水龙头、冲水阀、混水阀、卫生间坐便器盖、坐便器按钮、坐便器上下水、三角阀、水管、阀门等）；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②　管道维修与疏通（包括但不限于管道漏水维修、地漏疏通、坐便器疏通、蹲便器疏通、小便挂斗疏通、台盆落水头维修、下水管维修、检查井、小型雨、污水管疏通、雨水管维修、给水管道保温检查、小型给水管道保温、室外平台广场雨水落水口检查清理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③　小修屋面防水、雨落管、散水坡、顶棚；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④　修补室内外墙面及室内地面；</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⑤　检查门窗，添换窗纱、玻璃、门锁、合页、地吸等；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⑥　电力系统的维修（包括供电系统、配电系统、用电系统的维修）；</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⑦　通风空调系统和恒温恒湿空调系统运行维护和小修（包括局部换管、更换阀门、恒换保温和控制开关、空调终端维修、排风放气等）；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⑧　化粪池维修、清掏与拉刷；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⑨　室内家具及桌、椅、窗帘维修。</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color w:val="auto"/>
                <w:w w:val="105"/>
                <w:kern w:val="2"/>
                <w:sz w:val="21"/>
                <w:szCs w:val="21"/>
                <w:highlight w:val="none"/>
                <w:lang w:val="en-US" w:eastAsia="zh-CN" w:bidi="zh-CN"/>
              </w:rPr>
              <w:t>服务标准：修缮后应做到给排水畅通，各部位零件齐全、灵活、有效，无跑、冒、漏、滴现象，能正常使用。（每次扣1分）。</w:t>
            </w:r>
          </w:p>
        </w:tc>
        <w:tc>
          <w:tcPr>
            <w:tcW w:w="855"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c>
          <w:tcPr>
            <w:tcW w:w="630" w:type="dxa"/>
            <w:noWrap w:val="0"/>
            <w:textDirection w:val="btLr"/>
            <w:vAlign w:val="center"/>
          </w:tcPr>
          <w:p>
            <w:pPr>
              <w:keepNext w:val="0"/>
              <w:keepLines w:val="0"/>
              <w:suppressLineNumbers w:val="0"/>
              <w:spacing w:before="0" w:beforeAutospacing="0" w:after="0" w:afterAutospacing="0" w:line="360" w:lineRule="auto"/>
              <w:ind w:left="113" w:right="113"/>
              <w:jc w:val="center"/>
              <w:rPr>
                <w:rFonts w:hint="eastAsia" w:ascii="宋体" w:hAnsi="宋体" w:eastAsia="宋体" w:cs="宋体"/>
                <w:color w:val="auto"/>
                <w:w w:val="105"/>
                <w:kern w:val="2"/>
                <w:sz w:val="21"/>
                <w:szCs w:val="21"/>
                <w:highlight w:val="none"/>
                <w:lang w:val="en-US" w:eastAsia="zh-CN"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trPr>
        <w:tc>
          <w:tcPr>
            <w:tcW w:w="9195" w:type="dxa"/>
            <w:gridSpan w:val="5"/>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b/>
                <w:color w:val="auto"/>
                <w:sz w:val="21"/>
                <w:szCs w:val="21"/>
                <w:highlight w:val="none"/>
              </w:rPr>
              <w:t>合计得分（起评分为100分，达标分为90（含）分， 低于90分为不达标）：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3" w:hRule="atLeast"/>
        </w:trPr>
        <w:tc>
          <w:tcPr>
            <w:tcW w:w="9195" w:type="dxa"/>
            <w:gridSpan w:val="5"/>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w w:val="105"/>
                <w:kern w:val="2"/>
                <w:sz w:val="21"/>
                <w:szCs w:val="21"/>
                <w:highlight w:val="none"/>
                <w:lang w:val="en-US" w:eastAsia="zh-CN" w:bidi="zh-CN"/>
              </w:rPr>
            </w:pPr>
            <w:r>
              <w:rPr>
                <w:rFonts w:hint="eastAsia" w:ascii="宋体" w:hAnsi="宋体" w:eastAsia="宋体" w:cs="宋体"/>
                <w:b/>
                <w:color w:val="auto"/>
                <w:sz w:val="21"/>
                <w:szCs w:val="21"/>
                <w:highlight w:val="none"/>
              </w:rPr>
              <w:t>考核总体建议：①考核不合格</w:t>
            </w:r>
            <w:r>
              <w:rPr>
                <w:rFonts w:hint="eastAsia" w:ascii="宋体" w:hAnsi="宋体" w:eastAsia="宋体" w:cs="宋体"/>
                <w:b/>
                <w:color w:val="auto"/>
                <w:sz w:val="21"/>
                <w:szCs w:val="21"/>
                <w:highlight w:val="none"/>
              </w:rPr>
              <w:tab/>
            </w:r>
            <w:r>
              <w:rPr>
                <w:rFonts w:hint="eastAsia" w:ascii="宋体" w:hAnsi="宋体" w:eastAsia="宋体" w:cs="宋体"/>
                <w:b/>
                <w:color w:val="auto"/>
                <w:sz w:val="21"/>
                <w:szCs w:val="21"/>
                <w:highlight w:val="none"/>
              </w:rPr>
              <w:t>②考核合格</w:t>
            </w:r>
            <w:r>
              <w:rPr>
                <w:rFonts w:hint="eastAsia" w:ascii="宋体" w:hAnsi="宋体" w:eastAsia="宋体" w:cs="宋体"/>
                <w:b/>
                <w:color w:val="auto"/>
                <w:spacing w:val="8"/>
                <w:sz w:val="21"/>
                <w:szCs w:val="21"/>
                <w:highlight w:val="none"/>
              </w:rPr>
              <w:t xml:space="preserve"> </w:t>
            </w:r>
            <w:r>
              <w:rPr>
                <w:rFonts w:hint="eastAsia" w:ascii="宋体" w:hAnsi="宋体" w:eastAsia="宋体" w:cs="宋体"/>
                <w:b/>
                <w:color w:val="auto"/>
                <w:sz w:val="21"/>
                <w:szCs w:val="21"/>
                <w:highlight w:val="none"/>
              </w:rPr>
              <w:t>③考核良好</w:t>
            </w:r>
            <w:r>
              <w:rPr>
                <w:rFonts w:hint="eastAsia" w:ascii="宋体" w:hAnsi="宋体" w:eastAsia="宋体" w:cs="宋体"/>
                <w:b/>
                <w:color w:val="auto"/>
                <w:spacing w:val="9"/>
                <w:sz w:val="21"/>
                <w:szCs w:val="21"/>
                <w:highlight w:val="none"/>
              </w:rPr>
              <w:t xml:space="preserve"> </w:t>
            </w:r>
            <w:r>
              <w:rPr>
                <w:rFonts w:hint="eastAsia" w:ascii="宋体" w:hAnsi="宋体" w:eastAsia="宋体" w:cs="宋体"/>
                <w:b/>
                <w:color w:val="auto"/>
                <w:sz w:val="21"/>
                <w:szCs w:val="21"/>
                <w:highlight w:val="none"/>
              </w:rPr>
              <w:t>④考核优秀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5" w:hRule="atLeast"/>
        </w:trPr>
        <w:tc>
          <w:tcPr>
            <w:tcW w:w="9195" w:type="dxa"/>
            <w:gridSpan w:val="5"/>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签字盖章：</w:t>
            </w:r>
            <w:r>
              <w:rPr>
                <w:rFonts w:hint="eastAsia" w:ascii="宋体" w:hAnsi="宋体" w:eastAsia="宋体" w:cs="宋体"/>
                <w:b/>
                <w:color w:val="auto"/>
                <w:sz w:val="21"/>
                <w:szCs w:val="21"/>
                <w:highlight w:val="none"/>
              </w:rPr>
              <w:tab/>
            </w:r>
            <w:r>
              <w:rPr>
                <w:rFonts w:hint="eastAsia" w:ascii="宋体" w:hAnsi="宋体" w:eastAsia="宋体" w:cs="宋体"/>
                <w:b/>
                <w:color w:val="auto"/>
                <w:sz w:val="21"/>
                <w:szCs w:val="21"/>
                <w:highlight w:val="none"/>
                <w:lang w:val="en-US" w:eastAsia="zh-CN"/>
              </w:rPr>
              <w:t xml:space="preserve">                                          </w:t>
            </w:r>
            <w:r>
              <w:rPr>
                <w:rFonts w:hint="eastAsia" w:ascii="宋体" w:hAnsi="宋体" w:eastAsia="宋体" w:cs="宋体"/>
                <w:b/>
                <w:color w:val="auto"/>
                <w:sz w:val="21"/>
                <w:szCs w:val="21"/>
                <w:highlight w:val="none"/>
              </w:rPr>
              <w:t>时间：</w:t>
            </w:r>
          </w:p>
        </w:tc>
      </w:tr>
    </w:tbl>
    <w:p>
      <w:pPr>
        <w:rPr>
          <w:rFonts w:hint="eastAsia" w:ascii="宋体" w:hAnsi="宋体" w:eastAsia="宋体" w:cs="宋体"/>
          <w:sz w:val="24"/>
          <w:szCs w:val="24"/>
          <w:lang w:val="en-US" w:eastAsia="zh-CN"/>
        </w:rPr>
      </w:pPr>
    </w:p>
    <w:p>
      <w:pPr>
        <w:rPr>
          <w:rFonts w:hint="eastAsia"/>
        </w:rPr>
      </w:pPr>
    </w:p>
    <w:p>
      <w:pPr>
        <w:pStyle w:val="3"/>
        <w:rPr>
          <w:rFonts w:hint="eastAsia"/>
        </w:rPr>
      </w:pPr>
    </w:p>
    <w:p>
      <w:pPr>
        <w:rPr>
          <w:rFonts w:hint="eastAsia"/>
        </w:rPr>
      </w:pPr>
    </w:p>
    <w:p>
      <w:pPr>
        <w:pStyle w:val="3"/>
        <w:rPr>
          <w:rFonts w:hint="eastAsia"/>
        </w:rPr>
      </w:pPr>
    </w:p>
    <w:p>
      <w:pPr>
        <w:rPr>
          <w:rFonts w:hint="eastAsia"/>
        </w:rPr>
      </w:pPr>
    </w:p>
    <w:p>
      <w:pPr>
        <w:pStyle w:val="3"/>
        <w:rPr>
          <w:rFonts w:hint="eastAsia"/>
        </w:rPr>
      </w:pPr>
    </w:p>
    <w:p>
      <w:pPr>
        <w:rPr>
          <w:rFonts w:hint="eastAsia"/>
        </w:rPr>
      </w:pPr>
    </w:p>
    <w:p>
      <w:pPr>
        <w:pStyle w:val="3"/>
        <w:rPr>
          <w:rFonts w:hint="eastAsia"/>
        </w:rPr>
      </w:pPr>
    </w:p>
    <w:p>
      <w:pPr>
        <w:rPr>
          <w:rFonts w:hint="eastAsia"/>
        </w:rPr>
      </w:pPr>
    </w:p>
    <w:p>
      <w:pPr>
        <w:pStyle w:val="3"/>
        <w:rPr>
          <w:rFonts w:hint="eastAsia"/>
        </w:rPr>
      </w:pPr>
    </w:p>
    <w:p>
      <w:pPr>
        <w:rPr>
          <w:rFonts w:hint="eastAsia"/>
        </w:rPr>
      </w:pPr>
    </w:p>
    <w:p>
      <w:pPr>
        <w:pStyle w:val="3"/>
        <w:rPr>
          <w:rFonts w:hint="eastAsia"/>
        </w:rPr>
      </w:pPr>
    </w:p>
    <w:p>
      <w:pPr>
        <w:rPr>
          <w:rFonts w:hint="eastAsia"/>
        </w:rPr>
      </w:pPr>
    </w:p>
    <w:p>
      <w:pPr>
        <w:pStyle w:val="3"/>
        <w:rPr>
          <w:rFonts w:hint="eastAsia"/>
        </w:rPr>
      </w:pPr>
    </w:p>
    <w:p>
      <w:pPr>
        <w:rPr>
          <w:rFonts w:hint="eastAsia"/>
        </w:rPr>
      </w:pPr>
    </w:p>
    <w:p>
      <w:pPr>
        <w:pStyle w:val="3"/>
        <w:rPr>
          <w:rFonts w:hint="eastAsia"/>
        </w:rPr>
      </w:pPr>
    </w:p>
    <w:p>
      <w:pPr>
        <w:rPr>
          <w:rFonts w:hint="eastAsia"/>
        </w:rPr>
      </w:pPr>
    </w:p>
    <w:p>
      <w:pPr>
        <w:pStyle w:val="3"/>
        <w:rPr>
          <w:rFonts w:hint="eastAsia"/>
        </w:rPr>
      </w:pPr>
    </w:p>
    <w:p>
      <w:pPr>
        <w:rPr>
          <w:rFonts w:hint="eastAsia"/>
        </w:rPr>
      </w:pPr>
    </w:p>
    <w:p>
      <w:pPr>
        <w:pStyle w:val="3"/>
        <w:rPr>
          <w:rFonts w:hint="eastAsia"/>
        </w:rPr>
      </w:pPr>
    </w:p>
    <w:p>
      <w:pPr>
        <w:rPr>
          <w:rFonts w:hint="eastAsia"/>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MS PGothic">
    <w:panose1 w:val="020B0600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5ED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tabs>
        <w:tab w:val="left" w:pos="432"/>
      </w:tabs>
      <w:adjustRightInd/>
      <w:spacing w:line="360" w:lineRule="auto"/>
      <w:ind w:left="432" w:hanging="432"/>
      <w:jc w:val="left"/>
      <w:outlineLvl w:val="1"/>
    </w:pPr>
    <w:rPr>
      <w:rFonts w:ascii="仿宋_GB2312" w:hAnsi="仿宋" w:eastAsia="仿宋_GB2312"/>
      <w:b/>
      <w:bCs/>
      <w:sz w:val="32"/>
      <w:szCs w:val="32"/>
      <w:lang w:val="zh-CN"/>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table of authorities"/>
    <w:basedOn w:val="1"/>
    <w:next w:val="1"/>
    <w:unhideWhenUsed/>
    <w:qFormat/>
    <w:uiPriority w:val="99"/>
    <w:pPr>
      <w:ind w:left="420" w:leftChars="200" w:firstLine="0"/>
    </w:p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7">
    <w:name w:val="Table Paragraph"/>
    <w:basedOn w:val="1"/>
    <w:qFormat/>
    <w:uiPriority w:val="0"/>
    <w:pPr>
      <w:adjustRightInd/>
      <w:jc w:val="left"/>
    </w:pPr>
    <w:rPr>
      <w:rFonts w:ascii="Calibri" w:hAnsi="Calibri"/>
      <w:kern w:val="0"/>
      <w:sz w:val="22"/>
      <w:szCs w:val="22"/>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Office_11.8.2.9015_F1E327BC-269C-435d-A152-05C5408002CA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2024-11-01T08:18:37Z</dcterms:created>
  <dc:creator>123</dc:creator>
  <cp:lastModifiedBy>123</cp:lastModifiedBy>
  <dcterms:modified xsi:type="dcterms:W3CDTF">2024-11-01T08:19:16Z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2052-11.8.2.9015</vt:lpwstr>
  </property>
</Properties>
</file>