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spacing w:line="360" w:lineRule="auto"/>
        <w:jc w:val="distribute"/>
        <w:textAlignment w:val="bottom"/>
        <w:rPr>
          <w:rFonts w:ascii="宋体" w:hAnsi="宋体"/>
          <w:b/>
          <w:color w:val="auto"/>
          <w:sz w:val="52"/>
        </w:rPr>
      </w:pPr>
      <w:r>
        <w:rPr>
          <w:rFonts w:hint="eastAsia" w:ascii="宋体" w:hAnsi="宋体"/>
          <w:b/>
          <w:bCs/>
          <w:color w:val="auto"/>
          <w:sz w:val="72"/>
          <w:szCs w:val="72"/>
          <w:lang w:val="en-US" w:eastAsia="zh-CN"/>
        </w:rPr>
        <w:t>温州市</w:t>
      </w:r>
      <w:r>
        <w:rPr>
          <w:rFonts w:hint="eastAsia" w:ascii="宋体" w:hAnsi="宋体"/>
          <w:b/>
          <w:bCs/>
          <w:color w:val="auto"/>
          <w:sz w:val="72"/>
          <w:szCs w:val="72"/>
        </w:rPr>
        <w:t>洞头区政府分散采购</w:t>
      </w:r>
    </w:p>
    <w:p>
      <w:pPr>
        <w:spacing w:line="360" w:lineRule="auto"/>
        <w:jc w:val="center"/>
        <w:rPr>
          <w:rFonts w:ascii="宋体" w:hAnsi="宋体"/>
          <w:b/>
          <w:color w:val="auto"/>
          <w:sz w:val="52"/>
        </w:rPr>
      </w:pPr>
    </w:p>
    <w:p>
      <w:pPr>
        <w:pStyle w:val="25"/>
        <w:spacing w:line="360" w:lineRule="auto"/>
      </w:pPr>
    </w:p>
    <w:p>
      <w:pPr>
        <w:spacing w:line="360" w:lineRule="auto"/>
        <w:jc w:val="center"/>
        <w:rPr>
          <w:rFonts w:ascii="宋体" w:hAnsi="宋体"/>
          <w:b/>
          <w:color w:val="auto"/>
          <w:sz w:val="52"/>
        </w:rPr>
      </w:pPr>
    </w:p>
    <w:p>
      <w:pPr>
        <w:autoSpaceDE w:val="0"/>
        <w:autoSpaceDN w:val="0"/>
        <w:spacing w:line="360" w:lineRule="auto"/>
        <w:jc w:val="center"/>
        <w:textAlignment w:val="bottom"/>
        <w:rPr>
          <w:rFonts w:ascii="宋体" w:hAnsi="宋体"/>
          <w:b/>
          <w:color w:val="auto"/>
          <w:sz w:val="72"/>
          <w:szCs w:val="72"/>
        </w:rPr>
      </w:pPr>
      <w:r>
        <w:rPr>
          <w:rFonts w:hint="eastAsia" w:ascii="宋体" w:hAnsi="宋体"/>
          <w:b/>
          <w:bCs/>
          <w:color w:val="auto"/>
          <w:sz w:val="72"/>
          <w:szCs w:val="72"/>
        </w:rPr>
        <w:t>招 标 文 件</w:t>
      </w:r>
    </w:p>
    <w:p>
      <w:pPr>
        <w:spacing w:line="360" w:lineRule="auto"/>
        <w:jc w:val="center"/>
        <w:rPr>
          <w:rFonts w:ascii="宋体" w:hAnsi="宋体"/>
          <w:b/>
          <w:color w:val="auto"/>
          <w:sz w:val="32"/>
        </w:rPr>
      </w:pPr>
    </w:p>
    <w:p>
      <w:pPr>
        <w:spacing w:line="360" w:lineRule="auto"/>
        <w:jc w:val="center"/>
        <w:rPr>
          <w:rFonts w:ascii="宋体" w:hAnsi="宋体"/>
          <w:b/>
          <w:bCs/>
          <w:color w:val="auto"/>
          <w:sz w:val="24"/>
        </w:rPr>
      </w:pPr>
    </w:p>
    <w:p>
      <w:pPr>
        <w:spacing w:line="360" w:lineRule="auto"/>
        <w:jc w:val="center"/>
        <w:rPr>
          <w:rFonts w:ascii="宋体" w:hAnsi="宋体"/>
          <w:b/>
          <w:bCs/>
          <w:color w:val="auto"/>
          <w:sz w:val="24"/>
        </w:rPr>
      </w:pPr>
    </w:p>
    <w:p>
      <w:pPr>
        <w:spacing w:line="360" w:lineRule="auto"/>
        <w:jc w:val="center"/>
        <w:rPr>
          <w:rFonts w:ascii="宋体" w:hAnsi="宋体"/>
          <w:b/>
          <w:bCs/>
          <w:color w:val="auto"/>
          <w:sz w:val="24"/>
        </w:rPr>
      </w:pPr>
    </w:p>
    <w:p>
      <w:pPr>
        <w:tabs>
          <w:tab w:val="left" w:pos="4860"/>
        </w:tabs>
        <w:spacing w:line="360" w:lineRule="auto"/>
        <w:ind w:right="1143" w:firstLine="1525" w:firstLineChars="400"/>
        <w:jc w:val="left"/>
        <w:rPr>
          <w:rFonts w:hint="eastAsia" w:ascii="宋体" w:hAnsi="宋体" w:eastAsia="宋体"/>
          <w:b/>
          <w:color w:val="auto"/>
          <w:sz w:val="30"/>
          <w:szCs w:val="30"/>
          <w:lang w:eastAsia="zh-CN"/>
        </w:rPr>
      </w:pPr>
      <w:r>
        <w:rPr>
          <w:rFonts w:hint="eastAsia" w:ascii="宋体" w:hAnsi="宋体"/>
          <w:b/>
          <w:color w:val="auto"/>
          <w:spacing w:val="40"/>
          <w:sz w:val="30"/>
          <w:szCs w:val="30"/>
        </w:rPr>
        <w:t xml:space="preserve">招 标 编 </w:t>
      </w:r>
      <w:r>
        <w:rPr>
          <w:rFonts w:hint="eastAsia" w:ascii="宋体" w:hAnsi="宋体" w:cs="Arial"/>
          <w:b/>
          <w:color w:val="auto"/>
          <w:spacing w:val="40"/>
          <w:sz w:val="30"/>
          <w:szCs w:val="30"/>
        </w:rPr>
        <w:t>号</w:t>
      </w:r>
      <w:r>
        <w:rPr>
          <w:rFonts w:hint="eastAsia" w:ascii="宋体" w:hAnsi="宋体"/>
          <w:b/>
          <w:color w:val="auto"/>
          <w:sz w:val="30"/>
          <w:szCs w:val="30"/>
        </w:rPr>
        <w:t>：</w:t>
      </w:r>
      <w:r>
        <w:rPr>
          <w:rFonts w:hint="eastAsia" w:ascii="宋体" w:hAnsi="宋体"/>
          <w:b/>
          <w:color w:val="auto"/>
          <w:sz w:val="30"/>
          <w:szCs w:val="30"/>
          <w:lang w:eastAsia="zh-CN"/>
        </w:rPr>
        <w:t>DTCG20250401020</w:t>
      </w:r>
    </w:p>
    <w:p>
      <w:pPr>
        <w:tabs>
          <w:tab w:val="left" w:pos="5245"/>
          <w:tab w:val="left" w:pos="9660"/>
        </w:tabs>
        <w:spacing w:line="360" w:lineRule="auto"/>
        <w:ind w:right="-22" w:firstLine="1525" w:firstLineChars="400"/>
        <w:jc w:val="left"/>
        <w:rPr>
          <w:rFonts w:hint="eastAsia" w:ascii="宋体" w:hAnsi="宋体" w:eastAsia="宋体"/>
          <w:b/>
          <w:color w:val="auto"/>
          <w:sz w:val="30"/>
          <w:szCs w:val="30"/>
          <w:lang w:eastAsia="zh-CN"/>
        </w:rPr>
      </w:pPr>
      <w:r>
        <w:rPr>
          <w:rFonts w:hint="eastAsia" w:ascii="宋体" w:hAnsi="宋体"/>
          <w:b/>
          <w:color w:val="auto"/>
          <w:spacing w:val="40"/>
          <w:sz w:val="30"/>
          <w:szCs w:val="30"/>
        </w:rPr>
        <w:t>招 标 项 目</w:t>
      </w:r>
      <w:r>
        <w:rPr>
          <w:rFonts w:hint="eastAsia" w:ascii="宋体" w:hAnsi="宋体"/>
          <w:b/>
          <w:color w:val="auto"/>
          <w:sz w:val="30"/>
          <w:szCs w:val="30"/>
        </w:rPr>
        <w:t>：</w:t>
      </w:r>
      <w:bookmarkStart w:id="0" w:name="OLE_LINK3"/>
      <w:r>
        <w:rPr>
          <w:rFonts w:hint="eastAsia" w:ascii="宋体" w:hAnsi="宋体"/>
          <w:b/>
          <w:color w:val="auto"/>
          <w:sz w:val="30"/>
          <w:szCs w:val="30"/>
          <w:lang w:eastAsia="zh-CN"/>
        </w:rPr>
        <w:t>洞头区智慧排水系统建设项目</w:t>
      </w:r>
      <w:bookmarkEnd w:id="0"/>
    </w:p>
    <w:p>
      <w:pPr>
        <w:tabs>
          <w:tab w:val="left" w:pos="4860"/>
        </w:tabs>
        <w:spacing w:line="360" w:lineRule="auto"/>
        <w:ind w:right="1143" w:firstLine="1525" w:firstLineChars="400"/>
        <w:jc w:val="left"/>
        <w:rPr>
          <w:rFonts w:ascii="宋体" w:hAnsi="宋体"/>
          <w:b/>
          <w:color w:val="auto"/>
          <w:spacing w:val="40"/>
          <w:sz w:val="30"/>
          <w:szCs w:val="30"/>
        </w:rPr>
      </w:pPr>
      <w:r>
        <w:rPr>
          <w:rFonts w:hint="eastAsia" w:ascii="宋体" w:hAnsi="宋体"/>
          <w:b/>
          <w:color w:val="auto"/>
          <w:spacing w:val="40"/>
          <w:sz w:val="30"/>
          <w:szCs w:val="30"/>
        </w:rPr>
        <w:t>招 标 方 式</w:t>
      </w:r>
      <w:r>
        <w:rPr>
          <w:rFonts w:hint="eastAsia" w:ascii="宋体" w:hAnsi="宋体"/>
          <w:b/>
          <w:color w:val="auto"/>
          <w:sz w:val="30"/>
          <w:szCs w:val="30"/>
        </w:rPr>
        <w:t>：公 开 招 标</w:t>
      </w:r>
    </w:p>
    <w:p>
      <w:pPr>
        <w:spacing w:line="360" w:lineRule="auto"/>
        <w:jc w:val="center"/>
        <w:rPr>
          <w:rFonts w:ascii="宋体" w:hAnsi="宋体"/>
          <w:b/>
          <w:bCs/>
          <w:color w:val="auto"/>
          <w:sz w:val="24"/>
        </w:rPr>
      </w:pPr>
    </w:p>
    <w:p>
      <w:pPr>
        <w:spacing w:line="360" w:lineRule="auto"/>
        <w:jc w:val="center"/>
        <w:rPr>
          <w:rFonts w:ascii="宋体" w:hAnsi="宋体"/>
          <w:b/>
          <w:bCs/>
          <w:color w:val="auto"/>
          <w:sz w:val="24"/>
        </w:rPr>
      </w:pPr>
    </w:p>
    <w:p>
      <w:pPr>
        <w:spacing w:line="360" w:lineRule="auto"/>
        <w:jc w:val="center"/>
        <w:rPr>
          <w:rFonts w:ascii="宋体" w:hAnsi="宋体"/>
          <w:b/>
          <w:bCs/>
          <w:color w:val="auto"/>
          <w:sz w:val="24"/>
        </w:rPr>
      </w:pPr>
    </w:p>
    <w:p>
      <w:pPr>
        <w:spacing w:line="360" w:lineRule="auto"/>
        <w:jc w:val="center"/>
        <w:rPr>
          <w:rFonts w:ascii="宋体" w:hAnsi="宋体"/>
          <w:b/>
          <w:bCs/>
          <w:color w:val="auto"/>
          <w:sz w:val="24"/>
        </w:rPr>
      </w:pPr>
    </w:p>
    <w:p>
      <w:pPr>
        <w:spacing w:line="360" w:lineRule="auto"/>
        <w:jc w:val="both"/>
        <w:rPr>
          <w:rFonts w:ascii="宋体" w:hAnsi="宋体"/>
          <w:b/>
          <w:bCs/>
          <w:color w:val="auto"/>
          <w:sz w:val="24"/>
        </w:rPr>
      </w:pPr>
    </w:p>
    <w:p>
      <w:pPr>
        <w:spacing w:line="360" w:lineRule="auto"/>
        <w:jc w:val="center"/>
        <w:rPr>
          <w:rFonts w:ascii="宋体" w:hAnsi="宋体"/>
          <w:b/>
          <w:bCs/>
          <w:color w:val="auto"/>
          <w:sz w:val="24"/>
        </w:rPr>
      </w:pPr>
    </w:p>
    <w:p>
      <w:pPr>
        <w:spacing w:line="360" w:lineRule="auto"/>
        <w:jc w:val="center"/>
        <w:rPr>
          <w:rFonts w:ascii="宋体" w:hAnsi="宋体"/>
          <w:b/>
          <w:bCs/>
          <w:color w:val="auto"/>
          <w:sz w:val="24"/>
        </w:rPr>
      </w:pPr>
    </w:p>
    <w:p>
      <w:pPr>
        <w:spacing w:line="360" w:lineRule="auto"/>
        <w:ind w:left="1455" w:leftChars="693" w:firstLine="0" w:firstLineChars="0"/>
        <w:rPr>
          <w:rFonts w:hint="eastAsia" w:ascii="宋体" w:hAnsi="宋体" w:eastAsia="宋体"/>
          <w:b/>
          <w:color w:val="auto"/>
          <w:sz w:val="30"/>
          <w:szCs w:val="30"/>
          <w:lang w:eastAsia="zh-CN"/>
        </w:rPr>
      </w:pPr>
      <w:r>
        <w:rPr>
          <w:rFonts w:hint="eastAsia" w:ascii="宋体" w:hAnsi="宋体"/>
          <w:b/>
          <w:color w:val="auto"/>
          <w:sz w:val="30"/>
          <w:szCs w:val="30"/>
        </w:rPr>
        <w:t>招  标  人：</w:t>
      </w:r>
      <w:r>
        <w:rPr>
          <w:rFonts w:hint="eastAsia" w:ascii="宋体" w:hAnsi="宋体"/>
          <w:b/>
          <w:bCs/>
          <w:color w:val="auto"/>
          <w:sz w:val="30"/>
          <w:szCs w:val="30"/>
          <w:lang w:eastAsia="zh-CN"/>
        </w:rPr>
        <w:t>温州市洞头区综合行政执法局</w:t>
      </w:r>
    </w:p>
    <w:p>
      <w:pPr>
        <w:spacing w:line="360" w:lineRule="auto"/>
        <w:ind w:left="1455" w:leftChars="693" w:firstLine="0" w:firstLineChars="0"/>
        <w:rPr>
          <w:rFonts w:hint="eastAsia" w:ascii="宋体" w:hAnsi="宋体" w:eastAsia="宋体"/>
          <w:b/>
          <w:color w:val="auto"/>
          <w:spacing w:val="12"/>
          <w:sz w:val="30"/>
          <w:szCs w:val="30"/>
          <w:lang w:eastAsia="zh-CN"/>
        </w:rPr>
      </w:pPr>
      <w:r>
        <w:rPr>
          <w:rFonts w:hint="eastAsia" w:ascii="宋体" w:hAnsi="宋体"/>
          <w:b/>
          <w:color w:val="auto"/>
          <w:spacing w:val="40"/>
          <w:sz w:val="30"/>
          <w:szCs w:val="30"/>
        </w:rPr>
        <w:t>招标代理</w:t>
      </w:r>
      <w:r>
        <w:rPr>
          <w:rFonts w:hint="eastAsia" w:ascii="宋体" w:hAnsi="宋体"/>
          <w:b/>
          <w:color w:val="auto"/>
          <w:sz w:val="30"/>
          <w:szCs w:val="30"/>
        </w:rPr>
        <w:t>：</w:t>
      </w:r>
      <w:r>
        <w:rPr>
          <w:rFonts w:hint="eastAsia" w:ascii="宋体" w:hAnsi="宋体"/>
          <w:b/>
          <w:color w:val="auto"/>
          <w:spacing w:val="12"/>
          <w:sz w:val="30"/>
          <w:szCs w:val="30"/>
          <w:lang w:eastAsia="zh-CN"/>
        </w:rPr>
        <w:t>浙江恒杰工程管理有限公司</w:t>
      </w:r>
    </w:p>
    <w:p>
      <w:pPr>
        <w:spacing w:line="360" w:lineRule="auto"/>
        <w:ind w:left="2100" w:leftChars="1000" w:firstLine="0" w:firstLineChars="0"/>
        <w:rPr>
          <w:rFonts w:ascii="宋体" w:hAnsi="宋体"/>
          <w:b/>
          <w:color w:val="auto"/>
          <w:spacing w:val="40"/>
          <w:sz w:val="30"/>
          <w:szCs w:val="30"/>
        </w:rPr>
      </w:pPr>
    </w:p>
    <w:p>
      <w:pPr>
        <w:spacing w:line="360" w:lineRule="auto"/>
        <w:jc w:val="center"/>
        <w:rPr>
          <w:rFonts w:ascii="宋体" w:hAnsi="宋体"/>
          <w:b/>
          <w:color w:val="auto"/>
          <w:spacing w:val="40"/>
          <w:sz w:val="30"/>
          <w:szCs w:val="30"/>
        </w:rPr>
      </w:pPr>
      <w:r>
        <w:rPr>
          <w:rFonts w:hint="eastAsia" w:ascii="宋体" w:hAnsi="宋体"/>
          <w:b/>
          <w:color w:val="auto"/>
          <w:spacing w:val="40"/>
          <w:sz w:val="30"/>
          <w:szCs w:val="30"/>
        </w:rPr>
        <w:t>二</w:t>
      </w:r>
      <w:r>
        <w:rPr>
          <w:rFonts w:hint="eastAsia" w:ascii="宋体" w:hAnsi="宋体" w:cs="宋体"/>
          <w:b/>
          <w:color w:val="auto"/>
          <w:spacing w:val="40"/>
          <w:sz w:val="30"/>
          <w:szCs w:val="30"/>
        </w:rPr>
        <w:t>〇</w:t>
      </w:r>
      <w:r>
        <w:rPr>
          <w:rFonts w:hint="eastAsia" w:ascii="宋体" w:hAnsi="宋体"/>
          <w:b/>
          <w:color w:val="auto"/>
          <w:spacing w:val="40"/>
          <w:sz w:val="30"/>
          <w:szCs w:val="30"/>
        </w:rPr>
        <w:t>二</w:t>
      </w:r>
      <w:r>
        <w:rPr>
          <w:rFonts w:hint="eastAsia" w:ascii="宋体" w:hAnsi="宋体" w:cs="宋体"/>
          <w:b/>
          <w:color w:val="auto"/>
          <w:spacing w:val="40"/>
          <w:sz w:val="30"/>
          <w:szCs w:val="30"/>
          <w:lang w:val="en-US" w:eastAsia="zh-CN"/>
        </w:rPr>
        <w:t>五</w:t>
      </w:r>
      <w:r>
        <w:rPr>
          <w:rFonts w:hint="eastAsia" w:ascii="宋体" w:hAnsi="宋体" w:cs="仿宋_GB2312"/>
          <w:b/>
          <w:color w:val="auto"/>
          <w:spacing w:val="40"/>
          <w:sz w:val="30"/>
          <w:szCs w:val="30"/>
        </w:rPr>
        <w:t>年</w:t>
      </w:r>
      <w:r>
        <w:rPr>
          <w:rFonts w:hint="eastAsia" w:ascii="宋体" w:hAnsi="宋体" w:cs="仿宋_GB2312"/>
          <w:b/>
          <w:color w:val="auto"/>
          <w:spacing w:val="40"/>
          <w:sz w:val="30"/>
          <w:szCs w:val="30"/>
          <w:lang w:val="en-US" w:eastAsia="zh-CN"/>
        </w:rPr>
        <w:t>四</w:t>
      </w:r>
      <w:r>
        <w:rPr>
          <w:rFonts w:hint="eastAsia" w:ascii="宋体" w:hAnsi="宋体" w:cs="仿宋_GB2312"/>
          <w:b/>
          <w:color w:val="auto"/>
          <w:spacing w:val="40"/>
          <w:sz w:val="30"/>
          <w:szCs w:val="30"/>
        </w:rPr>
        <w:t>月</w:t>
      </w:r>
    </w:p>
    <w:p>
      <w:pPr>
        <w:spacing w:line="360" w:lineRule="auto"/>
        <w:jc w:val="center"/>
        <w:rPr>
          <w:rFonts w:hint="eastAsia" w:ascii="宋体" w:hAnsi="宋体"/>
          <w:color w:val="auto"/>
          <w:spacing w:val="40"/>
          <w:sz w:val="30"/>
          <w:szCs w:val="30"/>
        </w:rPr>
        <w:sectPr>
          <w:footerReference r:id="rId5" w:type="first"/>
          <w:headerReference r:id="rId3" w:type="default"/>
          <w:footerReference r:id="rId4" w:type="even"/>
          <w:type w:val="nextColumn"/>
          <w:pgSz w:w="11906" w:h="16838"/>
          <w:pgMar w:top="1134" w:right="1134" w:bottom="1134" w:left="1134" w:header="851" w:footer="851" w:gutter="0"/>
          <w:cols w:space="720" w:num="1"/>
          <w:titlePg/>
          <w:docGrid w:linePitch="312" w:charSpace="0"/>
        </w:sectPr>
      </w:pPr>
    </w:p>
    <w:p>
      <w:pPr>
        <w:spacing w:line="432" w:lineRule="auto"/>
        <w:jc w:val="center"/>
        <w:rPr>
          <w:rFonts w:ascii="宋体" w:hAnsi="宋体"/>
          <w:b/>
          <w:bCs/>
          <w:color w:val="auto"/>
          <w:sz w:val="24"/>
        </w:rPr>
      </w:pPr>
      <w:r>
        <w:rPr>
          <w:rFonts w:hint="eastAsia" w:ascii="宋体" w:hAnsi="宋体"/>
          <w:b/>
          <w:bCs/>
          <w:color w:val="auto"/>
          <w:sz w:val="32"/>
          <w:szCs w:val="32"/>
        </w:rPr>
        <w:t>目    录</w:t>
      </w:r>
    </w:p>
    <w:p>
      <w:pPr>
        <w:pStyle w:val="45"/>
        <w:tabs>
          <w:tab w:val="right" w:leader="dot" w:pos="9638"/>
          <w:tab w:val="clear" w:pos="9628"/>
        </w:tabs>
        <w:spacing w:line="432" w:lineRule="auto"/>
        <w:jc w:val="left"/>
        <w:rPr>
          <w:rFonts w:hint="eastAsia" w:ascii="宋体" w:hAnsi="宋体" w:eastAsia="宋体" w:cs="宋体"/>
          <w:color w:val="auto"/>
        </w:rPr>
      </w:pPr>
      <w:r>
        <w:rPr>
          <w:rFonts w:hint="eastAsia" w:ascii="宋体" w:hAnsi="宋体" w:eastAsia="宋体"/>
          <w:b/>
          <w:bCs w:val="0"/>
          <w:color w:val="auto"/>
        </w:rPr>
        <w:fldChar w:fldCharType="begin"/>
      </w:r>
      <w:r>
        <w:rPr>
          <w:rFonts w:hint="eastAsia" w:ascii="宋体" w:hAnsi="宋体" w:eastAsia="宋体"/>
          <w:b/>
          <w:bCs w:val="0"/>
          <w:color w:val="auto"/>
        </w:rPr>
        <w:instrText xml:space="preserve"> TOC \o "1-3" \h \z \u </w:instrText>
      </w:r>
      <w:r>
        <w:rPr>
          <w:rFonts w:hint="eastAsia" w:ascii="宋体" w:hAnsi="宋体" w:eastAsia="宋体"/>
          <w:b/>
          <w:bCs w:val="0"/>
          <w:color w:val="auto"/>
        </w:rPr>
        <w:fldChar w:fldCharType="separate"/>
      </w: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"_Toc6342" </w:instrText>
      </w:r>
      <w:r>
        <w:rPr>
          <w:rFonts w:hint="eastAsia" w:ascii="宋体" w:hAnsi="宋体" w:eastAsia="宋体" w:cs="宋体"/>
          <w:color w:val="auto"/>
        </w:rPr>
        <w:fldChar w:fldCharType="separate"/>
      </w:r>
      <w:r>
        <w:rPr>
          <w:rFonts w:hint="eastAsia" w:ascii="宋体" w:hAnsi="宋体" w:eastAsia="宋体" w:cs="宋体"/>
          <w:color w:val="auto"/>
          <w:szCs w:val="30"/>
          <w:lang w:eastAsia="zh-CN"/>
        </w:rPr>
        <w:t>浙江恒杰工程管理有限公司</w:t>
      </w:r>
      <w:r>
        <w:rPr>
          <w:rFonts w:hint="eastAsia" w:ascii="宋体" w:hAnsi="宋体" w:eastAsia="宋体" w:cs="宋体"/>
          <w:color w:val="auto"/>
          <w:szCs w:val="30"/>
        </w:rPr>
        <w:t>关于</w:t>
      </w:r>
      <w:r>
        <w:rPr>
          <w:rFonts w:hint="eastAsia" w:ascii="宋体" w:hAnsi="宋体" w:eastAsia="宋体" w:cs="宋体"/>
          <w:color w:val="auto"/>
          <w:szCs w:val="30"/>
          <w:lang w:eastAsia="zh-CN"/>
        </w:rPr>
        <w:t>洞头区智慧排水系统建设项目</w:t>
      </w:r>
      <w:r>
        <w:rPr>
          <w:rFonts w:hint="eastAsia" w:ascii="宋体" w:hAnsi="宋体" w:eastAsia="宋体" w:cs="宋体"/>
          <w:color w:val="auto"/>
          <w:szCs w:val="30"/>
        </w:rPr>
        <w:t>的公开招标公告</w:t>
      </w:r>
      <w:r>
        <w:rPr>
          <w:rFonts w:hint="eastAsia" w:ascii="宋体" w:hAnsi="宋体" w:eastAsia="宋体" w:cs="宋体"/>
          <w:color w:val="auto"/>
        </w:rPr>
        <w:tab/>
      </w:r>
      <w:r>
        <w:rPr>
          <w:rFonts w:hint="eastAsia" w:ascii="宋体" w:hAnsi="宋体" w:eastAsia="宋体" w:cs="宋体"/>
          <w:color w:val="auto"/>
        </w:rPr>
        <w:fldChar w:fldCharType="begin"/>
      </w:r>
      <w:r>
        <w:rPr>
          <w:rFonts w:hint="eastAsia" w:ascii="宋体" w:hAnsi="宋体" w:eastAsia="宋体" w:cs="宋体"/>
          <w:color w:val="auto"/>
        </w:rPr>
        <w:instrText xml:space="preserve"> PAGEREF _Toc6342 \h </w:instrText>
      </w:r>
      <w:r>
        <w:rPr>
          <w:rFonts w:hint="eastAsia" w:ascii="宋体" w:hAnsi="宋体" w:eastAsia="宋体" w:cs="宋体"/>
          <w:color w:val="auto"/>
        </w:rPr>
        <w:fldChar w:fldCharType="separate"/>
      </w:r>
      <w:r>
        <w:rPr>
          <w:rFonts w:hint="eastAsia" w:ascii="宋体" w:hAnsi="宋体" w:eastAsia="宋体" w:cs="宋体"/>
          <w:color w:val="auto"/>
        </w:rPr>
        <w:t>1</w:t>
      </w:r>
      <w:r>
        <w:rPr>
          <w:rFonts w:hint="eastAsia" w:ascii="宋体" w:hAnsi="宋体" w:eastAsia="宋体" w:cs="宋体"/>
          <w:color w:val="auto"/>
        </w:rPr>
        <w:fldChar w:fldCharType="end"/>
      </w:r>
      <w:r>
        <w:rPr>
          <w:rFonts w:hint="eastAsia" w:ascii="宋体" w:hAnsi="宋体" w:eastAsia="宋体" w:cs="宋体"/>
          <w:color w:val="auto"/>
        </w:rPr>
        <w:fldChar w:fldCharType="end"/>
      </w:r>
    </w:p>
    <w:p>
      <w:pPr>
        <w:pStyle w:val="45"/>
        <w:tabs>
          <w:tab w:val="right" w:leader="dot" w:pos="9638"/>
          <w:tab w:val="clear" w:pos="9628"/>
        </w:tabs>
        <w:spacing w:line="432" w:lineRule="auto"/>
        <w:jc w:val="left"/>
        <w:rPr>
          <w:rFonts w:hint="eastAsia" w:ascii="宋体" w:hAnsi="宋体" w:eastAsia="宋体" w:cs="宋体"/>
          <w:color w:val="auto"/>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"_Toc27654" </w:instrText>
      </w:r>
      <w:r>
        <w:rPr>
          <w:rFonts w:hint="eastAsia" w:ascii="宋体" w:hAnsi="宋体" w:eastAsia="宋体" w:cs="宋体"/>
          <w:color w:val="auto"/>
        </w:rPr>
        <w:fldChar w:fldCharType="separate"/>
      </w:r>
      <w:r>
        <w:rPr>
          <w:rFonts w:hint="eastAsia" w:ascii="宋体" w:hAnsi="宋体" w:eastAsia="宋体" w:cs="宋体"/>
          <w:color w:val="auto"/>
          <w:szCs w:val="36"/>
        </w:rPr>
        <w:t>第一部分 投标人须知</w:t>
      </w:r>
      <w:r>
        <w:rPr>
          <w:rFonts w:hint="eastAsia" w:ascii="宋体" w:hAnsi="宋体" w:eastAsia="宋体" w:cs="宋体"/>
          <w:color w:val="auto"/>
        </w:rPr>
        <w:tab/>
      </w:r>
      <w:r>
        <w:rPr>
          <w:rFonts w:hint="eastAsia" w:ascii="宋体" w:hAnsi="宋体" w:eastAsia="宋体" w:cs="宋体"/>
          <w:color w:val="auto"/>
        </w:rPr>
        <w:fldChar w:fldCharType="begin"/>
      </w:r>
      <w:r>
        <w:rPr>
          <w:rFonts w:hint="eastAsia" w:ascii="宋体" w:hAnsi="宋体" w:eastAsia="宋体" w:cs="宋体"/>
          <w:color w:val="auto"/>
        </w:rPr>
        <w:instrText xml:space="preserve"> PAGEREF _Toc27654 \h </w:instrText>
      </w:r>
      <w:r>
        <w:rPr>
          <w:rFonts w:hint="eastAsia" w:ascii="宋体" w:hAnsi="宋体" w:eastAsia="宋体" w:cs="宋体"/>
          <w:color w:val="auto"/>
        </w:rPr>
        <w:fldChar w:fldCharType="separate"/>
      </w:r>
      <w:r>
        <w:rPr>
          <w:rFonts w:hint="eastAsia" w:ascii="宋体" w:hAnsi="宋体" w:eastAsia="宋体" w:cs="宋体"/>
          <w:color w:val="auto"/>
        </w:rPr>
        <w:t>5</w:t>
      </w:r>
      <w:r>
        <w:rPr>
          <w:rFonts w:hint="eastAsia" w:ascii="宋体" w:hAnsi="宋体" w:eastAsia="宋体" w:cs="宋体"/>
          <w:color w:val="auto"/>
        </w:rPr>
        <w:fldChar w:fldCharType="end"/>
      </w:r>
      <w:r>
        <w:rPr>
          <w:rFonts w:hint="eastAsia" w:ascii="宋体" w:hAnsi="宋体" w:eastAsia="宋体" w:cs="宋体"/>
          <w:color w:val="auto"/>
        </w:rPr>
        <w:fldChar w:fldCharType="end"/>
      </w:r>
    </w:p>
    <w:p>
      <w:pPr>
        <w:pStyle w:val="45"/>
        <w:tabs>
          <w:tab w:val="right" w:leader="dot" w:pos="9638"/>
          <w:tab w:val="clear" w:pos="9628"/>
        </w:tabs>
        <w:spacing w:line="432" w:lineRule="auto"/>
        <w:ind w:left="420" w:leftChars="200"/>
        <w:jc w:val="left"/>
        <w:rPr>
          <w:rFonts w:hint="eastAsia" w:ascii="宋体" w:hAnsi="宋体" w:eastAsia="宋体" w:cs="宋体"/>
          <w:color w:val="auto"/>
          <w:szCs w:val="26"/>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"_Toc8675" </w:instrText>
      </w:r>
      <w:r>
        <w:rPr>
          <w:rFonts w:hint="eastAsia" w:ascii="宋体" w:hAnsi="宋体" w:eastAsia="宋体" w:cs="宋体"/>
          <w:color w:val="auto"/>
        </w:rPr>
        <w:fldChar w:fldCharType="separate"/>
      </w:r>
      <w:r>
        <w:rPr>
          <w:rFonts w:hint="eastAsia" w:ascii="宋体" w:hAnsi="宋体" w:eastAsia="宋体" w:cs="宋体"/>
          <w:color w:val="auto"/>
          <w:szCs w:val="26"/>
        </w:rPr>
        <w:t>一、须知前附表</w:t>
      </w:r>
      <w:r>
        <w:rPr>
          <w:rFonts w:hint="eastAsia" w:ascii="宋体" w:hAnsi="宋体" w:eastAsia="宋体" w:cs="宋体"/>
          <w:color w:val="auto"/>
          <w:szCs w:val="26"/>
        </w:rPr>
        <w:tab/>
      </w:r>
      <w:r>
        <w:rPr>
          <w:rFonts w:hint="eastAsia" w:ascii="宋体" w:hAnsi="宋体" w:eastAsia="宋体" w:cs="宋体"/>
          <w:color w:val="auto"/>
          <w:szCs w:val="26"/>
        </w:rPr>
        <w:fldChar w:fldCharType="begin"/>
      </w:r>
      <w:r>
        <w:rPr>
          <w:rFonts w:hint="eastAsia" w:ascii="宋体" w:hAnsi="宋体" w:eastAsia="宋体" w:cs="宋体"/>
          <w:color w:val="auto"/>
          <w:szCs w:val="26"/>
        </w:rPr>
        <w:instrText xml:space="preserve"> PAGEREF _Toc8675 \h </w:instrText>
      </w:r>
      <w:r>
        <w:rPr>
          <w:rFonts w:hint="eastAsia" w:ascii="宋体" w:hAnsi="宋体" w:eastAsia="宋体" w:cs="宋体"/>
          <w:color w:val="auto"/>
          <w:szCs w:val="26"/>
        </w:rPr>
        <w:fldChar w:fldCharType="separate"/>
      </w:r>
      <w:r>
        <w:rPr>
          <w:rFonts w:hint="eastAsia" w:ascii="宋体" w:hAnsi="宋体" w:eastAsia="宋体" w:cs="宋体"/>
          <w:color w:val="auto"/>
          <w:szCs w:val="26"/>
        </w:rPr>
        <w:t>5</w:t>
      </w:r>
      <w:r>
        <w:rPr>
          <w:rFonts w:hint="eastAsia" w:ascii="宋体" w:hAnsi="宋体" w:eastAsia="宋体" w:cs="宋体"/>
          <w:color w:val="auto"/>
          <w:szCs w:val="26"/>
        </w:rPr>
        <w:fldChar w:fldCharType="end"/>
      </w:r>
      <w:r>
        <w:rPr>
          <w:rFonts w:hint="eastAsia" w:ascii="宋体" w:hAnsi="宋体" w:eastAsia="宋体" w:cs="宋体"/>
          <w:color w:val="auto"/>
          <w:szCs w:val="26"/>
        </w:rPr>
        <w:fldChar w:fldCharType="end"/>
      </w:r>
    </w:p>
    <w:p>
      <w:pPr>
        <w:pStyle w:val="45"/>
        <w:tabs>
          <w:tab w:val="right" w:leader="dot" w:pos="9638"/>
          <w:tab w:val="clear" w:pos="9628"/>
        </w:tabs>
        <w:spacing w:line="432" w:lineRule="auto"/>
        <w:ind w:left="420" w:leftChars="200"/>
        <w:jc w:val="left"/>
        <w:rPr>
          <w:rFonts w:hint="eastAsia" w:ascii="宋体" w:hAnsi="宋体" w:eastAsia="宋体" w:cs="宋体"/>
          <w:color w:val="auto"/>
          <w:szCs w:val="26"/>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"_Toc29666" </w:instrText>
      </w:r>
      <w:r>
        <w:rPr>
          <w:rFonts w:hint="eastAsia" w:ascii="宋体" w:hAnsi="宋体" w:eastAsia="宋体" w:cs="宋体"/>
          <w:color w:val="auto"/>
        </w:rPr>
        <w:fldChar w:fldCharType="separate"/>
      </w:r>
      <w:r>
        <w:rPr>
          <w:rFonts w:hint="eastAsia" w:ascii="宋体" w:hAnsi="宋体" w:eastAsia="宋体" w:cs="宋体"/>
          <w:color w:val="auto"/>
          <w:szCs w:val="26"/>
        </w:rPr>
        <w:t>二、说明</w:t>
      </w:r>
      <w:r>
        <w:rPr>
          <w:rFonts w:hint="eastAsia" w:ascii="宋体" w:hAnsi="宋体" w:eastAsia="宋体" w:cs="宋体"/>
          <w:color w:val="auto"/>
          <w:szCs w:val="26"/>
        </w:rPr>
        <w:tab/>
      </w:r>
      <w:r>
        <w:rPr>
          <w:rFonts w:hint="eastAsia" w:ascii="宋体" w:hAnsi="宋体" w:eastAsia="宋体" w:cs="宋体"/>
          <w:color w:val="auto"/>
          <w:szCs w:val="26"/>
        </w:rPr>
        <w:fldChar w:fldCharType="begin"/>
      </w:r>
      <w:r>
        <w:rPr>
          <w:rFonts w:hint="eastAsia" w:ascii="宋体" w:hAnsi="宋体" w:eastAsia="宋体" w:cs="宋体"/>
          <w:color w:val="auto"/>
          <w:szCs w:val="26"/>
        </w:rPr>
        <w:instrText xml:space="preserve"> PAGEREF _Toc29666 \h </w:instrText>
      </w:r>
      <w:r>
        <w:rPr>
          <w:rFonts w:hint="eastAsia" w:ascii="宋体" w:hAnsi="宋体" w:eastAsia="宋体" w:cs="宋体"/>
          <w:color w:val="auto"/>
          <w:szCs w:val="26"/>
        </w:rPr>
        <w:fldChar w:fldCharType="separate"/>
      </w:r>
      <w:r>
        <w:rPr>
          <w:rFonts w:hint="eastAsia" w:ascii="宋体" w:hAnsi="宋体" w:eastAsia="宋体" w:cs="宋体"/>
          <w:color w:val="auto"/>
          <w:szCs w:val="26"/>
        </w:rPr>
        <w:t>10</w:t>
      </w:r>
      <w:r>
        <w:rPr>
          <w:rFonts w:hint="eastAsia" w:ascii="宋体" w:hAnsi="宋体" w:eastAsia="宋体" w:cs="宋体"/>
          <w:color w:val="auto"/>
          <w:szCs w:val="26"/>
        </w:rPr>
        <w:fldChar w:fldCharType="end"/>
      </w:r>
      <w:r>
        <w:rPr>
          <w:rFonts w:hint="eastAsia" w:ascii="宋体" w:hAnsi="宋体" w:eastAsia="宋体" w:cs="宋体"/>
          <w:color w:val="auto"/>
          <w:szCs w:val="26"/>
        </w:rPr>
        <w:fldChar w:fldCharType="end"/>
      </w:r>
    </w:p>
    <w:p>
      <w:pPr>
        <w:pStyle w:val="45"/>
        <w:tabs>
          <w:tab w:val="right" w:leader="dot" w:pos="9638"/>
          <w:tab w:val="clear" w:pos="9628"/>
        </w:tabs>
        <w:spacing w:line="432" w:lineRule="auto"/>
        <w:ind w:left="420" w:leftChars="200"/>
        <w:jc w:val="left"/>
        <w:rPr>
          <w:rFonts w:hint="eastAsia" w:ascii="宋体" w:hAnsi="宋体" w:eastAsia="宋体" w:cs="宋体"/>
          <w:color w:val="auto"/>
          <w:szCs w:val="26"/>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"_Toc23506" </w:instrText>
      </w:r>
      <w:r>
        <w:rPr>
          <w:rFonts w:hint="eastAsia" w:ascii="宋体" w:hAnsi="宋体" w:eastAsia="宋体" w:cs="宋体"/>
          <w:color w:val="auto"/>
        </w:rPr>
        <w:fldChar w:fldCharType="separate"/>
      </w:r>
      <w:r>
        <w:rPr>
          <w:rFonts w:hint="eastAsia" w:ascii="宋体" w:hAnsi="宋体" w:eastAsia="宋体" w:cs="宋体"/>
          <w:color w:val="auto"/>
          <w:szCs w:val="26"/>
        </w:rPr>
        <w:t>三、招标文件</w:t>
      </w:r>
      <w:r>
        <w:rPr>
          <w:rFonts w:hint="eastAsia" w:ascii="宋体" w:hAnsi="宋体" w:eastAsia="宋体" w:cs="宋体"/>
          <w:color w:val="auto"/>
          <w:szCs w:val="26"/>
        </w:rPr>
        <w:tab/>
      </w:r>
      <w:r>
        <w:rPr>
          <w:rFonts w:hint="eastAsia" w:ascii="宋体" w:hAnsi="宋体" w:eastAsia="宋体" w:cs="宋体"/>
          <w:color w:val="auto"/>
          <w:szCs w:val="26"/>
        </w:rPr>
        <w:fldChar w:fldCharType="begin"/>
      </w:r>
      <w:r>
        <w:rPr>
          <w:rFonts w:hint="eastAsia" w:ascii="宋体" w:hAnsi="宋体" w:eastAsia="宋体" w:cs="宋体"/>
          <w:color w:val="auto"/>
          <w:szCs w:val="26"/>
        </w:rPr>
        <w:instrText xml:space="preserve"> PAGEREF _Toc23506 \h </w:instrText>
      </w:r>
      <w:r>
        <w:rPr>
          <w:rFonts w:hint="eastAsia" w:ascii="宋体" w:hAnsi="宋体" w:eastAsia="宋体" w:cs="宋体"/>
          <w:color w:val="auto"/>
          <w:szCs w:val="26"/>
        </w:rPr>
        <w:fldChar w:fldCharType="separate"/>
      </w:r>
      <w:r>
        <w:rPr>
          <w:rFonts w:hint="eastAsia" w:ascii="宋体" w:hAnsi="宋体" w:eastAsia="宋体" w:cs="宋体"/>
          <w:color w:val="auto"/>
          <w:szCs w:val="26"/>
        </w:rPr>
        <w:t>11</w:t>
      </w:r>
      <w:r>
        <w:rPr>
          <w:rFonts w:hint="eastAsia" w:ascii="宋体" w:hAnsi="宋体" w:eastAsia="宋体" w:cs="宋体"/>
          <w:color w:val="auto"/>
          <w:szCs w:val="26"/>
        </w:rPr>
        <w:fldChar w:fldCharType="end"/>
      </w:r>
      <w:r>
        <w:rPr>
          <w:rFonts w:hint="eastAsia" w:ascii="宋体" w:hAnsi="宋体" w:eastAsia="宋体" w:cs="宋体"/>
          <w:color w:val="auto"/>
          <w:szCs w:val="26"/>
        </w:rPr>
        <w:fldChar w:fldCharType="end"/>
      </w:r>
    </w:p>
    <w:p>
      <w:pPr>
        <w:pStyle w:val="45"/>
        <w:tabs>
          <w:tab w:val="right" w:leader="dot" w:pos="9638"/>
          <w:tab w:val="clear" w:pos="9628"/>
        </w:tabs>
        <w:spacing w:line="432" w:lineRule="auto"/>
        <w:ind w:left="420" w:leftChars="200"/>
        <w:jc w:val="left"/>
        <w:rPr>
          <w:rFonts w:hint="eastAsia" w:ascii="宋体" w:hAnsi="宋体" w:eastAsia="宋体" w:cs="宋体"/>
          <w:color w:val="auto"/>
          <w:szCs w:val="26"/>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"_Toc8234" </w:instrText>
      </w:r>
      <w:r>
        <w:rPr>
          <w:rFonts w:hint="eastAsia" w:ascii="宋体" w:hAnsi="宋体" w:eastAsia="宋体" w:cs="宋体"/>
          <w:color w:val="auto"/>
        </w:rPr>
        <w:fldChar w:fldCharType="separate"/>
      </w:r>
      <w:r>
        <w:rPr>
          <w:rFonts w:hint="eastAsia" w:ascii="宋体" w:hAnsi="宋体" w:eastAsia="宋体" w:cs="宋体"/>
          <w:color w:val="auto"/>
          <w:szCs w:val="26"/>
        </w:rPr>
        <w:t>四、投标文件的编制</w:t>
      </w:r>
      <w:r>
        <w:rPr>
          <w:rFonts w:hint="eastAsia" w:ascii="宋体" w:hAnsi="宋体" w:eastAsia="宋体" w:cs="宋体"/>
          <w:color w:val="auto"/>
          <w:szCs w:val="26"/>
        </w:rPr>
        <w:tab/>
      </w:r>
      <w:r>
        <w:rPr>
          <w:rFonts w:hint="eastAsia" w:ascii="宋体" w:hAnsi="宋体" w:eastAsia="宋体" w:cs="宋体"/>
          <w:color w:val="auto"/>
          <w:szCs w:val="26"/>
        </w:rPr>
        <w:fldChar w:fldCharType="begin"/>
      </w:r>
      <w:r>
        <w:rPr>
          <w:rFonts w:hint="eastAsia" w:ascii="宋体" w:hAnsi="宋体" w:eastAsia="宋体" w:cs="宋体"/>
          <w:color w:val="auto"/>
          <w:szCs w:val="26"/>
        </w:rPr>
        <w:instrText xml:space="preserve"> PAGEREF _Toc8234 \h </w:instrText>
      </w:r>
      <w:r>
        <w:rPr>
          <w:rFonts w:hint="eastAsia" w:ascii="宋体" w:hAnsi="宋体" w:eastAsia="宋体" w:cs="宋体"/>
          <w:color w:val="auto"/>
          <w:szCs w:val="26"/>
        </w:rPr>
        <w:fldChar w:fldCharType="separate"/>
      </w:r>
      <w:r>
        <w:rPr>
          <w:rFonts w:hint="eastAsia" w:ascii="宋体" w:hAnsi="宋体" w:eastAsia="宋体" w:cs="宋体"/>
          <w:color w:val="auto"/>
          <w:szCs w:val="26"/>
        </w:rPr>
        <w:t>11</w:t>
      </w:r>
      <w:r>
        <w:rPr>
          <w:rFonts w:hint="eastAsia" w:ascii="宋体" w:hAnsi="宋体" w:eastAsia="宋体" w:cs="宋体"/>
          <w:color w:val="auto"/>
          <w:szCs w:val="26"/>
        </w:rPr>
        <w:fldChar w:fldCharType="end"/>
      </w:r>
      <w:r>
        <w:rPr>
          <w:rFonts w:hint="eastAsia" w:ascii="宋体" w:hAnsi="宋体" w:eastAsia="宋体" w:cs="宋体"/>
          <w:color w:val="auto"/>
          <w:szCs w:val="26"/>
        </w:rPr>
        <w:fldChar w:fldCharType="end"/>
      </w:r>
    </w:p>
    <w:p>
      <w:pPr>
        <w:pStyle w:val="45"/>
        <w:tabs>
          <w:tab w:val="right" w:leader="dot" w:pos="9638"/>
          <w:tab w:val="clear" w:pos="9628"/>
        </w:tabs>
        <w:spacing w:line="432" w:lineRule="auto"/>
        <w:ind w:left="420" w:leftChars="200"/>
        <w:jc w:val="left"/>
        <w:rPr>
          <w:rFonts w:hint="eastAsia" w:ascii="宋体" w:hAnsi="宋体" w:eastAsia="宋体" w:cs="宋体"/>
          <w:color w:val="auto"/>
          <w:szCs w:val="26"/>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"_Toc23764" </w:instrText>
      </w:r>
      <w:r>
        <w:rPr>
          <w:rFonts w:hint="eastAsia" w:ascii="宋体" w:hAnsi="宋体" w:eastAsia="宋体" w:cs="宋体"/>
          <w:color w:val="auto"/>
        </w:rPr>
        <w:fldChar w:fldCharType="separate"/>
      </w:r>
      <w:r>
        <w:rPr>
          <w:rFonts w:hint="eastAsia" w:ascii="宋体" w:hAnsi="宋体" w:eastAsia="宋体" w:cs="宋体"/>
          <w:color w:val="auto"/>
          <w:szCs w:val="26"/>
        </w:rPr>
        <w:t>五、投标文件的递交</w:t>
      </w:r>
      <w:r>
        <w:rPr>
          <w:rFonts w:hint="eastAsia" w:ascii="宋体" w:hAnsi="宋体" w:eastAsia="宋体" w:cs="宋体"/>
          <w:color w:val="auto"/>
          <w:szCs w:val="26"/>
        </w:rPr>
        <w:tab/>
      </w:r>
      <w:r>
        <w:rPr>
          <w:rFonts w:hint="eastAsia" w:ascii="宋体" w:hAnsi="宋体" w:eastAsia="宋体" w:cs="宋体"/>
          <w:color w:val="auto"/>
          <w:szCs w:val="26"/>
        </w:rPr>
        <w:fldChar w:fldCharType="begin"/>
      </w:r>
      <w:r>
        <w:rPr>
          <w:rFonts w:hint="eastAsia" w:ascii="宋体" w:hAnsi="宋体" w:eastAsia="宋体" w:cs="宋体"/>
          <w:color w:val="auto"/>
          <w:szCs w:val="26"/>
        </w:rPr>
        <w:instrText xml:space="preserve"> PAGEREF _Toc23764 \h </w:instrText>
      </w:r>
      <w:r>
        <w:rPr>
          <w:rFonts w:hint="eastAsia" w:ascii="宋体" w:hAnsi="宋体" w:eastAsia="宋体" w:cs="宋体"/>
          <w:color w:val="auto"/>
          <w:szCs w:val="26"/>
        </w:rPr>
        <w:fldChar w:fldCharType="separate"/>
      </w:r>
      <w:r>
        <w:rPr>
          <w:rFonts w:hint="eastAsia" w:ascii="宋体" w:hAnsi="宋体" w:eastAsia="宋体" w:cs="宋体"/>
          <w:color w:val="auto"/>
          <w:szCs w:val="26"/>
        </w:rPr>
        <w:t>15</w:t>
      </w:r>
      <w:r>
        <w:rPr>
          <w:rFonts w:hint="eastAsia" w:ascii="宋体" w:hAnsi="宋体" w:eastAsia="宋体" w:cs="宋体"/>
          <w:color w:val="auto"/>
          <w:szCs w:val="26"/>
        </w:rPr>
        <w:fldChar w:fldCharType="end"/>
      </w:r>
      <w:r>
        <w:rPr>
          <w:rFonts w:hint="eastAsia" w:ascii="宋体" w:hAnsi="宋体" w:eastAsia="宋体" w:cs="宋体"/>
          <w:color w:val="auto"/>
          <w:szCs w:val="26"/>
        </w:rPr>
        <w:fldChar w:fldCharType="end"/>
      </w:r>
    </w:p>
    <w:p>
      <w:pPr>
        <w:pStyle w:val="45"/>
        <w:tabs>
          <w:tab w:val="right" w:leader="dot" w:pos="9638"/>
          <w:tab w:val="clear" w:pos="9628"/>
        </w:tabs>
        <w:spacing w:line="432" w:lineRule="auto"/>
        <w:ind w:left="420" w:leftChars="200"/>
        <w:jc w:val="left"/>
        <w:rPr>
          <w:rFonts w:hint="eastAsia" w:ascii="宋体" w:hAnsi="宋体" w:eastAsia="宋体" w:cs="宋体"/>
          <w:color w:val="auto"/>
          <w:szCs w:val="26"/>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"_Toc20271" </w:instrText>
      </w:r>
      <w:r>
        <w:rPr>
          <w:rFonts w:hint="eastAsia" w:ascii="宋体" w:hAnsi="宋体" w:eastAsia="宋体" w:cs="宋体"/>
          <w:color w:val="auto"/>
        </w:rPr>
        <w:fldChar w:fldCharType="separate"/>
      </w:r>
      <w:r>
        <w:rPr>
          <w:rFonts w:hint="eastAsia" w:ascii="宋体" w:hAnsi="宋体" w:eastAsia="宋体" w:cs="宋体"/>
          <w:color w:val="auto"/>
          <w:szCs w:val="26"/>
        </w:rPr>
        <w:t>六、开标</w:t>
      </w:r>
      <w:r>
        <w:rPr>
          <w:rFonts w:hint="eastAsia" w:ascii="宋体" w:hAnsi="宋体" w:eastAsia="宋体" w:cs="宋体"/>
          <w:color w:val="auto"/>
          <w:szCs w:val="26"/>
        </w:rPr>
        <w:tab/>
      </w:r>
      <w:r>
        <w:rPr>
          <w:rFonts w:hint="eastAsia" w:ascii="宋体" w:hAnsi="宋体" w:eastAsia="宋体" w:cs="宋体"/>
          <w:color w:val="auto"/>
          <w:szCs w:val="26"/>
        </w:rPr>
        <w:fldChar w:fldCharType="begin"/>
      </w:r>
      <w:r>
        <w:rPr>
          <w:rFonts w:hint="eastAsia" w:ascii="宋体" w:hAnsi="宋体" w:eastAsia="宋体" w:cs="宋体"/>
          <w:color w:val="auto"/>
          <w:szCs w:val="26"/>
        </w:rPr>
        <w:instrText xml:space="preserve"> PAGEREF _Toc20271 \h </w:instrText>
      </w:r>
      <w:r>
        <w:rPr>
          <w:rFonts w:hint="eastAsia" w:ascii="宋体" w:hAnsi="宋体" w:eastAsia="宋体" w:cs="宋体"/>
          <w:color w:val="auto"/>
          <w:szCs w:val="26"/>
        </w:rPr>
        <w:fldChar w:fldCharType="separate"/>
      </w:r>
      <w:r>
        <w:rPr>
          <w:rFonts w:hint="eastAsia" w:ascii="宋体" w:hAnsi="宋体" w:eastAsia="宋体" w:cs="宋体"/>
          <w:color w:val="auto"/>
          <w:szCs w:val="26"/>
        </w:rPr>
        <w:t>16</w:t>
      </w:r>
      <w:r>
        <w:rPr>
          <w:rFonts w:hint="eastAsia" w:ascii="宋体" w:hAnsi="宋体" w:eastAsia="宋体" w:cs="宋体"/>
          <w:color w:val="auto"/>
          <w:szCs w:val="26"/>
        </w:rPr>
        <w:fldChar w:fldCharType="end"/>
      </w:r>
      <w:r>
        <w:rPr>
          <w:rFonts w:hint="eastAsia" w:ascii="宋体" w:hAnsi="宋体" w:eastAsia="宋体" w:cs="宋体"/>
          <w:color w:val="auto"/>
          <w:szCs w:val="26"/>
        </w:rPr>
        <w:fldChar w:fldCharType="end"/>
      </w:r>
    </w:p>
    <w:p>
      <w:pPr>
        <w:pStyle w:val="45"/>
        <w:tabs>
          <w:tab w:val="right" w:leader="dot" w:pos="9638"/>
          <w:tab w:val="clear" w:pos="9628"/>
        </w:tabs>
        <w:spacing w:line="432" w:lineRule="auto"/>
        <w:ind w:left="420" w:leftChars="200"/>
        <w:jc w:val="left"/>
        <w:rPr>
          <w:rFonts w:hint="eastAsia" w:ascii="宋体" w:hAnsi="宋体" w:eastAsia="宋体" w:cs="宋体"/>
          <w:color w:val="auto"/>
          <w:szCs w:val="26"/>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"_Toc28360" </w:instrText>
      </w:r>
      <w:r>
        <w:rPr>
          <w:rFonts w:hint="eastAsia" w:ascii="宋体" w:hAnsi="宋体" w:eastAsia="宋体" w:cs="宋体"/>
          <w:color w:val="auto"/>
        </w:rPr>
        <w:fldChar w:fldCharType="separate"/>
      </w:r>
      <w:r>
        <w:rPr>
          <w:rFonts w:hint="eastAsia" w:ascii="宋体" w:hAnsi="宋体" w:eastAsia="宋体" w:cs="宋体"/>
          <w:color w:val="auto"/>
          <w:szCs w:val="26"/>
        </w:rPr>
        <w:t>七、评标</w:t>
      </w:r>
      <w:r>
        <w:rPr>
          <w:rFonts w:hint="eastAsia" w:ascii="宋体" w:hAnsi="宋体" w:eastAsia="宋体" w:cs="宋体"/>
          <w:color w:val="auto"/>
          <w:szCs w:val="26"/>
        </w:rPr>
        <w:tab/>
      </w:r>
      <w:r>
        <w:rPr>
          <w:rFonts w:hint="eastAsia" w:ascii="宋体" w:hAnsi="宋体" w:eastAsia="宋体" w:cs="宋体"/>
          <w:color w:val="auto"/>
          <w:szCs w:val="26"/>
        </w:rPr>
        <w:fldChar w:fldCharType="begin"/>
      </w:r>
      <w:r>
        <w:rPr>
          <w:rFonts w:hint="eastAsia" w:ascii="宋体" w:hAnsi="宋体" w:eastAsia="宋体" w:cs="宋体"/>
          <w:color w:val="auto"/>
          <w:szCs w:val="26"/>
        </w:rPr>
        <w:instrText xml:space="preserve"> PAGEREF _Toc28360 \h </w:instrText>
      </w:r>
      <w:r>
        <w:rPr>
          <w:rFonts w:hint="eastAsia" w:ascii="宋体" w:hAnsi="宋体" w:eastAsia="宋体" w:cs="宋体"/>
          <w:color w:val="auto"/>
          <w:szCs w:val="26"/>
        </w:rPr>
        <w:fldChar w:fldCharType="separate"/>
      </w:r>
      <w:r>
        <w:rPr>
          <w:rFonts w:hint="eastAsia" w:ascii="宋体" w:hAnsi="宋体" w:eastAsia="宋体" w:cs="宋体"/>
          <w:color w:val="auto"/>
          <w:szCs w:val="26"/>
        </w:rPr>
        <w:t>17</w:t>
      </w:r>
      <w:r>
        <w:rPr>
          <w:rFonts w:hint="eastAsia" w:ascii="宋体" w:hAnsi="宋体" w:eastAsia="宋体" w:cs="宋体"/>
          <w:color w:val="auto"/>
          <w:szCs w:val="26"/>
        </w:rPr>
        <w:fldChar w:fldCharType="end"/>
      </w:r>
      <w:r>
        <w:rPr>
          <w:rFonts w:hint="eastAsia" w:ascii="宋体" w:hAnsi="宋体" w:eastAsia="宋体" w:cs="宋体"/>
          <w:color w:val="auto"/>
          <w:szCs w:val="26"/>
        </w:rPr>
        <w:fldChar w:fldCharType="end"/>
      </w:r>
    </w:p>
    <w:p>
      <w:pPr>
        <w:pStyle w:val="45"/>
        <w:tabs>
          <w:tab w:val="right" w:leader="dot" w:pos="9638"/>
          <w:tab w:val="clear" w:pos="9628"/>
        </w:tabs>
        <w:spacing w:line="432" w:lineRule="auto"/>
        <w:ind w:left="420" w:leftChars="200"/>
        <w:jc w:val="left"/>
        <w:rPr>
          <w:rFonts w:hint="eastAsia" w:ascii="宋体" w:hAnsi="宋体" w:eastAsia="宋体" w:cs="宋体"/>
          <w:color w:val="auto"/>
          <w:szCs w:val="26"/>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"_Toc7414" </w:instrText>
      </w:r>
      <w:r>
        <w:rPr>
          <w:rFonts w:hint="eastAsia" w:ascii="宋体" w:hAnsi="宋体" w:eastAsia="宋体" w:cs="宋体"/>
          <w:color w:val="auto"/>
        </w:rPr>
        <w:fldChar w:fldCharType="separate"/>
      </w:r>
      <w:r>
        <w:rPr>
          <w:rFonts w:hint="eastAsia" w:ascii="宋体" w:hAnsi="宋体" w:eastAsia="宋体" w:cs="宋体"/>
          <w:color w:val="auto"/>
          <w:szCs w:val="26"/>
        </w:rPr>
        <w:t>八、授予合同</w:t>
      </w:r>
      <w:r>
        <w:rPr>
          <w:rFonts w:hint="eastAsia" w:ascii="宋体" w:hAnsi="宋体" w:eastAsia="宋体" w:cs="宋体"/>
          <w:color w:val="auto"/>
          <w:szCs w:val="26"/>
        </w:rPr>
        <w:tab/>
      </w:r>
      <w:r>
        <w:rPr>
          <w:rFonts w:hint="eastAsia" w:ascii="宋体" w:hAnsi="宋体" w:eastAsia="宋体" w:cs="宋体"/>
          <w:color w:val="auto"/>
          <w:szCs w:val="26"/>
        </w:rPr>
        <w:fldChar w:fldCharType="begin"/>
      </w:r>
      <w:r>
        <w:rPr>
          <w:rFonts w:hint="eastAsia" w:ascii="宋体" w:hAnsi="宋体" w:eastAsia="宋体" w:cs="宋体"/>
          <w:color w:val="auto"/>
          <w:szCs w:val="26"/>
        </w:rPr>
        <w:instrText xml:space="preserve"> PAGEREF _Toc7414 \h </w:instrText>
      </w:r>
      <w:r>
        <w:rPr>
          <w:rFonts w:hint="eastAsia" w:ascii="宋体" w:hAnsi="宋体" w:eastAsia="宋体" w:cs="宋体"/>
          <w:color w:val="auto"/>
          <w:szCs w:val="26"/>
        </w:rPr>
        <w:fldChar w:fldCharType="separate"/>
      </w:r>
      <w:r>
        <w:rPr>
          <w:rFonts w:hint="eastAsia" w:ascii="宋体" w:hAnsi="宋体" w:eastAsia="宋体" w:cs="宋体"/>
          <w:color w:val="auto"/>
          <w:szCs w:val="26"/>
        </w:rPr>
        <w:t>21</w:t>
      </w:r>
      <w:r>
        <w:rPr>
          <w:rFonts w:hint="eastAsia" w:ascii="宋体" w:hAnsi="宋体" w:eastAsia="宋体" w:cs="宋体"/>
          <w:color w:val="auto"/>
          <w:szCs w:val="26"/>
        </w:rPr>
        <w:fldChar w:fldCharType="end"/>
      </w:r>
      <w:r>
        <w:rPr>
          <w:rFonts w:hint="eastAsia" w:ascii="宋体" w:hAnsi="宋体" w:eastAsia="宋体" w:cs="宋体"/>
          <w:color w:val="auto"/>
          <w:szCs w:val="26"/>
        </w:rPr>
        <w:fldChar w:fldCharType="end"/>
      </w:r>
    </w:p>
    <w:p>
      <w:pPr>
        <w:pStyle w:val="45"/>
        <w:tabs>
          <w:tab w:val="right" w:leader="dot" w:pos="9638"/>
          <w:tab w:val="clear" w:pos="9628"/>
        </w:tabs>
        <w:spacing w:line="432" w:lineRule="auto"/>
        <w:ind w:left="420" w:leftChars="200"/>
        <w:jc w:val="left"/>
        <w:rPr>
          <w:rFonts w:hint="eastAsia" w:ascii="宋体" w:hAnsi="宋体" w:eastAsia="宋体" w:cs="宋体"/>
          <w:color w:val="auto"/>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"_Toc22702" </w:instrText>
      </w:r>
      <w:r>
        <w:rPr>
          <w:rFonts w:hint="eastAsia" w:ascii="宋体" w:hAnsi="宋体" w:eastAsia="宋体" w:cs="宋体"/>
          <w:color w:val="auto"/>
        </w:rPr>
        <w:fldChar w:fldCharType="separate"/>
      </w:r>
      <w:r>
        <w:rPr>
          <w:rFonts w:hint="eastAsia" w:ascii="宋体" w:hAnsi="宋体" w:eastAsia="宋体" w:cs="宋体"/>
          <w:color w:val="auto"/>
          <w:szCs w:val="26"/>
        </w:rPr>
        <w:t>九、验收</w:t>
      </w:r>
      <w:r>
        <w:rPr>
          <w:rFonts w:hint="eastAsia" w:ascii="宋体" w:hAnsi="宋体" w:eastAsia="宋体" w:cs="宋体"/>
          <w:color w:val="auto"/>
          <w:szCs w:val="26"/>
        </w:rPr>
        <w:tab/>
      </w:r>
      <w:r>
        <w:rPr>
          <w:rFonts w:hint="eastAsia" w:ascii="宋体" w:hAnsi="宋体" w:eastAsia="宋体" w:cs="宋体"/>
          <w:color w:val="auto"/>
          <w:szCs w:val="26"/>
        </w:rPr>
        <w:fldChar w:fldCharType="begin"/>
      </w:r>
      <w:r>
        <w:rPr>
          <w:rFonts w:hint="eastAsia" w:ascii="宋体" w:hAnsi="宋体" w:eastAsia="宋体" w:cs="宋体"/>
          <w:color w:val="auto"/>
          <w:szCs w:val="26"/>
        </w:rPr>
        <w:instrText xml:space="preserve"> PAGEREF _Toc22702 \h </w:instrText>
      </w:r>
      <w:r>
        <w:rPr>
          <w:rFonts w:hint="eastAsia" w:ascii="宋体" w:hAnsi="宋体" w:eastAsia="宋体" w:cs="宋体"/>
          <w:color w:val="auto"/>
          <w:szCs w:val="26"/>
        </w:rPr>
        <w:fldChar w:fldCharType="separate"/>
      </w:r>
      <w:r>
        <w:rPr>
          <w:rFonts w:hint="eastAsia" w:ascii="宋体" w:hAnsi="宋体" w:eastAsia="宋体" w:cs="宋体"/>
          <w:color w:val="auto"/>
          <w:szCs w:val="26"/>
        </w:rPr>
        <w:t>21</w:t>
      </w:r>
      <w:r>
        <w:rPr>
          <w:rFonts w:hint="eastAsia" w:ascii="宋体" w:hAnsi="宋体" w:eastAsia="宋体" w:cs="宋体"/>
          <w:color w:val="auto"/>
          <w:szCs w:val="26"/>
        </w:rPr>
        <w:fldChar w:fldCharType="end"/>
      </w:r>
      <w:r>
        <w:rPr>
          <w:rFonts w:hint="eastAsia" w:ascii="宋体" w:hAnsi="宋体" w:eastAsia="宋体" w:cs="宋体"/>
          <w:color w:val="auto"/>
          <w:szCs w:val="26"/>
        </w:rPr>
        <w:fldChar w:fldCharType="end"/>
      </w:r>
    </w:p>
    <w:p>
      <w:pPr>
        <w:pStyle w:val="45"/>
        <w:tabs>
          <w:tab w:val="right" w:leader="dot" w:pos="9638"/>
          <w:tab w:val="clear" w:pos="9628"/>
        </w:tabs>
        <w:spacing w:line="432" w:lineRule="auto"/>
        <w:jc w:val="left"/>
        <w:rPr>
          <w:rFonts w:hint="eastAsia" w:ascii="宋体" w:hAnsi="宋体" w:eastAsia="宋体" w:cs="宋体"/>
          <w:color w:val="auto"/>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"_Toc19245" </w:instrText>
      </w:r>
      <w:r>
        <w:rPr>
          <w:rFonts w:hint="eastAsia" w:ascii="宋体" w:hAnsi="宋体" w:eastAsia="宋体" w:cs="宋体"/>
          <w:color w:val="auto"/>
        </w:rPr>
        <w:fldChar w:fldCharType="separate"/>
      </w:r>
      <w:r>
        <w:rPr>
          <w:rFonts w:hint="eastAsia" w:ascii="宋体" w:hAnsi="宋体" w:eastAsia="宋体" w:cs="宋体"/>
          <w:color w:val="auto"/>
          <w:szCs w:val="36"/>
        </w:rPr>
        <w:t>第二部分 招标内容及要求</w:t>
      </w:r>
      <w:r>
        <w:rPr>
          <w:rFonts w:hint="eastAsia" w:ascii="宋体" w:hAnsi="宋体" w:eastAsia="宋体" w:cs="宋体"/>
          <w:color w:val="auto"/>
        </w:rPr>
        <w:tab/>
      </w:r>
      <w:r>
        <w:rPr>
          <w:rFonts w:hint="eastAsia" w:ascii="宋体" w:hAnsi="宋体" w:eastAsia="宋体" w:cs="宋体"/>
          <w:color w:val="auto"/>
        </w:rPr>
        <w:fldChar w:fldCharType="begin"/>
      </w:r>
      <w:r>
        <w:rPr>
          <w:rFonts w:hint="eastAsia" w:ascii="宋体" w:hAnsi="宋体" w:eastAsia="宋体" w:cs="宋体"/>
          <w:color w:val="auto"/>
        </w:rPr>
        <w:instrText xml:space="preserve"> PAGEREF _Toc19245 \h </w:instrText>
      </w:r>
      <w:r>
        <w:rPr>
          <w:rFonts w:hint="eastAsia" w:ascii="宋体" w:hAnsi="宋体" w:eastAsia="宋体" w:cs="宋体"/>
          <w:color w:val="auto"/>
        </w:rPr>
        <w:fldChar w:fldCharType="separate"/>
      </w:r>
      <w:r>
        <w:rPr>
          <w:rFonts w:hint="eastAsia" w:ascii="宋体" w:hAnsi="宋体" w:eastAsia="宋体" w:cs="宋体"/>
          <w:color w:val="auto"/>
        </w:rPr>
        <w:t>23</w:t>
      </w:r>
      <w:r>
        <w:rPr>
          <w:rFonts w:hint="eastAsia" w:ascii="宋体" w:hAnsi="宋体" w:eastAsia="宋体" w:cs="宋体"/>
          <w:color w:val="auto"/>
        </w:rPr>
        <w:fldChar w:fldCharType="end"/>
      </w:r>
      <w:r>
        <w:rPr>
          <w:rFonts w:hint="eastAsia" w:ascii="宋体" w:hAnsi="宋体" w:eastAsia="宋体" w:cs="宋体"/>
          <w:color w:val="auto"/>
        </w:rPr>
        <w:fldChar w:fldCharType="end"/>
      </w:r>
    </w:p>
    <w:p>
      <w:pPr>
        <w:pStyle w:val="45"/>
        <w:tabs>
          <w:tab w:val="right" w:leader="dot" w:pos="9638"/>
          <w:tab w:val="clear" w:pos="9628"/>
        </w:tabs>
        <w:spacing w:line="432" w:lineRule="auto"/>
        <w:jc w:val="left"/>
        <w:rPr>
          <w:rFonts w:hint="eastAsia" w:ascii="宋体" w:hAnsi="宋体" w:eastAsia="宋体" w:cs="宋体"/>
          <w:color w:val="auto"/>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"_Toc10956" </w:instrText>
      </w:r>
      <w:r>
        <w:rPr>
          <w:rFonts w:hint="eastAsia" w:ascii="宋体" w:hAnsi="宋体" w:eastAsia="宋体" w:cs="宋体"/>
          <w:color w:val="auto"/>
        </w:rPr>
        <w:fldChar w:fldCharType="separate"/>
      </w:r>
      <w:r>
        <w:rPr>
          <w:rFonts w:hint="eastAsia" w:ascii="宋体" w:hAnsi="宋体" w:eastAsia="宋体" w:cs="宋体"/>
          <w:color w:val="auto"/>
          <w:szCs w:val="36"/>
        </w:rPr>
        <w:t>第三部分 评标原则及方法</w:t>
      </w:r>
      <w:r>
        <w:rPr>
          <w:rFonts w:hint="eastAsia" w:ascii="宋体" w:hAnsi="宋体" w:eastAsia="宋体" w:cs="宋体"/>
          <w:color w:val="auto"/>
        </w:rPr>
        <w:tab/>
      </w:r>
      <w:r>
        <w:rPr>
          <w:rFonts w:hint="eastAsia" w:ascii="宋体" w:hAnsi="宋体" w:eastAsia="宋体" w:cs="宋体"/>
          <w:color w:val="auto"/>
        </w:rPr>
        <w:fldChar w:fldCharType="begin"/>
      </w:r>
      <w:r>
        <w:rPr>
          <w:rFonts w:hint="eastAsia" w:ascii="宋体" w:hAnsi="宋体" w:eastAsia="宋体" w:cs="宋体"/>
          <w:color w:val="auto"/>
        </w:rPr>
        <w:instrText xml:space="preserve"> PAGEREF _Toc10956 \h </w:instrText>
      </w:r>
      <w:r>
        <w:rPr>
          <w:rFonts w:hint="eastAsia" w:ascii="宋体" w:hAnsi="宋体" w:eastAsia="宋体" w:cs="宋体"/>
          <w:color w:val="auto"/>
        </w:rPr>
        <w:fldChar w:fldCharType="separate"/>
      </w:r>
      <w:r>
        <w:rPr>
          <w:rFonts w:hint="eastAsia" w:ascii="宋体" w:hAnsi="宋体" w:eastAsia="宋体" w:cs="宋体"/>
          <w:color w:val="auto"/>
        </w:rPr>
        <w:t>62</w:t>
      </w:r>
      <w:r>
        <w:rPr>
          <w:rFonts w:hint="eastAsia" w:ascii="宋体" w:hAnsi="宋体" w:eastAsia="宋体" w:cs="宋体"/>
          <w:color w:val="auto"/>
        </w:rPr>
        <w:fldChar w:fldCharType="end"/>
      </w:r>
      <w:r>
        <w:rPr>
          <w:rFonts w:hint="eastAsia" w:ascii="宋体" w:hAnsi="宋体" w:eastAsia="宋体" w:cs="宋体"/>
          <w:color w:val="auto"/>
        </w:rPr>
        <w:fldChar w:fldCharType="end"/>
      </w:r>
    </w:p>
    <w:p>
      <w:pPr>
        <w:pStyle w:val="45"/>
        <w:tabs>
          <w:tab w:val="right" w:leader="dot" w:pos="9638"/>
          <w:tab w:val="clear" w:pos="9628"/>
        </w:tabs>
        <w:spacing w:line="432" w:lineRule="auto"/>
        <w:jc w:val="left"/>
        <w:rPr>
          <w:rFonts w:hint="eastAsia" w:ascii="宋体" w:hAnsi="宋体" w:eastAsia="宋体" w:cs="宋体"/>
          <w:color w:val="auto"/>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"_Toc10781" </w:instrText>
      </w:r>
      <w:r>
        <w:rPr>
          <w:rFonts w:hint="eastAsia" w:ascii="宋体" w:hAnsi="宋体" w:eastAsia="宋体" w:cs="宋体"/>
          <w:color w:val="auto"/>
        </w:rPr>
        <w:fldChar w:fldCharType="separate"/>
      </w:r>
      <w:r>
        <w:rPr>
          <w:rFonts w:hint="eastAsia" w:ascii="宋体" w:hAnsi="宋体" w:eastAsia="宋体" w:cs="宋体"/>
          <w:color w:val="auto"/>
          <w:szCs w:val="36"/>
        </w:rPr>
        <w:t>第四部分 合同主要条款</w:t>
      </w:r>
      <w:r>
        <w:rPr>
          <w:rFonts w:hint="eastAsia" w:ascii="宋体" w:hAnsi="宋体" w:eastAsia="宋体" w:cs="宋体"/>
          <w:color w:val="auto"/>
        </w:rPr>
        <w:tab/>
      </w:r>
      <w:r>
        <w:rPr>
          <w:rFonts w:hint="eastAsia" w:ascii="宋体" w:hAnsi="宋体" w:eastAsia="宋体" w:cs="宋体"/>
          <w:color w:val="auto"/>
        </w:rPr>
        <w:fldChar w:fldCharType="begin"/>
      </w:r>
      <w:r>
        <w:rPr>
          <w:rFonts w:hint="eastAsia" w:ascii="宋体" w:hAnsi="宋体" w:eastAsia="宋体" w:cs="宋体"/>
          <w:color w:val="auto"/>
        </w:rPr>
        <w:instrText xml:space="preserve"> PAGEREF _Toc10781 \h </w:instrText>
      </w:r>
      <w:r>
        <w:rPr>
          <w:rFonts w:hint="eastAsia" w:ascii="宋体" w:hAnsi="宋体" w:eastAsia="宋体" w:cs="宋体"/>
          <w:color w:val="auto"/>
        </w:rPr>
        <w:fldChar w:fldCharType="separate"/>
      </w:r>
      <w:r>
        <w:rPr>
          <w:rFonts w:hint="eastAsia" w:ascii="宋体" w:hAnsi="宋体" w:eastAsia="宋体" w:cs="宋体"/>
          <w:color w:val="auto"/>
        </w:rPr>
        <w:t>66</w:t>
      </w:r>
      <w:r>
        <w:rPr>
          <w:rFonts w:hint="eastAsia" w:ascii="宋体" w:hAnsi="宋体" w:eastAsia="宋体" w:cs="宋体"/>
          <w:color w:val="auto"/>
        </w:rPr>
        <w:fldChar w:fldCharType="end"/>
      </w:r>
      <w:r>
        <w:rPr>
          <w:rFonts w:hint="eastAsia" w:ascii="宋体" w:hAnsi="宋体" w:eastAsia="宋体" w:cs="宋体"/>
          <w:color w:val="auto"/>
        </w:rPr>
        <w:fldChar w:fldCharType="end"/>
      </w:r>
    </w:p>
    <w:p>
      <w:pPr>
        <w:pStyle w:val="45"/>
        <w:tabs>
          <w:tab w:val="right" w:leader="dot" w:pos="9638"/>
          <w:tab w:val="clear" w:pos="9628"/>
        </w:tabs>
        <w:spacing w:line="432" w:lineRule="auto"/>
        <w:jc w:val="left"/>
        <w:rPr>
          <w:color w:val="auto"/>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"_Toc22293" </w:instrText>
      </w:r>
      <w:r>
        <w:rPr>
          <w:rFonts w:hint="eastAsia" w:ascii="宋体" w:hAnsi="宋体" w:eastAsia="宋体" w:cs="宋体"/>
          <w:color w:val="auto"/>
        </w:rPr>
        <w:fldChar w:fldCharType="separate"/>
      </w:r>
      <w:r>
        <w:rPr>
          <w:rFonts w:hint="eastAsia" w:ascii="宋体" w:hAnsi="宋体" w:eastAsia="宋体" w:cs="宋体"/>
          <w:color w:val="auto"/>
          <w:szCs w:val="36"/>
        </w:rPr>
        <w:t>第五部分 附件</w:t>
      </w:r>
      <w:r>
        <w:rPr>
          <w:rFonts w:hint="eastAsia" w:ascii="宋体" w:hAnsi="宋体" w:eastAsia="宋体" w:cs="宋体"/>
          <w:color w:val="auto"/>
        </w:rPr>
        <w:tab/>
      </w:r>
      <w:r>
        <w:rPr>
          <w:rFonts w:hint="eastAsia" w:ascii="宋体" w:hAnsi="宋体" w:eastAsia="宋体" w:cs="宋体"/>
          <w:color w:val="auto"/>
        </w:rPr>
        <w:fldChar w:fldCharType="begin"/>
      </w:r>
      <w:r>
        <w:rPr>
          <w:rFonts w:hint="eastAsia" w:ascii="宋体" w:hAnsi="宋体" w:eastAsia="宋体" w:cs="宋体"/>
          <w:color w:val="auto"/>
        </w:rPr>
        <w:instrText xml:space="preserve"> PAGEREF _Toc22293 \h </w:instrText>
      </w:r>
      <w:r>
        <w:rPr>
          <w:rFonts w:hint="eastAsia" w:ascii="宋体" w:hAnsi="宋体" w:eastAsia="宋体" w:cs="宋体"/>
          <w:color w:val="auto"/>
        </w:rPr>
        <w:fldChar w:fldCharType="separate"/>
      </w:r>
      <w:r>
        <w:rPr>
          <w:rFonts w:hint="eastAsia" w:ascii="宋体" w:hAnsi="宋体" w:eastAsia="宋体" w:cs="宋体"/>
          <w:color w:val="auto"/>
        </w:rPr>
        <w:t>72</w:t>
      </w:r>
      <w:r>
        <w:rPr>
          <w:rFonts w:hint="eastAsia" w:ascii="宋体" w:hAnsi="宋体" w:eastAsia="宋体" w:cs="宋体"/>
          <w:color w:val="auto"/>
        </w:rPr>
        <w:fldChar w:fldCharType="end"/>
      </w:r>
      <w:r>
        <w:rPr>
          <w:rFonts w:hint="eastAsia" w:ascii="宋体" w:hAnsi="宋体" w:eastAsia="宋体" w:cs="宋体"/>
          <w:color w:val="auto"/>
        </w:rPr>
        <w:fldChar w:fldCharType="end"/>
      </w:r>
    </w:p>
    <w:p>
      <w:pPr>
        <w:spacing w:line="432" w:lineRule="auto"/>
        <w:ind w:firstLine="210" w:firstLineChars="100"/>
        <w:jc w:val="left"/>
        <w:rPr>
          <w:rFonts w:ascii="宋体" w:hAnsi="宋体"/>
          <w:b/>
          <w:bCs/>
          <w:color w:val="auto"/>
          <w:sz w:val="22"/>
          <w:szCs w:val="22"/>
        </w:rPr>
      </w:pPr>
      <w:r>
        <w:rPr>
          <w:rFonts w:hint="eastAsia" w:ascii="宋体" w:hAnsi="宋体"/>
          <w:bCs/>
          <w:color w:val="auto"/>
        </w:rPr>
        <w:fldChar w:fldCharType="end"/>
      </w:r>
      <w:r>
        <w:rPr>
          <w:rFonts w:hint="eastAsia" w:ascii="宋体" w:hAnsi="宋体"/>
          <w:b/>
          <w:bCs/>
          <w:color w:val="auto"/>
          <w:sz w:val="24"/>
          <w:szCs w:val="24"/>
          <w:u w:val="none"/>
        </w:rPr>
        <w:t>注：</w:t>
      </w:r>
      <w:r>
        <w:rPr>
          <w:rFonts w:hint="eastAsia" w:ascii="宋体" w:hAnsi="宋体"/>
          <w:b/>
          <w:bCs/>
          <w:color w:val="auto"/>
          <w:sz w:val="24"/>
          <w:u w:val="single"/>
        </w:rPr>
        <w:t>招标文件中部分加“</w:t>
      </w:r>
      <w:bookmarkStart w:id="1" w:name="OLE_LINK8"/>
      <w:r>
        <w:rPr>
          <w:rFonts w:hint="eastAsia" w:ascii="宋体" w:hAnsi="宋体"/>
          <w:b/>
          <w:bCs/>
          <w:color w:val="auto"/>
          <w:sz w:val="24"/>
          <w:u w:val="single"/>
        </w:rPr>
        <w:t>▲</w:t>
      </w:r>
      <w:bookmarkEnd w:id="1"/>
      <w:r>
        <w:rPr>
          <w:rFonts w:hint="eastAsia" w:ascii="宋体" w:hAnsi="宋体"/>
          <w:b/>
          <w:bCs/>
          <w:color w:val="auto"/>
          <w:sz w:val="24"/>
          <w:u w:val="single"/>
        </w:rPr>
        <w:t>”且加下划线的条款，为招标的实质性要求和条件，着重提醒各投标人注意，并认真查看招标文件中的每一个条款及要求，因误读招标文件而造成的后果，招标人概不负责。</w:t>
      </w:r>
    </w:p>
    <w:p>
      <w:pPr>
        <w:pStyle w:val="3"/>
        <w:spacing w:line="360" w:lineRule="auto"/>
        <w:rPr>
          <w:rFonts w:hint="eastAsia" w:ascii="宋体" w:hAnsi="宋体" w:eastAsia="宋体" w:cs="Arial"/>
          <w:color w:val="auto"/>
          <w:sz w:val="30"/>
          <w:szCs w:val="30"/>
          <w:lang w:eastAsia="zh-CN"/>
        </w:rPr>
        <w:sectPr>
          <w:footerReference r:id="rId7" w:type="first"/>
          <w:footerReference r:id="rId6" w:type="default"/>
          <w:pgSz w:w="11906" w:h="16838"/>
          <w:pgMar w:top="1134" w:right="1134" w:bottom="1134" w:left="1134" w:header="851" w:footer="851" w:gutter="0"/>
          <w:pgNumType w:fmt="decimal" w:start="1"/>
          <w:cols w:space="720" w:num="1"/>
          <w:titlePg/>
          <w:docGrid w:linePitch="312" w:charSpace="0"/>
        </w:sectPr>
      </w:pPr>
      <w:bookmarkStart w:id="2" w:name="_Toc398293639"/>
      <w:bookmarkStart w:id="3" w:name="_Toc6342"/>
      <w:bookmarkStart w:id="4" w:name="_Toc492496682"/>
      <w:bookmarkStart w:id="5" w:name="_Toc221356946"/>
      <w:bookmarkStart w:id="6" w:name="_Toc245722276"/>
      <w:bookmarkStart w:id="7" w:name="_Toc221423614"/>
      <w:bookmarkStart w:id="8" w:name="_Toc245191309"/>
      <w:bookmarkStart w:id="9" w:name="_Toc246261260"/>
      <w:bookmarkStart w:id="10" w:name="_Toc241404197"/>
      <w:bookmarkStart w:id="11" w:name="_Toc239145349"/>
      <w:bookmarkStart w:id="12" w:name="_Toc222114874"/>
      <w:bookmarkStart w:id="13" w:name="_Toc262105498"/>
      <w:bookmarkStart w:id="14" w:name="_Toc221374621"/>
      <w:bookmarkStart w:id="15" w:name="_Toc223715993"/>
      <w:bookmarkStart w:id="16" w:name="_Toc221356881"/>
      <w:bookmarkStart w:id="17" w:name="_Toc221356880"/>
      <w:bookmarkStart w:id="18" w:name="_Toc262049413"/>
      <w:bookmarkStart w:id="19" w:name="_Toc222114873"/>
      <w:bookmarkStart w:id="20" w:name="_Toc348800908"/>
      <w:bookmarkStart w:id="21" w:name="_Toc221374620"/>
      <w:bookmarkStart w:id="22" w:name="_Toc337660883"/>
      <w:bookmarkStart w:id="23" w:name="_Toc223715992"/>
      <w:bookmarkStart w:id="24" w:name="_Toc221356945"/>
      <w:bookmarkStart w:id="25" w:name="_Toc249758707"/>
      <w:bookmarkStart w:id="26" w:name="_Toc221423613"/>
      <w:bookmarkStart w:id="27" w:name="_Toc249758859"/>
    </w:p>
    <w:p>
      <w:pPr>
        <w:pStyle w:val="3"/>
        <w:spacing w:line="360" w:lineRule="auto"/>
        <w:rPr>
          <w:rFonts w:ascii="宋体" w:hAnsi="宋体" w:eastAsia="宋体" w:cs="Arial"/>
          <w:b w:val="0"/>
          <w:bCs w:val="0"/>
          <w:color w:val="auto"/>
          <w:kern w:val="0"/>
          <w:sz w:val="30"/>
          <w:szCs w:val="30"/>
        </w:rPr>
      </w:pPr>
      <w:r>
        <w:rPr>
          <w:rFonts w:hint="eastAsia" w:ascii="宋体" w:hAnsi="宋体" w:eastAsia="宋体" w:cs="Arial"/>
          <w:color w:val="auto"/>
          <w:sz w:val="30"/>
          <w:szCs w:val="30"/>
          <w:lang w:eastAsia="zh-CN"/>
        </w:rPr>
        <w:t>浙江恒杰工程管理有限公司</w:t>
      </w:r>
      <w:r>
        <w:rPr>
          <w:rFonts w:hint="eastAsia" w:ascii="宋体" w:hAnsi="宋体" w:eastAsia="宋体" w:cs="Arial"/>
          <w:color w:val="auto"/>
          <w:sz w:val="30"/>
          <w:szCs w:val="30"/>
        </w:rPr>
        <w:t>关于</w:t>
      </w:r>
      <w:r>
        <w:rPr>
          <w:rFonts w:hint="eastAsia" w:ascii="宋体" w:hAnsi="宋体" w:eastAsia="宋体" w:cs="Arial"/>
          <w:color w:val="auto"/>
          <w:sz w:val="30"/>
          <w:szCs w:val="30"/>
          <w:lang w:eastAsia="zh-CN"/>
        </w:rPr>
        <w:t>洞头区智慧排水系统建设项目</w:t>
      </w:r>
      <w:r>
        <w:rPr>
          <w:rFonts w:hint="eastAsia" w:ascii="宋体" w:hAnsi="宋体" w:eastAsia="宋体" w:cs="Arial"/>
          <w:color w:val="auto"/>
          <w:sz w:val="30"/>
          <w:szCs w:val="30"/>
        </w:rPr>
        <w:t>的公开招标公告</w:t>
      </w:r>
      <w:bookmarkEnd w:id="2"/>
      <w:bookmarkEnd w:id="3"/>
      <w:bookmarkEnd w:id="4"/>
    </w:p>
    <w:p>
      <w:pPr>
        <w:pBdr>
          <w:top w:val="single" w:color="auto" w:sz="4" w:space="1"/>
          <w:left w:val="single" w:color="auto" w:sz="4" w:space="4"/>
          <w:bottom w:val="single" w:color="auto" w:sz="4" w:space="1"/>
          <w:right w:val="single" w:color="auto" w:sz="4" w:space="4"/>
        </w:pBdr>
        <w:spacing w:line="360" w:lineRule="auto"/>
        <w:ind w:firstLine="0" w:firstLineChars="0"/>
        <w:rPr>
          <w:rFonts w:ascii="宋体"/>
          <w:color w:val="auto"/>
          <w:sz w:val="22"/>
          <w:szCs w:val="22"/>
        </w:rPr>
      </w:pPr>
      <w:r>
        <w:rPr>
          <w:rFonts w:hint="eastAsia" w:ascii="宋体" w:hAnsi="宋体"/>
          <w:color w:val="auto"/>
          <w:sz w:val="22"/>
          <w:szCs w:val="22"/>
        </w:rPr>
        <w:t>项目概况</w:t>
      </w:r>
    </w:p>
    <w:p>
      <w:pPr>
        <w:pBdr>
          <w:top w:val="single" w:color="auto" w:sz="4" w:space="1"/>
          <w:left w:val="single" w:color="auto" w:sz="4" w:space="4"/>
          <w:bottom w:val="single" w:color="auto" w:sz="4" w:space="1"/>
          <w:right w:val="single" w:color="auto" w:sz="4" w:space="4"/>
        </w:pBdr>
        <w:spacing w:line="360" w:lineRule="auto"/>
        <w:ind w:firstLine="0" w:firstLineChars="0"/>
        <w:rPr>
          <w:rFonts w:ascii="宋体" w:hAnsi="宋体"/>
          <w:color w:val="auto"/>
          <w:sz w:val="22"/>
          <w:szCs w:val="22"/>
        </w:rPr>
      </w:pPr>
      <w:r>
        <w:rPr>
          <w:rFonts w:hint="eastAsia" w:ascii="宋体" w:hAnsi="宋体"/>
          <w:color w:val="auto"/>
          <w:sz w:val="22"/>
          <w:szCs w:val="22"/>
          <w:u w:val="single"/>
          <w:lang w:eastAsia="zh-CN"/>
        </w:rPr>
        <w:t>洞头区智慧排水系统建设项目</w:t>
      </w:r>
      <w:r>
        <w:rPr>
          <w:rFonts w:hint="eastAsia" w:ascii="宋体" w:hAnsi="宋体"/>
          <w:color w:val="auto"/>
          <w:sz w:val="22"/>
          <w:szCs w:val="22"/>
          <w:u w:val="single"/>
        </w:rPr>
        <w:t>的潜在投标人应在政采云平台（www.zcygov.cn）获取（下载）采购文件，并于202</w:t>
      </w:r>
      <w:r>
        <w:rPr>
          <w:rFonts w:hint="eastAsia" w:ascii="宋体" w:hAnsi="宋体"/>
          <w:color w:val="auto"/>
          <w:sz w:val="22"/>
          <w:szCs w:val="22"/>
          <w:u w:val="single"/>
          <w:lang w:val="en-US" w:eastAsia="zh-CN"/>
        </w:rPr>
        <w:t>5</w:t>
      </w:r>
      <w:r>
        <w:rPr>
          <w:rFonts w:hint="eastAsia" w:ascii="宋体" w:hAnsi="宋体"/>
          <w:color w:val="auto"/>
          <w:sz w:val="22"/>
          <w:szCs w:val="22"/>
          <w:u w:val="single"/>
        </w:rPr>
        <w:t>年</w:t>
      </w:r>
      <w:r>
        <w:rPr>
          <w:rFonts w:hint="eastAsia" w:ascii="宋体" w:hAnsi="宋体"/>
          <w:color w:val="auto"/>
          <w:sz w:val="22"/>
          <w:szCs w:val="22"/>
          <w:u w:val="single"/>
          <w:lang w:val="en-US" w:eastAsia="zh-CN"/>
        </w:rPr>
        <w:t>04</w:t>
      </w:r>
      <w:r>
        <w:rPr>
          <w:rFonts w:hint="eastAsia" w:ascii="宋体" w:hAnsi="宋体"/>
          <w:color w:val="auto"/>
          <w:sz w:val="22"/>
          <w:szCs w:val="22"/>
          <w:u w:val="single"/>
        </w:rPr>
        <w:t>月</w:t>
      </w:r>
      <w:r>
        <w:rPr>
          <w:rFonts w:hint="eastAsia" w:ascii="宋体" w:hAnsi="宋体"/>
          <w:color w:val="auto"/>
          <w:sz w:val="22"/>
          <w:szCs w:val="22"/>
          <w:u w:val="single"/>
          <w:lang w:val="en-US" w:eastAsia="zh-CN"/>
        </w:rPr>
        <w:t>22</w:t>
      </w:r>
      <w:r>
        <w:rPr>
          <w:rFonts w:hint="eastAsia" w:ascii="宋体" w:hAnsi="宋体"/>
          <w:color w:val="auto"/>
          <w:sz w:val="22"/>
          <w:szCs w:val="22"/>
          <w:u w:val="single"/>
        </w:rPr>
        <w:t>日14:30（北京时间）前提交（上传）响应文件。</w:t>
      </w:r>
    </w:p>
    <w:p>
      <w:pPr>
        <w:widowControl/>
        <w:spacing w:before="60" w:after="60" w:line="360" w:lineRule="auto"/>
        <w:ind w:left="60" w:right="60"/>
        <w:jc w:val="left"/>
        <w:rPr>
          <w:rFonts w:ascii="宋体" w:hAnsi="宋体" w:cs="宋体"/>
          <w:b/>
          <w:color w:val="auto"/>
          <w:kern w:val="0"/>
          <w:sz w:val="22"/>
          <w:szCs w:val="22"/>
        </w:rPr>
      </w:pPr>
      <w:r>
        <w:rPr>
          <w:rFonts w:hint="eastAsia" w:ascii="宋体" w:hAnsi="宋体" w:cs="宋体"/>
          <w:b/>
          <w:color w:val="auto"/>
          <w:kern w:val="0"/>
          <w:sz w:val="22"/>
          <w:szCs w:val="22"/>
        </w:rPr>
        <w:t>一、项目基本情况</w:t>
      </w:r>
    </w:p>
    <w:p>
      <w:pPr>
        <w:widowControl/>
        <w:spacing w:before="60" w:after="60" w:line="360" w:lineRule="auto"/>
        <w:ind w:right="60" w:firstLine="0" w:firstLineChars="0"/>
        <w:jc w:val="left"/>
        <w:rPr>
          <w:rFonts w:ascii="宋体" w:hAnsi="宋体" w:cs="宋体"/>
          <w:bCs/>
          <w:color w:val="auto"/>
          <w:kern w:val="0"/>
          <w:sz w:val="22"/>
          <w:szCs w:val="22"/>
        </w:rPr>
      </w:pPr>
      <w:r>
        <w:rPr>
          <w:rFonts w:hint="eastAsia" w:ascii="宋体" w:hAnsi="宋体" w:cs="宋体"/>
          <w:bCs/>
          <w:color w:val="auto"/>
          <w:kern w:val="0"/>
          <w:sz w:val="22"/>
          <w:szCs w:val="22"/>
        </w:rPr>
        <w:t>项目编号：</w:t>
      </w:r>
      <w:r>
        <w:rPr>
          <w:rFonts w:hint="eastAsia" w:ascii="宋体" w:hAnsi="宋体" w:cs="宋体"/>
          <w:bCs/>
          <w:color w:val="auto"/>
          <w:kern w:val="0"/>
          <w:sz w:val="22"/>
          <w:szCs w:val="22"/>
          <w:lang w:eastAsia="zh-CN"/>
        </w:rPr>
        <w:t>DTCG20250401020</w:t>
      </w:r>
      <w:r>
        <w:rPr>
          <w:rFonts w:hint="eastAsia" w:ascii="宋体" w:hAnsi="宋体" w:cs="宋体"/>
          <w:bCs/>
          <w:color w:val="auto"/>
          <w:kern w:val="0"/>
          <w:sz w:val="22"/>
          <w:szCs w:val="22"/>
        </w:rPr>
        <w:t xml:space="preserve"> </w:t>
      </w:r>
    </w:p>
    <w:p>
      <w:pPr>
        <w:widowControl/>
        <w:spacing w:before="60" w:after="60" w:line="360" w:lineRule="auto"/>
        <w:ind w:right="60" w:firstLine="0" w:firstLineChars="0"/>
        <w:jc w:val="left"/>
        <w:rPr>
          <w:rFonts w:ascii="宋体" w:hAnsi="宋体" w:cs="宋体"/>
          <w:bCs/>
          <w:color w:val="auto"/>
          <w:kern w:val="0"/>
          <w:sz w:val="22"/>
          <w:szCs w:val="22"/>
        </w:rPr>
      </w:pPr>
      <w:r>
        <w:rPr>
          <w:rFonts w:hint="eastAsia" w:ascii="宋体" w:hAnsi="宋体" w:cs="宋体"/>
          <w:bCs/>
          <w:color w:val="auto"/>
          <w:kern w:val="0"/>
          <w:sz w:val="22"/>
          <w:szCs w:val="22"/>
        </w:rPr>
        <w:t>项目名称：</w:t>
      </w:r>
      <w:r>
        <w:rPr>
          <w:rFonts w:hint="eastAsia" w:ascii="宋体" w:hAnsi="宋体" w:cs="宋体"/>
          <w:bCs/>
          <w:color w:val="auto"/>
          <w:kern w:val="0"/>
          <w:sz w:val="22"/>
          <w:szCs w:val="22"/>
          <w:lang w:eastAsia="zh-CN"/>
        </w:rPr>
        <w:t>洞头区智慧排水系统建设项目</w:t>
      </w:r>
      <w:r>
        <w:rPr>
          <w:rFonts w:hint="eastAsia" w:ascii="宋体" w:hAnsi="宋体" w:cs="宋体"/>
          <w:bCs/>
          <w:color w:val="auto"/>
          <w:kern w:val="0"/>
          <w:sz w:val="22"/>
          <w:szCs w:val="22"/>
        </w:rPr>
        <w:t xml:space="preserve"> </w:t>
      </w:r>
    </w:p>
    <w:p>
      <w:pPr>
        <w:widowControl/>
        <w:spacing w:before="60" w:after="60" w:line="360" w:lineRule="auto"/>
        <w:ind w:right="60" w:firstLine="0" w:firstLineChars="0"/>
        <w:jc w:val="left"/>
        <w:rPr>
          <w:rFonts w:ascii="宋体" w:hAnsi="宋体" w:cs="宋体"/>
          <w:bCs/>
          <w:color w:val="auto"/>
          <w:kern w:val="0"/>
          <w:sz w:val="22"/>
          <w:szCs w:val="22"/>
        </w:rPr>
      </w:pPr>
      <w:r>
        <w:rPr>
          <w:rFonts w:hint="eastAsia" w:ascii="宋体" w:hAnsi="宋体" w:cs="宋体"/>
          <w:bCs/>
          <w:color w:val="auto"/>
          <w:kern w:val="0"/>
          <w:sz w:val="22"/>
          <w:szCs w:val="22"/>
        </w:rPr>
        <w:t xml:space="preserve">采购方式：公开招标 </w:t>
      </w:r>
    </w:p>
    <w:p>
      <w:pPr>
        <w:widowControl/>
        <w:spacing w:before="60" w:after="60" w:line="360" w:lineRule="auto"/>
        <w:ind w:right="60" w:firstLine="0" w:firstLineChars="0"/>
        <w:jc w:val="left"/>
        <w:rPr>
          <w:rFonts w:hint="eastAsia" w:ascii="宋体" w:hAnsi="宋体" w:eastAsia="宋体" w:cs="宋体"/>
          <w:bCs/>
          <w:color w:val="auto"/>
          <w:kern w:val="0"/>
          <w:sz w:val="22"/>
          <w:szCs w:val="22"/>
          <w:lang w:eastAsia="zh-CN"/>
        </w:rPr>
      </w:pPr>
      <w:r>
        <w:rPr>
          <w:rFonts w:hint="eastAsia" w:ascii="宋体" w:hAnsi="宋体" w:cs="宋体"/>
          <w:bCs/>
          <w:color w:val="auto"/>
          <w:kern w:val="0"/>
          <w:sz w:val="22"/>
          <w:szCs w:val="22"/>
        </w:rPr>
        <w:t>预算金额（元）：</w:t>
      </w:r>
      <w:r>
        <w:rPr>
          <w:rFonts w:hint="eastAsia" w:ascii="宋体" w:hAnsi="宋体" w:cs="宋体"/>
          <w:bCs/>
          <w:color w:val="auto"/>
          <w:kern w:val="0"/>
          <w:sz w:val="22"/>
          <w:szCs w:val="22"/>
          <w:lang w:eastAsia="zh-CN"/>
        </w:rPr>
        <w:t>3000000</w:t>
      </w:r>
    </w:p>
    <w:p>
      <w:pPr>
        <w:widowControl/>
        <w:spacing w:before="60" w:after="60" w:line="360" w:lineRule="auto"/>
        <w:ind w:right="60" w:firstLine="0" w:firstLineChars="0"/>
        <w:jc w:val="left"/>
        <w:rPr>
          <w:rFonts w:ascii="宋体" w:hAnsi="宋体" w:cs="宋体"/>
          <w:bCs/>
          <w:color w:val="auto"/>
          <w:kern w:val="0"/>
          <w:sz w:val="22"/>
          <w:szCs w:val="22"/>
        </w:rPr>
      </w:pPr>
      <w:r>
        <w:rPr>
          <w:rFonts w:hint="eastAsia" w:ascii="宋体" w:hAnsi="宋体" w:cs="宋体"/>
          <w:bCs/>
          <w:color w:val="auto"/>
          <w:kern w:val="0"/>
          <w:sz w:val="22"/>
          <w:szCs w:val="22"/>
        </w:rPr>
        <w:t>简要规格描述：</w:t>
      </w:r>
      <w:bookmarkStart w:id="28" w:name="OLE_LINK4"/>
      <w:r>
        <w:rPr>
          <w:rFonts w:hint="eastAsia" w:ascii="宋体" w:hAnsi="宋体" w:cs="宋体"/>
          <w:bCs/>
          <w:color w:val="auto"/>
          <w:kern w:val="0"/>
          <w:sz w:val="22"/>
          <w:szCs w:val="22"/>
        </w:rPr>
        <w:t>具体采购内容及要求详见招标文件相关部分</w:t>
      </w:r>
      <w:bookmarkEnd w:id="28"/>
      <w:r>
        <w:rPr>
          <w:rFonts w:hint="eastAsia" w:ascii="宋体" w:hAnsi="宋体" w:cs="宋体"/>
          <w:bCs/>
          <w:color w:val="auto"/>
          <w:kern w:val="0"/>
          <w:sz w:val="22"/>
          <w:szCs w:val="22"/>
        </w:rPr>
        <w:t>。</w:t>
      </w:r>
    </w:p>
    <w:p>
      <w:pPr>
        <w:widowControl/>
        <w:spacing w:before="60" w:after="60" w:line="360" w:lineRule="auto"/>
        <w:ind w:right="60" w:firstLine="0" w:firstLineChars="0"/>
        <w:jc w:val="left"/>
        <w:rPr>
          <w:rFonts w:hint="default" w:ascii="宋体" w:hAnsi="宋体" w:eastAsia="宋体" w:cs="宋体"/>
          <w:bCs/>
          <w:color w:val="auto"/>
          <w:kern w:val="0"/>
          <w:sz w:val="22"/>
          <w:szCs w:val="22"/>
          <w:lang w:val="en-US" w:eastAsia="zh-CN"/>
        </w:rPr>
      </w:pPr>
      <w:r>
        <w:rPr>
          <w:rFonts w:hint="eastAsia" w:ascii="宋体" w:hAnsi="宋体" w:cs="宋体"/>
          <w:bCs/>
          <w:color w:val="auto"/>
          <w:kern w:val="0"/>
          <w:sz w:val="22"/>
          <w:szCs w:val="22"/>
        </w:rPr>
        <w:t>合同履约期限：详见招标文件相关部分。</w:t>
      </w:r>
    </w:p>
    <w:p>
      <w:pPr>
        <w:widowControl/>
        <w:spacing w:before="60" w:after="60" w:line="360" w:lineRule="auto"/>
        <w:ind w:right="60" w:firstLine="0" w:firstLineChars="0"/>
        <w:jc w:val="left"/>
        <w:rPr>
          <w:rFonts w:ascii="宋体" w:hAnsi="宋体" w:cs="宋体"/>
          <w:bCs/>
          <w:color w:val="auto"/>
          <w:kern w:val="0"/>
          <w:sz w:val="22"/>
          <w:szCs w:val="22"/>
        </w:rPr>
      </w:pPr>
      <w:r>
        <w:rPr>
          <w:rFonts w:hint="eastAsia" w:ascii="宋体" w:hAnsi="宋体" w:cs="宋体"/>
          <w:color w:val="auto"/>
          <w:kern w:val="0"/>
          <w:sz w:val="22"/>
          <w:szCs w:val="22"/>
        </w:rPr>
        <w:t>本项目（</w:t>
      </w:r>
      <w:r>
        <w:rPr>
          <w:rFonts w:hint="eastAsia" w:ascii="宋体" w:hAnsi="宋体" w:cs="宋体"/>
          <w:b/>
          <w:bCs/>
          <w:color w:val="auto"/>
          <w:kern w:val="0"/>
          <w:sz w:val="22"/>
          <w:szCs w:val="22"/>
        </w:rPr>
        <w:t>是</w:t>
      </w:r>
      <w:r>
        <w:rPr>
          <w:rFonts w:hint="eastAsia" w:ascii="宋体" w:hAnsi="宋体" w:cs="宋体"/>
          <w:color w:val="auto"/>
          <w:kern w:val="0"/>
          <w:sz w:val="22"/>
          <w:szCs w:val="22"/>
        </w:rPr>
        <w:t>）接受联合体投标。</w:t>
      </w:r>
    </w:p>
    <w:p>
      <w:pPr>
        <w:widowControl/>
        <w:spacing w:before="60" w:after="60" w:line="360" w:lineRule="auto"/>
        <w:ind w:left="60" w:right="60"/>
        <w:jc w:val="left"/>
        <w:rPr>
          <w:rFonts w:ascii="宋体" w:hAnsi="宋体" w:cs="宋体"/>
          <w:color w:val="auto"/>
          <w:kern w:val="0"/>
          <w:sz w:val="22"/>
          <w:szCs w:val="22"/>
        </w:rPr>
      </w:pPr>
      <w:r>
        <w:rPr>
          <w:rFonts w:hint="eastAsia" w:ascii="宋体" w:hAnsi="宋体" w:cs="宋体"/>
          <w:b/>
          <w:color w:val="auto"/>
          <w:kern w:val="0"/>
          <w:sz w:val="22"/>
          <w:szCs w:val="22"/>
        </w:rPr>
        <w:t>二、申请人的资格要求</w:t>
      </w:r>
    </w:p>
    <w:p>
      <w:pPr>
        <w:widowControl/>
        <w:spacing w:before="60" w:after="60" w:line="360" w:lineRule="auto"/>
        <w:ind w:left="0" w:leftChars="0" w:right="60" w:firstLine="0" w:firstLineChars="0"/>
        <w:jc w:val="left"/>
        <w:rPr>
          <w:rFonts w:ascii="宋体" w:hAnsi="宋体" w:cs="hakuyoxingshu7000"/>
          <w:bCs/>
          <w:color w:val="auto"/>
          <w:kern w:val="0"/>
          <w:sz w:val="22"/>
          <w:szCs w:val="22"/>
        </w:rPr>
      </w:pPr>
      <w:r>
        <w:rPr>
          <w:rFonts w:hint="eastAsia" w:ascii="宋体" w:hAnsi="宋体" w:cs="hakuyoxingshu7000"/>
          <w:bCs/>
          <w:color w:val="auto"/>
          <w:kern w:val="0"/>
          <w:sz w:val="22"/>
          <w:szCs w:val="22"/>
        </w:rPr>
        <w:t>1.满足《中华人民共和国政府采购法》第二十二条的规定；未被“信用中国”（www.creditchina.gov.cn)、中国政府采购网（www.ccgp.gov.cn）列入失信被执行人、重大税收违法案件当事人名单、政府采购严重违法失信行为记录名单。</w:t>
      </w:r>
    </w:p>
    <w:p>
      <w:pPr>
        <w:widowControl/>
        <w:spacing w:before="60" w:after="60" w:line="360" w:lineRule="auto"/>
        <w:ind w:left="0" w:leftChars="0" w:right="60" w:firstLine="0" w:firstLineChars="0"/>
        <w:jc w:val="left"/>
        <w:rPr>
          <w:rFonts w:ascii="宋体" w:hAnsi="宋体" w:cs="新宋体"/>
          <w:bCs/>
          <w:color w:val="auto"/>
          <w:sz w:val="22"/>
        </w:rPr>
      </w:pPr>
      <w:r>
        <w:rPr>
          <w:rFonts w:hint="eastAsia" w:ascii="宋体" w:hAnsi="宋体" w:cs="hakuyoxingshu7000"/>
          <w:bCs/>
          <w:color w:val="auto"/>
          <w:kern w:val="0"/>
          <w:sz w:val="22"/>
          <w:szCs w:val="22"/>
        </w:rPr>
        <w:t>2.落实政府采购政策需满足的资格要求：无；</w:t>
      </w:r>
    </w:p>
    <w:p>
      <w:pPr>
        <w:widowControl/>
        <w:spacing w:before="60" w:after="60" w:line="360" w:lineRule="auto"/>
        <w:ind w:left="0" w:leftChars="0" w:right="60" w:firstLine="0" w:firstLineChars="0"/>
        <w:jc w:val="left"/>
        <w:rPr>
          <w:rFonts w:ascii="宋体" w:hAnsi="宋体" w:cs="hakuyoxingshu7000"/>
          <w:bCs/>
          <w:color w:val="auto"/>
          <w:kern w:val="0"/>
          <w:sz w:val="22"/>
          <w:szCs w:val="22"/>
        </w:rPr>
      </w:pPr>
      <w:r>
        <w:rPr>
          <w:rFonts w:hint="eastAsia" w:ascii="宋体" w:hAnsi="宋体" w:cs="hakuyoxingshu7000"/>
          <w:bCs/>
          <w:color w:val="auto"/>
          <w:kern w:val="0"/>
          <w:sz w:val="22"/>
          <w:szCs w:val="22"/>
        </w:rPr>
        <w:t>3.本项目的特定资格要求：</w:t>
      </w:r>
      <w:r>
        <w:rPr>
          <w:rFonts w:hint="eastAsia" w:ascii="宋体" w:hAnsi="宋体" w:cs="宋体"/>
          <w:bCs/>
          <w:color w:val="auto"/>
          <w:kern w:val="0"/>
          <w:sz w:val="22"/>
          <w:szCs w:val="22"/>
        </w:rPr>
        <w:t>无</w:t>
      </w:r>
      <w:r>
        <w:rPr>
          <w:rFonts w:hint="eastAsia" w:ascii="宋体" w:hAnsi="宋体" w:cs="hakuyoxingshu7000"/>
          <w:bCs/>
          <w:color w:val="auto"/>
          <w:kern w:val="0"/>
          <w:sz w:val="22"/>
          <w:szCs w:val="22"/>
        </w:rPr>
        <w:t>。</w:t>
      </w:r>
    </w:p>
    <w:p>
      <w:pPr>
        <w:widowControl/>
        <w:spacing w:before="60" w:after="60" w:line="360" w:lineRule="auto"/>
        <w:ind w:left="60" w:right="60"/>
        <w:jc w:val="left"/>
        <w:rPr>
          <w:rFonts w:ascii="宋体" w:hAnsi="宋体" w:cs="宋体"/>
          <w:b/>
          <w:color w:val="auto"/>
          <w:kern w:val="0"/>
          <w:sz w:val="22"/>
          <w:szCs w:val="22"/>
        </w:rPr>
      </w:pPr>
      <w:r>
        <w:rPr>
          <w:rFonts w:hint="eastAsia" w:ascii="宋体" w:hAnsi="宋体" w:cs="宋体"/>
          <w:b/>
          <w:color w:val="auto"/>
          <w:kern w:val="0"/>
          <w:sz w:val="22"/>
          <w:szCs w:val="22"/>
        </w:rPr>
        <w:t>三、获取招标文件</w:t>
      </w:r>
    </w:p>
    <w:p>
      <w:pPr>
        <w:widowControl/>
        <w:spacing w:before="60" w:after="60" w:line="360" w:lineRule="auto"/>
        <w:ind w:right="60" w:firstLine="0"/>
        <w:jc w:val="left"/>
        <w:rPr>
          <w:rFonts w:ascii="宋体" w:hAnsi="宋体" w:cs="宋体"/>
          <w:color w:val="auto"/>
          <w:kern w:val="0"/>
          <w:sz w:val="22"/>
          <w:szCs w:val="22"/>
        </w:rPr>
      </w:pPr>
      <w:r>
        <w:rPr>
          <w:rFonts w:hint="eastAsia" w:ascii="宋体" w:hAnsi="宋体" w:cs="宋体"/>
          <w:color w:val="auto"/>
          <w:kern w:val="0"/>
          <w:sz w:val="22"/>
          <w:szCs w:val="22"/>
        </w:rPr>
        <w:t>1.时间：公告发布之日起至投标截止时间前，每天上午08:30-11:30，下午14:30-17:30（节假日除外）。</w:t>
      </w:r>
    </w:p>
    <w:p>
      <w:pPr>
        <w:widowControl/>
        <w:spacing w:before="60" w:after="60" w:line="360" w:lineRule="auto"/>
        <w:ind w:right="60" w:firstLine="0"/>
        <w:jc w:val="left"/>
        <w:rPr>
          <w:rFonts w:ascii="宋体" w:hAnsi="宋体" w:cs="hakuyoxingshu7000"/>
          <w:color w:val="auto"/>
          <w:kern w:val="0"/>
          <w:sz w:val="22"/>
          <w:szCs w:val="22"/>
        </w:rPr>
      </w:pPr>
      <w:r>
        <w:rPr>
          <w:rFonts w:hint="eastAsia" w:ascii="宋体" w:hAnsi="宋体" w:cs="宋体"/>
          <w:color w:val="auto"/>
          <w:kern w:val="0"/>
          <w:sz w:val="22"/>
          <w:szCs w:val="22"/>
        </w:rPr>
        <w:t>2.地点：</w:t>
      </w:r>
      <w:r>
        <w:rPr>
          <w:rFonts w:hint="eastAsia" w:ascii="宋体" w:hAnsi="宋体" w:cs="hakuyoxingshu7000"/>
          <w:color w:val="auto"/>
          <w:kern w:val="0"/>
          <w:sz w:val="22"/>
          <w:szCs w:val="22"/>
        </w:rPr>
        <w:t>在政采云平台（www.zcygov.cn）</w:t>
      </w:r>
    </w:p>
    <w:p>
      <w:pPr>
        <w:widowControl/>
        <w:spacing w:before="60" w:after="60" w:line="360" w:lineRule="auto"/>
        <w:ind w:right="60" w:firstLine="0"/>
        <w:jc w:val="left"/>
        <w:rPr>
          <w:rFonts w:ascii="宋体" w:hAnsi="宋体"/>
          <w:color w:val="auto"/>
          <w:sz w:val="22"/>
          <w:szCs w:val="22"/>
        </w:rPr>
      </w:pPr>
      <w:r>
        <w:rPr>
          <w:rFonts w:hint="eastAsia" w:ascii="宋体" w:hAnsi="宋体" w:cs="宋体"/>
          <w:color w:val="auto"/>
          <w:kern w:val="0"/>
          <w:sz w:val="22"/>
          <w:szCs w:val="22"/>
        </w:rPr>
        <w:t>3.方式：</w:t>
      </w:r>
      <w:r>
        <w:rPr>
          <w:rFonts w:ascii="宋体" w:hAnsi="宋体"/>
          <w:color w:val="auto"/>
          <w:sz w:val="22"/>
          <w:szCs w:val="22"/>
        </w:rPr>
        <w:t>潜在投标人登陆政采云平台</w:t>
      </w:r>
      <w:r>
        <w:rPr>
          <w:rFonts w:hint="eastAsia" w:ascii="宋体" w:hAnsi="宋体" w:cs="hakuyoxingshu7000"/>
          <w:color w:val="auto"/>
          <w:kern w:val="0"/>
          <w:sz w:val="22"/>
          <w:szCs w:val="22"/>
        </w:rPr>
        <w:t>（www.zcygov.cn）</w:t>
      </w:r>
      <w:r>
        <w:rPr>
          <w:rFonts w:ascii="宋体" w:hAnsi="宋体"/>
          <w:color w:val="auto"/>
          <w:sz w:val="22"/>
          <w:szCs w:val="22"/>
        </w:rPr>
        <w:t>，在线申请获取</w:t>
      </w:r>
      <w:r>
        <w:rPr>
          <w:rFonts w:hint="eastAsia" w:ascii="宋体" w:hAnsi="宋体"/>
          <w:color w:val="auto"/>
          <w:sz w:val="22"/>
          <w:szCs w:val="22"/>
        </w:rPr>
        <w:t>采购文件</w:t>
      </w:r>
      <w:r>
        <w:rPr>
          <w:rFonts w:ascii="宋体" w:hAnsi="宋体"/>
          <w:color w:val="auto"/>
          <w:sz w:val="22"/>
          <w:szCs w:val="22"/>
        </w:rPr>
        <w:t>（</w:t>
      </w:r>
      <w:r>
        <w:rPr>
          <w:rFonts w:hint="eastAsia" w:ascii="宋体" w:hAnsi="宋体"/>
          <w:color w:val="auto"/>
          <w:sz w:val="22"/>
          <w:szCs w:val="22"/>
        </w:rPr>
        <w:t>进入</w:t>
      </w:r>
      <w:r>
        <w:rPr>
          <w:rFonts w:hint="eastAsia" w:ascii="宋体"/>
          <w:color w:val="auto"/>
          <w:sz w:val="22"/>
          <w:szCs w:val="22"/>
        </w:rPr>
        <w:t>“</w:t>
      </w:r>
      <w:r>
        <w:rPr>
          <w:rFonts w:hint="eastAsia" w:ascii="宋体" w:hAnsi="宋体"/>
          <w:color w:val="auto"/>
          <w:sz w:val="22"/>
          <w:szCs w:val="22"/>
        </w:rPr>
        <w:t>项目采购</w:t>
      </w:r>
      <w:r>
        <w:rPr>
          <w:rFonts w:hint="eastAsia" w:ascii="宋体"/>
          <w:color w:val="auto"/>
          <w:sz w:val="22"/>
          <w:szCs w:val="22"/>
        </w:rPr>
        <w:t>”</w:t>
      </w:r>
      <w:r>
        <w:rPr>
          <w:rFonts w:hint="eastAsia" w:ascii="宋体" w:hAnsi="宋体"/>
          <w:color w:val="auto"/>
          <w:sz w:val="22"/>
          <w:szCs w:val="22"/>
        </w:rPr>
        <w:t>应用，在获取采购文件菜单中选择项目，申请获取采购文件；仅需浏览采购文件的投标人可点击</w:t>
      </w:r>
      <w:r>
        <w:rPr>
          <w:rFonts w:hint="eastAsia" w:ascii="宋体"/>
          <w:color w:val="auto"/>
          <w:sz w:val="22"/>
          <w:szCs w:val="22"/>
        </w:rPr>
        <w:t>“</w:t>
      </w:r>
      <w:r>
        <w:rPr>
          <w:rFonts w:hint="eastAsia" w:ascii="宋体" w:hAnsi="宋体"/>
          <w:color w:val="auto"/>
          <w:sz w:val="22"/>
          <w:szCs w:val="22"/>
        </w:rPr>
        <w:t>游客，浏览采购文件</w:t>
      </w:r>
      <w:r>
        <w:rPr>
          <w:rFonts w:hint="eastAsia" w:ascii="宋体"/>
          <w:color w:val="auto"/>
          <w:sz w:val="22"/>
          <w:szCs w:val="22"/>
        </w:rPr>
        <w:t>”</w:t>
      </w:r>
      <w:r>
        <w:rPr>
          <w:rFonts w:hint="eastAsia" w:ascii="宋体" w:hAnsi="宋体"/>
          <w:color w:val="auto"/>
          <w:sz w:val="22"/>
          <w:szCs w:val="22"/>
        </w:rPr>
        <w:t>直接下载采购文件浏览</w:t>
      </w:r>
      <w:r>
        <w:rPr>
          <w:rFonts w:ascii="宋体" w:hAnsi="宋体"/>
          <w:color w:val="auto"/>
          <w:sz w:val="22"/>
          <w:szCs w:val="22"/>
        </w:rPr>
        <w:t>）。</w:t>
      </w:r>
    </w:p>
    <w:p>
      <w:pPr>
        <w:widowControl/>
        <w:spacing w:before="60" w:after="60" w:line="360" w:lineRule="auto"/>
        <w:ind w:right="60" w:firstLine="0"/>
        <w:jc w:val="left"/>
        <w:rPr>
          <w:rFonts w:ascii="宋体"/>
          <w:color w:val="auto"/>
          <w:sz w:val="22"/>
          <w:szCs w:val="22"/>
        </w:rPr>
      </w:pPr>
      <w:r>
        <w:rPr>
          <w:rFonts w:hint="eastAsia" w:ascii="宋体" w:hAnsi="宋体" w:cs="宋体"/>
          <w:b/>
          <w:color w:val="auto"/>
          <w:kern w:val="0"/>
          <w:sz w:val="22"/>
          <w:szCs w:val="22"/>
        </w:rPr>
        <w:t>投标人只有在“政采云平台”完成获取采购文件申请并下载了采购文件后才视作依法获取采购文件（法律法规所指的投标人获取采购文件时间以投标人完成获取采购文件申请后下载采购文件的时间为准）。未依法获取采购文件的潜在投标人对采购文件提起质疑投诉，不予受理。</w:t>
      </w:r>
    </w:p>
    <w:p>
      <w:pPr>
        <w:widowControl/>
        <w:spacing w:before="60" w:after="60" w:line="360" w:lineRule="auto"/>
        <w:ind w:right="60" w:firstLine="0"/>
        <w:jc w:val="left"/>
        <w:rPr>
          <w:rFonts w:ascii="宋体" w:cs="宋体"/>
          <w:b/>
          <w:color w:val="auto"/>
          <w:kern w:val="0"/>
          <w:sz w:val="22"/>
          <w:szCs w:val="22"/>
        </w:rPr>
      </w:pPr>
      <w:r>
        <w:rPr>
          <w:rFonts w:ascii="宋体" w:hAnsi="宋体" w:cs="宋体"/>
          <w:color w:val="auto"/>
          <w:kern w:val="0"/>
          <w:sz w:val="22"/>
          <w:szCs w:val="22"/>
        </w:rPr>
        <w:t>4</w:t>
      </w:r>
      <w:r>
        <w:rPr>
          <w:rFonts w:hint="eastAsia" w:ascii="宋体" w:hAnsi="宋体" w:cs="宋体"/>
          <w:color w:val="auto"/>
          <w:kern w:val="0"/>
          <w:sz w:val="22"/>
          <w:szCs w:val="22"/>
        </w:rPr>
        <w:t>．售价（元）：0</w:t>
      </w:r>
    </w:p>
    <w:p>
      <w:pPr>
        <w:widowControl/>
        <w:spacing w:before="60" w:after="60" w:line="360" w:lineRule="auto"/>
        <w:ind w:left="60" w:right="60"/>
        <w:jc w:val="left"/>
        <w:rPr>
          <w:rFonts w:ascii="宋体" w:hAnsi="宋体" w:cs="宋体"/>
          <w:b/>
          <w:bCs/>
          <w:color w:val="auto"/>
          <w:kern w:val="0"/>
          <w:sz w:val="22"/>
          <w:szCs w:val="22"/>
        </w:rPr>
      </w:pPr>
      <w:r>
        <w:rPr>
          <w:rFonts w:hint="eastAsia" w:ascii="宋体" w:hAnsi="宋体" w:cs="宋体"/>
          <w:b/>
          <w:bCs/>
          <w:color w:val="auto"/>
          <w:kern w:val="0"/>
          <w:sz w:val="22"/>
          <w:szCs w:val="22"/>
        </w:rPr>
        <w:t>四、提交投标文件截止时间、开标时间和地点</w:t>
      </w:r>
    </w:p>
    <w:p>
      <w:pPr>
        <w:widowControl/>
        <w:spacing w:before="60" w:after="60" w:line="360" w:lineRule="auto"/>
        <w:ind w:left="61" w:leftChars="29" w:right="60" w:firstLine="0" w:firstLineChars="0"/>
        <w:jc w:val="left"/>
        <w:rPr>
          <w:rFonts w:ascii="宋体" w:hAnsi="宋体" w:cs="宋体"/>
          <w:color w:val="auto"/>
          <w:kern w:val="0"/>
          <w:sz w:val="22"/>
          <w:szCs w:val="22"/>
        </w:rPr>
      </w:pPr>
      <w:r>
        <w:rPr>
          <w:rFonts w:hint="eastAsia" w:ascii="宋体" w:hAnsi="宋体" w:cs="宋体"/>
          <w:color w:val="auto"/>
          <w:kern w:val="0"/>
          <w:sz w:val="22"/>
          <w:szCs w:val="22"/>
        </w:rPr>
        <w:t>投标文件提交截止时间：202</w:t>
      </w:r>
      <w:r>
        <w:rPr>
          <w:rFonts w:hint="eastAsia" w:ascii="宋体" w:hAnsi="宋体" w:cs="宋体"/>
          <w:color w:val="auto"/>
          <w:kern w:val="0"/>
          <w:sz w:val="22"/>
          <w:szCs w:val="22"/>
          <w:lang w:val="en-US" w:eastAsia="zh-CN"/>
        </w:rPr>
        <w:t>5</w:t>
      </w:r>
      <w:r>
        <w:rPr>
          <w:rFonts w:hint="eastAsia" w:ascii="宋体" w:hAnsi="宋体" w:cs="宋体"/>
          <w:color w:val="auto"/>
          <w:kern w:val="0"/>
          <w:sz w:val="22"/>
          <w:szCs w:val="22"/>
        </w:rPr>
        <w:t>年</w:t>
      </w:r>
      <w:r>
        <w:rPr>
          <w:rFonts w:hint="eastAsia" w:ascii="宋体" w:hAnsi="宋体" w:cs="宋体"/>
          <w:color w:val="auto"/>
          <w:kern w:val="0"/>
          <w:sz w:val="22"/>
          <w:szCs w:val="22"/>
          <w:lang w:val="en-US" w:eastAsia="zh-CN"/>
        </w:rPr>
        <w:t>04</w:t>
      </w:r>
      <w:r>
        <w:rPr>
          <w:rFonts w:hint="eastAsia" w:ascii="宋体" w:hAnsi="宋体" w:cs="宋体"/>
          <w:color w:val="auto"/>
          <w:kern w:val="0"/>
          <w:sz w:val="22"/>
          <w:szCs w:val="22"/>
        </w:rPr>
        <w:t>月</w:t>
      </w:r>
      <w:r>
        <w:rPr>
          <w:rFonts w:hint="eastAsia" w:ascii="宋体" w:hAnsi="宋体" w:cs="宋体"/>
          <w:color w:val="auto"/>
          <w:kern w:val="0"/>
          <w:sz w:val="22"/>
          <w:szCs w:val="22"/>
          <w:lang w:val="en-US" w:eastAsia="zh-CN"/>
        </w:rPr>
        <w:t>22</w:t>
      </w:r>
      <w:r>
        <w:rPr>
          <w:rFonts w:hint="eastAsia" w:ascii="宋体" w:hAnsi="宋体" w:cs="宋体"/>
          <w:color w:val="auto"/>
          <w:kern w:val="0"/>
          <w:sz w:val="22"/>
          <w:szCs w:val="22"/>
        </w:rPr>
        <w:t>日14:30（北京时间）</w:t>
      </w:r>
    </w:p>
    <w:p>
      <w:pPr>
        <w:widowControl/>
        <w:spacing w:before="60" w:after="60" w:line="360" w:lineRule="auto"/>
        <w:ind w:left="61" w:leftChars="29" w:right="60" w:firstLine="0" w:firstLineChars="0"/>
        <w:jc w:val="left"/>
        <w:rPr>
          <w:rFonts w:ascii="宋体" w:hAnsi="宋体" w:cs="宋体"/>
          <w:color w:val="auto"/>
          <w:kern w:val="0"/>
          <w:sz w:val="22"/>
          <w:szCs w:val="22"/>
        </w:rPr>
      </w:pPr>
      <w:r>
        <w:rPr>
          <w:rFonts w:hint="eastAsia" w:ascii="宋体" w:hAnsi="宋体" w:cs="宋体"/>
          <w:color w:val="auto"/>
          <w:kern w:val="0"/>
          <w:sz w:val="22"/>
          <w:szCs w:val="22"/>
        </w:rPr>
        <w:t>投标地点（网址）：</w:t>
      </w:r>
      <w:bookmarkStart w:id="1095" w:name="_GoBack"/>
      <w:r>
        <w:rPr>
          <w:rFonts w:hint="eastAsia" w:ascii="宋体" w:hAnsi="宋体" w:cs="宋体"/>
          <w:color w:val="auto"/>
          <w:kern w:val="0"/>
          <w:sz w:val="22"/>
          <w:szCs w:val="22"/>
        </w:rPr>
        <w:t>政府采购云平台在线投标，投标供应商无须前往评审现场。</w:t>
      </w:r>
      <w:bookmarkEnd w:id="1095"/>
      <w:r>
        <w:rPr>
          <w:rFonts w:hint="eastAsia" w:ascii="宋体" w:hAnsi="宋体" w:cs="宋体"/>
          <w:color w:val="auto"/>
          <w:kern w:val="0"/>
          <w:sz w:val="22"/>
          <w:szCs w:val="22"/>
        </w:rPr>
        <w:t xml:space="preserve"> </w:t>
      </w:r>
    </w:p>
    <w:p>
      <w:pPr>
        <w:widowControl/>
        <w:spacing w:before="60" w:after="60" w:line="360" w:lineRule="auto"/>
        <w:ind w:left="61" w:leftChars="29" w:right="60" w:firstLine="0" w:firstLineChars="0"/>
        <w:jc w:val="left"/>
        <w:rPr>
          <w:rFonts w:ascii="宋体" w:hAnsi="宋体" w:cs="宋体"/>
          <w:color w:val="auto"/>
          <w:kern w:val="0"/>
          <w:sz w:val="22"/>
          <w:szCs w:val="22"/>
        </w:rPr>
      </w:pPr>
      <w:r>
        <w:rPr>
          <w:rFonts w:hint="eastAsia" w:ascii="宋体" w:hAnsi="宋体" w:cs="宋体"/>
          <w:color w:val="auto"/>
          <w:kern w:val="0"/>
          <w:sz w:val="22"/>
          <w:szCs w:val="22"/>
        </w:rPr>
        <w:t>开标时间：202</w:t>
      </w:r>
      <w:r>
        <w:rPr>
          <w:rFonts w:hint="eastAsia" w:ascii="宋体" w:hAnsi="宋体" w:cs="宋体"/>
          <w:color w:val="auto"/>
          <w:kern w:val="0"/>
          <w:sz w:val="22"/>
          <w:szCs w:val="22"/>
          <w:lang w:val="en-US" w:eastAsia="zh-CN"/>
        </w:rPr>
        <w:t>5</w:t>
      </w:r>
      <w:r>
        <w:rPr>
          <w:rFonts w:hint="eastAsia" w:ascii="宋体" w:hAnsi="宋体" w:cs="宋体"/>
          <w:color w:val="auto"/>
          <w:kern w:val="0"/>
          <w:sz w:val="22"/>
          <w:szCs w:val="22"/>
        </w:rPr>
        <w:t>年</w:t>
      </w:r>
      <w:r>
        <w:rPr>
          <w:rFonts w:hint="eastAsia" w:ascii="宋体" w:hAnsi="宋体" w:cs="宋体"/>
          <w:color w:val="auto"/>
          <w:kern w:val="0"/>
          <w:sz w:val="22"/>
          <w:szCs w:val="22"/>
          <w:lang w:val="en-US" w:eastAsia="zh-CN"/>
        </w:rPr>
        <w:t>04</w:t>
      </w:r>
      <w:r>
        <w:rPr>
          <w:rFonts w:hint="eastAsia" w:ascii="宋体" w:hAnsi="宋体" w:cs="宋体"/>
          <w:color w:val="auto"/>
          <w:kern w:val="0"/>
          <w:sz w:val="22"/>
          <w:szCs w:val="22"/>
        </w:rPr>
        <w:t>月</w:t>
      </w:r>
      <w:r>
        <w:rPr>
          <w:rFonts w:hint="eastAsia" w:ascii="宋体" w:hAnsi="宋体" w:cs="宋体"/>
          <w:color w:val="auto"/>
          <w:kern w:val="0"/>
          <w:sz w:val="22"/>
          <w:szCs w:val="22"/>
          <w:lang w:val="en-US" w:eastAsia="zh-CN"/>
        </w:rPr>
        <w:t>22</w:t>
      </w:r>
      <w:r>
        <w:rPr>
          <w:rFonts w:hint="eastAsia" w:ascii="宋体" w:hAnsi="宋体" w:cs="宋体"/>
          <w:color w:val="auto"/>
          <w:kern w:val="0"/>
          <w:sz w:val="22"/>
          <w:szCs w:val="22"/>
        </w:rPr>
        <w:t>日14:30</w:t>
      </w:r>
    </w:p>
    <w:p>
      <w:pPr>
        <w:widowControl/>
        <w:spacing w:before="60" w:after="60" w:line="360" w:lineRule="auto"/>
        <w:ind w:left="61" w:leftChars="29" w:right="60" w:firstLine="0" w:firstLineChars="0"/>
        <w:jc w:val="left"/>
        <w:rPr>
          <w:rFonts w:ascii="宋体" w:hAnsi="宋体" w:cs="宋体"/>
          <w:color w:val="auto"/>
          <w:kern w:val="0"/>
          <w:sz w:val="22"/>
          <w:szCs w:val="22"/>
        </w:rPr>
      </w:pPr>
      <w:r>
        <w:rPr>
          <w:rFonts w:hint="eastAsia" w:ascii="宋体" w:hAnsi="宋体" w:cs="宋体"/>
          <w:color w:val="auto"/>
          <w:kern w:val="0"/>
          <w:sz w:val="22"/>
          <w:szCs w:val="22"/>
        </w:rPr>
        <w:t>开标地点（网址）：</w:t>
      </w:r>
      <w:bookmarkStart w:id="29" w:name="OLE_LINK15"/>
      <w:r>
        <w:rPr>
          <w:rFonts w:hint="eastAsia" w:ascii="宋体" w:hAnsi="宋体" w:cs="宋体"/>
          <w:color w:val="auto"/>
          <w:kern w:val="0"/>
          <w:sz w:val="22"/>
          <w:szCs w:val="22"/>
        </w:rPr>
        <w:t>温州市洞头区政务服务中心2楼</w:t>
      </w:r>
      <w:r>
        <w:rPr>
          <w:rFonts w:hint="eastAsia" w:ascii="宋体" w:hAnsi="宋体" w:cs="宋体"/>
          <w:color w:val="auto"/>
          <w:kern w:val="0"/>
          <w:sz w:val="22"/>
          <w:szCs w:val="22"/>
          <w:lang w:val="en-US" w:eastAsia="zh-CN"/>
        </w:rPr>
        <w:t>/</w:t>
      </w:r>
      <w:r>
        <w:rPr>
          <w:rFonts w:hint="eastAsia" w:ascii="宋体" w:hAnsi="宋体" w:cs="宋体"/>
          <w:color w:val="auto"/>
          <w:kern w:val="0"/>
          <w:sz w:val="22"/>
          <w:szCs w:val="22"/>
        </w:rPr>
        <w:t>（政采云平台：http://zfcg.czt.zj.gov.cn）</w:t>
      </w:r>
      <w:bookmarkEnd w:id="29"/>
    </w:p>
    <w:p>
      <w:pPr>
        <w:widowControl/>
        <w:spacing w:before="60" w:after="60" w:line="360" w:lineRule="auto"/>
        <w:ind w:left="60" w:right="60"/>
        <w:jc w:val="left"/>
        <w:rPr>
          <w:rFonts w:ascii="宋体" w:hAnsi="宋体" w:cs="宋体"/>
          <w:b/>
          <w:color w:val="auto"/>
          <w:kern w:val="0"/>
          <w:sz w:val="22"/>
          <w:szCs w:val="22"/>
        </w:rPr>
      </w:pPr>
      <w:r>
        <w:rPr>
          <w:rFonts w:hint="eastAsia" w:ascii="宋体" w:hAnsi="宋体" w:cs="宋体"/>
          <w:b/>
          <w:color w:val="auto"/>
          <w:kern w:val="0"/>
          <w:sz w:val="22"/>
          <w:szCs w:val="22"/>
        </w:rPr>
        <w:t>五、公告期限</w:t>
      </w:r>
    </w:p>
    <w:p>
      <w:pPr>
        <w:widowControl/>
        <w:spacing w:before="60" w:after="60" w:line="360" w:lineRule="auto"/>
        <w:ind w:left="61" w:leftChars="29" w:right="60" w:firstLine="0" w:firstLineChars="0"/>
        <w:jc w:val="left"/>
        <w:rPr>
          <w:rFonts w:ascii="宋体" w:hAnsi="宋体" w:cs="宋体"/>
          <w:color w:val="auto"/>
          <w:kern w:val="0"/>
          <w:sz w:val="22"/>
          <w:szCs w:val="22"/>
        </w:rPr>
      </w:pPr>
      <w:r>
        <w:rPr>
          <w:rFonts w:hint="eastAsia" w:ascii="宋体" w:hAnsi="宋体" w:cs="宋体"/>
          <w:color w:val="auto"/>
          <w:kern w:val="0"/>
          <w:sz w:val="22"/>
          <w:szCs w:val="22"/>
        </w:rPr>
        <w:t>自本公告发布之日起5个工作日。</w:t>
      </w:r>
    </w:p>
    <w:p>
      <w:pPr>
        <w:widowControl/>
        <w:spacing w:before="60" w:after="60" w:line="360" w:lineRule="auto"/>
        <w:ind w:left="60" w:right="60"/>
        <w:jc w:val="left"/>
        <w:rPr>
          <w:rFonts w:ascii="宋体" w:hAnsi="宋体" w:cs="宋体"/>
          <w:b/>
          <w:color w:val="auto"/>
          <w:kern w:val="0"/>
          <w:sz w:val="22"/>
          <w:szCs w:val="22"/>
        </w:rPr>
      </w:pPr>
      <w:r>
        <w:rPr>
          <w:rFonts w:hint="eastAsia" w:ascii="宋体" w:hAnsi="宋体" w:cs="宋体"/>
          <w:b/>
          <w:color w:val="auto"/>
          <w:kern w:val="0"/>
          <w:sz w:val="22"/>
          <w:szCs w:val="22"/>
        </w:rPr>
        <w:t>六、其他补充事宜</w:t>
      </w:r>
    </w:p>
    <w:p>
      <w:pPr>
        <w:widowControl/>
        <w:spacing w:line="360" w:lineRule="auto"/>
        <w:ind w:firstLine="0" w:firstLineChars="0"/>
        <w:jc w:val="left"/>
        <w:rPr>
          <w:rFonts w:ascii="宋体" w:hAnsi="宋体" w:cs="宋体"/>
          <w:color w:val="auto"/>
          <w:sz w:val="22"/>
          <w:szCs w:val="22"/>
        </w:rPr>
      </w:pPr>
      <w:r>
        <w:rPr>
          <w:rFonts w:hint="eastAsia" w:ascii="宋体" w:hAnsi="宋体" w:cs="宋体"/>
          <w:color w:val="auto"/>
          <w:sz w:val="22"/>
          <w:szCs w:val="22"/>
        </w:rPr>
        <w:t>1.投标人认为招标文件使自己的权益受到损害的，可以自获取招标文件之日或者招标公告期限届满之日（公告期限届满后获取招标文件的，以公告期限届满之日为准）起7个工作日内，对招标文件需求的以书面形式向采购人提出质疑，对其他内容的以书面形式向采购人和采购代理机构提出质疑。质疑人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widowControl/>
        <w:spacing w:line="360" w:lineRule="auto"/>
        <w:ind w:firstLine="0" w:firstLineChars="0"/>
        <w:jc w:val="left"/>
        <w:rPr>
          <w:rFonts w:ascii="宋体" w:hAnsi="宋体" w:cs="宋体"/>
          <w:color w:val="auto"/>
          <w:sz w:val="22"/>
          <w:szCs w:val="22"/>
        </w:rPr>
      </w:pPr>
      <w:r>
        <w:rPr>
          <w:rFonts w:hint="eastAsia" w:ascii="宋体" w:hAnsi="宋体" w:cs="宋体"/>
          <w:color w:val="auto"/>
          <w:sz w:val="22"/>
          <w:szCs w:val="22"/>
        </w:rPr>
        <w:t>2.《浙江省财政厅关于进一步加大政府采购支持中小企业力度助力扎实稳住经济的通知》(浙财采监〔2022〕8号)、《浙江省财政厅关于进一步发挥政府采购政策功能全力推动经济稳进提质的通知》（浙财采监（2022）3号）、《浙江省财政厅关于进一步促进政府采购公平竞争打造最优营商环境的通知》（浙财采监（2021）22号）已分别于2022年7月1日、2022年1月29日和2022年2月1日开始实施，此前有关规定与上述文件内容不一致的，按上述文件要求执行。</w:t>
      </w:r>
    </w:p>
    <w:p>
      <w:pPr>
        <w:widowControl/>
        <w:spacing w:line="360" w:lineRule="auto"/>
        <w:ind w:firstLine="0" w:firstLineChars="0"/>
        <w:jc w:val="left"/>
        <w:rPr>
          <w:rFonts w:ascii="宋体" w:hAnsi="宋体" w:cs="宋体"/>
          <w:color w:val="auto"/>
          <w:sz w:val="22"/>
          <w:szCs w:val="22"/>
        </w:rPr>
      </w:pPr>
      <w:r>
        <w:rPr>
          <w:rFonts w:hint="eastAsia" w:ascii="宋体" w:hAnsi="宋体" w:cs="宋体"/>
          <w:color w:val="auto"/>
          <w:sz w:val="22"/>
          <w:szCs w:val="22"/>
        </w:rPr>
        <w:t>3.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pPr>
        <w:widowControl/>
        <w:spacing w:line="360" w:lineRule="auto"/>
        <w:ind w:firstLine="0" w:firstLineChars="0"/>
        <w:jc w:val="left"/>
        <w:rPr>
          <w:rFonts w:ascii="宋体" w:hAnsi="宋体" w:cs="宋体"/>
          <w:color w:val="auto"/>
          <w:sz w:val="22"/>
          <w:szCs w:val="22"/>
        </w:rPr>
      </w:pPr>
      <w:r>
        <w:rPr>
          <w:rFonts w:hint="eastAsia" w:ascii="宋体" w:hAnsi="宋体" w:cs="宋体"/>
          <w:color w:val="auto"/>
          <w:sz w:val="22"/>
          <w:szCs w:val="22"/>
        </w:rPr>
        <w:t>4.其他事项：（1）电子招投标：本项目以数据电文形式，依托“政采云平台（www.zcygov.cn）”进行招投标活动，各投标人应按照本项目招标文件和政采云平台的要求编制、加密并递交投标文件，不接受纸质投标文件。</w:t>
      </w:r>
    </w:p>
    <w:p>
      <w:pPr>
        <w:widowControl/>
        <w:spacing w:line="360" w:lineRule="auto"/>
        <w:jc w:val="left"/>
        <w:rPr>
          <w:rFonts w:ascii="宋体" w:hAnsi="宋体" w:cs="宋体"/>
          <w:color w:val="auto"/>
          <w:sz w:val="22"/>
          <w:szCs w:val="22"/>
        </w:rPr>
      </w:pPr>
      <w:r>
        <w:rPr>
          <w:rFonts w:hint="eastAsia" w:ascii="宋体" w:hAnsi="宋体" w:cs="宋体"/>
          <w:color w:val="auto"/>
          <w:sz w:val="22"/>
          <w:szCs w:val="22"/>
        </w:rPr>
        <w:t>（2）投标准备：</w:t>
      </w:r>
    </w:p>
    <w:p>
      <w:pPr>
        <w:widowControl/>
        <w:spacing w:line="360" w:lineRule="auto"/>
        <w:jc w:val="left"/>
        <w:rPr>
          <w:rFonts w:ascii="宋体" w:hAnsi="宋体" w:cs="宋体"/>
          <w:color w:val="auto"/>
          <w:sz w:val="22"/>
          <w:szCs w:val="22"/>
        </w:rPr>
      </w:pPr>
      <w:r>
        <w:rPr>
          <w:rFonts w:hint="eastAsia" w:ascii="宋体" w:hAnsi="宋体" w:cs="宋体"/>
          <w:color w:val="auto"/>
          <w:sz w:val="22"/>
          <w:szCs w:val="22"/>
        </w:rPr>
        <w:t>1)注册账号--点击“商家入驻”，进行政府采购供应商资料填写，通过审核后可成为正式供应商；</w:t>
      </w:r>
    </w:p>
    <w:p>
      <w:pPr>
        <w:widowControl/>
        <w:spacing w:line="360" w:lineRule="auto"/>
        <w:jc w:val="left"/>
        <w:rPr>
          <w:rFonts w:ascii="宋体" w:hAnsi="宋体" w:cs="宋体"/>
          <w:color w:val="auto"/>
          <w:sz w:val="22"/>
          <w:szCs w:val="22"/>
        </w:rPr>
      </w:pPr>
      <w:r>
        <w:rPr>
          <w:rFonts w:hint="eastAsia" w:ascii="宋体" w:hAnsi="宋体" w:cs="宋体"/>
          <w:color w:val="auto"/>
          <w:sz w:val="22"/>
          <w:szCs w:val="22"/>
        </w:rPr>
        <w:t>2)申领CA数字证书---申领流程详见“浙江政府采购网-下载专区-电子交易客户端-CA驱动和申领流程”：投标人应在开标前完成CA数字证书办理，完成CA数字证书办理预计1-2周左右，各投标人应充分考虑办理时间等因素。</w:t>
      </w:r>
    </w:p>
    <w:p>
      <w:pPr>
        <w:widowControl/>
        <w:spacing w:line="360" w:lineRule="auto"/>
        <w:jc w:val="left"/>
        <w:rPr>
          <w:rFonts w:ascii="宋体" w:hAnsi="宋体" w:cs="宋体"/>
          <w:color w:val="auto"/>
          <w:sz w:val="22"/>
          <w:szCs w:val="22"/>
        </w:rPr>
      </w:pPr>
      <w:r>
        <w:rPr>
          <w:rFonts w:hint="eastAsia" w:ascii="宋体" w:hAnsi="宋体" w:cs="宋体"/>
          <w:color w:val="auto"/>
          <w:sz w:val="22"/>
          <w:szCs w:val="22"/>
        </w:rPr>
        <w:t>办理流程详见:《CA证书办理操作指南》https://service.zcygov.cn/#/knowledges/cm2eqWwBFdiHxlNd_otq/lwV6GXABiyELHE-oVMj3</w:t>
      </w:r>
    </w:p>
    <w:p>
      <w:pPr>
        <w:widowControl/>
        <w:spacing w:line="360" w:lineRule="auto"/>
        <w:jc w:val="left"/>
        <w:rPr>
          <w:rFonts w:ascii="宋体" w:hAnsi="宋体" w:cs="宋体"/>
          <w:color w:val="auto"/>
          <w:sz w:val="22"/>
          <w:szCs w:val="22"/>
        </w:rPr>
      </w:pPr>
      <w:r>
        <w:rPr>
          <w:rFonts w:hint="eastAsia" w:ascii="宋体" w:hAnsi="宋体" w:cs="宋体"/>
          <w:color w:val="auto"/>
          <w:sz w:val="22"/>
          <w:szCs w:val="22"/>
        </w:rPr>
        <w:t>CA热点问题汇总：https://service.zcygov.cn/#/knowledges/depk120BkjoVoiMyPhAJ/8QejCnEBiyELHE-ohzp-</w:t>
      </w:r>
    </w:p>
    <w:p>
      <w:pPr>
        <w:widowControl/>
        <w:spacing w:line="360" w:lineRule="auto"/>
        <w:jc w:val="left"/>
        <w:rPr>
          <w:rFonts w:ascii="宋体" w:hAnsi="宋体" w:cs="宋体"/>
          <w:color w:val="auto"/>
          <w:sz w:val="22"/>
          <w:szCs w:val="22"/>
        </w:rPr>
      </w:pPr>
      <w:r>
        <w:rPr>
          <w:rFonts w:hint="eastAsia" w:ascii="宋体" w:hAnsi="宋体" w:cs="宋体"/>
          <w:color w:val="auto"/>
          <w:sz w:val="22"/>
          <w:szCs w:val="22"/>
        </w:rPr>
        <w:t>3)安装“政采云电子交易客户端”----投标人通过政采云平台电子投标工具制作投标文件，前往“浙江政府采购网-下载专区-电子交易客户端”进行下载并安装。政采云电子交易客户端：http://zfcg.czt.zj.gov.cn/bidClientTemplate/2019-05-27/12946.html</w:t>
      </w:r>
    </w:p>
    <w:p>
      <w:pPr>
        <w:widowControl/>
        <w:spacing w:line="360" w:lineRule="auto"/>
        <w:jc w:val="left"/>
        <w:rPr>
          <w:rFonts w:ascii="宋体" w:hAnsi="宋体" w:cs="宋体"/>
          <w:color w:val="auto"/>
          <w:sz w:val="22"/>
          <w:szCs w:val="22"/>
        </w:rPr>
      </w:pPr>
      <w:r>
        <w:rPr>
          <w:rFonts w:hint="eastAsia" w:ascii="宋体" w:hAnsi="宋体" w:cs="宋体"/>
          <w:color w:val="auto"/>
          <w:sz w:val="22"/>
          <w:szCs w:val="22"/>
        </w:rPr>
        <w:t>（3）投标文件的制作：在“政采云电子交易客户端”中完成“填写基本信息”、“导入投标文件”、“标书关联”、“标书检查”、“电子签名”、“生成电子标书”等操作。</w:t>
      </w:r>
    </w:p>
    <w:p>
      <w:pPr>
        <w:widowControl/>
        <w:spacing w:line="360" w:lineRule="auto"/>
        <w:jc w:val="left"/>
        <w:rPr>
          <w:rFonts w:ascii="宋体" w:hAnsi="宋体" w:cs="宋体"/>
          <w:color w:val="auto"/>
          <w:sz w:val="22"/>
          <w:szCs w:val="22"/>
        </w:rPr>
      </w:pPr>
      <w:r>
        <w:rPr>
          <w:rFonts w:hint="eastAsia" w:ascii="宋体" w:hAnsi="宋体" w:cs="宋体"/>
          <w:color w:val="auto"/>
          <w:sz w:val="22"/>
          <w:szCs w:val="22"/>
        </w:rPr>
        <w:t>（4）投标文件的传输递交：投标人在投标截止时间前将加密的投标文件上传至政采云平台。</w:t>
      </w:r>
    </w:p>
    <w:p>
      <w:pPr>
        <w:widowControl/>
        <w:spacing w:line="360" w:lineRule="auto"/>
        <w:jc w:val="left"/>
        <w:rPr>
          <w:rFonts w:ascii="宋体" w:hAnsi="宋体" w:cs="宋体"/>
          <w:color w:val="auto"/>
          <w:sz w:val="22"/>
          <w:szCs w:val="22"/>
        </w:rPr>
      </w:pPr>
      <w:r>
        <w:rPr>
          <w:rFonts w:hint="eastAsia" w:ascii="宋体" w:hAnsi="宋体" w:cs="宋体"/>
          <w:color w:val="auto"/>
          <w:sz w:val="22"/>
          <w:szCs w:val="22"/>
        </w:rPr>
        <w:t>（5）投标文件的解密：投标人按照平台提示和招标文件的规定在开标时间起30分钟内完成在线解密。</w:t>
      </w:r>
    </w:p>
    <w:p>
      <w:pPr>
        <w:widowControl/>
        <w:spacing w:line="360" w:lineRule="auto"/>
        <w:jc w:val="left"/>
        <w:rPr>
          <w:rFonts w:ascii="宋体" w:hAnsi="宋体" w:cs="宋体"/>
          <w:color w:val="auto"/>
          <w:sz w:val="22"/>
          <w:szCs w:val="22"/>
        </w:rPr>
      </w:pPr>
      <w:r>
        <w:rPr>
          <w:rFonts w:hint="eastAsia" w:ascii="宋体" w:hAnsi="宋体" w:cs="宋体"/>
          <w:color w:val="auto"/>
          <w:sz w:val="22"/>
          <w:szCs w:val="22"/>
        </w:rPr>
        <w:t>（6）具体操作指南：详见政采云平台“服务中心-帮助文档-项目采购-操作流程-电子招投标-政府采购项目电子交易管理操作指南-供应商”：浙江省政府采购项目政采云平台学习专题https://edu.zcygov.cn/luban/e-biding。</w:t>
      </w:r>
    </w:p>
    <w:p>
      <w:pPr>
        <w:widowControl/>
        <w:spacing w:before="60" w:after="60" w:line="360" w:lineRule="auto"/>
        <w:ind w:left="60" w:right="60"/>
        <w:jc w:val="left"/>
        <w:rPr>
          <w:rFonts w:ascii="宋体" w:hAnsi="宋体" w:cs="宋体"/>
          <w:color w:val="auto"/>
          <w:kern w:val="0"/>
          <w:sz w:val="22"/>
          <w:szCs w:val="22"/>
        </w:rPr>
      </w:pPr>
      <w:r>
        <w:rPr>
          <w:rFonts w:hint="eastAsia" w:ascii="宋体" w:hAnsi="宋体" w:cs="宋体"/>
          <w:b/>
          <w:color w:val="auto"/>
          <w:kern w:val="0"/>
          <w:sz w:val="22"/>
          <w:szCs w:val="22"/>
        </w:rPr>
        <w:t>七、</w:t>
      </w:r>
      <w:r>
        <w:rPr>
          <w:rFonts w:ascii="宋体" w:hAnsi="宋体" w:cs="宋体"/>
          <w:b/>
          <w:bCs/>
          <w:color w:val="auto"/>
          <w:kern w:val="0"/>
          <w:sz w:val="22"/>
          <w:szCs w:val="22"/>
        </w:rPr>
        <w:t>对本次招标提出询问、质疑、投诉，请按以下方式联系</w:t>
      </w:r>
    </w:p>
    <w:p>
      <w:pPr>
        <w:widowControl/>
        <w:spacing w:before="60" w:after="60" w:line="360" w:lineRule="auto"/>
        <w:ind w:right="60" w:firstLine="0"/>
        <w:jc w:val="left"/>
        <w:rPr>
          <w:rFonts w:ascii="宋体" w:hAnsi="宋体" w:cs="宋体"/>
          <w:color w:val="auto"/>
          <w:kern w:val="0"/>
          <w:sz w:val="22"/>
          <w:szCs w:val="22"/>
        </w:rPr>
      </w:pPr>
      <w:r>
        <w:rPr>
          <w:rFonts w:hint="eastAsia" w:ascii="宋体" w:hAnsi="宋体" w:cs="宋体"/>
          <w:color w:val="auto"/>
          <w:kern w:val="0"/>
          <w:sz w:val="22"/>
          <w:szCs w:val="22"/>
        </w:rPr>
        <w:t>1.采购人信息</w:t>
      </w:r>
    </w:p>
    <w:p>
      <w:pPr>
        <w:widowControl/>
        <w:spacing w:before="60" w:after="60" w:line="360" w:lineRule="auto"/>
        <w:ind w:right="60" w:firstLine="0"/>
        <w:jc w:val="left"/>
        <w:rPr>
          <w:rFonts w:ascii="宋体" w:hAnsi="宋体" w:cs="宋体"/>
          <w:color w:val="auto"/>
          <w:kern w:val="0"/>
          <w:sz w:val="22"/>
          <w:szCs w:val="22"/>
        </w:rPr>
      </w:pPr>
      <w:r>
        <w:rPr>
          <w:rFonts w:hint="eastAsia" w:ascii="宋体" w:hAnsi="宋体" w:cs="宋体"/>
          <w:color w:val="auto"/>
          <w:kern w:val="0"/>
          <w:sz w:val="22"/>
          <w:szCs w:val="22"/>
        </w:rPr>
        <w:t>名   称：</w:t>
      </w:r>
      <w:r>
        <w:rPr>
          <w:rFonts w:hint="eastAsia" w:ascii="宋体" w:hAnsi="宋体" w:cs="宋体"/>
          <w:color w:val="auto"/>
          <w:kern w:val="0"/>
          <w:sz w:val="22"/>
          <w:szCs w:val="22"/>
          <w:lang w:eastAsia="zh-CN"/>
        </w:rPr>
        <w:t>温州市洞头区综合行政执法局</w:t>
      </w:r>
      <w:r>
        <w:rPr>
          <w:rFonts w:hint="eastAsia" w:ascii="宋体" w:hAnsi="宋体" w:cs="宋体"/>
          <w:color w:val="auto"/>
          <w:kern w:val="0"/>
          <w:sz w:val="22"/>
          <w:szCs w:val="22"/>
        </w:rPr>
        <w:t> </w:t>
      </w:r>
    </w:p>
    <w:p>
      <w:pPr>
        <w:widowControl/>
        <w:spacing w:before="60" w:after="60" w:line="360" w:lineRule="auto"/>
        <w:ind w:right="60" w:firstLine="0"/>
        <w:jc w:val="left"/>
        <w:rPr>
          <w:rFonts w:hint="eastAsia" w:ascii="宋体" w:hAnsi="宋体" w:eastAsia="宋体" w:cs="宋体"/>
          <w:color w:val="auto"/>
          <w:kern w:val="0"/>
          <w:sz w:val="22"/>
          <w:szCs w:val="22"/>
          <w:lang w:eastAsia="zh-CN"/>
        </w:rPr>
      </w:pPr>
      <w:r>
        <w:rPr>
          <w:rFonts w:hint="eastAsia" w:ascii="宋体" w:hAnsi="宋体" w:cs="宋体"/>
          <w:color w:val="auto"/>
          <w:kern w:val="0"/>
          <w:sz w:val="22"/>
          <w:szCs w:val="22"/>
        </w:rPr>
        <w:t>地   址：</w:t>
      </w:r>
      <w:r>
        <w:rPr>
          <w:rFonts w:hint="eastAsia" w:ascii="宋体" w:hAnsi="宋体" w:cs="宋体"/>
          <w:color w:val="auto"/>
          <w:kern w:val="0"/>
          <w:sz w:val="22"/>
          <w:szCs w:val="22"/>
          <w:lang w:eastAsia="zh-CN"/>
        </w:rPr>
        <w:t>温州市洞头区南塘工业区</w:t>
      </w:r>
    </w:p>
    <w:p>
      <w:pPr>
        <w:widowControl/>
        <w:spacing w:before="60" w:after="60" w:line="360" w:lineRule="auto"/>
        <w:ind w:right="60" w:firstLine="0"/>
        <w:jc w:val="left"/>
        <w:rPr>
          <w:rFonts w:ascii="宋体" w:hAnsi="宋体" w:cs="宋体"/>
          <w:color w:val="auto"/>
          <w:kern w:val="0"/>
          <w:sz w:val="22"/>
          <w:szCs w:val="22"/>
        </w:rPr>
      </w:pPr>
      <w:r>
        <w:rPr>
          <w:rFonts w:hint="eastAsia" w:ascii="宋体" w:hAnsi="宋体" w:cs="宋体"/>
          <w:color w:val="auto"/>
          <w:kern w:val="0"/>
          <w:sz w:val="22"/>
          <w:szCs w:val="22"/>
        </w:rPr>
        <w:t>传   真：/ </w:t>
      </w:r>
    </w:p>
    <w:p>
      <w:pPr>
        <w:widowControl/>
        <w:spacing w:before="60" w:after="60" w:line="360" w:lineRule="auto"/>
        <w:ind w:right="60" w:firstLine="0"/>
        <w:jc w:val="left"/>
        <w:rPr>
          <w:rFonts w:ascii="宋体" w:hAnsi="宋体" w:cs="宋体"/>
          <w:color w:val="auto"/>
          <w:kern w:val="0"/>
          <w:sz w:val="22"/>
          <w:szCs w:val="22"/>
        </w:rPr>
      </w:pPr>
      <w:r>
        <w:rPr>
          <w:rFonts w:hint="eastAsia" w:ascii="宋体" w:hAnsi="宋体" w:cs="宋体"/>
          <w:color w:val="auto"/>
          <w:kern w:val="0"/>
          <w:sz w:val="22"/>
          <w:szCs w:val="22"/>
        </w:rPr>
        <w:t>项目联系人（询问）：</w:t>
      </w:r>
      <w:r>
        <w:rPr>
          <w:rFonts w:hint="eastAsia" w:ascii="宋体" w:hAnsi="宋体" w:cs="宋体"/>
          <w:color w:val="auto"/>
          <w:kern w:val="0"/>
          <w:sz w:val="22"/>
          <w:szCs w:val="22"/>
          <w:lang w:val="en-US" w:eastAsia="zh-CN"/>
        </w:rPr>
        <w:t>洪工</w:t>
      </w:r>
      <w:r>
        <w:rPr>
          <w:rFonts w:hint="eastAsia" w:ascii="宋体" w:hAnsi="宋体" w:cs="宋体"/>
          <w:color w:val="auto"/>
          <w:kern w:val="0"/>
          <w:sz w:val="22"/>
          <w:szCs w:val="22"/>
        </w:rPr>
        <w:t xml:space="preserve"> </w:t>
      </w:r>
    </w:p>
    <w:p>
      <w:pPr>
        <w:widowControl/>
        <w:spacing w:before="60" w:after="60" w:line="360" w:lineRule="auto"/>
        <w:ind w:right="60" w:firstLine="0"/>
        <w:jc w:val="left"/>
        <w:rPr>
          <w:rFonts w:ascii="宋体" w:hAnsi="宋体" w:cs="宋体"/>
          <w:color w:val="auto"/>
          <w:kern w:val="0"/>
          <w:sz w:val="22"/>
          <w:szCs w:val="22"/>
        </w:rPr>
      </w:pPr>
      <w:r>
        <w:rPr>
          <w:rFonts w:hint="eastAsia" w:ascii="宋体" w:hAnsi="宋体" w:cs="宋体"/>
          <w:color w:val="auto"/>
          <w:kern w:val="0"/>
          <w:sz w:val="22"/>
          <w:szCs w:val="22"/>
        </w:rPr>
        <w:t>项目联系方式（询问）：</w:t>
      </w:r>
      <w:r>
        <w:rPr>
          <w:rFonts w:hint="eastAsia" w:ascii="宋体" w:hAnsi="宋体" w:cs="宋体"/>
          <w:color w:val="auto"/>
          <w:kern w:val="0"/>
          <w:sz w:val="22"/>
          <w:szCs w:val="22"/>
          <w:lang w:val="en-US" w:eastAsia="zh-CN"/>
        </w:rPr>
        <w:t>0577-63430168</w:t>
      </w:r>
      <w:r>
        <w:rPr>
          <w:rFonts w:hint="eastAsia" w:ascii="宋体" w:hAnsi="宋体" w:cs="宋体"/>
          <w:color w:val="auto"/>
          <w:kern w:val="0"/>
          <w:sz w:val="22"/>
          <w:szCs w:val="22"/>
        </w:rPr>
        <w:t xml:space="preserve"> </w:t>
      </w:r>
    </w:p>
    <w:p>
      <w:pPr>
        <w:widowControl/>
        <w:spacing w:before="60" w:after="60" w:line="360" w:lineRule="auto"/>
        <w:ind w:right="60" w:firstLine="0"/>
        <w:jc w:val="left"/>
        <w:rPr>
          <w:rFonts w:ascii="宋体" w:hAnsi="宋体" w:cs="宋体"/>
          <w:color w:val="auto"/>
          <w:kern w:val="0"/>
          <w:sz w:val="22"/>
          <w:szCs w:val="22"/>
        </w:rPr>
      </w:pPr>
      <w:r>
        <w:rPr>
          <w:rFonts w:hint="eastAsia" w:ascii="宋体" w:hAnsi="宋体" w:cs="宋体"/>
          <w:color w:val="auto"/>
          <w:kern w:val="0"/>
          <w:sz w:val="22"/>
          <w:szCs w:val="22"/>
        </w:rPr>
        <w:t>项目质疑联系人：</w:t>
      </w:r>
      <w:r>
        <w:rPr>
          <w:rFonts w:hint="eastAsia" w:ascii="宋体" w:hAnsi="宋体" w:cs="宋体"/>
          <w:color w:val="auto"/>
          <w:kern w:val="0"/>
          <w:sz w:val="22"/>
          <w:szCs w:val="22"/>
          <w:lang w:val="en-US" w:eastAsia="zh-CN"/>
        </w:rPr>
        <w:t xml:space="preserve">洪工 </w:t>
      </w:r>
      <w:r>
        <w:rPr>
          <w:rFonts w:hint="eastAsia" w:ascii="宋体" w:hAnsi="宋体" w:cs="宋体"/>
          <w:color w:val="auto"/>
          <w:kern w:val="0"/>
          <w:sz w:val="22"/>
          <w:szCs w:val="22"/>
        </w:rPr>
        <w:t xml:space="preserve">  </w:t>
      </w:r>
    </w:p>
    <w:p>
      <w:pPr>
        <w:widowControl/>
        <w:spacing w:before="60" w:after="60" w:line="360" w:lineRule="auto"/>
        <w:ind w:right="60" w:firstLine="0"/>
        <w:jc w:val="left"/>
        <w:rPr>
          <w:rFonts w:ascii="宋体" w:hAnsi="宋体" w:cs="宋体"/>
          <w:color w:val="auto"/>
          <w:kern w:val="0"/>
          <w:sz w:val="22"/>
          <w:szCs w:val="22"/>
        </w:rPr>
      </w:pPr>
      <w:r>
        <w:rPr>
          <w:rFonts w:hint="eastAsia" w:ascii="宋体" w:hAnsi="宋体" w:cs="宋体"/>
          <w:color w:val="auto"/>
          <w:kern w:val="0"/>
          <w:sz w:val="22"/>
          <w:szCs w:val="22"/>
        </w:rPr>
        <w:t>质疑联系方式：</w:t>
      </w:r>
      <w:r>
        <w:rPr>
          <w:rFonts w:hint="eastAsia" w:ascii="宋体" w:hAnsi="宋体" w:cs="宋体"/>
          <w:color w:val="auto"/>
          <w:kern w:val="0"/>
          <w:sz w:val="22"/>
          <w:szCs w:val="22"/>
          <w:lang w:val="en-US" w:eastAsia="zh-CN"/>
        </w:rPr>
        <w:t>0577-63430168</w:t>
      </w:r>
      <w:r>
        <w:rPr>
          <w:rFonts w:hint="eastAsia" w:ascii="宋体" w:hAnsi="宋体" w:cs="宋体"/>
          <w:color w:val="auto"/>
          <w:kern w:val="0"/>
          <w:sz w:val="22"/>
          <w:szCs w:val="22"/>
        </w:rPr>
        <w:t xml:space="preserve">  </w:t>
      </w:r>
      <w:r>
        <w:rPr>
          <w:rFonts w:hint="eastAsia" w:ascii="宋体" w:hAnsi="宋体" w:cs="宋体"/>
          <w:color w:val="auto"/>
          <w:kern w:val="0"/>
          <w:sz w:val="22"/>
          <w:szCs w:val="22"/>
          <w:lang w:val="en-US" w:eastAsia="zh-CN"/>
        </w:rPr>
        <w:t xml:space="preserve"> </w:t>
      </w:r>
      <w:r>
        <w:rPr>
          <w:rFonts w:hint="eastAsia" w:ascii="宋体" w:hAnsi="宋体" w:cs="宋体"/>
          <w:color w:val="auto"/>
          <w:kern w:val="0"/>
          <w:sz w:val="22"/>
          <w:szCs w:val="22"/>
        </w:rPr>
        <w:t xml:space="preserve">  </w:t>
      </w:r>
    </w:p>
    <w:p>
      <w:pPr>
        <w:widowControl/>
        <w:spacing w:before="60" w:after="60" w:line="360" w:lineRule="auto"/>
        <w:ind w:right="60" w:firstLine="0"/>
        <w:jc w:val="left"/>
        <w:rPr>
          <w:rFonts w:ascii="宋体" w:hAnsi="宋体" w:cs="宋体"/>
          <w:color w:val="auto"/>
          <w:kern w:val="0"/>
          <w:sz w:val="22"/>
          <w:szCs w:val="22"/>
        </w:rPr>
      </w:pPr>
      <w:r>
        <w:rPr>
          <w:rFonts w:hint="eastAsia" w:ascii="宋体" w:hAnsi="宋体" w:cs="宋体"/>
          <w:color w:val="auto"/>
          <w:kern w:val="0"/>
          <w:sz w:val="22"/>
          <w:szCs w:val="22"/>
        </w:rPr>
        <w:t>2.采购代理机构信息</w:t>
      </w:r>
    </w:p>
    <w:p>
      <w:pPr>
        <w:widowControl/>
        <w:spacing w:before="60" w:after="60" w:line="360" w:lineRule="auto"/>
        <w:ind w:right="60" w:firstLine="0"/>
        <w:jc w:val="left"/>
        <w:rPr>
          <w:rFonts w:hint="eastAsia" w:ascii="宋体" w:hAnsi="宋体" w:eastAsia="宋体" w:cs="宋体"/>
          <w:color w:val="auto"/>
          <w:kern w:val="0"/>
          <w:sz w:val="22"/>
          <w:szCs w:val="22"/>
          <w:lang w:eastAsia="zh-CN"/>
        </w:rPr>
      </w:pPr>
      <w:r>
        <w:rPr>
          <w:rFonts w:hint="eastAsia" w:ascii="宋体" w:hAnsi="宋体" w:cs="宋体"/>
          <w:color w:val="auto"/>
          <w:kern w:val="0"/>
          <w:sz w:val="22"/>
          <w:szCs w:val="22"/>
        </w:rPr>
        <w:t>名   称：</w:t>
      </w:r>
      <w:r>
        <w:rPr>
          <w:rFonts w:hint="eastAsia" w:ascii="宋体" w:hAnsi="宋体" w:cs="宋体"/>
          <w:color w:val="auto"/>
          <w:kern w:val="0"/>
          <w:sz w:val="22"/>
          <w:szCs w:val="22"/>
          <w:lang w:eastAsia="zh-CN"/>
        </w:rPr>
        <w:t>浙江恒杰工程管理有限公司</w:t>
      </w:r>
    </w:p>
    <w:p>
      <w:pPr>
        <w:widowControl/>
        <w:spacing w:before="60" w:after="60" w:line="360" w:lineRule="auto"/>
        <w:ind w:right="60" w:firstLine="0"/>
        <w:jc w:val="left"/>
        <w:rPr>
          <w:rFonts w:hint="eastAsia" w:ascii="宋体" w:hAnsi="宋体" w:eastAsia="宋体" w:cs="宋体"/>
          <w:color w:val="auto"/>
          <w:kern w:val="0"/>
          <w:sz w:val="22"/>
          <w:szCs w:val="22"/>
          <w:lang w:eastAsia="zh-CN"/>
        </w:rPr>
      </w:pPr>
      <w:r>
        <w:rPr>
          <w:rFonts w:hint="eastAsia" w:ascii="宋体" w:hAnsi="宋体" w:cs="宋体"/>
          <w:color w:val="auto"/>
          <w:kern w:val="0"/>
          <w:sz w:val="22"/>
          <w:szCs w:val="22"/>
        </w:rPr>
        <w:t>地   址：</w:t>
      </w:r>
      <w:r>
        <w:rPr>
          <w:rFonts w:hint="eastAsia" w:ascii="宋体" w:hAnsi="宋体" w:cs="宋体"/>
          <w:color w:val="auto"/>
          <w:kern w:val="0"/>
          <w:sz w:val="22"/>
          <w:szCs w:val="22"/>
          <w:lang w:eastAsia="zh-CN"/>
        </w:rPr>
        <w:t>浙江省温州市洞头区北岙街道城南大道20弄3号1704室</w:t>
      </w:r>
    </w:p>
    <w:p>
      <w:pPr>
        <w:widowControl/>
        <w:spacing w:before="60" w:after="60" w:line="360" w:lineRule="auto"/>
        <w:ind w:right="60" w:firstLine="0"/>
        <w:jc w:val="left"/>
        <w:rPr>
          <w:rFonts w:ascii="宋体" w:hAnsi="宋体" w:cs="宋体"/>
          <w:color w:val="auto"/>
          <w:kern w:val="0"/>
          <w:sz w:val="22"/>
          <w:szCs w:val="22"/>
        </w:rPr>
      </w:pPr>
      <w:r>
        <w:rPr>
          <w:rFonts w:hint="eastAsia" w:ascii="宋体" w:hAnsi="宋体" w:cs="宋体"/>
          <w:color w:val="auto"/>
          <w:kern w:val="0"/>
          <w:sz w:val="22"/>
          <w:szCs w:val="22"/>
        </w:rPr>
        <w:t>传   真：/</w:t>
      </w:r>
    </w:p>
    <w:p>
      <w:pPr>
        <w:widowControl/>
        <w:spacing w:before="60" w:after="60" w:line="360" w:lineRule="auto"/>
        <w:ind w:right="60" w:firstLine="0"/>
        <w:jc w:val="left"/>
        <w:rPr>
          <w:rFonts w:ascii="宋体" w:hAnsi="宋体" w:cs="宋体"/>
          <w:color w:val="auto"/>
          <w:kern w:val="0"/>
          <w:sz w:val="22"/>
          <w:szCs w:val="22"/>
        </w:rPr>
      </w:pPr>
      <w:r>
        <w:rPr>
          <w:rFonts w:hint="eastAsia" w:ascii="宋体" w:hAnsi="宋体" w:cs="宋体"/>
          <w:color w:val="auto"/>
          <w:kern w:val="0"/>
          <w:sz w:val="22"/>
          <w:szCs w:val="22"/>
        </w:rPr>
        <w:t>项目联系人（询问）：</w:t>
      </w:r>
      <w:r>
        <w:rPr>
          <w:rFonts w:hint="eastAsia" w:ascii="宋体" w:hAnsi="宋体" w:cs="宋体"/>
          <w:color w:val="auto"/>
          <w:kern w:val="0"/>
          <w:sz w:val="22"/>
          <w:szCs w:val="22"/>
          <w:lang w:val="en-US" w:eastAsia="zh-CN"/>
        </w:rPr>
        <w:t>余</w:t>
      </w:r>
      <w:r>
        <w:rPr>
          <w:rFonts w:hint="eastAsia" w:ascii="宋体" w:hAnsi="宋体" w:cs="宋体"/>
          <w:color w:val="auto"/>
          <w:kern w:val="0"/>
          <w:sz w:val="22"/>
          <w:szCs w:val="22"/>
        </w:rPr>
        <w:t>先生</w:t>
      </w:r>
    </w:p>
    <w:p>
      <w:pPr>
        <w:widowControl/>
        <w:spacing w:before="60" w:after="60" w:line="360" w:lineRule="auto"/>
        <w:ind w:right="60" w:firstLine="0"/>
        <w:jc w:val="left"/>
        <w:rPr>
          <w:rFonts w:hint="eastAsia" w:ascii="宋体" w:hAnsi="宋体" w:eastAsia="宋体" w:cs="宋体"/>
          <w:color w:val="auto"/>
          <w:kern w:val="0"/>
          <w:sz w:val="22"/>
          <w:szCs w:val="22"/>
          <w:lang w:eastAsia="zh-CN"/>
        </w:rPr>
      </w:pPr>
      <w:r>
        <w:rPr>
          <w:rFonts w:hint="eastAsia" w:ascii="宋体" w:hAnsi="宋体" w:cs="宋体"/>
          <w:color w:val="auto"/>
          <w:kern w:val="0"/>
          <w:sz w:val="22"/>
          <w:szCs w:val="22"/>
        </w:rPr>
        <w:t>项目联系方式（询问）：</w:t>
      </w:r>
      <w:r>
        <w:rPr>
          <w:rFonts w:hint="eastAsia" w:ascii="宋体" w:hAnsi="宋体" w:cs="宋体"/>
          <w:color w:val="auto"/>
          <w:kern w:val="0"/>
          <w:sz w:val="22"/>
          <w:szCs w:val="22"/>
          <w:lang w:eastAsia="zh-CN"/>
        </w:rPr>
        <w:t>13968907090、13506539964</w:t>
      </w:r>
    </w:p>
    <w:p>
      <w:pPr>
        <w:widowControl/>
        <w:spacing w:before="60" w:after="60" w:line="360" w:lineRule="auto"/>
        <w:ind w:right="60" w:firstLine="0"/>
        <w:jc w:val="left"/>
        <w:rPr>
          <w:rFonts w:hint="default" w:ascii="宋体" w:hAnsi="宋体" w:eastAsia="宋体" w:cs="宋体"/>
          <w:color w:val="auto"/>
          <w:kern w:val="0"/>
          <w:sz w:val="22"/>
          <w:szCs w:val="22"/>
          <w:lang w:val="en-US" w:eastAsia="zh-CN"/>
        </w:rPr>
      </w:pPr>
      <w:r>
        <w:rPr>
          <w:rFonts w:hint="eastAsia" w:ascii="宋体" w:hAnsi="宋体" w:cs="宋体"/>
          <w:color w:val="auto"/>
          <w:kern w:val="0"/>
          <w:sz w:val="22"/>
          <w:szCs w:val="22"/>
        </w:rPr>
        <w:t>质疑联系人：</w:t>
      </w:r>
      <w:r>
        <w:rPr>
          <w:rFonts w:hint="eastAsia" w:ascii="宋体" w:hAnsi="宋体" w:cs="宋体"/>
          <w:color w:val="auto"/>
          <w:kern w:val="0"/>
          <w:sz w:val="22"/>
          <w:szCs w:val="22"/>
          <w:lang w:val="en-US" w:eastAsia="zh-CN"/>
        </w:rPr>
        <w:t>林磊</w:t>
      </w:r>
    </w:p>
    <w:p>
      <w:pPr>
        <w:widowControl/>
        <w:spacing w:before="60" w:after="60" w:line="360" w:lineRule="auto"/>
        <w:ind w:right="60" w:firstLine="0"/>
        <w:jc w:val="left"/>
        <w:rPr>
          <w:rFonts w:ascii="宋体" w:hAnsi="宋体" w:cs="宋体"/>
          <w:color w:val="auto"/>
          <w:kern w:val="0"/>
          <w:sz w:val="22"/>
          <w:szCs w:val="22"/>
        </w:rPr>
      </w:pPr>
      <w:r>
        <w:rPr>
          <w:rFonts w:hint="eastAsia" w:ascii="宋体" w:hAnsi="宋体" w:cs="宋体"/>
          <w:color w:val="auto"/>
          <w:kern w:val="0"/>
          <w:sz w:val="22"/>
          <w:szCs w:val="22"/>
        </w:rPr>
        <w:t>质疑联系方式：</w:t>
      </w:r>
      <w:r>
        <w:rPr>
          <w:rFonts w:hint="eastAsia" w:ascii="宋体" w:hAnsi="宋体" w:cs="宋体"/>
          <w:color w:val="auto"/>
          <w:kern w:val="0"/>
          <w:sz w:val="22"/>
          <w:szCs w:val="22"/>
          <w:lang w:eastAsia="zh-CN"/>
        </w:rPr>
        <w:t>0577-88858722</w:t>
      </w:r>
    </w:p>
    <w:p>
      <w:pPr>
        <w:widowControl/>
        <w:spacing w:before="60" w:after="60" w:line="360" w:lineRule="auto"/>
        <w:ind w:right="60" w:firstLine="0"/>
        <w:jc w:val="left"/>
        <w:rPr>
          <w:rFonts w:ascii="宋体" w:hAnsi="宋体" w:cs="宋体"/>
          <w:color w:val="auto"/>
          <w:kern w:val="0"/>
          <w:sz w:val="22"/>
          <w:szCs w:val="22"/>
        </w:rPr>
      </w:pPr>
      <w:r>
        <w:rPr>
          <w:rFonts w:hint="eastAsia" w:ascii="宋体" w:hAnsi="宋体" w:cs="宋体"/>
          <w:color w:val="auto"/>
          <w:kern w:val="0"/>
          <w:sz w:val="22"/>
          <w:szCs w:val="22"/>
        </w:rPr>
        <w:t>3.同级政府采购监督管理部门</w:t>
      </w:r>
    </w:p>
    <w:p>
      <w:pPr>
        <w:widowControl/>
        <w:spacing w:before="60" w:after="60" w:line="360" w:lineRule="auto"/>
        <w:ind w:right="60" w:firstLine="0"/>
        <w:jc w:val="left"/>
        <w:rPr>
          <w:rFonts w:hint="eastAsia" w:ascii="宋体" w:hAnsi="宋体" w:cs="宋体"/>
          <w:color w:val="auto"/>
          <w:kern w:val="0"/>
          <w:sz w:val="22"/>
          <w:szCs w:val="22"/>
        </w:rPr>
      </w:pPr>
      <w:r>
        <w:rPr>
          <w:rFonts w:hint="eastAsia" w:ascii="宋体" w:hAnsi="宋体" w:cs="宋体"/>
          <w:color w:val="auto"/>
          <w:kern w:val="0"/>
          <w:sz w:val="22"/>
          <w:szCs w:val="22"/>
        </w:rPr>
        <w:t>名 称：温州市洞头区财政局（浙江省政府采购行政裁决服务中心（温州））</w:t>
      </w:r>
    </w:p>
    <w:p>
      <w:pPr>
        <w:widowControl/>
        <w:spacing w:before="60" w:after="60" w:line="360" w:lineRule="auto"/>
        <w:ind w:right="60" w:firstLine="0"/>
        <w:jc w:val="left"/>
        <w:rPr>
          <w:rFonts w:hint="eastAsia" w:ascii="宋体" w:hAnsi="宋体" w:cs="宋体"/>
          <w:color w:val="auto"/>
          <w:kern w:val="0"/>
          <w:sz w:val="22"/>
          <w:szCs w:val="22"/>
        </w:rPr>
      </w:pPr>
      <w:r>
        <w:rPr>
          <w:rFonts w:hint="eastAsia" w:ascii="宋体" w:hAnsi="宋体" w:cs="宋体"/>
          <w:color w:val="auto"/>
          <w:kern w:val="0"/>
          <w:sz w:val="22"/>
          <w:szCs w:val="22"/>
        </w:rPr>
        <w:t>地 址：温州市鹿城区滨江街道瓯江路展银大厦1606室</w:t>
      </w:r>
    </w:p>
    <w:p>
      <w:pPr>
        <w:widowControl/>
        <w:spacing w:before="60" w:after="60" w:line="360" w:lineRule="auto"/>
        <w:ind w:right="60" w:firstLine="0"/>
        <w:jc w:val="left"/>
        <w:rPr>
          <w:rFonts w:hint="eastAsia" w:ascii="宋体" w:hAnsi="宋体" w:eastAsia="宋体" w:cs="宋体"/>
          <w:color w:val="auto"/>
          <w:kern w:val="0"/>
          <w:sz w:val="22"/>
          <w:szCs w:val="22"/>
          <w:lang w:eastAsia="zh-CN"/>
        </w:rPr>
      </w:pPr>
      <w:r>
        <w:rPr>
          <w:rFonts w:hint="eastAsia" w:ascii="宋体" w:hAnsi="宋体" w:cs="宋体"/>
          <w:color w:val="auto"/>
          <w:kern w:val="0"/>
          <w:sz w:val="22"/>
          <w:szCs w:val="22"/>
        </w:rPr>
        <w:t>传 真：</w:t>
      </w:r>
      <w:r>
        <w:rPr>
          <w:rFonts w:hint="eastAsia" w:ascii="宋体" w:hAnsi="宋体" w:cs="宋体"/>
          <w:color w:val="auto"/>
          <w:kern w:val="0"/>
          <w:sz w:val="22"/>
          <w:szCs w:val="22"/>
          <w:lang w:val="en-US" w:eastAsia="zh-CN"/>
        </w:rPr>
        <w:t>/</w:t>
      </w:r>
    </w:p>
    <w:p>
      <w:pPr>
        <w:widowControl/>
        <w:spacing w:before="60" w:after="60" w:line="360" w:lineRule="auto"/>
        <w:ind w:right="60" w:firstLine="0"/>
        <w:jc w:val="left"/>
        <w:rPr>
          <w:rFonts w:hint="eastAsia" w:ascii="宋体" w:hAnsi="宋体" w:cs="宋体"/>
          <w:color w:val="auto"/>
          <w:kern w:val="0"/>
          <w:sz w:val="22"/>
          <w:szCs w:val="22"/>
        </w:rPr>
      </w:pPr>
      <w:r>
        <w:rPr>
          <w:rFonts w:hint="eastAsia" w:ascii="宋体" w:hAnsi="宋体" w:cs="宋体"/>
          <w:color w:val="auto"/>
          <w:kern w:val="0"/>
          <w:sz w:val="22"/>
          <w:szCs w:val="22"/>
        </w:rPr>
        <w:t>联系人 ：李老师、王老师</w:t>
      </w:r>
    </w:p>
    <w:p>
      <w:pPr>
        <w:widowControl/>
        <w:spacing w:before="60" w:after="60" w:line="360" w:lineRule="auto"/>
        <w:ind w:right="60" w:firstLine="0"/>
        <w:jc w:val="left"/>
        <w:rPr>
          <w:rFonts w:hint="eastAsia" w:ascii="宋体" w:hAnsi="宋体" w:cs="宋体"/>
          <w:color w:val="auto"/>
          <w:kern w:val="0"/>
          <w:sz w:val="22"/>
          <w:szCs w:val="22"/>
        </w:rPr>
      </w:pPr>
      <w:r>
        <w:rPr>
          <w:rFonts w:hint="eastAsia" w:ascii="宋体" w:hAnsi="宋体" w:cs="宋体"/>
          <w:color w:val="auto"/>
          <w:kern w:val="0"/>
          <w:sz w:val="22"/>
          <w:szCs w:val="22"/>
        </w:rPr>
        <w:t>监督投诉电话：0577-88501561</w:t>
      </w:r>
      <w:r>
        <w:rPr>
          <w:rFonts w:hint="eastAsia" w:ascii="宋体" w:hAnsi="宋体" w:cs="宋体"/>
          <w:color w:val="auto"/>
          <w:kern w:val="0"/>
          <w:sz w:val="22"/>
          <w:szCs w:val="22"/>
          <w:lang w:eastAsia="zh-CN"/>
        </w:rPr>
        <w:t>、</w:t>
      </w:r>
      <w:r>
        <w:rPr>
          <w:rFonts w:hint="eastAsia" w:ascii="宋体" w:hAnsi="宋体" w:cs="宋体"/>
          <w:color w:val="auto"/>
          <w:kern w:val="0"/>
          <w:sz w:val="22"/>
          <w:szCs w:val="22"/>
        </w:rPr>
        <w:t>0577-85501562</w:t>
      </w:r>
    </w:p>
    <w:p>
      <w:pPr>
        <w:widowControl/>
        <w:spacing w:before="60" w:after="60" w:line="360" w:lineRule="auto"/>
        <w:ind w:right="60" w:firstLine="0"/>
        <w:jc w:val="left"/>
        <w:rPr>
          <w:rFonts w:ascii="宋体" w:hAnsi="宋体" w:cs="Arial"/>
          <w:b/>
          <w:bCs/>
          <w:color w:val="auto"/>
          <w:sz w:val="36"/>
          <w:szCs w:val="36"/>
        </w:rPr>
      </w:pPr>
    </w:p>
    <w:p>
      <w:pPr>
        <w:pStyle w:val="78"/>
        <w:spacing w:line="360" w:lineRule="auto"/>
        <w:rPr>
          <w:rFonts w:ascii="宋体" w:hAnsi="宋体" w:cs="Arial"/>
          <w:b/>
          <w:bCs/>
          <w:color w:val="auto"/>
          <w:sz w:val="36"/>
          <w:szCs w:val="36"/>
        </w:rPr>
      </w:pPr>
    </w:p>
    <w:p>
      <w:pPr>
        <w:pStyle w:val="78"/>
        <w:spacing w:line="360" w:lineRule="auto"/>
        <w:rPr>
          <w:rFonts w:ascii="宋体" w:hAnsi="宋体" w:cs="Arial"/>
          <w:b/>
          <w:bCs/>
          <w:color w:val="auto"/>
          <w:sz w:val="36"/>
          <w:szCs w:val="36"/>
        </w:rPr>
      </w:pPr>
    </w:p>
    <w:p>
      <w:pPr>
        <w:pStyle w:val="3"/>
        <w:spacing w:before="0" w:after="0" w:line="360" w:lineRule="auto"/>
        <w:rPr>
          <w:rFonts w:ascii="宋体" w:hAnsi="宋体" w:eastAsia="宋体"/>
          <w:color w:val="auto"/>
          <w:sz w:val="26"/>
          <w:szCs w:val="26"/>
        </w:rPr>
      </w:pPr>
      <w:r>
        <w:rPr>
          <w:rFonts w:ascii="宋体" w:hAnsi="宋体" w:eastAsia="宋体" w:cs="Arial"/>
          <w:b w:val="0"/>
          <w:bCs w:val="0"/>
          <w:color w:val="auto"/>
          <w:sz w:val="36"/>
          <w:szCs w:val="36"/>
        </w:rPr>
        <w:br w:type="page"/>
      </w:r>
      <w:bookmarkStart w:id="30" w:name="_Toc222114875"/>
      <w:bookmarkStart w:id="31" w:name="_Toc246261261"/>
      <w:bookmarkStart w:id="32" w:name="_Toc223715994"/>
      <w:bookmarkStart w:id="33" w:name="_Toc249758860"/>
      <w:bookmarkStart w:id="34" w:name="_Toc239145350"/>
      <w:bookmarkStart w:id="35" w:name="_Toc262049414"/>
      <w:bookmarkStart w:id="36" w:name="_Toc27654"/>
      <w:bookmarkStart w:id="37" w:name="_Toc221374622"/>
      <w:bookmarkStart w:id="38" w:name="_Toc241404198"/>
      <w:bookmarkStart w:id="39" w:name="_Toc245722277"/>
      <w:bookmarkStart w:id="40" w:name="_Toc245191310"/>
      <w:bookmarkStart w:id="41" w:name="_Toc262105499"/>
      <w:bookmarkStart w:id="42" w:name="_Toc249758708"/>
      <w:bookmarkStart w:id="43" w:name="_Toc221423615"/>
      <w:bookmarkStart w:id="44" w:name="_Toc221356882"/>
      <w:bookmarkStart w:id="45" w:name="_Toc221356947"/>
      <w:bookmarkStart w:id="46" w:name="_Toc22767"/>
      <w:bookmarkStart w:id="47" w:name="_Toc27051"/>
      <w:r>
        <w:rPr>
          <w:rFonts w:hint="eastAsia" w:ascii="宋体" w:hAnsi="宋体" w:eastAsia="宋体" w:cs="Arial"/>
          <w:color w:val="auto"/>
          <w:sz w:val="36"/>
          <w:szCs w:val="36"/>
        </w:rPr>
        <w:t>第一部分    投标人须知</w:t>
      </w:r>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p>
    <w:p>
      <w:pPr>
        <w:pStyle w:val="3"/>
        <w:spacing w:before="120" w:after="120" w:line="360" w:lineRule="auto"/>
        <w:rPr>
          <w:rFonts w:ascii="宋体" w:hAnsi="宋体" w:eastAsia="宋体"/>
          <w:color w:val="auto"/>
          <w:sz w:val="26"/>
          <w:szCs w:val="26"/>
        </w:rPr>
      </w:pPr>
      <w:bookmarkStart w:id="48" w:name="_Toc8675"/>
      <w:r>
        <w:rPr>
          <w:rFonts w:hint="eastAsia" w:ascii="宋体" w:hAnsi="宋体" w:eastAsia="宋体"/>
          <w:color w:val="auto"/>
          <w:sz w:val="26"/>
          <w:szCs w:val="26"/>
        </w:rPr>
        <w:t>一、须知前附表</w:t>
      </w:r>
      <w:bookmarkEnd w:id="46"/>
      <w:bookmarkEnd w:id="47"/>
      <w:bookmarkEnd w:id="48"/>
    </w:p>
    <w:tbl>
      <w:tblPr>
        <w:tblStyle w:val="63"/>
        <w:tblW w:w="9842" w:type="dxa"/>
        <w:tblInd w:w="0" w:type="dxa"/>
        <w:tblLayout w:type="fixed"/>
        <w:tblCellMar>
          <w:top w:w="0" w:type="dxa"/>
          <w:left w:w="108" w:type="dxa"/>
          <w:bottom w:w="0" w:type="dxa"/>
          <w:right w:w="108" w:type="dxa"/>
        </w:tblCellMar>
      </w:tblPr>
      <w:tblGrid>
        <w:gridCol w:w="1041"/>
        <w:gridCol w:w="1467"/>
        <w:gridCol w:w="7334"/>
      </w:tblGrid>
      <w:tr>
        <w:tblPrEx>
          <w:tblCellMar>
            <w:top w:w="0" w:type="dxa"/>
            <w:left w:w="108" w:type="dxa"/>
            <w:bottom w:w="0" w:type="dxa"/>
            <w:right w:w="108" w:type="dxa"/>
          </w:tblCellMar>
        </w:tblPrEx>
        <w:trPr>
          <w:trHeight w:val="567"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lang w:val="zh-CN"/>
              </w:rPr>
              <w:t>序号</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lang w:val="zh-CN"/>
              </w:rPr>
              <w:t>条款名称</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lang w:val="zh-CN"/>
              </w:rPr>
              <w:t>编列内容</w:t>
            </w:r>
          </w:p>
        </w:tc>
      </w:tr>
      <w:tr>
        <w:tblPrEx>
          <w:tblCellMar>
            <w:top w:w="0" w:type="dxa"/>
            <w:left w:w="108" w:type="dxa"/>
            <w:bottom w:w="0" w:type="dxa"/>
            <w:right w:w="108" w:type="dxa"/>
          </w:tblCellMar>
        </w:tblPrEx>
        <w:trPr>
          <w:trHeight w:val="967"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lang w:val="zh-CN"/>
              </w:rPr>
              <w:t>1</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color w:val="auto"/>
                <w:kern w:val="0"/>
                <w:sz w:val="22"/>
                <w:szCs w:val="22"/>
                <w:lang w:val="zh-CN"/>
              </w:rPr>
              <w:t>采购人</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rPr>
                <w:rFonts w:hint="eastAsia" w:ascii="宋体" w:hAnsi="宋体" w:eastAsia="宋体" w:cs="新宋体"/>
                <w:bCs/>
                <w:color w:val="auto"/>
                <w:kern w:val="0"/>
                <w:sz w:val="22"/>
                <w:szCs w:val="22"/>
                <w:lang w:eastAsia="zh-CN"/>
              </w:rPr>
            </w:pPr>
            <w:r>
              <w:rPr>
                <w:rFonts w:hint="eastAsia" w:ascii="宋体" w:hAnsi="宋体" w:cs="新宋体"/>
                <w:bCs/>
                <w:color w:val="auto"/>
                <w:kern w:val="0"/>
                <w:sz w:val="22"/>
                <w:szCs w:val="22"/>
              </w:rPr>
              <w:t>采购人名称：</w:t>
            </w:r>
            <w:r>
              <w:rPr>
                <w:rFonts w:hint="eastAsia" w:ascii="宋体" w:hAnsi="宋体" w:cs="新宋体"/>
                <w:bCs/>
                <w:color w:val="auto"/>
                <w:kern w:val="0"/>
                <w:sz w:val="22"/>
                <w:szCs w:val="22"/>
                <w:lang w:eastAsia="zh-CN"/>
              </w:rPr>
              <w:t>温州市洞头区综合行政执法局</w:t>
            </w:r>
          </w:p>
          <w:p>
            <w:pPr>
              <w:spacing w:line="360" w:lineRule="auto"/>
              <w:rPr>
                <w:rFonts w:hint="eastAsia" w:ascii="宋体" w:hAnsi="宋体" w:eastAsia="宋体" w:cs="新宋体"/>
                <w:bCs/>
                <w:color w:val="auto"/>
                <w:kern w:val="0"/>
                <w:sz w:val="22"/>
                <w:szCs w:val="22"/>
                <w:lang w:eastAsia="zh-CN"/>
              </w:rPr>
            </w:pPr>
            <w:r>
              <w:rPr>
                <w:rFonts w:hint="eastAsia" w:ascii="宋体" w:hAnsi="宋体" w:cs="新宋体"/>
                <w:bCs/>
                <w:color w:val="auto"/>
                <w:kern w:val="0"/>
                <w:sz w:val="22"/>
                <w:szCs w:val="22"/>
              </w:rPr>
              <w:t>联系地址：</w:t>
            </w:r>
            <w:r>
              <w:rPr>
                <w:rFonts w:hint="eastAsia" w:ascii="宋体" w:hAnsi="宋体" w:cs="新宋体"/>
                <w:bCs/>
                <w:color w:val="auto"/>
                <w:kern w:val="0"/>
                <w:sz w:val="22"/>
                <w:szCs w:val="22"/>
                <w:lang w:eastAsia="zh-CN"/>
              </w:rPr>
              <w:t>温州市洞头区南塘工业区</w:t>
            </w:r>
          </w:p>
          <w:p>
            <w:pPr>
              <w:spacing w:line="360" w:lineRule="auto"/>
              <w:rPr>
                <w:rFonts w:hint="default" w:ascii="宋体" w:hAnsi="宋体" w:eastAsia="宋体" w:cs="新宋体"/>
                <w:bCs/>
                <w:color w:val="auto"/>
                <w:kern w:val="0"/>
                <w:sz w:val="22"/>
                <w:szCs w:val="22"/>
                <w:lang w:val="en-US" w:eastAsia="zh-CN"/>
              </w:rPr>
            </w:pPr>
            <w:r>
              <w:rPr>
                <w:rFonts w:hint="eastAsia" w:ascii="宋体" w:hAnsi="宋体" w:cs="新宋体"/>
                <w:bCs/>
                <w:color w:val="auto"/>
                <w:kern w:val="0"/>
                <w:sz w:val="22"/>
                <w:szCs w:val="22"/>
              </w:rPr>
              <w:t>联系人：</w:t>
            </w:r>
            <w:r>
              <w:rPr>
                <w:rFonts w:hint="eastAsia" w:cs="宋体"/>
                <w:color w:val="auto"/>
                <w:sz w:val="22"/>
                <w:szCs w:val="22"/>
                <w:lang w:val="en-US" w:eastAsia="zh-CN"/>
              </w:rPr>
              <w:t>洪工</w:t>
            </w:r>
          </w:p>
          <w:p>
            <w:pPr>
              <w:spacing w:line="360" w:lineRule="auto"/>
              <w:rPr>
                <w:rFonts w:ascii="宋体" w:hAnsi="宋体" w:cs="宋体"/>
                <w:color w:val="auto"/>
                <w:kern w:val="0"/>
                <w:sz w:val="22"/>
                <w:szCs w:val="22"/>
              </w:rPr>
            </w:pPr>
            <w:r>
              <w:rPr>
                <w:rFonts w:hint="eastAsia" w:ascii="宋体" w:hAnsi="宋体" w:cs="新宋体"/>
                <w:bCs/>
                <w:color w:val="auto"/>
                <w:kern w:val="0"/>
                <w:sz w:val="22"/>
                <w:szCs w:val="22"/>
              </w:rPr>
              <w:t>联系电话：</w:t>
            </w:r>
            <w:r>
              <w:rPr>
                <w:rFonts w:hint="eastAsia" w:ascii="宋体" w:hAnsi="宋体" w:cs="新宋体"/>
                <w:bCs/>
                <w:color w:val="auto"/>
                <w:kern w:val="0"/>
                <w:sz w:val="22"/>
                <w:szCs w:val="22"/>
                <w:lang w:val="en-US" w:eastAsia="zh-CN"/>
              </w:rPr>
              <w:t>0577-63430168</w:t>
            </w:r>
          </w:p>
        </w:tc>
      </w:tr>
      <w:tr>
        <w:tblPrEx>
          <w:tblCellMar>
            <w:top w:w="0" w:type="dxa"/>
            <w:left w:w="108" w:type="dxa"/>
            <w:bottom w:w="0" w:type="dxa"/>
            <w:right w:w="108" w:type="dxa"/>
          </w:tblCellMar>
        </w:tblPrEx>
        <w:trPr>
          <w:trHeight w:val="980"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lang w:val="zh-CN"/>
              </w:rPr>
              <w:t>2</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color w:val="auto"/>
                <w:kern w:val="0"/>
                <w:sz w:val="22"/>
                <w:szCs w:val="22"/>
                <w:lang w:val="zh-CN"/>
              </w:rPr>
              <w:t>采购代理机构</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rPr>
                <w:rFonts w:hint="eastAsia" w:ascii="宋体" w:hAnsi="宋体" w:eastAsia="宋体" w:cs="宋体"/>
                <w:color w:val="auto"/>
                <w:sz w:val="22"/>
                <w:szCs w:val="22"/>
                <w:lang w:eastAsia="zh-CN"/>
              </w:rPr>
            </w:pPr>
            <w:r>
              <w:rPr>
                <w:rFonts w:hint="eastAsia" w:ascii="宋体" w:hAnsi="宋体" w:cs="宋体"/>
                <w:color w:val="auto"/>
                <w:sz w:val="22"/>
                <w:szCs w:val="22"/>
              </w:rPr>
              <w:t>采购代理机构名称：</w:t>
            </w:r>
            <w:r>
              <w:rPr>
                <w:rFonts w:hint="eastAsia" w:ascii="宋体" w:hAnsi="宋体" w:cs="宋体"/>
                <w:color w:val="auto"/>
                <w:sz w:val="22"/>
                <w:szCs w:val="22"/>
                <w:lang w:eastAsia="zh-CN"/>
              </w:rPr>
              <w:t>浙江恒杰工程管理有限公司</w:t>
            </w:r>
          </w:p>
          <w:p>
            <w:pPr>
              <w:spacing w:line="360" w:lineRule="auto"/>
              <w:rPr>
                <w:rFonts w:ascii="宋体" w:hAnsi="宋体" w:cs="宋体"/>
                <w:color w:val="auto"/>
                <w:sz w:val="22"/>
                <w:szCs w:val="22"/>
              </w:rPr>
            </w:pPr>
            <w:r>
              <w:rPr>
                <w:rFonts w:hint="eastAsia" w:ascii="宋体" w:hAnsi="宋体" w:cs="宋体"/>
                <w:color w:val="auto"/>
                <w:sz w:val="22"/>
                <w:szCs w:val="22"/>
              </w:rPr>
              <w:t>地 址：</w:t>
            </w:r>
            <w:r>
              <w:rPr>
                <w:rFonts w:hint="eastAsia" w:ascii="宋体" w:hAnsi="宋体" w:cs="宋体"/>
                <w:color w:val="auto"/>
                <w:sz w:val="22"/>
                <w:szCs w:val="22"/>
                <w:lang w:eastAsia="zh-CN"/>
              </w:rPr>
              <w:t>浙江省温州市洞头区北岙街道城南大道20弄3号1704室</w:t>
            </w:r>
            <w:r>
              <w:rPr>
                <w:rFonts w:hint="eastAsia" w:ascii="宋体" w:hAnsi="宋体" w:cs="宋体"/>
                <w:color w:val="auto"/>
                <w:sz w:val="22"/>
                <w:szCs w:val="22"/>
              </w:rPr>
              <w:t>。</w:t>
            </w:r>
          </w:p>
          <w:p>
            <w:pPr>
              <w:spacing w:line="360" w:lineRule="auto"/>
              <w:rPr>
                <w:rFonts w:ascii="宋体" w:hAnsi="宋体" w:cs="宋体"/>
                <w:color w:val="auto"/>
                <w:sz w:val="22"/>
                <w:szCs w:val="22"/>
              </w:rPr>
            </w:pPr>
            <w:r>
              <w:rPr>
                <w:rFonts w:hint="eastAsia" w:ascii="宋体" w:hAnsi="宋体" w:cs="宋体"/>
                <w:color w:val="auto"/>
                <w:sz w:val="22"/>
                <w:szCs w:val="22"/>
              </w:rPr>
              <w:t>联系人：</w:t>
            </w:r>
            <w:r>
              <w:rPr>
                <w:rFonts w:hint="eastAsia" w:ascii="宋体" w:hAnsi="宋体" w:cs="宋体"/>
                <w:color w:val="auto"/>
                <w:sz w:val="22"/>
                <w:szCs w:val="22"/>
                <w:lang w:val="en-US" w:eastAsia="zh-CN"/>
              </w:rPr>
              <w:t>余</w:t>
            </w:r>
            <w:r>
              <w:rPr>
                <w:rFonts w:hint="eastAsia" w:ascii="宋体" w:hAnsi="宋体" w:cs="宋体"/>
                <w:color w:val="auto"/>
                <w:sz w:val="22"/>
                <w:szCs w:val="22"/>
              </w:rPr>
              <w:t>先生</w:t>
            </w:r>
          </w:p>
          <w:p>
            <w:pPr>
              <w:spacing w:line="360" w:lineRule="auto"/>
              <w:rPr>
                <w:rFonts w:hint="eastAsia" w:ascii="宋体" w:hAnsi="宋体" w:eastAsia="宋体" w:cs="宋体"/>
                <w:color w:val="auto"/>
                <w:sz w:val="22"/>
                <w:szCs w:val="22"/>
                <w:lang w:eastAsia="zh-CN"/>
              </w:rPr>
            </w:pPr>
            <w:r>
              <w:rPr>
                <w:rFonts w:hint="eastAsia" w:ascii="宋体" w:hAnsi="宋体" w:cs="宋体"/>
                <w:color w:val="auto"/>
                <w:sz w:val="22"/>
                <w:szCs w:val="22"/>
              </w:rPr>
              <w:t>联系电话：</w:t>
            </w:r>
            <w:r>
              <w:rPr>
                <w:rFonts w:hint="eastAsia" w:ascii="宋体" w:hAnsi="宋体" w:cs="宋体"/>
                <w:color w:val="auto"/>
                <w:sz w:val="22"/>
                <w:szCs w:val="22"/>
                <w:lang w:eastAsia="zh-CN"/>
              </w:rPr>
              <w:t>13968907090、13506539964</w:t>
            </w:r>
          </w:p>
        </w:tc>
      </w:tr>
      <w:tr>
        <w:tblPrEx>
          <w:tblCellMar>
            <w:top w:w="0" w:type="dxa"/>
            <w:left w:w="108" w:type="dxa"/>
            <w:bottom w:w="0" w:type="dxa"/>
            <w:right w:w="108" w:type="dxa"/>
          </w:tblCellMar>
        </w:tblPrEx>
        <w:trPr>
          <w:trHeight w:val="750"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lang w:val="zh-CN"/>
              </w:rPr>
              <w:t>3</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color w:val="auto"/>
                <w:kern w:val="0"/>
                <w:sz w:val="22"/>
                <w:szCs w:val="22"/>
                <w:lang w:val="zh-CN"/>
              </w:rPr>
              <w:t>采购名称</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rPr>
                <w:rFonts w:hint="eastAsia" w:ascii="宋体" w:hAnsi="宋体" w:eastAsia="宋体" w:cs="宋体"/>
                <w:color w:val="auto"/>
                <w:sz w:val="22"/>
                <w:szCs w:val="22"/>
                <w:lang w:eastAsia="zh-CN"/>
              </w:rPr>
            </w:pPr>
            <w:r>
              <w:rPr>
                <w:rFonts w:hint="eastAsia" w:ascii="宋体" w:hAnsi="宋体" w:cs="宋体"/>
                <w:color w:val="auto"/>
                <w:sz w:val="22"/>
                <w:szCs w:val="22"/>
              </w:rPr>
              <w:t>项目名称：</w:t>
            </w:r>
            <w:r>
              <w:rPr>
                <w:rFonts w:hint="eastAsia" w:ascii="宋体" w:hAnsi="宋体" w:cs="宋体"/>
                <w:bCs/>
                <w:color w:val="auto"/>
                <w:kern w:val="0"/>
                <w:sz w:val="22"/>
                <w:szCs w:val="22"/>
                <w:lang w:eastAsia="zh-CN"/>
              </w:rPr>
              <w:t>洞头区智慧排水系统建设项目</w:t>
            </w:r>
          </w:p>
          <w:p>
            <w:pPr>
              <w:spacing w:line="360" w:lineRule="auto"/>
              <w:rPr>
                <w:rFonts w:hint="eastAsia" w:ascii="宋体" w:hAnsi="宋体" w:eastAsia="宋体" w:cs="宋体"/>
                <w:color w:val="auto"/>
                <w:sz w:val="22"/>
                <w:szCs w:val="22"/>
                <w:lang w:eastAsia="zh-CN"/>
              </w:rPr>
            </w:pPr>
            <w:r>
              <w:rPr>
                <w:rFonts w:hint="eastAsia" w:ascii="宋体" w:hAnsi="宋体" w:cs="宋体"/>
                <w:color w:val="auto"/>
                <w:sz w:val="22"/>
                <w:szCs w:val="22"/>
              </w:rPr>
              <w:t>项目编号：</w:t>
            </w:r>
            <w:r>
              <w:rPr>
                <w:rFonts w:hint="eastAsia" w:ascii="宋体" w:hAnsi="宋体" w:cs="宋体"/>
                <w:bCs/>
                <w:color w:val="auto"/>
                <w:kern w:val="0"/>
                <w:sz w:val="22"/>
                <w:szCs w:val="22"/>
                <w:lang w:eastAsia="zh-CN"/>
              </w:rPr>
              <w:t>DTCG20250401020</w:t>
            </w:r>
          </w:p>
        </w:tc>
      </w:tr>
      <w:tr>
        <w:tblPrEx>
          <w:tblCellMar>
            <w:top w:w="0" w:type="dxa"/>
            <w:left w:w="108" w:type="dxa"/>
            <w:bottom w:w="0" w:type="dxa"/>
            <w:right w:w="108" w:type="dxa"/>
          </w:tblCellMar>
        </w:tblPrEx>
        <w:trPr>
          <w:trHeight w:val="750"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lang w:val="zh-CN"/>
              </w:rPr>
              <w:t>4</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color w:val="auto"/>
                <w:kern w:val="0"/>
                <w:sz w:val="22"/>
                <w:szCs w:val="22"/>
                <w:lang w:val="zh-CN"/>
              </w:rPr>
              <w:t>采购内容</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ind w:right="-34"/>
              <w:rPr>
                <w:rFonts w:ascii="宋体" w:hAnsi="宋体" w:cs="宋体"/>
                <w:color w:val="auto"/>
                <w:kern w:val="0"/>
                <w:sz w:val="22"/>
                <w:szCs w:val="22"/>
                <w:lang w:val="zh-CN"/>
              </w:rPr>
            </w:pPr>
            <w:r>
              <w:rPr>
                <w:rFonts w:hint="eastAsia" w:ascii="宋体" w:hAnsi="宋体" w:cs="宋体"/>
                <w:color w:val="auto"/>
                <w:kern w:val="0"/>
                <w:sz w:val="22"/>
                <w:szCs w:val="22"/>
                <w:lang w:val="zh-CN"/>
              </w:rPr>
              <w:t>具体内容及要求见</w:t>
            </w:r>
            <w:r>
              <w:rPr>
                <w:rFonts w:hint="eastAsia" w:ascii="宋体" w:hAnsi="宋体" w:cs="宋体"/>
                <w:color w:val="auto"/>
                <w:kern w:val="0"/>
                <w:sz w:val="22"/>
                <w:szCs w:val="22"/>
              </w:rPr>
              <w:t>招标</w:t>
            </w:r>
            <w:r>
              <w:rPr>
                <w:rFonts w:hint="eastAsia" w:ascii="宋体" w:hAnsi="宋体" w:cs="宋体"/>
                <w:color w:val="auto"/>
                <w:kern w:val="0"/>
                <w:sz w:val="22"/>
                <w:szCs w:val="22"/>
                <w:lang w:val="zh-CN"/>
              </w:rPr>
              <w:t>文件。</w:t>
            </w:r>
          </w:p>
        </w:tc>
      </w:tr>
      <w:tr>
        <w:tblPrEx>
          <w:tblCellMar>
            <w:top w:w="0" w:type="dxa"/>
            <w:left w:w="108" w:type="dxa"/>
            <w:bottom w:w="0" w:type="dxa"/>
            <w:right w:w="108" w:type="dxa"/>
          </w:tblCellMar>
        </w:tblPrEx>
        <w:trPr>
          <w:trHeight w:val="750"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lang w:val="zh-CN"/>
              </w:rPr>
              <w:t>5</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rPr>
                <w:rFonts w:ascii="宋体" w:hAnsi="宋体" w:cs="宋体"/>
                <w:color w:val="auto"/>
                <w:kern w:val="0"/>
                <w:sz w:val="22"/>
                <w:szCs w:val="22"/>
                <w:lang w:val="zh-CN"/>
              </w:rPr>
            </w:pPr>
            <w:r>
              <w:rPr>
                <w:rFonts w:hint="eastAsia" w:ascii="宋体" w:hAnsi="宋体" w:cs="宋体"/>
                <w:b/>
                <w:color w:val="auto"/>
                <w:kern w:val="0"/>
                <w:sz w:val="22"/>
                <w:szCs w:val="22"/>
              </w:rPr>
              <w:t>核心产品</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12" w:lineRule="auto"/>
              <w:rPr>
                <w:rFonts w:hint="eastAsia" w:ascii="宋体" w:hAnsi="宋体" w:cs="宋体"/>
                <w:sz w:val="22"/>
                <w:szCs w:val="22"/>
              </w:rPr>
            </w:pPr>
            <w:r>
              <w:rPr>
                <w:rFonts w:hint="eastAsia" w:ascii="宋体" w:hAnsi="宋体" w:cs="宋体"/>
                <w:b/>
                <w:bCs/>
                <w:sz w:val="22"/>
                <w:szCs w:val="22"/>
              </w:rPr>
              <w:sym w:font="Wingdings" w:char="00FE"/>
            </w:r>
            <w:r>
              <w:rPr>
                <w:rFonts w:hint="eastAsia" w:ascii="宋体" w:hAnsi="宋体" w:cs="宋体"/>
                <w:b/>
                <w:bCs/>
                <w:sz w:val="22"/>
                <w:szCs w:val="22"/>
              </w:rPr>
              <w:t>货物类</w:t>
            </w:r>
            <w:r>
              <w:rPr>
                <w:rFonts w:hint="eastAsia" w:ascii="宋体" w:hAnsi="宋体" w:cs="宋体"/>
                <w:sz w:val="22"/>
                <w:szCs w:val="22"/>
              </w:rPr>
              <w:t>，</w:t>
            </w:r>
            <w:r>
              <w:rPr>
                <w:rFonts w:hint="eastAsia" w:ascii="宋体" w:hAnsi="宋体" w:cs="宋体"/>
                <w:sz w:val="22"/>
                <w:szCs w:val="22"/>
              </w:rPr>
              <w:sym w:font="Wingdings" w:char="00A8"/>
            </w:r>
            <w:r>
              <w:rPr>
                <w:rFonts w:hint="eastAsia" w:ascii="宋体" w:hAnsi="宋体" w:cs="宋体"/>
                <w:sz w:val="22"/>
                <w:szCs w:val="22"/>
              </w:rPr>
              <w:t>单一产品或核心产品为：</w:t>
            </w:r>
            <w:r>
              <w:rPr>
                <w:rFonts w:hint="eastAsia" w:ascii="宋体" w:hAnsi="宋体" w:cs="宋体"/>
                <w:sz w:val="22"/>
                <w:szCs w:val="22"/>
                <w:u w:val="single"/>
              </w:rPr>
              <w:t xml:space="preserve">               </w:t>
            </w:r>
            <w:r>
              <w:rPr>
                <w:rFonts w:hint="eastAsia" w:ascii="宋体" w:hAnsi="宋体" w:cs="宋体"/>
                <w:sz w:val="22"/>
                <w:szCs w:val="22"/>
              </w:rPr>
              <w:t>。</w:t>
            </w:r>
            <w:r>
              <w:rPr>
                <w:rFonts w:hint="eastAsia" w:ascii="宋体" w:hAnsi="宋体" w:cs="宋体"/>
                <w:b/>
                <w:bCs/>
                <w:sz w:val="22"/>
                <w:szCs w:val="22"/>
              </w:rPr>
              <w:sym w:font="Wingdings" w:char="00FE"/>
            </w:r>
            <w:r>
              <w:rPr>
                <w:rFonts w:hint="eastAsia" w:ascii="宋体" w:hAnsi="宋体" w:cs="宋体"/>
                <w:sz w:val="22"/>
                <w:szCs w:val="22"/>
              </w:rPr>
              <w:t>非单一产品采购项目，采购人应当根据采购项目技术构成、产品价格比重等合理确定核心产品，并在采购文件中载明。本项目无核心产品。</w:t>
            </w:r>
          </w:p>
          <w:p>
            <w:pPr>
              <w:spacing w:line="360" w:lineRule="auto"/>
              <w:rPr>
                <w:rFonts w:ascii="宋体" w:hAnsi="宋体" w:cs="宋体"/>
                <w:b/>
                <w:bCs/>
                <w:color w:val="auto"/>
                <w:kern w:val="0"/>
                <w:sz w:val="22"/>
                <w:szCs w:val="22"/>
              </w:rPr>
            </w:pPr>
            <w:r>
              <w:rPr>
                <w:rFonts w:hint="eastAsia" w:ascii="宋体" w:hAnsi="宋体" w:cs="宋体"/>
                <w:sz w:val="22"/>
                <w:szCs w:val="22"/>
              </w:rPr>
              <w:sym w:font="Wingdings" w:char="00A8"/>
            </w:r>
            <w:r>
              <w:rPr>
                <w:rFonts w:hint="eastAsia" w:ascii="宋体" w:hAnsi="宋体" w:cs="宋体"/>
                <w:sz w:val="22"/>
                <w:szCs w:val="22"/>
              </w:rPr>
              <w:t>服务类。</w:t>
            </w:r>
          </w:p>
        </w:tc>
      </w:tr>
      <w:tr>
        <w:tblPrEx>
          <w:tblCellMar>
            <w:top w:w="0" w:type="dxa"/>
            <w:left w:w="108" w:type="dxa"/>
            <w:bottom w:w="0" w:type="dxa"/>
            <w:right w:w="108" w:type="dxa"/>
          </w:tblCellMar>
        </w:tblPrEx>
        <w:trPr>
          <w:trHeight w:val="951"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lang w:val="zh-CN"/>
              </w:rPr>
              <w:t>6</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color w:val="auto"/>
                <w:kern w:val="0"/>
                <w:sz w:val="22"/>
                <w:szCs w:val="22"/>
                <w:u w:val="single"/>
                <w:lang w:val="zh-CN"/>
              </w:rPr>
              <w:t>▲</w:t>
            </w:r>
            <w:r>
              <w:rPr>
                <w:rFonts w:hint="eastAsia" w:ascii="宋体" w:hAnsi="宋体" w:cs="宋体"/>
                <w:b/>
                <w:bCs/>
                <w:color w:val="auto"/>
                <w:kern w:val="0"/>
                <w:sz w:val="22"/>
                <w:szCs w:val="22"/>
                <w:u w:val="single"/>
              </w:rPr>
              <w:t>投标人</w:t>
            </w:r>
            <w:r>
              <w:rPr>
                <w:rFonts w:hint="eastAsia" w:ascii="宋体" w:hAnsi="宋体" w:cs="宋体"/>
                <w:b/>
                <w:bCs/>
                <w:color w:val="auto"/>
                <w:kern w:val="0"/>
                <w:sz w:val="22"/>
                <w:szCs w:val="22"/>
                <w:u w:val="single"/>
                <w:lang w:val="zh-CN"/>
              </w:rPr>
              <w:t>资质格要求</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widowControl/>
              <w:spacing w:before="60" w:after="60" w:line="360" w:lineRule="auto"/>
              <w:ind w:right="60"/>
              <w:jc w:val="left"/>
              <w:rPr>
                <w:rFonts w:ascii="宋体" w:hAnsi="宋体" w:cs="宋体"/>
                <w:bCs/>
                <w:color w:val="auto"/>
                <w:kern w:val="0"/>
                <w:sz w:val="22"/>
                <w:szCs w:val="22"/>
              </w:rPr>
            </w:pPr>
            <w:r>
              <w:rPr>
                <w:rFonts w:hint="eastAsia" w:ascii="宋体" w:hAnsi="宋体" w:cs="宋体"/>
                <w:bCs/>
                <w:color w:val="auto"/>
                <w:kern w:val="0"/>
                <w:sz w:val="22"/>
                <w:szCs w:val="22"/>
              </w:rPr>
              <w:t>详见招标公告。</w:t>
            </w:r>
          </w:p>
        </w:tc>
      </w:tr>
      <w:tr>
        <w:tblPrEx>
          <w:tblCellMar>
            <w:top w:w="0" w:type="dxa"/>
            <w:left w:w="108" w:type="dxa"/>
            <w:bottom w:w="0" w:type="dxa"/>
            <w:right w:w="108" w:type="dxa"/>
          </w:tblCellMar>
        </w:tblPrEx>
        <w:trPr>
          <w:trHeight w:val="73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lang w:val="zh-CN"/>
              </w:rPr>
              <w:t>7</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color w:val="auto"/>
                <w:kern w:val="0"/>
                <w:sz w:val="22"/>
                <w:szCs w:val="22"/>
                <w:lang w:val="zh-CN"/>
              </w:rPr>
              <w:t>是否接受联合体投标</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color w:val="auto"/>
                <w:lang w:val="zh-CN"/>
              </w:rPr>
            </w:pPr>
            <w:r>
              <w:rPr>
                <w:rFonts w:hint="eastAsia"/>
                <w:color w:val="auto"/>
              </w:rPr>
              <w:sym w:font="Wingdings" w:char="00A8"/>
            </w:r>
            <w:r>
              <w:rPr>
                <w:rFonts w:hint="eastAsia"/>
                <w:color w:val="auto"/>
                <w:lang w:val="zh-CN"/>
              </w:rPr>
              <w:t>不接受</w:t>
            </w:r>
          </w:p>
          <w:p>
            <w:pPr>
              <w:autoSpaceDE w:val="0"/>
              <w:autoSpaceDN w:val="0"/>
              <w:adjustRightInd w:val="0"/>
              <w:spacing w:line="360" w:lineRule="auto"/>
              <w:rPr>
                <w:rFonts w:ascii="宋体" w:hAnsi="宋体" w:cs="宋体"/>
                <w:color w:val="auto"/>
                <w:kern w:val="0"/>
                <w:sz w:val="22"/>
                <w:szCs w:val="22"/>
              </w:rPr>
            </w:pPr>
            <w:r>
              <w:rPr>
                <w:rFonts w:hint="eastAsia"/>
                <w:b/>
                <w:bCs/>
                <w:color w:val="auto"/>
                <w:lang w:val="zh-CN"/>
              </w:rPr>
              <w:sym w:font="Wingdings 2" w:char="0052"/>
            </w:r>
            <w:r>
              <w:rPr>
                <w:rFonts w:hint="eastAsia"/>
                <w:b/>
                <w:bCs/>
                <w:color w:val="auto"/>
                <w:lang w:val="zh-CN"/>
              </w:rPr>
              <w:t>接受</w:t>
            </w:r>
            <w:r>
              <w:rPr>
                <w:rFonts w:hint="eastAsia" w:ascii="宋体" w:hAnsi="宋体" w:cs="宋体"/>
                <w:color w:val="auto"/>
                <w:kern w:val="0"/>
                <w:sz w:val="22"/>
                <w:szCs w:val="22"/>
              </w:rPr>
              <w:t>，应满足下列要求：</w:t>
            </w:r>
          </w:p>
          <w:p>
            <w:pPr>
              <w:spacing w:line="360" w:lineRule="auto"/>
              <w:rPr>
                <w:rFonts w:ascii="宋体" w:hAnsi="宋体" w:cs="宋体"/>
                <w:color w:val="auto"/>
                <w:kern w:val="0"/>
                <w:sz w:val="22"/>
                <w:szCs w:val="22"/>
              </w:rPr>
            </w:pPr>
            <w:r>
              <w:rPr>
                <w:rFonts w:hint="eastAsia" w:ascii="宋体" w:hAnsi="宋体" w:cs="宋体"/>
                <w:color w:val="auto"/>
                <w:kern w:val="0"/>
                <w:sz w:val="22"/>
                <w:szCs w:val="22"/>
              </w:rPr>
              <w:t>（1）允许大中型企业与小微企业组成联合体参与投标；</w:t>
            </w:r>
          </w:p>
          <w:p>
            <w:pPr>
              <w:spacing w:line="360" w:lineRule="auto"/>
              <w:rPr>
                <w:rFonts w:ascii="宋体" w:hAnsi="宋体" w:cs="宋体"/>
                <w:color w:val="auto"/>
                <w:kern w:val="0"/>
                <w:sz w:val="22"/>
                <w:szCs w:val="22"/>
              </w:rPr>
            </w:pPr>
            <w:r>
              <w:rPr>
                <w:rFonts w:hint="eastAsia" w:ascii="宋体" w:hAnsi="宋体" w:cs="宋体"/>
                <w:color w:val="auto"/>
                <w:kern w:val="0"/>
                <w:sz w:val="22"/>
                <w:szCs w:val="22"/>
              </w:rPr>
              <w:t>（2）需提供联合体协议书，明确双方各自责任与义务；</w:t>
            </w:r>
          </w:p>
          <w:p>
            <w:pPr>
              <w:pStyle w:val="34"/>
              <w:spacing w:line="360" w:lineRule="auto"/>
              <w:rPr>
                <w:color w:val="auto"/>
                <w:lang w:val="zh-CN"/>
              </w:rPr>
            </w:pPr>
            <w:r>
              <w:rPr>
                <w:rFonts w:hint="eastAsia" w:hAnsi="宋体" w:cs="宋体"/>
                <w:color w:val="auto"/>
                <w:sz w:val="22"/>
                <w:szCs w:val="22"/>
              </w:rPr>
              <w:t>（3）联合体成员不超过两家。</w:t>
            </w:r>
          </w:p>
        </w:tc>
      </w:tr>
      <w:tr>
        <w:tblPrEx>
          <w:tblCellMar>
            <w:top w:w="0" w:type="dxa"/>
            <w:left w:w="108" w:type="dxa"/>
            <w:bottom w:w="0" w:type="dxa"/>
            <w:right w:w="108" w:type="dxa"/>
          </w:tblCellMar>
        </w:tblPrEx>
        <w:trPr>
          <w:trHeight w:val="73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lang w:val="zh-CN"/>
              </w:rPr>
              <w:t>8</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color w:val="auto"/>
                <w:kern w:val="0"/>
                <w:sz w:val="22"/>
                <w:szCs w:val="22"/>
                <w:lang w:val="zh-CN"/>
              </w:rPr>
              <w:t>踏勘现场</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color w:val="auto"/>
                <w:kern w:val="0"/>
                <w:sz w:val="22"/>
                <w:szCs w:val="22"/>
                <w:lang w:val="zh-CN"/>
              </w:rPr>
              <w:t>□组织</w:t>
            </w:r>
          </w:p>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b/>
                <w:snapToGrid w:val="0"/>
                <w:color w:val="auto"/>
                <w:sz w:val="22"/>
                <w:szCs w:val="22"/>
              </w:rPr>
              <w:sym w:font="Wingdings" w:char="F0FE"/>
            </w:r>
            <w:r>
              <w:rPr>
                <w:rFonts w:hint="eastAsia" w:ascii="宋体" w:hAnsi="宋体" w:cs="宋体"/>
                <w:color w:val="auto"/>
                <w:kern w:val="0"/>
                <w:sz w:val="22"/>
                <w:szCs w:val="22"/>
                <w:lang w:val="zh-CN"/>
              </w:rPr>
              <w:t>不组织</w:t>
            </w:r>
          </w:p>
        </w:tc>
      </w:tr>
      <w:tr>
        <w:tblPrEx>
          <w:tblCellMar>
            <w:top w:w="0" w:type="dxa"/>
            <w:left w:w="108" w:type="dxa"/>
            <w:bottom w:w="0" w:type="dxa"/>
            <w:right w:w="108" w:type="dxa"/>
          </w:tblCellMar>
        </w:tblPrEx>
        <w:trPr>
          <w:trHeight w:val="73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lang w:val="zh-CN"/>
              </w:rPr>
              <w:t>9</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color w:val="auto"/>
                <w:kern w:val="0"/>
                <w:sz w:val="22"/>
                <w:szCs w:val="22"/>
                <w:lang w:val="zh-CN"/>
              </w:rPr>
              <w:t>投标预备会</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color w:val="auto"/>
                <w:kern w:val="0"/>
                <w:sz w:val="22"/>
                <w:szCs w:val="22"/>
                <w:lang w:val="zh-CN"/>
              </w:rPr>
              <w:t>□召开</w:t>
            </w:r>
          </w:p>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b/>
                <w:snapToGrid w:val="0"/>
                <w:color w:val="auto"/>
                <w:sz w:val="22"/>
                <w:szCs w:val="22"/>
              </w:rPr>
              <w:sym w:font="Wingdings" w:char="F0FE"/>
            </w:r>
            <w:r>
              <w:rPr>
                <w:rFonts w:hint="eastAsia" w:ascii="宋体" w:hAnsi="宋体" w:cs="宋体"/>
                <w:color w:val="auto"/>
                <w:kern w:val="0"/>
                <w:sz w:val="22"/>
                <w:szCs w:val="22"/>
                <w:lang w:val="zh-CN"/>
              </w:rPr>
              <w:t>不召开</w:t>
            </w:r>
          </w:p>
        </w:tc>
      </w:tr>
      <w:tr>
        <w:tblPrEx>
          <w:tblCellMar>
            <w:top w:w="0" w:type="dxa"/>
            <w:left w:w="108" w:type="dxa"/>
            <w:bottom w:w="0" w:type="dxa"/>
            <w:right w:w="108" w:type="dxa"/>
          </w:tblCellMar>
        </w:tblPrEx>
        <w:trPr>
          <w:trHeight w:val="73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lang w:val="zh-CN"/>
              </w:rPr>
              <w:t>10</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color w:val="auto"/>
                <w:kern w:val="0"/>
                <w:sz w:val="22"/>
                <w:szCs w:val="22"/>
                <w:lang w:val="zh-CN"/>
              </w:rPr>
              <w:t>投标</w:t>
            </w:r>
            <w:r>
              <w:rPr>
                <w:rFonts w:hint="eastAsia" w:ascii="宋体" w:hAnsi="宋体" w:cs="宋体"/>
                <w:color w:val="auto"/>
                <w:kern w:val="0"/>
                <w:sz w:val="22"/>
                <w:szCs w:val="22"/>
              </w:rPr>
              <w:t>响应</w:t>
            </w:r>
            <w:r>
              <w:rPr>
                <w:rFonts w:hint="eastAsia" w:ascii="宋体" w:hAnsi="宋体" w:cs="宋体"/>
                <w:color w:val="auto"/>
                <w:kern w:val="0"/>
                <w:sz w:val="22"/>
                <w:szCs w:val="22"/>
                <w:lang w:val="zh-CN"/>
              </w:rPr>
              <w:t>截止时间</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color w:val="auto"/>
                <w:kern w:val="0"/>
                <w:sz w:val="22"/>
                <w:szCs w:val="22"/>
              </w:rPr>
            </w:pPr>
            <w:r>
              <w:rPr>
                <w:rFonts w:hint="eastAsia" w:ascii="宋体" w:hAnsi="宋体" w:cs="宋体"/>
                <w:bCs/>
                <w:color w:val="auto"/>
                <w:kern w:val="0"/>
                <w:sz w:val="22"/>
                <w:szCs w:val="22"/>
              </w:rPr>
              <w:t>见招标公告</w:t>
            </w:r>
          </w:p>
        </w:tc>
      </w:tr>
      <w:tr>
        <w:tblPrEx>
          <w:tblCellMar>
            <w:top w:w="0" w:type="dxa"/>
            <w:left w:w="108" w:type="dxa"/>
            <w:bottom w:w="0" w:type="dxa"/>
            <w:right w:w="108" w:type="dxa"/>
          </w:tblCellMar>
        </w:tblPrEx>
        <w:trPr>
          <w:trHeight w:val="73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lang w:val="zh-CN"/>
              </w:rPr>
              <w:t>11</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color w:val="auto"/>
                <w:kern w:val="0"/>
                <w:sz w:val="22"/>
                <w:szCs w:val="22"/>
                <w:lang w:val="zh-CN"/>
              </w:rPr>
              <w:t>分包</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b/>
                <w:bCs/>
                <w:color w:val="auto"/>
                <w:lang w:val="zh-CN"/>
              </w:rPr>
            </w:pPr>
            <w:r>
              <w:rPr>
                <w:rFonts w:hint="eastAsia" w:ascii="宋体" w:hAnsi="宋体" w:cs="宋体"/>
                <w:b/>
                <w:bCs/>
                <w:color w:val="auto"/>
                <w:kern w:val="0"/>
                <w:sz w:val="22"/>
                <w:szCs w:val="22"/>
                <w:lang w:val="zh-CN"/>
              </w:rPr>
              <w:t>☑</w:t>
            </w:r>
            <w:r>
              <w:rPr>
                <w:rFonts w:hint="eastAsia"/>
                <w:b/>
                <w:bCs/>
                <w:color w:val="auto"/>
                <w:lang w:val="zh-CN"/>
              </w:rPr>
              <w:t>不允许</w:t>
            </w:r>
          </w:p>
          <w:p>
            <w:pPr>
              <w:autoSpaceDE w:val="0"/>
              <w:autoSpaceDN w:val="0"/>
              <w:adjustRightInd w:val="0"/>
              <w:spacing w:line="360" w:lineRule="auto"/>
              <w:rPr>
                <w:color w:val="auto"/>
                <w:lang w:val="zh-CN"/>
              </w:rPr>
            </w:pPr>
            <w:r>
              <w:rPr>
                <w:rFonts w:hint="eastAsia" w:ascii="宋体" w:hAnsi="宋体" w:cs="宋体"/>
                <w:b/>
                <w:snapToGrid w:val="0"/>
                <w:color w:val="auto"/>
                <w:sz w:val="22"/>
                <w:szCs w:val="22"/>
                <w:highlight w:val="none"/>
              </w:rPr>
              <w:sym w:font="Wingdings" w:char="00A8"/>
            </w:r>
            <w:r>
              <w:rPr>
                <w:rFonts w:hint="eastAsia"/>
                <w:color w:val="auto"/>
                <w:highlight w:val="none"/>
                <w:lang w:val="zh-CN"/>
              </w:rPr>
              <w:t>允许</w:t>
            </w:r>
          </w:p>
        </w:tc>
      </w:tr>
      <w:tr>
        <w:tblPrEx>
          <w:tblCellMar>
            <w:top w:w="0" w:type="dxa"/>
            <w:left w:w="108" w:type="dxa"/>
            <w:bottom w:w="0" w:type="dxa"/>
            <w:right w:w="108" w:type="dxa"/>
          </w:tblCellMar>
        </w:tblPrEx>
        <w:trPr>
          <w:trHeight w:val="1080"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lang w:val="zh-CN"/>
              </w:rPr>
              <w:t>12</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color w:val="auto"/>
                <w:kern w:val="0"/>
                <w:sz w:val="22"/>
                <w:szCs w:val="22"/>
                <w:lang w:val="zh-CN"/>
              </w:rPr>
              <w:t>偏离</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strike/>
                <w:color w:val="auto"/>
                <w:kern w:val="0"/>
                <w:sz w:val="22"/>
                <w:szCs w:val="22"/>
                <w:lang w:val="zh-CN"/>
              </w:rPr>
            </w:pPr>
            <w:r>
              <w:rPr>
                <w:rFonts w:hint="eastAsia" w:ascii="宋体" w:hAnsi="宋体" w:cs="宋体"/>
                <w:color w:val="auto"/>
                <w:kern w:val="0"/>
                <w:sz w:val="22"/>
                <w:szCs w:val="22"/>
                <w:lang w:val="zh-CN"/>
              </w:rPr>
              <w:t>偏差允许幅度及其处理方法：允许细微偏差，不允许重大偏差。由评标委员会判断，细微偏差要求投标人在评标结束前予以澄清、说明或补正，不接受要求进行的，</w:t>
            </w:r>
            <w:r>
              <w:rPr>
                <w:rFonts w:hint="eastAsia" w:ascii="宋体" w:hAnsi="宋体" w:cs="宋体"/>
                <w:color w:val="auto"/>
                <w:kern w:val="0"/>
                <w:sz w:val="22"/>
                <w:szCs w:val="22"/>
              </w:rPr>
              <w:t>评标委员会</w:t>
            </w:r>
            <w:r>
              <w:rPr>
                <w:rFonts w:hint="eastAsia" w:ascii="宋体" w:hAnsi="宋体" w:cs="宋体"/>
                <w:color w:val="auto"/>
                <w:kern w:val="0"/>
                <w:sz w:val="22"/>
                <w:szCs w:val="22"/>
                <w:lang w:val="zh-CN"/>
              </w:rPr>
              <w:t>有权做无效标处理，详见评标办法。</w:t>
            </w:r>
          </w:p>
        </w:tc>
      </w:tr>
      <w:tr>
        <w:tblPrEx>
          <w:tblCellMar>
            <w:top w:w="0" w:type="dxa"/>
            <w:left w:w="108" w:type="dxa"/>
            <w:bottom w:w="0" w:type="dxa"/>
            <w:right w:w="108" w:type="dxa"/>
          </w:tblCellMar>
        </w:tblPrEx>
        <w:trPr>
          <w:trHeight w:val="68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lang w:val="zh-CN"/>
              </w:rPr>
              <w:t>13</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color w:val="auto"/>
                <w:kern w:val="0"/>
                <w:sz w:val="22"/>
                <w:szCs w:val="22"/>
                <w:lang w:val="zh-CN"/>
              </w:rPr>
              <w:t>投标有效期</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color w:val="auto"/>
                <w:kern w:val="0"/>
                <w:sz w:val="22"/>
                <w:szCs w:val="22"/>
                <w:lang w:val="zh-CN"/>
              </w:rPr>
              <w:t>自投标</w:t>
            </w:r>
            <w:r>
              <w:rPr>
                <w:rFonts w:hint="eastAsia" w:ascii="宋体" w:hAnsi="宋体" w:cs="宋体"/>
                <w:color w:val="auto"/>
                <w:kern w:val="0"/>
                <w:sz w:val="22"/>
                <w:szCs w:val="22"/>
              </w:rPr>
              <w:t>响应</w:t>
            </w:r>
            <w:r>
              <w:rPr>
                <w:rFonts w:hint="eastAsia" w:ascii="宋体" w:hAnsi="宋体" w:cs="宋体"/>
                <w:color w:val="auto"/>
                <w:kern w:val="0"/>
                <w:sz w:val="22"/>
                <w:szCs w:val="22"/>
                <w:lang w:val="zh-CN"/>
              </w:rPr>
              <w:t>截止时间起生效，有效期90天。</w:t>
            </w:r>
          </w:p>
        </w:tc>
      </w:tr>
      <w:tr>
        <w:tblPrEx>
          <w:tblCellMar>
            <w:top w:w="0" w:type="dxa"/>
            <w:left w:w="108" w:type="dxa"/>
            <w:bottom w:w="0" w:type="dxa"/>
            <w:right w:w="108" w:type="dxa"/>
          </w:tblCellMar>
        </w:tblPrEx>
        <w:trPr>
          <w:trHeight w:val="846"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lang w:val="zh-CN"/>
              </w:rPr>
              <w:t>14</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color w:val="auto"/>
                <w:kern w:val="0"/>
                <w:sz w:val="22"/>
                <w:szCs w:val="22"/>
                <w:lang w:val="zh-CN"/>
              </w:rPr>
              <w:t>投标保证金</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b/>
                <w:bCs/>
                <w:color w:val="auto"/>
                <w:sz w:val="22"/>
                <w:szCs w:val="22"/>
              </w:rPr>
            </w:pPr>
            <w:r>
              <w:rPr>
                <w:rFonts w:hint="eastAsia" w:ascii="宋体" w:hAnsi="宋体" w:cs="宋体"/>
                <w:color w:val="auto"/>
                <w:sz w:val="22"/>
                <w:szCs w:val="22"/>
              </w:rPr>
              <w:t>无需提交</w:t>
            </w:r>
          </w:p>
        </w:tc>
      </w:tr>
      <w:tr>
        <w:tblPrEx>
          <w:tblCellMar>
            <w:top w:w="0" w:type="dxa"/>
            <w:left w:w="108" w:type="dxa"/>
            <w:bottom w:w="0" w:type="dxa"/>
            <w:right w:w="108" w:type="dxa"/>
          </w:tblCellMar>
        </w:tblPrEx>
        <w:trPr>
          <w:trHeight w:val="79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lang w:val="zh-CN"/>
              </w:rPr>
              <w:t>15</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color w:val="auto"/>
                <w:kern w:val="0"/>
                <w:sz w:val="22"/>
                <w:szCs w:val="22"/>
              </w:rPr>
              <w:t>响应文件</w:t>
            </w:r>
            <w:r>
              <w:rPr>
                <w:rFonts w:hint="eastAsia" w:ascii="宋体" w:hAnsi="宋体" w:cs="宋体"/>
                <w:color w:val="auto"/>
                <w:kern w:val="0"/>
                <w:sz w:val="22"/>
                <w:szCs w:val="22"/>
                <w:lang w:val="zh-CN"/>
              </w:rPr>
              <w:t>的组成</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color w:val="auto"/>
                <w:kern w:val="0"/>
                <w:sz w:val="22"/>
                <w:szCs w:val="22"/>
                <w:lang w:val="zh-CN"/>
              </w:rPr>
              <w:t>由“资格响应文件”、“</w:t>
            </w:r>
            <w:r>
              <w:rPr>
                <w:rFonts w:hint="eastAsia" w:ascii="宋体" w:hAnsi="宋体" w:cs="宋体"/>
                <w:color w:val="auto"/>
                <w:kern w:val="0"/>
                <w:sz w:val="22"/>
                <w:szCs w:val="22"/>
              </w:rPr>
              <w:t>商务技术响应文件</w:t>
            </w:r>
            <w:r>
              <w:rPr>
                <w:rFonts w:hint="eastAsia" w:ascii="宋体" w:hAnsi="宋体" w:cs="宋体"/>
                <w:color w:val="auto"/>
                <w:kern w:val="0"/>
                <w:sz w:val="22"/>
                <w:szCs w:val="22"/>
                <w:lang w:val="zh-CN"/>
              </w:rPr>
              <w:t>”和“报价响应文件”三个部分组成。</w:t>
            </w:r>
          </w:p>
        </w:tc>
      </w:tr>
      <w:tr>
        <w:tblPrEx>
          <w:tblCellMar>
            <w:top w:w="0" w:type="dxa"/>
            <w:left w:w="108" w:type="dxa"/>
            <w:bottom w:w="0" w:type="dxa"/>
            <w:right w:w="108" w:type="dxa"/>
          </w:tblCellMar>
        </w:tblPrEx>
        <w:trPr>
          <w:trHeight w:val="79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lang w:val="zh-CN"/>
              </w:rPr>
              <w:t>16</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color w:val="auto"/>
                <w:kern w:val="0"/>
                <w:sz w:val="22"/>
                <w:szCs w:val="22"/>
              </w:rPr>
              <w:t>响应文件</w:t>
            </w:r>
            <w:r>
              <w:rPr>
                <w:rFonts w:hint="eastAsia" w:ascii="宋体" w:hAnsi="宋体" w:cs="宋体"/>
                <w:color w:val="auto"/>
                <w:kern w:val="0"/>
                <w:sz w:val="22"/>
                <w:szCs w:val="22"/>
                <w:lang w:val="zh-CN"/>
              </w:rPr>
              <w:t>的编制</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color w:val="auto"/>
                <w:kern w:val="0"/>
                <w:sz w:val="22"/>
                <w:szCs w:val="22"/>
                <w:lang w:val="zh-CN"/>
              </w:rPr>
              <w:t>投标人应先安装“政采云</w:t>
            </w:r>
            <w:r>
              <w:rPr>
                <w:rFonts w:hint="eastAsia" w:ascii="宋体" w:hAnsi="宋体" w:cs="宋体"/>
                <w:color w:val="auto"/>
                <w:kern w:val="0"/>
                <w:sz w:val="22"/>
                <w:szCs w:val="22"/>
              </w:rPr>
              <w:t>投标</w:t>
            </w:r>
            <w:r>
              <w:rPr>
                <w:rFonts w:hint="eastAsia" w:ascii="宋体" w:hAnsi="宋体" w:cs="宋体"/>
                <w:color w:val="auto"/>
                <w:kern w:val="0"/>
                <w:sz w:val="22"/>
                <w:szCs w:val="22"/>
                <w:lang w:val="zh-CN"/>
              </w:rPr>
              <w:t>客户端”，并按照本</w:t>
            </w:r>
            <w:r>
              <w:rPr>
                <w:rFonts w:hint="eastAsia" w:ascii="宋体" w:hAnsi="宋体" w:cs="宋体"/>
                <w:color w:val="auto"/>
                <w:kern w:val="0"/>
                <w:sz w:val="22"/>
                <w:szCs w:val="22"/>
              </w:rPr>
              <w:t>招标文件</w:t>
            </w:r>
            <w:r>
              <w:rPr>
                <w:rFonts w:hint="eastAsia" w:ascii="宋体" w:hAnsi="宋体" w:cs="宋体"/>
                <w:color w:val="auto"/>
                <w:kern w:val="0"/>
                <w:sz w:val="22"/>
                <w:szCs w:val="22"/>
                <w:lang w:val="zh-CN"/>
              </w:rPr>
              <w:t>和“《政府采购项目电子交易管理操作指南-投标人》”的要求，编制并加密</w:t>
            </w:r>
            <w:r>
              <w:rPr>
                <w:rFonts w:hint="eastAsia" w:ascii="宋体" w:hAnsi="宋体" w:cs="宋体"/>
                <w:color w:val="auto"/>
                <w:kern w:val="0"/>
                <w:sz w:val="22"/>
                <w:szCs w:val="22"/>
              </w:rPr>
              <w:t>响应</w:t>
            </w:r>
            <w:r>
              <w:rPr>
                <w:rFonts w:hint="eastAsia" w:ascii="宋体" w:hAnsi="宋体" w:cs="宋体"/>
                <w:color w:val="auto"/>
                <w:kern w:val="0"/>
                <w:sz w:val="22"/>
                <w:szCs w:val="22"/>
                <w:lang w:val="zh-CN"/>
              </w:rPr>
              <w:t>文件。</w:t>
            </w:r>
          </w:p>
        </w:tc>
      </w:tr>
      <w:tr>
        <w:tblPrEx>
          <w:tblCellMar>
            <w:top w:w="0" w:type="dxa"/>
            <w:left w:w="108" w:type="dxa"/>
            <w:bottom w:w="0" w:type="dxa"/>
            <w:right w:w="108" w:type="dxa"/>
          </w:tblCellMar>
        </w:tblPrEx>
        <w:trPr>
          <w:trHeight w:val="79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lang w:val="zh-CN"/>
              </w:rPr>
              <w:t>17</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color w:val="auto"/>
                <w:kern w:val="0"/>
                <w:sz w:val="22"/>
                <w:szCs w:val="22"/>
                <w:lang w:val="zh-CN"/>
              </w:rPr>
              <w:t>开标时间</w:t>
            </w:r>
          </w:p>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color w:val="auto"/>
                <w:kern w:val="0"/>
                <w:sz w:val="22"/>
                <w:szCs w:val="22"/>
                <w:lang w:val="zh-CN"/>
              </w:rPr>
              <w:t>和地点</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rPr>
                <w:rFonts w:ascii="宋体" w:hAnsi="宋体" w:cs="宋体"/>
                <w:color w:val="auto"/>
                <w:sz w:val="22"/>
                <w:szCs w:val="22"/>
              </w:rPr>
            </w:pPr>
            <w:r>
              <w:rPr>
                <w:rFonts w:hint="eastAsia" w:ascii="宋体" w:hAnsi="宋体" w:cs="宋体"/>
                <w:color w:val="auto"/>
                <w:sz w:val="22"/>
                <w:szCs w:val="22"/>
              </w:rPr>
              <w:t>详见招标公告</w:t>
            </w:r>
          </w:p>
          <w:p>
            <w:pPr>
              <w:pStyle w:val="25"/>
              <w:spacing w:line="360" w:lineRule="auto"/>
              <w:ind w:firstLine="0"/>
              <w:rPr>
                <w:rFonts w:ascii="宋体" w:hAnsi="宋体" w:cs="宋体"/>
                <w:color w:val="auto"/>
                <w:sz w:val="22"/>
                <w:szCs w:val="22"/>
                <w:lang w:val="zh-CN"/>
              </w:rPr>
            </w:pPr>
            <w:r>
              <w:rPr>
                <w:rFonts w:hint="eastAsia" w:ascii="宋体" w:hAnsi="宋体" w:cs="宋体"/>
                <w:color w:val="auto"/>
                <w:sz w:val="22"/>
                <w:szCs w:val="22"/>
                <w:lang w:val="zh-CN"/>
              </w:rPr>
              <w:t>注：本项目为电子招投标，相关的招投标流程（</w:t>
            </w:r>
            <w:r>
              <w:rPr>
                <w:rFonts w:hint="eastAsia" w:ascii="宋体" w:hAnsi="宋体" w:cs="宋体"/>
                <w:color w:val="auto"/>
                <w:sz w:val="22"/>
                <w:szCs w:val="22"/>
              </w:rPr>
              <w:t>招标</w:t>
            </w:r>
            <w:r>
              <w:rPr>
                <w:rFonts w:hint="eastAsia" w:ascii="宋体" w:hAnsi="宋体" w:cs="宋体"/>
                <w:color w:val="auto"/>
                <w:sz w:val="22"/>
                <w:szCs w:val="22"/>
                <w:lang w:val="zh-CN"/>
              </w:rPr>
              <w:t>文件下载、电子</w:t>
            </w:r>
            <w:r>
              <w:rPr>
                <w:rFonts w:hint="eastAsia" w:ascii="宋体" w:hAnsi="宋体" w:cs="宋体"/>
                <w:color w:val="auto"/>
                <w:sz w:val="22"/>
                <w:szCs w:val="22"/>
              </w:rPr>
              <w:t>响应</w:t>
            </w:r>
            <w:r>
              <w:rPr>
                <w:rFonts w:hint="eastAsia" w:ascii="宋体" w:hAnsi="宋体" w:cs="宋体"/>
                <w:color w:val="auto"/>
                <w:sz w:val="22"/>
                <w:szCs w:val="22"/>
                <w:lang w:val="zh-CN"/>
              </w:rPr>
              <w:t>文件上传、</w:t>
            </w:r>
            <w:r>
              <w:rPr>
                <w:rFonts w:hint="eastAsia" w:ascii="宋体" w:hAnsi="宋体" w:cs="宋体"/>
                <w:color w:val="auto"/>
                <w:sz w:val="22"/>
                <w:szCs w:val="22"/>
              </w:rPr>
              <w:t>评标</w:t>
            </w:r>
            <w:r>
              <w:rPr>
                <w:rFonts w:hint="eastAsia" w:ascii="宋体" w:hAnsi="宋体" w:cs="宋体"/>
                <w:color w:val="auto"/>
                <w:sz w:val="22"/>
                <w:szCs w:val="22"/>
                <w:lang w:val="zh-CN"/>
              </w:rPr>
              <w:t>等程序）均在浙江政府采购网“政府采购云平台”进行，</w:t>
            </w:r>
            <w:r>
              <w:rPr>
                <w:rFonts w:hint="eastAsia" w:ascii="宋体" w:hAnsi="宋体" w:cs="宋体"/>
                <w:color w:val="auto"/>
                <w:sz w:val="22"/>
                <w:szCs w:val="22"/>
              </w:rPr>
              <w:t>供应商</w:t>
            </w:r>
            <w:r>
              <w:rPr>
                <w:rFonts w:hint="eastAsia" w:ascii="宋体" w:hAnsi="宋体" w:cs="宋体"/>
                <w:color w:val="auto"/>
                <w:sz w:val="22"/>
                <w:szCs w:val="22"/>
                <w:lang w:val="zh-CN"/>
              </w:rPr>
              <w:t>不必前往现场进行</w:t>
            </w:r>
            <w:r>
              <w:rPr>
                <w:rFonts w:hint="eastAsia" w:ascii="宋体" w:hAnsi="宋体" w:cs="宋体"/>
                <w:color w:val="auto"/>
                <w:sz w:val="22"/>
                <w:szCs w:val="22"/>
              </w:rPr>
              <w:t>投标</w:t>
            </w:r>
            <w:r>
              <w:rPr>
                <w:rFonts w:hint="eastAsia" w:ascii="宋体" w:hAnsi="宋体" w:cs="宋体"/>
                <w:color w:val="auto"/>
                <w:sz w:val="22"/>
                <w:szCs w:val="22"/>
                <w:lang w:val="zh-CN"/>
              </w:rPr>
              <w:t>活动等事宜</w:t>
            </w:r>
          </w:p>
        </w:tc>
      </w:tr>
      <w:tr>
        <w:tblPrEx>
          <w:tblCellMar>
            <w:top w:w="0" w:type="dxa"/>
            <w:left w:w="108" w:type="dxa"/>
            <w:bottom w:w="0" w:type="dxa"/>
            <w:right w:w="108" w:type="dxa"/>
          </w:tblCellMar>
        </w:tblPrEx>
        <w:trPr>
          <w:trHeight w:val="79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lang w:val="zh-CN"/>
              </w:rPr>
              <w:t>18</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rPr>
                <w:rFonts w:ascii="宋体" w:hAnsi="宋体" w:cs="宋体"/>
                <w:color w:val="auto"/>
                <w:kern w:val="0"/>
                <w:sz w:val="22"/>
                <w:szCs w:val="22"/>
                <w:lang w:val="zh-CN"/>
              </w:rPr>
            </w:pPr>
            <w:r>
              <w:rPr>
                <w:rFonts w:hint="eastAsia" w:ascii="宋体" w:hAnsi="宋体" w:cs="宋体"/>
                <w:color w:val="auto"/>
                <w:kern w:val="0"/>
                <w:sz w:val="22"/>
                <w:szCs w:val="22"/>
              </w:rPr>
              <w:t>询标澄清</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pStyle w:val="25"/>
              <w:numPr>
                <w:ilvl w:val="-1"/>
                <w:numId w:val="0"/>
              </w:numPr>
              <w:spacing w:line="360" w:lineRule="auto"/>
              <w:ind w:left="0" w:firstLine="0"/>
              <w:rPr>
                <w:rFonts w:hint="eastAsia" w:ascii="宋体" w:hAnsi="宋体" w:cs="宋体"/>
                <w:color w:val="auto"/>
                <w:sz w:val="22"/>
                <w:szCs w:val="22"/>
                <w:lang w:val="zh-CN"/>
              </w:rPr>
            </w:pPr>
            <w:r>
              <w:rPr>
                <w:rFonts w:hint="eastAsia" w:ascii="宋体" w:hAnsi="宋体" w:eastAsia="宋体" w:cs="宋体"/>
                <w:color w:val="auto"/>
                <w:sz w:val="22"/>
                <w:szCs w:val="22"/>
                <w:lang w:val="en-US" w:eastAsia="zh-CN"/>
              </w:rPr>
              <w:t>1.</w:t>
            </w:r>
            <w:r>
              <w:rPr>
                <w:rFonts w:hint="eastAsia" w:ascii="宋体" w:hAnsi="宋体" w:cs="宋体"/>
                <w:color w:val="auto"/>
                <w:sz w:val="22"/>
                <w:szCs w:val="22"/>
                <w:lang w:val="zh-CN"/>
              </w:rPr>
              <w:t>在评标过程中，如评审小组对供应商递交的电子响应文件存有疑问要求供应商进行澄清或根据评审需求需要与供应商进行评审的，将采用在政采云系统上向供应商发起询标函的方式进行。供应商须在“规定时间”内登录政采云系统根据标项回复询标函，具体操作流程详见《政府采购项目电子交易管理操作指南-供应商》（供应商自行去政采云系统上进行下载）</w:t>
            </w:r>
            <w:r>
              <w:rPr>
                <w:rFonts w:hint="eastAsia" w:ascii="宋体" w:hAnsi="宋体" w:eastAsia="宋体" w:cs="宋体"/>
                <w:color w:val="auto"/>
                <w:sz w:val="22"/>
                <w:szCs w:val="22"/>
                <w:lang w:val="zh-CN"/>
              </w:rPr>
              <w:t>。</w:t>
            </w:r>
          </w:p>
          <w:p>
            <w:pPr>
              <w:pStyle w:val="25"/>
              <w:numPr>
                <w:ilvl w:val="-1"/>
                <w:numId w:val="0"/>
              </w:numPr>
              <w:spacing w:line="360" w:lineRule="auto"/>
              <w:ind w:left="0" w:firstLine="0"/>
              <w:rPr>
                <w:rFonts w:ascii="宋体" w:hAnsi="宋体" w:cs="宋体"/>
                <w:color w:val="auto"/>
                <w:sz w:val="22"/>
                <w:szCs w:val="22"/>
                <w:lang w:val="zh-CN"/>
              </w:rPr>
            </w:pPr>
            <w:r>
              <w:rPr>
                <w:rFonts w:hint="eastAsia" w:ascii="宋体" w:hAnsi="宋体" w:eastAsia="宋体" w:cs="宋体"/>
                <w:color w:val="auto"/>
                <w:sz w:val="22"/>
                <w:szCs w:val="22"/>
                <w:lang w:val="en-US" w:eastAsia="zh-CN"/>
              </w:rPr>
              <w:t>2.</w:t>
            </w:r>
            <w:r>
              <w:rPr>
                <w:rFonts w:hint="eastAsia" w:ascii="宋体" w:hAnsi="宋体" w:cs="宋体"/>
                <w:color w:val="auto"/>
                <w:sz w:val="22"/>
                <w:szCs w:val="22"/>
                <w:lang w:val="zh-CN"/>
              </w:rPr>
              <w:t>本项目采购过程中，涉及的供应商联系方式（如手机号码、响应文件中预留的邮箱、供应商地址），均以供应商递交的电子响应文件中《法定代表人资格声明书》或《法定代表人授权委托书》上注明的联系方式为准。</w:t>
            </w:r>
          </w:p>
        </w:tc>
      </w:tr>
      <w:tr>
        <w:tblPrEx>
          <w:tblCellMar>
            <w:top w:w="0" w:type="dxa"/>
            <w:left w:w="108" w:type="dxa"/>
            <w:bottom w:w="0" w:type="dxa"/>
            <w:right w:w="108" w:type="dxa"/>
          </w:tblCellMar>
        </w:tblPrEx>
        <w:trPr>
          <w:trHeight w:val="79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lang w:val="zh-CN"/>
              </w:rPr>
              <w:t>19</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rPr>
                <w:rFonts w:ascii="宋体" w:hAnsi="宋体" w:cs="宋体"/>
                <w:color w:val="auto"/>
                <w:kern w:val="0"/>
                <w:sz w:val="22"/>
                <w:szCs w:val="22"/>
              </w:rPr>
            </w:pPr>
            <w:r>
              <w:rPr>
                <w:rFonts w:hint="eastAsia" w:ascii="宋体" w:hAnsi="宋体" w:cs="宋体"/>
                <w:color w:val="auto"/>
                <w:kern w:val="0"/>
                <w:sz w:val="22"/>
                <w:szCs w:val="22"/>
              </w:rPr>
              <w:t>评标委员会</w:t>
            </w:r>
          </w:p>
          <w:p>
            <w:pPr>
              <w:spacing w:line="360" w:lineRule="auto"/>
              <w:rPr>
                <w:rFonts w:ascii="宋体" w:hAnsi="宋体" w:cs="宋体"/>
                <w:color w:val="auto"/>
                <w:kern w:val="0"/>
                <w:sz w:val="22"/>
                <w:szCs w:val="22"/>
                <w:lang w:val="zh-CN"/>
              </w:rPr>
            </w:pPr>
            <w:r>
              <w:rPr>
                <w:rFonts w:hint="eastAsia" w:ascii="宋体" w:hAnsi="宋体" w:cs="宋体"/>
                <w:color w:val="auto"/>
                <w:kern w:val="0"/>
                <w:sz w:val="22"/>
                <w:szCs w:val="22"/>
              </w:rPr>
              <w:t>的组建</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rPr>
                <w:rFonts w:ascii="宋体" w:hAnsi="宋体" w:cs="宋体"/>
                <w:color w:val="auto"/>
                <w:kern w:val="0"/>
                <w:sz w:val="22"/>
                <w:szCs w:val="22"/>
                <w:lang w:val="zh-CN"/>
              </w:rPr>
            </w:pPr>
            <w:r>
              <w:rPr>
                <w:rFonts w:hint="eastAsia" w:ascii="宋体" w:hAnsi="宋体" w:cs="宋体"/>
                <w:color w:val="auto"/>
                <w:sz w:val="22"/>
                <w:szCs w:val="22"/>
              </w:rPr>
              <w:t>采购人按照《中华人民共和国政府采购法》等有关法律、法规的规定组建评标委员会，评标委员会由采购人代表和有关技术、经济等方面的专家组成，成员人数为5人（含）以上单数，除采购人代表外的专家将在评标专家库中随机抽取产生。</w:t>
            </w:r>
          </w:p>
        </w:tc>
      </w:tr>
      <w:tr>
        <w:tblPrEx>
          <w:tblCellMar>
            <w:top w:w="0" w:type="dxa"/>
            <w:left w:w="108" w:type="dxa"/>
            <w:bottom w:w="0" w:type="dxa"/>
            <w:right w:w="108" w:type="dxa"/>
          </w:tblCellMar>
        </w:tblPrEx>
        <w:trPr>
          <w:trHeight w:val="79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lang w:val="zh-CN"/>
              </w:rPr>
              <w:t>20</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履约担保</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rPr>
                <w:rFonts w:hint="eastAsia" w:ascii="宋体" w:hAnsi="宋体" w:cs="宋体"/>
                <w:color w:val="auto"/>
                <w:sz w:val="22"/>
                <w:szCs w:val="22"/>
              </w:rPr>
            </w:pPr>
            <w:r>
              <w:rPr>
                <w:rFonts w:hint="eastAsia" w:ascii="宋体" w:hAnsi="宋体" w:cs="宋体"/>
                <w:color w:val="auto"/>
                <w:sz w:val="22"/>
                <w:szCs w:val="22"/>
              </w:rPr>
              <w:t>履约担保的形式：接受支票、汇票、本票或者金融机构、担保机构出具的保函等非现金形式。</w:t>
            </w:r>
          </w:p>
          <w:p>
            <w:pPr>
              <w:spacing w:line="360" w:lineRule="auto"/>
              <w:rPr>
                <w:rFonts w:hint="eastAsia" w:ascii="宋体" w:hAnsi="宋体" w:cs="宋体"/>
                <w:color w:val="auto"/>
                <w:sz w:val="22"/>
                <w:szCs w:val="22"/>
              </w:rPr>
            </w:pPr>
            <w:r>
              <w:rPr>
                <w:rFonts w:hint="eastAsia" w:ascii="宋体" w:hAnsi="宋体" w:cs="宋体"/>
                <w:color w:val="auto"/>
                <w:sz w:val="22"/>
                <w:szCs w:val="22"/>
              </w:rPr>
              <w:t>履约担保的金额：合同金额的1%</w:t>
            </w:r>
          </w:p>
          <w:p>
            <w:pPr>
              <w:spacing w:line="360" w:lineRule="auto"/>
              <w:rPr>
                <w:rFonts w:ascii="宋体" w:hAnsi="宋体" w:cs="宋体"/>
                <w:color w:val="auto"/>
                <w:kern w:val="0"/>
                <w:sz w:val="22"/>
                <w:szCs w:val="22"/>
                <w:highlight w:val="none"/>
                <w:lang w:val="zh-CN"/>
              </w:rPr>
            </w:pPr>
            <w:r>
              <w:rPr>
                <w:rFonts w:hint="eastAsia" w:ascii="宋体" w:hAnsi="宋体" w:cs="宋体"/>
                <w:color w:val="auto"/>
                <w:sz w:val="22"/>
                <w:szCs w:val="22"/>
              </w:rPr>
              <w:t>供应商在签订合同后5个工作日内提交，用于补偿因供应商不能履行其合同义务而造成的损失。项目验收结束后扣除供应商应承担的违约赔偿责任外，剩余部分返还供应商。</w:t>
            </w:r>
          </w:p>
        </w:tc>
      </w:tr>
      <w:tr>
        <w:tblPrEx>
          <w:tblCellMar>
            <w:top w:w="0" w:type="dxa"/>
            <w:left w:w="108" w:type="dxa"/>
            <w:bottom w:w="0" w:type="dxa"/>
            <w:right w:w="108" w:type="dxa"/>
          </w:tblCellMar>
        </w:tblPrEx>
        <w:trPr>
          <w:trHeight w:val="79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lang w:val="zh-CN"/>
              </w:rPr>
              <w:t>21</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djustRightInd w:val="0"/>
              <w:spacing w:line="360" w:lineRule="auto"/>
              <w:jc w:val="center"/>
              <w:rPr>
                <w:rFonts w:ascii="宋体" w:hAnsi="宋体" w:cs="宋体"/>
                <w:color w:val="auto"/>
                <w:sz w:val="22"/>
                <w:szCs w:val="22"/>
              </w:rPr>
            </w:pPr>
            <w:r>
              <w:rPr>
                <w:rFonts w:hint="eastAsia" w:ascii="宋体" w:hAnsi="宋体" w:cs="宋体"/>
                <w:color w:val="auto"/>
                <w:sz w:val="22"/>
                <w:szCs w:val="22"/>
              </w:rPr>
              <w:t>政府采购</w:t>
            </w:r>
          </w:p>
          <w:p>
            <w:pPr>
              <w:adjustRightInd w:val="0"/>
              <w:spacing w:line="360" w:lineRule="auto"/>
              <w:jc w:val="center"/>
              <w:rPr>
                <w:rFonts w:ascii="宋体" w:hAnsi="宋体" w:cs="宋体"/>
                <w:color w:val="auto"/>
                <w:kern w:val="0"/>
                <w:sz w:val="22"/>
                <w:szCs w:val="22"/>
                <w:lang w:val="zh-CN"/>
              </w:rPr>
            </w:pPr>
            <w:r>
              <w:rPr>
                <w:rFonts w:hint="eastAsia" w:ascii="宋体" w:hAnsi="宋体" w:cs="宋体"/>
                <w:color w:val="auto"/>
                <w:sz w:val="22"/>
                <w:szCs w:val="22"/>
              </w:rPr>
              <w:t>扶持政策</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numPr>
                <w:ilvl w:val="0"/>
                <w:numId w:val="2"/>
              </w:numPr>
              <w:autoSpaceDE w:val="0"/>
              <w:autoSpaceDN w:val="0"/>
              <w:adjustRightInd w:val="0"/>
              <w:spacing w:line="360" w:lineRule="auto"/>
              <w:rPr>
                <w:color w:val="auto"/>
                <w:sz w:val="22"/>
                <w:szCs w:val="22"/>
              </w:rPr>
            </w:pPr>
            <w:r>
              <w:rPr>
                <w:rFonts w:hint="eastAsia"/>
                <w:color w:val="auto"/>
                <w:sz w:val="22"/>
                <w:szCs w:val="22"/>
              </w:rPr>
              <w:t>中小微企业扶持政策</w:t>
            </w:r>
          </w:p>
          <w:p>
            <w:pPr>
              <w:numPr>
                <w:ilvl w:val="0"/>
                <w:numId w:val="3"/>
              </w:numPr>
              <w:autoSpaceDE w:val="0"/>
              <w:autoSpaceDN w:val="0"/>
              <w:adjustRightInd w:val="0"/>
              <w:spacing w:line="360" w:lineRule="auto"/>
              <w:rPr>
                <w:b/>
                <w:bCs/>
                <w:color w:val="auto"/>
                <w:sz w:val="22"/>
                <w:szCs w:val="22"/>
                <w:lang w:val="zh-CN"/>
              </w:rPr>
            </w:pPr>
            <w:r>
              <w:rPr>
                <w:rFonts w:hint="eastAsia"/>
                <w:color w:val="auto"/>
                <w:sz w:val="22"/>
                <w:szCs w:val="22"/>
                <w:lang w:val="zh-CN"/>
              </w:rPr>
              <w:t>本次采购为</w:t>
            </w:r>
            <w:r>
              <w:rPr>
                <w:rFonts w:hint="eastAsia"/>
                <w:b/>
                <w:bCs/>
                <w:color w:val="auto"/>
                <w:sz w:val="22"/>
                <w:szCs w:val="22"/>
                <w:u w:val="single"/>
                <w:lang w:val="zh-CN"/>
              </w:rPr>
              <w:t xml:space="preserve"> 否 </w:t>
            </w:r>
            <w:r>
              <w:rPr>
                <w:rFonts w:hint="eastAsia"/>
                <w:color w:val="auto"/>
                <w:sz w:val="22"/>
                <w:szCs w:val="22"/>
                <w:lang w:val="zh-CN"/>
              </w:rPr>
              <w:t>专门面向中小企业预留采购份额的采购项目。</w:t>
            </w:r>
            <w:r>
              <w:rPr>
                <w:rFonts w:ascii="宋体" w:hAnsi="宋体" w:cs="新宋体"/>
                <w:b/>
                <w:bCs/>
                <w:color w:val="auto"/>
                <w:kern w:val="0"/>
                <w:sz w:val="22"/>
                <w:szCs w:val="22"/>
                <w:lang w:val="zh-CN"/>
              </w:rPr>
              <w:t>参加本次采购活动的</w:t>
            </w:r>
            <w:r>
              <w:rPr>
                <w:rFonts w:hint="eastAsia" w:ascii="宋体" w:hAnsi="宋体" w:cs="新宋体"/>
                <w:b/>
                <w:bCs/>
                <w:color w:val="auto"/>
                <w:kern w:val="0"/>
                <w:sz w:val="22"/>
                <w:szCs w:val="22"/>
                <w:lang w:val="zh-CN"/>
              </w:rPr>
              <w:t>投标人为</w:t>
            </w:r>
            <w:r>
              <w:rPr>
                <w:rFonts w:ascii="宋体" w:hAnsi="宋体" w:cs="新宋体"/>
                <w:b/>
                <w:bCs/>
                <w:color w:val="auto"/>
                <w:kern w:val="0"/>
                <w:sz w:val="22"/>
                <w:szCs w:val="22"/>
                <w:lang w:val="zh-CN"/>
              </w:rPr>
              <w:t>小微企业</w:t>
            </w:r>
            <w:r>
              <w:rPr>
                <w:rFonts w:hint="eastAsia" w:ascii="宋体" w:hAnsi="宋体" w:cs="新宋体"/>
                <w:b/>
                <w:bCs/>
                <w:color w:val="auto"/>
                <w:kern w:val="0"/>
                <w:sz w:val="22"/>
                <w:szCs w:val="22"/>
                <w:lang w:val="zh-CN"/>
              </w:rPr>
              <w:t>（即提供服务的人员为</w:t>
            </w:r>
            <w:r>
              <w:rPr>
                <w:rFonts w:ascii="宋体" w:hAnsi="宋体" w:cs="新宋体"/>
                <w:b/>
                <w:bCs/>
                <w:color w:val="auto"/>
                <w:kern w:val="0"/>
                <w:sz w:val="22"/>
                <w:szCs w:val="22"/>
                <w:lang w:val="zh-CN"/>
              </w:rPr>
              <w:t>小微企业</w:t>
            </w:r>
            <w:r>
              <w:rPr>
                <w:rFonts w:hint="eastAsia" w:ascii="宋体" w:hAnsi="宋体" w:cs="新宋体"/>
                <w:b/>
                <w:bCs/>
                <w:color w:val="auto"/>
                <w:kern w:val="0"/>
                <w:sz w:val="22"/>
                <w:szCs w:val="22"/>
                <w:lang w:val="zh-CN"/>
              </w:rPr>
              <w:t>依照《中华人民共和国劳动合同法》订立劳动合同的从业人员。）</w:t>
            </w:r>
            <w:r>
              <w:rPr>
                <w:rFonts w:ascii="宋体" w:hAnsi="宋体" w:cs="新宋体"/>
                <w:b/>
                <w:bCs/>
                <w:color w:val="auto"/>
                <w:kern w:val="0"/>
                <w:sz w:val="22"/>
                <w:szCs w:val="22"/>
                <w:lang w:val="zh-CN"/>
              </w:rPr>
              <w:t>其报价给予</w:t>
            </w:r>
            <w:r>
              <w:rPr>
                <w:rFonts w:hint="eastAsia" w:ascii="宋体" w:hAnsi="宋体" w:cs="新宋体"/>
                <w:b/>
                <w:bCs/>
                <w:color w:val="auto"/>
                <w:kern w:val="0"/>
                <w:sz w:val="22"/>
                <w:szCs w:val="22"/>
              </w:rPr>
              <w:t>10</w:t>
            </w:r>
            <w:r>
              <w:rPr>
                <w:rFonts w:hint="eastAsia" w:ascii="宋体" w:hAnsi="宋体" w:cs="新宋体"/>
                <w:b/>
                <w:bCs/>
                <w:color w:val="auto"/>
                <w:kern w:val="0"/>
                <w:sz w:val="22"/>
                <w:szCs w:val="22"/>
                <w:lang w:val="zh-CN"/>
              </w:rPr>
              <w:t>%</w:t>
            </w:r>
            <w:r>
              <w:rPr>
                <w:rFonts w:ascii="宋体" w:hAnsi="宋体" w:cs="新宋体"/>
                <w:b/>
                <w:bCs/>
                <w:color w:val="auto"/>
                <w:kern w:val="0"/>
                <w:sz w:val="22"/>
                <w:szCs w:val="22"/>
                <w:lang w:val="zh-CN"/>
              </w:rPr>
              <w:t>的扣除，用扣除后的价格参加评审</w:t>
            </w:r>
            <w:r>
              <w:rPr>
                <w:rFonts w:hint="eastAsia" w:ascii="宋体" w:hAnsi="宋体" w:cs="新宋体"/>
                <w:b/>
                <w:bCs/>
                <w:color w:val="auto"/>
                <w:kern w:val="0"/>
                <w:sz w:val="22"/>
                <w:szCs w:val="22"/>
                <w:lang w:val="zh-CN"/>
              </w:rPr>
              <w:t>。</w:t>
            </w:r>
          </w:p>
          <w:p>
            <w:pPr>
              <w:numPr>
                <w:ilvl w:val="0"/>
                <w:numId w:val="3"/>
              </w:numPr>
              <w:autoSpaceDE w:val="0"/>
              <w:autoSpaceDN w:val="0"/>
              <w:adjustRightInd w:val="0"/>
              <w:spacing w:line="360" w:lineRule="auto"/>
              <w:rPr>
                <w:b/>
                <w:bCs/>
                <w:color w:val="auto"/>
                <w:sz w:val="22"/>
                <w:szCs w:val="22"/>
                <w:lang w:val="zh-CN"/>
              </w:rPr>
            </w:pPr>
            <w:r>
              <w:rPr>
                <w:rFonts w:hint="eastAsia"/>
                <w:b/>
                <w:bCs/>
                <w:color w:val="auto"/>
                <w:sz w:val="22"/>
                <w:szCs w:val="22"/>
                <w:lang w:val="zh-CN"/>
              </w:rPr>
              <w:t>对于联合体协议约定小微企业合同份额占到合同总金额30%以上的，对其投标报价给予</w:t>
            </w:r>
            <w:r>
              <w:rPr>
                <w:rFonts w:hint="eastAsia"/>
                <w:b/>
                <w:bCs/>
                <w:color w:val="auto"/>
                <w:sz w:val="22"/>
                <w:szCs w:val="22"/>
              </w:rPr>
              <w:t>6</w:t>
            </w:r>
            <w:r>
              <w:rPr>
                <w:rFonts w:hint="eastAsia"/>
                <w:b/>
                <w:bCs/>
                <w:color w:val="auto"/>
                <w:sz w:val="22"/>
                <w:szCs w:val="22"/>
                <w:lang w:val="zh-CN"/>
              </w:rPr>
              <w:t>%的扣除，用扣除后的价格参与评审。</w:t>
            </w:r>
          </w:p>
          <w:p>
            <w:pPr>
              <w:numPr>
                <w:ilvl w:val="0"/>
                <w:numId w:val="3"/>
              </w:numPr>
              <w:autoSpaceDE w:val="0"/>
              <w:autoSpaceDN w:val="0"/>
              <w:adjustRightInd w:val="0"/>
              <w:spacing w:line="360" w:lineRule="auto"/>
              <w:rPr>
                <w:color w:val="auto"/>
                <w:sz w:val="22"/>
                <w:szCs w:val="22"/>
                <w:lang w:val="zh-CN"/>
              </w:rPr>
            </w:pPr>
            <w:r>
              <w:rPr>
                <w:rFonts w:hint="eastAsia"/>
                <w:color w:val="auto"/>
                <w:sz w:val="22"/>
                <w:szCs w:val="22"/>
                <w:lang w:val="zh-CN"/>
              </w:rPr>
              <w:t>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pPr>
              <w:numPr>
                <w:ilvl w:val="0"/>
                <w:numId w:val="3"/>
              </w:numPr>
              <w:autoSpaceDE w:val="0"/>
              <w:autoSpaceDN w:val="0"/>
              <w:adjustRightInd w:val="0"/>
              <w:spacing w:line="360" w:lineRule="auto"/>
              <w:rPr>
                <w:color w:val="auto"/>
                <w:sz w:val="22"/>
                <w:szCs w:val="22"/>
                <w:lang w:val="zh-CN"/>
              </w:rPr>
            </w:pPr>
            <w:r>
              <w:rPr>
                <w:rFonts w:ascii="宋体" w:hAnsi="宋体" w:cs="新宋体"/>
                <w:color w:val="auto"/>
                <w:kern w:val="0"/>
                <w:sz w:val="22"/>
                <w:lang w:val="zh-CN"/>
              </w:rPr>
              <w:t>本次采购标的为</w:t>
            </w:r>
            <w:r>
              <w:rPr>
                <w:rFonts w:hint="eastAsia" w:ascii="宋体" w:hAnsi="宋体" w:cs="新宋体"/>
                <w:b/>
                <w:bCs/>
                <w:color w:val="auto"/>
                <w:kern w:val="0"/>
                <w:sz w:val="22"/>
                <w:u w:val="single"/>
                <w:lang w:val="en-US" w:eastAsia="zh-CN"/>
              </w:rPr>
              <w:t>货物</w:t>
            </w:r>
            <w:r>
              <w:rPr>
                <w:rFonts w:ascii="宋体" w:hAnsi="宋体" w:cs="新宋体"/>
                <w:color w:val="auto"/>
                <w:kern w:val="0"/>
                <w:sz w:val="22"/>
                <w:lang w:val="zh-CN"/>
              </w:rPr>
              <w:t>，对应的中小企业划分标准所属行业是：</w:t>
            </w:r>
            <w:r>
              <w:rPr>
                <w:rFonts w:hint="eastAsia" w:ascii="宋体" w:hAnsi="宋体" w:cs="新宋体"/>
                <w:color w:val="auto"/>
                <w:kern w:val="0"/>
                <w:sz w:val="22"/>
                <w:lang w:val="zh-CN"/>
              </w:rPr>
              <w:t>工业（包括采矿业，制造业，电力、热力、燃气及水生产和供应业）</w:t>
            </w:r>
            <w:r>
              <w:rPr>
                <w:rFonts w:ascii="宋体" w:hAnsi="宋体" w:cs="新宋体"/>
                <w:color w:val="auto"/>
                <w:kern w:val="0"/>
                <w:sz w:val="22"/>
                <w:lang w:val="zh-CN"/>
              </w:rPr>
              <w:t>（</w:t>
            </w:r>
            <w:r>
              <w:rPr>
                <w:rFonts w:hint="eastAsia" w:ascii="宋体" w:hAnsi="宋体" w:cs="新宋体"/>
                <w:color w:val="auto"/>
                <w:kern w:val="0"/>
                <w:sz w:val="22"/>
                <w:lang w:val="zh-CN"/>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ascii="宋体" w:hAnsi="宋体" w:cs="新宋体"/>
                <w:color w:val="auto"/>
                <w:kern w:val="0"/>
                <w:sz w:val="22"/>
                <w:lang w:val="zh-CN"/>
              </w:rPr>
              <w:t>）</w:t>
            </w:r>
          </w:p>
          <w:p>
            <w:pPr>
              <w:numPr>
                <w:ilvl w:val="0"/>
                <w:numId w:val="3"/>
              </w:numPr>
              <w:autoSpaceDE w:val="0"/>
              <w:autoSpaceDN w:val="0"/>
              <w:adjustRightInd w:val="0"/>
              <w:spacing w:line="360" w:lineRule="auto"/>
              <w:rPr>
                <w:color w:val="auto"/>
                <w:sz w:val="22"/>
                <w:szCs w:val="22"/>
                <w:lang w:val="zh-CN"/>
              </w:rPr>
            </w:pPr>
            <w:r>
              <w:rPr>
                <w:rFonts w:hint="eastAsia"/>
                <w:color w:val="auto"/>
                <w:sz w:val="22"/>
                <w:szCs w:val="22"/>
                <w:lang w:val="zh-CN"/>
              </w:rPr>
              <w:t>以联合体形式参加政府采购活动，联合体各方均为中小企业的，联合体视同中小企业。其中，联合体各方均为小微企业的，联合体视同小微企业。</w:t>
            </w:r>
          </w:p>
          <w:p>
            <w:pPr>
              <w:numPr>
                <w:ilvl w:val="0"/>
                <w:numId w:val="3"/>
              </w:numPr>
              <w:autoSpaceDE w:val="0"/>
              <w:autoSpaceDN w:val="0"/>
              <w:adjustRightInd w:val="0"/>
              <w:spacing w:line="360" w:lineRule="auto"/>
              <w:rPr>
                <w:color w:val="auto"/>
                <w:sz w:val="22"/>
                <w:szCs w:val="22"/>
                <w:lang w:val="zh-CN"/>
              </w:rPr>
            </w:pPr>
            <w:r>
              <w:rPr>
                <w:rFonts w:hint="eastAsia"/>
                <w:color w:val="auto"/>
                <w:sz w:val="22"/>
                <w:szCs w:val="22"/>
                <w:lang w:val="zh-CN"/>
              </w:rPr>
              <w:t>投标人应当出具《中小企业声明函》，否则其报价不予扣除。</w:t>
            </w:r>
          </w:p>
          <w:p>
            <w:pPr>
              <w:numPr>
                <w:ilvl w:val="0"/>
                <w:numId w:val="3"/>
              </w:numPr>
              <w:autoSpaceDE w:val="0"/>
              <w:autoSpaceDN w:val="0"/>
              <w:adjustRightInd w:val="0"/>
              <w:spacing w:line="360" w:lineRule="auto"/>
              <w:rPr>
                <w:color w:val="auto"/>
                <w:sz w:val="22"/>
                <w:szCs w:val="22"/>
                <w:lang w:val="zh-CN"/>
              </w:rPr>
            </w:pPr>
            <w:r>
              <w:rPr>
                <w:rFonts w:hint="eastAsia"/>
                <w:color w:val="auto"/>
                <w:sz w:val="22"/>
                <w:szCs w:val="22"/>
                <w:lang w:val="zh-CN"/>
              </w:rPr>
              <w:t>残疾人福利性单位视同小微企业，享受小微企业同等的价格扣除。残疾人福利性单位参加政府采购活动时，应当提供《残疾人福利性单位声明函》。</w:t>
            </w:r>
          </w:p>
          <w:p>
            <w:pPr>
              <w:numPr>
                <w:ilvl w:val="0"/>
                <w:numId w:val="3"/>
              </w:numPr>
              <w:autoSpaceDE w:val="0"/>
              <w:autoSpaceDN w:val="0"/>
              <w:adjustRightInd w:val="0"/>
              <w:spacing w:line="360" w:lineRule="auto"/>
              <w:rPr>
                <w:color w:val="auto"/>
                <w:sz w:val="22"/>
                <w:szCs w:val="22"/>
                <w:lang w:val="zh-CN"/>
              </w:rPr>
            </w:pPr>
            <w:r>
              <w:rPr>
                <w:rFonts w:hint="eastAsia"/>
                <w:color w:val="auto"/>
                <w:sz w:val="22"/>
                <w:szCs w:val="22"/>
                <w:lang w:val="zh-CN"/>
              </w:rPr>
              <w:t>监狱企业视同小微企业，享受小微企业同等的价格扣除。监狱企业参加政府采购活动时，应当提供监狱企业声明函。</w:t>
            </w:r>
          </w:p>
          <w:p>
            <w:pPr>
              <w:numPr>
                <w:ilvl w:val="0"/>
                <w:numId w:val="3"/>
              </w:numPr>
              <w:autoSpaceDE w:val="0"/>
              <w:autoSpaceDN w:val="0"/>
              <w:adjustRightInd w:val="0"/>
              <w:spacing w:line="360" w:lineRule="auto"/>
              <w:rPr>
                <w:color w:val="auto"/>
                <w:lang w:val="zh-CN"/>
              </w:rPr>
            </w:pPr>
            <w:r>
              <w:rPr>
                <w:rFonts w:ascii="宋体" w:hAnsi="宋体" w:cs="新宋体"/>
                <w:color w:val="auto"/>
                <w:kern w:val="0"/>
                <w:sz w:val="22"/>
                <w:szCs w:val="22"/>
                <w:lang w:val="zh-CN"/>
              </w:rPr>
              <w:t>符合小微企业划分标准的个体工商户，视同小微企业。</w:t>
            </w:r>
          </w:p>
          <w:p>
            <w:pPr>
              <w:numPr>
                <w:ilvl w:val="0"/>
                <w:numId w:val="2"/>
              </w:numPr>
              <w:autoSpaceDE w:val="0"/>
              <w:autoSpaceDN w:val="0"/>
              <w:adjustRightInd w:val="0"/>
              <w:spacing w:line="360" w:lineRule="auto"/>
              <w:rPr>
                <w:color w:val="auto"/>
                <w:sz w:val="22"/>
                <w:szCs w:val="22"/>
                <w:lang w:val="zh-CN"/>
              </w:rPr>
            </w:pPr>
            <w:r>
              <w:rPr>
                <w:rFonts w:hint="eastAsia"/>
                <w:color w:val="auto"/>
                <w:sz w:val="22"/>
                <w:szCs w:val="22"/>
                <w:lang w:val="zh-CN"/>
              </w:rPr>
              <w:t>政府采购金融服务相关信息告知函</w:t>
            </w:r>
          </w:p>
          <w:p>
            <w:pPr>
              <w:autoSpaceDE w:val="0"/>
              <w:autoSpaceDN w:val="0"/>
              <w:adjustRightInd w:val="0"/>
              <w:spacing w:line="360" w:lineRule="auto"/>
              <w:ind w:firstLine="0" w:firstLineChars="0"/>
              <w:rPr>
                <w:color w:val="auto"/>
                <w:sz w:val="22"/>
                <w:szCs w:val="22"/>
                <w:lang w:val="zh-CN"/>
              </w:rPr>
            </w:pPr>
            <w:r>
              <w:rPr>
                <w:rFonts w:hint="eastAsia"/>
                <w:color w:val="auto"/>
                <w:sz w:val="22"/>
                <w:szCs w:val="22"/>
                <w:lang w:val="zh-CN"/>
              </w:rPr>
              <w:t>为优化政府采购营商环境，缓解投标人资金难题，助力打赢疫情防控阻击战，根据浙江省财政厅印发《关于坚决打赢疫情防控阻击战进一步做好政府采购资金支持企业发展工作的通知（浙财采监【2020】3号）》文件的精神，现将政府采购金融服务相关信息予以告知。</w:t>
            </w:r>
          </w:p>
          <w:p>
            <w:pPr>
              <w:autoSpaceDE w:val="0"/>
              <w:autoSpaceDN w:val="0"/>
              <w:adjustRightInd w:val="0"/>
              <w:spacing w:line="360" w:lineRule="auto"/>
              <w:ind w:firstLine="0" w:firstLineChars="0"/>
              <w:rPr>
                <w:color w:val="auto"/>
                <w:lang w:val="zh-CN"/>
              </w:rPr>
            </w:pPr>
            <w:r>
              <w:rPr>
                <w:rFonts w:hint="eastAsia"/>
                <w:color w:val="auto"/>
                <w:sz w:val="22"/>
                <w:szCs w:val="22"/>
                <w:lang w:val="zh-CN"/>
              </w:rPr>
              <w:t>为支持和促进中小企业发展，进一步发挥政府采购政策功能，温州市财政局出台了《温州市财政局关于温州市政府采购支持中小企业信用融资的通知》（温财采〔2020〕3号），投标人若有融资意向，可直接登录http://jinrong.zcygov.cn，查看信用融资政策文件及各相关银行服务方案，也可直接向各银行咨询相关业务。</w:t>
            </w:r>
          </w:p>
        </w:tc>
      </w:tr>
      <w:tr>
        <w:tblPrEx>
          <w:tblCellMar>
            <w:top w:w="0" w:type="dxa"/>
            <w:left w:w="108" w:type="dxa"/>
            <w:bottom w:w="0" w:type="dxa"/>
            <w:right w:w="108" w:type="dxa"/>
          </w:tblCellMar>
        </w:tblPrEx>
        <w:trPr>
          <w:trHeight w:val="79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autoSpaceDE w:val="0"/>
              <w:autoSpaceDN w:val="0"/>
              <w:adjustRightInd w:val="0"/>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rPr>
              <w:t>22</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jc w:val="center"/>
              <w:rPr>
                <w:rFonts w:ascii="宋体" w:hAnsi="宋体" w:cs="宋体"/>
                <w:color w:val="auto"/>
                <w:kern w:val="0"/>
                <w:sz w:val="22"/>
                <w:szCs w:val="22"/>
                <w:lang w:val="zh-CN"/>
              </w:rPr>
            </w:pPr>
            <w:r>
              <w:rPr>
                <w:rFonts w:hint="eastAsia" w:ascii="宋体" w:hAnsi="宋体" w:cs="宋体"/>
                <w:color w:val="auto"/>
                <w:sz w:val="22"/>
                <w:szCs w:val="22"/>
              </w:rPr>
              <w:t>供应商信用查询</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jc w:val="left"/>
              <w:rPr>
                <w:rFonts w:ascii="宋体" w:hAnsi="宋体" w:cs="宋体"/>
                <w:color w:val="auto"/>
                <w:sz w:val="22"/>
                <w:szCs w:val="22"/>
              </w:rPr>
            </w:pPr>
            <w:r>
              <w:rPr>
                <w:rFonts w:hint="eastAsia" w:ascii="宋体" w:hAnsi="宋体" w:cs="宋体"/>
                <w:color w:val="auto"/>
                <w:sz w:val="22"/>
                <w:szCs w:val="22"/>
              </w:rPr>
              <w:t>（1）供应商信用信息查询的查询渠道：“信用中国”(</w:t>
            </w:r>
            <w:r>
              <w:rPr>
                <w:color w:val="auto"/>
              </w:rPr>
              <w:fldChar w:fldCharType="begin"/>
            </w:r>
            <w:r>
              <w:rPr>
                <w:color w:val="auto"/>
              </w:rPr>
              <w:instrText xml:space="preserve"> HYPERLINK "http://www.creditchina.gov.cn" </w:instrText>
            </w:r>
            <w:r>
              <w:rPr>
                <w:color w:val="auto"/>
              </w:rPr>
              <w:fldChar w:fldCharType="separate"/>
            </w:r>
            <w:r>
              <w:rPr>
                <w:rFonts w:hint="eastAsia" w:ascii="宋体" w:hAnsi="宋体" w:cs="宋体"/>
                <w:color w:val="auto"/>
                <w:sz w:val="22"/>
                <w:szCs w:val="22"/>
              </w:rPr>
              <w:t>www.creditchina.gov.cn</w:t>
            </w:r>
            <w:r>
              <w:rPr>
                <w:rFonts w:hint="eastAsia" w:ascii="宋体" w:hAnsi="宋体" w:cs="宋体"/>
                <w:color w:val="auto"/>
                <w:sz w:val="22"/>
                <w:szCs w:val="22"/>
              </w:rPr>
              <w:fldChar w:fldCharType="end"/>
            </w:r>
            <w:r>
              <w:rPr>
                <w:rFonts w:hint="eastAsia" w:ascii="宋体" w:hAnsi="宋体" w:cs="宋体"/>
                <w:color w:val="auto"/>
                <w:sz w:val="22"/>
                <w:szCs w:val="22"/>
              </w:rPr>
              <w:t>)；“中国政府采购网”（http://www.ccgp.gov.cn/）；</w:t>
            </w:r>
          </w:p>
          <w:p>
            <w:pPr>
              <w:spacing w:line="360" w:lineRule="auto"/>
              <w:jc w:val="left"/>
              <w:rPr>
                <w:rFonts w:ascii="宋体" w:hAnsi="宋体" w:cs="宋体"/>
                <w:color w:val="auto"/>
                <w:sz w:val="22"/>
                <w:szCs w:val="22"/>
              </w:rPr>
            </w:pPr>
            <w:r>
              <w:rPr>
                <w:rFonts w:hint="eastAsia" w:ascii="宋体" w:hAnsi="宋体" w:cs="宋体"/>
                <w:color w:val="auto"/>
                <w:sz w:val="22"/>
                <w:szCs w:val="22"/>
              </w:rPr>
              <w:t>（2）供应商信用信息查询记录和证据留存的具体方式：网页截图打印；</w:t>
            </w:r>
          </w:p>
          <w:p>
            <w:pPr>
              <w:spacing w:line="360" w:lineRule="auto"/>
              <w:jc w:val="left"/>
              <w:rPr>
                <w:rFonts w:ascii="宋体" w:hAnsi="宋体" w:cs="宋体"/>
                <w:color w:val="auto"/>
                <w:sz w:val="22"/>
                <w:szCs w:val="22"/>
              </w:rPr>
            </w:pPr>
            <w:r>
              <w:rPr>
                <w:rFonts w:hint="eastAsia" w:ascii="宋体" w:hAnsi="宋体" w:cs="宋体"/>
                <w:color w:val="auto"/>
                <w:sz w:val="22"/>
                <w:szCs w:val="22"/>
              </w:rPr>
              <w:t>（3）信用信息的使用规则：</w:t>
            </w:r>
          </w:p>
          <w:p>
            <w:pPr>
              <w:spacing w:line="360" w:lineRule="auto"/>
              <w:jc w:val="left"/>
              <w:rPr>
                <w:rFonts w:ascii="宋体" w:hAnsi="宋体" w:cs="宋体"/>
                <w:color w:val="auto"/>
                <w:sz w:val="22"/>
                <w:szCs w:val="22"/>
              </w:rPr>
            </w:pPr>
            <w:r>
              <w:rPr>
                <w:rFonts w:hint="eastAsia" w:ascii="宋体" w:hAnsi="宋体" w:cs="宋体"/>
                <w:color w:val="auto"/>
                <w:sz w:val="22"/>
                <w:szCs w:val="22"/>
              </w:rPr>
              <w:t>①在“信用中国”具有负面记录：列入失信被执行人、重大税收违法案件当事人名单、政府采购严重违法失信行为名单；</w:t>
            </w:r>
          </w:p>
          <w:p>
            <w:pPr>
              <w:spacing w:line="360" w:lineRule="auto"/>
              <w:jc w:val="left"/>
              <w:rPr>
                <w:rFonts w:ascii="宋体" w:hAnsi="宋体" w:cs="宋体"/>
                <w:color w:val="auto"/>
                <w:sz w:val="22"/>
                <w:szCs w:val="22"/>
              </w:rPr>
            </w:pPr>
            <w:r>
              <w:rPr>
                <w:rFonts w:hint="eastAsia" w:ascii="宋体" w:hAnsi="宋体" w:cs="宋体"/>
                <w:color w:val="auto"/>
                <w:sz w:val="22"/>
                <w:szCs w:val="22"/>
              </w:rPr>
              <w:t>②被“中国政府采购网”(www.ccgp.gov.cn)列入政府采购严重违法失信行为记录名单。</w:t>
            </w:r>
          </w:p>
          <w:p>
            <w:pPr>
              <w:spacing w:line="360" w:lineRule="auto"/>
              <w:jc w:val="left"/>
              <w:rPr>
                <w:rFonts w:ascii="宋体" w:hAnsi="宋体" w:cs="宋体"/>
                <w:color w:val="auto"/>
                <w:kern w:val="0"/>
                <w:sz w:val="22"/>
                <w:szCs w:val="22"/>
                <w:lang w:val="zh-CN"/>
              </w:rPr>
            </w:pPr>
            <w:r>
              <w:rPr>
                <w:rFonts w:hint="eastAsia" w:ascii="宋体" w:hAnsi="宋体" w:cs="宋体"/>
                <w:color w:val="auto"/>
                <w:sz w:val="22"/>
                <w:szCs w:val="22"/>
              </w:rPr>
              <w:t>（4）具有以上（3）所述信息记录的供应商，其投标做无效投标处理。</w:t>
            </w:r>
          </w:p>
        </w:tc>
      </w:tr>
      <w:tr>
        <w:tblPrEx>
          <w:tblCellMar>
            <w:top w:w="0" w:type="dxa"/>
            <w:left w:w="108" w:type="dxa"/>
            <w:bottom w:w="0" w:type="dxa"/>
            <w:right w:w="108" w:type="dxa"/>
          </w:tblCellMar>
        </w:tblPrEx>
        <w:trPr>
          <w:trHeight w:val="79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jc w:val="center"/>
              <w:rPr>
                <w:rFonts w:ascii="宋体" w:hAnsi="宋体" w:cs="宋体"/>
                <w:color w:val="auto"/>
                <w:kern w:val="0"/>
                <w:sz w:val="22"/>
                <w:szCs w:val="22"/>
              </w:rPr>
            </w:pPr>
            <w:r>
              <w:rPr>
                <w:rFonts w:hint="eastAsia" w:ascii="宋体" w:hAnsi="宋体" w:cs="宋体"/>
                <w:color w:val="auto"/>
                <w:kern w:val="0"/>
                <w:sz w:val="22"/>
                <w:szCs w:val="22"/>
              </w:rPr>
              <w:t>23</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jc w:val="center"/>
              <w:rPr>
                <w:rFonts w:ascii="宋体" w:hAnsi="宋体" w:cs="宋体"/>
                <w:color w:val="auto"/>
                <w:kern w:val="0"/>
                <w:sz w:val="22"/>
                <w:szCs w:val="22"/>
                <w:lang w:val="zh-CN"/>
              </w:rPr>
            </w:pPr>
            <w:r>
              <w:rPr>
                <w:rFonts w:hint="eastAsia" w:ascii="宋体" w:hAnsi="宋体" w:cs="宋体"/>
                <w:color w:val="auto"/>
                <w:sz w:val="22"/>
                <w:szCs w:val="22"/>
              </w:rPr>
              <w:t>合同备案</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jc w:val="left"/>
              <w:rPr>
                <w:rFonts w:ascii="宋体" w:hAnsi="宋体" w:cs="宋体"/>
                <w:color w:val="auto"/>
                <w:sz w:val="22"/>
                <w:szCs w:val="22"/>
              </w:rPr>
            </w:pPr>
            <w:r>
              <w:rPr>
                <w:rFonts w:hint="eastAsia" w:ascii="宋体" w:hAnsi="宋体" w:cs="宋体"/>
                <w:color w:val="auto"/>
                <w:sz w:val="22"/>
                <w:szCs w:val="22"/>
              </w:rPr>
              <w:t>（1）中标供应商在中标通知书发出之日起30日历天内与采购人签订合同。</w:t>
            </w:r>
          </w:p>
          <w:p>
            <w:pPr>
              <w:spacing w:line="360" w:lineRule="auto"/>
              <w:jc w:val="left"/>
              <w:rPr>
                <w:rFonts w:ascii="宋体" w:hAnsi="宋体" w:cs="宋体"/>
                <w:color w:val="auto"/>
                <w:kern w:val="0"/>
                <w:sz w:val="22"/>
                <w:szCs w:val="22"/>
              </w:rPr>
            </w:pPr>
            <w:r>
              <w:rPr>
                <w:rFonts w:hint="eastAsia" w:ascii="宋体" w:hAnsi="宋体" w:cs="宋体"/>
                <w:color w:val="auto"/>
                <w:sz w:val="22"/>
                <w:szCs w:val="22"/>
              </w:rPr>
              <w:t>（2）中标供应商与采购人签订合同后，2日历天内将合同扫描件电子版发给采购代理机构：邮箱：</w:t>
            </w:r>
            <w:r>
              <w:rPr>
                <w:rFonts w:hint="eastAsia" w:ascii="宋体" w:hAnsi="宋体" w:cs="宋体"/>
                <w:b/>
                <w:color w:val="auto"/>
                <w:sz w:val="22"/>
                <w:szCs w:val="22"/>
                <w:u w:val="single"/>
                <w:lang w:eastAsia="zh-CN"/>
              </w:rPr>
              <w:t>1829751086@qq.com</w:t>
            </w:r>
            <w:r>
              <w:rPr>
                <w:rFonts w:hint="eastAsia" w:ascii="宋体" w:hAnsi="宋体" w:cs="宋体"/>
                <w:color w:val="auto"/>
                <w:sz w:val="22"/>
                <w:szCs w:val="22"/>
              </w:rPr>
              <w:t>。</w:t>
            </w:r>
          </w:p>
        </w:tc>
      </w:tr>
      <w:tr>
        <w:tblPrEx>
          <w:tblCellMar>
            <w:top w:w="0" w:type="dxa"/>
            <w:left w:w="108" w:type="dxa"/>
            <w:bottom w:w="0" w:type="dxa"/>
            <w:right w:w="108" w:type="dxa"/>
          </w:tblCellMar>
        </w:tblPrEx>
        <w:trPr>
          <w:trHeight w:val="795"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jc w:val="center"/>
              <w:rPr>
                <w:rFonts w:ascii="宋体" w:hAnsi="宋体" w:cs="宋体"/>
                <w:color w:val="auto"/>
                <w:kern w:val="0"/>
                <w:sz w:val="22"/>
                <w:szCs w:val="22"/>
              </w:rPr>
            </w:pPr>
            <w:r>
              <w:rPr>
                <w:rFonts w:hint="eastAsia" w:ascii="宋体" w:hAnsi="宋体" w:cs="宋体"/>
                <w:color w:val="auto"/>
                <w:kern w:val="0"/>
                <w:sz w:val="22"/>
                <w:szCs w:val="22"/>
              </w:rPr>
              <w:t>24</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jc w:val="center"/>
              <w:rPr>
                <w:rFonts w:ascii="宋体" w:hAnsi="宋体" w:cs="宋体"/>
                <w:color w:val="auto"/>
                <w:kern w:val="0"/>
                <w:sz w:val="22"/>
                <w:szCs w:val="22"/>
                <w:lang w:val="zh-CN"/>
              </w:rPr>
            </w:pPr>
            <w:r>
              <w:rPr>
                <w:rFonts w:hint="eastAsia" w:ascii="宋体" w:hAnsi="宋体" w:cs="宋体"/>
                <w:color w:val="auto"/>
                <w:sz w:val="22"/>
                <w:szCs w:val="22"/>
              </w:rPr>
              <w:t>合同履约管理</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jc w:val="left"/>
              <w:rPr>
                <w:rFonts w:ascii="宋体" w:hAnsi="宋体" w:cs="宋体"/>
                <w:color w:val="auto"/>
                <w:kern w:val="0"/>
                <w:sz w:val="22"/>
                <w:szCs w:val="22"/>
                <w:lang w:val="zh-CN"/>
              </w:rPr>
            </w:pPr>
            <w:r>
              <w:rPr>
                <w:rFonts w:hint="eastAsia" w:ascii="宋体" w:hAnsi="宋体" w:cs="宋体"/>
                <w:color w:val="auto"/>
                <w:sz w:val="22"/>
                <w:szCs w:val="22"/>
              </w:rPr>
              <w:t>合同签订后，采购人依法加强对合同履约进行管理，并在中标单位服务、项目验收等重要关节，如实填写《合同验收报告》（或考核资料），并及时向同级财政部门报告验收过程中遇到的问题。</w:t>
            </w:r>
          </w:p>
        </w:tc>
      </w:tr>
      <w:tr>
        <w:tblPrEx>
          <w:tblCellMar>
            <w:top w:w="0" w:type="dxa"/>
            <w:left w:w="108" w:type="dxa"/>
            <w:bottom w:w="0" w:type="dxa"/>
            <w:right w:w="108" w:type="dxa"/>
          </w:tblCellMar>
        </w:tblPrEx>
        <w:trPr>
          <w:trHeight w:val="90"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rPr>
              <w:t>25</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jc w:val="center"/>
              <w:rPr>
                <w:rFonts w:ascii="宋体" w:hAnsi="宋体" w:cs="宋体"/>
                <w:color w:val="auto"/>
                <w:kern w:val="0"/>
                <w:sz w:val="22"/>
                <w:szCs w:val="22"/>
                <w:lang w:val="zh-CN"/>
              </w:rPr>
            </w:pPr>
            <w:r>
              <w:rPr>
                <w:rFonts w:hint="eastAsia" w:ascii="宋体" w:hAnsi="宋体" w:cs="宋体"/>
                <w:color w:val="auto"/>
                <w:sz w:val="22"/>
                <w:szCs w:val="22"/>
              </w:rPr>
              <w:t>解释权</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rPr>
                <w:rFonts w:ascii="宋体" w:hAnsi="宋体" w:cs="宋体"/>
                <w:color w:val="auto"/>
                <w:kern w:val="0"/>
                <w:sz w:val="22"/>
                <w:szCs w:val="22"/>
                <w:lang w:val="zh-CN"/>
              </w:rPr>
            </w:pPr>
            <w:r>
              <w:rPr>
                <w:rFonts w:hint="eastAsia" w:ascii="宋体" w:hAnsi="宋体" w:cs="宋体"/>
                <w:color w:val="auto"/>
                <w:sz w:val="22"/>
                <w:szCs w:val="22"/>
              </w:rPr>
              <w:t>构成本招标文件的各个组成文件应互为解释，互为说明；如有不明确或不一致，构成合同文件组成内容的，以合同文件约定内容为准，且以专用合同条款约定的合同文件优先顺序解释；仅适用于采购投标阶段的约定，按招标公告、供应商须知、评标办法、响应文件格式的先后顺序解释；同一文件中就同一事项的约定不一致的，以逻辑顺序在后者为准；同一文件不同版本之间有不一致的，以形成时间在后者为准。按本款前述约定仍不能形成结论的，由采购人负责解释。</w:t>
            </w:r>
          </w:p>
        </w:tc>
      </w:tr>
      <w:tr>
        <w:tblPrEx>
          <w:tblCellMar>
            <w:top w:w="0" w:type="dxa"/>
            <w:left w:w="108" w:type="dxa"/>
            <w:bottom w:w="0" w:type="dxa"/>
            <w:right w:w="108" w:type="dxa"/>
          </w:tblCellMar>
        </w:tblPrEx>
        <w:trPr>
          <w:trHeight w:val="1063"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jc w:val="center"/>
              <w:rPr>
                <w:rFonts w:ascii="宋体" w:hAnsi="宋体" w:cs="宋体"/>
                <w:color w:val="auto"/>
                <w:kern w:val="0"/>
                <w:sz w:val="22"/>
                <w:szCs w:val="22"/>
                <w:lang w:val="zh-CN"/>
              </w:rPr>
            </w:pPr>
            <w:r>
              <w:rPr>
                <w:rFonts w:hint="eastAsia" w:ascii="宋体" w:hAnsi="宋体" w:cs="宋体"/>
                <w:color w:val="auto"/>
                <w:kern w:val="0"/>
                <w:sz w:val="22"/>
                <w:szCs w:val="22"/>
              </w:rPr>
              <w:t>26</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rPr>
                <w:rFonts w:ascii="宋体" w:hAnsi="宋体" w:cs="宋体"/>
                <w:color w:val="auto"/>
                <w:sz w:val="22"/>
                <w:szCs w:val="22"/>
                <w:lang w:val="zh-CN"/>
              </w:rPr>
            </w:pPr>
            <w:r>
              <w:rPr>
                <w:rFonts w:hint="eastAsia" w:ascii="宋体" w:hAnsi="宋体" w:cs="宋体"/>
                <w:color w:val="auto"/>
                <w:sz w:val="22"/>
                <w:szCs w:val="22"/>
              </w:rPr>
              <w:t>联合体投标相关说明</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rPr>
                <w:rFonts w:ascii="宋体" w:hAnsi="宋体" w:cs="宋体"/>
                <w:color w:val="auto"/>
                <w:sz w:val="22"/>
                <w:szCs w:val="22"/>
              </w:rPr>
            </w:pPr>
            <w:r>
              <w:rPr>
                <w:rFonts w:hint="eastAsia" w:ascii="宋体" w:hAnsi="宋体" w:cs="宋体"/>
                <w:color w:val="auto"/>
                <w:sz w:val="22"/>
                <w:szCs w:val="22"/>
              </w:rPr>
              <w:t>（1）投标人如为联合体，必须提供双方签章的联合体协议书，明确联合体牵头人和各方权利义务，并承诺就成交项目向采购人承担连带责任。</w:t>
            </w:r>
          </w:p>
          <w:p>
            <w:pPr>
              <w:spacing w:line="360" w:lineRule="auto"/>
              <w:rPr>
                <w:rFonts w:ascii="宋体" w:hAnsi="宋体" w:cs="宋体"/>
                <w:color w:val="auto"/>
                <w:sz w:val="22"/>
                <w:szCs w:val="22"/>
              </w:rPr>
            </w:pPr>
            <w:r>
              <w:rPr>
                <w:rFonts w:hint="eastAsia" w:ascii="宋体" w:hAnsi="宋体" w:cs="宋体"/>
                <w:color w:val="auto"/>
                <w:sz w:val="22"/>
                <w:szCs w:val="22"/>
              </w:rPr>
              <w:t>（2）投标人如为联合体，联合体成员各方资格审查资料、企业证书、人员证书、业绩证明材料等复印件应由联合体成员各自盖章。</w:t>
            </w:r>
          </w:p>
          <w:p>
            <w:pPr>
              <w:spacing w:line="360" w:lineRule="auto"/>
              <w:rPr>
                <w:rFonts w:ascii="宋体" w:hAnsi="宋体" w:cs="宋体"/>
                <w:color w:val="auto"/>
                <w:sz w:val="22"/>
                <w:szCs w:val="22"/>
              </w:rPr>
            </w:pPr>
            <w:r>
              <w:rPr>
                <w:rFonts w:hint="eastAsia" w:ascii="宋体" w:hAnsi="宋体" w:cs="宋体"/>
                <w:color w:val="auto"/>
                <w:sz w:val="22"/>
                <w:szCs w:val="22"/>
              </w:rPr>
              <w:t>（3）由同一专业的单位组成的联合体，按照资质等级较低的单位确定资质等级。</w:t>
            </w:r>
          </w:p>
          <w:p>
            <w:pPr>
              <w:spacing w:line="360" w:lineRule="auto"/>
              <w:rPr>
                <w:rFonts w:ascii="宋体" w:hAnsi="宋体" w:cs="宋体"/>
                <w:color w:val="auto"/>
                <w:sz w:val="22"/>
                <w:szCs w:val="22"/>
              </w:rPr>
            </w:pPr>
            <w:r>
              <w:rPr>
                <w:rFonts w:hint="eastAsia" w:ascii="宋体" w:hAnsi="宋体" w:cs="宋体"/>
                <w:color w:val="auto"/>
                <w:sz w:val="22"/>
                <w:szCs w:val="22"/>
              </w:rPr>
              <w:t>（4）其他文件可由联合体牵头方盖章。</w:t>
            </w:r>
          </w:p>
          <w:p>
            <w:pPr>
              <w:spacing w:line="360" w:lineRule="auto"/>
              <w:rPr>
                <w:rFonts w:ascii="宋体" w:hAnsi="宋体" w:cs="宋体"/>
                <w:color w:val="auto"/>
                <w:sz w:val="22"/>
                <w:szCs w:val="22"/>
              </w:rPr>
            </w:pPr>
            <w:r>
              <w:rPr>
                <w:rFonts w:hint="eastAsia" w:ascii="宋体" w:hAnsi="宋体" w:cs="宋体"/>
                <w:color w:val="auto"/>
                <w:sz w:val="22"/>
                <w:szCs w:val="22"/>
              </w:rPr>
              <w:t>（5）投标人若为联合体，电子投标工作由联合体牵头方的账号制作电子投标文件并提交。</w:t>
            </w:r>
          </w:p>
          <w:p>
            <w:pPr>
              <w:spacing w:line="360" w:lineRule="auto"/>
              <w:rPr>
                <w:rFonts w:ascii="宋体" w:hAnsi="宋体" w:cs="宋体"/>
                <w:color w:val="auto"/>
                <w:sz w:val="22"/>
                <w:szCs w:val="22"/>
              </w:rPr>
            </w:pPr>
            <w:r>
              <w:rPr>
                <w:rFonts w:hint="eastAsia" w:ascii="宋体" w:hAnsi="宋体" w:cs="宋体"/>
                <w:color w:val="auto"/>
                <w:sz w:val="22"/>
                <w:szCs w:val="22"/>
              </w:rPr>
              <w:t>（6）联合体各方不得再以自己名义单独或参加其他联合体在本项目中投标，否则各相关投标均无效。</w:t>
            </w:r>
          </w:p>
          <w:p>
            <w:pPr>
              <w:spacing w:line="360" w:lineRule="auto"/>
              <w:rPr>
                <w:rFonts w:ascii="宋体" w:hAnsi="宋体" w:cs="宋体"/>
                <w:color w:val="auto"/>
                <w:sz w:val="22"/>
                <w:szCs w:val="22"/>
              </w:rPr>
            </w:pPr>
            <w:r>
              <w:rPr>
                <w:rFonts w:hint="eastAsia" w:ascii="宋体" w:hAnsi="宋体" w:cs="宋体"/>
                <w:color w:val="auto"/>
                <w:sz w:val="22"/>
                <w:szCs w:val="22"/>
              </w:rPr>
              <w:t>（7）中标后，联合体各方根据联合体协议约定承担的项目采购内容与项目采购人签订政府采购合同。</w:t>
            </w:r>
          </w:p>
        </w:tc>
      </w:tr>
      <w:tr>
        <w:tblPrEx>
          <w:tblCellMar>
            <w:top w:w="0" w:type="dxa"/>
            <w:left w:w="108" w:type="dxa"/>
            <w:bottom w:w="0" w:type="dxa"/>
            <w:right w:w="108" w:type="dxa"/>
          </w:tblCellMar>
        </w:tblPrEx>
        <w:trPr>
          <w:trHeight w:val="988"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jc w:val="center"/>
              <w:rPr>
                <w:rFonts w:ascii="宋体" w:hAnsi="宋体" w:cs="宋体"/>
                <w:color w:val="auto"/>
                <w:kern w:val="0"/>
                <w:sz w:val="22"/>
                <w:szCs w:val="22"/>
              </w:rPr>
            </w:pPr>
            <w:r>
              <w:rPr>
                <w:rFonts w:hint="eastAsia" w:ascii="宋体" w:hAnsi="宋体" w:cs="宋体"/>
                <w:color w:val="auto"/>
                <w:kern w:val="0"/>
                <w:sz w:val="22"/>
                <w:szCs w:val="22"/>
              </w:rPr>
              <w:t>27</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rPr>
                <w:rFonts w:ascii="宋体" w:hAnsi="宋体" w:cs="宋体"/>
                <w:color w:val="auto"/>
                <w:sz w:val="22"/>
                <w:szCs w:val="22"/>
                <w:lang w:val="zh-CN"/>
              </w:rPr>
            </w:pPr>
            <w:r>
              <w:rPr>
                <w:rFonts w:hint="eastAsia" w:ascii="宋体" w:hAnsi="宋体"/>
                <w:color w:val="000000"/>
                <w:sz w:val="22"/>
                <w:szCs w:val="22"/>
                <w:highlight w:val="none"/>
              </w:rPr>
              <w:t>视频演示情况</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宋体" w:hAnsi="宋体" w:cs="仿宋"/>
                <w:b w:val="0"/>
                <w:bCs/>
                <w:color w:val="000000"/>
                <w:sz w:val="22"/>
                <w:szCs w:val="22"/>
                <w:highlight w:val="none"/>
              </w:rPr>
            </w:pPr>
            <w:r>
              <w:rPr>
                <w:rFonts w:hint="eastAsia" w:ascii="宋体" w:hAnsi="宋体" w:cs="仿宋"/>
                <w:b w:val="0"/>
                <w:bCs/>
                <w:color w:val="000000"/>
                <w:sz w:val="22"/>
                <w:szCs w:val="22"/>
                <w:highlight w:val="none"/>
              </w:rPr>
              <w:sym w:font="Wingdings" w:char="00A8"/>
            </w:r>
            <w:r>
              <w:rPr>
                <w:rFonts w:hint="eastAsia" w:ascii="宋体" w:hAnsi="宋体" w:cs="仿宋"/>
                <w:b w:val="0"/>
                <w:bCs/>
                <w:color w:val="000000"/>
                <w:sz w:val="22"/>
                <w:szCs w:val="22"/>
                <w:highlight w:val="none"/>
              </w:rPr>
              <w:t>A不组织。</w:t>
            </w:r>
          </w:p>
          <w:p>
            <w:pPr>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宋体" w:hAnsi="宋体" w:cs="仿宋"/>
                <w:b/>
                <w:bCs w:val="0"/>
                <w:color w:val="000000"/>
                <w:sz w:val="22"/>
                <w:szCs w:val="22"/>
                <w:highlight w:val="none"/>
              </w:rPr>
            </w:pPr>
            <w:r>
              <w:rPr>
                <w:rFonts w:hint="eastAsia" w:ascii="宋体" w:hAnsi="宋体" w:cs="仿宋"/>
                <w:b/>
                <w:bCs w:val="0"/>
                <w:color w:val="000000"/>
                <w:sz w:val="22"/>
                <w:szCs w:val="22"/>
                <w:highlight w:val="none"/>
              </w:rPr>
              <w:sym w:font="Wingdings" w:char="00FE"/>
            </w:r>
            <w:r>
              <w:rPr>
                <w:rFonts w:hint="eastAsia" w:ascii="宋体" w:hAnsi="宋体" w:cs="仿宋"/>
                <w:b/>
                <w:bCs w:val="0"/>
                <w:color w:val="000000"/>
                <w:sz w:val="22"/>
                <w:szCs w:val="22"/>
                <w:highlight w:val="none"/>
              </w:rPr>
              <w:t>B组织。</w:t>
            </w:r>
          </w:p>
          <w:p>
            <w:pPr>
              <w:keepNext w:val="0"/>
              <w:keepLines w:val="0"/>
              <w:pageBreakBefore w:val="0"/>
              <w:widowControl w:val="0"/>
              <w:kinsoku/>
              <w:wordWrap/>
              <w:overflowPunct/>
              <w:topLinePunct w:val="0"/>
              <w:autoSpaceDE/>
              <w:autoSpaceDN/>
              <w:bidi w:val="0"/>
              <w:adjustRightInd/>
              <w:snapToGrid/>
              <w:spacing w:after="0" w:line="360" w:lineRule="auto"/>
              <w:textAlignment w:val="auto"/>
              <w:rPr>
                <w:rFonts w:ascii="宋体" w:hAnsi="宋体" w:cs="宋体"/>
                <w:bCs/>
                <w:color w:val="000000"/>
                <w:sz w:val="22"/>
                <w:szCs w:val="22"/>
                <w:highlight w:val="none"/>
              </w:rPr>
            </w:pPr>
            <w:r>
              <w:rPr>
                <w:rFonts w:hint="eastAsia" w:ascii="宋体" w:hAnsi="宋体" w:cs="宋体"/>
                <w:bCs/>
                <w:color w:val="000000"/>
                <w:sz w:val="22"/>
                <w:szCs w:val="22"/>
                <w:highlight w:val="none"/>
              </w:rPr>
              <w:t>（</w:t>
            </w:r>
            <w:r>
              <w:rPr>
                <w:rFonts w:hint="eastAsia" w:ascii="宋体" w:hAnsi="宋体" w:cs="宋体"/>
                <w:bCs/>
                <w:color w:val="000000"/>
                <w:sz w:val="22"/>
                <w:szCs w:val="22"/>
                <w:highlight w:val="none"/>
                <w:lang w:val="en-US" w:eastAsia="zh-CN"/>
              </w:rPr>
              <w:t>1</w:t>
            </w:r>
            <w:r>
              <w:rPr>
                <w:rFonts w:hint="eastAsia" w:ascii="宋体" w:hAnsi="宋体" w:cs="宋体"/>
                <w:bCs/>
                <w:color w:val="000000"/>
                <w:sz w:val="22"/>
                <w:szCs w:val="22"/>
                <w:highlight w:val="none"/>
              </w:rPr>
              <w:t>）演示方式：</w:t>
            </w:r>
          </w:p>
          <w:p>
            <w:pPr>
              <w:spacing w:line="360" w:lineRule="auto"/>
              <w:rPr>
                <w:rFonts w:hint="eastAsia" w:ascii="宋体" w:hAnsi="宋体" w:cs="仿宋"/>
                <w:bCs/>
                <w:color w:val="000000"/>
                <w:sz w:val="22"/>
                <w:szCs w:val="22"/>
                <w:highlight w:val="none"/>
                <w:lang w:val="en-US"/>
              </w:rPr>
            </w:pPr>
            <w:r>
              <w:rPr>
                <w:rFonts w:hint="eastAsia" w:ascii="宋体" w:hAnsi="宋体" w:cs="仿宋"/>
                <w:bCs/>
                <w:color w:val="000000"/>
                <w:sz w:val="22"/>
                <w:szCs w:val="22"/>
                <w:highlight w:val="none"/>
                <w:lang w:val="en-US" w:eastAsia="zh-CN"/>
              </w:rPr>
              <w:t xml:space="preserve"> </w:t>
            </w:r>
            <w:r>
              <w:rPr>
                <w:rFonts w:hint="eastAsia" w:ascii="宋体" w:hAnsi="宋体" w:cs="仿宋"/>
                <w:bCs/>
                <w:color w:val="000000"/>
                <w:sz w:val="22"/>
                <w:szCs w:val="22"/>
                <w:highlight w:val="none"/>
              </w:rPr>
              <w:t>演示以视频播放形式讲解演示。视频格式以常规的媒体播放格式放入U盘，供应商应提供</w:t>
            </w:r>
            <w:r>
              <w:rPr>
                <w:rFonts w:hint="eastAsia" w:ascii="宋体" w:hAnsi="宋体" w:cs="仿宋"/>
                <w:bCs/>
                <w:color w:val="000000"/>
                <w:sz w:val="22"/>
                <w:szCs w:val="22"/>
                <w:highlight w:val="none"/>
                <w:lang w:val="en-US" w:eastAsia="zh-CN"/>
              </w:rPr>
              <w:t>演示视频</w:t>
            </w:r>
            <w:r>
              <w:rPr>
                <w:rFonts w:hint="eastAsia" w:ascii="宋体" w:hAnsi="宋体" w:cs="仿宋"/>
                <w:bCs/>
                <w:color w:val="000000"/>
                <w:sz w:val="22"/>
                <w:szCs w:val="22"/>
                <w:highlight w:val="none"/>
              </w:rPr>
              <w:t>，</w:t>
            </w:r>
            <w:r>
              <w:rPr>
                <w:rFonts w:hint="eastAsia" w:ascii="宋体" w:hAnsi="宋体" w:cs="仿宋"/>
                <w:bCs/>
                <w:color w:val="000000"/>
                <w:sz w:val="22"/>
                <w:szCs w:val="22"/>
                <w:highlight w:val="none"/>
                <w:lang w:val="en-US" w:eastAsia="zh-CN"/>
              </w:rPr>
              <w:t>U盘上</w:t>
            </w:r>
            <w:r>
              <w:rPr>
                <w:rFonts w:hint="eastAsia" w:ascii="宋体" w:hAnsi="宋体" w:cs="仿宋"/>
                <w:bCs/>
                <w:color w:val="000000"/>
                <w:sz w:val="22"/>
                <w:szCs w:val="22"/>
                <w:highlight w:val="none"/>
              </w:rPr>
              <w:t>（须注明投标单位、项目名称）在投标截止时间前送至</w:t>
            </w:r>
            <w:r>
              <w:rPr>
                <w:rFonts w:hint="eastAsia" w:ascii="宋体" w:hAnsi="宋体" w:cs="仿宋"/>
                <w:bCs/>
                <w:color w:val="000000"/>
                <w:sz w:val="22"/>
                <w:szCs w:val="22"/>
                <w:highlight w:val="none"/>
                <w:lang w:val="en-US" w:eastAsia="zh-CN"/>
              </w:rPr>
              <w:t>温州市洞头区政务服务中心2楼，联系人：余先生，联系电话：13968907090。各潜在投标供应商须在投标截止时间前送至指定地点。</w:t>
            </w:r>
          </w:p>
          <w:p>
            <w:pPr>
              <w:spacing w:line="360" w:lineRule="auto"/>
              <w:rPr>
                <w:rFonts w:ascii="宋体" w:hAnsi="宋体" w:cs="宋体"/>
                <w:color w:val="auto"/>
                <w:sz w:val="22"/>
                <w:szCs w:val="22"/>
                <w:lang w:val="zh-CN"/>
              </w:rPr>
            </w:pPr>
            <w:r>
              <w:rPr>
                <w:rFonts w:hint="eastAsia" w:ascii="宋体" w:hAnsi="宋体" w:cs="仿宋"/>
                <w:bCs/>
                <w:color w:val="000000"/>
                <w:sz w:val="22"/>
                <w:szCs w:val="22"/>
                <w:highlight w:val="none"/>
              </w:rPr>
              <w:t>（</w:t>
            </w:r>
            <w:r>
              <w:rPr>
                <w:rFonts w:hint="eastAsia" w:ascii="宋体" w:hAnsi="宋体" w:cs="仿宋"/>
                <w:bCs/>
                <w:color w:val="000000"/>
                <w:sz w:val="22"/>
                <w:szCs w:val="22"/>
                <w:highlight w:val="none"/>
                <w:lang w:val="en-US" w:eastAsia="zh-CN"/>
              </w:rPr>
              <w:t>2</w:t>
            </w:r>
            <w:r>
              <w:rPr>
                <w:rFonts w:hint="eastAsia" w:ascii="宋体" w:hAnsi="宋体" w:cs="仿宋"/>
                <w:bCs/>
                <w:color w:val="000000"/>
                <w:sz w:val="22"/>
                <w:szCs w:val="22"/>
                <w:highlight w:val="none"/>
              </w:rPr>
              <w:t>）演示内根据评分标准要求演示。</w:t>
            </w:r>
          </w:p>
        </w:tc>
      </w:tr>
      <w:tr>
        <w:tblPrEx>
          <w:tblCellMar>
            <w:top w:w="0" w:type="dxa"/>
            <w:left w:w="108" w:type="dxa"/>
            <w:bottom w:w="0" w:type="dxa"/>
            <w:right w:w="108" w:type="dxa"/>
          </w:tblCellMar>
        </w:tblPrEx>
        <w:trPr>
          <w:trHeight w:val="988"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jc w:val="center"/>
              <w:rPr>
                <w:rFonts w:hint="default" w:ascii="宋体" w:hAnsi="宋体" w:eastAsia="宋体" w:cs="宋体"/>
                <w:color w:val="auto"/>
                <w:kern w:val="0"/>
                <w:sz w:val="22"/>
                <w:szCs w:val="22"/>
                <w:lang w:val="en-US" w:eastAsia="zh-CN"/>
              </w:rPr>
            </w:pPr>
            <w:bookmarkStart w:id="49" w:name="_Toc221423616"/>
            <w:bookmarkStart w:id="50" w:name="_Toc221374623"/>
            <w:bookmarkStart w:id="51" w:name="_Toc222114876"/>
            <w:bookmarkStart w:id="52" w:name="_Toc221356948"/>
            <w:bookmarkStart w:id="53" w:name="_Toc239145351"/>
            <w:bookmarkStart w:id="54" w:name="_Toc249758861"/>
            <w:bookmarkStart w:id="55" w:name="_Toc249758709"/>
            <w:bookmarkStart w:id="56" w:name="_Toc262105500"/>
            <w:bookmarkStart w:id="57" w:name="_Toc221356883"/>
            <w:bookmarkStart w:id="58" w:name="_Toc245722278"/>
            <w:bookmarkStart w:id="59" w:name="_Toc241404199"/>
            <w:bookmarkStart w:id="60" w:name="_Toc262049415"/>
            <w:bookmarkStart w:id="61" w:name="_Toc246261262"/>
            <w:bookmarkStart w:id="62" w:name="_Toc245191311"/>
            <w:bookmarkStart w:id="63" w:name="_Toc223715995"/>
            <w:r>
              <w:rPr>
                <w:rFonts w:hint="eastAsia" w:ascii="宋体" w:hAnsi="宋体" w:cs="宋体"/>
                <w:color w:val="auto"/>
                <w:kern w:val="0"/>
                <w:sz w:val="22"/>
                <w:szCs w:val="22"/>
                <w:lang w:val="en-US" w:eastAsia="zh-CN"/>
              </w:rPr>
              <w:t>28</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12" w:lineRule="auto"/>
              <w:jc w:val="center"/>
              <w:rPr>
                <w:rFonts w:hint="eastAsia" w:ascii="宋体" w:hAnsi="宋体"/>
                <w:color w:val="000000"/>
                <w:sz w:val="22"/>
                <w:szCs w:val="22"/>
                <w:highlight w:val="none"/>
              </w:rPr>
            </w:pPr>
            <w:r>
              <w:rPr>
                <w:rFonts w:hint="eastAsia" w:ascii="宋体" w:hAnsi="宋体" w:cs="宋体"/>
                <w:sz w:val="22"/>
                <w:szCs w:val="22"/>
              </w:rPr>
              <w:t>支持创新发展</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12" w:lineRule="auto"/>
              <w:rPr>
                <w:rFonts w:hint="eastAsia" w:ascii="宋体" w:hAnsi="宋体" w:cs="仿宋"/>
                <w:bCs/>
                <w:color w:val="000000"/>
                <w:sz w:val="22"/>
                <w:szCs w:val="22"/>
                <w:highlight w:val="none"/>
              </w:rPr>
            </w:pPr>
            <w:r>
              <w:rPr>
                <w:rFonts w:hint="eastAsia" w:ascii="宋体" w:hAnsi="宋体" w:cs="宋体"/>
                <w:sz w:val="22"/>
                <w:szCs w:val="22"/>
              </w:rPr>
              <w:t>根据浙财采监〔2022〕8号文相关的规定，对省级以上主管部门认定的首台套产品，自纳入《省推广应用指导目录》起三年内参加政府采购活动，视同已具备相应销售业绩，业绩分为满分。</w:t>
            </w:r>
          </w:p>
        </w:tc>
      </w:tr>
      <w:tr>
        <w:tblPrEx>
          <w:tblCellMar>
            <w:top w:w="0" w:type="dxa"/>
            <w:left w:w="108" w:type="dxa"/>
            <w:bottom w:w="0" w:type="dxa"/>
            <w:right w:w="108" w:type="dxa"/>
          </w:tblCellMar>
        </w:tblPrEx>
        <w:trPr>
          <w:trHeight w:val="988" w:hRule="atLeast"/>
        </w:trPr>
        <w:tc>
          <w:tcPr>
            <w:tcW w:w="1041"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jc w:val="center"/>
              <w:rPr>
                <w:rFonts w:hint="eastAsia" w:ascii="宋体" w:hAnsi="宋体" w:eastAsia="宋体" w:cs="宋体"/>
                <w:color w:val="auto"/>
                <w:kern w:val="0"/>
                <w:sz w:val="22"/>
                <w:szCs w:val="22"/>
                <w:lang w:eastAsia="zh-CN"/>
              </w:rPr>
            </w:pPr>
            <w:r>
              <w:rPr>
                <w:rFonts w:hint="eastAsia" w:ascii="宋体" w:hAnsi="宋体" w:cs="宋体"/>
                <w:color w:val="auto"/>
                <w:kern w:val="0"/>
                <w:sz w:val="22"/>
                <w:szCs w:val="22"/>
              </w:rPr>
              <w:t>2</w:t>
            </w:r>
            <w:r>
              <w:rPr>
                <w:rFonts w:hint="eastAsia" w:ascii="宋体" w:hAnsi="宋体" w:cs="宋体"/>
                <w:color w:val="auto"/>
                <w:kern w:val="0"/>
                <w:sz w:val="22"/>
                <w:szCs w:val="22"/>
                <w:lang w:val="en-US" w:eastAsia="zh-CN"/>
              </w:rPr>
              <w:t>9</w:t>
            </w:r>
          </w:p>
        </w:tc>
        <w:tc>
          <w:tcPr>
            <w:tcW w:w="1467"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rPr>
                <w:rFonts w:hint="eastAsia" w:ascii="宋体" w:hAnsi="宋体" w:cs="宋体"/>
                <w:color w:val="auto"/>
                <w:sz w:val="22"/>
                <w:szCs w:val="22"/>
              </w:rPr>
            </w:pPr>
            <w:r>
              <w:rPr>
                <w:rFonts w:hint="eastAsia" w:ascii="宋体" w:hAnsi="宋体" w:cs="宋体"/>
                <w:color w:val="auto"/>
                <w:sz w:val="22"/>
                <w:szCs w:val="22"/>
              </w:rPr>
              <w:t>采购代理服务费</w:t>
            </w:r>
          </w:p>
        </w:tc>
        <w:tc>
          <w:tcPr>
            <w:tcW w:w="7334" w:type="dxa"/>
            <w:tcBorders>
              <w:top w:val="single" w:color="000000" w:sz="2" w:space="0"/>
              <w:left w:val="single" w:color="000000" w:sz="2" w:space="0"/>
              <w:bottom w:val="single" w:color="000000" w:sz="2" w:space="0"/>
              <w:right w:val="single" w:color="000000" w:sz="2" w:space="0"/>
            </w:tcBorders>
            <w:shd w:val="clear" w:color="000000" w:fill="FFFFFF"/>
            <w:vAlign w:val="center"/>
          </w:tcPr>
          <w:p>
            <w:pPr>
              <w:spacing w:line="360" w:lineRule="auto"/>
              <w:rPr>
                <w:rFonts w:ascii="宋体" w:hAnsi="宋体" w:cs="宋体"/>
                <w:color w:val="auto"/>
                <w:sz w:val="22"/>
                <w:szCs w:val="22"/>
              </w:rPr>
            </w:pPr>
            <w:r>
              <w:rPr>
                <w:rFonts w:hint="eastAsia" w:ascii="宋体" w:hAnsi="宋体" w:cs="宋体"/>
                <w:color w:val="auto"/>
                <w:sz w:val="22"/>
                <w:szCs w:val="22"/>
              </w:rPr>
              <w:t>（1）本次采购代理服务费按固</w:t>
            </w:r>
            <w:r>
              <w:rPr>
                <w:rFonts w:hint="eastAsia" w:ascii="宋体" w:hAnsi="宋体" w:cs="宋体"/>
                <w:color w:val="auto"/>
                <w:sz w:val="22"/>
                <w:szCs w:val="22"/>
                <w:highlight w:val="none"/>
              </w:rPr>
              <w:t>定金额</w:t>
            </w:r>
            <w:r>
              <w:rPr>
                <w:rFonts w:hint="eastAsia" w:ascii="宋体" w:hAnsi="宋体" w:cs="宋体"/>
                <w:color w:val="auto"/>
                <w:sz w:val="22"/>
                <w:szCs w:val="22"/>
                <w:highlight w:val="none"/>
                <w:lang w:val="en-US" w:eastAsia="zh-CN"/>
              </w:rPr>
              <w:t>贰万柒仟</w:t>
            </w:r>
            <w:r>
              <w:rPr>
                <w:rFonts w:hint="eastAsia" w:ascii="宋体" w:hAnsi="宋体" w:cs="宋体"/>
                <w:color w:val="auto"/>
                <w:sz w:val="22"/>
                <w:szCs w:val="22"/>
                <w:highlight w:val="none"/>
              </w:rPr>
              <w:t>元整收</w:t>
            </w:r>
            <w:r>
              <w:rPr>
                <w:rFonts w:hint="eastAsia" w:ascii="宋体" w:hAnsi="宋体" w:cs="宋体"/>
                <w:color w:val="auto"/>
                <w:sz w:val="22"/>
                <w:szCs w:val="22"/>
              </w:rPr>
              <w:t>取，由中标（成交）单位一次性支付给采购代理机构，投标人在报价时应充分考虑该部分费用；</w:t>
            </w:r>
          </w:p>
          <w:p>
            <w:pPr>
              <w:spacing w:line="360" w:lineRule="auto"/>
              <w:rPr>
                <w:rFonts w:hint="eastAsia" w:ascii="宋体" w:hAnsi="宋体" w:cs="宋体"/>
                <w:color w:val="auto"/>
                <w:sz w:val="22"/>
                <w:szCs w:val="22"/>
              </w:rPr>
            </w:pPr>
            <w:r>
              <w:rPr>
                <w:rFonts w:hint="eastAsia" w:ascii="宋体" w:hAnsi="宋体" w:cs="宋体"/>
                <w:color w:val="auto"/>
                <w:sz w:val="22"/>
                <w:szCs w:val="22"/>
              </w:rPr>
              <w:t>（2）采购代理服务费可以是现金、支票或汇票。</w:t>
            </w:r>
          </w:p>
        </w:tc>
      </w:tr>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tbl>
    <w:p>
      <w:pPr>
        <w:spacing w:before="100" w:beforeAutospacing="1" w:after="100" w:afterAutospacing="1" w:line="360" w:lineRule="auto"/>
        <w:jc w:val="center"/>
        <w:outlineLvl w:val="0"/>
        <w:rPr>
          <w:rFonts w:ascii="宋体" w:hAnsi="宋体"/>
          <w:b/>
          <w:bCs/>
          <w:color w:val="auto"/>
          <w:sz w:val="26"/>
          <w:szCs w:val="26"/>
        </w:rPr>
      </w:pPr>
    </w:p>
    <w:p>
      <w:pPr>
        <w:spacing w:before="0" w:beforeAutospacing="0" w:after="0" w:afterAutospacing="0" w:line="240" w:lineRule="auto"/>
        <w:jc w:val="left"/>
        <w:outlineLvl w:val="9"/>
        <w:rPr>
          <w:rFonts w:hint="eastAsia" w:ascii="宋体" w:hAnsi="宋体"/>
          <w:b/>
          <w:bCs/>
          <w:color w:val="auto"/>
          <w:sz w:val="26"/>
          <w:szCs w:val="26"/>
        </w:rPr>
      </w:pPr>
      <w:bookmarkStart w:id="64" w:name="_Toc29666"/>
      <w:r>
        <w:rPr>
          <w:rFonts w:hint="eastAsia" w:ascii="宋体" w:hAnsi="宋体"/>
          <w:b/>
          <w:bCs/>
          <w:color w:val="auto"/>
          <w:sz w:val="26"/>
          <w:szCs w:val="26"/>
        </w:rPr>
        <w:br w:type="page"/>
      </w:r>
    </w:p>
    <w:p>
      <w:pPr>
        <w:spacing w:before="100" w:beforeAutospacing="1" w:after="100" w:afterAutospacing="1" w:line="360" w:lineRule="auto"/>
        <w:jc w:val="center"/>
        <w:outlineLvl w:val="0"/>
        <w:rPr>
          <w:rFonts w:ascii="宋体" w:hAnsi="宋体"/>
          <w:b/>
          <w:bCs/>
          <w:color w:val="auto"/>
          <w:sz w:val="26"/>
          <w:szCs w:val="26"/>
        </w:rPr>
      </w:pPr>
      <w:r>
        <w:rPr>
          <w:rFonts w:hint="eastAsia" w:ascii="宋体" w:hAnsi="宋体"/>
          <w:b/>
          <w:bCs/>
          <w:color w:val="auto"/>
          <w:sz w:val="26"/>
          <w:szCs w:val="26"/>
        </w:rPr>
        <w:t>二、  说明</w:t>
      </w:r>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p>
    <w:p>
      <w:pPr>
        <w:numPr>
          <w:ilvl w:val="0"/>
          <w:numId w:val="4"/>
        </w:numPr>
        <w:tabs>
          <w:tab w:val="left" w:pos="540"/>
          <w:tab w:val="left" w:pos="900"/>
        </w:tabs>
        <w:spacing w:line="360" w:lineRule="auto"/>
        <w:ind w:left="57" w:firstLine="220" w:firstLineChars="100"/>
        <w:rPr>
          <w:rFonts w:ascii="宋体" w:hAnsi="宋体" w:cs="Arial"/>
          <w:color w:val="auto"/>
          <w:sz w:val="22"/>
          <w:szCs w:val="22"/>
        </w:rPr>
      </w:pPr>
      <w:bookmarkStart w:id="65" w:name="_Toc221423617"/>
      <w:bookmarkStart w:id="66" w:name="_Toc222114877"/>
      <w:bookmarkStart w:id="67" w:name="_Toc245191312"/>
      <w:bookmarkStart w:id="68" w:name="_Toc249758862"/>
      <w:bookmarkStart w:id="69" w:name="_Toc221356949"/>
      <w:bookmarkStart w:id="70" w:name="_Toc262049416"/>
      <w:bookmarkStart w:id="71" w:name="_Toc262105501"/>
      <w:bookmarkStart w:id="72" w:name="_Toc249758710"/>
      <w:bookmarkStart w:id="73" w:name="_Toc221356884"/>
      <w:bookmarkStart w:id="74" w:name="_Toc245722279"/>
      <w:bookmarkStart w:id="75" w:name="_Toc223715996"/>
      <w:bookmarkStart w:id="76" w:name="_Toc221374624"/>
      <w:bookmarkStart w:id="77" w:name="_Toc241404200"/>
      <w:bookmarkStart w:id="78" w:name="_Toc239145352"/>
      <w:bookmarkStart w:id="79" w:name="_Toc246261263"/>
      <w:r>
        <w:rPr>
          <w:rFonts w:hint="eastAsia" w:ascii="宋体" w:hAnsi="宋体" w:cs="Arial"/>
          <w:color w:val="auto"/>
          <w:sz w:val="22"/>
          <w:szCs w:val="22"/>
        </w:rPr>
        <w:t>本次招标是按照《中华人民共和国政府采购法》、《中华人民共和国政府采购法实施条例》、《政府采购货物和服务招标投标管理办法》和《关于进一步规范政府采购活动的若干意见》等法律及有关法规组织和实施的。</w:t>
      </w:r>
    </w:p>
    <w:p>
      <w:pPr>
        <w:numPr>
          <w:ilvl w:val="0"/>
          <w:numId w:val="4"/>
        </w:numPr>
        <w:tabs>
          <w:tab w:val="left" w:pos="540"/>
          <w:tab w:val="left" w:pos="900"/>
        </w:tabs>
        <w:spacing w:line="360" w:lineRule="auto"/>
        <w:ind w:left="57" w:firstLine="220" w:firstLineChars="100"/>
        <w:rPr>
          <w:rFonts w:ascii="宋体" w:hAnsi="宋体" w:cs="Arial"/>
          <w:color w:val="auto"/>
          <w:sz w:val="22"/>
          <w:szCs w:val="22"/>
        </w:rPr>
      </w:pPr>
      <w:r>
        <w:rPr>
          <w:rFonts w:hint="eastAsia" w:ascii="宋体" w:hAnsi="宋体" w:cs="Arial"/>
          <w:color w:val="auto"/>
          <w:sz w:val="22"/>
          <w:szCs w:val="22"/>
        </w:rPr>
        <w:t>合格投标人要求以招标公告对投标人资格条件要求的表述为准。</w:t>
      </w:r>
    </w:p>
    <w:p>
      <w:pPr>
        <w:numPr>
          <w:ilvl w:val="0"/>
          <w:numId w:val="4"/>
        </w:numPr>
        <w:tabs>
          <w:tab w:val="left" w:pos="540"/>
          <w:tab w:val="left" w:pos="900"/>
        </w:tabs>
        <w:spacing w:line="360" w:lineRule="auto"/>
        <w:ind w:left="57" w:firstLine="220" w:firstLineChars="100"/>
        <w:rPr>
          <w:rFonts w:ascii="宋体" w:hAnsi="宋体" w:cs="Arial"/>
          <w:color w:val="auto"/>
          <w:sz w:val="22"/>
          <w:szCs w:val="22"/>
        </w:rPr>
      </w:pPr>
      <w:r>
        <w:rPr>
          <w:rFonts w:hint="eastAsia" w:ascii="宋体" w:hAnsi="宋体" w:cs="Arial"/>
          <w:color w:val="auto"/>
          <w:sz w:val="22"/>
          <w:szCs w:val="22"/>
        </w:rPr>
        <w:t>投标人代表</w:t>
      </w:r>
    </w:p>
    <w:p>
      <w:pPr>
        <w:spacing w:line="360" w:lineRule="auto"/>
        <w:ind w:firstLine="220" w:firstLineChars="100"/>
        <w:rPr>
          <w:rFonts w:ascii="宋体" w:hAnsi="宋体" w:cs="宋体"/>
          <w:color w:val="auto"/>
          <w:sz w:val="22"/>
          <w:szCs w:val="22"/>
        </w:rPr>
      </w:pPr>
      <w:r>
        <w:rPr>
          <w:rFonts w:hint="eastAsia" w:ascii="宋体" w:hAnsi="宋体" w:cs="宋体"/>
          <w:color w:val="auto"/>
          <w:sz w:val="22"/>
          <w:szCs w:val="22"/>
        </w:rPr>
        <w:t>指全权代表投标人参加投标活动并签署投标文件的人。如果投标人代表不是法定代表人，须持有《法定代表人授权书》。</w:t>
      </w:r>
    </w:p>
    <w:p>
      <w:pPr>
        <w:numPr>
          <w:ilvl w:val="0"/>
          <w:numId w:val="4"/>
        </w:numPr>
        <w:tabs>
          <w:tab w:val="left" w:pos="540"/>
          <w:tab w:val="left" w:pos="900"/>
        </w:tabs>
        <w:spacing w:line="360" w:lineRule="auto"/>
        <w:ind w:left="57" w:firstLine="220" w:firstLineChars="100"/>
        <w:rPr>
          <w:rFonts w:ascii="宋体" w:hAnsi="宋体" w:cs="Arial"/>
          <w:color w:val="auto"/>
          <w:sz w:val="22"/>
          <w:szCs w:val="22"/>
        </w:rPr>
      </w:pPr>
      <w:r>
        <w:rPr>
          <w:rFonts w:hint="eastAsia" w:ascii="宋体" w:hAnsi="宋体" w:cs="Arial"/>
          <w:color w:val="auto"/>
          <w:sz w:val="22"/>
          <w:szCs w:val="22"/>
        </w:rPr>
        <w:t>投标费用</w:t>
      </w:r>
    </w:p>
    <w:p>
      <w:pPr>
        <w:spacing w:line="360" w:lineRule="auto"/>
        <w:ind w:firstLine="220" w:firstLineChars="100"/>
        <w:rPr>
          <w:rFonts w:ascii="宋体" w:hAnsi="宋体" w:cs="宋体"/>
          <w:color w:val="auto"/>
          <w:sz w:val="22"/>
          <w:szCs w:val="22"/>
        </w:rPr>
      </w:pPr>
      <w:r>
        <w:rPr>
          <w:rFonts w:hint="eastAsia" w:ascii="宋体" w:hAnsi="宋体" w:cs="宋体"/>
          <w:color w:val="auto"/>
          <w:sz w:val="22"/>
          <w:szCs w:val="22"/>
        </w:rPr>
        <w:t>投标人应承担所有与准备和参加投标有关费用，不论投标的结果如何，采购人和招标代理机构均无义务和责任承担这些费用。</w:t>
      </w:r>
    </w:p>
    <w:p>
      <w:pPr>
        <w:numPr>
          <w:ilvl w:val="0"/>
          <w:numId w:val="4"/>
        </w:numPr>
        <w:tabs>
          <w:tab w:val="left" w:pos="540"/>
          <w:tab w:val="left" w:pos="900"/>
        </w:tabs>
        <w:spacing w:line="360" w:lineRule="auto"/>
        <w:ind w:left="57" w:firstLine="220" w:firstLineChars="100"/>
        <w:rPr>
          <w:rFonts w:ascii="宋体" w:hAnsi="宋体" w:cs="Arial"/>
          <w:color w:val="auto"/>
          <w:sz w:val="22"/>
          <w:szCs w:val="22"/>
        </w:rPr>
      </w:pPr>
      <w:r>
        <w:rPr>
          <w:rFonts w:hint="eastAsia" w:ascii="宋体" w:hAnsi="宋体" w:cs="Arial"/>
          <w:color w:val="auto"/>
          <w:sz w:val="22"/>
          <w:szCs w:val="22"/>
        </w:rPr>
        <w:t>优化政府采购金融服务</w:t>
      </w:r>
    </w:p>
    <w:p>
      <w:pPr>
        <w:spacing w:line="360" w:lineRule="auto"/>
        <w:ind w:firstLine="232" w:firstLineChars="100"/>
        <w:rPr>
          <w:rFonts w:ascii="宋体" w:hAnsi="宋体" w:cs="宋体"/>
          <w:bCs/>
          <w:color w:val="auto"/>
          <w:spacing w:val="6"/>
          <w:sz w:val="22"/>
        </w:rPr>
      </w:pPr>
      <w:r>
        <w:rPr>
          <w:rFonts w:hint="eastAsia" w:ascii="宋体" w:hAnsi="宋体" w:cs="宋体"/>
          <w:bCs/>
          <w:color w:val="auto"/>
          <w:spacing w:val="6"/>
          <w:sz w:val="22"/>
          <w:szCs w:val="22"/>
        </w:rPr>
        <w:t xml:space="preserve">  为支持和促进中小企业发展，进一步发挥政府采购政策功能，温州市财政局出台了《温州市财政局关于温州市政府采购支持中小企业信用融资的通知》（温财采〔2020〕3号），投标人若有融资意向，可直接登录http://jinrong.zcygov.cn，查看信用融资政策文件及各相关银行服务方案，也可直接向各银行咨询相关业务。</w:t>
      </w:r>
    </w:p>
    <w:p>
      <w:pPr>
        <w:numPr>
          <w:ilvl w:val="0"/>
          <w:numId w:val="4"/>
        </w:numPr>
        <w:tabs>
          <w:tab w:val="left" w:pos="540"/>
          <w:tab w:val="left" w:pos="900"/>
        </w:tabs>
        <w:spacing w:line="360" w:lineRule="auto"/>
        <w:ind w:left="57" w:firstLine="220" w:firstLineChars="100"/>
        <w:rPr>
          <w:rFonts w:ascii="宋体" w:hAnsi="宋体" w:cs="Arial"/>
          <w:color w:val="auto"/>
          <w:sz w:val="22"/>
          <w:szCs w:val="22"/>
        </w:rPr>
      </w:pPr>
      <w:r>
        <w:rPr>
          <w:rFonts w:hint="eastAsia" w:ascii="宋体" w:hAnsi="宋体" w:cs="Arial"/>
          <w:color w:val="auto"/>
          <w:sz w:val="22"/>
          <w:szCs w:val="22"/>
        </w:rPr>
        <w:t>特别说明：</w:t>
      </w:r>
    </w:p>
    <w:p>
      <w:pPr>
        <w:numPr>
          <w:ilvl w:val="1"/>
          <w:numId w:val="5"/>
        </w:numPr>
        <w:tabs>
          <w:tab w:val="left" w:pos="360"/>
        </w:tabs>
        <w:spacing w:line="360" w:lineRule="auto"/>
        <w:ind w:left="567" w:leftChars="0" w:hanging="510" w:firstLineChars="0"/>
        <w:rPr>
          <w:rFonts w:ascii="宋体" w:hAnsi="宋体" w:cs="Arial"/>
          <w:color w:val="auto"/>
          <w:sz w:val="22"/>
          <w:szCs w:val="22"/>
        </w:rPr>
      </w:pPr>
      <w:r>
        <w:rPr>
          <w:rFonts w:hint="eastAsia" w:ascii="宋体" w:hAnsi="宋体" w:cs="Arial"/>
          <w:color w:val="auto"/>
          <w:sz w:val="22"/>
          <w:szCs w:val="22"/>
        </w:rPr>
        <w:t>投标人应仔细阅读招标文件的所有内容，按照招标文件的要求提交投标文件，并对所提供的全部资料的真实性承担法律责任。</w:t>
      </w:r>
    </w:p>
    <w:p>
      <w:pPr>
        <w:numPr>
          <w:ilvl w:val="1"/>
          <w:numId w:val="5"/>
        </w:numPr>
        <w:tabs>
          <w:tab w:val="left" w:pos="360"/>
        </w:tabs>
        <w:spacing w:line="360" w:lineRule="auto"/>
        <w:ind w:left="567" w:leftChars="0" w:hanging="510" w:firstLineChars="0"/>
        <w:rPr>
          <w:rFonts w:ascii="宋体" w:hAnsi="宋体" w:cs="Arial"/>
          <w:color w:val="auto"/>
          <w:sz w:val="22"/>
          <w:szCs w:val="22"/>
        </w:rPr>
      </w:pPr>
      <w:bookmarkStart w:id="80" w:name="_Hlk37697637"/>
      <w:r>
        <w:rPr>
          <w:rFonts w:hint="eastAsia" w:ascii="宋体" w:hAnsi="宋体" w:cs="Arial"/>
          <w:color w:val="auto"/>
          <w:sz w:val="22"/>
          <w:szCs w:val="22"/>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spacing w:line="360" w:lineRule="auto"/>
        <w:ind w:left="76" w:leftChars="36" w:firstLine="232" w:firstLineChars="100"/>
        <w:rPr>
          <w:rFonts w:ascii="宋体" w:hAnsi="宋体" w:cs="宋体"/>
          <w:bCs/>
          <w:color w:val="auto"/>
          <w:spacing w:val="6"/>
          <w:sz w:val="22"/>
        </w:rPr>
      </w:pPr>
      <w:r>
        <w:rPr>
          <w:rFonts w:hint="eastAsia" w:ascii="宋体" w:hAnsi="宋体" w:cs="宋体"/>
          <w:bCs/>
          <w:color w:val="auto"/>
          <w:spacing w:val="6"/>
          <w:sz w:val="22"/>
          <w:szCs w:val="22"/>
        </w:rPr>
        <w:t>非单一产品采购项目，采购人应当根据采购项目技术构成、产品价格比重等合理确定核心产品，并在招标文件中载明。多家投标人提供的核心产品品牌相同的，按前两款规定处理。</w:t>
      </w:r>
      <w:bookmarkEnd w:id="80"/>
    </w:p>
    <w:p>
      <w:pPr>
        <w:numPr>
          <w:ilvl w:val="1"/>
          <w:numId w:val="5"/>
        </w:numPr>
        <w:tabs>
          <w:tab w:val="left" w:pos="360"/>
        </w:tabs>
        <w:spacing w:line="360" w:lineRule="auto"/>
        <w:ind w:left="567" w:leftChars="0" w:hanging="510" w:firstLineChars="0"/>
        <w:rPr>
          <w:rFonts w:ascii="宋体" w:hAnsi="宋体" w:cs="Arial"/>
          <w:color w:val="auto"/>
          <w:sz w:val="22"/>
          <w:szCs w:val="22"/>
        </w:rPr>
      </w:pPr>
      <w:r>
        <w:rPr>
          <w:rFonts w:hint="eastAsia" w:ascii="宋体" w:hAnsi="宋体" w:cs="Arial"/>
          <w:color w:val="auto"/>
          <w:sz w:val="22"/>
          <w:szCs w:val="22"/>
        </w:rPr>
        <w:t>单位负责人为同一人或者存在直接控股、管理关系的不同投标人，不得参加同一合同项下的政府采购活动。为采购项目提供整体设计、规范编制或者项目管理、监理、检测等服务的投标人，不得再参加该采购项目的其他采购活动。</w:t>
      </w:r>
    </w:p>
    <w:p>
      <w:pPr>
        <w:numPr>
          <w:ilvl w:val="1"/>
          <w:numId w:val="5"/>
        </w:numPr>
        <w:tabs>
          <w:tab w:val="left" w:pos="360"/>
        </w:tabs>
        <w:spacing w:line="360" w:lineRule="auto"/>
        <w:ind w:left="567" w:leftChars="0" w:hanging="510" w:firstLineChars="0"/>
        <w:rPr>
          <w:rFonts w:ascii="宋体" w:hAnsi="宋体" w:cs="Arial"/>
          <w:color w:val="auto"/>
          <w:sz w:val="22"/>
          <w:szCs w:val="22"/>
        </w:rPr>
      </w:pPr>
      <w:r>
        <w:rPr>
          <w:rFonts w:hint="eastAsia" w:ascii="宋体" w:hAnsi="宋体" w:cs="Arial"/>
          <w:color w:val="auto"/>
          <w:sz w:val="22"/>
          <w:szCs w:val="22"/>
        </w:rPr>
        <w:t>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pPr>
        <w:numPr>
          <w:ilvl w:val="1"/>
          <w:numId w:val="5"/>
        </w:numPr>
        <w:tabs>
          <w:tab w:val="left" w:pos="360"/>
        </w:tabs>
        <w:spacing w:line="360" w:lineRule="auto"/>
        <w:ind w:left="567" w:leftChars="0" w:hanging="510" w:firstLineChars="0"/>
        <w:rPr>
          <w:rFonts w:ascii="宋体" w:hAnsi="宋体" w:cs="Arial"/>
          <w:color w:val="auto"/>
          <w:sz w:val="22"/>
          <w:szCs w:val="22"/>
        </w:rPr>
      </w:pPr>
      <w:r>
        <w:rPr>
          <w:rFonts w:hint="eastAsia" w:ascii="宋体" w:hAnsi="宋体" w:cs="Arial"/>
          <w:color w:val="auto"/>
          <w:sz w:val="22"/>
          <w:szCs w:val="22"/>
          <w:lang w:val="zh-CN"/>
        </w:rPr>
        <w:t>非浙江政府采购网注册的投标人或发生变更且未及时更新的投标人，应当在规定时间内按照《浙江省政府采购投标人注册及诚信管理暂行办法》（浙财采监字［2009］28号）的相关规定及时办理更新或投标人注册事项。一旦被确定为中标人的，在合同签订前按本办法的规定完成注册并成为正式注册投标人。</w:t>
      </w:r>
    </w:p>
    <w:p>
      <w:pPr>
        <w:spacing w:before="100" w:beforeAutospacing="1" w:after="100" w:afterAutospacing="1" w:line="360" w:lineRule="auto"/>
        <w:ind w:firstLine="261" w:firstLineChars="100"/>
        <w:jc w:val="center"/>
        <w:outlineLvl w:val="0"/>
        <w:rPr>
          <w:rFonts w:ascii="宋体" w:hAnsi="宋体"/>
          <w:b/>
          <w:bCs/>
          <w:color w:val="auto"/>
          <w:sz w:val="26"/>
          <w:szCs w:val="26"/>
        </w:rPr>
      </w:pPr>
      <w:bookmarkStart w:id="81" w:name="_Toc23506"/>
      <w:r>
        <w:rPr>
          <w:rFonts w:hint="eastAsia" w:ascii="宋体" w:hAnsi="宋体"/>
          <w:b/>
          <w:bCs/>
          <w:color w:val="auto"/>
          <w:sz w:val="26"/>
          <w:szCs w:val="26"/>
        </w:rPr>
        <w:t>三、 招标文件</w:t>
      </w:r>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1"/>
    </w:p>
    <w:p>
      <w:pPr>
        <w:numPr>
          <w:ilvl w:val="0"/>
          <w:numId w:val="6"/>
        </w:numPr>
        <w:tabs>
          <w:tab w:val="left" w:pos="540"/>
        </w:tabs>
        <w:spacing w:line="360" w:lineRule="auto"/>
        <w:ind w:left="567" w:hanging="567" w:firstLineChars="0"/>
        <w:rPr>
          <w:rFonts w:ascii="宋体" w:hAnsi="宋体" w:cs="Arial"/>
          <w:color w:val="auto"/>
          <w:sz w:val="22"/>
          <w:szCs w:val="22"/>
        </w:rPr>
      </w:pPr>
      <w:r>
        <w:rPr>
          <w:rFonts w:hint="eastAsia" w:ascii="宋体" w:hAnsi="宋体" w:cs="Arial"/>
          <w:color w:val="auto"/>
          <w:sz w:val="22"/>
          <w:szCs w:val="22"/>
        </w:rPr>
        <w:t>招标文件由招标文件目录所列内容及相关资料组成。</w:t>
      </w:r>
    </w:p>
    <w:p>
      <w:pPr>
        <w:numPr>
          <w:ilvl w:val="0"/>
          <w:numId w:val="6"/>
        </w:numPr>
        <w:tabs>
          <w:tab w:val="left" w:pos="540"/>
        </w:tabs>
        <w:spacing w:line="360" w:lineRule="auto"/>
        <w:ind w:left="567" w:hanging="567" w:firstLineChars="0"/>
        <w:rPr>
          <w:rFonts w:ascii="宋体" w:hAnsi="宋体" w:cs="Arial"/>
          <w:color w:val="auto"/>
          <w:sz w:val="22"/>
          <w:szCs w:val="22"/>
        </w:rPr>
      </w:pPr>
      <w:r>
        <w:rPr>
          <w:rFonts w:hint="eastAsia" w:ascii="宋体" w:hAnsi="宋体" w:cs="Arial"/>
          <w:color w:val="auto"/>
          <w:sz w:val="22"/>
          <w:szCs w:val="22"/>
        </w:rPr>
        <w:t>质疑</w:t>
      </w:r>
    </w:p>
    <w:p>
      <w:pPr>
        <w:numPr>
          <w:ilvl w:val="1"/>
          <w:numId w:val="7"/>
        </w:numPr>
        <w:tabs>
          <w:tab w:val="left" w:pos="360"/>
        </w:tabs>
        <w:spacing w:line="360" w:lineRule="auto"/>
        <w:ind w:left="567" w:hanging="510" w:firstLineChars="0"/>
        <w:rPr>
          <w:rFonts w:ascii="宋体" w:hAnsi="宋体" w:cs="Arial"/>
          <w:color w:val="auto"/>
          <w:sz w:val="22"/>
          <w:szCs w:val="22"/>
        </w:rPr>
      </w:pPr>
      <w:r>
        <w:rPr>
          <w:rFonts w:hint="eastAsia" w:ascii="宋体" w:hAnsi="宋体" w:cs="Arial"/>
          <w:color w:val="auto"/>
          <w:sz w:val="22"/>
          <w:szCs w:val="22"/>
        </w:rPr>
        <w:t>投标人认为招标文件、采购过程、中标或者成交结果使自己的权益受到损害的，可以在知道或者应知其权益受到损害之日起7个工作日内，以书面形式向采购人、采购代理机构提出质疑。逾期提出的，采购组织机构将不予受理、答复。</w:t>
      </w:r>
    </w:p>
    <w:p>
      <w:pPr>
        <w:numPr>
          <w:ilvl w:val="1"/>
          <w:numId w:val="7"/>
        </w:numPr>
        <w:tabs>
          <w:tab w:val="left" w:pos="360"/>
        </w:tabs>
        <w:spacing w:line="360" w:lineRule="auto"/>
        <w:ind w:left="567" w:hanging="510" w:firstLineChars="0"/>
        <w:rPr>
          <w:rFonts w:ascii="宋体" w:hAnsi="宋体" w:cs="Arial"/>
          <w:color w:val="auto"/>
          <w:sz w:val="22"/>
          <w:szCs w:val="22"/>
        </w:rPr>
      </w:pPr>
      <w:r>
        <w:rPr>
          <w:rFonts w:hint="eastAsia" w:ascii="宋体" w:hAnsi="宋体" w:cs="Arial"/>
          <w:color w:val="auto"/>
          <w:sz w:val="22"/>
          <w:szCs w:val="22"/>
        </w:rPr>
        <w:t>投标人提出质疑应当提交质疑函和必要的证明材料，质疑函范本请到“浙江政府采购网下载专区”下载，质疑函内容及签署等相关要求请参看《政府采购质疑和投诉办法》相关规定。</w:t>
      </w:r>
    </w:p>
    <w:p>
      <w:pPr>
        <w:numPr>
          <w:ilvl w:val="1"/>
          <w:numId w:val="7"/>
        </w:numPr>
        <w:tabs>
          <w:tab w:val="left" w:pos="360"/>
        </w:tabs>
        <w:spacing w:line="360" w:lineRule="auto"/>
        <w:ind w:left="567" w:hanging="510" w:firstLineChars="0"/>
        <w:rPr>
          <w:rFonts w:ascii="宋体" w:hAnsi="宋体" w:cs="Arial"/>
          <w:color w:val="auto"/>
          <w:sz w:val="22"/>
          <w:szCs w:val="22"/>
        </w:rPr>
      </w:pPr>
      <w:r>
        <w:rPr>
          <w:rFonts w:hint="eastAsia" w:ascii="宋体" w:hAnsi="宋体" w:cs="Arial"/>
          <w:color w:val="auto"/>
          <w:sz w:val="22"/>
          <w:szCs w:val="22"/>
        </w:rPr>
        <w:t>提出质疑的投标人应当是参与本项目招标活动的投标人。投标人在法定质疑期内一次性提出针对同一采购程序环节的质疑。</w:t>
      </w:r>
    </w:p>
    <w:p>
      <w:pPr>
        <w:numPr>
          <w:ilvl w:val="1"/>
          <w:numId w:val="7"/>
        </w:numPr>
        <w:tabs>
          <w:tab w:val="left" w:pos="360"/>
        </w:tabs>
        <w:spacing w:line="360" w:lineRule="auto"/>
        <w:ind w:left="567" w:hanging="510" w:firstLineChars="0"/>
        <w:rPr>
          <w:rFonts w:ascii="宋体" w:hAnsi="宋体" w:cs="Arial"/>
          <w:color w:val="auto"/>
          <w:sz w:val="22"/>
          <w:szCs w:val="22"/>
        </w:rPr>
      </w:pPr>
      <w:r>
        <w:rPr>
          <w:rFonts w:hint="eastAsia" w:ascii="宋体" w:hAnsi="宋体" w:cs="Arial"/>
          <w:color w:val="auto"/>
          <w:sz w:val="22"/>
          <w:szCs w:val="22"/>
        </w:rPr>
        <w:t>根据《政府采购质疑和投诉办法》第三十七条的规定，投诉人在全国范围12个月内三次以上投诉查无实据的，由财政部门列入不良行为记录名单。</w:t>
      </w:r>
    </w:p>
    <w:p>
      <w:pPr>
        <w:numPr>
          <w:ilvl w:val="0"/>
          <w:numId w:val="6"/>
        </w:numPr>
        <w:tabs>
          <w:tab w:val="left" w:pos="540"/>
        </w:tabs>
        <w:spacing w:line="360" w:lineRule="auto"/>
        <w:ind w:left="567" w:hanging="567" w:firstLineChars="0"/>
        <w:rPr>
          <w:rFonts w:ascii="宋体" w:hAnsi="宋体" w:cs="Arial"/>
          <w:color w:val="auto"/>
          <w:sz w:val="22"/>
          <w:szCs w:val="22"/>
        </w:rPr>
      </w:pPr>
      <w:r>
        <w:rPr>
          <w:rFonts w:hint="eastAsia" w:ascii="宋体" w:hAnsi="宋体" w:cs="Arial"/>
          <w:color w:val="auto"/>
          <w:sz w:val="22"/>
          <w:szCs w:val="22"/>
        </w:rPr>
        <w:t>投诉</w:t>
      </w:r>
    </w:p>
    <w:p>
      <w:pPr>
        <w:tabs>
          <w:tab w:val="left" w:pos="540"/>
        </w:tabs>
        <w:spacing w:line="360" w:lineRule="auto"/>
        <w:ind w:firstLine="232" w:firstLineChars="100"/>
        <w:rPr>
          <w:rFonts w:ascii="宋体" w:hAnsi="宋体" w:cs="宋体"/>
          <w:color w:val="auto"/>
          <w:sz w:val="22"/>
          <w:szCs w:val="22"/>
        </w:rPr>
      </w:pPr>
      <w:r>
        <w:rPr>
          <w:rFonts w:hint="eastAsia" w:ascii="宋体" w:hAnsi="宋体" w:cs="宋体"/>
          <w:color w:val="auto"/>
          <w:spacing w:val="6"/>
          <w:sz w:val="22"/>
        </w:rPr>
        <w:t>质疑投标人对采购人、采购代理机构的答复不满意或者采购人、采购代理机构未在规定的时间内作出答复的，可以在答复期满后十五个工作日内向同级政府采购监督部门投诉。投诉书范本请到“浙江政府采购网下载专区”下载。</w:t>
      </w:r>
    </w:p>
    <w:p>
      <w:pPr>
        <w:numPr>
          <w:ilvl w:val="0"/>
          <w:numId w:val="6"/>
        </w:numPr>
        <w:tabs>
          <w:tab w:val="left" w:pos="540"/>
        </w:tabs>
        <w:spacing w:line="360" w:lineRule="auto"/>
        <w:ind w:left="567" w:hanging="567" w:firstLineChars="0"/>
        <w:rPr>
          <w:rFonts w:ascii="宋体" w:hAnsi="宋体" w:cs="Arial"/>
          <w:color w:val="auto"/>
          <w:sz w:val="22"/>
          <w:szCs w:val="22"/>
        </w:rPr>
      </w:pPr>
      <w:r>
        <w:rPr>
          <w:rFonts w:hint="eastAsia" w:ascii="宋体" w:hAnsi="宋体" w:cs="Arial"/>
          <w:color w:val="auto"/>
          <w:sz w:val="22"/>
          <w:szCs w:val="22"/>
        </w:rPr>
        <w:t>招标文件的澄清或修改</w:t>
      </w:r>
    </w:p>
    <w:p>
      <w:pPr>
        <w:numPr>
          <w:ilvl w:val="1"/>
          <w:numId w:val="8"/>
        </w:numPr>
        <w:tabs>
          <w:tab w:val="left" w:pos="360"/>
        </w:tabs>
        <w:spacing w:line="360" w:lineRule="auto"/>
        <w:ind w:left="567" w:hanging="510" w:firstLineChars="0"/>
        <w:rPr>
          <w:rFonts w:ascii="宋体" w:hAnsi="宋体" w:cs="Arial"/>
          <w:color w:val="auto"/>
          <w:sz w:val="22"/>
          <w:szCs w:val="22"/>
        </w:rPr>
      </w:pPr>
      <w:r>
        <w:rPr>
          <w:rFonts w:hint="eastAsia" w:ascii="宋体" w:hAnsi="宋体" w:cs="Arial"/>
          <w:color w:val="auto"/>
          <w:sz w:val="22"/>
          <w:szCs w:val="22"/>
        </w:rPr>
        <w:t>采购人或者采购代理机构可以对已发出的招标文件进行必要的澄清或者修改。澄清或者修改在浙江政府采购网上发布公告，同时政采云系统会向所有已按招标文件规定方式获取招标文件的潜在投标人发送更正提醒信息，潜在投标人请自行到浙江省政府采购网上下载公告附件，潜在投标人在收到该公告附件后应于1日内，以书面或传真形式（签署意见并加盖公章）向采购代理机构回函给予确认。过期未回复的，视为默认接受。澄清或者修改的内容为招标文件的组成部分。</w:t>
      </w:r>
    </w:p>
    <w:p>
      <w:pPr>
        <w:numPr>
          <w:ilvl w:val="1"/>
          <w:numId w:val="8"/>
        </w:numPr>
        <w:tabs>
          <w:tab w:val="left" w:pos="360"/>
        </w:tabs>
        <w:spacing w:line="360" w:lineRule="auto"/>
        <w:ind w:left="567" w:hanging="510" w:firstLineChars="0"/>
        <w:rPr>
          <w:rFonts w:ascii="宋体" w:hAnsi="宋体" w:cs="Arial"/>
          <w:color w:val="auto"/>
          <w:sz w:val="22"/>
          <w:szCs w:val="22"/>
        </w:rPr>
      </w:pPr>
      <w:r>
        <w:rPr>
          <w:rFonts w:hint="eastAsia" w:ascii="宋体" w:hAnsi="宋体" w:cs="Arial"/>
          <w:color w:val="auto"/>
          <w:sz w:val="22"/>
          <w:szCs w:val="22"/>
        </w:rPr>
        <w:t>澄清或者修改的内容可能影响投标文件编制的，采购人或者采购代理机构应当在投标截止时间至少15日前，以书面形式（在浙江政府采购网上发布公告）通知所有获取招标文件的潜在投标人；不足15日的，采购人或者采购代理机构应当顺延提交投标文件的截止时间。</w:t>
      </w:r>
    </w:p>
    <w:p>
      <w:pPr>
        <w:numPr>
          <w:ilvl w:val="1"/>
          <w:numId w:val="8"/>
        </w:numPr>
        <w:tabs>
          <w:tab w:val="left" w:pos="360"/>
        </w:tabs>
        <w:spacing w:line="360" w:lineRule="auto"/>
        <w:ind w:left="567" w:hanging="510" w:firstLineChars="0"/>
        <w:rPr>
          <w:rFonts w:ascii="宋体" w:hAnsi="宋体" w:cs="宋体"/>
          <w:color w:val="auto"/>
          <w:sz w:val="22"/>
          <w:szCs w:val="22"/>
        </w:rPr>
      </w:pPr>
      <w:r>
        <w:rPr>
          <w:rFonts w:hint="eastAsia" w:ascii="宋体" w:hAnsi="宋体" w:cs="Arial"/>
          <w:color w:val="auto"/>
          <w:sz w:val="22"/>
          <w:szCs w:val="22"/>
        </w:rPr>
        <w:t>招标文件如有补充更正均见“浙江政府采购”（https://zfcg.czt.zj.gov.cn/）。投标人须在开标</w:t>
      </w:r>
      <w:r>
        <w:rPr>
          <w:rFonts w:hint="eastAsia" w:ascii="宋体" w:hAnsi="宋体" w:cs="宋体"/>
          <w:color w:val="auto"/>
          <w:spacing w:val="6"/>
          <w:sz w:val="22"/>
        </w:rPr>
        <w:t>前一日自行查看是否有补充更正文件，并按补充更正文件要求投标，否则责任自负。</w:t>
      </w:r>
    </w:p>
    <w:p>
      <w:pPr>
        <w:spacing w:before="100" w:beforeAutospacing="1" w:after="100" w:afterAutospacing="1" w:line="360" w:lineRule="auto"/>
        <w:jc w:val="center"/>
        <w:outlineLvl w:val="0"/>
        <w:rPr>
          <w:rFonts w:ascii="宋体" w:hAnsi="宋体"/>
          <w:b/>
          <w:bCs/>
          <w:color w:val="auto"/>
          <w:sz w:val="26"/>
          <w:szCs w:val="26"/>
        </w:rPr>
      </w:pPr>
      <w:bookmarkStart w:id="82" w:name="_Toc221423618"/>
      <w:bookmarkStart w:id="83" w:name="_Toc221374625"/>
      <w:bookmarkStart w:id="84" w:name="_Toc241404201"/>
      <w:bookmarkStart w:id="85" w:name="_Toc221356885"/>
      <w:bookmarkStart w:id="86" w:name="_Toc246261264"/>
      <w:bookmarkStart w:id="87" w:name="_Toc223715997"/>
      <w:bookmarkStart w:id="88" w:name="_Toc8234"/>
      <w:bookmarkStart w:id="89" w:name="_Toc222114878"/>
      <w:bookmarkStart w:id="90" w:name="_Toc249758711"/>
      <w:bookmarkStart w:id="91" w:name="_Toc245722280"/>
      <w:bookmarkStart w:id="92" w:name="_Toc262049417"/>
      <w:bookmarkStart w:id="93" w:name="_Toc239145353"/>
      <w:bookmarkStart w:id="94" w:name="_Toc245191313"/>
      <w:bookmarkStart w:id="95" w:name="_Toc262105502"/>
      <w:bookmarkStart w:id="96" w:name="_Toc249758863"/>
      <w:bookmarkStart w:id="97" w:name="_Toc221356950"/>
      <w:r>
        <w:rPr>
          <w:rFonts w:hint="eastAsia" w:ascii="宋体" w:hAnsi="宋体"/>
          <w:b/>
          <w:bCs/>
          <w:color w:val="auto"/>
          <w:sz w:val="26"/>
          <w:szCs w:val="26"/>
        </w:rPr>
        <w:t>四、 投标文件的编制</w:t>
      </w:r>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p>
    <w:p>
      <w:pPr>
        <w:numPr>
          <w:ilvl w:val="0"/>
          <w:numId w:val="9"/>
        </w:numPr>
        <w:tabs>
          <w:tab w:val="left" w:pos="540"/>
        </w:tabs>
        <w:spacing w:line="360" w:lineRule="auto"/>
        <w:ind w:left="567" w:hanging="510"/>
        <w:rPr>
          <w:rFonts w:ascii="宋体" w:hAnsi="宋体"/>
          <w:color w:val="auto"/>
          <w:sz w:val="22"/>
          <w:szCs w:val="22"/>
        </w:rPr>
      </w:pPr>
      <w:r>
        <w:rPr>
          <w:rFonts w:hint="eastAsia" w:ascii="宋体" w:hAnsi="宋体" w:cs="Arial"/>
          <w:color w:val="auto"/>
          <w:sz w:val="22"/>
          <w:szCs w:val="22"/>
        </w:rPr>
        <w:t>投标人应认真阅读招标文件中所有事项格式、条款和技术规范等。</w:t>
      </w:r>
      <w:r>
        <w:rPr>
          <w:rFonts w:hint="eastAsia" w:ascii="宋体" w:hAnsi="宋体" w:cs="Arial"/>
          <w:b/>
          <w:color w:val="auto"/>
          <w:sz w:val="22"/>
          <w:szCs w:val="22"/>
        </w:rPr>
        <w:t>投标人没有按照招标文件要求提交全部资料，或者没有对招标文件各个方面做出实质性响应，导致投标被拒绝的风险由投标人自行承担。</w:t>
      </w:r>
    </w:p>
    <w:p>
      <w:pPr>
        <w:numPr>
          <w:ilvl w:val="0"/>
          <w:numId w:val="9"/>
        </w:numPr>
        <w:tabs>
          <w:tab w:val="left" w:pos="540"/>
        </w:tabs>
        <w:spacing w:line="360" w:lineRule="auto"/>
        <w:ind w:left="567" w:hanging="510"/>
        <w:rPr>
          <w:rFonts w:ascii="宋体" w:hAnsi="宋体"/>
          <w:bCs/>
          <w:color w:val="auto"/>
          <w:sz w:val="22"/>
          <w:szCs w:val="22"/>
        </w:rPr>
      </w:pPr>
      <w:r>
        <w:rPr>
          <w:rFonts w:hint="eastAsia" w:ascii="宋体" w:hAnsi="宋体"/>
          <w:bCs/>
          <w:color w:val="auto"/>
          <w:sz w:val="22"/>
          <w:szCs w:val="22"/>
        </w:rPr>
        <w:t>投标文件的构成</w:t>
      </w:r>
    </w:p>
    <w:p>
      <w:pPr>
        <w:tabs>
          <w:tab w:val="left" w:pos="540"/>
        </w:tabs>
        <w:spacing w:line="360" w:lineRule="auto"/>
        <w:ind w:firstLine="0" w:firstLineChars="0"/>
        <w:rPr>
          <w:rFonts w:ascii="宋体" w:hAnsi="宋体" w:cs="Arial"/>
          <w:b/>
          <w:color w:val="auto"/>
          <w:sz w:val="22"/>
          <w:szCs w:val="22"/>
          <w:u w:val="single"/>
        </w:rPr>
      </w:pPr>
      <w:r>
        <w:rPr>
          <w:rFonts w:hint="eastAsia" w:ascii="宋体" w:hAnsi="宋体" w:cs="Arial"/>
          <w:b/>
          <w:color w:val="auto"/>
          <w:sz w:val="22"/>
          <w:szCs w:val="22"/>
          <w:u w:val="single"/>
        </w:rPr>
        <w:t>投标文件由资格文件、商务技术文件、报价文件三部分构成：</w:t>
      </w:r>
    </w:p>
    <w:p>
      <w:pPr>
        <w:spacing w:line="360" w:lineRule="auto"/>
        <w:ind w:left="178" w:leftChars="85" w:firstLine="0" w:firstLineChars="0"/>
        <w:rPr>
          <w:rFonts w:ascii="宋体" w:cs="hakuyoxingshu7000"/>
          <w:b/>
          <w:color w:val="auto"/>
          <w:sz w:val="22"/>
          <w:szCs w:val="22"/>
        </w:rPr>
      </w:pPr>
      <w:r>
        <w:rPr>
          <w:rFonts w:hint="eastAsia" w:ascii="宋体" w:hAnsi="宋体" w:cs="hakuyoxingshu7000"/>
          <w:b/>
          <w:color w:val="auto"/>
          <w:sz w:val="22"/>
          <w:szCs w:val="22"/>
        </w:rPr>
        <w:t>（</w:t>
      </w:r>
      <w:r>
        <w:rPr>
          <w:rFonts w:ascii="宋体" w:hAnsi="宋体" w:cs="hakuyoxingshu7000"/>
          <w:b/>
          <w:color w:val="auto"/>
          <w:sz w:val="22"/>
          <w:szCs w:val="22"/>
        </w:rPr>
        <w:t>1</w:t>
      </w:r>
      <w:r>
        <w:rPr>
          <w:rFonts w:hint="eastAsia" w:ascii="宋体" w:hAnsi="宋体" w:cs="hakuyoxingshu7000"/>
          <w:b/>
          <w:color w:val="auto"/>
          <w:sz w:val="22"/>
          <w:szCs w:val="22"/>
        </w:rPr>
        <w:t>）资格文件</w:t>
      </w:r>
    </w:p>
    <w:tbl>
      <w:tblPr>
        <w:tblStyle w:val="63"/>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514"/>
        <w:gridCol w:w="15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17" w:type="dxa"/>
            <w:vAlign w:val="center"/>
          </w:tcPr>
          <w:p>
            <w:pPr>
              <w:overflowPunct w:val="0"/>
              <w:spacing w:line="360" w:lineRule="auto"/>
              <w:jc w:val="center"/>
              <w:rPr>
                <w:rFonts w:ascii="宋体" w:cs="新宋体"/>
                <w:b/>
                <w:color w:val="auto"/>
                <w:sz w:val="22"/>
                <w:szCs w:val="22"/>
              </w:rPr>
            </w:pPr>
            <w:r>
              <w:rPr>
                <w:rFonts w:hint="eastAsia" w:ascii="宋体" w:hAnsi="宋体" w:cs="新宋体"/>
                <w:b/>
                <w:color w:val="auto"/>
                <w:sz w:val="22"/>
                <w:szCs w:val="22"/>
              </w:rPr>
              <w:t>序号</w:t>
            </w:r>
          </w:p>
        </w:tc>
        <w:tc>
          <w:tcPr>
            <w:tcW w:w="7514" w:type="dxa"/>
            <w:vAlign w:val="center"/>
          </w:tcPr>
          <w:p>
            <w:pPr>
              <w:overflowPunct w:val="0"/>
              <w:spacing w:line="360" w:lineRule="auto"/>
              <w:jc w:val="center"/>
              <w:rPr>
                <w:rFonts w:ascii="宋体" w:cs="新宋体"/>
                <w:b/>
                <w:color w:val="auto"/>
                <w:sz w:val="22"/>
                <w:szCs w:val="22"/>
              </w:rPr>
            </w:pPr>
            <w:r>
              <w:rPr>
                <w:rFonts w:hint="eastAsia" w:ascii="宋体" w:hAnsi="宋体" w:cs="新宋体"/>
                <w:b/>
                <w:color w:val="auto"/>
                <w:sz w:val="22"/>
                <w:szCs w:val="22"/>
              </w:rPr>
              <w:t>内容</w:t>
            </w:r>
          </w:p>
        </w:tc>
        <w:tc>
          <w:tcPr>
            <w:tcW w:w="1523" w:type="dxa"/>
            <w:vAlign w:val="center"/>
          </w:tcPr>
          <w:p>
            <w:pPr>
              <w:overflowPunct w:val="0"/>
              <w:spacing w:line="360" w:lineRule="auto"/>
              <w:jc w:val="center"/>
              <w:rPr>
                <w:rFonts w:ascii="宋体" w:cs="新宋体"/>
                <w:b/>
                <w:color w:val="auto"/>
                <w:sz w:val="22"/>
                <w:szCs w:val="22"/>
              </w:rPr>
            </w:pPr>
            <w:r>
              <w:rPr>
                <w:rFonts w:hint="eastAsia" w:ascii="宋体" w:hAnsi="宋体" w:cs="新宋体"/>
                <w:b/>
                <w:color w:val="auto"/>
                <w:sz w:val="22"/>
                <w:szCs w:val="2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17" w:type="dxa"/>
            <w:vAlign w:val="center"/>
          </w:tcPr>
          <w:p>
            <w:pPr>
              <w:overflowPunct w:val="0"/>
              <w:spacing w:line="360" w:lineRule="auto"/>
              <w:jc w:val="center"/>
              <w:rPr>
                <w:rFonts w:ascii="宋体" w:cs="新宋体"/>
                <w:bCs/>
                <w:color w:val="auto"/>
                <w:sz w:val="22"/>
                <w:szCs w:val="22"/>
              </w:rPr>
            </w:pPr>
            <w:r>
              <w:rPr>
                <w:rFonts w:ascii="宋体" w:hAnsi="宋体" w:cs="新宋体"/>
                <w:bCs/>
                <w:color w:val="auto"/>
                <w:sz w:val="22"/>
                <w:szCs w:val="22"/>
              </w:rPr>
              <w:t>1</w:t>
            </w:r>
          </w:p>
        </w:tc>
        <w:tc>
          <w:tcPr>
            <w:tcW w:w="7514" w:type="dxa"/>
            <w:vAlign w:val="center"/>
          </w:tcPr>
          <w:p>
            <w:pPr>
              <w:spacing w:line="360" w:lineRule="auto"/>
              <w:rPr>
                <w:rFonts w:ascii="宋体" w:cs="新宋体"/>
                <w:bCs/>
                <w:color w:val="auto"/>
                <w:sz w:val="22"/>
                <w:szCs w:val="22"/>
              </w:rPr>
            </w:pPr>
            <w:r>
              <w:rPr>
                <w:rFonts w:hint="eastAsia" w:ascii="宋体" w:hAnsi="宋体"/>
                <w:color w:val="auto"/>
                <w:sz w:val="22"/>
                <w:szCs w:val="22"/>
              </w:rPr>
              <w:t>营业执照</w:t>
            </w:r>
            <w:r>
              <w:rPr>
                <w:rFonts w:ascii="宋体" w:hAnsi="宋体"/>
                <w:color w:val="auto"/>
                <w:sz w:val="22"/>
                <w:szCs w:val="22"/>
              </w:rPr>
              <w:t>(</w:t>
            </w:r>
            <w:r>
              <w:rPr>
                <w:rFonts w:hint="eastAsia" w:ascii="宋体" w:hAnsi="宋体"/>
                <w:color w:val="auto"/>
                <w:sz w:val="22"/>
                <w:szCs w:val="22"/>
              </w:rPr>
              <w:t>或事业法人登记证书或其它工商等登记证明材料；自然人参与政府采购，提供身份证</w:t>
            </w:r>
            <w:r>
              <w:rPr>
                <w:rFonts w:ascii="宋体" w:hAnsi="宋体"/>
                <w:color w:val="auto"/>
                <w:sz w:val="22"/>
                <w:szCs w:val="22"/>
              </w:rPr>
              <w:t>)</w:t>
            </w:r>
            <w:r>
              <w:rPr>
                <w:rFonts w:hint="eastAsia" w:ascii="宋体" w:hAnsi="宋体"/>
                <w:color w:val="auto"/>
                <w:sz w:val="22"/>
                <w:szCs w:val="22"/>
              </w:rPr>
              <w:t>复印件、税务登记证</w:t>
            </w:r>
            <w:r>
              <w:rPr>
                <w:rFonts w:ascii="宋体" w:hAnsi="宋体"/>
                <w:color w:val="auto"/>
                <w:sz w:val="22"/>
                <w:szCs w:val="22"/>
              </w:rPr>
              <w:t>(</w:t>
            </w:r>
            <w:r>
              <w:rPr>
                <w:rFonts w:hint="eastAsia" w:ascii="宋体" w:hAnsi="宋体"/>
                <w:color w:val="auto"/>
                <w:sz w:val="22"/>
                <w:szCs w:val="22"/>
              </w:rPr>
              <w:t>或其它缴纳证明材料</w:t>
            </w:r>
            <w:r>
              <w:rPr>
                <w:rFonts w:ascii="宋体" w:hAnsi="宋体"/>
                <w:color w:val="auto"/>
                <w:sz w:val="22"/>
                <w:szCs w:val="22"/>
              </w:rPr>
              <w:t>)</w:t>
            </w:r>
            <w:r>
              <w:rPr>
                <w:rFonts w:hint="eastAsia" w:ascii="宋体" w:hAnsi="宋体"/>
                <w:color w:val="auto"/>
                <w:sz w:val="22"/>
                <w:szCs w:val="22"/>
              </w:rPr>
              <w:t>复印件、社保登记证（或其它缴纳证明材料）复印件；实施“五证合一、一照一码”登记制度改革的，只需提供改革后取得的营业执照复印件；</w:t>
            </w:r>
          </w:p>
        </w:tc>
        <w:tc>
          <w:tcPr>
            <w:tcW w:w="1523" w:type="dxa"/>
            <w:vAlign w:val="center"/>
          </w:tcPr>
          <w:p>
            <w:pPr>
              <w:overflowPunct w:val="0"/>
              <w:spacing w:line="360" w:lineRule="auto"/>
              <w:jc w:val="center"/>
              <w:rPr>
                <w:rFonts w:ascii="宋体" w:cs="新宋体"/>
                <w:b/>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17" w:type="dxa"/>
            <w:vAlign w:val="center"/>
          </w:tcPr>
          <w:p>
            <w:pPr>
              <w:overflowPunct w:val="0"/>
              <w:spacing w:line="360" w:lineRule="auto"/>
              <w:jc w:val="center"/>
              <w:rPr>
                <w:rFonts w:ascii="宋体" w:cs="新宋体"/>
                <w:bCs/>
                <w:color w:val="auto"/>
                <w:sz w:val="22"/>
                <w:szCs w:val="22"/>
              </w:rPr>
            </w:pPr>
            <w:r>
              <w:rPr>
                <w:rFonts w:ascii="宋体" w:hAnsi="宋体" w:cs="新宋体"/>
                <w:bCs/>
                <w:color w:val="auto"/>
                <w:sz w:val="22"/>
                <w:szCs w:val="22"/>
              </w:rPr>
              <w:t>2</w:t>
            </w:r>
          </w:p>
        </w:tc>
        <w:tc>
          <w:tcPr>
            <w:tcW w:w="7514" w:type="dxa"/>
            <w:vAlign w:val="center"/>
          </w:tcPr>
          <w:p>
            <w:pPr>
              <w:spacing w:line="360" w:lineRule="auto"/>
              <w:rPr>
                <w:rFonts w:ascii="宋体" w:hAnsi="宋体" w:cs="宋体"/>
                <w:color w:val="auto"/>
                <w:kern w:val="0"/>
                <w:sz w:val="22"/>
                <w:szCs w:val="22"/>
              </w:rPr>
            </w:pPr>
            <w:r>
              <w:rPr>
                <w:rFonts w:hint="eastAsia" w:ascii="宋体" w:hAnsi="宋体" w:cs="宋体"/>
                <w:color w:val="auto"/>
                <w:kern w:val="0"/>
                <w:sz w:val="22"/>
                <w:szCs w:val="22"/>
              </w:rPr>
              <w:t>联合体协议书（如有，非联合体无需提供）</w:t>
            </w:r>
          </w:p>
        </w:tc>
        <w:tc>
          <w:tcPr>
            <w:tcW w:w="1523" w:type="dxa"/>
            <w:vMerge w:val="restart"/>
            <w:vAlign w:val="center"/>
          </w:tcPr>
          <w:p>
            <w:pPr>
              <w:spacing w:line="360" w:lineRule="auto"/>
              <w:jc w:val="center"/>
              <w:rPr>
                <w:rFonts w:ascii="宋体" w:cs="新宋体"/>
                <w:bCs/>
                <w:color w:val="auto"/>
                <w:sz w:val="22"/>
                <w:szCs w:val="22"/>
              </w:rPr>
            </w:pPr>
            <w:r>
              <w:rPr>
                <w:rFonts w:hint="eastAsia" w:ascii="宋体" w:hAnsi="宋体" w:cs="新宋体"/>
                <w:bCs/>
                <w:color w:val="auto"/>
                <w:sz w:val="22"/>
                <w:szCs w:val="22"/>
              </w:rPr>
              <w:t>附件一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17" w:type="dxa"/>
            <w:vAlign w:val="center"/>
          </w:tcPr>
          <w:p>
            <w:pPr>
              <w:overflowPunct w:val="0"/>
              <w:spacing w:line="360" w:lineRule="auto"/>
              <w:jc w:val="center"/>
              <w:rPr>
                <w:rFonts w:ascii="宋体" w:cs="新宋体"/>
                <w:bCs/>
                <w:color w:val="auto"/>
                <w:sz w:val="22"/>
                <w:szCs w:val="22"/>
              </w:rPr>
            </w:pPr>
            <w:r>
              <w:rPr>
                <w:rFonts w:ascii="宋体" w:hAnsi="宋体" w:cs="新宋体"/>
                <w:bCs/>
                <w:color w:val="auto"/>
                <w:sz w:val="22"/>
                <w:szCs w:val="22"/>
              </w:rPr>
              <w:t>3</w:t>
            </w:r>
          </w:p>
        </w:tc>
        <w:tc>
          <w:tcPr>
            <w:tcW w:w="7514" w:type="dxa"/>
            <w:vAlign w:val="center"/>
          </w:tcPr>
          <w:p>
            <w:pPr>
              <w:spacing w:line="360" w:lineRule="auto"/>
              <w:rPr>
                <w:rFonts w:ascii="宋体" w:cs="新宋体"/>
                <w:bCs/>
                <w:color w:val="auto"/>
                <w:sz w:val="22"/>
                <w:szCs w:val="22"/>
              </w:rPr>
            </w:pPr>
            <w:r>
              <w:rPr>
                <w:rFonts w:hint="eastAsia" w:ascii="宋体" w:cs="新宋体"/>
                <w:bCs/>
                <w:color w:val="auto"/>
                <w:sz w:val="22"/>
                <w:szCs w:val="22"/>
              </w:rPr>
              <w:t>法定代表人声明书或法定代表人授权书</w:t>
            </w:r>
          </w:p>
        </w:tc>
        <w:tc>
          <w:tcPr>
            <w:tcW w:w="1523" w:type="dxa"/>
            <w:vMerge w:val="continue"/>
            <w:vAlign w:val="center"/>
          </w:tcPr>
          <w:p>
            <w:pPr>
              <w:spacing w:line="360" w:lineRule="auto"/>
              <w:jc w:val="center"/>
              <w:rPr>
                <w:rFonts w:ascii="宋体" w:cs="新宋体"/>
                <w:bCs/>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17" w:type="dxa"/>
            <w:vAlign w:val="center"/>
          </w:tcPr>
          <w:p>
            <w:pPr>
              <w:overflowPunct w:val="0"/>
              <w:spacing w:line="360" w:lineRule="auto"/>
              <w:jc w:val="center"/>
              <w:rPr>
                <w:rFonts w:ascii="宋体" w:cs="新宋体"/>
                <w:bCs/>
                <w:color w:val="auto"/>
                <w:sz w:val="22"/>
                <w:szCs w:val="22"/>
              </w:rPr>
            </w:pPr>
            <w:r>
              <w:rPr>
                <w:rFonts w:ascii="宋体" w:hAnsi="宋体" w:cs="新宋体"/>
                <w:bCs/>
                <w:color w:val="auto"/>
                <w:sz w:val="22"/>
                <w:szCs w:val="22"/>
              </w:rPr>
              <w:t>4</w:t>
            </w:r>
          </w:p>
        </w:tc>
        <w:tc>
          <w:tcPr>
            <w:tcW w:w="7514" w:type="dxa"/>
            <w:vAlign w:val="center"/>
          </w:tcPr>
          <w:p>
            <w:pPr>
              <w:spacing w:line="360" w:lineRule="auto"/>
              <w:rPr>
                <w:rFonts w:ascii="宋体" w:cs="新宋体"/>
                <w:bCs/>
                <w:color w:val="auto"/>
                <w:sz w:val="22"/>
                <w:szCs w:val="22"/>
              </w:rPr>
            </w:pPr>
            <w:r>
              <w:rPr>
                <w:rFonts w:hint="eastAsia" w:ascii="宋体" w:cs="新宋体"/>
                <w:bCs/>
                <w:color w:val="auto"/>
                <w:sz w:val="22"/>
                <w:szCs w:val="22"/>
              </w:rPr>
              <w:t>投标人参与政府采购活动投标资格声明函</w:t>
            </w:r>
          </w:p>
        </w:tc>
        <w:tc>
          <w:tcPr>
            <w:tcW w:w="1523" w:type="dxa"/>
            <w:vMerge w:val="continue"/>
            <w:vAlign w:val="center"/>
          </w:tcPr>
          <w:p>
            <w:pPr>
              <w:spacing w:line="360" w:lineRule="auto"/>
              <w:jc w:val="center"/>
              <w:rPr>
                <w:rFonts w:ascii="宋体"/>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17" w:type="dxa"/>
            <w:vAlign w:val="center"/>
          </w:tcPr>
          <w:p>
            <w:pPr>
              <w:overflowPunct w:val="0"/>
              <w:spacing w:line="360" w:lineRule="auto"/>
              <w:jc w:val="center"/>
              <w:rPr>
                <w:rFonts w:ascii="宋体" w:cs="新宋体"/>
                <w:bCs/>
                <w:color w:val="auto"/>
                <w:sz w:val="22"/>
                <w:szCs w:val="22"/>
              </w:rPr>
            </w:pPr>
            <w:r>
              <w:rPr>
                <w:rFonts w:hint="eastAsia" w:ascii="宋体" w:cs="新宋体"/>
                <w:bCs/>
                <w:color w:val="auto"/>
                <w:sz w:val="22"/>
                <w:szCs w:val="22"/>
              </w:rPr>
              <w:t>5</w:t>
            </w:r>
          </w:p>
        </w:tc>
        <w:tc>
          <w:tcPr>
            <w:tcW w:w="7514" w:type="dxa"/>
            <w:vAlign w:val="center"/>
          </w:tcPr>
          <w:p>
            <w:pPr>
              <w:spacing w:line="360" w:lineRule="auto"/>
              <w:rPr>
                <w:rFonts w:ascii="宋体" w:cs="新宋体"/>
                <w:bCs/>
                <w:color w:val="auto"/>
                <w:sz w:val="22"/>
                <w:szCs w:val="22"/>
              </w:rPr>
            </w:pPr>
            <w:r>
              <w:rPr>
                <w:rFonts w:hint="eastAsia" w:ascii="宋体" w:cs="新宋体"/>
                <w:bCs/>
                <w:color w:val="auto"/>
                <w:sz w:val="22"/>
                <w:szCs w:val="22"/>
              </w:rPr>
              <w:t>诚信投标承诺书</w:t>
            </w:r>
          </w:p>
        </w:tc>
        <w:tc>
          <w:tcPr>
            <w:tcW w:w="1523" w:type="dxa"/>
            <w:vMerge w:val="continue"/>
            <w:vAlign w:val="center"/>
          </w:tcPr>
          <w:p>
            <w:pPr>
              <w:spacing w:line="360" w:lineRule="auto"/>
              <w:jc w:val="center"/>
              <w:rPr>
                <w:rFonts w:ascii="宋体"/>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17" w:type="dxa"/>
            <w:vAlign w:val="center"/>
          </w:tcPr>
          <w:p>
            <w:pPr>
              <w:overflowPunct w:val="0"/>
              <w:spacing w:line="360" w:lineRule="auto"/>
              <w:jc w:val="center"/>
              <w:rPr>
                <w:rFonts w:ascii="宋体" w:cs="新宋体"/>
                <w:bCs/>
                <w:color w:val="auto"/>
                <w:sz w:val="22"/>
                <w:szCs w:val="22"/>
              </w:rPr>
            </w:pPr>
            <w:r>
              <w:rPr>
                <w:rFonts w:hint="eastAsia" w:ascii="宋体" w:cs="新宋体"/>
                <w:bCs/>
                <w:color w:val="auto"/>
                <w:sz w:val="22"/>
                <w:szCs w:val="22"/>
              </w:rPr>
              <w:t>6</w:t>
            </w:r>
          </w:p>
        </w:tc>
        <w:tc>
          <w:tcPr>
            <w:tcW w:w="7514" w:type="dxa"/>
            <w:vAlign w:val="center"/>
          </w:tcPr>
          <w:p>
            <w:pPr>
              <w:spacing w:line="360" w:lineRule="auto"/>
              <w:rPr>
                <w:rFonts w:ascii="宋体" w:cs="新宋体"/>
                <w:bCs/>
                <w:color w:val="auto"/>
                <w:sz w:val="22"/>
                <w:szCs w:val="22"/>
              </w:rPr>
            </w:pPr>
            <w:r>
              <w:rPr>
                <w:rFonts w:hint="eastAsia" w:ascii="宋体" w:hAnsi="宋体" w:cs="新宋体"/>
                <w:bCs/>
                <w:color w:val="auto"/>
                <w:sz w:val="22"/>
                <w:szCs w:val="22"/>
              </w:rPr>
              <w:t>投标人“信用中国”</w:t>
            </w:r>
            <w:r>
              <w:rPr>
                <w:rFonts w:ascii="宋体" w:hAnsi="宋体" w:cs="新宋体"/>
                <w:bCs/>
                <w:color w:val="auto"/>
                <w:sz w:val="22"/>
                <w:szCs w:val="22"/>
              </w:rPr>
              <w:t>(www.creditchina.gov.cn)</w:t>
            </w:r>
            <w:r>
              <w:rPr>
                <w:rFonts w:hint="eastAsia" w:ascii="宋体" w:hAnsi="宋体" w:cs="新宋体"/>
                <w:bCs/>
                <w:color w:val="auto"/>
                <w:sz w:val="22"/>
                <w:szCs w:val="22"/>
              </w:rPr>
              <w:t>；“中国政府采购网”（</w:t>
            </w:r>
            <w:r>
              <w:rPr>
                <w:rFonts w:ascii="宋体" w:hAnsi="宋体" w:cs="新宋体"/>
                <w:bCs/>
                <w:color w:val="auto"/>
                <w:sz w:val="22"/>
                <w:szCs w:val="22"/>
              </w:rPr>
              <w:t>http://www.ccgp.gov.cn/</w:t>
            </w:r>
            <w:r>
              <w:rPr>
                <w:rFonts w:hint="eastAsia" w:ascii="宋体" w:hAnsi="宋体" w:cs="新宋体"/>
                <w:bCs/>
                <w:color w:val="auto"/>
                <w:sz w:val="22"/>
                <w:szCs w:val="22"/>
              </w:rPr>
              <w:t>）信用记录网页截图（采购公告发布之日至投标截止时间前）；</w:t>
            </w:r>
          </w:p>
        </w:tc>
        <w:tc>
          <w:tcPr>
            <w:tcW w:w="1523" w:type="dxa"/>
            <w:vAlign w:val="center"/>
          </w:tcPr>
          <w:p>
            <w:pPr>
              <w:spacing w:line="360" w:lineRule="auto"/>
              <w:jc w:val="center"/>
              <w:rPr>
                <w:rFonts w:ascii="宋体" w:cs="新宋体"/>
                <w:bCs/>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17" w:type="dxa"/>
            <w:vAlign w:val="center"/>
          </w:tcPr>
          <w:p>
            <w:pPr>
              <w:overflowPunct w:val="0"/>
              <w:spacing w:line="360" w:lineRule="auto"/>
              <w:jc w:val="center"/>
              <w:rPr>
                <w:rFonts w:ascii="宋体" w:cs="新宋体"/>
                <w:bCs/>
                <w:color w:val="auto"/>
                <w:sz w:val="22"/>
                <w:szCs w:val="22"/>
              </w:rPr>
            </w:pPr>
            <w:r>
              <w:rPr>
                <w:rFonts w:hint="eastAsia" w:ascii="宋体" w:cs="新宋体"/>
                <w:bCs/>
                <w:color w:val="auto"/>
                <w:sz w:val="22"/>
                <w:szCs w:val="22"/>
              </w:rPr>
              <w:t>7</w:t>
            </w:r>
          </w:p>
        </w:tc>
        <w:tc>
          <w:tcPr>
            <w:tcW w:w="7514" w:type="dxa"/>
            <w:vAlign w:val="center"/>
          </w:tcPr>
          <w:p>
            <w:pPr>
              <w:spacing w:line="360" w:lineRule="auto"/>
              <w:rPr>
                <w:rFonts w:ascii="宋体" w:hAnsi="宋体" w:cs="新宋体"/>
                <w:bCs/>
                <w:color w:val="auto"/>
                <w:sz w:val="22"/>
                <w:szCs w:val="22"/>
              </w:rPr>
            </w:pPr>
            <w:r>
              <w:rPr>
                <w:rFonts w:hint="eastAsia" w:ascii="宋体" w:hAnsi="宋体" w:cs="新宋体"/>
                <w:bCs/>
                <w:color w:val="auto"/>
                <w:sz w:val="22"/>
                <w:szCs w:val="22"/>
              </w:rPr>
              <w:t>投标人认为其他需要提交的资料</w:t>
            </w:r>
          </w:p>
        </w:tc>
        <w:tc>
          <w:tcPr>
            <w:tcW w:w="1523" w:type="dxa"/>
            <w:vAlign w:val="center"/>
          </w:tcPr>
          <w:p>
            <w:pPr>
              <w:spacing w:line="360" w:lineRule="auto"/>
              <w:jc w:val="center"/>
              <w:rPr>
                <w:rFonts w:ascii="宋体" w:cs="新宋体"/>
                <w:bCs/>
                <w:color w:val="auto"/>
                <w:sz w:val="22"/>
                <w:szCs w:val="22"/>
              </w:rPr>
            </w:pPr>
          </w:p>
        </w:tc>
      </w:tr>
    </w:tbl>
    <w:p>
      <w:pPr>
        <w:spacing w:line="360" w:lineRule="auto"/>
        <w:ind w:left="178" w:leftChars="85" w:firstLine="0" w:firstLineChars="0"/>
        <w:rPr>
          <w:rFonts w:ascii="宋体" w:cs="楷体"/>
          <w:b/>
          <w:color w:val="auto"/>
          <w:sz w:val="22"/>
          <w:szCs w:val="22"/>
        </w:rPr>
      </w:pPr>
      <w:r>
        <w:rPr>
          <w:rFonts w:hint="eastAsia" w:ascii="宋体" w:hAnsi="宋体" w:cs="楷体"/>
          <w:b/>
          <w:color w:val="auto"/>
          <w:sz w:val="22"/>
          <w:szCs w:val="22"/>
        </w:rPr>
        <w:t>备注：</w:t>
      </w:r>
    </w:p>
    <w:p>
      <w:pPr>
        <w:numPr>
          <w:ilvl w:val="0"/>
          <w:numId w:val="10"/>
        </w:numPr>
        <w:spacing w:line="360" w:lineRule="auto"/>
        <w:ind w:left="567" w:hanging="510"/>
        <w:rPr>
          <w:rFonts w:ascii="宋体" w:cs="楷体"/>
          <w:b/>
          <w:color w:val="auto"/>
          <w:sz w:val="22"/>
          <w:szCs w:val="22"/>
        </w:rPr>
      </w:pPr>
      <w:r>
        <w:rPr>
          <w:rFonts w:hint="eastAsia" w:ascii="宋体" w:hAnsi="宋体" w:cs="新宋体"/>
          <w:color w:val="auto"/>
          <w:sz w:val="22"/>
          <w:szCs w:val="22"/>
        </w:rPr>
        <w:t>金融、保险、通讯等特定行业的全国性企业所设立的区域性分支机构，以及个体工商户、个人独资企业、合伙企业，如果已经依法办理了工商、税务和社保登记手续，并且获得</w:t>
      </w:r>
      <w:r>
        <w:rPr>
          <w:rFonts w:hint="eastAsia" w:ascii="宋体" w:hAnsi="宋体" w:cs="新宋体"/>
          <w:b/>
          <w:bCs/>
          <w:color w:val="auto"/>
          <w:sz w:val="22"/>
          <w:szCs w:val="22"/>
        </w:rPr>
        <w:t>总公司（总机构）授权或能够提供房产权证或其他有效财产证明材料（在投标文件中提供相关材料）</w:t>
      </w:r>
      <w:r>
        <w:rPr>
          <w:rFonts w:hint="eastAsia" w:ascii="宋体" w:hAnsi="宋体" w:cs="新宋体"/>
          <w:color w:val="auto"/>
          <w:sz w:val="22"/>
          <w:szCs w:val="22"/>
        </w:rPr>
        <w:t>，证明其具备实际承担责任的能力和法定的缔结合同能力，可以独立参加政府采购活动，由单位负责人签署相关文件材料；</w:t>
      </w:r>
    </w:p>
    <w:p>
      <w:pPr>
        <w:numPr>
          <w:ilvl w:val="0"/>
          <w:numId w:val="10"/>
        </w:numPr>
        <w:spacing w:line="360" w:lineRule="auto"/>
        <w:ind w:left="567" w:hanging="510"/>
        <w:rPr>
          <w:rFonts w:ascii="宋体" w:hAnsi="宋体" w:cs="宋体"/>
          <w:color w:val="auto"/>
        </w:rPr>
      </w:pPr>
      <w:r>
        <w:rPr>
          <w:rFonts w:hint="eastAsia" w:ascii="宋体" w:hAnsi="宋体" w:cs="宋体"/>
          <w:b/>
          <w:bCs/>
          <w:color w:val="auto"/>
          <w:sz w:val="22"/>
          <w:szCs w:val="22"/>
        </w:rPr>
        <w:t>如为联合体，1与3至6项材料联合体双方均需提供。</w:t>
      </w:r>
    </w:p>
    <w:p>
      <w:pPr>
        <w:spacing w:line="360" w:lineRule="auto"/>
        <w:rPr>
          <w:rFonts w:ascii="宋体" w:cs="hakuyoxingshu7000"/>
          <w:b/>
          <w:color w:val="auto"/>
          <w:kern w:val="0"/>
          <w:sz w:val="22"/>
          <w:szCs w:val="22"/>
        </w:rPr>
      </w:pPr>
      <w:r>
        <w:rPr>
          <w:rFonts w:hint="eastAsia" w:ascii="宋体" w:hAnsi="宋体" w:cs="hakuyoxingshu7000"/>
          <w:b/>
          <w:color w:val="auto"/>
          <w:sz w:val="22"/>
          <w:szCs w:val="22"/>
        </w:rPr>
        <w:t>（</w:t>
      </w:r>
      <w:r>
        <w:rPr>
          <w:rFonts w:ascii="宋体" w:hAnsi="宋体" w:cs="hakuyoxingshu7000"/>
          <w:b/>
          <w:color w:val="auto"/>
          <w:sz w:val="22"/>
          <w:szCs w:val="22"/>
        </w:rPr>
        <w:t>2</w:t>
      </w:r>
      <w:r>
        <w:rPr>
          <w:rFonts w:hint="eastAsia" w:ascii="宋体" w:hAnsi="宋体" w:cs="hakuyoxingshu7000"/>
          <w:b/>
          <w:color w:val="auto"/>
          <w:sz w:val="22"/>
          <w:szCs w:val="22"/>
        </w:rPr>
        <w:t>）</w:t>
      </w:r>
      <w:r>
        <w:rPr>
          <w:rFonts w:hint="eastAsia" w:ascii="宋体" w:hAnsi="宋体" w:cs="hakuyoxingshu7000"/>
          <w:b/>
          <w:color w:val="auto"/>
          <w:kern w:val="0"/>
          <w:sz w:val="22"/>
          <w:szCs w:val="22"/>
        </w:rPr>
        <w:t>报价文件</w:t>
      </w:r>
    </w:p>
    <w:tbl>
      <w:tblPr>
        <w:tblStyle w:val="63"/>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513"/>
        <w:gridCol w:w="15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spacing w:line="360" w:lineRule="auto"/>
              <w:jc w:val="center"/>
              <w:rPr>
                <w:rFonts w:ascii="宋体" w:cs="hakuyoxingshu7000"/>
                <w:color w:val="auto"/>
                <w:kern w:val="0"/>
                <w:sz w:val="22"/>
                <w:szCs w:val="22"/>
              </w:rPr>
            </w:pPr>
            <w:r>
              <w:rPr>
                <w:rFonts w:hint="eastAsia" w:ascii="宋体" w:hAnsi="宋体" w:cs="hakuyoxingshu7000"/>
                <w:color w:val="auto"/>
                <w:kern w:val="0"/>
                <w:sz w:val="22"/>
                <w:szCs w:val="22"/>
              </w:rPr>
              <w:t>序号</w:t>
            </w:r>
          </w:p>
        </w:tc>
        <w:tc>
          <w:tcPr>
            <w:tcW w:w="7513" w:type="dxa"/>
            <w:vAlign w:val="center"/>
          </w:tcPr>
          <w:p>
            <w:pPr>
              <w:spacing w:line="360" w:lineRule="auto"/>
              <w:rPr>
                <w:rFonts w:ascii="宋体" w:cs="hakuyoxingshu7000"/>
                <w:color w:val="auto"/>
                <w:kern w:val="0"/>
                <w:sz w:val="22"/>
                <w:szCs w:val="22"/>
              </w:rPr>
            </w:pPr>
            <w:r>
              <w:rPr>
                <w:rFonts w:hint="eastAsia" w:ascii="宋体" w:hAnsi="宋体" w:cs="hakuyoxingshu7000"/>
                <w:color w:val="auto"/>
                <w:kern w:val="0"/>
                <w:sz w:val="22"/>
                <w:szCs w:val="22"/>
              </w:rPr>
              <w:t>内容</w:t>
            </w:r>
          </w:p>
        </w:tc>
        <w:tc>
          <w:tcPr>
            <w:tcW w:w="1524" w:type="dxa"/>
            <w:vAlign w:val="center"/>
          </w:tcPr>
          <w:p>
            <w:pPr>
              <w:spacing w:line="360" w:lineRule="auto"/>
              <w:jc w:val="center"/>
              <w:rPr>
                <w:rFonts w:ascii="宋体" w:cs="hakuyoxingshu7000"/>
                <w:color w:val="auto"/>
                <w:kern w:val="0"/>
                <w:sz w:val="22"/>
                <w:szCs w:val="22"/>
              </w:rPr>
            </w:pPr>
            <w:r>
              <w:rPr>
                <w:rFonts w:hint="eastAsia" w:ascii="宋体" w:hAnsi="宋体" w:cs="hakuyoxingshu7000"/>
                <w:color w:val="auto"/>
                <w:kern w:val="0"/>
                <w:sz w:val="22"/>
                <w:szCs w:val="2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spacing w:line="360" w:lineRule="auto"/>
              <w:jc w:val="center"/>
              <w:rPr>
                <w:rFonts w:ascii="宋体" w:cs="hakuyoxingshu7000"/>
                <w:color w:val="auto"/>
                <w:kern w:val="0"/>
                <w:sz w:val="22"/>
                <w:szCs w:val="22"/>
              </w:rPr>
            </w:pPr>
            <w:r>
              <w:rPr>
                <w:rFonts w:ascii="宋体" w:hAnsi="宋体" w:cs="hakuyoxingshu7000"/>
                <w:color w:val="auto"/>
                <w:kern w:val="0"/>
                <w:sz w:val="22"/>
                <w:szCs w:val="22"/>
              </w:rPr>
              <w:t>1</w:t>
            </w:r>
          </w:p>
        </w:tc>
        <w:tc>
          <w:tcPr>
            <w:tcW w:w="7513" w:type="dxa"/>
            <w:vAlign w:val="center"/>
          </w:tcPr>
          <w:p>
            <w:pPr>
              <w:spacing w:line="360" w:lineRule="auto"/>
              <w:rPr>
                <w:rFonts w:ascii="宋体" w:cs="hakuyoxingshu7000"/>
                <w:color w:val="auto"/>
                <w:kern w:val="0"/>
                <w:sz w:val="22"/>
                <w:szCs w:val="22"/>
              </w:rPr>
            </w:pPr>
            <w:r>
              <w:rPr>
                <w:rFonts w:hint="eastAsia" w:ascii="宋体" w:hAnsi="宋体" w:cs="hakuyoxingshu7000"/>
                <w:color w:val="auto"/>
                <w:kern w:val="0"/>
                <w:sz w:val="22"/>
                <w:szCs w:val="22"/>
              </w:rPr>
              <w:t>开标一览表</w:t>
            </w:r>
          </w:p>
        </w:tc>
        <w:tc>
          <w:tcPr>
            <w:tcW w:w="1524" w:type="dxa"/>
            <w:vMerge w:val="restart"/>
            <w:vAlign w:val="center"/>
          </w:tcPr>
          <w:p>
            <w:pPr>
              <w:spacing w:line="360" w:lineRule="auto"/>
              <w:jc w:val="center"/>
              <w:rPr>
                <w:rFonts w:ascii="宋体" w:cs="hakuyoxingshu7000"/>
                <w:color w:val="auto"/>
                <w:kern w:val="0"/>
                <w:sz w:val="22"/>
                <w:szCs w:val="22"/>
              </w:rPr>
            </w:pPr>
            <w:r>
              <w:rPr>
                <w:rFonts w:hint="eastAsia" w:ascii="宋体" w:hAnsi="宋体" w:cs="hakuyoxingshu7000"/>
                <w:color w:val="auto"/>
                <w:kern w:val="0"/>
                <w:sz w:val="22"/>
                <w:szCs w:val="22"/>
              </w:rPr>
              <w:t>附件二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spacing w:line="360" w:lineRule="auto"/>
              <w:jc w:val="center"/>
              <w:rPr>
                <w:rFonts w:ascii="宋体" w:cs="hakuyoxingshu7000"/>
                <w:color w:val="auto"/>
                <w:kern w:val="0"/>
                <w:sz w:val="22"/>
                <w:szCs w:val="22"/>
              </w:rPr>
            </w:pPr>
            <w:r>
              <w:rPr>
                <w:rFonts w:ascii="宋体" w:hAnsi="宋体" w:cs="hakuyoxingshu7000"/>
                <w:color w:val="auto"/>
                <w:kern w:val="0"/>
                <w:sz w:val="22"/>
                <w:szCs w:val="22"/>
              </w:rPr>
              <w:t>2</w:t>
            </w:r>
          </w:p>
        </w:tc>
        <w:tc>
          <w:tcPr>
            <w:tcW w:w="7513" w:type="dxa"/>
            <w:vAlign w:val="center"/>
          </w:tcPr>
          <w:p>
            <w:pPr>
              <w:spacing w:line="360" w:lineRule="auto"/>
              <w:jc w:val="left"/>
              <w:rPr>
                <w:rFonts w:ascii="宋体" w:cs="hakuyoxingshu7000"/>
                <w:color w:val="auto"/>
                <w:kern w:val="0"/>
                <w:sz w:val="22"/>
                <w:szCs w:val="22"/>
              </w:rPr>
            </w:pPr>
            <w:r>
              <w:rPr>
                <w:rFonts w:hint="eastAsia" w:ascii="宋体" w:hAnsi="宋体" w:cs="hakuyoxingshu7000"/>
                <w:color w:val="auto"/>
                <w:kern w:val="0"/>
                <w:sz w:val="22"/>
                <w:szCs w:val="22"/>
              </w:rPr>
              <w:t>分项报价表</w:t>
            </w:r>
          </w:p>
        </w:tc>
        <w:tc>
          <w:tcPr>
            <w:tcW w:w="1524" w:type="dxa"/>
            <w:vMerge w:val="continue"/>
            <w:vAlign w:val="center"/>
          </w:tcPr>
          <w:p>
            <w:pPr>
              <w:spacing w:line="360" w:lineRule="auto"/>
              <w:jc w:val="center"/>
              <w:rPr>
                <w:rFonts w:ascii="宋体" w:cs="hakuyoxingshu7000"/>
                <w:color w:val="auto"/>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spacing w:line="360" w:lineRule="auto"/>
              <w:jc w:val="center"/>
              <w:rPr>
                <w:rFonts w:ascii="宋体" w:hAnsi="宋体" w:cs="hakuyoxingshu7000"/>
                <w:color w:val="auto"/>
                <w:kern w:val="0"/>
                <w:sz w:val="22"/>
                <w:szCs w:val="22"/>
              </w:rPr>
            </w:pPr>
            <w:r>
              <w:rPr>
                <w:rFonts w:hint="eastAsia" w:ascii="宋体" w:hAnsi="宋体" w:cs="仿宋"/>
                <w:color w:val="auto"/>
                <w:sz w:val="22"/>
                <w:szCs w:val="22"/>
              </w:rPr>
              <w:t>3</w:t>
            </w:r>
          </w:p>
        </w:tc>
        <w:tc>
          <w:tcPr>
            <w:tcW w:w="7513" w:type="dxa"/>
            <w:vAlign w:val="center"/>
          </w:tcPr>
          <w:p>
            <w:pPr>
              <w:spacing w:line="360" w:lineRule="auto"/>
              <w:rPr>
                <w:rFonts w:ascii="宋体" w:hAnsi="宋体" w:cs="新宋体"/>
                <w:bCs/>
                <w:color w:val="auto"/>
                <w:sz w:val="22"/>
                <w:szCs w:val="22"/>
              </w:rPr>
            </w:pPr>
            <w:r>
              <w:rPr>
                <w:rFonts w:hint="eastAsia" w:ascii="宋体" w:cs="新宋体"/>
                <w:bCs/>
                <w:color w:val="auto"/>
                <w:sz w:val="22"/>
                <w:szCs w:val="22"/>
              </w:rPr>
              <w:t>小微企业（或监狱企业、残疾人福利单位）声明函</w:t>
            </w:r>
          </w:p>
        </w:tc>
        <w:tc>
          <w:tcPr>
            <w:tcW w:w="1524" w:type="dxa"/>
            <w:vAlign w:val="center"/>
          </w:tcPr>
          <w:p>
            <w:pPr>
              <w:spacing w:line="360" w:lineRule="auto"/>
              <w:jc w:val="center"/>
              <w:rPr>
                <w:rFonts w:hint="eastAsia" w:ascii="宋体" w:hAnsi="宋体" w:eastAsia="宋体" w:cs="hakuyoxingshu7000"/>
                <w:color w:val="auto"/>
                <w:kern w:val="0"/>
                <w:sz w:val="22"/>
                <w:szCs w:val="22"/>
                <w:lang w:val="en-US" w:eastAsia="zh-CN"/>
              </w:rPr>
            </w:pPr>
            <w:r>
              <w:rPr>
                <w:rFonts w:hint="eastAsia" w:ascii="宋体" w:hAnsi="宋体" w:cs="hakuyoxingshu7000"/>
                <w:color w:val="auto"/>
                <w:kern w:val="0"/>
                <w:sz w:val="22"/>
                <w:szCs w:val="22"/>
              </w:rPr>
              <w:t>附件</w:t>
            </w:r>
            <w:r>
              <w:rPr>
                <w:rFonts w:hint="eastAsia" w:ascii="宋体" w:hAnsi="宋体" w:cs="hakuyoxingshu7000"/>
                <w:color w:val="auto"/>
                <w:kern w:val="0"/>
                <w:sz w:val="22"/>
                <w:szCs w:val="22"/>
                <w:lang w:val="en-US" w:eastAsia="zh-CN"/>
              </w:rPr>
              <w:t>五</w:t>
            </w:r>
          </w:p>
        </w:tc>
      </w:tr>
    </w:tbl>
    <w:p>
      <w:pPr>
        <w:spacing w:line="360" w:lineRule="auto"/>
        <w:ind w:left="178" w:leftChars="85" w:firstLine="0" w:firstLineChars="0"/>
        <w:rPr>
          <w:rFonts w:ascii="宋体" w:cs="hakuyoxingshu7000"/>
          <w:b/>
          <w:color w:val="auto"/>
          <w:sz w:val="22"/>
          <w:szCs w:val="22"/>
        </w:rPr>
      </w:pPr>
      <w:r>
        <w:rPr>
          <w:rFonts w:hint="eastAsia" w:ascii="宋体" w:hAnsi="宋体" w:cs="hakuyoxingshu7000"/>
          <w:b/>
          <w:color w:val="auto"/>
          <w:kern w:val="0"/>
          <w:sz w:val="22"/>
          <w:szCs w:val="22"/>
        </w:rPr>
        <w:t>（</w:t>
      </w:r>
      <w:r>
        <w:rPr>
          <w:rFonts w:ascii="宋体" w:hAnsi="宋体" w:cs="hakuyoxingshu7000"/>
          <w:b/>
          <w:color w:val="auto"/>
          <w:kern w:val="0"/>
          <w:sz w:val="22"/>
          <w:szCs w:val="22"/>
        </w:rPr>
        <w:t>3</w:t>
      </w:r>
      <w:r>
        <w:rPr>
          <w:rFonts w:hint="eastAsia" w:ascii="宋体" w:hAnsi="宋体" w:cs="hakuyoxingshu7000"/>
          <w:b/>
          <w:color w:val="auto"/>
          <w:kern w:val="0"/>
          <w:sz w:val="22"/>
          <w:szCs w:val="22"/>
        </w:rPr>
        <w:t>）</w:t>
      </w:r>
      <w:r>
        <w:rPr>
          <w:rFonts w:hint="eastAsia" w:ascii="宋体" w:hAnsi="宋体" w:cs="hakuyoxingshu7000"/>
          <w:b/>
          <w:color w:val="auto"/>
          <w:sz w:val="22"/>
          <w:szCs w:val="22"/>
        </w:rPr>
        <w:t>商务技术文件</w:t>
      </w:r>
    </w:p>
    <w:tbl>
      <w:tblPr>
        <w:tblStyle w:val="63"/>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513"/>
        <w:gridCol w:w="15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817" w:type="dxa"/>
            <w:vAlign w:val="center"/>
          </w:tcPr>
          <w:p>
            <w:pPr>
              <w:spacing w:line="360" w:lineRule="auto"/>
              <w:jc w:val="center"/>
              <w:rPr>
                <w:rFonts w:ascii="宋体" w:cs="仿宋"/>
                <w:b/>
                <w:color w:val="auto"/>
                <w:sz w:val="22"/>
                <w:szCs w:val="22"/>
              </w:rPr>
            </w:pPr>
            <w:r>
              <w:rPr>
                <w:rFonts w:hint="eastAsia" w:ascii="宋体" w:hAnsi="宋体" w:cs="仿宋"/>
                <w:b/>
                <w:color w:val="auto"/>
                <w:sz w:val="22"/>
                <w:szCs w:val="22"/>
              </w:rPr>
              <w:t>序号</w:t>
            </w:r>
          </w:p>
        </w:tc>
        <w:tc>
          <w:tcPr>
            <w:tcW w:w="7513" w:type="dxa"/>
            <w:vAlign w:val="center"/>
          </w:tcPr>
          <w:p>
            <w:pPr>
              <w:spacing w:line="360" w:lineRule="auto"/>
              <w:rPr>
                <w:rFonts w:ascii="宋体" w:cs="仿宋"/>
                <w:b/>
                <w:color w:val="auto"/>
                <w:sz w:val="22"/>
                <w:szCs w:val="22"/>
              </w:rPr>
            </w:pPr>
            <w:r>
              <w:rPr>
                <w:rFonts w:hint="eastAsia" w:ascii="宋体" w:hAnsi="宋体" w:cs="仿宋"/>
                <w:b/>
                <w:color w:val="auto"/>
                <w:sz w:val="22"/>
                <w:szCs w:val="22"/>
              </w:rPr>
              <w:t>内容</w:t>
            </w:r>
          </w:p>
        </w:tc>
        <w:tc>
          <w:tcPr>
            <w:tcW w:w="1524" w:type="dxa"/>
            <w:vAlign w:val="center"/>
          </w:tcPr>
          <w:p>
            <w:pPr>
              <w:spacing w:line="360" w:lineRule="auto"/>
              <w:jc w:val="center"/>
              <w:rPr>
                <w:rFonts w:ascii="宋体" w:cs="仿宋"/>
                <w:b/>
                <w:color w:val="auto"/>
                <w:sz w:val="22"/>
                <w:szCs w:val="22"/>
              </w:rPr>
            </w:pPr>
            <w:r>
              <w:rPr>
                <w:rFonts w:hint="eastAsia" w:ascii="宋体" w:hAnsi="宋体" w:cs="仿宋"/>
                <w:b/>
                <w:color w:val="auto"/>
                <w:sz w:val="22"/>
                <w:szCs w:val="2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pPr>
              <w:spacing w:line="360" w:lineRule="auto"/>
              <w:jc w:val="center"/>
              <w:rPr>
                <w:rFonts w:ascii="宋体" w:cs="仿宋"/>
                <w:color w:val="auto"/>
                <w:sz w:val="22"/>
                <w:szCs w:val="22"/>
              </w:rPr>
            </w:pPr>
            <w:r>
              <w:rPr>
                <w:rFonts w:ascii="宋体" w:hAnsi="宋体" w:cs="仿宋"/>
                <w:color w:val="auto"/>
                <w:sz w:val="22"/>
                <w:szCs w:val="22"/>
              </w:rPr>
              <w:t>1</w:t>
            </w:r>
          </w:p>
        </w:tc>
        <w:tc>
          <w:tcPr>
            <w:tcW w:w="7513" w:type="dxa"/>
            <w:vAlign w:val="center"/>
          </w:tcPr>
          <w:p>
            <w:pPr>
              <w:spacing w:line="360" w:lineRule="auto"/>
              <w:rPr>
                <w:rFonts w:ascii="宋体" w:cs="仿宋"/>
                <w:color w:val="auto"/>
                <w:sz w:val="22"/>
                <w:szCs w:val="22"/>
              </w:rPr>
            </w:pPr>
            <w:r>
              <w:rPr>
                <w:rFonts w:hint="eastAsia" w:ascii="宋体" w:hAnsi="宋体" w:cs="仿宋"/>
                <w:color w:val="auto"/>
                <w:sz w:val="22"/>
                <w:szCs w:val="22"/>
              </w:rPr>
              <w:t>投标函</w:t>
            </w:r>
          </w:p>
        </w:tc>
        <w:tc>
          <w:tcPr>
            <w:tcW w:w="1524" w:type="dxa"/>
            <w:vAlign w:val="center"/>
          </w:tcPr>
          <w:p>
            <w:pPr>
              <w:spacing w:line="360" w:lineRule="auto"/>
              <w:jc w:val="center"/>
              <w:rPr>
                <w:rFonts w:ascii="宋体" w:cs="hakuyoxingshu7000"/>
                <w:color w:val="auto"/>
                <w:kern w:val="0"/>
                <w:sz w:val="22"/>
                <w:szCs w:val="22"/>
              </w:rPr>
            </w:pPr>
            <w:r>
              <w:rPr>
                <w:rFonts w:hint="eastAsia" w:ascii="宋体" w:hAnsi="宋体" w:cs="hakuyoxingshu7000"/>
                <w:color w:val="auto"/>
                <w:kern w:val="0"/>
                <w:sz w:val="22"/>
                <w:szCs w:val="22"/>
              </w:rPr>
              <w:t>附件三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pPr>
              <w:spacing w:line="360" w:lineRule="auto"/>
              <w:jc w:val="center"/>
              <w:rPr>
                <w:rFonts w:ascii="宋体" w:cs="仿宋"/>
                <w:color w:val="auto"/>
                <w:sz w:val="22"/>
                <w:szCs w:val="22"/>
              </w:rPr>
            </w:pPr>
            <w:r>
              <w:rPr>
                <w:rFonts w:ascii="宋体" w:hAnsi="宋体" w:cs="仿宋"/>
                <w:color w:val="auto"/>
                <w:sz w:val="22"/>
                <w:szCs w:val="22"/>
              </w:rPr>
              <w:t>2</w:t>
            </w:r>
          </w:p>
        </w:tc>
        <w:tc>
          <w:tcPr>
            <w:tcW w:w="7513" w:type="dxa"/>
            <w:vAlign w:val="center"/>
          </w:tcPr>
          <w:p>
            <w:pPr>
              <w:spacing w:line="360" w:lineRule="auto"/>
              <w:rPr>
                <w:rFonts w:ascii="宋体" w:cs="仿宋"/>
                <w:color w:val="auto"/>
                <w:sz w:val="22"/>
                <w:szCs w:val="22"/>
              </w:rPr>
            </w:pPr>
            <w:r>
              <w:rPr>
                <w:rFonts w:hint="eastAsia" w:ascii="宋体" w:hAnsi="宋体" w:cs="仿宋"/>
                <w:color w:val="auto"/>
                <w:sz w:val="22"/>
                <w:szCs w:val="22"/>
              </w:rPr>
              <w:t>技术规格、商务条款偏离表</w:t>
            </w:r>
          </w:p>
        </w:tc>
        <w:tc>
          <w:tcPr>
            <w:tcW w:w="1524" w:type="dxa"/>
            <w:vAlign w:val="center"/>
          </w:tcPr>
          <w:p>
            <w:pPr>
              <w:spacing w:line="360" w:lineRule="auto"/>
              <w:jc w:val="center"/>
              <w:rPr>
                <w:rFonts w:ascii="宋体" w:cs="仿宋"/>
                <w:color w:val="auto"/>
                <w:sz w:val="22"/>
                <w:szCs w:val="22"/>
              </w:rPr>
            </w:pPr>
            <w:r>
              <w:rPr>
                <w:rFonts w:hint="eastAsia" w:ascii="宋体" w:hAnsi="宋体" w:cs="仿宋"/>
                <w:color w:val="auto"/>
                <w:sz w:val="22"/>
                <w:szCs w:val="22"/>
              </w:rPr>
              <w:t>附件四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pPr>
              <w:spacing w:line="360" w:lineRule="auto"/>
              <w:jc w:val="center"/>
              <w:rPr>
                <w:rFonts w:ascii="宋体" w:hAnsi="宋体" w:cs="仿宋"/>
                <w:color w:val="auto"/>
                <w:sz w:val="22"/>
                <w:szCs w:val="22"/>
              </w:rPr>
            </w:pPr>
            <w:r>
              <w:rPr>
                <w:rFonts w:ascii="宋体" w:hAnsi="宋体" w:cs="仿宋"/>
                <w:color w:val="auto"/>
                <w:sz w:val="22"/>
                <w:szCs w:val="22"/>
              </w:rPr>
              <w:t>3</w:t>
            </w:r>
          </w:p>
        </w:tc>
        <w:tc>
          <w:tcPr>
            <w:tcW w:w="7513" w:type="dxa"/>
            <w:vAlign w:val="center"/>
          </w:tcPr>
          <w:p>
            <w:pPr>
              <w:autoSpaceDE w:val="0"/>
              <w:autoSpaceDN w:val="0"/>
              <w:adjustRightInd w:val="0"/>
              <w:snapToGrid w:val="0"/>
              <w:spacing w:line="440" w:lineRule="exact"/>
              <w:rPr>
                <w:rFonts w:hint="eastAsia" w:ascii="宋体" w:hAnsi="宋体" w:cs="仿宋"/>
                <w:color w:val="auto"/>
                <w:sz w:val="22"/>
                <w:szCs w:val="22"/>
              </w:rPr>
            </w:pPr>
            <w:r>
              <w:rPr>
                <w:rFonts w:hint="eastAsia" w:hAnsi="宋体"/>
                <w:sz w:val="22"/>
                <w:szCs w:val="22"/>
              </w:rPr>
              <w:t>同类项目业绩一览表</w:t>
            </w:r>
          </w:p>
        </w:tc>
        <w:tc>
          <w:tcPr>
            <w:tcW w:w="1524" w:type="dxa"/>
            <w:vAlign w:val="center"/>
          </w:tcPr>
          <w:p>
            <w:pPr>
              <w:autoSpaceDE w:val="0"/>
              <w:autoSpaceDN w:val="0"/>
              <w:adjustRightInd w:val="0"/>
              <w:snapToGrid w:val="0"/>
              <w:spacing w:line="440" w:lineRule="exact"/>
              <w:jc w:val="center"/>
              <w:rPr>
                <w:rFonts w:hint="eastAsia" w:ascii="宋体" w:hAnsi="宋体" w:cs="仿宋"/>
                <w:color w:val="auto"/>
                <w:sz w:val="22"/>
                <w:szCs w:val="22"/>
              </w:rPr>
            </w:pPr>
            <w:r>
              <w:rPr>
                <w:rFonts w:hint="eastAsia" w:ascii="宋体" w:hAnsi="宋体" w:cs="宋体"/>
                <w:sz w:val="22"/>
                <w:szCs w:val="22"/>
              </w:rPr>
              <w:t>附件</w:t>
            </w:r>
            <w:r>
              <w:rPr>
                <w:rFonts w:hint="eastAsia" w:ascii="宋体" w:hAnsi="宋体" w:cs="宋体"/>
                <w:sz w:val="22"/>
                <w:szCs w:val="22"/>
                <w:lang w:val="en-US" w:eastAsia="zh-CN"/>
              </w:rPr>
              <w:t>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pPr>
              <w:spacing w:line="360" w:lineRule="auto"/>
              <w:jc w:val="center"/>
              <w:rPr>
                <w:rFonts w:ascii="宋体" w:hAnsi="宋体" w:cs="仿宋"/>
                <w:color w:val="auto"/>
                <w:sz w:val="22"/>
                <w:szCs w:val="22"/>
              </w:rPr>
            </w:pPr>
            <w:r>
              <w:rPr>
                <w:rFonts w:ascii="宋体" w:hAnsi="宋体" w:cs="宋体"/>
                <w:color w:val="auto"/>
                <w:sz w:val="22"/>
                <w:szCs w:val="22"/>
              </w:rPr>
              <w:t>4</w:t>
            </w:r>
          </w:p>
        </w:tc>
        <w:tc>
          <w:tcPr>
            <w:tcW w:w="7513" w:type="dxa"/>
            <w:vAlign w:val="center"/>
          </w:tcPr>
          <w:p>
            <w:pPr>
              <w:autoSpaceDE w:val="0"/>
              <w:autoSpaceDN w:val="0"/>
              <w:adjustRightInd w:val="0"/>
              <w:snapToGrid w:val="0"/>
              <w:spacing w:line="440" w:lineRule="exact"/>
              <w:rPr>
                <w:rFonts w:hint="eastAsia" w:ascii="宋体" w:hAnsi="宋体" w:cs="仿宋"/>
                <w:color w:val="auto"/>
                <w:sz w:val="22"/>
                <w:szCs w:val="22"/>
              </w:rPr>
            </w:pPr>
            <w:r>
              <w:rPr>
                <w:rFonts w:hint="eastAsia" w:ascii="宋体" w:hAnsi="宋体" w:cs="宋体"/>
                <w:bCs/>
                <w:color w:val="000000"/>
                <w:sz w:val="22"/>
                <w:szCs w:val="22"/>
                <w:lang w:eastAsia="zh-CN"/>
              </w:rPr>
              <w:t>项目实施团队</w:t>
            </w:r>
          </w:p>
        </w:tc>
        <w:tc>
          <w:tcPr>
            <w:tcW w:w="1524" w:type="dxa"/>
            <w:vAlign w:val="center"/>
          </w:tcPr>
          <w:p>
            <w:pPr>
              <w:autoSpaceDE w:val="0"/>
              <w:autoSpaceDN w:val="0"/>
              <w:adjustRightInd w:val="0"/>
              <w:snapToGrid w:val="0"/>
              <w:spacing w:line="440" w:lineRule="exact"/>
              <w:jc w:val="center"/>
              <w:rPr>
                <w:rFonts w:hint="eastAsia" w:ascii="宋体" w:hAnsi="宋体" w:cs="仿宋"/>
                <w:color w:val="auto"/>
                <w:sz w:val="22"/>
                <w:szCs w:val="22"/>
              </w:rPr>
            </w:pPr>
            <w:r>
              <w:rPr>
                <w:rFonts w:hint="eastAsia" w:ascii="宋体" w:hAnsi="宋体" w:cs="宋体"/>
                <w:sz w:val="22"/>
                <w:szCs w:val="22"/>
              </w:rPr>
              <w:t>附件</w:t>
            </w:r>
            <w:r>
              <w:rPr>
                <w:rFonts w:hint="eastAsia" w:ascii="宋体" w:hAnsi="宋体" w:cs="宋体"/>
                <w:sz w:val="22"/>
                <w:szCs w:val="22"/>
                <w:lang w:val="en-US" w:eastAsia="zh-CN"/>
              </w:rPr>
              <w:t>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pPr>
              <w:spacing w:line="360" w:lineRule="auto"/>
              <w:jc w:val="center"/>
              <w:rPr>
                <w:rFonts w:ascii="宋体" w:cs="仿宋"/>
                <w:color w:val="auto"/>
                <w:sz w:val="22"/>
                <w:szCs w:val="22"/>
              </w:rPr>
            </w:pPr>
            <w:r>
              <w:rPr>
                <w:rFonts w:ascii="宋体" w:hAnsi="宋体" w:cs="仿宋"/>
                <w:color w:val="auto"/>
                <w:sz w:val="22"/>
                <w:szCs w:val="22"/>
              </w:rPr>
              <w:t>5</w:t>
            </w:r>
          </w:p>
        </w:tc>
        <w:tc>
          <w:tcPr>
            <w:tcW w:w="7513" w:type="dxa"/>
            <w:vAlign w:val="center"/>
          </w:tcPr>
          <w:p>
            <w:pPr>
              <w:spacing w:line="360" w:lineRule="auto"/>
              <w:rPr>
                <w:rFonts w:ascii="宋体" w:hAnsi="宋体" w:cs="仿宋"/>
                <w:color w:val="auto"/>
                <w:sz w:val="22"/>
                <w:szCs w:val="22"/>
              </w:rPr>
            </w:pPr>
            <w:r>
              <w:rPr>
                <w:rFonts w:hint="eastAsia" w:ascii="宋体" w:hAnsi="宋体" w:cs="仿宋"/>
                <w:color w:val="auto"/>
                <w:sz w:val="22"/>
                <w:szCs w:val="22"/>
                <w:lang w:val="en-US" w:eastAsia="zh-CN"/>
              </w:rPr>
              <w:t>平台对接</w:t>
            </w:r>
            <w:r>
              <w:rPr>
                <w:rFonts w:hint="eastAsia" w:ascii="宋体" w:hAnsi="宋体" w:cs="仿宋"/>
                <w:color w:val="auto"/>
                <w:sz w:val="22"/>
                <w:szCs w:val="22"/>
              </w:rPr>
              <w:t>承诺函</w:t>
            </w:r>
            <w:r>
              <w:rPr>
                <w:rFonts w:hint="eastAsia" w:ascii="宋体" w:hAnsi="宋体" w:cs="仿宋"/>
                <w:color w:val="auto"/>
                <w:sz w:val="22"/>
                <w:szCs w:val="22"/>
                <w:lang w:eastAsia="zh-CN"/>
              </w:rPr>
              <w:t>（</w:t>
            </w:r>
            <w:r>
              <w:rPr>
                <w:rFonts w:hint="eastAsia" w:ascii="宋体" w:hAnsi="宋体" w:cs="仿宋"/>
                <w:color w:val="auto"/>
                <w:sz w:val="22"/>
                <w:szCs w:val="22"/>
                <w:lang w:val="en-US" w:eastAsia="zh-CN"/>
              </w:rPr>
              <w:t>格式自拟</w:t>
            </w:r>
            <w:r>
              <w:rPr>
                <w:rFonts w:hint="eastAsia" w:ascii="宋体" w:hAnsi="宋体" w:cs="仿宋"/>
                <w:color w:val="auto"/>
                <w:sz w:val="22"/>
                <w:szCs w:val="22"/>
                <w:lang w:eastAsia="zh-CN"/>
              </w:rPr>
              <w:t>）</w:t>
            </w:r>
          </w:p>
        </w:tc>
        <w:tc>
          <w:tcPr>
            <w:tcW w:w="1524" w:type="dxa"/>
            <w:vAlign w:val="center"/>
          </w:tcPr>
          <w:p>
            <w:pPr>
              <w:spacing w:line="360" w:lineRule="auto"/>
              <w:jc w:val="center"/>
              <w:rPr>
                <w:rFonts w:hint="eastAsia" w:ascii="宋体" w:eastAsia="宋体" w:cs="仿宋"/>
                <w:color w:val="auto"/>
                <w:sz w:val="22"/>
                <w:szCs w:val="22"/>
                <w:lang w:val="en-US" w:eastAsia="zh-CN"/>
              </w:rPr>
            </w:pPr>
            <w:r>
              <w:rPr>
                <w:rFonts w:hint="eastAsia" w:ascii="宋体" w:hAnsi="宋体" w:cs="宋体"/>
                <w:sz w:val="22"/>
                <w:szCs w:val="22"/>
              </w:rPr>
              <w:t>附件</w:t>
            </w:r>
            <w:r>
              <w:rPr>
                <w:rFonts w:hint="eastAsia" w:ascii="宋体" w:hAnsi="宋体" w:cs="宋体"/>
                <w:sz w:val="22"/>
                <w:szCs w:val="22"/>
                <w:lang w:val="en-US" w:eastAsia="zh-CN"/>
              </w:rPr>
              <w:t>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pPr>
              <w:spacing w:line="360" w:lineRule="auto"/>
              <w:jc w:val="center"/>
              <w:rPr>
                <w:rFonts w:ascii="宋体" w:hAnsi="宋体" w:cs="仿宋"/>
                <w:color w:val="auto"/>
                <w:sz w:val="22"/>
                <w:szCs w:val="22"/>
              </w:rPr>
            </w:pPr>
            <w:r>
              <w:rPr>
                <w:rFonts w:hint="eastAsia" w:ascii="宋体" w:hAnsi="宋体" w:cs="仿宋"/>
                <w:color w:val="auto"/>
                <w:sz w:val="22"/>
                <w:szCs w:val="22"/>
                <w:lang w:val="en-US" w:eastAsia="zh-CN"/>
              </w:rPr>
              <w:t>6</w:t>
            </w:r>
          </w:p>
        </w:tc>
        <w:tc>
          <w:tcPr>
            <w:tcW w:w="7513" w:type="dxa"/>
            <w:vAlign w:val="center"/>
          </w:tcPr>
          <w:p>
            <w:pPr>
              <w:spacing w:line="360" w:lineRule="auto"/>
              <w:rPr>
                <w:rFonts w:hint="eastAsia" w:ascii="宋体" w:hAnsi="宋体" w:cs="新宋体"/>
                <w:b/>
                <w:bCs/>
                <w:color w:val="auto"/>
                <w:sz w:val="22"/>
                <w:szCs w:val="22"/>
              </w:rPr>
            </w:pPr>
            <w:r>
              <w:rPr>
                <w:rFonts w:hint="eastAsia" w:ascii="宋体" w:hAnsi="宋体" w:cs="新宋体"/>
                <w:b/>
                <w:bCs/>
                <w:color w:val="auto"/>
                <w:sz w:val="22"/>
                <w:szCs w:val="22"/>
              </w:rPr>
              <w:t>投标技术方案（按“评标细则”相关评分内容逐项编制，格式自拟）</w:t>
            </w:r>
          </w:p>
        </w:tc>
        <w:tc>
          <w:tcPr>
            <w:tcW w:w="1524" w:type="dxa"/>
            <w:vAlign w:val="center"/>
          </w:tcPr>
          <w:p>
            <w:pPr>
              <w:spacing w:line="360" w:lineRule="auto"/>
              <w:jc w:val="center"/>
              <w:rPr>
                <w:rFonts w:ascii="宋体" w:cs="仿宋"/>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pPr>
              <w:spacing w:line="360" w:lineRule="auto"/>
              <w:jc w:val="center"/>
              <w:rPr>
                <w:rFonts w:ascii="宋体" w:cs="宋体"/>
                <w:color w:val="auto"/>
                <w:sz w:val="22"/>
                <w:szCs w:val="22"/>
              </w:rPr>
            </w:pPr>
            <w:r>
              <w:rPr>
                <w:rFonts w:hint="eastAsia" w:ascii="宋体" w:hAnsi="宋体" w:cs="仿宋"/>
                <w:color w:val="auto"/>
                <w:sz w:val="22"/>
                <w:szCs w:val="22"/>
                <w:lang w:val="en-US" w:eastAsia="zh-CN"/>
              </w:rPr>
              <w:t>7</w:t>
            </w:r>
          </w:p>
        </w:tc>
        <w:tc>
          <w:tcPr>
            <w:tcW w:w="7513" w:type="dxa"/>
            <w:vAlign w:val="center"/>
          </w:tcPr>
          <w:p>
            <w:pPr>
              <w:spacing w:line="360" w:lineRule="auto"/>
              <w:rPr>
                <w:rFonts w:ascii="宋体" w:hAnsi="宋体" w:cs="仿宋"/>
                <w:color w:val="auto"/>
                <w:sz w:val="22"/>
                <w:szCs w:val="22"/>
              </w:rPr>
            </w:pPr>
            <w:r>
              <w:rPr>
                <w:rFonts w:hint="eastAsia" w:ascii="宋体" w:hAnsi="宋体" w:cs="新宋体"/>
                <w:b/>
                <w:color w:val="auto"/>
                <w:sz w:val="22"/>
                <w:szCs w:val="22"/>
              </w:rPr>
              <w:t>资信证明文件（本部分为</w:t>
            </w:r>
            <w:r>
              <w:rPr>
                <w:rFonts w:hint="eastAsia" w:ascii="宋体" w:hAnsi="宋体" w:cs="新宋体"/>
                <w:b/>
                <w:bCs/>
                <w:color w:val="auto"/>
                <w:sz w:val="22"/>
                <w:szCs w:val="22"/>
              </w:rPr>
              <w:t>商务技术文件</w:t>
            </w:r>
            <w:r>
              <w:rPr>
                <w:rFonts w:hint="eastAsia" w:ascii="宋体" w:hAnsi="宋体" w:cs="新宋体"/>
                <w:b/>
                <w:color w:val="auto"/>
                <w:sz w:val="22"/>
                <w:szCs w:val="22"/>
              </w:rPr>
              <w:t>评分内容，各投标人参照评分标准根据自身情况提供）</w:t>
            </w:r>
          </w:p>
        </w:tc>
        <w:tc>
          <w:tcPr>
            <w:tcW w:w="1524" w:type="dxa"/>
            <w:vAlign w:val="center"/>
          </w:tcPr>
          <w:p>
            <w:pPr>
              <w:spacing w:line="360" w:lineRule="auto"/>
              <w:jc w:val="center"/>
              <w:rPr>
                <w:rFonts w:ascii="宋体" w:cs="宋体"/>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pPr>
              <w:spacing w:line="360" w:lineRule="auto"/>
              <w:jc w:val="center"/>
              <w:rPr>
                <w:rFonts w:ascii="宋体" w:cs="仿宋"/>
                <w:color w:val="auto"/>
                <w:sz w:val="22"/>
                <w:szCs w:val="22"/>
              </w:rPr>
            </w:pPr>
            <w:r>
              <w:rPr>
                <w:rFonts w:hint="eastAsia" w:ascii="宋体" w:hAnsi="宋体" w:cs="仿宋"/>
                <w:color w:val="auto"/>
                <w:sz w:val="22"/>
                <w:szCs w:val="22"/>
                <w:lang w:val="en-US" w:eastAsia="zh-CN"/>
              </w:rPr>
              <w:t>8</w:t>
            </w:r>
          </w:p>
        </w:tc>
        <w:tc>
          <w:tcPr>
            <w:tcW w:w="7513" w:type="dxa"/>
            <w:vAlign w:val="center"/>
          </w:tcPr>
          <w:p>
            <w:pPr>
              <w:spacing w:line="360" w:lineRule="auto"/>
              <w:rPr>
                <w:rFonts w:ascii="宋体" w:hAnsi="宋体" w:cs="仿宋"/>
                <w:color w:val="auto"/>
                <w:sz w:val="22"/>
                <w:szCs w:val="22"/>
              </w:rPr>
            </w:pPr>
            <w:r>
              <w:rPr>
                <w:rFonts w:hint="eastAsia" w:ascii="宋体" w:hAnsi="宋体" w:cs="仿宋"/>
                <w:color w:val="auto"/>
                <w:sz w:val="22"/>
                <w:szCs w:val="22"/>
              </w:rPr>
              <w:t>结合招标文件评分细则投标人认为需要提供的其他技术资料</w:t>
            </w:r>
          </w:p>
        </w:tc>
        <w:tc>
          <w:tcPr>
            <w:tcW w:w="1524" w:type="dxa"/>
            <w:vAlign w:val="center"/>
          </w:tcPr>
          <w:p>
            <w:pPr>
              <w:spacing w:line="360" w:lineRule="auto"/>
              <w:jc w:val="center"/>
              <w:rPr>
                <w:rFonts w:ascii="宋体" w:cs="仿宋"/>
                <w:color w:val="auto"/>
                <w:sz w:val="22"/>
                <w:szCs w:val="22"/>
              </w:rPr>
            </w:pPr>
          </w:p>
        </w:tc>
      </w:tr>
    </w:tbl>
    <w:p>
      <w:pPr>
        <w:spacing w:line="360" w:lineRule="auto"/>
        <w:rPr>
          <w:rFonts w:ascii="宋体" w:hAnsi="宋体" w:cs="宋体"/>
          <w:b/>
          <w:color w:val="auto"/>
          <w:sz w:val="22"/>
          <w:szCs w:val="22"/>
        </w:rPr>
      </w:pPr>
      <w:r>
        <w:rPr>
          <w:rFonts w:hint="eastAsia" w:ascii="宋体" w:hAnsi="宋体" w:cs="宋体"/>
          <w:b/>
          <w:color w:val="auto"/>
          <w:sz w:val="22"/>
          <w:szCs w:val="22"/>
        </w:rPr>
        <w:t>备注：</w:t>
      </w:r>
    </w:p>
    <w:p>
      <w:pPr>
        <w:numPr>
          <w:ilvl w:val="0"/>
          <w:numId w:val="11"/>
        </w:numPr>
        <w:spacing w:line="360" w:lineRule="auto"/>
        <w:ind w:left="567" w:hanging="510"/>
        <w:rPr>
          <w:rFonts w:ascii="宋体" w:hAnsi="宋体" w:cs="宋体"/>
          <w:color w:val="auto"/>
          <w:sz w:val="22"/>
          <w:szCs w:val="22"/>
        </w:rPr>
      </w:pPr>
      <w:r>
        <w:rPr>
          <w:rFonts w:hint="eastAsia" w:ascii="宋体" w:hAnsi="宋体" w:cs="宋体"/>
          <w:color w:val="auto"/>
          <w:sz w:val="22"/>
          <w:szCs w:val="22"/>
        </w:rPr>
        <w:t>投标人可根据招标文件中的采购内容及需求和商务技术文件评分细则，提供投标人认为需要提供的文件和资料。</w:t>
      </w:r>
    </w:p>
    <w:p>
      <w:pPr>
        <w:numPr>
          <w:ilvl w:val="0"/>
          <w:numId w:val="11"/>
        </w:numPr>
        <w:spacing w:line="360" w:lineRule="auto"/>
        <w:ind w:left="567" w:hanging="510"/>
        <w:rPr>
          <w:rFonts w:ascii="宋体" w:hAnsi="宋体" w:cs="宋体"/>
          <w:color w:val="auto"/>
          <w:sz w:val="22"/>
          <w:szCs w:val="22"/>
        </w:rPr>
      </w:pPr>
      <w:r>
        <w:rPr>
          <w:rFonts w:hint="eastAsia" w:ascii="宋体" w:hAnsi="宋体" w:cs="宋体"/>
          <w:color w:val="auto"/>
          <w:sz w:val="22"/>
          <w:szCs w:val="22"/>
        </w:rPr>
        <w:t>投标文件中应承诺：投标人所提供的技术资料的所有权归采购人所有。如若发生第三方侵权事件，其侵权责任与采购人及采购代理机构无关，由投标人承担全部责任。侵权造成的所有相关费用，均由投标人支付，保证不伤害采购人的利益。</w:t>
      </w:r>
    </w:p>
    <w:p>
      <w:pPr>
        <w:numPr>
          <w:ilvl w:val="0"/>
          <w:numId w:val="11"/>
        </w:numPr>
        <w:spacing w:line="360" w:lineRule="auto"/>
        <w:ind w:left="567" w:hanging="510"/>
        <w:rPr>
          <w:rFonts w:ascii="宋体" w:hAnsi="宋体" w:cs="宋体"/>
          <w:color w:val="auto"/>
          <w:sz w:val="22"/>
          <w:szCs w:val="22"/>
        </w:rPr>
      </w:pPr>
      <w:r>
        <w:rPr>
          <w:rFonts w:hint="eastAsia" w:ascii="宋体" w:hAnsi="宋体" w:cs="宋体"/>
          <w:color w:val="auto"/>
          <w:sz w:val="22"/>
          <w:szCs w:val="22"/>
        </w:rPr>
        <w:t>以上所需的各种证书、证件、证明等若系复印件、扫描件，须加盖投标人有效的公章。</w:t>
      </w:r>
    </w:p>
    <w:p>
      <w:pPr>
        <w:numPr>
          <w:ilvl w:val="0"/>
          <w:numId w:val="11"/>
        </w:numPr>
        <w:spacing w:line="360" w:lineRule="auto"/>
        <w:ind w:left="567" w:hanging="510"/>
        <w:rPr>
          <w:rFonts w:ascii="宋体" w:hAnsi="宋体" w:cs="宋体"/>
          <w:color w:val="auto"/>
          <w:sz w:val="22"/>
          <w:szCs w:val="22"/>
        </w:rPr>
      </w:pPr>
      <w:r>
        <w:rPr>
          <w:rFonts w:hint="eastAsia" w:ascii="宋体" w:hAnsi="宋体" w:cs="宋体"/>
          <w:color w:val="auto"/>
          <w:sz w:val="22"/>
          <w:szCs w:val="22"/>
        </w:rPr>
        <w:t>相关证书、报告等如遇年检或换证等特殊情况须按要求提供相应的证明材料。</w:t>
      </w:r>
    </w:p>
    <w:p>
      <w:pPr>
        <w:numPr>
          <w:ilvl w:val="0"/>
          <w:numId w:val="9"/>
        </w:numPr>
        <w:tabs>
          <w:tab w:val="left" w:pos="540"/>
        </w:tabs>
        <w:spacing w:line="360" w:lineRule="auto"/>
        <w:ind w:left="567" w:hanging="510"/>
        <w:rPr>
          <w:rFonts w:ascii="宋体" w:hAnsi="宋体"/>
          <w:bCs/>
          <w:color w:val="auto"/>
          <w:sz w:val="22"/>
          <w:szCs w:val="22"/>
        </w:rPr>
      </w:pPr>
      <w:bookmarkStart w:id="98" w:name="_Toc245722281"/>
      <w:bookmarkStart w:id="99" w:name="_Toc249758864"/>
      <w:bookmarkStart w:id="100" w:name="_Toc246261265"/>
      <w:bookmarkStart w:id="101" w:name="_Toc262049418"/>
      <w:bookmarkStart w:id="102" w:name="_Toc262105503"/>
      <w:bookmarkStart w:id="103" w:name="_Toc221423619"/>
      <w:bookmarkStart w:id="104" w:name="_Toc245191314"/>
      <w:bookmarkStart w:id="105" w:name="_Toc221374626"/>
      <w:bookmarkStart w:id="106" w:name="_Toc222114879"/>
      <w:bookmarkStart w:id="107" w:name="_Toc223715998"/>
      <w:bookmarkStart w:id="108" w:name="_Toc239145354"/>
      <w:bookmarkStart w:id="109" w:name="_Toc221356887"/>
      <w:bookmarkStart w:id="110" w:name="_Toc221356951"/>
      <w:bookmarkStart w:id="111" w:name="_Toc241404202"/>
      <w:bookmarkStart w:id="112" w:name="_Toc249758712"/>
      <w:r>
        <w:rPr>
          <w:rFonts w:hint="eastAsia" w:ascii="宋体" w:hAnsi="宋体"/>
          <w:bCs/>
          <w:color w:val="auto"/>
          <w:sz w:val="22"/>
          <w:szCs w:val="22"/>
        </w:rPr>
        <w:t>投标文件编制</w:t>
      </w:r>
    </w:p>
    <w:p>
      <w:pPr>
        <w:numPr>
          <w:ilvl w:val="1"/>
          <w:numId w:val="12"/>
        </w:numPr>
        <w:tabs>
          <w:tab w:val="left" w:pos="540"/>
        </w:tabs>
        <w:spacing w:line="360" w:lineRule="auto"/>
        <w:ind w:left="567" w:hanging="510"/>
        <w:rPr>
          <w:rFonts w:ascii="宋体" w:hAnsi="宋体"/>
          <w:bCs/>
          <w:color w:val="auto"/>
          <w:sz w:val="22"/>
          <w:szCs w:val="22"/>
        </w:rPr>
      </w:pPr>
      <w:r>
        <w:rPr>
          <w:rFonts w:hint="eastAsia" w:ascii="宋体" w:hAnsi="宋体"/>
          <w:bCs/>
          <w:color w:val="auto"/>
          <w:sz w:val="22"/>
          <w:szCs w:val="22"/>
        </w:rPr>
        <w:t>本项目通过“政采云平台（www.zcygov.cn）”实行在线投标响应（电子投标）。投标人应通过“政采云电子交易客户端”，并按照本招标文件和“政采云平台”的要求编制并加密投标文件。</w:t>
      </w:r>
    </w:p>
    <w:p>
      <w:pPr>
        <w:numPr>
          <w:ilvl w:val="1"/>
          <w:numId w:val="12"/>
        </w:numPr>
        <w:tabs>
          <w:tab w:val="left" w:pos="540"/>
        </w:tabs>
        <w:spacing w:line="360" w:lineRule="auto"/>
        <w:ind w:left="567" w:hanging="510"/>
        <w:rPr>
          <w:rFonts w:ascii="宋体" w:hAnsi="宋体"/>
          <w:bCs/>
          <w:color w:val="auto"/>
          <w:sz w:val="22"/>
          <w:szCs w:val="22"/>
        </w:rPr>
      </w:pPr>
      <w:r>
        <w:rPr>
          <w:rFonts w:hint="eastAsia" w:ascii="宋体" w:hAnsi="宋体"/>
          <w:b/>
          <w:color w:val="auto"/>
          <w:sz w:val="22"/>
          <w:szCs w:val="22"/>
          <w:u w:val="single"/>
        </w:rPr>
        <w:t>▲投标人提供的联系方式（手机号码、联系邮箱、联系地址），均以法定代表人声明书或法定代表人授权委托书上注明的联系方式为准，投标人必须保障其联系方式保持畅通。否则由此造成的后果均有投标人自行承担。</w:t>
      </w:r>
    </w:p>
    <w:p>
      <w:pPr>
        <w:numPr>
          <w:ilvl w:val="1"/>
          <w:numId w:val="12"/>
        </w:numPr>
        <w:tabs>
          <w:tab w:val="left" w:pos="540"/>
        </w:tabs>
        <w:spacing w:line="360" w:lineRule="auto"/>
        <w:ind w:left="567" w:hanging="510"/>
        <w:rPr>
          <w:rFonts w:ascii="宋体" w:hAnsi="宋体"/>
          <w:bCs/>
          <w:color w:val="auto"/>
          <w:sz w:val="22"/>
          <w:szCs w:val="22"/>
        </w:rPr>
      </w:pPr>
      <w:r>
        <w:rPr>
          <w:rFonts w:hint="eastAsia" w:ascii="宋体" w:hAnsi="宋体"/>
          <w:bCs/>
          <w:color w:val="auto"/>
          <w:sz w:val="22"/>
          <w:szCs w:val="22"/>
        </w:rPr>
        <w:t>本招标文件附件部分中有提供格式的，投标人须参照格式进行编制（格式中要求提供相关证明材料的还需后附相关证明材料），并按格式要求在指定位置根据要求进行签章，否则视为未提供；本文件未提供格式的，请各投标单位自行拟定格式，并加盖单位公章并由法定代表人或其授权代表签署（签字或盖章），否则视为未提供。</w:t>
      </w:r>
    </w:p>
    <w:p>
      <w:pPr>
        <w:numPr>
          <w:ilvl w:val="1"/>
          <w:numId w:val="12"/>
        </w:numPr>
        <w:tabs>
          <w:tab w:val="left" w:pos="540"/>
        </w:tabs>
        <w:spacing w:line="360" w:lineRule="auto"/>
        <w:ind w:left="567" w:hanging="510"/>
        <w:rPr>
          <w:rFonts w:ascii="宋体" w:hAnsi="宋体"/>
          <w:bCs/>
          <w:color w:val="auto"/>
          <w:sz w:val="22"/>
          <w:szCs w:val="22"/>
        </w:rPr>
      </w:pPr>
      <w:r>
        <w:rPr>
          <w:rFonts w:hint="eastAsia" w:ascii="宋体" w:hAnsi="宋体"/>
          <w:bCs/>
          <w:color w:val="auto"/>
          <w:sz w:val="22"/>
          <w:szCs w:val="22"/>
        </w:rPr>
        <w:t>投标文件内容不完整、编排混乱导致投标文件被误读、漏读或者查找不到相关内容的，是投标人的责任。</w:t>
      </w:r>
    </w:p>
    <w:p>
      <w:pPr>
        <w:numPr>
          <w:ilvl w:val="1"/>
          <w:numId w:val="12"/>
        </w:numPr>
        <w:tabs>
          <w:tab w:val="left" w:pos="540"/>
        </w:tabs>
        <w:spacing w:line="360" w:lineRule="auto"/>
        <w:ind w:left="567" w:hanging="510"/>
        <w:rPr>
          <w:rFonts w:ascii="宋体" w:hAnsi="宋体"/>
          <w:bCs/>
          <w:color w:val="auto"/>
          <w:sz w:val="22"/>
          <w:szCs w:val="22"/>
        </w:rPr>
      </w:pPr>
      <w:r>
        <w:rPr>
          <w:rFonts w:hint="eastAsia" w:ascii="宋体" w:hAnsi="宋体"/>
          <w:bCs/>
          <w:color w:val="auto"/>
          <w:sz w:val="22"/>
          <w:szCs w:val="22"/>
        </w:rPr>
        <w:t>投标文件因字迹潦草或表达不清所引起的后果由投标人负责。</w:t>
      </w:r>
    </w:p>
    <w:p>
      <w:pPr>
        <w:numPr>
          <w:ilvl w:val="1"/>
          <w:numId w:val="12"/>
        </w:numPr>
        <w:tabs>
          <w:tab w:val="left" w:pos="540"/>
        </w:tabs>
        <w:spacing w:line="360" w:lineRule="auto"/>
        <w:ind w:left="567" w:hanging="510"/>
        <w:rPr>
          <w:rFonts w:ascii="宋体" w:hAnsi="宋体"/>
          <w:bCs/>
          <w:color w:val="auto"/>
          <w:sz w:val="22"/>
          <w:szCs w:val="22"/>
        </w:rPr>
      </w:pPr>
      <w:r>
        <w:rPr>
          <w:rFonts w:hint="eastAsia" w:ascii="宋体" w:hAnsi="宋体"/>
          <w:bCs/>
          <w:color w:val="auto"/>
          <w:sz w:val="22"/>
          <w:szCs w:val="22"/>
        </w:rPr>
        <w:t>投标人没有按照本章节 “投标文件组成”要求提供全部资料，或者没有仔细阅读招标文件，或者没有对招标文件在各方面的要求作出实质性响应是投标人的风险，由此造成的一切后果由投标人自行承担。</w:t>
      </w:r>
    </w:p>
    <w:p>
      <w:pPr>
        <w:numPr>
          <w:ilvl w:val="0"/>
          <w:numId w:val="9"/>
        </w:numPr>
        <w:tabs>
          <w:tab w:val="left" w:pos="540"/>
        </w:tabs>
        <w:spacing w:line="360" w:lineRule="auto"/>
        <w:ind w:left="567" w:hanging="510"/>
        <w:rPr>
          <w:rFonts w:ascii="宋体" w:hAnsi="宋体"/>
          <w:bCs/>
          <w:color w:val="auto"/>
          <w:sz w:val="22"/>
          <w:szCs w:val="22"/>
        </w:rPr>
      </w:pPr>
      <w:r>
        <w:rPr>
          <w:rFonts w:hint="eastAsia" w:ascii="宋体" w:hAnsi="宋体"/>
          <w:bCs/>
          <w:color w:val="auto"/>
          <w:sz w:val="22"/>
          <w:szCs w:val="22"/>
        </w:rPr>
        <w:t>投标文件的签章</w:t>
      </w:r>
    </w:p>
    <w:p>
      <w:pPr>
        <w:numPr>
          <w:ilvl w:val="1"/>
          <w:numId w:val="13"/>
        </w:numPr>
        <w:tabs>
          <w:tab w:val="left" w:pos="360"/>
          <w:tab w:val="clear" w:pos="992"/>
        </w:tabs>
        <w:spacing w:line="360" w:lineRule="auto"/>
        <w:ind w:left="640"/>
        <w:rPr>
          <w:rFonts w:ascii="宋体" w:hAnsi="宋体" w:cs="宋体"/>
          <w:color w:val="auto"/>
          <w:kern w:val="0"/>
          <w:sz w:val="22"/>
          <w:szCs w:val="22"/>
          <w:lang w:val="zh-CN"/>
        </w:rPr>
      </w:pPr>
      <w:r>
        <w:rPr>
          <w:rFonts w:hint="eastAsia" w:ascii="宋体" w:hAnsi="宋体" w:cs="宋体"/>
          <w:color w:val="auto"/>
          <w:kern w:val="0"/>
          <w:sz w:val="22"/>
          <w:szCs w:val="22"/>
          <w:lang w:val="zh-CN"/>
        </w:rPr>
        <w:t>单位公章：电子投标响应文件中所须加盖公章部分均采用CA电子签章，</w:t>
      </w:r>
      <w:r>
        <w:rPr>
          <w:rFonts w:hint="eastAsia" w:ascii="宋体" w:hAnsi="宋体" w:cs="宋体"/>
          <w:color w:val="auto"/>
          <w:kern w:val="0"/>
          <w:sz w:val="22"/>
          <w:szCs w:val="22"/>
        </w:rPr>
        <w:t>如供应商以联合体形式参与投标的，由联合体牵头人进行</w:t>
      </w:r>
      <w:r>
        <w:rPr>
          <w:rFonts w:hint="eastAsia" w:ascii="宋体" w:hAnsi="宋体" w:cs="宋体"/>
          <w:color w:val="auto"/>
          <w:kern w:val="0"/>
          <w:sz w:val="22"/>
          <w:szCs w:val="22"/>
          <w:lang w:val="zh-CN"/>
        </w:rPr>
        <w:t>CA</w:t>
      </w:r>
      <w:r>
        <w:rPr>
          <w:rFonts w:hint="eastAsia" w:ascii="宋体" w:hAnsi="宋体" w:cs="宋体"/>
          <w:color w:val="auto"/>
          <w:kern w:val="0"/>
          <w:sz w:val="22"/>
          <w:szCs w:val="22"/>
        </w:rPr>
        <w:t>电子签章</w:t>
      </w:r>
      <w:r>
        <w:rPr>
          <w:rFonts w:hint="eastAsia" w:ascii="宋体" w:hAnsi="宋体" w:cs="宋体"/>
          <w:color w:val="auto"/>
          <w:kern w:val="0"/>
          <w:sz w:val="22"/>
          <w:szCs w:val="22"/>
          <w:lang w:val="zh-CN"/>
        </w:rPr>
        <w:t>；</w:t>
      </w:r>
    </w:p>
    <w:p>
      <w:pPr>
        <w:numPr>
          <w:ilvl w:val="1"/>
          <w:numId w:val="13"/>
        </w:numPr>
        <w:tabs>
          <w:tab w:val="left" w:pos="360"/>
          <w:tab w:val="clear" w:pos="992"/>
        </w:tabs>
        <w:spacing w:line="360" w:lineRule="auto"/>
        <w:ind w:left="640"/>
        <w:rPr>
          <w:rFonts w:ascii="宋体" w:hAnsi="宋体" w:cs="宋体"/>
          <w:color w:val="auto"/>
          <w:kern w:val="0"/>
          <w:sz w:val="22"/>
          <w:szCs w:val="22"/>
        </w:rPr>
      </w:pPr>
      <w:r>
        <w:rPr>
          <w:rFonts w:hint="eastAsia" w:ascii="宋体" w:hAnsi="宋体" w:cs="宋体"/>
          <w:color w:val="auto"/>
          <w:kern w:val="0"/>
          <w:sz w:val="22"/>
          <w:szCs w:val="22"/>
        </w:rPr>
        <w:t xml:space="preserve"> 如供应商已办理法人CA电子签章的，投标文件应由投标人法定代表人或其授权代表签章（电子签章），并同时加盖投标人公章（电子签章）；如供应商未办理法人CA电子签章的</w:t>
      </w:r>
      <w:r>
        <w:rPr>
          <w:rFonts w:hint="eastAsia" w:ascii="宋体" w:hAnsi="宋体" w:cs="宋体"/>
          <w:color w:val="auto"/>
          <w:kern w:val="0"/>
          <w:sz w:val="22"/>
          <w:szCs w:val="22"/>
          <w:lang w:val="zh-CN"/>
        </w:rPr>
        <w:t>，</w:t>
      </w:r>
      <w:r>
        <w:rPr>
          <w:rFonts w:hint="eastAsia" w:ascii="宋体" w:hAnsi="宋体" w:cs="宋体"/>
          <w:color w:val="auto"/>
          <w:kern w:val="0"/>
          <w:sz w:val="22"/>
          <w:szCs w:val="22"/>
        </w:rPr>
        <w:t>需</w:t>
      </w:r>
      <w:r>
        <w:rPr>
          <w:rFonts w:hint="eastAsia" w:ascii="宋体" w:hAnsi="宋体" w:cs="宋体"/>
          <w:color w:val="auto"/>
          <w:kern w:val="0"/>
          <w:sz w:val="22"/>
          <w:szCs w:val="22"/>
          <w:lang w:val="zh-CN"/>
        </w:rPr>
        <w:t>先制作word版打印，相应位置签字或盖章后再扫描上传。</w:t>
      </w:r>
    </w:p>
    <w:p>
      <w:pPr>
        <w:numPr>
          <w:ilvl w:val="1"/>
          <w:numId w:val="13"/>
        </w:numPr>
        <w:tabs>
          <w:tab w:val="left" w:pos="360"/>
          <w:tab w:val="clear" w:pos="992"/>
        </w:tabs>
        <w:spacing w:line="360" w:lineRule="auto"/>
        <w:ind w:left="640"/>
        <w:rPr>
          <w:rFonts w:ascii="宋体" w:hAnsi="宋体" w:cs="宋体"/>
          <w:color w:val="auto"/>
          <w:kern w:val="0"/>
          <w:sz w:val="22"/>
          <w:szCs w:val="22"/>
        </w:rPr>
      </w:pPr>
      <w:r>
        <w:rPr>
          <w:rFonts w:hint="eastAsia" w:ascii="宋体" w:hAnsi="宋体" w:cs="宋体"/>
          <w:color w:val="auto"/>
          <w:kern w:val="0"/>
          <w:sz w:val="22"/>
          <w:szCs w:val="22"/>
          <w:lang w:val="en-US" w:eastAsia="zh-CN"/>
        </w:rPr>
        <w:t xml:space="preserve"> </w:t>
      </w:r>
      <w:r>
        <w:rPr>
          <w:rFonts w:hint="eastAsia" w:ascii="宋体" w:hAnsi="宋体" w:cs="宋体"/>
          <w:color w:val="auto"/>
          <w:kern w:val="0"/>
          <w:sz w:val="22"/>
          <w:szCs w:val="22"/>
          <w:lang w:val="zh-CN"/>
        </w:rPr>
        <w:t>政采云系统平台有新的操作流程的，按其规定。</w:t>
      </w:r>
    </w:p>
    <w:p>
      <w:pPr>
        <w:numPr>
          <w:ilvl w:val="0"/>
          <w:numId w:val="9"/>
        </w:numPr>
        <w:tabs>
          <w:tab w:val="left" w:pos="540"/>
        </w:tabs>
        <w:spacing w:line="360" w:lineRule="auto"/>
        <w:ind w:left="567" w:hanging="510"/>
        <w:rPr>
          <w:rFonts w:ascii="宋体" w:hAnsi="宋体"/>
          <w:bCs/>
          <w:color w:val="auto"/>
          <w:sz w:val="22"/>
          <w:szCs w:val="22"/>
        </w:rPr>
      </w:pPr>
      <w:r>
        <w:rPr>
          <w:rFonts w:hint="eastAsia" w:ascii="宋体" w:hAnsi="宋体"/>
          <w:bCs/>
          <w:color w:val="auto"/>
          <w:sz w:val="22"/>
          <w:szCs w:val="22"/>
        </w:rPr>
        <w:t>投标文件的形式</w:t>
      </w:r>
    </w:p>
    <w:p>
      <w:pPr>
        <w:numPr>
          <w:ilvl w:val="1"/>
          <w:numId w:val="14"/>
        </w:numPr>
        <w:tabs>
          <w:tab w:val="left" w:pos="360"/>
          <w:tab w:val="left" w:pos="640"/>
          <w:tab w:val="clear" w:pos="992"/>
        </w:tabs>
        <w:spacing w:line="360" w:lineRule="auto"/>
        <w:ind w:left="640"/>
        <w:rPr>
          <w:rFonts w:ascii="宋体" w:hAnsi="宋体" w:cs="Arial"/>
          <w:color w:val="auto"/>
          <w:sz w:val="22"/>
          <w:szCs w:val="22"/>
          <w:lang w:val="zh-CN"/>
        </w:rPr>
      </w:pPr>
      <w:r>
        <w:rPr>
          <w:rFonts w:hint="eastAsia" w:ascii="宋体" w:hAnsi="宋体" w:cs="Arial"/>
          <w:color w:val="auto"/>
          <w:sz w:val="22"/>
          <w:szCs w:val="22"/>
          <w:lang w:val="zh-CN"/>
        </w:rPr>
        <w:t>“电子响应文件”是指通过“政采云电子交易客户端”完成投标响应文件编制后生成并加密的数据电文形式的</w:t>
      </w:r>
      <w:r>
        <w:rPr>
          <w:rFonts w:hint="eastAsia" w:ascii="宋体" w:hAnsi="宋体" w:cs="Arial"/>
          <w:color w:val="auto"/>
          <w:sz w:val="22"/>
          <w:szCs w:val="22"/>
        </w:rPr>
        <w:t>加密标书,加密标书文件后缀格式为.jmbs</w:t>
      </w:r>
      <w:r>
        <w:rPr>
          <w:rFonts w:hint="eastAsia" w:ascii="宋体" w:hAnsi="宋体" w:cs="Arial"/>
          <w:color w:val="auto"/>
          <w:sz w:val="22"/>
          <w:szCs w:val="22"/>
          <w:lang w:val="zh-CN"/>
        </w:rPr>
        <w:t>。</w:t>
      </w:r>
    </w:p>
    <w:p>
      <w:pPr>
        <w:numPr>
          <w:ilvl w:val="1"/>
          <w:numId w:val="14"/>
        </w:numPr>
        <w:tabs>
          <w:tab w:val="left" w:pos="360"/>
          <w:tab w:val="left" w:pos="640"/>
          <w:tab w:val="clear" w:pos="992"/>
        </w:tabs>
        <w:spacing w:line="360" w:lineRule="auto"/>
        <w:ind w:left="640"/>
        <w:rPr>
          <w:rFonts w:ascii="宋体" w:hAnsi="宋体" w:cs="Arial"/>
          <w:color w:val="auto"/>
          <w:sz w:val="22"/>
          <w:szCs w:val="22"/>
        </w:rPr>
      </w:pPr>
      <w:r>
        <w:rPr>
          <w:rFonts w:hint="eastAsia" w:ascii="宋体" w:hAnsi="宋体" w:cs="Arial"/>
          <w:color w:val="auto"/>
          <w:sz w:val="22"/>
          <w:szCs w:val="22"/>
          <w:lang w:val="zh-CN"/>
        </w:rPr>
        <w:t>“备份响应文件”是指与“</w:t>
      </w:r>
      <w:r>
        <w:rPr>
          <w:rFonts w:hint="eastAsia" w:ascii="宋体" w:hAnsi="宋体" w:cs="Arial"/>
          <w:color w:val="auto"/>
          <w:sz w:val="22"/>
          <w:szCs w:val="22"/>
        </w:rPr>
        <w:t>加密标书</w:t>
      </w:r>
      <w:r>
        <w:rPr>
          <w:rFonts w:hint="eastAsia" w:ascii="宋体" w:hAnsi="宋体" w:cs="Arial"/>
          <w:color w:val="auto"/>
          <w:sz w:val="22"/>
          <w:szCs w:val="22"/>
          <w:lang w:val="zh-CN"/>
        </w:rPr>
        <w:t>”同时生成的数据电文形式的电子文件（备份标书），备份标书文件后缀格式为.bfbs</w:t>
      </w:r>
      <w:r>
        <w:rPr>
          <w:rFonts w:hint="eastAsia" w:ascii="宋体" w:hAnsi="宋体" w:cs="Arial"/>
          <w:color w:val="auto"/>
          <w:sz w:val="22"/>
          <w:szCs w:val="22"/>
        </w:rPr>
        <w:t>,</w:t>
      </w:r>
      <w:r>
        <w:rPr>
          <w:rFonts w:hint="eastAsia" w:ascii="宋体" w:hAnsi="宋体" w:cs="Arial"/>
          <w:color w:val="auto"/>
          <w:sz w:val="22"/>
          <w:szCs w:val="22"/>
          <w:lang w:val="zh-CN"/>
        </w:rPr>
        <w:t>其他方式编制的备份响应文件视为无效备份响应文件。</w:t>
      </w:r>
    </w:p>
    <w:p>
      <w:pPr>
        <w:numPr>
          <w:ilvl w:val="0"/>
          <w:numId w:val="9"/>
        </w:numPr>
        <w:tabs>
          <w:tab w:val="left" w:pos="540"/>
        </w:tabs>
        <w:spacing w:line="360" w:lineRule="auto"/>
        <w:ind w:left="567" w:hanging="510"/>
        <w:rPr>
          <w:rFonts w:ascii="宋体" w:hAnsi="宋体"/>
          <w:bCs/>
          <w:color w:val="auto"/>
          <w:sz w:val="22"/>
          <w:szCs w:val="22"/>
        </w:rPr>
      </w:pPr>
      <w:r>
        <w:rPr>
          <w:rFonts w:hint="eastAsia" w:ascii="宋体" w:hAnsi="宋体"/>
          <w:bCs/>
          <w:color w:val="auto"/>
          <w:sz w:val="22"/>
          <w:szCs w:val="22"/>
        </w:rPr>
        <w:t>政采云系统默认投标人自动放弃的情形</w:t>
      </w:r>
    </w:p>
    <w:p>
      <w:pPr>
        <w:numPr>
          <w:ilvl w:val="1"/>
          <w:numId w:val="15"/>
        </w:numPr>
        <w:tabs>
          <w:tab w:val="left" w:pos="360"/>
          <w:tab w:val="left" w:pos="640"/>
        </w:tabs>
        <w:spacing w:line="360" w:lineRule="auto"/>
        <w:ind w:left="567" w:hanging="510"/>
        <w:rPr>
          <w:rFonts w:ascii="宋体" w:hAnsi="宋体" w:cs="Arial"/>
          <w:color w:val="auto"/>
          <w:sz w:val="22"/>
          <w:szCs w:val="22"/>
          <w:lang w:val="zh-CN"/>
        </w:rPr>
      </w:pPr>
      <w:r>
        <w:rPr>
          <w:rFonts w:hint="eastAsia" w:ascii="宋体" w:hAnsi="宋体" w:cs="Arial"/>
          <w:color w:val="auto"/>
          <w:sz w:val="22"/>
          <w:szCs w:val="22"/>
          <w:lang w:val="zh-CN"/>
        </w:rPr>
        <w:t>供应商未按规定上传电子响应文件的；</w:t>
      </w:r>
    </w:p>
    <w:p>
      <w:pPr>
        <w:numPr>
          <w:ilvl w:val="1"/>
          <w:numId w:val="15"/>
        </w:numPr>
        <w:tabs>
          <w:tab w:val="left" w:pos="360"/>
          <w:tab w:val="left" w:pos="640"/>
        </w:tabs>
        <w:spacing w:line="360" w:lineRule="auto"/>
        <w:ind w:left="567" w:hanging="510"/>
        <w:rPr>
          <w:rFonts w:ascii="宋体" w:hAnsi="宋体" w:cs="Arial"/>
          <w:color w:val="auto"/>
          <w:sz w:val="22"/>
          <w:szCs w:val="22"/>
          <w:lang w:val="zh-CN"/>
        </w:rPr>
      </w:pPr>
      <w:r>
        <w:rPr>
          <w:rFonts w:hint="eastAsia" w:ascii="宋体" w:hAnsi="宋体" w:cs="Arial"/>
          <w:color w:val="auto"/>
          <w:sz w:val="22"/>
          <w:szCs w:val="22"/>
          <w:lang w:val="zh-CN"/>
        </w:rPr>
        <w:t>在解密期限内供应商电子响应文件解密失败，且经异常处理后政采云电子交易系统仍未能解决的。</w:t>
      </w:r>
    </w:p>
    <w:p>
      <w:pPr>
        <w:numPr>
          <w:ilvl w:val="0"/>
          <w:numId w:val="9"/>
        </w:numPr>
        <w:tabs>
          <w:tab w:val="left" w:pos="540"/>
        </w:tabs>
        <w:spacing w:line="360" w:lineRule="auto"/>
        <w:ind w:left="567" w:hanging="510"/>
        <w:rPr>
          <w:rFonts w:ascii="宋体" w:hAnsi="宋体"/>
          <w:bCs/>
          <w:color w:val="auto"/>
          <w:sz w:val="22"/>
          <w:szCs w:val="22"/>
        </w:rPr>
      </w:pPr>
      <w:r>
        <w:rPr>
          <w:rFonts w:hint="eastAsia" w:ascii="宋体" w:hAnsi="宋体"/>
          <w:bCs/>
          <w:color w:val="auto"/>
          <w:sz w:val="22"/>
          <w:szCs w:val="22"/>
        </w:rPr>
        <w:t>投标报价</w:t>
      </w:r>
    </w:p>
    <w:p>
      <w:pPr>
        <w:numPr>
          <w:ilvl w:val="1"/>
          <w:numId w:val="16"/>
        </w:numPr>
        <w:tabs>
          <w:tab w:val="left" w:pos="360"/>
        </w:tabs>
        <w:spacing w:line="360" w:lineRule="auto"/>
        <w:ind w:left="567" w:hanging="510"/>
        <w:rPr>
          <w:rFonts w:ascii="宋体" w:hAnsi="宋体" w:cs="Arial"/>
          <w:b/>
          <w:bCs/>
          <w:color w:val="auto"/>
          <w:sz w:val="22"/>
          <w:szCs w:val="22"/>
          <w:u w:val="single"/>
        </w:rPr>
      </w:pPr>
      <w:r>
        <w:rPr>
          <w:rFonts w:hint="eastAsia" w:ascii="宋体" w:hAnsi="宋体"/>
          <w:color w:val="auto"/>
          <w:sz w:val="22"/>
          <w:szCs w:val="22"/>
          <w:lang w:val="en-US" w:eastAsia="zh-CN"/>
        </w:rPr>
        <w:t xml:space="preserve"> </w:t>
      </w:r>
      <w:r>
        <w:rPr>
          <w:rFonts w:hint="eastAsia" w:ascii="宋体" w:hAnsi="宋体"/>
          <w:color w:val="auto"/>
          <w:sz w:val="22"/>
          <w:szCs w:val="22"/>
        </w:rPr>
        <w:t>投标报价是指中标投标人在正确地完全履行合同义务后甲方应支付给乙方的价款。</w:t>
      </w:r>
      <w:r>
        <w:rPr>
          <w:rFonts w:hint="eastAsia" w:ascii="宋体" w:hAnsi="宋体"/>
          <w:b/>
          <w:bCs/>
          <w:color w:val="auto"/>
          <w:sz w:val="22"/>
          <w:szCs w:val="22"/>
        </w:rPr>
        <w:t>即</w:t>
      </w:r>
      <w:bookmarkStart w:id="113" w:name="OLE_LINK14"/>
      <w:r>
        <w:rPr>
          <w:rFonts w:hint="eastAsia" w:ascii="宋体" w:hAnsi="宋体"/>
          <w:b/>
          <w:bCs/>
          <w:color w:val="auto"/>
          <w:sz w:val="22"/>
          <w:szCs w:val="22"/>
        </w:rPr>
        <w:t>包括货物款</w:t>
      </w:r>
      <w:r>
        <w:rPr>
          <w:rFonts w:hint="eastAsia" w:ascii="宋体" w:hAnsi="宋体"/>
          <w:b/>
          <w:bCs/>
          <w:color w:val="auto"/>
          <w:sz w:val="22"/>
          <w:szCs w:val="22"/>
          <w:lang w:eastAsia="zh-CN"/>
        </w:rPr>
        <w:t>、</w:t>
      </w:r>
      <w:r>
        <w:rPr>
          <w:rFonts w:hint="eastAsia" w:ascii="宋体" w:hAnsi="宋体"/>
          <w:b/>
          <w:bCs/>
          <w:color w:val="auto"/>
          <w:sz w:val="22"/>
          <w:szCs w:val="22"/>
        </w:rPr>
        <w:t>软件系统（设计、开发、升级）费、专用工具、税金、包装、运输、保险、装卸就位、安装调试、验收（含第三方验收）、技术服务、售后服务、材料、质保期保障、采购代理服务费等全部费用，实行固定费用总包干。投标人应根据上述因素自行考虑含入投标总价。</w:t>
      </w:r>
    </w:p>
    <w:bookmarkEnd w:id="113"/>
    <w:p>
      <w:pPr>
        <w:numPr>
          <w:ilvl w:val="1"/>
          <w:numId w:val="16"/>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投标人须认真阅读、充分理解招标文件，如有疑问可在询疑截止时间前送达（或传真）招标代理机构，招标代理机构将会统一解答。任何因对本项目招标文件理解不清、产生歧义等由此产生的费用，视作以含在投标总价中。</w:t>
      </w:r>
    </w:p>
    <w:p>
      <w:pPr>
        <w:numPr>
          <w:ilvl w:val="1"/>
          <w:numId w:val="16"/>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投标人必须按招标文件规定的开标一览表（统一格式）、投标分项报价表（统一格式）的内容填写单价、合价及其他事项，并由法定代表人或授权代表签署。</w:t>
      </w:r>
    </w:p>
    <w:p>
      <w:pPr>
        <w:numPr>
          <w:ilvl w:val="1"/>
          <w:numId w:val="16"/>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所有投标报价均以人民币报价。</w:t>
      </w:r>
    </w:p>
    <w:p>
      <w:pPr>
        <w:numPr>
          <w:ilvl w:val="1"/>
          <w:numId w:val="16"/>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采购人不接受任何选择报价，对每一项货物/服务只允许一个报价。</w:t>
      </w:r>
    </w:p>
    <w:p>
      <w:pPr>
        <w:numPr>
          <w:ilvl w:val="1"/>
          <w:numId w:val="16"/>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采购人要求分类报价是为了方便评标，但在任何情况下不限制采购人以其认为最合适的条款、条件签订合同的权利。</w:t>
      </w:r>
    </w:p>
    <w:p>
      <w:pPr>
        <w:numPr>
          <w:ilvl w:val="1"/>
          <w:numId w:val="16"/>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报价是成交的一个重要因素，但最低报价不是成交的唯一依据。</w:t>
      </w:r>
    </w:p>
    <w:p>
      <w:pPr>
        <w:numPr>
          <w:ilvl w:val="0"/>
          <w:numId w:val="9"/>
        </w:numPr>
        <w:tabs>
          <w:tab w:val="left" w:pos="540"/>
        </w:tabs>
        <w:spacing w:line="360" w:lineRule="auto"/>
        <w:ind w:left="567" w:hanging="510"/>
        <w:rPr>
          <w:rFonts w:ascii="宋体" w:hAnsi="宋体"/>
          <w:bCs/>
          <w:color w:val="auto"/>
          <w:sz w:val="22"/>
          <w:szCs w:val="22"/>
        </w:rPr>
      </w:pPr>
      <w:r>
        <w:rPr>
          <w:rFonts w:hint="eastAsia" w:ascii="宋体" w:hAnsi="宋体"/>
          <w:bCs/>
          <w:color w:val="auto"/>
          <w:sz w:val="22"/>
          <w:szCs w:val="22"/>
        </w:rPr>
        <w:t>投标人如发生下列情况之一，将上报同级政府采购监督管理部门，追究其责任：</w:t>
      </w:r>
    </w:p>
    <w:p>
      <w:pPr>
        <w:numPr>
          <w:ilvl w:val="0"/>
          <w:numId w:val="17"/>
        </w:numPr>
        <w:tabs>
          <w:tab w:val="left" w:pos="360"/>
        </w:tabs>
        <w:spacing w:line="360" w:lineRule="auto"/>
        <w:ind w:left="567" w:hanging="510"/>
        <w:rPr>
          <w:rFonts w:ascii="宋体" w:hAnsi="宋体" w:cs="宋体"/>
          <w:color w:val="auto"/>
          <w:sz w:val="22"/>
          <w:szCs w:val="22"/>
        </w:rPr>
      </w:pPr>
      <w:r>
        <w:rPr>
          <w:rFonts w:hint="eastAsia" w:ascii="宋体" w:hAnsi="宋体" w:cs="宋体"/>
          <w:color w:val="auto"/>
          <w:sz w:val="22"/>
          <w:szCs w:val="22"/>
        </w:rPr>
        <w:t>投标人在招标文件规定的投标有效期内撤回投标；</w:t>
      </w:r>
    </w:p>
    <w:p>
      <w:pPr>
        <w:numPr>
          <w:ilvl w:val="0"/>
          <w:numId w:val="17"/>
        </w:numPr>
        <w:tabs>
          <w:tab w:val="left" w:pos="360"/>
        </w:tabs>
        <w:spacing w:line="360" w:lineRule="auto"/>
        <w:ind w:left="567" w:hanging="510"/>
        <w:rPr>
          <w:rFonts w:ascii="宋体" w:hAnsi="宋体" w:cs="宋体"/>
          <w:color w:val="auto"/>
          <w:sz w:val="22"/>
          <w:szCs w:val="22"/>
        </w:rPr>
      </w:pPr>
      <w:r>
        <w:rPr>
          <w:rFonts w:hint="eastAsia" w:ascii="宋体" w:hAnsi="宋体" w:cs="宋体"/>
          <w:color w:val="auto"/>
          <w:sz w:val="22"/>
          <w:szCs w:val="22"/>
        </w:rPr>
        <w:t>中标人未按中标通知书中规定的时间与采购人签订合同；</w:t>
      </w:r>
    </w:p>
    <w:p>
      <w:pPr>
        <w:numPr>
          <w:ilvl w:val="0"/>
          <w:numId w:val="17"/>
        </w:numPr>
        <w:tabs>
          <w:tab w:val="left" w:pos="360"/>
        </w:tabs>
        <w:spacing w:line="360" w:lineRule="auto"/>
        <w:ind w:left="567" w:hanging="510"/>
        <w:rPr>
          <w:rFonts w:ascii="宋体" w:hAnsi="宋体" w:cs="宋体"/>
          <w:color w:val="auto"/>
          <w:sz w:val="22"/>
          <w:szCs w:val="22"/>
        </w:rPr>
      </w:pPr>
      <w:r>
        <w:rPr>
          <w:rFonts w:hint="eastAsia" w:ascii="宋体" w:hAnsi="宋体" w:cs="宋体"/>
          <w:color w:val="auto"/>
          <w:sz w:val="22"/>
          <w:szCs w:val="22"/>
        </w:rPr>
        <w:t>投标人在招标文件中提供虚假技术指标及参数，经评标委员会确认属实的。</w:t>
      </w:r>
    </w:p>
    <w:p>
      <w:pPr>
        <w:numPr>
          <w:ilvl w:val="0"/>
          <w:numId w:val="17"/>
        </w:numPr>
        <w:tabs>
          <w:tab w:val="left" w:pos="360"/>
        </w:tabs>
        <w:spacing w:line="360" w:lineRule="auto"/>
        <w:ind w:left="567" w:hanging="510"/>
        <w:rPr>
          <w:rFonts w:ascii="宋体" w:hAnsi="宋体" w:cs="宋体"/>
          <w:color w:val="auto"/>
          <w:sz w:val="22"/>
          <w:szCs w:val="22"/>
        </w:rPr>
      </w:pPr>
      <w:r>
        <w:rPr>
          <w:rFonts w:hint="eastAsia" w:ascii="宋体" w:hAnsi="宋体" w:cs="宋体"/>
          <w:color w:val="auto"/>
          <w:sz w:val="22"/>
          <w:szCs w:val="22"/>
        </w:rPr>
        <w:t>经同级政府采购监督管理部门审查认定投标人有违反《中华人民共和国政府采购法》等有关法律法规的行为。</w:t>
      </w:r>
    </w:p>
    <w:p>
      <w:pPr>
        <w:numPr>
          <w:ilvl w:val="0"/>
          <w:numId w:val="9"/>
        </w:numPr>
        <w:tabs>
          <w:tab w:val="left" w:pos="540"/>
        </w:tabs>
        <w:spacing w:line="360" w:lineRule="auto"/>
        <w:ind w:left="567" w:hanging="510"/>
        <w:rPr>
          <w:rFonts w:ascii="宋体" w:hAnsi="宋体"/>
          <w:bCs/>
          <w:color w:val="auto"/>
          <w:sz w:val="22"/>
          <w:szCs w:val="22"/>
        </w:rPr>
      </w:pPr>
      <w:r>
        <w:rPr>
          <w:rFonts w:hint="eastAsia" w:ascii="宋体" w:hAnsi="宋体"/>
          <w:bCs/>
          <w:color w:val="auto"/>
          <w:sz w:val="22"/>
          <w:szCs w:val="22"/>
        </w:rPr>
        <w:t>投标有效期</w:t>
      </w:r>
    </w:p>
    <w:p>
      <w:pPr>
        <w:numPr>
          <w:ilvl w:val="1"/>
          <w:numId w:val="18"/>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自开标之日起 90天内投标应保持有效。投标有效期短于这个规定期限的投标将视为非响应性投标而予以拒绝。</w:t>
      </w:r>
    </w:p>
    <w:p>
      <w:pPr>
        <w:numPr>
          <w:ilvl w:val="1"/>
          <w:numId w:val="18"/>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特殊情况下，在原投标有效期截止前，采购人可与投标人协商延长投标有效期，这种要求和答复均以书面形式进行。投标人可拒绝接受延期要求。同意延长投标有效期的投标人不得修改投标文件。</w:t>
      </w:r>
    </w:p>
    <w:p>
      <w:pPr>
        <w:spacing w:before="100" w:beforeAutospacing="1" w:after="100" w:afterAutospacing="1" w:line="360" w:lineRule="auto"/>
        <w:ind w:left="783" w:firstLine="0" w:firstLineChars="0"/>
        <w:jc w:val="center"/>
        <w:outlineLvl w:val="0"/>
        <w:rPr>
          <w:rFonts w:ascii="宋体" w:hAnsi="宋体"/>
          <w:color w:val="auto"/>
          <w:sz w:val="22"/>
          <w:szCs w:val="22"/>
        </w:rPr>
      </w:pPr>
      <w:bookmarkStart w:id="114" w:name="_Toc23764"/>
      <w:r>
        <w:rPr>
          <w:rFonts w:hint="eastAsia" w:ascii="宋体" w:hAnsi="宋体"/>
          <w:b/>
          <w:bCs/>
          <w:color w:val="auto"/>
          <w:sz w:val="26"/>
          <w:szCs w:val="26"/>
        </w:rPr>
        <w:t>五、 投标文件的递交</w:t>
      </w:r>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4"/>
    </w:p>
    <w:p>
      <w:pPr>
        <w:numPr>
          <w:ilvl w:val="0"/>
          <w:numId w:val="19"/>
        </w:numPr>
        <w:tabs>
          <w:tab w:val="left" w:pos="540"/>
        </w:tabs>
        <w:spacing w:line="360" w:lineRule="auto"/>
        <w:ind w:left="567" w:hanging="510"/>
        <w:rPr>
          <w:rFonts w:ascii="宋体" w:hAnsi="宋体" w:cs="Arial"/>
          <w:bCs/>
          <w:color w:val="auto"/>
          <w:sz w:val="22"/>
          <w:szCs w:val="22"/>
        </w:rPr>
      </w:pPr>
      <w:r>
        <w:rPr>
          <w:rFonts w:hint="eastAsia" w:ascii="宋体" w:hAnsi="宋体" w:cs="Arial"/>
          <w:bCs/>
          <w:color w:val="auto"/>
          <w:sz w:val="22"/>
          <w:szCs w:val="22"/>
        </w:rPr>
        <w:t>投标文件的递交</w:t>
      </w:r>
    </w:p>
    <w:p>
      <w:pPr>
        <w:numPr>
          <w:ilvl w:val="1"/>
          <w:numId w:val="20"/>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“电子响应文件”的上传、递交，具体详见《政府采购项目电子交易管理操作指南-供应商》（供应商自行去政采云系统上进行下载）：</w:t>
      </w:r>
    </w:p>
    <w:p>
      <w:pPr>
        <w:pStyle w:val="61"/>
        <w:numPr>
          <w:ilvl w:val="0"/>
          <w:numId w:val="21"/>
        </w:numPr>
        <w:autoSpaceDE w:val="0"/>
        <w:autoSpaceDN w:val="0"/>
        <w:adjustRightInd w:val="0"/>
        <w:spacing w:after="0" w:line="360" w:lineRule="auto"/>
        <w:ind w:left="218" w:leftChars="104" w:firstLine="0" w:firstLineChars="0"/>
        <w:jc w:val="left"/>
        <w:rPr>
          <w:rFonts w:ascii="宋体" w:hAnsi="宋体" w:cs="宋体"/>
          <w:color w:val="auto"/>
          <w:sz w:val="22"/>
          <w:szCs w:val="22"/>
        </w:rPr>
      </w:pPr>
      <w:r>
        <w:rPr>
          <w:rFonts w:hint="eastAsia" w:ascii="宋体" w:hAnsi="宋体" w:cs="宋体"/>
          <w:color w:val="auto"/>
          <w:sz w:val="22"/>
          <w:szCs w:val="22"/>
        </w:rPr>
        <w:t>电子响应文件制作完成并生成加密标书，在投标响应截止时间前，供应商需将加密的响应文件上传至政采云平台，接到解密通知后，解密投标响应文件。</w:t>
      </w:r>
    </w:p>
    <w:p>
      <w:pPr>
        <w:pStyle w:val="61"/>
        <w:numPr>
          <w:ilvl w:val="0"/>
          <w:numId w:val="21"/>
        </w:numPr>
        <w:autoSpaceDE w:val="0"/>
        <w:autoSpaceDN w:val="0"/>
        <w:adjustRightInd w:val="0"/>
        <w:spacing w:after="0" w:line="360" w:lineRule="auto"/>
        <w:ind w:left="218" w:leftChars="104" w:firstLine="0" w:firstLineChars="0"/>
        <w:jc w:val="left"/>
        <w:rPr>
          <w:rFonts w:ascii="宋体" w:hAnsi="宋体" w:cs="宋体"/>
          <w:color w:val="auto"/>
          <w:sz w:val="22"/>
          <w:szCs w:val="22"/>
        </w:rPr>
      </w:pPr>
      <w:r>
        <w:rPr>
          <w:rFonts w:hint="eastAsia" w:ascii="宋体" w:hAnsi="宋体" w:cs="宋体"/>
          <w:color w:val="auto"/>
          <w:sz w:val="22"/>
          <w:szCs w:val="22"/>
        </w:rPr>
        <w:t>电子响应文件上传成功后，在“投标响应文件上传-进行中”标签页下，显示状态为“已上传”。可在此处下载打印投标回执；在投标响应截止时间前，供应商可撤回投标响应文件，修改内容。</w:t>
      </w:r>
    </w:p>
    <w:p>
      <w:pPr>
        <w:numPr>
          <w:ilvl w:val="1"/>
          <w:numId w:val="20"/>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 xml:space="preserve"> “备份响应文件”的递交：</w:t>
      </w:r>
    </w:p>
    <w:p>
      <w:pPr>
        <w:pStyle w:val="61"/>
        <w:numPr>
          <w:ilvl w:val="0"/>
          <w:numId w:val="22"/>
        </w:numPr>
        <w:autoSpaceDE w:val="0"/>
        <w:autoSpaceDN w:val="0"/>
        <w:adjustRightInd w:val="0"/>
        <w:spacing w:after="0" w:line="360" w:lineRule="auto"/>
        <w:ind w:left="218" w:leftChars="104" w:firstLine="0" w:firstLineChars="0"/>
        <w:jc w:val="left"/>
        <w:rPr>
          <w:rFonts w:ascii="宋体" w:hAnsi="宋体" w:cs="宋体"/>
          <w:color w:val="auto"/>
          <w:sz w:val="22"/>
          <w:szCs w:val="22"/>
        </w:rPr>
      </w:pPr>
      <w:r>
        <w:rPr>
          <w:rFonts w:hint="eastAsia" w:ascii="宋体" w:hAnsi="宋体" w:cs="宋体"/>
          <w:color w:val="auto"/>
          <w:sz w:val="22"/>
          <w:szCs w:val="22"/>
        </w:rPr>
        <w:t>备份响应文件的递交：</w:t>
      </w:r>
      <w:r>
        <w:rPr>
          <w:color w:val="auto"/>
        </w:rPr>
        <w:fldChar w:fldCharType="begin"/>
      </w:r>
      <w:r>
        <w:rPr>
          <w:color w:val="auto"/>
        </w:rPr>
        <w:instrText xml:space="preserve"> HYPERLINK "mailto:供应商在制作电子标书时，标书生成后有两份，一份为加密标书（用于供应商投标上传），一份为备份标书，其中加密标书文件后缀格式为.jmbs；备份标书文件后缀格式为.bfbs；供应商在系统里上传好加密标书后，应在投标截止时间前将备份标书发送至代理机构邮箱471870577@qq.com。" </w:instrText>
      </w:r>
      <w:r>
        <w:rPr>
          <w:color w:val="auto"/>
        </w:rPr>
        <w:fldChar w:fldCharType="separate"/>
      </w:r>
      <w:r>
        <w:rPr>
          <w:rFonts w:hint="eastAsia" w:ascii="宋体" w:hAnsi="宋体" w:cs="宋体"/>
          <w:color w:val="auto"/>
          <w:sz w:val="22"/>
          <w:szCs w:val="22"/>
        </w:rPr>
        <w:t>供应商在系统里上传好加密标书后，可以（建议）在投标响应截止时间前将系统生成的备份标书（后缀格式为.bfbs）以电子邮件形式传送至采购代理机构邮箱</w:t>
      </w:r>
      <w:r>
        <w:rPr>
          <w:rFonts w:hint="eastAsia" w:ascii="宋体" w:hAnsi="宋体" w:cs="宋体"/>
          <w:color w:val="auto"/>
          <w:sz w:val="22"/>
          <w:szCs w:val="22"/>
          <w:lang w:eastAsia="zh-CN"/>
        </w:rPr>
        <w:t>1829751086@qq.com</w:t>
      </w:r>
      <w:r>
        <w:rPr>
          <w:rFonts w:hint="eastAsia" w:ascii="宋体" w:hAnsi="宋体" w:cs="宋体"/>
          <w:color w:val="auto"/>
          <w:sz w:val="22"/>
          <w:szCs w:val="22"/>
        </w:rPr>
        <w:t>，</w:t>
      </w:r>
      <w:r>
        <w:rPr>
          <w:rFonts w:hint="eastAsia" w:ascii="宋体" w:hAnsi="宋体" w:cs="宋体"/>
          <w:color w:val="auto"/>
          <w:sz w:val="22"/>
          <w:szCs w:val="22"/>
        </w:rPr>
        <w:fldChar w:fldCharType="end"/>
      </w:r>
      <w:r>
        <w:rPr>
          <w:rFonts w:hint="eastAsia" w:ascii="宋体" w:hAnsi="宋体" w:cs="宋体"/>
          <w:color w:val="auto"/>
          <w:sz w:val="22"/>
          <w:szCs w:val="22"/>
        </w:rPr>
        <w:t>传送的备份标书需打包压缩并加密，加密密码由供应商自行保管。</w:t>
      </w:r>
    </w:p>
    <w:p>
      <w:pPr>
        <w:pStyle w:val="61"/>
        <w:numPr>
          <w:ilvl w:val="0"/>
          <w:numId w:val="22"/>
        </w:numPr>
        <w:autoSpaceDE w:val="0"/>
        <w:autoSpaceDN w:val="0"/>
        <w:adjustRightInd w:val="0"/>
        <w:spacing w:after="0" w:line="360" w:lineRule="auto"/>
        <w:ind w:left="218" w:leftChars="104" w:firstLine="0" w:firstLineChars="0"/>
        <w:jc w:val="left"/>
        <w:rPr>
          <w:rFonts w:ascii="宋体" w:hAnsi="宋体" w:cs="宋体"/>
          <w:color w:val="auto"/>
          <w:sz w:val="22"/>
          <w:szCs w:val="22"/>
        </w:rPr>
      </w:pPr>
      <w:r>
        <w:rPr>
          <w:rFonts w:hint="eastAsia" w:ascii="宋体" w:hAnsi="宋体" w:cs="宋体"/>
          <w:color w:val="auto"/>
          <w:sz w:val="22"/>
          <w:szCs w:val="22"/>
        </w:rPr>
        <w:t>通过“政府采购云平台”上传递交的“电子响应文件”无法按时解密，供应商递交了备份响应文件的，以备份响应文件为依据，否则视为响应文件撤回。 通过“政府采购云平台”上传递交的“电子响应文件”已按时解密的，“备份响应文件”自动失效。供应商仅递交备份响应文件的，投标无效；</w:t>
      </w:r>
    </w:p>
    <w:p>
      <w:pPr>
        <w:numPr>
          <w:ilvl w:val="1"/>
          <w:numId w:val="20"/>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 xml:space="preserve"> 供应商需保证上传的电子响应文件与提交的备份响应文件必须同时生成且内容完全一致；。</w:t>
      </w:r>
    </w:p>
    <w:p>
      <w:pPr>
        <w:numPr>
          <w:ilvl w:val="0"/>
          <w:numId w:val="19"/>
        </w:numPr>
        <w:tabs>
          <w:tab w:val="left" w:pos="540"/>
        </w:tabs>
        <w:spacing w:line="360" w:lineRule="auto"/>
        <w:ind w:left="567" w:hanging="510"/>
        <w:rPr>
          <w:rFonts w:ascii="宋体" w:hAnsi="宋体" w:cs="Arial"/>
          <w:bCs/>
          <w:color w:val="auto"/>
          <w:sz w:val="22"/>
          <w:szCs w:val="22"/>
        </w:rPr>
      </w:pPr>
      <w:r>
        <w:rPr>
          <w:rFonts w:hint="eastAsia" w:ascii="宋体" w:hAnsi="宋体" w:cs="Arial"/>
          <w:bCs/>
          <w:color w:val="auto"/>
          <w:sz w:val="22"/>
          <w:szCs w:val="22"/>
        </w:rPr>
        <w:t>“电子加密投标文件”解密和异常情况处理。</w:t>
      </w:r>
    </w:p>
    <w:p>
      <w:pPr>
        <w:numPr>
          <w:ilvl w:val="1"/>
          <w:numId w:val="23"/>
        </w:numPr>
        <w:tabs>
          <w:tab w:val="left" w:pos="360"/>
        </w:tabs>
        <w:spacing w:line="360" w:lineRule="auto"/>
        <w:ind w:left="567" w:hanging="510"/>
        <w:rPr>
          <w:rFonts w:ascii="宋体" w:hAnsi="宋体" w:cs="Arial"/>
          <w:color w:val="auto"/>
          <w:sz w:val="22"/>
          <w:szCs w:val="22"/>
          <w:lang w:val="zh-CN"/>
        </w:rPr>
      </w:pPr>
      <w:r>
        <w:rPr>
          <w:rFonts w:hint="eastAsia" w:ascii="宋体" w:hAnsi="宋体" w:cs="Arial"/>
          <w:color w:val="auto"/>
          <w:sz w:val="22"/>
          <w:szCs w:val="22"/>
          <w:lang w:val="zh-CN"/>
        </w:rPr>
        <w:t>投标</w:t>
      </w:r>
      <w:r>
        <w:rPr>
          <w:rFonts w:hint="eastAsia" w:ascii="宋体" w:hAnsi="宋体" w:cs="Arial"/>
          <w:color w:val="auto"/>
          <w:sz w:val="22"/>
          <w:szCs w:val="22"/>
        </w:rPr>
        <w:t>响应</w:t>
      </w:r>
      <w:r>
        <w:rPr>
          <w:rFonts w:hint="eastAsia" w:ascii="宋体" w:hAnsi="宋体" w:cs="Arial"/>
          <w:color w:val="auto"/>
          <w:sz w:val="22"/>
          <w:szCs w:val="22"/>
          <w:lang w:val="zh-CN"/>
        </w:rPr>
        <w:t>截止时间后，采购组织机构将向各供应商发出解密通知，各供应商代表应当在接到解密通知后登录政采云平台，对电子响应文件进行在线解密（解密</w:t>
      </w:r>
      <w:r>
        <w:rPr>
          <w:rFonts w:hint="eastAsia" w:ascii="宋体" w:hAnsi="宋体" w:cs="Arial"/>
          <w:color w:val="auto"/>
          <w:sz w:val="22"/>
          <w:szCs w:val="22"/>
        </w:rPr>
        <w:t>电子响应</w:t>
      </w:r>
      <w:r>
        <w:rPr>
          <w:rFonts w:hint="eastAsia" w:ascii="宋体" w:hAnsi="宋体" w:cs="Arial"/>
          <w:color w:val="auto"/>
          <w:sz w:val="22"/>
          <w:szCs w:val="22"/>
          <w:lang w:val="zh-CN"/>
        </w:rPr>
        <w:t>文件必须插入CA），在线解密电子响应文件时间为接到解密通知后</w:t>
      </w:r>
      <w:r>
        <w:rPr>
          <w:rFonts w:hint="eastAsia" w:ascii="宋体" w:hAnsi="宋体" w:cs="Arial"/>
          <w:color w:val="auto"/>
          <w:sz w:val="22"/>
          <w:szCs w:val="22"/>
        </w:rPr>
        <w:t>3</w:t>
      </w:r>
      <w:r>
        <w:rPr>
          <w:rFonts w:hint="eastAsia" w:ascii="宋体" w:hAnsi="宋体" w:cs="Arial"/>
          <w:color w:val="auto"/>
          <w:sz w:val="22"/>
          <w:szCs w:val="22"/>
          <w:lang w:val="zh-CN"/>
        </w:rPr>
        <w:t>0分钟内。</w:t>
      </w:r>
    </w:p>
    <w:p>
      <w:pPr>
        <w:numPr>
          <w:ilvl w:val="1"/>
          <w:numId w:val="23"/>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lang w:val="zh-CN"/>
        </w:rPr>
        <w:t>异常处理</w:t>
      </w:r>
      <w:r>
        <w:rPr>
          <w:rFonts w:hint="eastAsia" w:ascii="宋体" w:hAnsi="宋体" w:cs="Arial"/>
          <w:color w:val="auto"/>
          <w:sz w:val="22"/>
          <w:szCs w:val="22"/>
        </w:rPr>
        <w:t>：</w:t>
      </w:r>
      <w:r>
        <w:rPr>
          <w:rFonts w:hint="eastAsia" w:ascii="宋体" w:hAnsi="宋体" w:cs="Arial"/>
          <w:color w:val="auto"/>
          <w:sz w:val="22"/>
          <w:szCs w:val="22"/>
          <w:lang w:val="zh-CN"/>
        </w:rPr>
        <w:t>如政采云上电子响应文件出现解密失败情况</w:t>
      </w:r>
      <w:r>
        <w:rPr>
          <w:rFonts w:hint="eastAsia" w:ascii="宋体" w:hAnsi="宋体" w:cs="Arial"/>
          <w:color w:val="auto"/>
          <w:sz w:val="22"/>
          <w:szCs w:val="22"/>
        </w:rPr>
        <w:t>，</w:t>
      </w:r>
      <w:r>
        <w:rPr>
          <w:rFonts w:hint="eastAsia" w:ascii="宋体" w:hAnsi="宋体" w:cs="Arial"/>
          <w:color w:val="auto"/>
          <w:sz w:val="22"/>
          <w:szCs w:val="22"/>
          <w:lang w:val="zh-CN"/>
        </w:rPr>
        <w:t>供应商可根据自身意愿确认是否将备份标书压缩包的解密密码传送至采购代理机构邮箱</w:t>
      </w:r>
      <w:r>
        <w:rPr>
          <w:rFonts w:hint="eastAsia" w:ascii="宋体" w:hAnsi="宋体" w:cs="Arial"/>
          <w:color w:val="auto"/>
          <w:sz w:val="22"/>
          <w:szCs w:val="22"/>
          <w:lang w:eastAsia="zh-CN"/>
        </w:rPr>
        <w:t>1829751086@qq.com</w:t>
      </w:r>
      <w:r>
        <w:rPr>
          <w:rFonts w:hint="eastAsia" w:ascii="宋体" w:hAnsi="宋体" w:cs="Arial"/>
          <w:color w:val="auto"/>
          <w:sz w:val="22"/>
          <w:szCs w:val="22"/>
        </w:rPr>
        <w:t>,</w:t>
      </w:r>
      <w:r>
        <w:rPr>
          <w:rFonts w:hint="eastAsia" w:ascii="宋体" w:hAnsi="宋体" w:cs="Arial"/>
          <w:color w:val="auto"/>
          <w:sz w:val="22"/>
          <w:szCs w:val="22"/>
          <w:lang w:val="zh-CN"/>
        </w:rPr>
        <w:t>采购代理机构收到解密密码后通过【异常处理】的端口对供应商的备份响应文件进行上传</w:t>
      </w:r>
      <w:r>
        <w:rPr>
          <w:rFonts w:hint="eastAsia" w:ascii="宋体" w:hAnsi="宋体" w:cs="Arial"/>
          <w:color w:val="auto"/>
          <w:sz w:val="22"/>
          <w:szCs w:val="22"/>
        </w:rPr>
        <w:t>（</w:t>
      </w:r>
      <w:r>
        <w:rPr>
          <w:rFonts w:hint="eastAsia" w:ascii="宋体" w:hAnsi="宋体" w:cs="Arial"/>
          <w:color w:val="auto"/>
          <w:sz w:val="22"/>
          <w:szCs w:val="22"/>
          <w:lang w:val="zh-CN"/>
        </w:rPr>
        <w:t>上传成功后</w:t>
      </w:r>
      <w:r>
        <w:rPr>
          <w:rFonts w:hint="eastAsia" w:ascii="宋体" w:hAnsi="宋体" w:cs="Arial"/>
          <w:color w:val="auto"/>
          <w:sz w:val="22"/>
          <w:szCs w:val="22"/>
        </w:rPr>
        <w:t>，“</w:t>
      </w:r>
      <w:r>
        <w:rPr>
          <w:rFonts w:hint="eastAsia" w:ascii="宋体" w:hAnsi="宋体" w:cs="Arial"/>
          <w:color w:val="auto"/>
          <w:sz w:val="22"/>
          <w:szCs w:val="22"/>
          <w:lang w:val="zh-CN"/>
        </w:rPr>
        <w:t>电子</w:t>
      </w:r>
      <w:r>
        <w:rPr>
          <w:rFonts w:hint="eastAsia" w:ascii="宋体" w:hAnsi="宋体" w:cs="Arial"/>
          <w:color w:val="auto"/>
          <w:sz w:val="22"/>
          <w:szCs w:val="22"/>
        </w:rPr>
        <w:t>响应</w:t>
      </w:r>
      <w:r>
        <w:rPr>
          <w:rFonts w:hint="eastAsia" w:ascii="宋体" w:hAnsi="宋体" w:cs="Arial"/>
          <w:color w:val="auto"/>
          <w:sz w:val="22"/>
          <w:szCs w:val="22"/>
          <w:lang w:val="zh-CN"/>
        </w:rPr>
        <w:t>文件</w:t>
      </w:r>
      <w:r>
        <w:rPr>
          <w:rFonts w:hint="eastAsia" w:ascii="宋体" w:hAnsi="宋体" w:cs="Arial"/>
          <w:color w:val="auto"/>
          <w:sz w:val="22"/>
          <w:szCs w:val="22"/>
        </w:rPr>
        <w:t>”</w:t>
      </w:r>
      <w:r>
        <w:rPr>
          <w:rFonts w:hint="eastAsia" w:ascii="宋体" w:hAnsi="宋体" w:cs="Arial"/>
          <w:color w:val="auto"/>
          <w:sz w:val="22"/>
          <w:szCs w:val="22"/>
          <w:lang w:val="zh-CN"/>
        </w:rPr>
        <w:t>自动失效</w:t>
      </w:r>
      <w:r>
        <w:rPr>
          <w:rFonts w:hint="eastAsia" w:ascii="宋体" w:hAnsi="宋体" w:cs="Arial"/>
          <w:color w:val="auto"/>
          <w:sz w:val="22"/>
          <w:szCs w:val="22"/>
        </w:rPr>
        <w:t>），</w:t>
      </w:r>
      <w:r>
        <w:rPr>
          <w:rFonts w:hint="eastAsia" w:ascii="宋体" w:hAnsi="宋体" w:cs="Arial"/>
          <w:color w:val="auto"/>
          <w:sz w:val="22"/>
          <w:szCs w:val="22"/>
          <w:lang w:val="zh-CN"/>
        </w:rPr>
        <w:t>不能成功上传的视为</w:t>
      </w:r>
      <w:r>
        <w:rPr>
          <w:rFonts w:hint="eastAsia" w:ascii="宋体" w:hAnsi="宋体" w:cs="Arial"/>
          <w:color w:val="auto"/>
          <w:sz w:val="22"/>
          <w:szCs w:val="22"/>
        </w:rPr>
        <w:t>响应</w:t>
      </w:r>
      <w:r>
        <w:rPr>
          <w:rFonts w:hint="eastAsia" w:ascii="宋体" w:hAnsi="宋体" w:cs="Arial"/>
          <w:color w:val="auto"/>
          <w:sz w:val="22"/>
          <w:szCs w:val="22"/>
          <w:lang w:val="zh-CN"/>
        </w:rPr>
        <w:t>文件撤回</w:t>
      </w:r>
      <w:r>
        <w:rPr>
          <w:rFonts w:hint="eastAsia" w:ascii="宋体" w:hAnsi="宋体" w:cs="Arial"/>
          <w:color w:val="auto"/>
          <w:sz w:val="22"/>
          <w:szCs w:val="22"/>
        </w:rPr>
        <w:t>）</w:t>
      </w:r>
      <w:r>
        <w:rPr>
          <w:rFonts w:hint="eastAsia" w:ascii="宋体" w:hAnsi="宋体" w:cs="Arial"/>
          <w:color w:val="auto"/>
          <w:sz w:val="22"/>
          <w:szCs w:val="22"/>
          <w:lang w:val="zh-CN"/>
        </w:rPr>
        <w:t>。</w:t>
      </w:r>
    </w:p>
    <w:p>
      <w:pPr>
        <w:numPr>
          <w:ilvl w:val="1"/>
          <w:numId w:val="23"/>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 xml:space="preserve">  响应</w:t>
      </w:r>
      <w:r>
        <w:rPr>
          <w:rFonts w:hint="eastAsia" w:ascii="宋体" w:hAnsi="宋体" w:cs="Arial"/>
          <w:color w:val="auto"/>
          <w:sz w:val="22"/>
          <w:szCs w:val="22"/>
          <w:lang w:val="zh-CN"/>
        </w:rPr>
        <w:t>文件的启用，按先后顺序分别为电子响应文件、以电子邮件形式的备份响应文件，在下一顺位的</w:t>
      </w:r>
      <w:r>
        <w:rPr>
          <w:rFonts w:hint="eastAsia" w:ascii="宋体" w:hAnsi="宋体" w:cs="Arial"/>
          <w:color w:val="auto"/>
          <w:sz w:val="22"/>
          <w:szCs w:val="22"/>
        </w:rPr>
        <w:t>响应</w:t>
      </w:r>
      <w:r>
        <w:rPr>
          <w:rFonts w:hint="eastAsia" w:ascii="宋体" w:hAnsi="宋体" w:cs="Arial"/>
          <w:color w:val="auto"/>
          <w:sz w:val="22"/>
          <w:szCs w:val="22"/>
          <w:lang w:val="zh-CN"/>
        </w:rPr>
        <w:t>文件启用之后，前一顺位的</w:t>
      </w:r>
      <w:r>
        <w:rPr>
          <w:rFonts w:hint="eastAsia" w:ascii="宋体" w:hAnsi="宋体" w:cs="Arial"/>
          <w:color w:val="auto"/>
          <w:sz w:val="22"/>
          <w:szCs w:val="22"/>
        </w:rPr>
        <w:t>响应</w:t>
      </w:r>
      <w:r>
        <w:rPr>
          <w:rFonts w:hint="eastAsia" w:ascii="宋体" w:hAnsi="宋体" w:cs="Arial"/>
          <w:color w:val="auto"/>
          <w:sz w:val="22"/>
          <w:szCs w:val="22"/>
          <w:lang w:val="zh-CN"/>
        </w:rPr>
        <w:t>文件自动失效。</w:t>
      </w:r>
    </w:p>
    <w:p>
      <w:pPr>
        <w:numPr>
          <w:ilvl w:val="0"/>
          <w:numId w:val="19"/>
        </w:numPr>
        <w:tabs>
          <w:tab w:val="left" w:pos="540"/>
        </w:tabs>
        <w:spacing w:line="360" w:lineRule="auto"/>
        <w:ind w:left="567" w:hanging="510"/>
        <w:rPr>
          <w:rFonts w:ascii="宋体" w:hAnsi="宋体" w:cs="Arial"/>
          <w:bCs/>
          <w:color w:val="auto"/>
          <w:sz w:val="22"/>
          <w:szCs w:val="22"/>
        </w:rPr>
      </w:pPr>
      <w:r>
        <w:rPr>
          <w:rFonts w:hint="eastAsia" w:ascii="宋体" w:hAnsi="宋体" w:cs="Arial"/>
          <w:bCs/>
          <w:color w:val="auto"/>
          <w:sz w:val="22"/>
          <w:szCs w:val="22"/>
        </w:rPr>
        <w:t>投标文件的补充、修改或撤回</w:t>
      </w:r>
    </w:p>
    <w:p>
      <w:pPr>
        <w:numPr>
          <w:ilvl w:val="1"/>
          <w:numId w:val="24"/>
        </w:numPr>
        <w:tabs>
          <w:tab w:val="left" w:pos="540"/>
        </w:tabs>
        <w:spacing w:line="360" w:lineRule="auto"/>
        <w:ind w:left="567" w:hanging="510"/>
        <w:rPr>
          <w:rFonts w:ascii="宋体" w:hAnsi="宋体"/>
          <w:bCs/>
          <w:color w:val="auto"/>
          <w:sz w:val="22"/>
          <w:szCs w:val="22"/>
        </w:rPr>
      </w:pPr>
      <w:r>
        <w:rPr>
          <w:rFonts w:hint="eastAsia" w:ascii="宋体" w:hAnsi="宋体"/>
          <w:bCs/>
          <w:color w:val="auto"/>
          <w:sz w:val="22"/>
          <w:szCs w:val="22"/>
        </w:rPr>
        <w:t>投标人应当在投标文件递交截止时间前完成投标文件的上传、递交，并可以补充、修改或者撤回投标文件。补充或者修改投标文件的，应当先行撤回原文件，补充、修改后重新上传、递交。投标文件递交截止时间前未完成上传、递交的，视为撤回投标文件。投标文件递交截止时间后递交的投标文件，“政采云平台”将予以拒收。</w:t>
      </w:r>
    </w:p>
    <w:p>
      <w:pPr>
        <w:numPr>
          <w:ilvl w:val="1"/>
          <w:numId w:val="24"/>
        </w:numPr>
        <w:tabs>
          <w:tab w:val="left" w:pos="540"/>
        </w:tabs>
        <w:spacing w:line="360" w:lineRule="auto"/>
        <w:ind w:left="567" w:hanging="510"/>
        <w:rPr>
          <w:rFonts w:ascii="宋体" w:hAnsi="宋体"/>
          <w:bCs/>
          <w:color w:val="auto"/>
          <w:sz w:val="22"/>
          <w:szCs w:val="22"/>
        </w:rPr>
      </w:pPr>
      <w:r>
        <w:rPr>
          <w:rFonts w:hint="eastAsia" w:ascii="宋体" w:hAnsi="宋体"/>
          <w:bCs/>
          <w:color w:val="auto"/>
          <w:sz w:val="22"/>
          <w:szCs w:val="22"/>
        </w:rPr>
        <w:t>投标文件递交截止时间后，投标人不得撤回、修改投标文件。</w:t>
      </w:r>
    </w:p>
    <w:p>
      <w:pPr>
        <w:numPr>
          <w:ilvl w:val="0"/>
          <w:numId w:val="19"/>
        </w:numPr>
        <w:tabs>
          <w:tab w:val="left" w:pos="540"/>
        </w:tabs>
        <w:spacing w:line="360" w:lineRule="auto"/>
        <w:ind w:left="567" w:hanging="510"/>
        <w:rPr>
          <w:rFonts w:ascii="宋体" w:hAnsi="宋体" w:cs="Arial"/>
          <w:bCs/>
          <w:color w:val="auto"/>
          <w:sz w:val="22"/>
          <w:szCs w:val="22"/>
        </w:rPr>
      </w:pPr>
      <w:r>
        <w:rPr>
          <w:rFonts w:hint="eastAsia" w:ascii="宋体" w:hAnsi="宋体" w:cs="Arial"/>
          <w:b/>
          <w:color w:val="auto"/>
          <w:sz w:val="22"/>
          <w:szCs w:val="22"/>
          <w:u w:val="single"/>
        </w:rPr>
        <w:t>▲发生下列情况之一的投标文件将不予受理：</w:t>
      </w:r>
    </w:p>
    <w:p>
      <w:pPr>
        <w:numPr>
          <w:ilvl w:val="1"/>
          <w:numId w:val="25"/>
        </w:numPr>
        <w:tabs>
          <w:tab w:val="left" w:pos="360"/>
          <w:tab w:val="clear" w:pos="992"/>
        </w:tabs>
        <w:spacing w:line="360" w:lineRule="auto"/>
        <w:ind w:left="640"/>
        <w:rPr>
          <w:rFonts w:ascii="宋体" w:hAnsi="宋体" w:cs="Arial"/>
          <w:color w:val="auto"/>
          <w:sz w:val="22"/>
          <w:szCs w:val="22"/>
        </w:rPr>
      </w:pPr>
      <w:r>
        <w:rPr>
          <w:rFonts w:hint="eastAsia" w:ascii="宋体" w:hAnsi="宋体" w:cs="Arial"/>
          <w:color w:val="auto"/>
          <w:sz w:val="22"/>
          <w:szCs w:val="22"/>
        </w:rPr>
        <w:t>在投标截止时间以后上传的投标文件；</w:t>
      </w:r>
    </w:p>
    <w:p>
      <w:pPr>
        <w:numPr>
          <w:ilvl w:val="1"/>
          <w:numId w:val="25"/>
        </w:numPr>
        <w:tabs>
          <w:tab w:val="left" w:pos="360"/>
          <w:tab w:val="clear" w:pos="992"/>
        </w:tabs>
        <w:spacing w:line="360" w:lineRule="auto"/>
        <w:ind w:left="640"/>
        <w:rPr>
          <w:rFonts w:ascii="宋体" w:hAnsi="宋体" w:cs="Arial"/>
          <w:color w:val="auto"/>
          <w:sz w:val="22"/>
          <w:szCs w:val="22"/>
        </w:rPr>
      </w:pPr>
      <w:r>
        <w:rPr>
          <w:rFonts w:hint="eastAsia" w:ascii="宋体" w:hAnsi="宋体" w:cs="Arial"/>
          <w:color w:val="auto"/>
          <w:sz w:val="22"/>
          <w:szCs w:val="22"/>
        </w:rPr>
        <w:t>仅递交了“备份投标文件”而未将电子加密投标文件上传至“政府采购云平台”的；</w:t>
      </w:r>
    </w:p>
    <w:p>
      <w:pPr>
        <w:numPr>
          <w:ilvl w:val="1"/>
          <w:numId w:val="25"/>
        </w:numPr>
        <w:tabs>
          <w:tab w:val="left" w:pos="360"/>
          <w:tab w:val="clear" w:pos="992"/>
        </w:tabs>
        <w:spacing w:line="360" w:lineRule="auto"/>
        <w:ind w:left="640"/>
        <w:rPr>
          <w:rFonts w:ascii="宋体" w:hAnsi="宋体" w:cs="Arial"/>
          <w:color w:val="auto"/>
          <w:sz w:val="22"/>
          <w:szCs w:val="22"/>
        </w:rPr>
      </w:pPr>
      <w:r>
        <w:rPr>
          <w:rFonts w:hint="eastAsia" w:ascii="宋体" w:hAnsi="宋体" w:cs="Arial"/>
          <w:color w:val="auto"/>
          <w:sz w:val="22"/>
          <w:szCs w:val="22"/>
        </w:rPr>
        <w:t>未在规定时间解密，或者，解密失败且经异常处理政采云系统仍未能识别的；</w:t>
      </w:r>
    </w:p>
    <w:p>
      <w:pPr>
        <w:numPr>
          <w:ilvl w:val="1"/>
          <w:numId w:val="25"/>
        </w:numPr>
        <w:tabs>
          <w:tab w:val="left" w:pos="360"/>
          <w:tab w:val="clear" w:pos="992"/>
        </w:tabs>
        <w:spacing w:line="360" w:lineRule="auto"/>
        <w:ind w:left="640"/>
        <w:rPr>
          <w:rFonts w:ascii="宋体" w:hAnsi="宋体" w:cs="Arial"/>
          <w:color w:val="auto"/>
          <w:sz w:val="22"/>
          <w:szCs w:val="22"/>
        </w:rPr>
      </w:pPr>
      <w:r>
        <w:rPr>
          <w:rFonts w:hint="eastAsia" w:ascii="宋体" w:hAnsi="宋体" w:cs="Arial"/>
          <w:color w:val="auto"/>
          <w:sz w:val="22"/>
          <w:szCs w:val="22"/>
        </w:rPr>
        <w:t>以纸质形式提交的；</w:t>
      </w:r>
    </w:p>
    <w:p>
      <w:pPr>
        <w:tabs>
          <w:tab w:val="left" w:pos="360"/>
          <w:tab w:val="left" w:pos="540"/>
          <w:tab w:val="left" w:pos="1260"/>
        </w:tabs>
        <w:spacing w:before="100" w:beforeAutospacing="1" w:after="100" w:afterAutospacing="1" w:line="360" w:lineRule="auto"/>
        <w:ind w:left="919" w:firstLine="0" w:firstLineChars="0"/>
        <w:jc w:val="center"/>
        <w:outlineLvl w:val="0"/>
        <w:rPr>
          <w:rFonts w:ascii="宋体" w:hAnsi="宋体"/>
          <w:color w:val="auto"/>
          <w:sz w:val="22"/>
          <w:szCs w:val="22"/>
        </w:rPr>
      </w:pPr>
      <w:bookmarkStart w:id="115" w:name="_Toc262105504"/>
      <w:bookmarkStart w:id="116" w:name="_Toc249758865"/>
      <w:bookmarkStart w:id="117" w:name="_Toc221423620"/>
      <w:bookmarkStart w:id="118" w:name="_Toc249758713"/>
      <w:bookmarkStart w:id="119" w:name="_Toc246261266"/>
      <w:bookmarkStart w:id="120" w:name="_Toc20271"/>
      <w:bookmarkStart w:id="121" w:name="_Toc262049419"/>
      <w:bookmarkStart w:id="122" w:name="_Toc221356888"/>
      <w:bookmarkStart w:id="123" w:name="_Toc239145355"/>
      <w:bookmarkStart w:id="124" w:name="_Toc245191315"/>
      <w:bookmarkStart w:id="125" w:name="_Toc221356952"/>
      <w:bookmarkStart w:id="126" w:name="_Toc245722282"/>
      <w:bookmarkStart w:id="127" w:name="_Toc223715999"/>
      <w:bookmarkStart w:id="128" w:name="_Toc222114880"/>
      <w:bookmarkStart w:id="129" w:name="_Toc241404203"/>
      <w:bookmarkStart w:id="130" w:name="_Toc221374627"/>
      <w:r>
        <w:rPr>
          <w:rFonts w:hint="eastAsia" w:ascii="宋体" w:hAnsi="宋体"/>
          <w:b/>
          <w:bCs/>
          <w:color w:val="auto"/>
          <w:sz w:val="26"/>
          <w:szCs w:val="26"/>
        </w:rPr>
        <w:t>六、 开标</w:t>
      </w:r>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p>
    <w:p>
      <w:pPr>
        <w:numPr>
          <w:ilvl w:val="0"/>
          <w:numId w:val="26"/>
        </w:numPr>
        <w:tabs>
          <w:tab w:val="left" w:pos="540"/>
        </w:tabs>
        <w:spacing w:line="360" w:lineRule="auto"/>
        <w:ind w:left="567" w:hanging="510"/>
        <w:rPr>
          <w:rFonts w:ascii="宋体" w:hAnsi="宋体" w:cs="Arial"/>
          <w:bCs/>
          <w:color w:val="auto"/>
          <w:sz w:val="22"/>
          <w:szCs w:val="22"/>
        </w:rPr>
      </w:pPr>
      <w:bookmarkStart w:id="131" w:name="_Toc223716000"/>
      <w:bookmarkStart w:id="132" w:name="_Toc241404204"/>
      <w:bookmarkStart w:id="133" w:name="_Toc249758866"/>
      <w:bookmarkStart w:id="134" w:name="_Toc262049420"/>
      <w:bookmarkStart w:id="135" w:name="_Toc262105505"/>
      <w:bookmarkStart w:id="136" w:name="_Toc221423621"/>
      <w:bookmarkStart w:id="137" w:name="_Toc221356953"/>
      <w:bookmarkStart w:id="138" w:name="_Toc221356889"/>
      <w:bookmarkStart w:id="139" w:name="_Toc245722283"/>
      <w:bookmarkStart w:id="140" w:name="_Toc249758714"/>
      <w:bookmarkStart w:id="141" w:name="_Toc222114881"/>
      <w:bookmarkStart w:id="142" w:name="_Toc245191316"/>
      <w:bookmarkStart w:id="143" w:name="_Toc239145356"/>
      <w:bookmarkStart w:id="144" w:name="_Toc221374628"/>
      <w:bookmarkStart w:id="145" w:name="_Toc246261267"/>
      <w:r>
        <w:rPr>
          <w:rFonts w:hint="eastAsia" w:ascii="宋体" w:hAnsi="宋体" w:cs="Arial"/>
          <w:bCs/>
          <w:color w:val="auto"/>
          <w:sz w:val="22"/>
          <w:szCs w:val="22"/>
        </w:rPr>
        <w:t>开标形式</w:t>
      </w:r>
    </w:p>
    <w:p>
      <w:pPr>
        <w:tabs>
          <w:tab w:val="left" w:pos="540"/>
        </w:tabs>
        <w:spacing w:line="360" w:lineRule="auto"/>
        <w:ind w:firstLine="0" w:firstLineChars="0"/>
        <w:rPr>
          <w:rFonts w:ascii="宋体" w:hAnsi="宋体" w:cs="宋体"/>
          <w:bCs/>
          <w:color w:val="auto"/>
          <w:kern w:val="0"/>
          <w:sz w:val="22"/>
          <w:szCs w:val="22"/>
        </w:rPr>
      </w:pPr>
      <w:r>
        <w:rPr>
          <w:rFonts w:hint="eastAsia" w:ascii="宋体" w:hAnsi="宋体" w:cs="宋体"/>
          <w:bCs/>
          <w:color w:val="auto"/>
          <w:kern w:val="0"/>
          <w:sz w:val="22"/>
          <w:szCs w:val="22"/>
        </w:rPr>
        <w:t>采购组织机构将按照招标文件规定的时间通过“政采云平台”组织开标、开启投标文件，所有投标人均应当准时在线参加。</w:t>
      </w:r>
    </w:p>
    <w:p>
      <w:pPr>
        <w:numPr>
          <w:ilvl w:val="0"/>
          <w:numId w:val="26"/>
        </w:numPr>
        <w:tabs>
          <w:tab w:val="left" w:pos="540"/>
        </w:tabs>
        <w:spacing w:line="360" w:lineRule="auto"/>
        <w:ind w:left="567" w:hanging="510"/>
        <w:rPr>
          <w:rFonts w:ascii="宋体" w:hAnsi="宋体" w:cs="Arial"/>
          <w:bCs/>
          <w:color w:val="auto"/>
          <w:sz w:val="22"/>
          <w:szCs w:val="22"/>
        </w:rPr>
      </w:pPr>
      <w:r>
        <w:rPr>
          <w:rFonts w:hint="eastAsia" w:ascii="宋体" w:hAnsi="宋体" w:cs="Arial"/>
          <w:bCs/>
          <w:color w:val="auto"/>
          <w:sz w:val="22"/>
          <w:szCs w:val="22"/>
        </w:rPr>
        <w:t>开标准备</w:t>
      </w:r>
    </w:p>
    <w:p>
      <w:pPr>
        <w:numPr>
          <w:ilvl w:val="1"/>
          <w:numId w:val="27"/>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开标的准备工作由采购组织机构负责落实。</w:t>
      </w:r>
    </w:p>
    <w:p>
      <w:pPr>
        <w:numPr>
          <w:ilvl w:val="1"/>
          <w:numId w:val="27"/>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采购组织机构将按照招标文件规定的时间通过“政采云平台”组织开标、开启投标文件，所有投标人均应当准时在线参加。投标人如不参加开标大会的，视同认可开标结果，事后不得对采购相关人员、开标过程和开标结果提出异议，同时投标人因未在线参加开标而导致投标文件无法按时解密等一切后果由投标人自己承担。</w:t>
      </w:r>
    </w:p>
    <w:p>
      <w:pPr>
        <w:numPr>
          <w:ilvl w:val="0"/>
          <w:numId w:val="26"/>
        </w:numPr>
        <w:tabs>
          <w:tab w:val="left" w:pos="540"/>
        </w:tabs>
        <w:spacing w:line="360" w:lineRule="auto"/>
        <w:ind w:left="567" w:hanging="510"/>
        <w:rPr>
          <w:rFonts w:ascii="宋体" w:hAnsi="宋体" w:cs="Arial"/>
          <w:bCs/>
          <w:color w:val="auto"/>
          <w:sz w:val="22"/>
          <w:szCs w:val="22"/>
        </w:rPr>
      </w:pPr>
      <w:r>
        <w:rPr>
          <w:rFonts w:hint="eastAsia" w:ascii="宋体" w:hAnsi="宋体" w:cs="Arial"/>
          <w:bCs/>
          <w:color w:val="auto"/>
          <w:sz w:val="22"/>
          <w:szCs w:val="22"/>
        </w:rPr>
        <w:t>开标流程</w:t>
      </w:r>
    </w:p>
    <w:p>
      <w:pPr>
        <w:numPr>
          <w:ilvl w:val="1"/>
          <w:numId w:val="28"/>
        </w:numPr>
        <w:tabs>
          <w:tab w:val="left" w:pos="540"/>
        </w:tabs>
        <w:spacing w:line="360" w:lineRule="auto"/>
        <w:ind w:left="567" w:hanging="510"/>
        <w:rPr>
          <w:rFonts w:ascii="宋体" w:hAnsi="宋体"/>
          <w:bCs/>
          <w:color w:val="auto"/>
          <w:sz w:val="22"/>
          <w:szCs w:val="22"/>
        </w:rPr>
      </w:pPr>
      <w:r>
        <w:rPr>
          <w:rFonts w:hint="eastAsia" w:ascii="宋体" w:hAnsi="宋体"/>
          <w:bCs/>
          <w:color w:val="auto"/>
          <w:sz w:val="22"/>
          <w:szCs w:val="22"/>
        </w:rPr>
        <w:t>按采购文件规定的时间、地点开启各投标人的投标文件。开标前，首先检查投标文件的密封情况，确认无误后开启投标文件（资格文件、商务技术文件、报价文件）</w:t>
      </w:r>
    </w:p>
    <w:p>
      <w:pPr>
        <w:numPr>
          <w:ilvl w:val="1"/>
          <w:numId w:val="28"/>
        </w:numPr>
        <w:tabs>
          <w:tab w:val="left" w:pos="540"/>
        </w:tabs>
        <w:spacing w:line="360" w:lineRule="auto"/>
        <w:ind w:left="567" w:hanging="510"/>
        <w:rPr>
          <w:rFonts w:ascii="宋体" w:hAnsi="宋体"/>
          <w:bCs/>
          <w:color w:val="auto"/>
          <w:sz w:val="22"/>
          <w:szCs w:val="22"/>
        </w:rPr>
      </w:pPr>
      <w:r>
        <w:rPr>
          <w:rFonts w:hint="eastAsia" w:ascii="宋体" w:hAnsi="宋体"/>
          <w:bCs/>
          <w:color w:val="auto"/>
          <w:sz w:val="22"/>
          <w:szCs w:val="22"/>
        </w:rPr>
        <w:t>电子招投标开标及评审程序</w:t>
      </w:r>
    </w:p>
    <w:p>
      <w:pPr>
        <w:numPr>
          <w:ilvl w:val="0"/>
          <w:numId w:val="29"/>
        </w:numPr>
        <w:overflowPunct w:val="0"/>
        <w:spacing w:line="360" w:lineRule="auto"/>
        <w:rPr>
          <w:rFonts w:ascii="宋体" w:hAnsi="宋体" w:cs="宋体"/>
          <w:bCs/>
          <w:color w:val="auto"/>
          <w:sz w:val="22"/>
          <w:szCs w:val="22"/>
        </w:rPr>
      </w:pPr>
      <w:r>
        <w:rPr>
          <w:rFonts w:hint="eastAsia" w:ascii="宋体" w:hAnsi="宋体" w:cs="宋体"/>
          <w:bCs/>
          <w:color w:val="auto"/>
          <w:sz w:val="22"/>
          <w:szCs w:val="22"/>
        </w:rPr>
        <w:t>投标截止时间后，投标人登录政采云平台，用“项目采购-开标评标”功能对电子投标文件进行在线解密。在线解密电子投标文件时间为开标时间起30分钟内。</w:t>
      </w:r>
    </w:p>
    <w:p>
      <w:pPr>
        <w:numPr>
          <w:ilvl w:val="0"/>
          <w:numId w:val="29"/>
        </w:numPr>
        <w:overflowPunct w:val="0"/>
        <w:spacing w:line="360" w:lineRule="auto"/>
        <w:rPr>
          <w:rFonts w:ascii="宋体" w:hAnsi="宋体" w:cs="宋体"/>
          <w:bCs/>
          <w:color w:val="auto"/>
          <w:sz w:val="22"/>
          <w:szCs w:val="22"/>
        </w:rPr>
      </w:pPr>
      <w:r>
        <w:rPr>
          <w:rFonts w:hint="eastAsia" w:ascii="宋体" w:hAnsi="宋体" w:cs="宋体"/>
          <w:bCs/>
          <w:color w:val="auto"/>
          <w:sz w:val="22"/>
          <w:szCs w:val="22"/>
        </w:rPr>
        <w:t>在系统上公布各投标人名称、投标报价及招标文件规定的需要宣布的其他内容。</w:t>
      </w:r>
    </w:p>
    <w:p>
      <w:pPr>
        <w:numPr>
          <w:ilvl w:val="0"/>
          <w:numId w:val="29"/>
        </w:numPr>
        <w:overflowPunct w:val="0"/>
        <w:spacing w:line="360" w:lineRule="auto"/>
        <w:rPr>
          <w:rFonts w:ascii="宋体" w:hAnsi="宋体" w:cs="宋体"/>
          <w:bCs/>
          <w:color w:val="auto"/>
          <w:sz w:val="22"/>
          <w:szCs w:val="22"/>
        </w:rPr>
      </w:pPr>
      <w:r>
        <w:rPr>
          <w:rFonts w:hint="eastAsia" w:ascii="宋体" w:hAnsi="宋体" w:cs="宋体"/>
          <w:bCs/>
          <w:color w:val="auto"/>
          <w:sz w:val="22"/>
          <w:szCs w:val="22"/>
        </w:rPr>
        <w:t>评标委员会对资格文件和商务技术文件进行评审。</w:t>
      </w:r>
    </w:p>
    <w:p>
      <w:pPr>
        <w:numPr>
          <w:ilvl w:val="0"/>
          <w:numId w:val="29"/>
        </w:numPr>
        <w:overflowPunct w:val="0"/>
        <w:spacing w:line="360" w:lineRule="auto"/>
        <w:rPr>
          <w:rFonts w:ascii="宋体" w:hAnsi="宋体" w:cs="宋体"/>
          <w:bCs/>
          <w:color w:val="auto"/>
          <w:sz w:val="22"/>
          <w:szCs w:val="22"/>
        </w:rPr>
      </w:pPr>
      <w:r>
        <w:rPr>
          <w:rFonts w:hint="eastAsia" w:ascii="宋体" w:hAnsi="宋体" w:cs="宋体"/>
          <w:bCs/>
          <w:color w:val="auto"/>
          <w:sz w:val="22"/>
          <w:szCs w:val="22"/>
        </w:rPr>
        <w:t>在系统上公开资格和商务技术评审结果。</w:t>
      </w:r>
    </w:p>
    <w:p>
      <w:pPr>
        <w:numPr>
          <w:ilvl w:val="0"/>
          <w:numId w:val="29"/>
        </w:numPr>
        <w:overflowPunct w:val="0"/>
        <w:spacing w:line="360" w:lineRule="auto"/>
        <w:rPr>
          <w:rFonts w:ascii="宋体" w:hAnsi="宋体" w:cs="宋体"/>
          <w:bCs/>
          <w:color w:val="auto"/>
          <w:sz w:val="22"/>
          <w:szCs w:val="22"/>
        </w:rPr>
      </w:pPr>
      <w:r>
        <w:rPr>
          <w:rFonts w:hint="eastAsia" w:ascii="宋体" w:hAnsi="宋体" w:cs="宋体"/>
          <w:bCs/>
          <w:color w:val="auto"/>
          <w:sz w:val="22"/>
          <w:szCs w:val="22"/>
        </w:rPr>
        <w:t>评标委员会对报价文件进行评审。</w:t>
      </w:r>
    </w:p>
    <w:p>
      <w:pPr>
        <w:numPr>
          <w:ilvl w:val="0"/>
          <w:numId w:val="29"/>
        </w:numPr>
        <w:overflowPunct w:val="0"/>
        <w:spacing w:line="360" w:lineRule="auto"/>
        <w:rPr>
          <w:rFonts w:ascii="宋体" w:hAnsi="宋体" w:cs="宋体"/>
          <w:bCs/>
          <w:color w:val="auto"/>
          <w:sz w:val="22"/>
          <w:szCs w:val="22"/>
        </w:rPr>
      </w:pPr>
      <w:r>
        <w:rPr>
          <w:rFonts w:hint="eastAsia" w:ascii="宋体" w:hAnsi="宋体" w:cs="宋体"/>
          <w:bCs/>
          <w:color w:val="auto"/>
          <w:sz w:val="22"/>
          <w:szCs w:val="22"/>
        </w:rPr>
        <w:t>在系统上公布评审结果。</w:t>
      </w:r>
    </w:p>
    <w:p>
      <w:pPr>
        <w:overflowPunct w:val="0"/>
        <w:spacing w:line="360" w:lineRule="auto"/>
        <w:ind w:left="110"/>
        <w:rPr>
          <w:rFonts w:ascii="宋体" w:hAnsi="宋体" w:cs="宋体"/>
          <w:b/>
          <w:bCs/>
          <w:color w:val="auto"/>
          <w:sz w:val="22"/>
          <w:szCs w:val="22"/>
        </w:rPr>
      </w:pPr>
      <w:r>
        <w:rPr>
          <w:rFonts w:hint="eastAsia" w:ascii="宋体" w:hAnsi="宋体" w:cs="宋体"/>
          <w:b/>
          <w:bCs/>
          <w:color w:val="auto"/>
          <w:sz w:val="22"/>
          <w:szCs w:val="22"/>
        </w:rPr>
        <w:t>特别说明：1、政采云公司如对电子化开标及评审程序有调整的，按调整后的程序操作。</w:t>
      </w:r>
    </w:p>
    <w:p>
      <w:pPr>
        <w:overflowPunct w:val="0"/>
        <w:spacing w:line="360" w:lineRule="auto"/>
        <w:ind w:firstLine="0" w:firstLineChars="0"/>
        <w:rPr>
          <w:rFonts w:ascii="宋体" w:hAnsi="宋体" w:cs="宋体"/>
          <w:b/>
          <w:bCs/>
          <w:color w:val="auto"/>
          <w:sz w:val="22"/>
          <w:szCs w:val="22"/>
        </w:rPr>
      </w:pPr>
      <w:r>
        <w:rPr>
          <w:rFonts w:hint="eastAsia" w:ascii="宋体" w:hAnsi="宋体" w:cs="宋体"/>
          <w:b/>
          <w:bCs/>
          <w:color w:val="auto"/>
          <w:sz w:val="22"/>
          <w:szCs w:val="22"/>
        </w:rPr>
        <w:t>2、目前政府采购全流程电子化交易，投标人须在规定时间内自行解密。</w:t>
      </w:r>
    </w:p>
    <w:p>
      <w:pPr>
        <w:numPr>
          <w:ilvl w:val="1"/>
          <w:numId w:val="28"/>
        </w:numPr>
        <w:tabs>
          <w:tab w:val="left" w:pos="540"/>
        </w:tabs>
        <w:spacing w:line="360" w:lineRule="auto"/>
        <w:ind w:left="567" w:hanging="510"/>
        <w:rPr>
          <w:rFonts w:ascii="宋体" w:hAnsi="宋体"/>
          <w:b/>
          <w:color w:val="auto"/>
          <w:sz w:val="22"/>
          <w:szCs w:val="22"/>
          <w:u w:val="single"/>
        </w:rPr>
      </w:pPr>
      <w:r>
        <w:rPr>
          <w:rFonts w:hint="eastAsia" w:ascii="宋体" w:hAnsi="宋体"/>
          <w:b/>
          <w:color w:val="auto"/>
          <w:sz w:val="22"/>
          <w:szCs w:val="22"/>
          <w:u w:val="single"/>
        </w:rPr>
        <w:t>电子响应文件解密结束后，各投标人签署《政府采购活动现场确认声明书》（见附件）后将扫描件发送至采购代理机构邮箱</w:t>
      </w:r>
      <w:r>
        <w:rPr>
          <w:rFonts w:hint="eastAsia" w:ascii="宋体" w:hAnsi="宋体"/>
          <w:b/>
          <w:color w:val="auto"/>
          <w:sz w:val="22"/>
          <w:szCs w:val="22"/>
          <w:u w:val="single"/>
          <w:lang w:eastAsia="zh-CN"/>
        </w:rPr>
        <w:t>1829751086@qq.com</w:t>
      </w:r>
      <w:r>
        <w:rPr>
          <w:rFonts w:hint="eastAsia" w:ascii="宋体" w:hAnsi="宋体"/>
          <w:b/>
          <w:color w:val="auto"/>
          <w:sz w:val="22"/>
          <w:szCs w:val="22"/>
          <w:u w:val="single"/>
        </w:rPr>
        <w:t>。</w:t>
      </w:r>
    </w:p>
    <w:p>
      <w:pPr>
        <w:numPr>
          <w:ilvl w:val="1"/>
          <w:numId w:val="28"/>
        </w:numPr>
        <w:tabs>
          <w:tab w:val="left" w:pos="540"/>
        </w:tabs>
        <w:spacing w:line="360" w:lineRule="auto"/>
        <w:ind w:left="567" w:hanging="510"/>
        <w:rPr>
          <w:rFonts w:ascii="宋体" w:hAnsi="宋体"/>
          <w:b/>
          <w:color w:val="auto"/>
          <w:sz w:val="22"/>
          <w:szCs w:val="22"/>
        </w:rPr>
      </w:pPr>
      <w:r>
        <w:rPr>
          <w:rFonts w:hint="eastAsia" w:ascii="宋体" w:hAnsi="宋体"/>
          <w:b/>
          <w:color w:val="auto"/>
          <w:sz w:val="22"/>
          <w:szCs w:val="22"/>
        </w:rPr>
        <w:t>评审结束后，在“政采云平台”系统平台上公布个采购人的详细情况及中标（成交）候选投标人名单的公告等。</w:t>
      </w:r>
    </w:p>
    <w:p>
      <w:pPr>
        <w:tabs>
          <w:tab w:val="left" w:pos="540"/>
        </w:tabs>
        <w:spacing w:line="360" w:lineRule="auto"/>
        <w:rPr>
          <w:rFonts w:ascii="宋体" w:hAnsi="宋体" w:cs="宋体"/>
          <w:b/>
          <w:bCs/>
          <w:color w:val="auto"/>
          <w:kern w:val="0"/>
          <w:sz w:val="22"/>
          <w:szCs w:val="22"/>
        </w:rPr>
      </w:pPr>
      <w:r>
        <w:rPr>
          <w:rFonts w:hint="eastAsia" w:ascii="宋体" w:hAnsi="宋体" w:cs="宋体"/>
          <w:b/>
          <w:bCs/>
          <w:color w:val="auto"/>
          <w:kern w:val="0"/>
          <w:sz w:val="22"/>
          <w:szCs w:val="22"/>
        </w:rPr>
        <w:t>特别说明：如遇“政采云平台”电子化开标或评审程序调整的，按调整后程序执行。</w:t>
      </w:r>
    </w:p>
    <w:p>
      <w:pPr>
        <w:spacing w:before="100" w:beforeAutospacing="1" w:after="100" w:afterAutospacing="1" w:line="360" w:lineRule="auto"/>
        <w:ind w:left="-6"/>
        <w:jc w:val="center"/>
        <w:outlineLvl w:val="0"/>
        <w:rPr>
          <w:rFonts w:ascii="宋体" w:hAnsi="宋体"/>
          <w:b/>
          <w:bCs/>
          <w:color w:val="auto"/>
          <w:sz w:val="26"/>
          <w:szCs w:val="26"/>
        </w:rPr>
      </w:pPr>
      <w:bookmarkStart w:id="146" w:name="_Toc28360"/>
      <w:r>
        <w:rPr>
          <w:rFonts w:hint="eastAsia" w:ascii="宋体" w:hAnsi="宋体"/>
          <w:b/>
          <w:bCs/>
          <w:color w:val="auto"/>
          <w:sz w:val="26"/>
          <w:szCs w:val="26"/>
        </w:rPr>
        <w:t>七、 评标</w:t>
      </w:r>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p>
    <w:p>
      <w:pPr>
        <w:numPr>
          <w:ilvl w:val="0"/>
          <w:numId w:val="30"/>
        </w:numPr>
        <w:tabs>
          <w:tab w:val="left" w:pos="540"/>
        </w:tabs>
        <w:spacing w:line="360" w:lineRule="auto"/>
        <w:ind w:left="567" w:hanging="510"/>
        <w:rPr>
          <w:rFonts w:ascii="宋体" w:hAnsi="宋体" w:cs="Arial"/>
          <w:bCs/>
          <w:color w:val="auto"/>
          <w:sz w:val="22"/>
          <w:szCs w:val="22"/>
        </w:rPr>
      </w:pPr>
      <w:r>
        <w:rPr>
          <w:rFonts w:hint="eastAsia" w:ascii="宋体" w:hAnsi="宋体" w:cs="Arial"/>
          <w:bCs/>
          <w:color w:val="auto"/>
          <w:sz w:val="22"/>
          <w:szCs w:val="22"/>
        </w:rPr>
        <w:t>评标委员会</w:t>
      </w:r>
    </w:p>
    <w:p>
      <w:pPr>
        <w:spacing w:line="360" w:lineRule="auto"/>
        <w:ind w:firstLine="0" w:firstLineChars="0"/>
        <w:rPr>
          <w:rFonts w:ascii="宋体" w:hAnsi="宋体" w:cs="宋体"/>
          <w:color w:val="auto"/>
          <w:kern w:val="0"/>
          <w:sz w:val="22"/>
          <w:szCs w:val="22"/>
        </w:rPr>
      </w:pPr>
      <w:r>
        <w:rPr>
          <w:rFonts w:hint="eastAsia" w:ascii="宋体" w:hAnsi="宋体" w:cs="宋体"/>
          <w:color w:val="auto"/>
          <w:kern w:val="0"/>
          <w:sz w:val="22"/>
          <w:szCs w:val="22"/>
        </w:rPr>
        <w:t>采购人按照《中华人民共和国政府采购法》等有关法律、法规的规定组建评标委员会，评标委员会成员由采购人代表和有关技术、经济等方面的专家组成，成员人数为5人（含）以上单数，除采购人代表外的专家将在评标专家库中随机抽取产生。</w:t>
      </w:r>
    </w:p>
    <w:p>
      <w:pPr>
        <w:numPr>
          <w:ilvl w:val="0"/>
          <w:numId w:val="30"/>
        </w:numPr>
        <w:tabs>
          <w:tab w:val="left" w:pos="540"/>
        </w:tabs>
        <w:spacing w:line="360" w:lineRule="auto"/>
        <w:ind w:left="567" w:hanging="510"/>
        <w:rPr>
          <w:rFonts w:ascii="宋体" w:hAnsi="宋体" w:cs="Arial"/>
          <w:bCs/>
          <w:color w:val="auto"/>
          <w:sz w:val="22"/>
          <w:szCs w:val="22"/>
        </w:rPr>
      </w:pPr>
      <w:r>
        <w:rPr>
          <w:rFonts w:hint="eastAsia" w:ascii="宋体" w:hAnsi="宋体" w:cs="Arial"/>
          <w:bCs/>
          <w:color w:val="auto"/>
          <w:sz w:val="22"/>
          <w:szCs w:val="22"/>
        </w:rPr>
        <w:t>评标过程的保密性</w:t>
      </w:r>
    </w:p>
    <w:p>
      <w:pPr>
        <w:spacing w:line="360" w:lineRule="auto"/>
        <w:ind w:firstLine="0" w:firstLineChars="0"/>
        <w:rPr>
          <w:rFonts w:ascii="宋体" w:hAnsi="宋体" w:cs="宋体"/>
          <w:color w:val="auto"/>
          <w:kern w:val="0"/>
          <w:sz w:val="22"/>
          <w:szCs w:val="22"/>
        </w:rPr>
      </w:pPr>
      <w:r>
        <w:rPr>
          <w:rFonts w:hint="eastAsia" w:ascii="宋体" w:hAnsi="宋体" w:cs="宋体"/>
          <w:color w:val="auto"/>
          <w:kern w:val="0"/>
          <w:sz w:val="22"/>
          <w:szCs w:val="22"/>
        </w:rPr>
        <w:t>开标后直至向中标人授予合同时止，凡与评审有关的资料均不得向投标人及与评标无关人员透露。如果投标人在评标过程中试图向采购人和招标代理机构施加影响，其投标将被拒绝。</w:t>
      </w:r>
    </w:p>
    <w:p>
      <w:pPr>
        <w:numPr>
          <w:ilvl w:val="0"/>
          <w:numId w:val="30"/>
        </w:numPr>
        <w:tabs>
          <w:tab w:val="left" w:pos="540"/>
        </w:tabs>
        <w:spacing w:line="360" w:lineRule="auto"/>
        <w:ind w:left="567" w:hanging="510"/>
        <w:rPr>
          <w:rFonts w:ascii="宋体" w:hAnsi="宋体" w:cs="Arial"/>
          <w:bCs/>
          <w:color w:val="auto"/>
          <w:sz w:val="22"/>
          <w:szCs w:val="22"/>
        </w:rPr>
      </w:pPr>
      <w:r>
        <w:rPr>
          <w:rFonts w:hint="eastAsia" w:ascii="宋体" w:hAnsi="宋体" w:cs="Arial"/>
          <w:bCs/>
          <w:color w:val="auto"/>
          <w:sz w:val="22"/>
          <w:szCs w:val="22"/>
        </w:rPr>
        <w:t>投标文件的初审。初审分为资格性审查和符合性检查。</w:t>
      </w:r>
    </w:p>
    <w:p>
      <w:pPr>
        <w:numPr>
          <w:ilvl w:val="1"/>
          <w:numId w:val="31"/>
        </w:numPr>
        <w:tabs>
          <w:tab w:val="left" w:pos="540"/>
        </w:tabs>
        <w:spacing w:line="360" w:lineRule="auto"/>
        <w:ind w:left="567" w:hanging="510"/>
        <w:rPr>
          <w:rFonts w:ascii="宋体" w:hAnsi="宋体"/>
          <w:bCs/>
          <w:color w:val="auto"/>
          <w:sz w:val="22"/>
          <w:szCs w:val="22"/>
        </w:rPr>
      </w:pPr>
      <w:r>
        <w:rPr>
          <w:rFonts w:hint="eastAsia" w:ascii="宋体" w:hAnsi="宋体"/>
          <w:bCs/>
          <w:color w:val="auto"/>
          <w:sz w:val="22"/>
          <w:szCs w:val="22"/>
        </w:rPr>
        <w:t>资格性审查。</w:t>
      </w:r>
    </w:p>
    <w:p>
      <w:pPr>
        <w:pStyle w:val="124"/>
        <w:numPr>
          <w:ilvl w:val="0"/>
          <w:numId w:val="32"/>
        </w:numPr>
        <w:tabs>
          <w:tab w:val="left" w:pos="425"/>
        </w:tabs>
        <w:overflowPunct w:val="0"/>
        <w:spacing w:line="360" w:lineRule="auto"/>
        <w:ind w:left="567" w:hanging="510" w:firstLineChars="0"/>
        <w:rPr>
          <w:rFonts w:ascii="宋体" w:hAnsi="宋体" w:cs="宋体"/>
          <w:bCs/>
          <w:color w:val="auto"/>
          <w:sz w:val="22"/>
          <w:szCs w:val="22"/>
        </w:rPr>
      </w:pPr>
      <w:r>
        <w:rPr>
          <w:rFonts w:hint="eastAsia" w:ascii="宋体" w:hAnsi="宋体" w:cs="宋体"/>
          <w:bCs/>
          <w:color w:val="auto"/>
          <w:sz w:val="22"/>
          <w:szCs w:val="22"/>
        </w:rPr>
        <w:t>依据法律、法规和采购文件的规定，采购人或采购代理机构在开启各投标人资格证明文件后，对各投标人进行投标资格审查，审查内容包括但不仅限于投标文件所提交证明材料是否能证明符合本项目对合格投标人的实质性要求。采购人或采购代理机构对投标人所提供的资格证明材料仅负审核的责任。如发现投标人所提供的资格证明材料不合法或不真实，采购人可取消其中标资格并追究法律责任。通过资格审查视作具备投标资格，审查不合格的投标文件将不进入后续详细评审。</w:t>
      </w:r>
    </w:p>
    <w:p>
      <w:pPr>
        <w:pStyle w:val="124"/>
        <w:numPr>
          <w:ilvl w:val="0"/>
          <w:numId w:val="32"/>
        </w:numPr>
        <w:tabs>
          <w:tab w:val="left" w:pos="425"/>
        </w:tabs>
        <w:overflowPunct w:val="0"/>
        <w:spacing w:line="360" w:lineRule="auto"/>
        <w:ind w:left="567" w:hanging="510" w:firstLineChars="0"/>
        <w:rPr>
          <w:rFonts w:ascii="宋体" w:hAnsi="宋体" w:cs="宋体"/>
          <w:b/>
          <w:bCs/>
          <w:color w:val="auto"/>
          <w:sz w:val="22"/>
          <w:szCs w:val="22"/>
        </w:rPr>
      </w:pPr>
      <w:r>
        <w:rPr>
          <w:rFonts w:hint="eastAsia" w:ascii="宋体" w:hAnsi="宋体" w:cs="宋体"/>
          <w:b/>
          <w:bCs/>
          <w:color w:val="auto"/>
          <w:sz w:val="22"/>
          <w:szCs w:val="22"/>
        </w:rPr>
        <w:t>在资格审查过程中，若对投标人的资格审查文件有疑问，采购组织机构将在系统上向投标人发起询标函</w:t>
      </w:r>
    </w:p>
    <w:p>
      <w:pPr>
        <w:numPr>
          <w:ilvl w:val="1"/>
          <w:numId w:val="31"/>
        </w:numPr>
        <w:tabs>
          <w:tab w:val="left" w:pos="540"/>
        </w:tabs>
        <w:spacing w:line="360" w:lineRule="auto"/>
        <w:ind w:left="567" w:hanging="510"/>
        <w:rPr>
          <w:rFonts w:ascii="宋体" w:hAnsi="宋体"/>
          <w:bCs/>
          <w:color w:val="auto"/>
          <w:sz w:val="22"/>
          <w:szCs w:val="22"/>
        </w:rPr>
      </w:pPr>
      <w:r>
        <w:rPr>
          <w:rFonts w:hint="eastAsia" w:ascii="宋体" w:hAnsi="宋体"/>
          <w:bCs/>
          <w:color w:val="auto"/>
          <w:sz w:val="22"/>
          <w:szCs w:val="22"/>
        </w:rPr>
        <w:t>符合性检查。依据招标文件的规定，从投标文件中的有效性、完整性和对招标文件的响应程度进行审查，并在“政采云系统-符合性评审”中录入投标人的符合性审查情况。</w:t>
      </w:r>
    </w:p>
    <w:p>
      <w:pPr>
        <w:numPr>
          <w:ilvl w:val="1"/>
          <w:numId w:val="31"/>
        </w:numPr>
        <w:tabs>
          <w:tab w:val="left" w:pos="540"/>
        </w:tabs>
        <w:spacing w:line="360" w:lineRule="auto"/>
        <w:ind w:left="567" w:hanging="510"/>
        <w:rPr>
          <w:rFonts w:ascii="宋体" w:hAnsi="宋体"/>
          <w:b/>
          <w:color w:val="auto"/>
          <w:sz w:val="22"/>
          <w:szCs w:val="22"/>
          <w:u w:val="single"/>
        </w:rPr>
      </w:pPr>
      <w:r>
        <w:rPr>
          <w:rFonts w:hint="eastAsia" w:ascii="宋体" w:hAnsi="宋体"/>
          <w:b/>
          <w:color w:val="auto"/>
          <w:sz w:val="22"/>
          <w:szCs w:val="22"/>
          <w:u w:val="single"/>
        </w:rPr>
        <w:t>▲通过资格性审查与符合性审查的商务技术文件由评委进行综合评审，审查确认未通过的商务技术文件不予评审。</w:t>
      </w:r>
    </w:p>
    <w:p>
      <w:pPr>
        <w:numPr>
          <w:ilvl w:val="0"/>
          <w:numId w:val="30"/>
        </w:numPr>
        <w:tabs>
          <w:tab w:val="left" w:pos="540"/>
        </w:tabs>
        <w:spacing w:line="360" w:lineRule="auto"/>
        <w:ind w:left="567" w:hanging="510"/>
        <w:rPr>
          <w:rFonts w:ascii="宋体" w:hAnsi="宋体" w:cs="Arial"/>
          <w:b/>
          <w:color w:val="auto"/>
          <w:sz w:val="22"/>
          <w:szCs w:val="22"/>
        </w:rPr>
      </w:pPr>
      <w:r>
        <w:rPr>
          <w:rFonts w:hint="eastAsia" w:ascii="宋体" w:hAnsi="宋体" w:cs="Arial"/>
          <w:b/>
          <w:color w:val="auto"/>
          <w:sz w:val="22"/>
          <w:szCs w:val="22"/>
        </w:rPr>
        <w:t>无效标认定</w:t>
      </w:r>
    </w:p>
    <w:p>
      <w:pPr>
        <w:numPr>
          <w:ilvl w:val="1"/>
          <w:numId w:val="33"/>
        </w:numPr>
        <w:tabs>
          <w:tab w:val="left" w:pos="360"/>
        </w:tabs>
        <w:spacing w:line="360" w:lineRule="auto"/>
        <w:ind w:left="567" w:hanging="510"/>
        <w:rPr>
          <w:rFonts w:ascii="宋体" w:hAnsi="宋体" w:cs="Arial"/>
          <w:b/>
          <w:bCs/>
          <w:color w:val="auto"/>
          <w:sz w:val="22"/>
          <w:szCs w:val="22"/>
          <w:u w:val="single"/>
        </w:rPr>
      </w:pPr>
      <w:r>
        <w:rPr>
          <w:rFonts w:hint="eastAsia" w:ascii="宋体" w:hAnsi="宋体" w:cs="Arial"/>
          <w:b/>
          <w:bCs/>
          <w:color w:val="auto"/>
          <w:sz w:val="22"/>
          <w:szCs w:val="22"/>
          <w:u w:val="single"/>
        </w:rPr>
        <w:t>▲在对各投标人的投标文件进行综合评审时，投标文件有下列情况之一的，经评标委员会认定后按无效标处理：</w:t>
      </w:r>
    </w:p>
    <w:p>
      <w:pPr>
        <w:numPr>
          <w:ilvl w:val="0"/>
          <w:numId w:val="34"/>
        </w:numPr>
        <w:spacing w:line="360" w:lineRule="auto"/>
        <w:ind w:left="567" w:hanging="510"/>
        <w:rPr>
          <w:rFonts w:ascii="宋体" w:hAnsi="宋体" w:cs="宋体"/>
          <w:bCs/>
          <w:color w:val="auto"/>
          <w:kern w:val="0"/>
          <w:sz w:val="22"/>
          <w:szCs w:val="22"/>
          <w:u w:val="single"/>
        </w:rPr>
      </w:pPr>
      <w:r>
        <w:rPr>
          <w:rFonts w:hint="eastAsia" w:ascii="宋体" w:hAnsi="宋体" w:cs="宋体"/>
          <w:bCs/>
          <w:color w:val="auto"/>
          <w:kern w:val="0"/>
          <w:sz w:val="22"/>
          <w:szCs w:val="22"/>
          <w:u w:val="single"/>
        </w:rPr>
        <w:t>电子投标文件未按规定进行CA签章；</w:t>
      </w:r>
    </w:p>
    <w:p>
      <w:pPr>
        <w:numPr>
          <w:ilvl w:val="0"/>
          <w:numId w:val="34"/>
        </w:numPr>
        <w:spacing w:line="360" w:lineRule="auto"/>
        <w:ind w:left="567" w:hanging="510"/>
        <w:rPr>
          <w:rFonts w:ascii="宋体" w:hAnsi="宋体" w:cs="宋体"/>
          <w:bCs/>
          <w:color w:val="auto"/>
          <w:kern w:val="0"/>
          <w:sz w:val="22"/>
          <w:szCs w:val="22"/>
          <w:u w:val="single"/>
        </w:rPr>
      </w:pPr>
      <w:r>
        <w:rPr>
          <w:rFonts w:hint="eastAsia" w:ascii="宋体" w:hAnsi="宋体" w:cs="宋体"/>
          <w:bCs/>
          <w:color w:val="auto"/>
          <w:kern w:val="0"/>
          <w:sz w:val="22"/>
          <w:szCs w:val="22"/>
          <w:u w:val="single"/>
        </w:rPr>
        <w:t>投标文件中要求投标人法定代表人或授权代表签字的地方无法定代表人签字或其授权代表签字的；</w:t>
      </w:r>
    </w:p>
    <w:p>
      <w:pPr>
        <w:numPr>
          <w:ilvl w:val="0"/>
          <w:numId w:val="34"/>
        </w:numPr>
        <w:spacing w:line="360" w:lineRule="auto"/>
        <w:ind w:left="567" w:hanging="510"/>
        <w:rPr>
          <w:rFonts w:ascii="宋体" w:hAnsi="宋体" w:cs="宋体"/>
          <w:bCs/>
          <w:color w:val="auto"/>
          <w:kern w:val="0"/>
          <w:sz w:val="22"/>
          <w:szCs w:val="22"/>
          <w:u w:val="single"/>
        </w:rPr>
      </w:pPr>
      <w:r>
        <w:rPr>
          <w:rFonts w:hint="eastAsia" w:ascii="宋体" w:hAnsi="宋体" w:cs="宋体"/>
          <w:bCs/>
          <w:color w:val="auto"/>
          <w:kern w:val="0"/>
          <w:sz w:val="22"/>
          <w:szCs w:val="22"/>
          <w:u w:val="single"/>
        </w:rPr>
        <w:t>不具备招标文件中规定的资格要求的；</w:t>
      </w:r>
    </w:p>
    <w:p>
      <w:pPr>
        <w:numPr>
          <w:ilvl w:val="0"/>
          <w:numId w:val="34"/>
        </w:numPr>
        <w:spacing w:line="360" w:lineRule="auto"/>
        <w:ind w:left="567" w:hanging="510"/>
        <w:rPr>
          <w:rFonts w:ascii="宋体" w:hAnsi="宋体" w:cs="宋体"/>
          <w:bCs/>
          <w:color w:val="auto"/>
          <w:kern w:val="0"/>
          <w:sz w:val="22"/>
          <w:szCs w:val="22"/>
          <w:u w:val="single"/>
        </w:rPr>
      </w:pPr>
      <w:r>
        <w:rPr>
          <w:rFonts w:hint="eastAsia" w:ascii="宋体" w:hAnsi="宋体" w:cs="宋体"/>
          <w:bCs/>
          <w:color w:val="auto"/>
          <w:kern w:val="0"/>
          <w:sz w:val="22"/>
          <w:szCs w:val="22"/>
          <w:u w:val="single"/>
        </w:rPr>
        <w:t>报价超过招标文件中规定的预算金额或者最高限价的；</w:t>
      </w:r>
    </w:p>
    <w:p>
      <w:pPr>
        <w:numPr>
          <w:ilvl w:val="0"/>
          <w:numId w:val="34"/>
        </w:numPr>
        <w:spacing w:line="360" w:lineRule="auto"/>
        <w:ind w:left="567" w:hanging="510"/>
        <w:rPr>
          <w:rFonts w:ascii="宋体" w:hAnsi="宋体" w:cs="宋体"/>
          <w:bCs/>
          <w:color w:val="auto"/>
          <w:kern w:val="0"/>
          <w:sz w:val="22"/>
          <w:szCs w:val="22"/>
          <w:u w:val="single"/>
        </w:rPr>
      </w:pPr>
      <w:r>
        <w:rPr>
          <w:rFonts w:hint="eastAsia" w:ascii="宋体" w:hAnsi="宋体" w:cs="宋体"/>
          <w:bCs/>
          <w:color w:val="auto"/>
          <w:kern w:val="0"/>
          <w:sz w:val="22"/>
          <w:szCs w:val="22"/>
          <w:u w:val="single"/>
        </w:rPr>
        <w:t>投标文件含有采购人不能接受的附加条件的；</w:t>
      </w:r>
    </w:p>
    <w:p>
      <w:pPr>
        <w:numPr>
          <w:ilvl w:val="0"/>
          <w:numId w:val="34"/>
        </w:numPr>
        <w:spacing w:line="360" w:lineRule="auto"/>
        <w:ind w:left="567" w:hanging="510"/>
        <w:rPr>
          <w:rFonts w:ascii="宋体" w:hAnsi="宋体" w:cs="宋体"/>
          <w:bCs/>
          <w:color w:val="auto"/>
          <w:kern w:val="0"/>
          <w:sz w:val="22"/>
          <w:szCs w:val="22"/>
          <w:u w:val="single"/>
        </w:rPr>
      </w:pPr>
      <w:r>
        <w:rPr>
          <w:rFonts w:hint="eastAsia" w:ascii="宋体" w:hAnsi="宋体" w:cs="宋体"/>
          <w:bCs/>
          <w:color w:val="auto"/>
          <w:kern w:val="0"/>
          <w:sz w:val="22"/>
          <w:szCs w:val="22"/>
          <w:u w:val="single"/>
        </w:rPr>
        <w:t>经评标委员会认定投标人串通投标的；</w:t>
      </w:r>
    </w:p>
    <w:p>
      <w:pPr>
        <w:numPr>
          <w:ilvl w:val="0"/>
          <w:numId w:val="34"/>
        </w:numPr>
        <w:spacing w:line="360" w:lineRule="auto"/>
        <w:ind w:left="567" w:hanging="510"/>
        <w:rPr>
          <w:rFonts w:ascii="宋体" w:hAnsi="宋体" w:cs="宋体"/>
          <w:bCs/>
          <w:color w:val="auto"/>
          <w:kern w:val="0"/>
          <w:sz w:val="22"/>
          <w:szCs w:val="22"/>
          <w:u w:val="single"/>
        </w:rPr>
      </w:pPr>
      <w:r>
        <w:rPr>
          <w:rFonts w:hint="eastAsia" w:ascii="宋体" w:hAnsi="宋体" w:cs="宋体"/>
          <w:bCs/>
          <w:color w:val="auto"/>
          <w:kern w:val="0"/>
          <w:sz w:val="22"/>
          <w:szCs w:val="22"/>
          <w:u w:val="single"/>
        </w:rPr>
        <w:t>同时出现两种及以上不一致价格且修正后投标人不确认报价的；</w:t>
      </w:r>
    </w:p>
    <w:p>
      <w:pPr>
        <w:numPr>
          <w:ilvl w:val="0"/>
          <w:numId w:val="34"/>
        </w:numPr>
        <w:spacing w:line="360" w:lineRule="auto"/>
        <w:ind w:left="567" w:hanging="510"/>
        <w:rPr>
          <w:rFonts w:ascii="宋体" w:hAnsi="宋体" w:cs="宋体"/>
          <w:bCs/>
          <w:color w:val="auto"/>
          <w:kern w:val="0"/>
          <w:sz w:val="22"/>
          <w:szCs w:val="22"/>
          <w:u w:val="single"/>
        </w:rPr>
      </w:pPr>
      <w:r>
        <w:rPr>
          <w:rFonts w:hint="eastAsia" w:ascii="宋体" w:hAnsi="宋体" w:cs="宋体"/>
          <w:bCs/>
          <w:color w:val="auto"/>
          <w:kern w:val="0"/>
          <w:sz w:val="22"/>
          <w:szCs w:val="22"/>
          <w:u w:val="single"/>
        </w:rPr>
        <w:t>报价明显低于其他通过符合性审查投标人的报价，且在评标现场合理的时间内不能证明其报价合理性的；</w:t>
      </w:r>
    </w:p>
    <w:p>
      <w:pPr>
        <w:numPr>
          <w:ilvl w:val="0"/>
          <w:numId w:val="34"/>
        </w:numPr>
        <w:spacing w:line="360" w:lineRule="auto"/>
        <w:ind w:left="567" w:hanging="510"/>
        <w:rPr>
          <w:rFonts w:ascii="宋体" w:hAnsi="宋体" w:cs="宋体"/>
          <w:bCs/>
          <w:color w:val="auto"/>
          <w:kern w:val="0"/>
          <w:sz w:val="22"/>
          <w:szCs w:val="22"/>
          <w:u w:val="single"/>
        </w:rPr>
      </w:pPr>
      <w:r>
        <w:rPr>
          <w:rFonts w:hint="eastAsia" w:ascii="宋体" w:hAnsi="宋体" w:cs="宋体"/>
          <w:bCs/>
          <w:color w:val="auto"/>
          <w:kern w:val="0"/>
          <w:sz w:val="22"/>
          <w:szCs w:val="22"/>
          <w:u w:val="single"/>
        </w:rPr>
        <w:t>授权代表无法定代表人合法、有效委托的；</w:t>
      </w:r>
    </w:p>
    <w:p>
      <w:pPr>
        <w:numPr>
          <w:ilvl w:val="0"/>
          <w:numId w:val="34"/>
        </w:numPr>
        <w:spacing w:line="360" w:lineRule="auto"/>
        <w:ind w:left="567" w:hanging="510"/>
        <w:rPr>
          <w:rFonts w:ascii="宋体" w:hAnsi="宋体" w:cs="宋体"/>
          <w:bCs/>
          <w:color w:val="auto"/>
          <w:kern w:val="0"/>
          <w:sz w:val="22"/>
          <w:szCs w:val="22"/>
          <w:u w:val="single"/>
        </w:rPr>
      </w:pPr>
      <w:r>
        <w:rPr>
          <w:rFonts w:hint="eastAsia" w:ascii="宋体" w:hAnsi="宋体" w:cs="宋体"/>
          <w:bCs/>
          <w:color w:val="auto"/>
          <w:sz w:val="22"/>
          <w:szCs w:val="22"/>
          <w:u w:val="single"/>
        </w:rPr>
        <w:t>规定时间内解密失败且经异常处理但政采云电子交易系统仍未能识别备份投标文件的；</w:t>
      </w:r>
    </w:p>
    <w:p>
      <w:pPr>
        <w:numPr>
          <w:ilvl w:val="0"/>
          <w:numId w:val="34"/>
        </w:numPr>
        <w:spacing w:line="360" w:lineRule="auto"/>
        <w:ind w:left="567" w:hanging="510"/>
        <w:rPr>
          <w:rFonts w:ascii="宋体" w:hAnsi="宋体" w:cs="宋体"/>
          <w:bCs/>
          <w:color w:val="auto"/>
          <w:kern w:val="0"/>
          <w:sz w:val="22"/>
          <w:szCs w:val="22"/>
          <w:u w:val="single"/>
        </w:rPr>
      </w:pPr>
      <w:r>
        <w:rPr>
          <w:rFonts w:hint="eastAsia" w:ascii="宋体" w:hAnsi="宋体" w:cs="宋体"/>
          <w:bCs/>
          <w:color w:val="auto"/>
          <w:kern w:val="0"/>
          <w:sz w:val="22"/>
          <w:szCs w:val="22"/>
          <w:u w:val="single"/>
        </w:rPr>
        <w:t>评标委员会认定不符合法律、法规和招标文件中规定的其他实质性要求的。</w:t>
      </w:r>
    </w:p>
    <w:p>
      <w:pPr>
        <w:numPr>
          <w:ilvl w:val="1"/>
          <w:numId w:val="33"/>
        </w:numPr>
        <w:tabs>
          <w:tab w:val="left" w:pos="360"/>
        </w:tabs>
        <w:spacing w:line="360" w:lineRule="auto"/>
        <w:ind w:left="567" w:hanging="510"/>
        <w:rPr>
          <w:rFonts w:ascii="宋体" w:hAnsi="宋体" w:cs="Arial"/>
          <w:color w:val="auto"/>
          <w:sz w:val="22"/>
          <w:szCs w:val="22"/>
        </w:rPr>
      </w:pPr>
      <w:r>
        <w:rPr>
          <w:rFonts w:hint="eastAsia" w:ascii="宋体" w:hAnsi="宋体" w:cs="Arial"/>
          <w:b/>
          <w:bCs/>
          <w:color w:val="auto"/>
          <w:sz w:val="22"/>
          <w:szCs w:val="22"/>
          <w:u w:val="single"/>
        </w:rPr>
        <w:t>▲评标委员会发现投标文件有下列情形之一的属于重大偏差(评标委员会按少数服从多数原则认定),按照无效投标处理：</w:t>
      </w:r>
    </w:p>
    <w:p>
      <w:pPr>
        <w:spacing w:line="360" w:lineRule="auto"/>
        <w:ind w:firstLine="220" w:firstLineChars="100"/>
        <w:rPr>
          <w:rFonts w:ascii="宋体" w:hAnsi="宋体" w:cs="宋体"/>
          <w:color w:val="auto"/>
          <w:kern w:val="0"/>
          <w:sz w:val="22"/>
          <w:szCs w:val="22"/>
          <w:u w:val="single"/>
        </w:rPr>
      </w:pPr>
      <w:r>
        <w:rPr>
          <w:rFonts w:hint="eastAsia" w:ascii="宋体" w:hAnsi="宋体" w:cs="宋体"/>
          <w:color w:val="auto"/>
          <w:kern w:val="0"/>
          <w:sz w:val="22"/>
          <w:szCs w:val="22"/>
          <w:u w:val="single"/>
        </w:rPr>
        <w:t>1）未按招标文件要求编制或字迹模糊、辨认不清的投标文件；</w:t>
      </w:r>
    </w:p>
    <w:p>
      <w:pPr>
        <w:spacing w:line="360" w:lineRule="auto"/>
        <w:ind w:firstLine="220" w:firstLineChars="100"/>
        <w:rPr>
          <w:rFonts w:ascii="宋体" w:hAnsi="宋体" w:cs="宋体"/>
          <w:color w:val="auto"/>
          <w:kern w:val="0"/>
          <w:sz w:val="22"/>
          <w:szCs w:val="22"/>
          <w:u w:val="single"/>
        </w:rPr>
      </w:pPr>
      <w:r>
        <w:rPr>
          <w:rFonts w:hint="eastAsia" w:ascii="宋体" w:hAnsi="宋体" w:cs="宋体"/>
          <w:color w:val="auto"/>
          <w:kern w:val="0"/>
          <w:sz w:val="22"/>
          <w:szCs w:val="22"/>
          <w:u w:val="single"/>
        </w:rPr>
        <w:t>2）出现明显不符合技术规格、技术标准的要求或不满足招标文件技术规格书中的主要参数的投标文件；</w:t>
      </w:r>
    </w:p>
    <w:p>
      <w:pPr>
        <w:spacing w:line="360" w:lineRule="auto"/>
        <w:ind w:firstLine="220" w:firstLineChars="100"/>
        <w:rPr>
          <w:rFonts w:ascii="宋体" w:hAnsi="宋体" w:cs="宋体"/>
          <w:color w:val="auto"/>
          <w:kern w:val="0"/>
          <w:sz w:val="22"/>
          <w:szCs w:val="22"/>
          <w:u w:val="single"/>
        </w:rPr>
      </w:pPr>
      <w:r>
        <w:rPr>
          <w:rFonts w:hint="eastAsia" w:ascii="宋体" w:hAnsi="宋体" w:cs="宋体"/>
          <w:color w:val="auto"/>
          <w:kern w:val="0"/>
          <w:sz w:val="22"/>
          <w:szCs w:val="22"/>
          <w:u w:val="single"/>
        </w:rPr>
        <w:t>3）出现投标项目数量与招标文件对比出现较大偏差；商务报价明细表计算错误，出现较大差错；</w:t>
      </w:r>
    </w:p>
    <w:p>
      <w:pPr>
        <w:spacing w:line="360" w:lineRule="auto"/>
        <w:ind w:firstLine="220" w:firstLineChars="100"/>
        <w:rPr>
          <w:rFonts w:ascii="宋体" w:hAnsi="宋体" w:cs="宋体"/>
          <w:color w:val="auto"/>
          <w:kern w:val="0"/>
          <w:sz w:val="22"/>
          <w:szCs w:val="22"/>
          <w:u w:val="single"/>
        </w:rPr>
      </w:pPr>
      <w:r>
        <w:rPr>
          <w:rFonts w:hint="eastAsia" w:ascii="宋体" w:hAnsi="宋体" w:cs="宋体"/>
          <w:color w:val="auto"/>
          <w:kern w:val="0"/>
          <w:sz w:val="22"/>
          <w:szCs w:val="22"/>
          <w:u w:val="single"/>
        </w:rPr>
        <w:t>4）出现其它不符合招标文件中规定的实质性要求的投标文件，是否为偏离实质性要求由评标委员会认定。</w:t>
      </w:r>
    </w:p>
    <w:p>
      <w:pPr>
        <w:numPr>
          <w:ilvl w:val="1"/>
          <w:numId w:val="33"/>
        </w:numPr>
        <w:tabs>
          <w:tab w:val="left" w:pos="360"/>
        </w:tabs>
        <w:spacing w:line="360" w:lineRule="auto"/>
        <w:ind w:left="567" w:hanging="510"/>
        <w:rPr>
          <w:rFonts w:ascii="宋体" w:hAnsi="宋体" w:cs="Arial"/>
          <w:b/>
          <w:bCs/>
          <w:color w:val="auto"/>
          <w:sz w:val="22"/>
          <w:szCs w:val="22"/>
          <w:u w:val="single"/>
        </w:rPr>
      </w:pPr>
      <w:r>
        <w:rPr>
          <w:rFonts w:hint="eastAsia" w:ascii="宋体" w:hAnsi="宋体" w:cs="Arial"/>
          <w:b/>
          <w:bCs/>
          <w:color w:val="auto"/>
          <w:sz w:val="22"/>
          <w:szCs w:val="22"/>
          <w:u w:val="single"/>
        </w:rPr>
        <w:t>▲有下列情形之一的，视为投标人串通投标，其投标无效：</w:t>
      </w:r>
    </w:p>
    <w:p>
      <w:pPr>
        <w:spacing w:line="360" w:lineRule="auto"/>
        <w:ind w:firstLine="220" w:firstLineChars="100"/>
        <w:rPr>
          <w:rFonts w:ascii="宋体" w:hAnsi="宋体" w:cs="宋体"/>
          <w:color w:val="auto"/>
          <w:kern w:val="0"/>
          <w:sz w:val="22"/>
          <w:szCs w:val="22"/>
          <w:u w:val="single"/>
        </w:rPr>
      </w:pPr>
      <w:r>
        <w:rPr>
          <w:rFonts w:hint="eastAsia" w:ascii="宋体" w:hAnsi="宋体" w:cs="宋体"/>
          <w:color w:val="auto"/>
          <w:kern w:val="0"/>
          <w:sz w:val="22"/>
          <w:szCs w:val="22"/>
          <w:u w:val="single"/>
        </w:rPr>
        <w:t>1)不同投标人的投标文件由同一单位或者个人编制；</w:t>
      </w:r>
    </w:p>
    <w:p>
      <w:pPr>
        <w:spacing w:line="360" w:lineRule="auto"/>
        <w:ind w:firstLine="220" w:firstLineChars="100"/>
        <w:rPr>
          <w:rFonts w:ascii="宋体" w:hAnsi="宋体" w:cs="宋体"/>
          <w:color w:val="auto"/>
          <w:kern w:val="0"/>
          <w:sz w:val="22"/>
          <w:szCs w:val="22"/>
          <w:u w:val="single"/>
        </w:rPr>
      </w:pPr>
      <w:r>
        <w:rPr>
          <w:rFonts w:hint="eastAsia" w:ascii="宋体" w:hAnsi="宋体" w:cs="宋体"/>
          <w:color w:val="auto"/>
          <w:kern w:val="0"/>
          <w:sz w:val="22"/>
          <w:szCs w:val="22"/>
          <w:u w:val="single"/>
        </w:rPr>
        <w:t>2)不同投标人委托同一单位或者个人办理投标事宜；</w:t>
      </w:r>
    </w:p>
    <w:p>
      <w:pPr>
        <w:spacing w:line="360" w:lineRule="auto"/>
        <w:ind w:firstLine="220" w:firstLineChars="100"/>
        <w:rPr>
          <w:rFonts w:ascii="宋体" w:hAnsi="宋体" w:cs="宋体"/>
          <w:color w:val="auto"/>
          <w:kern w:val="0"/>
          <w:sz w:val="22"/>
          <w:szCs w:val="22"/>
          <w:u w:val="single"/>
        </w:rPr>
      </w:pPr>
      <w:r>
        <w:rPr>
          <w:rFonts w:hint="eastAsia" w:ascii="宋体" w:hAnsi="宋体" w:cs="宋体"/>
          <w:color w:val="auto"/>
          <w:kern w:val="0"/>
          <w:sz w:val="22"/>
          <w:szCs w:val="22"/>
          <w:u w:val="single"/>
        </w:rPr>
        <w:t>3)不同投标人的投标文件载明的项目管理成员或者联系人员为同一人；</w:t>
      </w:r>
    </w:p>
    <w:p>
      <w:pPr>
        <w:spacing w:line="360" w:lineRule="auto"/>
        <w:ind w:firstLine="220" w:firstLineChars="100"/>
        <w:rPr>
          <w:rFonts w:ascii="宋体" w:hAnsi="宋体" w:cs="宋体"/>
          <w:color w:val="auto"/>
          <w:kern w:val="0"/>
          <w:sz w:val="22"/>
          <w:szCs w:val="22"/>
          <w:u w:val="single"/>
        </w:rPr>
      </w:pPr>
      <w:r>
        <w:rPr>
          <w:rFonts w:hint="eastAsia" w:ascii="宋体" w:hAnsi="宋体" w:cs="宋体"/>
          <w:color w:val="auto"/>
          <w:kern w:val="0"/>
          <w:sz w:val="22"/>
          <w:szCs w:val="22"/>
          <w:u w:val="single"/>
        </w:rPr>
        <w:t>4）不同投标人的投标文件异常一致或者投标报价呈规律性差异；</w:t>
      </w:r>
    </w:p>
    <w:p>
      <w:pPr>
        <w:spacing w:line="360" w:lineRule="auto"/>
        <w:ind w:firstLine="220" w:firstLineChars="100"/>
        <w:rPr>
          <w:rFonts w:ascii="宋体" w:hAnsi="宋体" w:cs="宋体"/>
          <w:color w:val="auto"/>
          <w:kern w:val="0"/>
          <w:sz w:val="22"/>
          <w:szCs w:val="22"/>
          <w:u w:val="single"/>
        </w:rPr>
      </w:pPr>
      <w:r>
        <w:rPr>
          <w:rFonts w:hint="eastAsia" w:ascii="宋体" w:hAnsi="宋体" w:cs="宋体"/>
          <w:color w:val="auto"/>
          <w:kern w:val="0"/>
          <w:sz w:val="22"/>
          <w:szCs w:val="22"/>
          <w:u w:val="single"/>
        </w:rPr>
        <w:t>5）不同投标人的投标文件相互混装；</w:t>
      </w:r>
    </w:p>
    <w:p>
      <w:pPr>
        <w:numPr>
          <w:ilvl w:val="1"/>
          <w:numId w:val="33"/>
        </w:numPr>
        <w:tabs>
          <w:tab w:val="left" w:pos="360"/>
        </w:tabs>
        <w:spacing w:line="360" w:lineRule="auto"/>
        <w:ind w:left="567" w:hanging="510"/>
        <w:rPr>
          <w:rFonts w:ascii="宋体" w:hAnsi="宋体" w:cs="Arial"/>
          <w:b/>
          <w:bCs/>
          <w:color w:val="auto"/>
          <w:sz w:val="22"/>
          <w:szCs w:val="22"/>
          <w:u w:val="single"/>
        </w:rPr>
      </w:pPr>
      <w:r>
        <w:rPr>
          <w:rFonts w:hint="eastAsia" w:ascii="宋体" w:hAnsi="宋体" w:cs="Arial"/>
          <w:b/>
          <w:bCs/>
          <w:color w:val="auto"/>
          <w:sz w:val="22"/>
          <w:szCs w:val="22"/>
          <w:u w:val="single"/>
        </w:rPr>
        <w:t>▲本项目采用政采云电子招投标开标及评审程序，如有以下情形之一的，按以下情况处理：</w:t>
      </w:r>
    </w:p>
    <w:p>
      <w:pPr>
        <w:numPr>
          <w:ilvl w:val="0"/>
          <w:numId w:val="35"/>
        </w:numPr>
        <w:spacing w:line="360" w:lineRule="auto"/>
        <w:ind w:left="567" w:hanging="510"/>
        <w:rPr>
          <w:rFonts w:ascii="宋体" w:hAnsi="宋体" w:cs="宋体"/>
          <w:color w:val="auto"/>
          <w:sz w:val="22"/>
          <w:szCs w:val="22"/>
          <w:u w:val="single"/>
        </w:rPr>
      </w:pPr>
      <w:r>
        <w:rPr>
          <w:rFonts w:hint="eastAsia" w:ascii="宋体" w:hAnsi="宋体" w:cs="宋体"/>
          <w:color w:val="auto"/>
          <w:sz w:val="22"/>
          <w:szCs w:val="22"/>
          <w:u w:val="single"/>
        </w:rPr>
        <w:t>投标人在规定时间内无法解密或解密失败的作无效投标处理。解密成功的投标人不足三家的，本项目流标重新组织采购活动。</w:t>
      </w:r>
    </w:p>
    <w:p>
      <w:pPr>
        <w:numPr>
          <w:ilvl w:val="0"/>
          <w:numId w:val="35"/>
        </w:numPr>
        <w:spacing w:line="360" w:lineRule="auto"/>
        <w:ind w:left="567" w:hanging="510"/>
        <w:rPr>
          <w:rFonts w:ascii="宋体" w:hAnsi="宋体" w:cs="宋体"/>
          <w:color w:val="auto"/>
          <w:sz w:val="22"/>
          <w:szCs w:val="22"/>
          <w:u w:val="single"/>
        </w:rPr>
      </w:pPr>
      <w:r>
        <w:rPr>
          <w:rFonts w:hint="eastAsia" w:ascii="宋体" w:hAnsi="宋体" w:cs="宋体"/>
          <w:color w:val="auto"/>
          <w:sz w:val="22"/>
          <w:szCs w:val="22"/>
          <w:u w:val="single"/>
        </w:rPr>
        <w:t>因政采云平台原因无法读取或电子开评标无法正常进行，采购机构将情况上报行业监管部门同意后，重新组织采购活动。</w:t>
      </w:r>
    </w:p>
    <w:p>
      <w:pPr>
        <w:numPr>
          <w:ilvl w:val="0"/>
          <w:numId w:val="35"/>
        </w:numPr>
        <w:spacing w:line="360" w:lineRule="auto"/>
        <w:ind w:left="567" w:hanging="510"/>
        <w:rPr>
          <w:rFonts w:ascii="宋体" w:hAnsi="宋体" w:cs="宋体"/>
          <w:color w:val="auto"/>
          <w:sz w:val="22"/>
          <w:szCs w:val="22"/>
          <w:u w:val="single"/>
        </w:rPr>
      </w:pPr>
      <w:r>
        <w:rPr>
          <w:rFonts w:hint="eastAsia" w:ascii="宋体" w:hAnsi="宋体" w:cs="宋体"/>
          <w:color w:val="auto"/>
          <w:sz w:val="22"/>
          <w:szCs w:val="22"/>
          <w:u w:val="single"/>
        </w:rPr>
        <w:t>符合专业条件的投标人或者对招标文件作实质响应的投标人不足3家的，本次招标按废标处理，重新组织招标。</w:t>
      </w:r>
    </w:p>
    <w:p>
      <w:pPr>
        <w:numPr>
          <w:ilvl w:val="1"/>
          <w:numId w:val="33"/>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在详细评标之前，评标委员会要审查每份投标文件是否实质上响应了招标文件的要求。实质上响应的投标应该是与招标文件要求的全部条款、条件和规格基本相符。没有重大偏离。</w:t>
      </w:r>
    </w:p>
    <w:p>
      <w:pPr>
        <w:numPr>
          <w:ilvl w:val="1"/>
          <w:numId w:val="33"/>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实质上没有响应招标文件要求的投标将被否决，投标人不得通过修正或撤消不合要求的偏离或保留从而使其投标成为实质上响应的投标。</w:t>
      </w:r>
    </w:p>
    <w:p>
      <w:pPr>
        <w:numPr>
          <w:ilvl w:val="0"/>
          <w:numId w:val="30"/>
        </w:numPr>
        <w:tabs>
          <w:tab w:val="left" w:pos="540"/>
        </w:tabs>
        <w:spacing w:line="360" w:lineRule="auto"/>
        <w:ind w:left="567" w:hanging="510"/>
        <w:rPr>
          <w:rFonts w:ascii="宋体" w:hAnsi="宋体" w:cs="Arial"/>
          <w:bCs/>
          <w:color w:val="auto"/>
          <w:sz w:val="22"/>
          <w:szCs w:val="22"/>
        </w:rPr>
      </w:pPr>
      <w:r>
        <w:rPr>
          <w:rFonts w:hint="eastAsia" w:ascii="宋体" w:hAnsi="宋体" w:cs="Arial"/>
          <w:bCs/>
          <w:color w:val="auto"/>
          <w:sz w:val="22"/>
          <w:szCs w:val="22"/>
        </w:rPr>
        <w:t>投标文件的澄清</w:t>
      </w:r>
    </w:p>
    <w:p>
      <w:pPr>
        <w:numPr>
          <w:ilvl w:val="1"/>
          <w:numId w:val="36"/>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为有助于投标文件的审查、评价和比较，评标小组可以在“政采云平台”在线询标或其他有效形式要求投标人对同一份投标文件含义不明确或同类问题表述不一致的内容（招标文件其它地方有规定处理方法的除外）作必要的澄清或说明，投标人应采用在线回复或其他有效形式在询标规定时间内进行澄清或说明（需盖电子签章或实体公章），但不得超出投标文件的范围或改变投标文件的实质性内容。凡属于评标小组在评标中发现的计算错误并进行核实的修改不在此列。</w:t>
      </w:r>
    </w:p>
    <w:p>
      <w:pPr>
        <w:numPr>
          <w:ilvl w:val="1"/>
          <w:numId w:val="36"/>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若投标文件中所提交的证书、证明等材料若出现已过有效期、时间或其他主要信息不明确，且投标人书面澄清（书面澄清仅限在投标文件递交截止时间前所提交投标文件及相关材料中未被评标委员会审查出的内容）亦不明确的，评审过程中将不予认可，不再寻求外部证据（外部证据包括投标人在澄清过程中申请补交的证明材料或网络查询结果等非投标文件本身内容）。</w:t>
      </w:r>
    </w:p>
    <w:p>
      <w:pPr>
        <w:numPr>
          <w:ilvl w:val="1"/>
          <w:numId w:val="36"/>
        </w:numPr>
        <w:tabs>
          <w:tab w:val="left" w:pos="360"/>
        </w:tabs>
        <w:spacing w:line="360" w:lineRule="auto"/>
        <w:ind w:left="567" w:hanging="510"/>
        <w:rPr>
          <w:rFonts w:ascii="宋体" w:hAnsi="宋体" w:cs="Arial"/>
          <w:b/>
          <w:bCs/>
          <w:color w:val="auto"/>
          <w:sz w:val="22"/>
          <w:szCs w:val="22"/>
        </w:rPr>
      </w:pPr>
      <w:r>
        <w:rPr>
          <w:rFonts w:hint="eastAsia" w:ascii="宋体" w:hAnsi="宋体" w:cs="Arial"/>
          <w:b/>
          <w:bCs/>
          <w:color w:val="auto"/>
          <w:sz w:val="22"/>
          <w:szCs w:val="22"/>
        </w:rPr>
        <w:t>投标文件报价出现前后不一致的，除招标文件另有规定外，按照下列规定修正：</w:t>
      </w:r>
    </w:p>
    <w:p>
      <w:pPr>
        <w:spacing w:line="360" w:lineRule="auto"/>
        <w:ind w:firstLine="220" w:firstLineChars="100"/>
        <w:rPr>
          <w:rFonts w:ascii="宋体" w:hAnsi="宋体" w:cs="宋体"/>
          <w:color w:val="auto"/>
          <w:kern w:val="0"/>
          <w:sz w:val="22"/>
          <w:szCs w:val="22"/>
        </w:rPr>
      </w:pPr>
      <w:r>
        <w:rPr>
          <w:rFonts w:hint="eastAsia" w:ascii="宋体" w:hAnsi="宋体" w:cs="宋体"/>
          <w:color w:val="auto"/>
          <w:kern w:val="0"/>
          <w:sz w:val="22"/>
          <w:szCs w:val="22"/>
        </w:rPr>
        <w:t>1）</w:t>
      </w:r>
      <w:r>
        <w:rPr>
          <w:rFonts w:hint="eastAsia" w:ascii="宋体" w:hAnsi="宋体" w:cs="宋体"/>
          <w:color w:val="auto"/>
          <w:sz w:val="22"/>
        </w:rPr>
        <w:t>投标文件中开标一览表（报价表）内容与投标文件中相应内容不一致的，以开标一览表（报价表）为准</w:t>
      </w:r>
      <w:r>
        <w:rPr>
          <w:rFonts w:hint="eastAsia" w:ascii="宋体" w:hAnsi="宋体" w:cs="宋体"/>
          <w:color w:val="auto"/>
          <w:kern w:val="0"/>
          <w:sz w:val="22"/>
          <w:szCs w:val="22"/>
        </w:rPr>
        <w:t>。</w:t>
      </w:r>
    </w:p>
    <w:p>
      <w:pPr>
        <w:spacing w:line="360" w:lineRule="auto"/>
        <w:ind w:firstLine="220" w:firstLineChars="100"/>
        <w:rPr>
          <w:rFonts w:ascii="宋体" w:hAnsi="宋体" w:cs="宋体"/>
          <w:color w:val="auto"/>
          <w:sz w:val="22"/>
        </w:rPr>
      </w:pPr>
      <w:r>
        <w:rPr>
          <w:rFonts w:hint="eastAsia" w:ascii="宋体" w:hAnsi="宋体" w:cs="宋体"/>
          <w:color w:val="auto"/>
          <w:kern w:val="0"/>
          <w:sz w:val="22"/>
          <w:szCs w:val="22"/>
        </w:rPr>
        <w:t>2）</w:t>
      </w:r>
      <w:r>
        <w:rPr>
          <w:rFonts w:hint="eastAsia" w:ascii="宋体" w:hAnsi="宋体" w:cs="宋体"/>
          <w:color w:val="auto"/>
          <w:sz w:val="22"/>
        </w:rPr>
        <w:t>大写金额和小写金额不一致的，以大写金额为准。</w:t>
      </w:r>
    </w:p>
    <w:p>
      <w:pPr>
        <w:spacing w:line="360" w:lineRule="auto"/>
        <w:ind w:firstLine="220" w:firstLineChars="100"/>
        <w:rPr>
          <w:rFonts w:ascii="宋体" w:hAnsi="宋体" w:cs="宋体"/>
          <w:color w:val="auto"/>
          <w:sz w:val="22"/>
        </w:rPr>
      </w:pPr>
      <w:r>
        <w:rPr>
          <w:rFonts w:hint="eastAsia" w:ascii="宋体" w:hAnsi="宋体" w:cs="宋体"/>
          <w:color w:val="auto"/>
          <w:sz w:val="22"/>
        </w:rPr>
        <w:t>3）单价金额小数点或者百分比有明显错位的，以开标一览表的总价为准，并修改单价。</w:t>
      </w:r>
    </w:p>
    <w:p>
      <w:pPr>
        <w:spacing w:line="360" w:lineRule="auto"/>
        <w:ind w:firstLine="220" w:firstLineChars="100"/>
        <w:rPr>
          <w:rFonts w:ascii="宋体" w:hAnsi="宋体" w:cs="宋体"/>
          <w:color w:val="auto"/>
          <w:sz w:val="22"/>
        </w:rPr>
      </w:pPr>
      <w:r>
        <w:rPr>
          <w:rFonts w:hint="eastAsia" w:ascii="宋体" w:hAnsi="宋体" w:cs="宋体"/>
          <w:color w:val="auto"/>
          <w:sz w:val="22"/>
        </w:rPr>
        <w:t>4）总价金额与按单价汇总金额不一致的，以单价金额计算结果为准。</w:t>
      </w:r>
    </w:p>
    <w:p>
      <w:pPr>
        <w:spacing w:line="360" w:lineRule="auto"/>
        <w:ind w:firstLine="220" w:firstLineChars="100"/>
        <w:rPr>
          <w:rFonts w:ascii="宋体" w:hAnsi="宋体" w:cs="宋体"/>
          <w:b/>
          <w:bCs/>
          <w:color w:val="auto"/>
          <w:sz w:val="22"/>
        </w:rPr>
      </w:pPr>
      <w:r>
        <w:rPr>
          <w:rFonts w:hint="eastAsia" w:ascii="宋体" w:hAnsi="宋体" w:cs="宋体"/>
          <w:color w:val="auto"/>
          <w:sz w:val="22"/>
        </w:rPr>
        <w:t>5）</w:t>
      </w:r>
      <w:r>
        <w:rPr>
          <w:rFonts w:hint="eastAsia" w:ascii="宋体" w:hAnsi="宋体" w:cs="宋体"/>
          <w:b/>
          <w:bCs/>
          <w:color w:val="auto"/>
          <w:sz w:val="22"/>
        </w:rPr>
        <w:t>同时出现两种以上不一致的，按照前款规定的顺序修正。修正后的报价按照本招标文件规定经投标人确认后产生约束力，投标人不确认的，其投标无效。</w:t>
      </w:r>
    </w:p>
    <w:p>
      <w:pPr>
        <w:numPr>
          <w:ilvl w:val="1"/>
          <w:numId w:val="36"/>
        </w:numPr>
        <w:tabs>
          <w:tab w:val="left" w:pos="360"/>
        </w:tabs>
        <w:spacing w:line="360" w:lineRule="auto"/>
        <w:ind w:left="567" w:hanging="510"/>
        <w:rPr>
          <w:rFonts w:ascii="宋体" w:hAnsi="宋体" w:cs="Arial"/>
          <w:b/>
          <w:bCs/>
          <w:color w:val="auto"/>
          <w:sz w:val="22"/>
          <w:szCs w:val="22"/>
        </w:rPr>
      </w:pPr>
      <w:r>
        <w:rPr>
          <w:rFonts w:hint="eastAsia" w:ascii="宋体" w:hAnsi="宋体" w:cs="宋体"/>
          <w:color w:val="auto"/>
          <w:kern w:val="0"/>
          <w:sz w:val="22"/>
          <w:szCs w:val="22"/>
        </w:rPr>
        <w:t>▲</w:t>
      </w:r>
      <w:r>
        <w:rPr>
          <w:rFonts w:hint="eastAsia" w:ascii="宋体" w:hAnsi="宋体" w:cs="宋体"/>
          <w:b/>
          <w:bCs/>
          <w:color w:val="auto"/>
          <w:kern w:val="0"/>
          <w:sz w:val="22"/>
          <w:szCs w:val="22"/>
        </w:rPr>
        <w:t>评标委员会认为投标人的报价明显低于其他通过符合性审查投标人的报价，有可能影响产品质</w:t>
      </w:r>
      <w:r>
        <w:rPr>
          <w:rFonts w:hint="eastAsia" w:ascii="宋体" w:hAnsi="宋体" w:cs="Arial"/>
          <w:b/>
          <w:bCs/>
          <w:color w:val="auto"/>
          <w:sz w:val="22"/>
          <w:szCs w:val="22"/>
        </w:rPr>
        <w:t>量或者不能诚信履约的，将要求其在合理时间内在“政采云平台”上作出在线澄清并提供书面说明，必要时提交相关证明材料；投标人不能证明其报价合理性的，评标委员会应当将其作为无效投标处理。</w:t>
      </w:r>
    </w:p>
    <w:p>
      <w:pPr>
        <w:numPr>
          <w:ilvl w:val="1"/>
          <w:numId w:val="36"/>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如果投标人代表拒绝按评标委员会要求在“政采云平台”作出在线回复且无其他有效回复方式的，评标委员会可以对其作出否决投标处理。</w:t>
      </w:r>
    </w:p>
    <w:p>
      <w:pPr>
        <w:numPr>
          <w:ilvl w:val="1"/>
          <w:numId w:val="36"/>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经澄清后，若偏差仍存在，且不可接受，则投标文件将被认定为“没有实质性响应招标文件要求”，按无效投标处理，不再进入下一步评审。</w:t>
      </w:r>
    </w:p>
    <w:p>
      <w:pPr>
        <w:numPr>
          <w:ilvl w:val="0"/>
          <w:numId w:val="30"/>
        </w:numPr>
        <w:tabs>
          <w:tab w:val="left" w:pos="540"/>
        </w:tabs>
        <w:spacing w:line="360" w:lineRule="auto"/>
        <w:ind w:left="567" w:hanging="510"/>
        <w:rPr>
          <w:rFonts w:ascii="宋体" w:hAnsi="宋体" w:cs="Arial"/>
          <w:bCs/>
          <w:color w:val="auto"/>
          <w:sz w:val="22"/>
          <w:szCs w:val="22"/>
        </w:rPr>
      </w:pPr>
      <w:r>
        <w:rPr>
          <w:rFonts w:hint="eastAsia" w:ascii="宋体" w:hAnsi="宋体" w:cs="Arial"/>
          <w:bCs/>
          <w:color w:val="auto"/>
          <w:sz w:val="22"/>
          <w:szCs w:val="22"/>
        </w:rPr>
        <w:t>评标原则和评标办法</w:t>
      </w:r>
    </w:p>
    <w:p>
      <w:pPr>
        <w:numPr>
          <w:ilvl w:val="1"/>
          <w:numId w:val="37"/>
        </w:numPr>
        <w:tabs>
          <w:tab w:val="left" w:pos="360"/>
        </w:tabs>
        <w:spacing w:line="360" w:lineRule="auto"/>
        <w:ind w:left="567" w:leftChars="0" w:hanging="510" w:firstLineChars="0"/>
        <w:rPr>
          <w:rFonts w:ascii="宋体" w:hAnsi="宋体" w:cs="Arial"/>
          <w:color w:val="auto"/>
          <w:sz w:val="22"/>
          <w:szCs w:val="22"/>
        </w:rPr>
      </w:pPr>
      <w:r>
        <w:rPr>
          <w:rFonts w:hint="eastAsia" w:ascii="宋体" w:hAnsi="宋体" w:cs="Arial"/>
          <w:color w:val="auto"/>
          <w:sz w:val="22"/>
          <w:szCs w:val="22"/>
        </w:rPr>
        <w:t>评标委员会成员应当按照客观、公正、审慎的原则，根据招标文件规定的评标程序、评标方法和评标标准进行独立评审。招标文件内容违反国家有关强制性规定的，评标委员会应当停止评标并向采购人或者采购代理机构说明情况。</w:t>
      </w:r>
    </w:p>
    <w:p>
      <w:pPr>
        <w:numPr>
          <w:ilvl w:val="1"/>
          <w:numId w:val="37"/>
        </w:numPr>
        <w:tabs>
          <w:tab w:val="left" w:pos="360"/>
        </w:tabs>
        <w:spacing w:line="360" w:lineRule="auto"/>
        <w:ind w:left="567" w:leftChars="0" w:hanging="510" w:firstLineChars="0"/>
        <w:rPr>
          <w:rFonts w:ascii="宋体" w:hAnsi="宋体" w:cs="Arial"/>
          <w:color w:val="auto"/>
          <w:sz w:val="22"/>
          <w:szCs w:val="22"/>
        </w:rPr>
      </w:pPr>
      <w:r>
        <w:rPr>
          <w:rFonts w:hint="eastAsia" w:ascii="宋体" w:hAnsi="宋体" w:cs="Arial"/>
          <w:color w:val="auto"/>
          <w:sz w:val="22"/>
          <w:szCs w:val="22"/>
        </w:rPr>
        <w:t>评标中因评标委员会成员缺席、回避或者健康等特殊原因导致评标委员会组成不符合规定的，依法补足后继续评标。被更换的评标委员会成员所作出的评标意见无效。</w:t>
      </w:r>
    </w:p>
    <w:p>
      <w:pPr>
        <w:numPr>
          <w:ilvl w:val="1"/>
          <w:numId w:val="37"/>
        </w:numPr>
        <w:tabs>
          <w:tab w:val="left" w:pos="360"/>
        </w:tabs>
        <w:spacing w:line="360" w:lineRule="auto"/>
        <w:ind w:left="567" w:leftChars="0" w:hanging="510" w:firstLineChars="0"/>
        <w:rPr>
          <w:rFonts w:ascii="宋体" w:hAnsi="宋体" w:cs="Arial"/>
          <w:color w:val="auto"/>
          <w:sz w:val="22"/>
          <w:szCs w:val="22"/>
        </w:rPr>
      </w:pPr>
      <w:r>
        <w:rPr>
          <w:rFonts w:hint="eastAsia" w:ascii="宋体" w:hAnsi="宋体" w:cs="Arial"/>
          <w:color w:val="auto"/>
          <w:sz w:val="22"/>
          <w:szCs w:val="22"/>
        </w:rPr>
        <w:t>评标委员会成员对需要共同认定的事项存在争议的，应当按照少数服从多数的原则作出结论。持不同意见的评标委员会成员应当在评标报告上签署不同意见及理由，否则视为同意评标报告。</w:t>
      </w:r>
    </w:p>
    <w:p>
      <w:pPr>
        <w:numPr>
          <w:ilvl w:val="1"/>
          <w:numId w:val="37"/>
        </w:numPr>
        <w:tabs>
          <w:tab w:val="left" w:pos="360"/>
        </w:tabs>
        <w:spacing w:line="360" w:lineRule="auto"/>
        <w:ind w:left="567" w:leftChars="0" w:hanging="510" w:firstLineChars="0"/>
        <w:rPr>
          <w:rFonts w:ascii="宋体" w:hAnsi="宋体" w:cs="Arial"/>
          <w:color w:val="auto"/>
          <w:sz w:val="22"/>
          <w:szCs w:val="22"/>
        </w:rPr>
      </w:pPr>
      <w:r>
        <w:rPr>
          <w:rFonts w:hint="eastAsia" w:ascii="宋体" w:hAnsi="宋体" w:cs="Arial"/>
          <w:color w:val="auto"/>
          <w:sz w:val="22"/>
          <w:szCs w:val="22"/>
        </w:rPr>
        <w:t>本项目评标办法是综合评分法，具体评标内容及评分标准等详见第三部分“评标原则及方法”。</w:t>
      </w:r>
    </w:p>
    <w:p>
      <w:pPr>
        <w:numPr>
          <w:ilvl w:val="1"/>
          <w:numId w:val="37"/>
        </w:numPr>
        <w:tabs>
          <w:tab w:val="left" w:pos="360"/>
        </w:tabs>
        <w:spacing w:line="360" w:lineRule="auto"/>
        <w:ind w:left="567" w:leftChars="0" w:hanging="510" w:firstLineChars="0"/>
        <w:rPr>
          <w:rFonts w:ascii="宋体" w:hAnsi="宋体" w:cs="Arial"/>
          <w:color w:val="auto"/>
          <w:sz w:val="22"/>
          <w:szCs w:val="22"/>
        </w:rPr>
      </w:pPr>
      <w:r>
        <w:rPr>
          <w:rFonts w:hint="eastAsia" w:ascii="宋体" w:hAnsi="宋体" w:cs="Arial"/>
          <w:color w:val="auto"/>
          <w:sz w:val="22"/>
          <w:szCs w:val="22"/>
        </w:rPr>
        <w:t>评标过程中遇到特殊情况，由评标委员会遵循公开、公正原则，采取投票方式按照少数服从多数原则决定。</w:t>
      </w:r>
    </w:p>
    <w:p>
      <w:pPr>
        <w:numPr>
          <w:ilvl w:val="0"/>
          <w:numId w:val="30"/>
        </w:numPr>
        <w:tabs>
          <w:tab w:val="left" w:pos="540"/>
        </w:tabs>
        <w:spacing w:line="360" w:lineRule="auto"/>
        <w:ind w:left="567" w:hanging="510"/>
        <w:rPr>
          <w:rFonts w:ascii="宋体" w:hAnsi="宋体" w:cs="Arial"/>
          <w:bCs/>
          <w:color w:val="auto"/>
          <w:sz w:val="22"/>
          <w:szCs w:val="22"/>
        </w:rPr>
      </w:pPr>
      <w:r>
        <w:rPr>
          <w:rFonts w:hint="eastAsia" w:ascii="宋体" w:hAnsi="宋体" w:cs="Arial"/>
          <w:bCs/>
          <w:color w:val="auto"/>
          <w:sz w:val="22"/>
          <w:szCs w:val="22"/>
        </w:rPr>
        <w:t>确定中标候选人</w:t>
      </w:r>
    </w:p>
    <w:p>
      <w:pPr>
        <w:numPr>
          <w:ilvl w:val="1"/>
          <w:numId w:val="38"/>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本次招标由评标委员会推荐中标候选人，采购人根据评标委员会的推荐结果进行最终确认。</w:t>
      </w:r>
    </w:p>
    <w:p>
      <w:pPr>
        <w:numPr>
          <w:ilvl w:val="1"/>
          <w:numId w:val="38"/>
        </w:numPr>
        <w:tabs>
          <w:tab w:val="left" w:pos="360"/>
        </w:tabs>
        <w:spacing w:line="360" w:lineRule="auto"/>
        <w:ind w:left="567" w:hanging="510"/>
        <w:rPr>
          <w:rFonts w:ascii="宋体" w:hAnsi="宋体" w:cs="宋体"/>
          <w:color w:val="auto"/>
          <w:kern w:val="0"/>
          <w:sz w:val="22"/>
          <w:szCs w:val="22"/>
        </w:rPr>
      </w:pPr>
      <w:r>
        <w:rPr>
          <w:rFonts w:hint="eastAsia" w:ascii="宋体" w:hAnsi="宋体" w:cs="Arial"/>
          <w:color w:val="auto"/>
          <w:sz w:val="22"/>
          <w:szCs w:val="22"/>
        </w:rPr>
        <w:t>评标委员会依据法律、法规及采购文件有关规定在有效标中按投标人的综合得分（商务技术分</w:t>
      </w:r>
      <w:r>
        <w:rPr>
          <w:rFonts w:hint="eastAsia" w:ascii="宋体" w:hAnsi="宋体" w:cs="宋体"/>
          <w:b/>
          <w:bCs/>
          <w:color w:val="auto"/>
          <w:kern w:val="0"/>
          <w:sz w:val="22"/>
          <w:szCs w:val="22"/>
        </w:rPr>
        <w:t>及报价分之各）高低进行排序，综合得分前二名投标人依次作为第一中标候选人和第二中标候选人向采购人推荐，并提交评标报告。综合得分相同的以报价分得分高的优先；综合得分相同且报价分得分相同的，由评标委员会随机抽签决定排序。</w:t>
      </w:r>
    </w:p>
    <w:p>
      <w:pPr>
        <w:numPr>
          <w:ilvl w:val="1"/>
          <w:numId w:val="38"/>
        </w:numPr>
        <w:tabs>
          <w:tab w:val="left" w:pos="360"/>
        </w:tabs>
        <w:spacing w:line="360" w:lineRule="auto"/>
        <w:ind w:left="567" w:hanging="510"/>
        <w:rPr>
          <w:rFonts w:ascii="宋体" w:hAnsi="宋体" w:cs="Arial"/>
          <w:color w:val="auto"/>
          <w:sz w:val="22"/>
          <w:szCs w:val="22"/>
        </w:rPr>
      </w:pPr>
      <w:r>
        <w:rPr>
          <w:rFonts w:hint="eastAsia" w:ascii="宋体" w:hAnsi="宋体" w:cs="Arial"/>
          <w:b/>
          <w:bCs/>
          <w:color w:val="auto"/>
          <w:sz w:val="22"/>
          <w:szCs w:val="22"/>
          <w:u w:val="single"/>
        </w:rPr>
        <w:t>若出现以下情形之一，采购人可视具体情况确定是否由备选中标人为中标人或重新组织招标：</w:t>
      </w:r>
    </w:p>
    <w:p>
      <w:pPr>
        <w:spacing w:line="360" w:lineRule="auto"/>
        <w:ind w:firstLine="0" w:firstLineChars="0"/>
        <w:rPr>
          <w:rFonts w:ascii="宋体" w:hAnsi="宋体" w:cs="宋体"/>
          <w:color w:val="auto"/>
          <w:kern w:val="0"/>
          <w:sz w:val="22"/>
          <w:szCs w:val="22"/>
        </w:rPr>
      </w:pPr>
      <w:r>
        <w:rPr>
          <w:rFonts w:hint="eastAsia" w:ascii="宋体" w:hAnsi="宋体" w:cs="宋体"/>
          <w:color w:val="auto"/>
          <w:kern w:val="0"/>
          <w:sz w:val="22"/>
          <w:szCs w:val="22"/>
        </w:rPr>
        <w:t>1）中标候选人放弃中标资格；</w:t>
      </w:r>
    </w:p>
    <w:p>
      <w:pPr>
        <w:spacing w:line="360" w:lineRule="auto"/>
        <w:ind w:firstLine="0" w:firstLineChars="0"/>
        <w:rPr>
          <w:rFonts w:ascii="宋体" w:hAnsi="宋体" w:cs="宋体"/>
          <w:color w:val="auto"/>
          <w:kern w:val="0"/>
          <w:sz w:val="22"/>
          <w:szCs w:val="22"/>
        </w:rPr>
      </w:pPr>
      <w:r>
        <w:rPr>
          <w:rFonts w:hint="eastAsia" w:ascii="宋体" w:hAnsi="宋体" w:cs="宋体"/>
          <w:color w:val="auto"/>
          <w:kern w:val="0"/>
          <w:sz w:val="22"/>
          <w:szCs w:val="22"/>
        </w:rPr>
        <w:t>2）中标候选人因不可抗力提出不能履行合同；</w:t>
      </w:r>
    </w:p>
    <w:p>
      <w:pPr>
        <w:spacing w:line="360" w:lineRule="auto"/>
        <w:ind w:firstLine="0" w:firstLineChars="0"/>
        <w:rPr>
          <w:rFonts w:ascii="宋体" w:hAnsi="宋体" w:cs="宋体"/>
          <w:color w:val="auto"/>
          <w:kern w:val="0"/>
          <w:sz w:val="22"/>
          <w:szCs w:val="22"/>
        </w:rPr>
      </w:pPr>
      <w:r>
        <w:rPr>
          <w:rFonts w:hint="eastAsia" w:ascii="宋体" w:hAnsi="宋体" w:cs="宋体"/>
          <w:color w:val="auto"/>
          <w:kern w:val="0"/>
          <w:sz w:val="22"/>
          <w:szCs w:val="22"/>
        </w:rPr>
        <w:t>3）中标候选人未能在规定时间内与采购单位签订合同；</w:t>
      </w:r>
    </w:p>
    <w:p>
      <w:pPr>
        <w:spacing w:line="360" w:lineRule="auto"/>
        <w:ind w:firstLine="0" w:firstLineChars="0"/>
        <w:rPr>
          <w:rFonts w:ascii="宋体" w:hAnsi="宋体" w:cs="宋体"/>
          <w:color w:val="auto"/>
          <w:kern w:val="0"/>
          <w:sz w:val="22"/>
          <w:szCs w:val="22"/>
        </w:rPr>
      </w:pPr>
      <w:r>
        <w:rPr>
          <w:rFonts w:hint="eastAsia" w:ascii="宋体" w:hAnsi="宋体" w:cs="宋体"/>
          <w:color w:val="auto"/>
          <w:kern w:val="0"/>
          <w:sz w:val="22"/>
          <w:szCs w:val="22"/>
        </w:rPr>
        <w:t>4）经质疑，采购人审查后，中标候选人确实在本次采购活动中存在违法违规行为或其他原因使质疑成立的。</w:t>
      </w:r>
    </w:p>
    <w:p>
      <w:pPr>
        <w:numPr>
          <w:ilvl w:val="1"/>
          <w:numId w:val="38"/>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采购人、采购代理机构及评标委员会对未中标的投标人不作解释。</w:t>
      </w:r>
    </w:p>
    <w:p>
      <w:pPr>
        <w:numPr>
          <w:ilvl w:val="0"/>
          <w:numId w:val="30"/>
        </w:numPr>
        <w:tabs>
          <w:tab w:val="left" w:pos="540"/>
        </w:tabs>
        <w:spacing w:line="360" w:lineRule="auto"/>
        <w:ind w:left="567" w:hanging="510"/>
        <w:rPr>
          <w:rFonts w:ascii="宋体" w:hAnsi="宋体" w:cs="Arial"/>
          <w:bCs/>
          <w:color w:val="auto"/>
          <w:sz w:val="22"/>
          <w:szCs w:val="22"/>
        </w:rPr>
      </w:pPr>
      <w:bookmarkStart w:id="147" w:name="_Toc306613654"/>
      <w:bookmarkStart w:id="148" w:name="_Toc34221901"/>
      <w:bookmarkStart w:id="149" w:name="_Toc34508136"/>
      <w:r>
        <w:rPr>
          <w:rFonts w:hint="eastAsia" w:ascii="宋体" w:hAnsi="宋体" w:cs="Arial"/>
          <w:bCs/>
          <w:color w:val="auto"/>
          <w:sz w:val="22"/>
          <w:szCs w:val="22"/>
        </w:rPr>
        <w:t xml:space="preserve"> 可中止电子交易活动的情形</w:t>
      </w:r>
    </w:p>
    <w:p>
      <w:pPr>
        <w:numPr>
          <w:ilvl w:val="1"/>
          <w:numId w:val="39"/>
        </w:numPr>
        <w:tabs>
          <w:tab w:val="left" w:pos="640"/>
        </w:tabs>
        <w:spacing w:line="360" w:lineRule="auto"/>
        <w:ind w:left="567" w:hanging="510"/>
        <w:rPr>
          <w:rFonts w:ascii="宋体" w:hAnsi="宋体" w:cs="Arial"/>
          <w:b/>
          <w:bCs/>
          <w:color w:val="auto"/>
          <w:sz w:val="22"/>
          <w:szCs w:val="22"/>
        </w:rPr>
      </w:pPr>
      <w:r>
        <w:rPr>
          <w:rFonts w:hint="eastAsia" w:ascii="宋体" w:hAnsi="宋体" w:cs="Arial"/>
          <w:b/>
          <w:bCs/>
          <w:color w:val="auto"/>
          <w:sz w:val="22"/>
          <w:szCs w:val="22"/>
        </w:rPr>
        <w:t>采购过程中出现以下情形，导致电子交易平台无法正常运行，或者无法保证电子交易的公平、公正和安全时，采购组织机构可中止电子交易活动：</w:t>
      </w:r>
    </w:p>
    <w:p>
      <w:pPr>
        <w:numPr>
          <w:ilvl w:val="2"/>
          <w:numId w:val="40"/>
        </w:numPr>
        <w:tabs>
          <w:tab w:val="left" w:pos="993"/>
        </w:tabs>
        <w:spacing w:line="360" w:lineRule="auto"/>
        <w:ind w:left="567" w:firstLine="0"/>
        <w:rPr>
          <w:rFonts w:ascii="宋体" w:hAnsi="宋体" w:cs="宋体"/>
          <w:color w:val="auto"/>
          <w:kern w:val="0"/>
          <w:sz w:val="22"/>
          <w:szCs w:val="22"/>
        </w:rPr>
      </w:pPr>
      <w:r>
        <w:rPr>
          <w:rFonts w:hint="eastAsia" w:ascii="宋体" w:hAnsi="宋体" w:cs="宋体"/>
          <w:color w:val="auto"/>
          <w:kern w:val="0"/>
          <w:sz w:val="22"/>
          <w:szCs w:val="22"/>
        </w:rPr>
        <w:t>电子交易平台发生故障而无法登录访问的；</w:t>
      </w:r>
    </w:p>
    <w:p>
      <w:pPr>
        <w:numPr>
          <w:ilvl w:val="2"/>
          <w:numId w:val="40"/>
        </w:numPr>
        <w:tabs>
          <w:tab w:val="left" w:pos="993"/>
        </w:tabs>
        <w:spacing w:line="360" w:lineRule="auto"/>
        <w:ind w:left="567" w:firstLine="0"/>
        <w:rPr>
          <w:rFonts w:ascii="宋体" w:hAnsi="宋体" w:cs="宋体"/>
          <w:color w:val="auto"/>
          <w:kern w:val="0"/>
          <w:sz w:val="22"/>
          <w:szCs w:val="22"/>
        </w:rPr>
      </w:pPr>
      <w:r>
        <w:rPr>
          <w:rFonts w:hint="eastAsia" w:ascii="宋体" w:hAnsi="宋体" w:cs="宋体"/>
          <w:color w:val="auto"/>
          <w:kern w:val="0"/>
          <w:sz w:val="22"/>
          <w:szCs w:val="22"/>
        </w:rPr>
        <w:t>电子交易平台应用或数据库出现错误，不能进行正常操作的；</w:t>
      </w:r>
    </w:p>
    <w:p>
      <w:pPr>
        <w:numPr>
          <w:ilvl w:val="2"/>
          <w:numId w:val="40"/>
        </w:numPr>
        <w:tabs>
          <w:tab w:val="left" w:pos="993"/>
        </w:tabs>
        <w:spacing w:line="360" w:lineRule="auto"/>
        <w:ind w:left="567" w:firstLine="0"/>
        <w:rPr>
          <w:rFonts w:ascii="宋体" w:hAnsi="宋体" w:cs="宋体"/>
          <w:color w:val="auto"/>
          <w:kern w:val="0"/>
          <w:sz w:val="22"/>
          <w:szCs w:val="22"/>
        </w:rPr>
      </w:pPr>
      <w:r>
        <w:rPr>
          <w:rFonts w:hint="eastAsia" w:ascii="宋体" w:hAnsi="宋体" w:cs="宋体"/>
          <w:color w:val="auto"/>
          <w:kern w:val="0"/>
          <w:sz w:val="22"/>
          <w:szCs w:val="22"/>
        </w:rPr>
        <w:t>电子交易平台发现严重安全漏洞，有潜在泄密危险的；</w:t>
      </w:r>
    </w:p>
    <w:p>
      <w:pPr>
        <w:numPr>
          <w:ilvl w:val="2"/>
          <w:numId w:val="40"/>
        </w:numPr>
        <w:tabs>
          <w:tab w:val="left" w:pos="993"/>
        </w:tabs>
        <w:spacing w:line="360" w:lineRule="auto"/>
        <w:ind w:left="567" w:firstLine="0"/>
        <w:rPr>
          <w:rFonts w:ascii="宋体" w:hAnsi="宋体" w:cs="宋体"/>
          <w:color w:val="auto"/>
          <w:kern w:val="0"/>
          <w:sz w:val="22"/>
          <w:szCs w:val="22"/>
        </w:rPr>
      </w:pPr>
      <w:r>
        <w:rPr>
          <w:rFonts w:hint="eastAsia" w:ascii="宋体" w:hAnsi="宋体" w:cs="宋体"/>
          <w:color w:val="auto"/>
          <w:kern w:val="0"/>
          <w:sz w:val="22"/>
          <w:szCs w:val="22"/>
        </w:rPr>
        <w:t>病毒发作导致不能进行正常操作的；</w:t>
      </w:r>
    </w:p>
    <w:p>
      <w:pPr>
        <w:numPr>
          <w:ilvl w:val="2"/>
          <w:numId w:val="40"/>
        </w:numPr>
        <w:tabs>
          <w:tab w:val="left" w:pos="993"/>
        </w:tabs>
        <w:spacing w:line="360" w:lineRule="auto"/>
        <w:ind w:left="567" w:firstLine="0"/>
        <w:rPr>
          <w:rFonts w:ascii="宋体" w:hAnsi="宋体" w:cs="宋体"/>
          <w:color w:val="auto"/>
          <w:kern w:val="0"/>
          <w:sz w:val="22"/>
          <w:szCs w:val="22"/>
        </w:rPr>
      </w:pPr>
      <w:r>
        <w:rPr>
          <w:rFonts w:hint="eastAsia" w:ascii="宋体" w:hAnsi="宋体" w:cs="宋体"/>
          <w:color w:val="auto"/>
          <w:kern w:val="0"/>
          <w:sz w:val="22"/>
          <w:szCs w:val="22"/>
        </w:rPr>
        <w:t>其他无法保证电子交易的公平、公正和安全的情况。</w:t>
      </w:r>
    </w:p>
    <w:p>
      <w:pPr>
        <w:numPr>
          <w:ilvl w:val="1"/>
          <w:numId w:val="39"/>
        </w:numPr>
        <w:tabs>
          <w:tab w:val="left" w:pos="640"/>
        </w:tabs>
        <w:spacing w:line="360" w:lineRule="auto"/>
        <w:ind w:left="567" w:hanging="510"/>
        <w:rPr>
          <w:rFonts w:ascii="宋体" w:hAnsi="宋体" w:cs="Arial"/>
          <w:color w:val="auto"/>
          <w:sz w:val="22"/>
          <w:szCs w:val="22"/>
        </w:rPr>
      </w:pPr>
      <w:r>
        <w:rPr>
          <w:rFonts w:hint="eastAsia" w:ascii="宋体" w:hAnsi="宋体" w:cs="Arial"/>
          <w:color w:val="auto"/>
          <w:sz w:val="22"/>
          <w:szCs w:val="22"/>
        </w:rPr>
        <w:t>出现前款规定情形，不影响采购公平、公正性的，采购组织机构可以待上述情形消除后继续组织电子交易活动；影响或可能影响采购公平、公正性的，应当重新采购。</w:t>
      </w:r>
    </w:p>
    <w:p>
      <w:pPr>
        <w:pStyle w:val="4"/>
        <w:spacing w:line="360" w:lineRule="auto"/>
        <w:ind w:left="420"/>
        <w:jc w:val="center"/>
        <w:rPr>
          <w:rFonts w:ascii="宋体" w:hAnsi="宋体"/>
          <w:color w:val="auto"/>
          <w:sz w:val="26"/>
          <w:szCs w:val="26"/>
        </w:rPr>
      </w:pPr>
      <w:bookmarkStart w:id="150" w:name="_Toc7414"/>
      <w:r>
        <w:rPr>
          <w:rFonts w:hint="eastAsia" w:ascii="宋体" w:hAnsi="宋体"/>
          <w:color w:val="auto"/>
          <w:sz w:val="26"/>
          <w:szCs w:val="26"/>
        </w:rPr>
        <w:t xml:space="preserve">八、 </w:t>
      </w:r>
      <w:bookmarkStart w:id="151" w:name="_Toc32607"/>
      <w:r>
        <w:rPr>
          <w:rFonts w:hint="eastAsia" w:ascii="宋体" w:hAnsi="宋体"/>
          <w:color w:val="auto"/>
          <w:sz w:val="26"/>
          <w:szCs w:val="26"/>
        </w:rPr>
        <w:t>授予合同</w:t>
      </w:r>
      <w:bookmarkEnd w:id="147"/>
      <w:bookmarkEnd w:id="148"/>
      <w:bookmarkEnd w:id="149"/>
      <w:bookmarkEnd w:id="150"/>
      <w:bookmarkEnd w:id="151"/>
    </w:p>
    <w:p>
      <w:pPr>
        <w:numPr>
          <w:ilvl w:val="0"/>
          <w:numId w:val="41"/>
        </w:numPr>
        <w:tabs>
          <w:tab w:val="left" w:pos="540"/>
        </w:tabs>
        <w:spacing w:line="360" w:lineRule="auto"/>
        <w:ind w:left="567" w:hanging="510"/>
        <w:rPr>
          <w:rFonts w:ascii="宋体" w:hAnsi="宋体" w:cs="Arial"/>
          <w:bCs/>
          <w:color w:val="auto"/>
          <w:sz w:val="22"/>
          <w:szCs w:val="22"/>
        </w:rPr>
      </w:pPr>
      <w:r>
        <w:rPr>
          <w:rFonts w:hint="eastAsia" w:ascii="宋体" w:hAnsi="宋体" w:cs="Arial"/>
          <w:bCs/>
          <w:color w:val="auto"/>
          <w:sz w:val="22"/>
          <w:szCs w:val="22"/>
        </w:rPr>
        <w:t>确定中标人</w:t>
      </w:r>
    </w:p>
    <w:p>
      <w:pPr>
        <w:numPr>
          <w:ilvl w:val="1"/>
          <w:numId w:val="42"/>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采购人自收到评标报告之日起5个工作日内，在评标报告确定的中标候选人名单中按顺序确定中标人。</w:t>
      </w:r>
    </w:p>
    <w:p>
      <w:pPr>
        <w:numPr>
          <w:ilvl w:val="1"/>
          <w:numId w:val="42"/>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中标人确定之日起2个工作日内，在“政采云”平台上公示中标结果，中标公告期限为1个工作日；</w:t>
      </w:r>
    </w:p>
    <w:p>
      <w:pPr>
        <w:numPr>
          <w:ilvl w:val="1"/>
          <w:numId w:val="42"/>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在公告中标结果的同时，采购人向中标人发出中标通知书。</w:t>
      </w:r>
    </w:p>
    <w:p>
      <w:pPr>
        <w:numPr>
          <w:ilvl w:val="1"/>
          <w:numId w:val="42"/>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各投标人对评标结果如有异议，可在中标结果公示之日起7个工作日内以书面形式向采购人进行署名投诉或提出质疑，但需对投诉或质疑内容的真实性承担法律责任。</w:t>
      </w:r>
    </w:p>
    <w:p>
      <w:pPr>
        <w:numPr>
          <w:ilvl w:val="0"/>
          <w:numId w:val="41"/>
        </w:numPr>
        <w:tabs>
          <w:tab w:val="left" w:pos="540"/>
        </w:tabs>
        <w:spacing w:line="360" w:lineRule="auto"/>
        <w:ind w:left="567" w:hanging="510"/>
        <w:rPr>
          <w:rFonts w:ascii="宋体" w:hAnsi="宋体" w:cs="Arial"/>
          <w:bCs/>
          <w:color w:val="auto"/>
          <w:sz w:val="22"/>
          <w:szCs w:val="22"/>
        </w:rPr>
      </w:pPr>
      <w:r>
        <w:rPr>
          <w:rFonts w:hint="eastAsia" w:ascii="宋体" w:hAnsi="宋体" w:cs="Arial"/>
          <w:bCs/>
          <w:color w:val="auto"/>
          <w:sz w:val="22"/>
          <w:szCs w:val="22"/>
        </w:rPr>
        <w:t>签订合同</w:t>
      </w:r>
    </w:p>
    <w:p>
      <w:pPr>
        <w:numPr>
          <w:ilvl w:val="1"/>
          <w:numId w:val="43"/>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公示期结束后，中标人须在5个工作日内主动联系采购人或采购机构领取中标通知书。中标人应当在中标通知书发出之日起30日内与采购人签订合同。中标人未经采购人许可，在规定时间内未到采购人处与采购人签订合同，则视为拒签合同。</w:t>
      </w:r>
    </w:p>
    <w:p>
      <w:pPr>
        <w:numPr>
          <w:ilvl w:val="1"/>
          <w:numId w:val="43"/>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招标文件、中标人的投标文件及投标修改文件、评标过程中有关澄清文件及经双方签字的询标纪要（承诺）和中标通知书均作为合同附件。</w:t>
      </w:r>
    </w:p>
    <w:p>
      <w:pPr>
        <w:numPr>
          <w:ilvl w:val="1"/>
          <w:numId w:val="43"/>
        </w:numPr>
        <w:tabs>
          <w:tab w:val="left" w:pos="360"/>
        </w:tabs>
        <w:spacing w:line="360" w:lineRule="auto"/>
        <w:ind w:left="567" w:hanging="510"/>
        <w:rPr>
          <w:rFonts w:ascii="宋体" w:hAnsi="宋体" w:cs="Arial"/>
          <w:b/>
          <w:bCs/>
          <w:color w:val="auto"/>
          <w:sz w:val="22"/>
          <w:szCs w:val="22"/>
        </w:rPr>
      </w:pPr>
      <w:r>
        <w:rPr>
          <w:rFonts w:hint="eastAsia" w:ascii="宋体" w:hAnsi="宋体" w:cs="Arial"/>
          <w:b/>
          <w:bCs/>
          <w:color w:val="auto"/>
          <w:sz w:val="22"/>
          <w:szCs w:val="22"/>
        </w:rPr>
        <w:t>中标投标人应在合同签订后2个工作日内提交一份合同文本扫描件报招标代理机构备案。</w:t>
      </w:r>
    </w:p>
    <w:p>
      <w:pPr>
        <w:numPr>
          <w:ilvl w:val="1"/>
          <w:numId w:val="43"/>
        </w:numPr>
        <w:tabs>
          <w:tab w:val="left" w:pos="360"/>
        </w:tabs>
        <w:spacing w:line="360" w:lineRule="auto"/>
        <w:ind w:left="567" w:hanging="510"/>
        <w:rPr>
          <w:rFonts w:ascii="宋体" w:hAnsi="宋体" w:cs="Arial"/>
          <w:color w:val="auto"/>
          <w:sz w:val="22"/>
          <w:szCs w:val="22"/>
        </w:rPr>
      </w:pPr>
      <w:r>
        <w:rPr>
          <w:rFonts w:hint="eastAsia" w:ascii="宋体" w:hAnsi="宋体" w:cs="Arial"/>
          <w:color w:val="auto"/>
          <w:sz w:val="22"/>
          <w:szCs w:val="22"/>
        </w:rPr>
        <w:t>中标人在规定时间内（30日历天）借故否认已经承诺的条件、拒签合同，以投标违约处理，并赔偿采购人由此造成的直接经济损失；采购人重新组织招标的，所需费用由原中标人承担。</w:t>
      </w:r>
    </w:p>
    <w:p>
      <w:pPr>
        <w:numPr>
          <w:ilvl w:val="0"/>
          <w:numId w:val="41"/>
        </w:numPr>
        <w:tabs>
          <w:tab w:val="left" w:pos="540"/>
        </w:tabs>
        <w:spacing w:line="360" w:lineRule="auto"/>
        <w:ind w:left="567" w:hanging="510"/>
        <w:rPr>
          <w:rFonts w:ascii="宋体" w:hAnsi="宋体" w:cs="Arial"/>
          <w:bCs/>
          <w:color w:val="auto"/>
          <w:sz w:val="22"/>
          <w:szCs w:val="22"/>
        </w:rPr>
      </w:pPr>
      <w:r>
        <w:rPr>
          <w:rFonts w:hint="eastAsia" w:ascii="宋体" w:hAnsi="宋体" w:cs="Arial"/>
          <w:b/>
          <w:color w:val="auto"/>
          <w:sz w:val="22"/>
          <w:szCs w:val="22"/>
        </w:rPr>
        <w:t>根据《浙江省财政厅关于明确政府采购保证金管理工作的通知》（浙财采监〔2019〕5号）规定“供应商在政府采购活动中违反政府采购相关规定给采购组织机构造成损失的，采购组织机构可按照采购文件约定要求供应商承担赔偿责任。”的规定，对因</w:t>
      </w:r>
      <w:r>
        <w:rPr>
          <w:rFonts w:hint="eastAsia" w:ascii="宋体" w:hAnsi="宋体" w:cs="宋体"/>
          <w:b/>
          <w:color w:val="auto"/>
          <w:kern w:val="0"/>
          <w:sz w:val="22"/>
          <w:szCs w:val="22"/>
        </w:rPr>
        <w:t>违法违规行为或其他原因取消</w:t>
      </w:r>
      <w:r>
        <w:rPr>
          <w:rFonts w:hint="eastAsia" w:ascii="宋体" w:hAnsi="宋体" w:cs="Arial"/>
          <w:b/>
          <w:color w:val="auto"/>
          <w:sz w:val="22"/>
          <w:szCs w:val="22"/>
        </w:rPr>
        <w:t>中标（成交）资格，或自愿放弃中标（成交）资格的供应商，需承担代理费和专家评审费等费用。</w:t>
      </w:r>
    </w:p>
    <w:p>
      <w:pPr>
        <w:pStyle w:val="4"/>
        <w:spacing w:line="360" w:lineRule="auto"/>
        <w:ind w:left="420"/>
        <w:jc w:val="center"/>
        <w:rPr>
          <w:rFonts w:ascii="宋体" w:hAnsi="宋体"/>
          <w:color w:val="auto"/>
          <w:sz w:val="26"/>
          <w:szCs w:val="26"/>
        </w:rPr>
      </w:pPr>
      <w:bookmarkStart w:id="152" w:name="_Toc25540"/>
      <w:bookmarkStart w:id="153" w:name="_Toc22702"/>
      <w:bookmarkStart w:id="154" w:name="_Toc18423"/>
      <w:r>
        <w:rPr>
          <w:rFonts w:hint="eastAsia" w:ascii="宋体" w:hAnsi="宋体"/>
          <w:color w:val="auto"/>
          <w:sz w:val="26"/>
          <w:szCs w:val="26"/>
        </w:rPr>
        <w:t>九、验收</w:t>
      </w:r>
      <w:bookmarkEnd w:id="152"/>
      <w:bookmarkEnd w:id="153"/>
      <w:bookmarkEnd w:id="154"/>
    </w:p>
    <w:p>
      <w:pPr>
        <w:numPr>
          <w:ilvl w:val="0"/>
          <w:numId w:val="44"/>
        </w:numPr>
        <w:tabs>
          <w:tab w:val="left" w:pos="540"/>
        </w:tabs>
        <w:spacing w:line="360" w:lineRule="auto"/>
        <w:ind w:left="567" w:hanging="510"/>
        <w:rPr>
          <w:rFonts w:ascii="宋体" w:hAnsi="宋体" w:cs="Arial"/>
          <w:bCs/>
          <w:color w:val="auto"/>
          <w:sz w:val="22"/>
          <w:szCs w:val="22"/>
        </w:rPr>
      </w:pPr>
      <w:r>
        <w:rPr>
          <w:rFonts w:hint="eastAsia" w:ascii="宋体" w:hAnsi="宋体" w:cs="Arial"/>
          <w:bCs/>
          <w:color w:val="auto"/>
          <w:sz w:val="22"/>
          <w:szCs w:val="22"/>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numPr>
          <w:ilvl w:val="0"/>
          <w:numId w:val="44"/>
        </w:numPr>
        <w:tabs>
          <w:tab w:val="left" w:pos="540"/>
        </w:tabs>
        <w:spacing w:line="360" w:lineRule="auto"/>
        <w:ind w:left="567" w:hanging="510"/>
        <w:rPr>
          <w:rFonts w:ascii="宋体" w:hAnsi="宋体" w:cs="Arial"/>
          <w:bCs/>
          <w:color w:val="auto"/>
          <w:sz w:val="22"/>
          <w:szCs w:val="22"/>
        </w:rPr>
      </w:pPr>
      <w:r>
        <w:rPr>
          <w:rFonts w:hint="eastAsia" w:ascii="宋体" w:hAnsi="宋体" w:cs="Arial"/>
          <w:bCs/>
          <w:color w:val="auto"/>
          <w:sz w:val="22"/>
          <w:szCs w:val="22"/>
        </w:rPr>
        <w:t>采购人可以邀请参加本项目的其他供应商或者第三方机构参与验收。参与验收的供应商或者第三方机构的意见作为验收书的参考资料一并存档。</w:t>
      </w:r>
    </w:p>
    <w:p>
      <w:pPr>
        <w:numPr>
          <w:ilvl w:val="0"/>
          <w:numId w:val="44"/>
        </w:numPr>
        <w:tabs>
          <w:tab w:val="left" w:pos="540"/>
        </w:tabs>
        <w:spacing w:line="360" w:lineRule="auto"/>
        <w:ind w:left="567" w:hanging="510"/>
        <w:rPr>
          <w:rFonts w:ascii="宋体" w:hAnsi="宋体" w:cs="Arial"/>
          <w:bCs/>
          <w:color w:val="auto"/>
          <w:sz w:val="22"/>
          <w:szCs w:val="22"/>
        </w:rPr>
      </w:pPr>
      <w:r>
        <w:rPr>
          <w:rFonts w:hint="eastAsia" w:ascii="宋体" w:hAnsi="宋体" w:cs="Arial"/>
          <w:bCs/>
          <w:color w:val="auto"/>
          <w:sz w:val="22"/>
          <w:szCs w:val="22"/>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条件挂钩。履约验收的各项资料应当存档备查。</w:t>
      </w:r>
    </w:p>
    <w:p>
      <w:pPr>
        <w:numPr>
          <w:ilvl w:val="0"/>
          <w:numId w:val="44"/>
        </w:numPr>
        <w:tabs>
          <w:tab w:val="left" w:pos="540"/>
        </w:tabs>
        <w:spacing w:line="360" w:lineRule="auto"/>
        <w:ind w:left="567" w:hanging="510"/>
        <w:rPr>
          <w:rFonts w:ascii="宋体" w:hAnsi="宋体" w:cs="Arial"/>
          <w:bCs/>
          <w:color w:val="auto"/>
          <w:sz w:val="22"/>
          <w:szCs w:val="22"/>
        </w:rPr>
      </w:pPr>
      <w:r>
        <w:rPr>
          <w:rFonts w:hint="eastAsia" w:ascii="宋体" w:hAnsi="宋体" w:cs="Arial"/>
          <w:bCs/>
          <w:color w:val="auto"/>
          <w:sz w:val="22"/>
          <w:szCs w:val="22"/>
        </w:rPr>
        <w:t>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numPr>
          <w:ilvl w:val="0"/>
          <w:numId w:val="44"/>
        </w:numPr>
        <w:tabs>
          <w:tab w:val="left" w:pos="540"/>
        </w:tabs>
        <w:spacing w:line="360" w:lineRule="auto"/>
        <w:ind w:left="567" w:hanging="510"/>
        <w:rPr>
          <w:rFonts w:ascii="宋体" w:hAnsi="宋体" w:cs="Arial"/>
          <w:b/>
          <w:color w:val="auto"/>
          <w:sz w:val="22"/>
          <w:szCs w:val="22"/>
        </w:rPr>
      </w:pPr>
      <w:bookmarkStart w:id="155" w:name="_Hlt75236290"/>
      <w:bookmarkEnd w:id="155"/>
      <w:bookmarkStart w:id="156" w:name="_Hlt74729768"/>
      <w:bookmarkEnd w:id="156"/>
      <w:bookmarkStart w:id="157" w:name="_Hlt74714665"/>
      <w:bookmarkEnd w:id="157"/>
      <w:bookmarkStart w:id="158" w:name="_Hlt74707468"/>
      <w:bookmarkEnd w:id="158"/>
      <w:bookmarkStart w:id="159" w:name="_Hlt68403820"/>
      <w:bookmarkEnd w:id="159"/>
      <w:bookmarkStart w:id="160" w:name="_Hlt75236101"/>
      <w:bookmarkEnd w:id="160"/>
      <w:bookmarkStart w:id="161" w:name="_Hlt74730295"/>
      <w:bookmarkEnd w:id="161"/>
      <w:bookmarkStart w:id="162" w:name="_Hlt68072998"/>
      <w:bookmarkEnd w:id="162"/>
      <w:bookmarkStart w:id="163" w:name="_Hlt75236011"/>
      <w:bookmarkEnd w:id="163"/>
      <w:bookmarkStart w:id="164" w:name="_Hlt68057669"/>
      <w:bookmarkEnd w:id="164"/>
      <w:bookmarkStart w:id="165" w:name="_Hlt68072990"/>
      <w:bookmarkEnd w:id="165"/>
      <w:bookmarkStart w:id="166" w:name="_Hlt68073093"/>
      <w:bookmarkEnd w:id="166"/>
      <w:r>
        <w:rPr>
          <w:rFonts w:hint="eastAsia" w:ascii="宋体" w:hAnsi="宋体" w:cs="Arial"/>
          <w:b/>
          <w:color w:val="auto"/>
          <w:sz w:val="22"/>
          <w:szCs w:val="22"/>
        </w:rPr>
        <w:t>履约验收费用由供应商承担，因供应商原因造成验收不通过的，再次验收的费用仍由供应商承担。如采用简易验收的，则不需要支付该笔费用。</w:t>
      </w:r>
    </w:p>
    <w:p>
      <w:pPr>
        <w:pStyle w:val="3"/>
        <w:spacing w:line="360" w:lineRule="auto"/>
        <w:rPr>
          <w:color w:val="auto"/>
        </w:rPr>
      </w:pPr>
    </w:p>
    <w:p>
      <w:pPr>
        <w:pStyle w:val="25"/>
        <w:spacing w:line="360" w:lineRule="auto"/>
        <w:rPr>
          <w:color w:val="auto"/>
        </w:rPr>
      </w:pPr>
    </w:p>
    <w:p>
      <w:pPr>
        <w:pStyle w:val="78"/>
        <w:spacing w:line="360" w:lineRule="auto"/>
        <w:rPr>
          <w:rFonts w:ascii="宋体" w:hAnsi="宋体"/>
          <w:color w:val="auto"/>
          <w:sz w:val="22"/>
          <w:szCs w:val="22"/>
        </w:rPr>
      </w:pPr>
    </w:p>
    <w:p>
      <w:pPr>
        <w:widowControl/>
        <w:spacing w:before="60" w:after="60" w:line="360" w:lineRule="auto"/>
        <w:ind w:left="424" w:leftChars="202" w:right="60" w:firstLine="0" w:firstLineChars="0"/>
        <w:jc w:val="center"/>
        <w:rPr>
          <w:rFonts w:ascii="宋体" w:hAnsi="宋体"/>
          <w:color w:val="auto"/>
          <w:sz w:val="22"/>
          <w:szCs w:val="22"/>
        </w:rPr>
      </w:pPr>
    </w:p>
    <w:p>
      <w:pPr>
        <w:widowControl/>
        <w:spacing w:before="60" w:after="60" w:line="360" w:lineRule="auto"/>
        <w:ind w:left="424" w:leftChars="202" w:right="60"/>
        <w:jc w:val="center"/>
        <w:rPr>
          <w:rFonts w:ascii="宋体" w:hAnsi="宋体" w:cs="宋体"/>
          <w:b/>
          <w:bCs/>
          <w:color w:val="auto"/>
          <w:kern w:val="0"/>
          <w:sz w:val="22"/>
          <w:szCs w:val="22"/>
        </w:rPr>
      </w:pPr>
      <w:r>
        <w:rPr>
          <w:rFonts w:hint="eastAsia" w:ascii="宋体" w:hAnsi="宋体"/>
          <w:color w:val="auto"/>
          <w:sz w:val="22"/>
          <w:szCs w:val="22"/>
        </w:rPr>
        <w:br w:type="page"/>
      </w:r>
      <w:bookmarkStart w:id="167" w:name="_Toc245722284"/>
      <w:bookmarkStart w:id="168" w:name="_Toc262105506"/>
      <w:bookmarkStart w:id="169" w:name="_Toc221423622"/>
      <w:bookmarkStart w:id="170" w:name="_Toc249758867"/>
      <w:bookmarkStart w:id="171" w:name="_Toc241404205"/>
      <w:bookmarkStart w:id="172" w:name="_Toc19245"/>
      <w:bookmarkStart w:id="173" w:name="_Toc223716001"/>
      <w:bookmarkStart w:id="174" w:name="_Toc222114882"/>
      <w:bookmarkStart w:id="175" w:name="_Toc246261268"/>
      <w:bookmarkStart w:id="176" w:name="_Toc221374629"/>
      <w:bookmarkStart w:id="177" w:name="_Toc249758715"/>
      <w:bookmarkStart w:id="178" w:name="_Toc221356890"/>
      <w:bookmarkStart w:id="179" w:name="_Toc221356954"/>
      <w:bookmarkStart w:id="180" w:name="_Toc262049421"/>
      <w:bookmarkStart w:id="181" w:name="_Toc239145357"/>
      <w:bookmarkStart w:id="182" w:name="_Toc245191317"/>
      <w:r>
        <w:rPr>
          <w:rStyle w:val="79"/>
          <w:rFonts w:hint="eastAsia" w:ascii="宋体" w:hAnsi="宋体" w:eastAsia="宋体" w:cs="宋体"/>
          <w:color w:val="auto"/>
          <w:sz w:val="36"/>
          <w:szCs w:val="36"/>
        </w:rPr>
        <w:t>第二部分   招标内容及要求</w:t>
      </w:r>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Start w:id="183" w:name="_Toc58438895"/>
      <w:bookmarkStart w:id="184" w:name="_Toc221423624"/>
      <w:bookmarkStart w:id="185" w:name="_Toc249758719"/>
      <w:bookmarkStart w:id="186" w:name="_Toc249758870"/>
      <w:bookmarkStart w:id="187" w:name="_Toc239145359"/>
      <w:bookmarkStart w:id="188" w:name="_Toc221374631"/>
      <w:bookmarkStart w:id="189" w:name="_Toc241404207"/>
      <w:bookmarkStart w:id="190" w:name="_Toc262049424"/>
      <w:bookmarkStart w:id="191" w:name="_Toc249758718"/>
      <w:bookmarkStart w:id="192" w:name="_Toc246261270"/>
      <w:bookmarkStart w:id="193" w:name="_Toc262105509"/>
      <w:bookmarkStart w:id="194" w:name="_Toc245722286"/>
      <w:bookmarkStart w:id="195" w:name="_Toc221356956"/>
      <w:bookmarkStart w:id="196" w:name="_Toc222114884"/>
      <w:bookmarkStart w:id="197" w:name="_Toc221356892"/>
      <w:bookmarkStart w:id="198" w:name="_Toc245191319"/>
      <w:bookmarkStart w:id="199" w:name="_Toc223716003"/>
    </w:p>
    <w:bookmarkEnd w:id="183"/>
    <w:p>
      <w:pPr>
        <w:numPr>
          <w:ilvl w:val="0"/>
          <w:numId w:val="45"/>
        </w:numPr>
        <w:spacing w:after="120" w:line="360" w:lineRule="auto"/>
        <w:rPr>
          <w:rFonts w:ascii="宋体" w:hAnsi="宋体" w:cs="宋体"/>
          <w:b/>
          <w:bCs/>
          <w:color w:val="auto"/>
          <w:kern w:val="0"/>
          <w:sz w:val="28"/>
          <w:szCs w:val="28"/>
        </w:rPr>
      </w:pPr>
      <w:bookmarkStart w:id="200" w:name="OLE_LINK10"/>
      <w:r>
        <w:rPr>
          <w:rFonts w:hint="eastAsia" w:ascii="宋体" w:hAnsi="宋体" w:cs="宋体"/>
          <w:b/>
          <w:bCs/>
          <w:color w:val="auto"/>
          <w:kern w:val="0"/>
          <w:sz w:val="28"/>
          <w:szCs w:val="28"/>
        </w:rPr>
        <w:t>服务内容清单</w:t>
      </w:r>
      <w:bookmarkEnd w:id="200"/>
      <w:r>
        <w:rPr>
          <w:rFonts w:hint="eastAsia" w:ascii="宋体" w:hAnsi="宋体" w:cs="宋体"/>
          <w:b/>
          <w:bCs/>
          <w:color w:val="auto"/>
          <w:kern w:val="0"/>
          <w:sz w:val="28"/>
          <w:szCs w:val="28"/>
          <w:lang w:val="en-US" w:eastAsia="zh-CN"/>
        </w:rPr>
        <w:t>及最高限价明细</w:t>
      </w:r>
    </w:p>
    <w:tbl>
      <w:tblPr>
        <w:tblStyle w:val="63"/>
        <w:tblW w:w="5087" w:type="pct"/>
        <w:tblInd w:w="9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465"/>
        <w:gridCol w:w="950"/>
        <w:gridCol w:w="1079"/>
        <w:gridCol w:w="3009"/>
        <w:gridCol w:w="934"/>
        <w:gridCol w:w="767"/>
        <w:gridCol w:w="925"/>
        <w:gridCol w:w="18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36" w:hRule="atLeast"/>
        </w:trPr>
        <w:tc>
          <w:tcPr>
            <w:tcW w:w="461"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bookmarkStart w:id="201" w:name="OLE_LINK9"/>
            <w:bookmarkStart w:id="202" w:name="_Toc22893"/>
            <w:r>
              <w:rPr>
                <w:rFonts w:hint="eastAsia" w:ascii="宋体" w:hAnsi="宋体" w:eastAsia="宋体" w:cs="宋体"/>
                <w:b/>
                <w:bCs/>
                <w:i w:val="0"/>
                <w:iCs w:val="0"/>
                <w:color w:val="auto"/>
                <w:kern w:val="0"/>
                <w:sz w:val="22"/>
                <w:szCs w:val="22"/>
                <w:u w:val="none"/>
                <w:lang w:val="en-US" w:eastAsia="zh-CN" w:bidi="ar"/>
              </w:rPr>
              <w:t>序号</w:t>
            </w:r>
          </w:p>
        </w:tc>
        <w:tc>
          <w:tcPr>
            <w:tcW w:w="941"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系统</w:t>
            </w:r>
          </w:p>
        </w:tc>
        <w:tc>
          <w:tcPr>
            <w:tcW w:w="1069"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项目</w:t>
            </w:r>
          </w:p>
        </w:tc>
        <w:tc>
          <w:tcPr>
            <w:tcW w:w="2982"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说明</w:t>
            </w:r>
          </w:p>
        </w:tc>
        <w:tc>
          <w:tcPr>
            <w:tcW w:w="926"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最高限价单价（元）</w:t>
            </w:r>
          </w:p>
        </w:tc>
        <w:tc>
          <w:tcPr>
            <w:tcW w:w="760"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数量</w:t>
            </w:r>
          </w:p>
        </w:tc>
        <w:tc>
          <w:tcPr>
            <w:tcW w:w="917"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最高限价小计（元）</w:t>
            </w:r>
          </w:p>
        </w:tc>
        <w:tc>
          <w:tcPr>
            <w:tcW w:w="1879" w:type="dxa"/>
            <w:shd w:val="clear" w:color="auto" w:fill="auto"/>
            <w:vAlign w:val="center"/>
          </w:tcPr>
          <w:p>
            <w:pPr>
              <w:keepNext w:val="0"/>
              <w:keepLines w:val="0"/>
              <w:widowControl/>
              <w:suppressLineNumbers w:val="0"/>
              <w:jc w:val="center"/>
              <w:textAlignment w:val="center"/>
              <w:rPr>
                <w:rFonts w:hint="default" w:ascii="宋体" w:hAnsi="宋体" w:eastAsia="宋体" w:cs="宋体"/>
                <w:b/>
                <w:bCs/>
                <w:i w:val="0"/>
                <w:iCs w:val="0"/>
                <w:color w:val="auto"/>
                <w:kern w:val="0"/>
                <w:sz w:val="22"/>
                <w:szCs w:val="22"/>
                <w:u w:val="none"/>
                <w:lang w:val="en-US" w:eastAsia="zh-CN" w:bidi="ar"/>
              </w:rPr>
            </w:pPr>
            <w:r>
              <w:rPr>
                <w:rFonts w:hint="eastAsia" w:ascii="宋体" w:hAnsi="宋体" w:eastAsia="宋体" w:cs="宋体"/>
                <w:b/>
                <w:bCs/>
                <w:i w:val="0"/>
                <w:iCs w:val="0"/>
                <w:color w:val="auto"/>
                <w:kern w:val="0"/>
                <w:sz w:val="22"/>
                <w:szCs w:val="22"/>
                <w:u w:val="no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378" w:hRule="atLeast"/>
        </w:trPr>
        <w:tc>
          <w:tcPr>
            <w:tcW w:w="461" w:type="dxa"/>
            <w:vMerge w:val="restart"/>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941" w:type="dxa"/>
            <w:vMerge w:val="restart"/>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物联网设备</w:t>
            </w:r>
          </w:p>
        </w:tc>
        <w:tc>
          <w:tcPr>
            <w:tcW w:w="106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路面积水监测仪</w:t>
            </w:r>
          </w:p>
        </w:tc>
        <w:tc>
          <w:tcPr>
            <w:tcW w:w="298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在低洼、易涝区等重点防内涝区域，建立路面积水监测设备，实现实时预警报警。含安装调试及3年运维质保。</w:t>
            </w:r>
          </w:p>
        </w:tc>
        <w:tc>
          <w:tcPr>
            <w:tcW w:w="92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35400</w:t>
            </w:r>
          </w:p>
        </w:tc>
        <w:tc>
          <w:tcPr>
            <w:tcW w:w="76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5套</w:t>
            </w:r>
          </w:p>
        </w:tc>
        <w:tc>
          <w:tcPr>
            <w:tcW w:w="917"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177000</w:t>
            </w:r>
          </w:p>
        </w:tc>
        <w:tc>
          <w:tcPr>
            <w:tcW w:w="1879" w:type="dxa"/>
            <w:vMerge w:val="restart"/>
            <w:shd w:val="clear" w:color="auto" w:fill="auto"/>
            <w:vAlign w:val="center"/>
          </w:tcPr>
          <w:p>
            <w:pPr>
              <w:keepNext w:val="0"/>
              <w:keepLines w:val="0"/>
              <w:widowControl/>
              <w:suppressLineNumbers w:val="0"/>
              <w:tabs>
                <w:tab w:val="left" w:pos="320"/>
              </w:tabs>
              <w:jc w:val="center"/>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1、采购人温州市洞头区综合行政执法局作为牵头方，联合浙江省地矿建设有限公司，从全域污水管网其他片区市政标段工程项目的暂估价中提取出 90万元，这笔款项将专项用于物联网设备、系统功能架构分解。2、包括路面积水、海水河道液位监测设备为主，结合潮汐海水位和内河、道路积水等情况，结合防汛预警模型，防范内涝风险。搭建基础支撑平台，满足基础数据采集、存储、分析以及基于管网的地理信息二三维、AR应用等。</w:t>
            </w:r>
            <w:r>
              <w:rPr>
                <w:rFonts w:hint="eastAsia" w:ascii="宋体" w:hAnsi="宋体" w:eastAsia="宋体" w:cs="宋体"/>
                <w:b w:val="0"/>
                <w:bCs w:val="0"/>
                <w:color w:val="auto"/>
                <w:sz w:val="22"/>
                <w:szCs w:val="22"/>
                <w:highlight w:val="none"/>
                <w:lang w:val="en-US" w:eastAsia="zh-CN"/>
              </w:rPr>
              <w:t>（具体详见采购相关部分）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6" w:hRule="atLeast"/>
        </w:trPr>
        <w:tc>
          <w:tcPr>
            <w:tcW w:w="461"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941"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106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海水河道液位监测</w:t>
            </w:r>
          </w:p>
        </w:tc>
        <w:tc>
          <w:tcPr>
            <w:tcW w:w="298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补充河道水位监测，为防汛调度提供决策依据。含安装调试及3年运维质保。</w:t>
            </w:r>
          </w:p>
        </w:tc>
        <w:tc>
          <w:tcPr>
            <w:tcW w:w="92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39400</w:t>
            </w:r>
          </w:p>
        </w:tc>
        <w:tc>
          <w:tcPr>
            <w:tcW w:w="76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4套</w:t>
            </w:r>
          </w:p>
        </w:tc>
        <w:tc>
          <w:tcPr>
            <w:tcW w:w="917"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157600</w:t>
            </w:r>
          </w:p>
        </w:tc>
        <w:tc>
          <w:tcPr>
            <w:tcW w:w="1879"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36" w:hRule="atLeast"/>
        </w:trPr>
        <w:tc>
          <w:tcPr>
            <w:tcW w:w="461"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941"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106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雨量监测</w:t>
            </w:r>
          </w:p>
        </w:tc>
        <w:tc>
          <w:tcPr>
            <w:tcW w:w="298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按防汛防台气象降雨掌握需要开展雨量监测工作，含安装调试及3年运维质保。</w:t>
            </w:r>
          </w:p>
        </w:tc>
        <w:tc>
          <w:tcPr>
            <w:tcW w:w="92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22900</w:t>
            </w:r>
          </w:p>
        </w:tc>
        <w:tc>
          <w:tcPr>
            <w:tcW w:w="76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3套</w:t>
            </w:r>
          </w:p>
        </w:tc>
        <w:tc>
          <w:tcPr>
            <w:tcW w:w="917"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68700</w:t>
            </w:r>
          </w:p>
        </w:tc>
        <w:tc>
          <w:tcPr>
            <w:tcW w:w="1879"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62" w:hRule="atLeast"/>
        </w:trPr>
        <w:tc>
          <w:tcPr>
            <w:tcW w:w="461"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941"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106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单兵设备</w:t>
            </w:r>
          </w:p>
        </w:tc>
        <w:tc>
          <w:tcPr>
            <w:tcW w:w="298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本项目防汛可视化指挥涉及对应的单兵设备使用和接入，并按照智慧排水平台要求接入相关数据信息，以满足防汛 可视化指挥需要。含安装调试及3年质保。</w:t>
            </w:r>
          </w:p>
        </w:tc>
        <w:tc>
          <w:tcPr>
            <w:tcW w:w="92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5500</w:t>
            </w:r>
          </w:p>
        </w:tc>
        <w:tc>
          <w:tcPr>
            <w:tcW w:w="76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2台</w:t>
            </w:r>
          </w:p>
        </w:tc>
        <w:tc>
          <w:tcPr>
            <w:tcW w:w="917"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11000</w:t>
            </w:r>
          </w:p>
        </w:tc>
        <w:tc>
          <w:tcPr>
            <w:tcW w:w="1879"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8" w:hRule="atLeast"/>
        </w:trPr>
        <w:tc>
          <w:tcPr>
            <w:tcW w:w="461"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941"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106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车载定位设备</w:t>
            </w:r>
          </w:p>
        </w:tc>
        <w:tc>
          <w:tcPr>
            <w:tcW w:w="298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本项目防汛可视化指挥和维养监管涉及对应的车载GPS或北斗定位设备使用和接入。含安装调试及3年质保。</w:t>
            </w:r>
          </w:p>
        </w:tc>
        <w:tc>
          <w:tcPr>
            <w:tcW w:w="92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1800</w:t>
            </w:r>
          </w:p>
        </w:tc>
        <w:tc>
          <w:tcPr>
            <w:tcW w:w="76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4台</w:t>
            </w:r>
          </w:p>
        </w:tc>
        <w:tc>
          <w:tcPr>
            <w:tcW w:w="917"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7200</w:t>
            </w:r>
          </w:p>
        </w:tc>
        <w:tc>
          <w:tcPr>
            <w:tcW w:w="1879"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691" w:hRule="atLeast"/>
        </w:trPr>
        <w:tc>
          <w:tcPr>
            <w:tcW w:w="46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94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基础支撑平台</w:t>
            </w:r>
          </w:p>
        </w:tc>
        <w:tc>
          <w:tcPr>
            <w:tcW w:w="1069" w:type="dxa"/>
            <w:shd w:val="clear" w:color="auto" w:fill="auto"/>
            <w:vAlign w:val="center"/>
          </w:tcPr>
          <w:p>
            <w:pPr>
              <w:jc w:val="center"/>
              <w:rPr>
                <w:rFonts w:hint="eastAsia" w:ascii="宋体" w:hAnsi="宋体" w:eastAsia="宋体" w:cs="宋体"/>
                <w:i w:val="0"/>
                <w:iCs w:val="0"/>
                <w:color w:val="auto"/>
                <w:sz w:val="22"/>
                <w:szCs w:val="22"/>
                <w:u w:val="none"/>
              </w:rPr>
            </w:pPr>
          </w:p>
        </w:tc>
        <w:tc>
          <w:tcPr>
            <w:tcW w:w="298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包括工业级实时数据库管理、数据处理、管网建模、二三维和移动端地理信息系统开发引擎等。</w:t>
            </w:r>
          </w:p>
        </w:tc>
        <w:tc>
          <w:tcPr>
            <w:tcW w:w="92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478500</w:t>
            </w:r>
          </w:p>
        </w:tc>
        <w:tc>
          <w:tcPr>
            <w:tcW w:w="76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1套</w:t>
            </w:r>
          </w:p>
        </w:tc>
        <w:tc>
          <w:tcPr>
            <w:tcW w:w="917"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478500</w:t>
            </w:r>
          </w:p>
        </w:tc>
        <w:tc>
          <w:tcPr>
            <w:tcW w:w="1879"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52" w:hRule="atLeast"/>
        </w:trPr>
        <w:tc>
          <w:tcPr>
            <w:tcW w:w="7139" w:type="dxa"/>
            <w:gridSpan w:val="6"/>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最高限价合计（元）</w:t>
            </w:r>
          </w:p>
        </w:tc>
        <w:tc>
          <w:tcPr>
            <w:tcW w:w="2796" w:type="dxa"/>
            <w:gridSpan w:val="2"/>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kern w:val="0"/>
                <w:sz w:val="22"/>
                <w:szCs w:val="22"/>
                <w:u w:val="none"/>
                <w:lang w:val="en-US" w:eastAsia="zh-CN" w:bidi="ar"/>
              </w:rPr>
            </w:pPr>
            <w:r>
              <w:rPr>
                <w:rFonts w:hint="eastAsia" w:ascii="宋体" w:hAnsi="宋体" w:eastAsia="宋体" w:cs="宋体"/>
                <w:b/>
                <w:bCs/>
                <w:i w:val="0"/>
                <w:iCs w:val="0"/>
                <w:color w:val="auto"/>
                <w:kern w:val="0"/>
                <w:sz w:val="22"/>
                <w:szCs w:val="22"/>
                <w:u w:val="none"/>
                <w:lang w:val="en-US" w:eastAsia="zh-CN" w:bidi="ar"/>
              </w:rPr>
              <w:t>900,000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6" w:hRule="atLeast"/>
        </w:trPr>
        <w:tc>
          <w:tcPr>
            <w:tcW w:w="461"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序号</w:t>
            </w:r>
          </w:p>
        </w:tc>
        <w:tc>
          <w:tcPr>
            <w:tcW w:w="941"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系统</w:t>
            </w:r>
          </w:p>
        </w:tc>
        <w:tc>
          <w:tcPr>
            <w:tcW w:w="1069"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项目</w:t>
            </w:r>
          </w:p>
        </w:tc>
        <w:tc>
          <w:tcPr>
            <w:tcW w:w="2982"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说明</w:t>
            </w:r>
          </w:p>
        </w:tc>
        <w:tc>
          <w:tcPr>
            <w:tcW w:w="926"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最高限价单价（元）</w:t>
            </w:r>
          </w:p>
        </w:tc>
        <w:tc>
          <w:tcPr>
            <w:tcW w:w="760"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数量</w:t>
            </w:r>
          </w:p>
        </w:tc>
        <w:tc>
          <w:tcPr>
            <w:tcW w:w="917"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最高限价小计（元）</w:t>
            </w:r>
          </w:p>
        </w:tc>
        <w:tc>
          <w:tcPr>
            <w:tcW w:w="1879"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kern w:val="0"/>
                <w:sz w:val="22"/>
                <w:szCs w:val="22"/>
                <w:u w:val="none"/>
                <w:lang w:val="en-US" w:eastAsia="zh-CN" w:bidi="ar"/>
              </w:rPr>
            </w:pPr>
            <w:r>
              <w:rPr>
                <w:rFonts w:hint="eastAsia" w:ascii="宋体" w:hAnsi="宋体" w:eastAsia="宋体" w:cs="宋体"/>
                <w:b/>
                <w:bCs/>
                <w:i w:val="0"/>
                <w:iCs w:val="0"/>
                <w:color w:val="auto"/>
                <w:kern w:val="0"/>
                <w:sz w:val="22"/>
                <w:szCs w:val="22"/>
                <w:u w:val="no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378" w:hRule="atLeast"/>
        </w:trPr>
        <w:tc>
          <w:tcPr>
            <w:tcW w:w="461" w:type="dxa"/>
            <w:vMerge w:val="restart"/>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941" w:type="dxa"/>
            <w:vMerge w:val="restart"/>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物联网设备</w:t>
            </w:r>
          </w:p>
        </w:tc>
        <w:tc>
          <w:tcPr>
            <w:tcW w:w="106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井下液位计</w:t>
            </w:r>
          </w:p>
        </w:tc>
        <w:tc>
          <w:tcPr>
            <w:tcW w:w="298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补充井下液位计，为污水管网及部分雨水管网的防偷排监管提供实时监测监控。含安装调试及3年运维质保。</w:t>
            </w:r>
          </w:p>
        </w:tc>
        <w:tc>
          <w:tcPr>
            <w:tcW w:w="92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28460</w:t>
            </w:r>
          </w:p>
        </w:tc>
        <w:tc>
          <w:tcPr>
            <w:tcW w:w="76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10套</w:t>
            </w:r>
          </w:p>
        </w:tc>
        <w:tc>
          <w:tcPr>
            <w:tcW w:w="917"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284600</w:t>
            </w:r>
          </w:p>
        </w:tc>
        <w:tc>
          <w:tcPr>
            <w:tcW w:w="1879" w:type="dxa"/>
            <w:vMerge w:val="restart"/>
            <w:shd w:val="clear" w:color="auto" w:fill="auto"/>
            <w:vAlign w:val="center"/>
          </w:tcPr>
          <w:p>
            <w:pPr>
              <w:keepNext w:val="0"/>
              <w:keepLines w:val="0"/>
              <w:widowControl/>
              <w:numPr>
                <w:ilvl w:val="0"/>
                <w:numId w:val="46"/>
              </w:numPr>
              <w:suppressLineNumbers w:val="0"/>
              <w:jc w:val="center"/>
              <w:textAlignment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采购人温州市洞头区综合行政执法局作为牵头方，联合长沙市市政工程有限责任公司，从全域污水管网旧城片区工程项目的暂估价中提取出 110万元，这笔款项将专项用于物联网设备、系统功能架构分解。</w:t>
            </w:r>
          </w:p>
          <w:p>
            <w:pPr>
              <w:keepNext w:val="0"/>
              <w:keepLines w:val="0"/>
              <w:widowControl/>
              <w:numPr>
                <w:ilvl w:val="0"/>
                <w:numId w:val="46"/>
              </w:numPr>
              <w:suppressLineNumbers w:val="0"/>
              <w:jc w:val="center"/>
              <w:textAlignment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以排水设施管理以及智慧运维管理为主，针对排水管网地理信息系统的溯源排查、雨污混接改造项目设计、施工全过程管理，包括项目全过程（含CCTV机器人检测视频）资料的整理、录入与管理，督办单管理、问题整治点管理、项目检查移动端管理等功能，并结合移动端与排水管网信息管理系统实现数据共享互通，为排水管网溯源排查、雨污混接改造提供信息化、智慧化全过程监管，达到可实施动态更新，随时随地网上监管目的。并预留与温州市排水平台进行对接。（具体详见采购相关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62" w:hRule="atLeast"/>
        </w:trPr>
        <w:tc>
          <w:tcPr>
            <w:tcW w:w="461"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941"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106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管网流量监测</w:t>
            </w:r>
          </w:p>
        </w:tc>
        <w:tc>
          <w:tcPr>
            <w:tcW w:w="298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按管网流量监测需要开展管网流量监测工作，本项目计划采购管网流量 监测数据服务，用于监测管网内排水是否正常。含安装调试及3年运维质保。</w:t>
            </w:r>
          </w:p>
        </w:tc>
        <w:tc>
          <w:tcPr>
            <w:tcW w:w="92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42400</w:t>
            </w:r>
          </w:p>
        </w:tc>
        <w:tc>
          <w:tcPr>
            <w:tcW w:w="76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2套</w:t>
            </w:r>
          </w:p>
        </w:tc>
        <w:tc>
          <w:tcPr>
            <w:tcW w:w="917"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84800</w:t>
            </w:r>
          </w:p>
        </w:tc>
        <w:tc>
          <w:tcPr>
            <w:tcW w:w="1879"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trPr>
        <w:tc>
          <w:tcPr>
            <w:tcW w:w="461"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941"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106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管网水质监测</w:t>
            </w:r>
          </w:p>
        </w:tc>
        <w:tc>
          <w:tcPr>
            <w:tcW w:w="298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电导率水质监测，监测管网入渗情况，指导管网修复改造。含安装调试及3年运维质保。</w:t>
            </w:r>
          </w:p>
        </w:tc>
        <w:tc>
          <w:tcPr>
            <w:tcW w:w="92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29200</w:t>
            </w:r>
          </w:p>
        </w:tc>
        <w:tc>
          <w:tcPr>
            <w:tcW w:w="76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3套</w:t>
            </w:r>
          </w:p>
        </w:tc>
        <w:tc>
          <w:tcPr>
            <w:tcW w:w="917"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87600</w:t>
            </w:r>
          </w:p>
        </w:tc>
        <w:tc>
          <w:tcPr>
            <w:tcW w:w="1879"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36" w:hRule="atLeast"/>
        </w:trPr>
        <w:tc>
          <w:tcPr>
            <w:tcW w:w="461"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941"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106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管网COD监测</w:t>
            </w:r>
          </w:p>
        </w:tc>
        <w:tc>
          <w:tcPr>
            <w:tcW w:w="298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用于监测排水管网内COD 水质指标是否正常。含安装调试及3年运维质保。</w:t>
            </w:r>
          </w:p>
        </w:tc>
        <w:tc>
          <w:tcPr>
            <w:tcW w:w="92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59000</w:t>
            </w:r>
          </w:p>
        </w:tc>
        <w:tc>
          <w:tcPr>
            <w:tcW w:w="76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2套</w:t>
            </w:r>
          </w:p>
        </w:tc>
        <w:tc>
          <w:tcPr>
            <w:tcW w:w="917"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118000</w:t>
            </w:r>
          </w:p>
        </w:tc>
        <w:tc>
          <w:tcPr>
            <w:tcW w:w="1879"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6" w:hRule="atLeast"/>
        </w:trPr>
        <w:tc>
          <w:tcPr>
            <w:tcW w:w="461"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941"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106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智能井盖</w:t>
            </w:r>
          </w:p>
        </w:tc>
        <w:tc>
          <w:tcPr>
            <w:tcW w:w="298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用于监测井盖位置是否正常，用于污水外溢报警等。含安装调试及3年运维质保。</w:t>
            </w:r>
          </w:p>
        </w:tc>
        <w:tc>
          <w:tcPr>
            <w:tcW w:w="92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10200</w:t>
            </w:r>
          </w:p>
        </w:tc>
        <w:tc>
          <w:tcPr>
            <w:tcW w:w="76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5套</w:t>
            </w:r>
          </w:p>
        </w:tc>
        <w:tc>
          <w:tcPr>
            <w:tcW w:w="917"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51000</w:t>
            </w:r>
          </w:p>
        </w:tc>
        <w:tc>
          <w:tcPr>
            <w:tcW w:w="1879"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2" w:hRule="atLeast"/>
        </w:trPr>
        <w:tc>
          <w:tcPr>
            <w:tcW w:w="46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94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平台系统功能模块</w:t>
            </w:r>
          </w:p>
        </w:tc>
        <w:tc>
          <w:tcPr>
            <w:tcW w:w="1069" w:type="dxa"/>
            <w:shd w:val="clear" w:color="auto" w:fill="auto"/>
            <w:vAlign w:val="center"/>
          </w:tcPr>
          <w:p>
            <w:pPr>
              <w:jc w:val="center"/>
              <w:rPr>
                <w:rFonts w:hint="eastAsia" w:ascii="宋体" w:hAnsi="宋体" w:eastAsia="宋体" w:cs="宋体"/>
                <w:i w:val="0"/>
                <w:iCs w:val="0"/>
                <w:color w:val="auto"/>
                <w:sz w:val="22"/>
                <w:szCs w:val="22"/>
                <w:u w:val="none"/>
              </w:rPr>
            </w:pPr>
          </w:p>
        </w:tc>
        <w:tc>
          <w:tcPr>
            <w:tcW w:w="298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包括数据建库、综合管网运行管理模块等构成。</w:t>
            </w:r>
          </w:p>
        </w:tc>
        <w:tc>
          <w:tcPr>
            <w:tcW w:w="92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171400</w:t>
            </w:r>
          </w:p>
        </w:tc>
        <w:tc>
          <w:tcPr>
            <w:tcW w:w="76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1套</w:t>
            </w:r>
          </w:p>
        </w:tc>
        <w:tc>
          <w:tcPr>
            <w:tcW w:w="917"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171400</w:t>
            </w:r>
          </w:p>
        </w:tc>
        <w:tc>
          <w:tcPr>
            <w:tcW w:w="1879"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1" w:hRule="atLeast"/>
        </w:trPr>
        <w:tc>
          <w:tcPr>
            <w:tcW w:w="46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w:t>
            </w:r>
          </w:p>
        </w:tc>
        <w:tc>
          <w:tcPr>
            <w:tcW w:w="94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排水智慧管理系统</w:t>
            </w:r>
          </w:p>
        </w:tc>
        <w:tc>
          <w:tcPr>
            <w:tcW w:w="1069" w:type="dxa"/>
            <w:shd w:val="clear" w:color="auto" w:fill="auto"/>
            <w:vAlign w:val="center"/>
          </w:tcPr>
          <w:p>
            <w:pPr>
              <w:jc w:val="center"/>
              <w:rPr>
                <w:rFonts w:hint="eastAsia" w:ascii="宋体" w:hAnsi="宋体" w:eastAsia="宋体" w:cs="宋体"/>
                <w:i w:val="0"/>
                <w:iCs w:val="0"/>
                <w:color w:val="auto"/>
                <w:sz w:val="22"/>
                <w:szCs w:val="22"/>
                <w:u w:val="none"/>
              </w:rPr>
            </w:pPr>
          </w:p>
        </w:tc>
        <w:tc>
          <w:tcPr>
            <w:tcW w:w="298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包括排水管网信息模块、排水设施智慧运维系统、排水监管一张图升级、内涝防汛管理等。</w:t>
            </w:r>
          </w:p>
        </w:tc>
        <w:tc>
          <w:tcPr>
            <w:tcW w:w="92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302600</w:t>
            </w:r>
          </w:p>
        </w:tc>
        <w:tc>
          <w:tcPr>
            <w:tcW w:w="76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1套</w:t>
            </w:r>
          </w:p>
        </w:tc>
        <w:tc>
          <w:tcPr>
            <w:tcW w:w="917"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302600</w:t>
            </w:r>
          </w:p>
        </w:tc>
        <w:tc>
          <w:tcPr>
            <w:tcW w:w="1879"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52" w:hRule="atLeast"/>
        </w:trPr>
        <w:tc>
          <w:tcPr>
            <w:tcW w:w="7139" w:type="dxa"/>
            <w:gridSpan w:val="6"/>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最高限价合计（元）</w:t>
            </w:r>
          </w:p>
        </w:tc>
        <w:tc>
          <w:tcPr>
            <w:tcW w:w="2796" w:type="dxa"/>
            <w:gridSpan w:val="2"/>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kern w:val="0"/>
                <w:sz w:val="22"/>
                <w:szCs w:val="22"/>
                <w:u w:val="none"/>
                <w:lang w:val="en-US" w:eastAsia="zh-CN" w:bidi="ar"/>
              </w:rPr>
            </w:pPr>
            <w:r>
              <w:rPr>
                <w:rFonts w:hint="eastAsia" w:ascii="宋体" w:hAnsi="宋体" w:eastAsia="宋体" w:cs="宋体"/>
                <w:b/>
                <w:bCs/>
                <w:i w:val="0"/>
                <w:iCs w:val="0"/>
                <w:color w:val="auto"/>
                <w:kern w:val="0"/>
                <w:sz w:val="22"/>
                <w:szCs w:val="22"/>
                <w:u w:val="none"/>
                <w:lang w:val="en-US" w:eastAsia="zh-CN" w:bidi="ar"/>
              </w:rPr>
              <w:t>1,100,000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6" w:hRule="atLeast"/>
        </w:trPr>
        <w:tc>
          <w:tcPr>
            <w:tcW w:w="461"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序号</w:t>
            </w:r>
          </w:p>
        </w:tc>
        <w:tc>
          <w:tcPr>
            <w:tcW w:w="941"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系统</w:t>
            </w:r>
          </w:p>
        </w:tc>
        <w:tc>
          <w:tcPr>
            <w:tcW w:w="1069"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项目</w:t>
            </w:r>
          </w:p>
        </w:tc>
        <w:tc>
          <w:tcPr>
            <w:tcW w:w="2982"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说明</w:t>
            </w:r>
          </w:p>
        </w:tc>
        <w:tc>
          <w:tcPr>
            <w:tcW w:w="926"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最高限价单价（元）</w:t>
            </w:r>
          </w:p>
        </w:tc>
        <w:tc>
          <w:tcPr>
            <w:tcW w:w="760"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数量</w:t>
            </w:r>
          </w:p>
        </w:tc>
        <w:tc>
          <w:tcPr>
            <w:tcW w:w="917"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最高限价小计（元）</w:t>
            </w:r>
          </w:p>
        </w:tc>
        <w:tc>
          <w:tcPr>
            <w:tcW w:w="1879" w:type="dxa"/>
            <w:shd w:val="clear" w:color="auto" w:fill="auto"/>
            <w:vAlign w:val="center"/>
          </w:tcPr>
          <w:p>
            <w:pPr>
              <w:keepNext w:val="0"/>
              <w:keepLines w:val="0"/>
              <w:widowControl/>
              <w:suppressLineNumbers w:val="0"/>
              <w:jc w:val="center"/>
              <w:textAlignment w:val="center"/>
              <w:rPr>
                <w:rFonts w:hint="default" w:ascii="宋体" w:hAnsi="宋体" w:eastAsia="宋体" w:cs="宋体"/>
                <w:b/>
                <w:bCs/>
                <w:i w:val="0"/>
                <w:iCs w:val="0"/>
                <w:color w:val="auto"/>
                <w:kern w:val="0"/>
                <w:sz w:val="22"/>
                <w:szCs w:val="22"/>
                <w:u w:val="none"/>
                <w:lang w:val="en-US" w:eastAsia="zh-CN" w:bidi="ar"/>
              </w:rPr>
            </w:pPr>
            <w:r>
              <w:rPr>
                <w:rFonts w:hint="eastAsia" w:ascii="宋体" w:hAnsi="宋体" w:eastAsia="宋体" w:cs="宋体"/>
                <w:b/>
                <w:bCs/>
                <w:i w:val="0"/>
                <w:iCs w:val="0"/>
                <w:color w:val="auto"/>
                <w:kern w:val="0"/>
                <w:sz w:val="22"/>
                <w:szCs w:val="22"/>
                <w:u w:val="no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6" w:hRule="atLeast"/>
        </w:trPr>
        <w:tc>
          <w:tcPr>
            <w:tcW w:w="461" w:type="dxa"/>
            <w:vMerge w:val="restart"/>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941" w:type="dxa"/>
            <w:vMerge w:val="restart"/>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物联网设备</w:t>
            </w:r>
          </w:p>
        </w:tc>
        <w:tc>
          <w:tcPr>
            <w:tcW w:w="106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移动端</w:t>
            </w:r>
          </w:p>
        </w:tc>
        <w:tc>
          <w:tcPr>
            <w:tcW w:w="298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对接移动端相关定位数据。含软件安装调试及3年运维质保。</w:t>
            </w:r>
          </w:p>
        </w:tc>
        <w:tc>
          <w:tcPr>
            <w:tcW w:w="92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3850</w:t>
            </w:r>
          </w:p>
        </w:tc>
        <w:tc>
          <w:tcPr>
            <w:tcW w:w="76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2台</w:t>
            </w:r>
          </w:p>
        </w:tc>
        <w:tc>
          <w:tcPr>
            <w:tcW w:w="917"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7700</w:t>
            </w:r>
          </w:p>
        </w:tc>
        <w:tc>
          <w:tcPr>
            <w:tcW w:w="1879" w:type="dxa"/>
            <w:vMerge w:val="restart"/>
            <w:shd w:val="clear" w:color="auto" w:fill="auto"/>
            <w:vAlign w:val="center"/>
          </w:tcPr>
          <w:p>
            <w:pPr>
              <w:numPr>
                <w:ilvl w:val="0"/>
                <w:numId w:val="47"/>
              </w:numPr>
              <w:bidi w:val="0"/>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采购人温州市洞头区综合行政执法局作为牵头方，联合浙江永联建设工程股份有限公司，从全域污水管网其他片农污标段工程项目的暂估价中提取出 100万元，这笔款项将专项用于物联网设备、系统功能架构分解。</w:t>
            </w:r>
          </w:p>
          <w:p>
            <w:pPr>
              <w:numPr>
                <w:ilvl w:val="0"/>
                <w:numId w:val="47"/>
              </w:numPr>
              <w:bidi w:val="0"/>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对洞头排水、供水、燃气、电力管网进行三维建模，建立管网三维立体可视化平台，提供基于浏览器的三维管网查看、查询定位、图层控制、管网断面分析、管网流动模拟等功能。研发防汛大数据预警模型，防范内涝、积水等风险。（具体详见采购相关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36" w:hRule="atLeast"/>
        </w:trPr>
        <w:tc>
          <w:tcPr>
            <w:tcW w:w="461"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941"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106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移动工作机</w:t>
            </w:r>
          </w:p>
        </w:tc>
        <w:tc>
          <w:tcPr>
            <w:tcW w:w="298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对接移动端相关定位数据。含软件安装调试及3年运维质保。</w:t>
            </w:r>
          </w:p>
        </w:tc>
        <w:tc>
          <w:tcPr>
            <w:tcW w:w="92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3900</w:t>
            </w:r>
          </w:p>
        </w:tc>
        <w:tc>
          <w:tcPr>
            <w:tcW w:w="76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15台</w:t>
            </w:r>
          </w:p>
        </w:tc>
        <w:tc>
          <w:tcPr>
            <w:tcW w:w="917"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58500</w:t>
            </w:r>
          </w:p>
        </w:tc>
        <w:tc>
          <w:tcPr>
            <w:tcW w:w="1879"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94" w:hRule="atLeast"/>
        </w:trPr>
        <w:tc>
          <w:tcPr>
            <w:tcW w:w="461"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941"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106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泵站网关</w:t>
            </w:r>
          </w:p>
        </w:tc>
        <w:tc>
          <w:tcPr>
            <w:tcW w:w="298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泵站运行监测数据。含安装调试及3年运维质保。</w:t>
            </w:r>
          </w:p>
        </w:tc>
        <w:tc>
          <w:tcPr>
            <w:tcW w:w="92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43800</w:t>
            </w:r>
          </w:p>
        </w:tc>
        <w:tc>
          <w:tcPr>
            <w:tcW w:w="76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3套</w:t>
            </w:r>
          </w:p>
        </w:tc>
        <w:tc>
          <w:tcPr>
            <w:tcW w:w="917"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131400</w:t>
            </w:r>
          </w:p>
        </w:tc>
        <w:tc>
          <w:tcPr>
            <w:tcW w:w="1879"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trPr>
        <w:tc>
          <w:tcPr>
            <w:tcW w:w="461"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941"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106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污水厂网关</w:t>
            </w:r>
          </w:p>
        </w:tc>
        <w:tc>
          <w:tcPr>
            <w:tcW w:w="298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污水厂运行监测数据。含安装调试及3年运维质保。</w:t>
            </w:r>
          </w:p>
        </w:tc>
        <w:tc>
          <w:tcPr>
            <w:tcW w:w="92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45200</w:t>
            </w:r>
          </w:p>
        </w:tc>
        <w:tc>
          <w:tcPr>
            <w:tcW w:w="76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2套</w:t>
            </w:r>
          </w:p>
        </w:tc>
        <w:tc>
          <w:tcPr>
            <w:tcW w:w="917"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90400</w:t>
            </w:r>
          </w:p>
        </w:tc>
        <w:tc>
          <w:tcPr>
            <w:tcW w:w="1879"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94" w:hRule="atLeast"/>
        </w:trPr>
        <w:tc>
          <w:tcPr>
            <w:tcW w:w="461"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941"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106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视频监控</w:t>
            </w:r>
          </w:p>
        </w:tc>
        <w:tc>
          <w:tcPr>
            <w:tcW w:w="298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现有泵站、水厂、道路视频监控对接。</w:t>
            </w:r>
          </w:p>
        </w:tc>
        <w:tc>
          <w:tcPr>
            <w:tcW w:w="92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25000</w:t>
            </w:r>
          </w:p>
        </w:tc>
        <w:tc>
          <w:tcPr>
            <w:tcW w:w="76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1项</w:t>
            </w:r>
          </w:p>
        </w:tc>
        <w:tc>
          <w:tcPr>
            <w:tcW w:w="917"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25000</w:t>
            </w:r>
          </w:p>
        </w:tc>
        <w:tc>
          <w:tcPr>
            <w:tcW w:w="1879"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404" w:hRule="atLeast"/>
        </w:trPr>
        <w:tc>
          <w:tcPr>
            <w:tcW w:w="46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94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三维地理信息系统</w:t>
            </w:r>
          </w:p>
        </w:tc>
        <w:tc>
          <w:tcPr>
            <w:tcW w:w="1069" w:type="dxa"/>
            <w:shd w:val="clear" w:color="auto" w:fill="auto"/>
            <w:vAlign w:val="center"/>
          </w:tcPr>
          <w:p>
            <w:pPr>
              <w:jc w:val="center"/>
              <w:rPr>
                <w:rFonts w:hint="eastAsia" w:ascii="宋体" w:hAnsi="宋体" w:eastAsia="宋体" w:cs="宋体"/>
                <w:i w:val="0"/>
                <w:iCs w:val="0"/>
                <w:color w:val="auto"/>
                <w:sz w:val="22"/>
                <w:szCs w:val="22"/>
                <w:u w:val="none"/>
              </w:rPr>
            </w:pPr>
          </w:p>
        </w:tc>
        <w:tc>
          <w:tcPr>
            <w:tcW w:w="298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对洞头排水、供水、燃气、电力管网进行三维建模，建立管网三维立体可视化平台，提供基于浏览器的三维管网查看、查询定位、图层控制、管网断面分析、管网流动模拟等功能。</w:t>
            </w:r>
          </w:p>
        </w:tc>
        <w:tc>
          <w:tcPr>
            <w:tcW w:w="92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375000</w:t>
            </w:r>
          </w:p>
        </w:tc>
        <w:tc>
          <w:tcPr>
            <w:tcW w:w="76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1套</w:t>
            </w:r>
          </w:p>
        </w:tc>
        <w:tc>
          <w:tcPr>
            <w:tcW w:w="917"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375000</w:t>
            </w:r>
          </w:p>
        </w:tc>
        <w:tc>
          <w:tcPr>
            <w:tcW w:w="1879"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62" w:hRule="atLeast"/>
        </w:trPr>
        <w:tc>
          <w:tcPr>
            <w:tcW w:w="46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w:t>
            </w:r>
          </w:p>
        </w:tc>
        <w:tc>
          <w:tcPr>
            <w:tcW w:w="94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内涝风险预警分析模型建设</w:t>
            </w:r>
          </w:p>
        </w:tc>
        <w:tc>
          <w:tcPr>
            <w:tcW w:w="1069" w:type="dxa"/>
            <w:shd w:val="clear" w:color="auto" w:fill="auto"/>
            <w:vAlign w:val="center"/>
          </w:tcPr>
          <w:p>
            <w:pPr>
              <w:jc w:val="center"/>
              <w:rPr>
                <w:rFonts w:hint="eastAsia" w:ascii="宋体" w:hAnsi="宋体" w:eastAsia="宋体" w:cs="宋体"/>
                <w:i w:val="0"/>
                <w:iCs w:val="0"/>
                <w:color w:val="auto"/>
                <w:sz w:val="22"/>
                <w:szCs w:val="22"/>
                <w:u w:val="none"/>
              </w:rPr>
            </w:pPr>
          </w:p>
        </w:tc>
        <w:tc>
          <w:tcPr>
            <w:tcW w:w="298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基于地面、排水管网等多源数据和地理信息，结合潮汐海水位和内河、道路积水、历史内涝数据等情况，研发防汛大数据预警模型，防范内涝、积水等风险。</w:t>
            </w:r>
          </w:p>
        </w:tc>
        <w:tc>
          <w:tcPr>
            <w:tcW w:w="92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282000</w:t>
            </w:r>
          </w:p>
        </w:tc>
        <w:tc>
          <w:tcPr>
            <w:tcW w:w="76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1套</w:t>
            </w:r>
          </w:p>
        </w:tc>
        <w:tc>
          <w:tcPr>
            <w:tcW w:w="917"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282000</w:t>
            </w:r>
          </w:p>
        </w:tc>
        <w:tc>
          <w:tcPr>
            <w:tcW w:w="1879"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334" w:hRule="atLeast"/>
        </w:trPr>
        <w:tc>
          <w:tcPr>
            <w:tcW w:w="46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w:t>
            </w:r>
          </w:p>
        </w:tc>
        <w:tc>
          <w:tcPr>
            <w:tcW w:w="94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等保测评</w:t>
            </w:r>
          </w:p>
        </w:tc>
        <w:tc>
          <w:tcPr>
            <w:tcW w:w="1069" w:type="dxa"/>
            <w:shd w:val="clear" w:color="auto" w:fill="auto"/>
            <w:vAlign w:val="center"/>
          </w:tcPr>
          <w:p>
            <w:pPr>
              <w:jc w:val="center"/>
              <w:rPr>
                <w:rFonts w:hint="eastAsia" w:ascii="宋体" w:hAnsi="宋体" w:eastAsia="宋体" w:cs="宋体"/>
                <w:i w:val="0"/>
                <w:iCs w:val="0"/>
                <w:color w:val="auto"/>
                <w:sz w:val="22"/>
                <w:szCs w:val="22"/>
                <w:u w:val="none"/>
              </w:rPr>
            </w:pPr>
          </w:p>
        </w:tc>
        <w:tc>
          <w:tcPr>
            <w:tcW w:w="298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等保二级测评费用。</w:t>
            </w:r>
          </w:p>
        </w:tc>
        <w:tc>
          <w:tcPr>
            <w:tcW w:w="92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30000</w:t>
            </w:r>
          </w:p>
        </w:tc>
        <w:tc>
          <w:tcPr>
            <w:tcW w:w="76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1项</w:t>
            </w:r>
          </w:p>
        </w:tc>
        <w:tc>
          <w:tcPr>
            <w:tcW w:w="917"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30000</w:t>
            </w:r>
          </w:p>
        </w:tc>
        <w:tc>
          <w:tcPr>
            <w:tcW w:w="1879"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7139" w:type="dxa"/>
            <w:gridSpan w:val="6"/>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最高限价合计（元）</w:t>
            </w:r>
          </w:p>
        </w:tc>
        <w:tc>
          <w:tcPr>
            <w:tcW w:w="2796" w:type="dxa"/>
            <w:gridSpan w:val="2"/>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kern w:val="0"/>
                <w:sz w:val="22"/>
                <w:szCs w:val="22"/>
                <w:u w:val="none"/>
                <w:lang w:val="en-US" w:eastAsia="zh-CN" w:bidi="ar"/>
              </w:rPr>
            </w:pPr>
            <w:r>
              <w:rPr>
                <w:rFonts w:hint="eastAsia" w:ascii="宋体" w:hAnsi="宋体" w:eastAsia="宋体" w:cs="宋体"/>
                <w:b/>
                <w:bCs/>
                <w:i w:val="0"/>
                <w:iCs w:val="0"/>
                <w:color w:val="auto"/>
                <w:kern w:val="0"/>
                <w:sz w:val="22"/>
                <w:szCs w:val="22"/>
                <w:u w:val="none"/>
                <w:lang w:val="en-US" w:eastAsia="zh-CN" w:bidi="ar"/>
              </w:rPr>
              <w:t>1,000,000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9935" w:type="dxa"/>
            <w:gridSpan w:val="8"/>
            <w:shd w:val="clear" w:color="auto" w:fill="auto"/>
            <w:vAlign w:val="center"/>
          </w:tcPr>
          <w:p>
            <w:pPr>
              <w:keepNext w:val="0"/>
              <w:widowControl/>
              <w:jc w:val="left"/>
              <w:textAlignment w:val="center"/>
              <w:rPr>
                <w:rFonts w:hint="eastAsia" w:ascii="宋体" w:hAnsi="宋体" w:eastAsia="宋体" w:cs="宋体"/>
                <w:b/>
                <w:bCs/>
                <w:color w:val="auto"/>
                <w:kern w:val="0"/>
                <w:sz w:val="22"/>
                <w:szCs w:val="22"/>
                <w:u w:val="none"/>
                <w:lang w:val="en-US" w:eastAsia="zh-CN" w:bidi="ar"/>
              </w:rPr>
            </w:pPr>
            <w:r>
              <w:rPr>
                <w:rFonts w:hint="eastAsia" w:ascii="宋体" w:hAnsi="宋体" w:eastAsia="宋体" w:cs="宋体"/>
                <w:b/>
                <w:bCs/>
                <w:color w:val="auto"/>
                <w:kern w:val="0"/>
                <w:sz w:val="22"/>
                <w:szCs w:val="22"/>
                <w:u w:val="none"/>
                <w:lang w:val="en-US" w:eastAsia="zh-CN" w:bidi="ar"/>
              </w:rPr>
              <w:t>注：1、本项目包含这三块内容，将由同一家供应商按照相关要求为其提供服务。</w:t>
            </w:r>
          </w:p>
          <w:p>
            <w:pPr>
              <w:keepNext w:val="0"/>
              <w:keepLines w:val="0"/>
              <w:widowControl/>
              <w:suppressLineNumbers w:val="0"/>
              <w:jc w:val="left"/>
              <w:textAlignment w:val="center"/>
              <w:rPr>
                <w:rFonts w:hint="eastAsia" w:ascii="宋体" w:hAnsi="宋体" w:eastAsia="宋体" w:cs="宋体"/>
                <w:color w:val="auto"/>
                <w:kern w:val="0"/>
                <w:sz w:val="22"/>
                <w:szCs w:val="22"/>
                <w:u w:val="none"/>
                <w:lang w:val="en-US" w:eastAsia="zh-CN" w:bidi="ar"/>
              </w:rPr>
            </w:pPr>
            <w:r>
              <w:rPr>
                <w:rFonts w:hint="eastAsia" w:ascii="宋体" w:hAnsi="宋体" w:eastAsia="宋体" w:cs="宋体"/>
                <w:color w:val="auto"/>
                <w:kern w:val="0"/>
                <w:sz w:val="22"/>
                <w:szCs w:val="22"/>
                <w:u w:val="none"/>
                <w:lang w:val="en-US" w:eastAsia="zh-CN" w:bidi="ar"/>
              </w:rPr>
              <w:t>2、在质保期内，上述三块内容在使用过程中产生的流量费用均由中标供应商承担。</w:t>
            </w:r>
          </w:p>
          <w:p>
            <w:pPr>
              <w:keepNext w:val="0"/>
              <w:keepLines w:val="0"/>
              <w:widowControl/>
              <w:suppressLineNumbers w:val="0"/>
              <w:jc w:val="left"/>
              <w:textAlignment w:val="center"/>
              <w:rPr>
                <w:rFonts w:hint="default" w:ascii="宋体" w:hAnsi="宋体" w:eastAsia="宋体" w:cs="宋体"/>
                <w:color w:val="auto"/>
                <w:sz w:val="22"/>
                <w:szCs w:val="22"/>
                <w:highlight w:val="none"/>
                <w:lang w:val="en-US" w:eastAsia="zh-CN"/>
              </w:rPr>
            </w:pPr>
            <w:r>
              <w:rPr>
                <w:rFonts w:hint="eastAsia" w:ascii="宋体" w:hAnsi="宋体"/>
                <w:b/>
                <w:bCs/>
                <w:color w:val="auto"/>
                <w:sz w:val="24"/>
                <w:u w:val="single"/>
              </w:rPr>
              <w:t>▲</w:t>
            </w:r>
            <w:r>
              <w:rPr>
                <w:rFonts w:hint="eastAsia" w:ascii="宋体" w:hAnsi="宋体" w:eastAsia="宋体" w:cs="宋体"/>
                <w:b/>
                <w:bCs/>
                <w:color w:val="auto"/>
                <w:kern w:val="0"/>
                <w:sz w:val="22"/>
                <w:szCs w:val="22"/>
                <w:u w:val="single"/>
                <w:lang w:val="en-US" w:eastAsia="zh-CN" w:bidi="ar"/>
              </w:rPr>
              <w:t>3、投标报价不得超过最高限价</w:t>
            </w:r>
            <w:bookmarkStart w:id="203" w:name="OLE_LINK13"/>
            <w:r>
              <w:rPr>
                <w:rFonts w:hint="eastAsia" w:ascii="宋体" w:hAnsi="宋体" w:eastAsia="宋体" w:cs="宋体"/>
                <w:b/>
                <w:bCs/>
                <w:color w:val="auto"/>
                <w:kern w:val="0"/>
                <w:sz w:val="22"/>
                <w:szCs w:val="22"/>
                <w:u w:val="single"/>
                <w:lang w:val="en-US" w:eastAsia="zh-CN" w:bidi="ar"/>
              </w:rPr>
              <w:t>（包括单价、小计、合计金额）</w:t>
            </w:r>
            <w:bookmarkEnd w:id="203"/>
            <w:r>
              <w:rPr>
                <w:rFonts w:hint="eastAsia" w:ascii="宋体" w:hAnsi="宋体" w:eastAsia="宋体" w:cs="宋体"/>
                <w:b/>
                <w:bCs/>
                <w:color w:val="auto"/>
                <w:kern w:val="0"/>
                <w:sz w:val="22"/>
                <w:szCs w:val="22"/>
                <w:u w:val="single"/>
                <w:lang w:val="en-US" w:eastAsia="zh-CN" w:bidi="ar"/>
              </w:rPr>
              <w:t>，一旦超出，将按无效标处理。</w:t>
            </w:r>
          </w:p>
        </w:tc>
      </w:tr>
      <w:bookmarkEnd w:id="201"/>
      <w:bookmarkEnd w:id="202"/>
    </w:tbl>
    <w:p>
      <w:pPr>
        <w:numPr>
          <w:ilvl w:val="0"/>
          <w:numId w:val="45"/>
        </w:numPr>
        <w:spacing w:after="120" w:line="360" w:lineRule="auto"/>
        <w:outlineLvl w:val="9"/>
        <w:rPr>
          <w:rFonts w:hint="eastAsia" w:ascii="宋体" w:hAnsi="宋体" w:cs="宋体"/>
          <w:b/>
          <w:bCs/>
          <w:color w:val="auto"/>
          <w:kern w:val="0"/>
          <w:sz w:val="28"/>
          <w:szCs w:val="28"/>
          <w:highlight w:val="none"/>
        </w:rPr>
      </w:pPr>
      <w:bookmarkStart w:id="204" w:name="_Toc2057"/>
      <w:bookmarkStart w:id="205" w:name="_Toc19957"/>
      <w:r>
        <w:rPr>
          <w:rFonts w:hint="eastAsia" w:ascii="宋体" w:hAnsi="宋体" w:cs="宋体"/>
          <w:b/>
          <w:bCs/>
          <w:color w:val="auto"/>
          <w:kern w:val="0"/>
          <w:sz w:val="28"/>
          <w:szCs w:val="28"/>
          <w:highlight w:val="none"/>
          <w:lang w:val="en-US" w:eastAsia="zh-CN"/>
        </w:rPr>
        <w:t>物联网设备：</w:t>
      </w:r>
      <w:bookmarkEnd w:id="204"/>
      <w:bookmarkEnd w:id="205"/>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eastAsia="宋体" w:cs="宋体"/>
          <w:sz w:val="22"/>
          <w:szCs w:val="22"/>
          <w:highlight w:val="none"/>
          <w:lang w:val="en-US" w:eastAsia="zh-CN"/>
        </w:rPr>
      </w:pPr>
      <w:bookmarkStart w:id="206" w:name="_Toc14613"/>
      <w:bookmarkStart w:id="207" w:name="_Toc10882"/>
      <w:r>
        <w:rPr>
          <w:rFonts w:hint="eastAsia" w:ascii="宋体" w:hAnsi="宋体" w:eastAsia="宋体" w:cs="宋体"/>
          <w:b/>
          <w:bCs/>
          <w:sz w:val="22"/>
          <w:szCs w:val="22"/>
          <w:highlight w:val="none"/>
          <w:lang w:val="en-US" w:eastAsia="zh-CN"/>
        </w:rPr>
        <w:t>1、物联网设备建设产品</w:t>
      </w:r>
      <w:bookmarkEnd w:id="206"/>
      <w:bookmarkEnd w:id="207"/>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highlight w:val="none"/>
          <w:lang w:val="en-US" w:eastAsia="zh-CN"/>
        </w:rPr>
      </w:pPr>
      <w:bookmarkStart w:id="208" w:name="_Toc959"/>
      <w:bookmarkStart w:id="209" w:name="_Toc28378"/>
      <w:bookmarkStart w:id="210" w:name="_Toc29008"/>
      <w:bookmarkStart w:id="211" w:name="_Toc7436"/>
      <w:bookmarkStart w:id="212" w:name="_Toc27866"/>
      <w:bookmarkStart w:id="213" w:name="_Toc12519"/>
      <w:bookmarkStart w:id="214" w:name="_Toc29188"/>
      <w:bookmarkStart w:id="215" w:name="_Toc4019"/>
      <w:bookmarkStart w:id="216" w:name="_Toc23181"/>
      <w:bookmarkStart w:id="217" w:name="_Toc7655"/>
      <w:bookmarkStart w:id="218" w:name="_Toc30449"/>
      <w:r>
        <w:rPr>
          <w:rFonts w:hint="eastAsia" w:ascii="宋体" w:hAnsi="宋体" w:eastAsia="宋体" w:cs="宋体"/>
          <w:b/>
          <w:bCs/>
          <w:sz w:val="22"/>
          <w:szCs w:val="22"/>
          <w:highlight w:val="none"/>
          <w:lang w:val="en-US" w:eastAsia="zh-CN"/>
        </w:rPr>
        <w:t>1.1 路面积水实时监测</w:t>
      </w:r>
      <w:bookmarkEnd w:id="208"/>
      <w:bookmarkEnd w:id="209"/>
      <w:bookmarkEnd w:id="210"/>
      <w:bookmarkEnd w:id="211"/>
      <w:bookmarkEnd w:id="212"/>
      <w:bookmarkEnd w:id="213"/>
      <w:bookmarkEnd w:id="214"/>
      <w:bookmarkEnd w:id="215"/>
      <w:bookmarkEnd w:id="216"/>
      <w:r>
        <w:rPr>
          <w:rFonts w:hint="eastAsia" w:ascii="宋体" w:hAnsi="宋体" w:eastAsia="宋体" w:cs="宋体"/>
          <w:b/>
          <w:bCs/>
          <w:sz w:val="22"/>
          <w:szCs w:val="22"/>
          <w:highlight w:val="none"/>
          <w:lang w:val="en-US" w:eastAsia="zh-CN"/>
        </w:rPr>
        <w:t>设备</w:t>
      </w:r>
      <w:bookmarkEnd w:id="217"/>
      <w:bookmarkEnd w:id="218"/>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在洞头区低洼、易涝区等重点防内涝区域，建设路面积水监测设备，实现实时预警报警。本项包含路面积水检测仪以及相关的安装支架等，完成现场安装施工。</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支持在GIS地图上显示全区路面积水设备的空间分布，支持查看监测内容。</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支持显示当前积水深度（单位：m），当前设备的运行状况，包括网络数据连接（正常/中断）、电池电压情况、信号强度等。</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支持显示积水深度和水温的历史数据，曲线图、报表等。</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相关设备参数要求如下：</w:t>
      </w:r>
    </w:p>
    <w:tbl>
      <w:tblPr>
        <w:tblStyle w:val="6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2"/>
        <w:gridCol w:w="6645"/>
        <w:gridCol w:w="878"/>
        <w:gridCol w:w="1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kern w:val="2"/>
                <w:sz w:val="22"/>
                <w:szCs w:val="22"/>
                <w:highlight w:val="none"/>
                <w:vertAlign w:val="baseline"/>
                <w:lang w:val="en-US" w:eastAsia="zh-CN" w:bidi="ar-SA"/>
              </w:rPr>
            </w:pPr>
            <w:r>
              <w:rPr>
                <w:rFonts w:hint="eastAsia" w:ascii="宋体" w:hAnsi="宋体" w:eastAsia="宋体" w:cs="宋体"/>
                <w:b/>
                <w:bCs/>
                <w:spacing w:val="-1"/>
                <w:sz w:val="22"/>
                <w:szCs w:val="22"/>
                <w:highlight w:val="none"/>
                <w:vertAlign w:val="baseline"/>
                <w:lang w:val="en-US" w:eastAsia="zh-CN"/>
              </w:rPr>
              <w:t>名称</w:t>
            </w:r>
          </w:p>
        </w:tc>
        <w:tc>
          <w:tcPr>
            <w:tcW w:w="5747"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kern w:val="2"/>
                <w:sz w:val="22"/>
                <w:szCs w:val="22"/>
                <w:highlight w:val="none"/>
                <w:vertAlign w:val="baseline"/>
                <w:lang w:val="en-US" w:eastAsia="zh-CN" w:bidi="ar-SA"/>
              </w:rPr>
            </w:pPr>
            <w:r>
              <w:rPr>
                <w:rFonts w:hint="eastAsia" w:ascii="宋体" w:hAnsi="宋体" w:eastAsia="宋体" w:cs="宋体"/>
                <w:b/>
                <w:bCs/>
                <w:spacing w:val="-1"/>
                <w:sz w:val="22"/>
                <w:szCs w:val="22"/>
                <w:highlight w:val="none"/>
                <w:vertAlign w:val="baseline"/>
                <w:lang w:val="en-US" w:eastAsia="zh-CN"/>
              </w:rPr>
              <w:t>内容参数</w:t>
            </w:r>
          </w:p>
        </w:tc>
        <w:tc>
          <w:tcPr>
            <w:tcW w:w="759"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kern w:val="2"/>
                <w:sz w:val="22"/>
                <w:szCs w:val="22"/>
                <w:highlight w:val="none"/>
                <w:vertAlign w:val="baseline"/>
                <w:lang w:val="en-US" w:eastAsia="zh-CN" w:bidi="ar-SA"/>
              </w:rPr>
            </w:pPr>
            <w:r>
              <w:rPr>
                <w:rFonts w:hint="eastAsia" w:ascii="宋体" w:hAnsi="宋体" w:eastAsia="宋体" w:cs="宋体"/>
                <w:b/>
                <w:bCs/>
                <w:spacing w:val="-1"/>
                <w:sz w:val="22"/>
                <w:szCs w:val="22"/>
                <w:highlight w:val="none"/>
                <w:vertAlign w:val="baseline"/>
                <w:lang w:val="en-US" w:eastAsia="zh-CN"/>
              </w:rPr>
              <w:t>数量</w:t>
            </w:r>
          </w:p>
        </w:tc>
        <w:tc>
          <w:tcPr>
            <w:tcW w:w="1063"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kern w:val="2"/>
                <w:sz w:val="22"/>
                <w:szCs w:val="22"/>
                <w:highlight w:val="none"/>
                <w:vertAlign w:val="baseline"/>
                <w:lang w:val="en-US" w:eastAsia="zh-CN" w:bidi="ar-SA"/>
              </w:rPr>
            </w:pPr>
            <w:r>
              <w:rPr>
                <w:rFonts w:hint="eastAsia" w:ascii="宋体" w:hAnsi="宋体" w:eastAsia="宋体" w:cs="宋体"/>
                <w:b/>
                <w:bCs/>
                <w:spacing w:val="-1"/>
                <w:sz w:val="22"/>
                <w:szCs w:val="22"/>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路面积水监测仪</w:t>
            </w:r>
          </w:p>
        </w:tc>
        <w:tc>
          <w:tcPr>
            <w:tcW w:w="5747" w:type="dxa"/>
            <w:noWrap w:val="0"/>
            <w:vAlign w:val="top"/>
          </w:tcPr>
          <w:p>
            <w:pPr>
              <w:keepNext w:val="0"/>
              <w:keepLines w:val="0"/>
              <w:pageBreakBefore w:val="0"/>
              <w:widowControl w:val="0"/>
              <w:numPr>
                <w:ilvl w:val="0"/>
                <w:numId w:val="48"/>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具有水位、水浸、电量等监测指标</w:t>
            </w:r>
          </w:p>
          <w:p>
            <w:pPr>
              <w:keepNext w:val="0"/>
              <w:keepLines w:val="0"/>
              <w:pageBreakBefore w:val="0"/>
              <w:widowControl w:val="0"/>
              <w:numPr>
                <w:ilvl w:val="0"/>
                <w:numId w:val="48"/>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具有4G或NB-IoT或LORA通信传输能力</w:t>
            </w:r>
          </w:p>
          <w:p>
            <w:pPr>
              <w:keepNext w:val="0"/>
              <w:keepLines w:val="0"/>
              <w:pageBreakBefore w:val="0"/>
              <w:widowControl w:val="0"/>
              <w:numPr>
                <w:ilvl w:val="0"/>
                <w:numId w:val="48"/>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积水范围  0m-10m，误差1cm</w:t>
            </w:r>
          </w:p>
          <w:p>
            <w:pPr>
              <w:keepNext w:val="0"/>
              <w:keepLines w:val="0"/>
              <w:pageBreakBefore w:val="0"/>
              <w:widowControl w:val="0"/>
              <w:numPr>
                <w:ilvl w:val="0"/>
                <w:numId w:val="48"/>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工作温度  -10℃～50℃</w:t>
            </w:r>
          </w:p>
          <w:p>
            <w:pPr>
              <w:keepNext w:val="0"/>
              <w:keepLines w:val="0"/>
              <w:pageBreakBefore w:val="0"/>
              <w:widowControl w:val="0"/>
              <w:numPr>
                <w:ilvl w:val="0"/>
                <w:numId w:val="48"/>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等级防护≧IP68</w:t>
            </w:r>
          </w:p>
          <w:p>
            <w:pPr>
              <w:keepNext w:val="0"/>
              <w:keepLines w:val="0"/>
              <w:pageBreakBefore w:val="0"/>
              <w:widowControl w:val="0"/>
              <w:numPr>
                <w:ilvl w:val="0"/>
                <w:numId w:val="48"/>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★具有漏电监测报警功能，电压监测范围为AC（12～220）V。路面积水存在漏电时可触发报警，消除行人触电风险；</w:t>
            </w:r>
          </w:p>
          <w:p>
            <w:pPr>
              <w:keepNext w:val="0"/>
              <w:keepLines w:val="0"/>
              <w:pageBreakBefore w:val="0"/>
              <w:widowControl w:val="0"/>
              <w:numPr>
                <w:ilvl w:val="0"/>
                <w:numId w:val="48"/>
              </w:numPr>
              <w:kinsoku/>
              <w:wordWrap/>
              <w:overflowPunct/>
              <w:topLinePunct w:val="0"/>
              <w:autoSpaceDE/>
              <w:autoSpaceDN/>
              <w:bidi w:val="0"/>
              <w:adjustRightInd/>
              <w:snapToGrid/>
              <w:spacing w:line="360" w:lineRule="auto"/>
              <w:ind w:firstLine="0" w:firstLineChars="0"/>
              <w:textAlignment w:val="auto"/>
              <w:rPr>
                <w:rFonts w:hint="eastAsia" w:ascii="宋体" w:hAnsi="宋体" w:cs="宋体"/>
                <w:sz w:val="22"/>
                <w:szCs w:val="22"/>
                <w:highlight w:val="none"/>
                <w:lang w:val="en-US" w:eastAsia="zh-CN"/>
              </w:rPr>
            </w:pPr>
            <w:r>
              <w:rPr>
                <w:rFonts w:hint="eastAsia" w:ascii="宋体" w:hAnsi="宋体" w:eastAsia="宋体" w:cs="宋体"/>
                <w:sz w:val="22"/>
                <w:szCs w:val="22"/>
                <w:highlight w:val="none"/>
                <w:lang w:val="en-US" w:eastAsia="zh-CN"/>
              </w:rPr>
              <w:t>采用内置锂电池供电，连续使用三年以上，具备电池异常报警功能；</w:t>
            </w:r>
          </w:p>
          <w:p>
            <w:pPr>
              <w:keepNext w:val="0"/>
              <w:keepLines w:val="0"/>
              <w:pageBreakBefore w:val="0"/>
              <w:widowControl w:val="0"/>
              <w:numPr>
                <w:ilvl w:val="0"/>
                <w:numId w:val="48"/>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★内置电压、电量采集模块，具备低电量报警功能，</w:t>
            </w:r>
            <w:r>
              <w:rPr>
                <w:rFonts w:hint="eastAsia" w:ascii="宋体" w:hAnsi="宋体" w:eastAsia="宋体" w:cs="宋体"/>
                <w:sz w:val="22"/>
                <w:szCs w:val="22"/>
                <w:highlight w:val="none"/>
              </w:rPr>
              <w:t>每笔数据报文含电压、电量信息</w:t>
            </w:r>
            <w:r>
              <w:rPr>
                <w:rFonts w:hint="eastAsia" w:ascii="宋体" w:hAnsi="宋体" w:eastAsia="宋体" w:cs="宋体"/>
                <w:sz w:val="22"/>
                <w:szCs w:val="22"/>
                <w:highlight w:val="none"/>
                <w:lang w:val="en-US" w:eastAsia="zh-CN"/>
              </w:rPr>
              <w:t>，电压最小分辨率为≤1mV；</w:t>
            </w:r>
          </w:p>
          <w:p>
            <w:pPr>
              <w:keepNext w:val="0"/>
              <w:keepLines w:val="0"/>
              <w:pageBreakBefore w:val="0"/>
              <w:widowControl w:val="0"/>
              <w:numPr>
                <w:ilvl w:val="0"/>
                <w:numId w:val="48"/>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可通过服务器远程授时自动获取时间戳数据，具备输出分辨率≤1s的时间同步能力，默认每5分钟采集频次（10s-24H自定义配置）和每15分钟传输频次（60s-24H自定义配置），测量数据报文具有秒级精度加密时间戳；</w:t>
            </w:r>
          </w:p>
          <w:p>
            <w:pPr>
              <w:keepNext w:val="0"/>
              <w:keepLines w:val="0"/>
              <w:pageBreakBefore w:val="0"/>
              <w:widowControl w:val="0"/>
              <w:numPr>
                <w:ilvl w:val="0"/>
                <w:numId w:val="48"/>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★设备具备国产芯片级底层数据安全加密防御能力。国产芯片根据输入的标识参数和内部产生的真随机数，共同生成随机动态的会话密钥，对明文数据进行加密；</w:t>
            </w:r>
          </w:p>
          <w:p>
            <w:pPr>
              <w:keepNext w:val="0"/>
              <w:keepLines w:val="0"/>
              <w:pageBreakBefore w:val="0"/>
              <w:widowControl w:val="0"/>
              <w:numPr>
                <w:ilvl w:val="0"/>
                <w:numId w:val="48"/>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远程设定多等级水位报警阈值，水位数据超过设定阈值时可立即上报。采集与传输频次可根据阈值和等级变化智能切换；可远程查看设备水位值，电池电量、联网成功率、无线信号强度、温湿度、倾角姿态、空间定位、时间戳数据，远程修改设备采集频次传输频次、报警阈值运行参数。</w:t>
            </w:r>
          </w:p>
          <w:p>
            <w:pPr>
              <w:keepNext w:val="0"/>
              <w:keepLines w:val="0"/>
              <w:pageBreakBefore w:val="0"/>
              <w:widowControl w:val="0"/>
              <w:numPr>
                <w:ilvl w:val="0"/>
                <w:numId w:val="48"/>
              </w:numPr>
              <w:kinsoku/>
              <w:wordWrap/>
              <w:overflowPunct/>
              <w:topLinePunct w:val="0"/>
              <w:autoSpaceDE/>
              <w:autoSpaceDN/>
              <w:bidi w:val="0"/>
              <w:adjustRightInd/>
              <w:snapToGrid/>
              <w:spacing w:line="360" w:lineRule="auto"/>
              <w:ind w:firstLine="0" w:firstLineChars="0"/>
              <w:textAlignment w:val="auto"/>
              <w:rPr>
                <w:rFonts w:hint="eastAsia" w:ascii="宋体" w:hAnsi="宋体" w:cs="宋体"/>
                <w:sz w:val="22"/>
                <w:szCs w:val="22"/>
                <w:highlight w:val="none"/>
                <w:lang w:val="en-US" w:eastAsia="zh-CN"/>
              </w:rPr>
            </w:pPr>
            <w:r>
              <w:rPr>
                <w:rFonts w:hint="eastAsia" w:ascii="宋体" w:hAnsi="宋体" w:eastAsia="宋体" w:cs="宋体"/>
                <w:sz w:val="22"/>
                <w:szCs w:val="22"/>
                <w:highlight w:val="none"/>
                <w:lang w:val="en-US" w:eastAsia="zh-CN"/>
              </w:rPr>
              <w:t>当信号不稳定或断网影响传输时，正常储存监测数据，当信号恢复正常时可自动续传中断期间的历史数据，保障数据连续性；</w:t>
            </w:r>
          </w:p>
          <w:p>
            <w:pPr>
              <w:keepNext w:val="0"/>
              <w:keepLines w:val="0"/>
              <w:pageBreakBefore w:val="0"/>
              <w:widowControl w:val="0"/>
              <w:numPr>
                <w:ilvl w:val="0"/>
                <w:numId w:val="48"/>
              </w:numPr>
              <w:kinsoku/>
              <w:wordWrap/>
              <w:overflowPunct/>
              <w:topLinePunct w:val="0"/>
              <w:autoSpaceDE/>
              <w:autoSpaceDN/>
              <w:bidi w:val="0"/>
              <w:adjustRightInd/>
              <w:snapToGrid/>
              <w:spacing w:line="360" w:lineRule="auto"/>
              <w:ind w:firstLine="0" w:firstLineChars="0"/>
              <w:textAlignment w:val="auto"/>
              <w:rPr>
                <w:rFonts w:hint="eastAsia" w:ascii="宋体" w:hAnsi="宋体" w:cs="宋体"/>
                <w:sz w:val="22"/>
                <w:szCs w:val="22"/>
                <w:highlight w:val="none"/>
                <w:lang w:val="en-US" w:eastAsia="zh-CN"/>
              </w:rPr>
            </w:pPr>
            <w:r>
              <w:rPr>
                <w:rFonts w:hint="eastAsia" w:ascii="宋体" w:hAnsi="宋体" w:eastAsia="宋体" w:cs="宋体"/>
                <w:sz w:val="22"/>
                <w:szCs w:val="22"/>
                <w:highlight w:val="none"/>
                <w:lang w:val="en-US" w:eastAsia="zh-CN"/>
              </w:rPr>
              <w:t>★具备暴雨智能识别功能，当检测到水浸标志位时，自动切换采集与传输频次，记录暴雨期间完整数据。降低晴天采集频度，延长电池的利用时效;</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0" w:firstLineChars="0"/>
              <w:textAlignment w:val="auto"/>
              <w:rPr>
                <w:rFonts w:hint="eastAsia" w:ascii="宋体" w:hAnsi="宋体" w:cs="宋体"/>
                <w:sz w:val="22"/>
                <w:szCs w:val="22"/>
                <w:highlight w:val="none"/>
                <w:lang w:val="en-US" w:eastAsia="zh-CN"/>
              </w:rPr>
            </w:pPr>
            <w:r>
              <w:rPr>
                <w:rFonts w:hint="eastAsia" w:ascii="宋体" w:hAnsi="宋体" w:eastAsia="宋体" w:cs="宋体"/>
                <w:b/>
                <w:bCs/>
                <w:sz w:val="22"/>
                <w:szCs w:val="22"/>
                <w:highlight w:val="none"/>
                <w:lang w:val="en-US" w:eastAsia="zh-CN"/>
              </w:rPr>
              <w:t>（以上标★项，提供国家认可的第三方检测机构出具的带CMA或CNAS标志的检测报告佐证）</w:t>
            </w:r>
          </w:p>
        </w:tc>
        <w:tc>
          <w:tcPr>
            <w:tcW w:w="75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5套</w:t>
            </w:r>
          </w:p>
        </w:tc>
        <w:tc>
          <w:tcPr>
            <w:tcW w:w="106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含3年数       据服务</w:t>
            </w:r>
          </w:p>
        </w:tc>
      </w:tr>
    </w:tbl>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highlight w:val="none"/>
          <w:lang w:val="en-US" w:eastAsia="zh-CN"/>
        </w:rPr>
      </w:pPr>
      <w:bookmarkStart w:id="219" w:name="_Toc21319"/>
      <w:bookmarkStart w:id="220" w:name="_Toc12687"/>
      <w:bookmarkStart w:id="221" w:name="_Toc7136"/>
      <w:bookmarkStart w:id="222" w:name="_Toc13559"/>
      <w:bookmarkStart w:id="223" w:name="_Toc9775"/>
      <w:bookmarkStart w:id="224" w:name="_Toc2710"/>
      <w:bookmarkStart w:id="225" w:name="_Toc26276"/>
      <w:bookmarkStart w:id="226" w:name="_Toc13527"/>
      <w:bookmarkStart w:id="227" w:name="_Toc11954"/>
      <w:bookmarkStart w:id="228" w:name="_Toc17235"/>
      <w:bookmarkStart w:id="229" w:name="_Toc15102"/>
      <w:r>
        <w:rPr>
          <w:rFonts w:hint="eastAsia" w:ascii="宋体" w:hAnsi="宋体" w:eastAsia="宋体" w:cs="宋体"/>
          <w:b/>
          <w:bCs/>
          <w:sz w:val="22"/>
          <w:szCs w:val="22"/>
          <w:highlight w:val="none"/>
          <w:lang w:val="en-US" w:eastAsia="zh-CN"/>
        </w:rPr>
        <w:t>1.2海水河道水位实时监测</w:t>
      </w:r>
      <w:bookmarkEnd w:id="219"/>
      <w:bookmarkEnd w:id="220"/>
      <w:bookmarkEnd w:id="221"/>
      <w:bookmarkEnd w:id="222"/>
      <w:bookmarkEnd w:id="223"/>
      <w:bookmarkEnd w:id="224"/>
      <w:bookmarkEnd w:id="225"/>
      <w:bookmarkEnd w:id="226"/>
      <w:bookmarkEnd w:id="227"/>
      <w:r>
        <w:rPr>
          <w:rFonts w:hint="eastAsia" w:ascii="宋体" w:hAnsi="宋体" w:eastAsia="宋体" w:cs="宋体"/>
          <w:b/>
          <w:bCs/>
          <w:sz w:val="22"/>
          <w:szCs w:val="22"/>
          <w:highlight w:val="none"/>
          <w:lang w:val="en-US" w:eastAsia="zh-CN"/>
        </w:rPr>
        <w:t>设备</w:t>
      </w:r>
      <w:bookmarkEnd w:id="228"/>
      <w:bookmarkEnd w:id="229"/>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建设海水河道水位监测，为防汛调度模型算法提供决策依据。本项包含水位监测仪以及相关的安装支架等，完成现场安装施工。</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支持在GIS地图上显示全区海水河道水位监测设备的空间分布，支持查看监测内容。</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支持显示当前潮位/水位高度（单位：m），可设置数据采集频率，默认5分钟/次。</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支持显示海水河道水位监测设备的运行状况，包括网络数据连接情况（正常/中断）、电源状态、信号强度等。</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支持显示水位高度的历史数据，曲线图、水位报表等。</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相关设备参数要求如下：</w:t>
      </w:r>
    </w:p>
    <w:tbl>
      <w:tblPr>
        <w:tblStyle w:val="6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2"/>
        <w:gridCol w:w="6645"/>
        <w:gridCol w:w="878"/>
        <w:gridCol w:w="1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名称</w:t>
            </w:r>
          </w:p>
        </w:tc>
        <w:tc>
          <w:tcPr>
            <w:tcW w:w="5747"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内容参数</w:t>
            </w:r>
          </w:p>
        </w:tc>
        <w:tc>
          <w:tcPr>
            <w:tcW w:w="759"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数量</w:t>
            </w:r>
          </w:p>
        </w:tc>
        <w:tc>
          <w:tcPr>
            <w:tcW w:w="1063"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海水河道水位监测</w:t>
            </w:r>
          </w:p>
        </w:tc>
        <w:tc>
          <w:tcPr>
            <w:tcW w:w="5747" w:type="dxa"/>
            <w:noWrap w:val="0"/>
            <w:vAlign w:val="top"/>
          </w:tcPr>
          <w:p>
            <w:pPr>
              <w:keepNext w:val="0"/>
              <w:keepLines w:val="0"/>
              <w:pageBreakBefore w:val="0"/>
              <w:widowControl w:val="0"/>
              <w:numPr>
                <w:ilvl w:val="0"/>
                <w:numId w:val="49"/>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 xml:space="preserve">测量范围：不低于10mm </w:t>
            </w:r>
          </w:p>
          <w:p>
            <w:pPr>
              <w:keepNext w:val="0"/>
              <w:keepLines w:val="0"/>
              <w:pageBreakBefore w:val="0"/>
              <w:widowControl w:val="0"/>
              <w:numPr>
                <w:ilvl w:val="0"/>
                <w:numId w:val="49"/>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测量精度：≤0.2% /±2cm</w:t>
            </w:r>
          </w:p>
          <w:p>
            <w:pPr>
              <w:keepNext w:val="0"/>
              <w:keepLines w:val="0"/>
              <w:pageBreakBefore w:val="0"/>
              <w:widowControl w:val="0"/>
              <w:numPr>
                <w:ilvl w:val="0"/>
                <w:numId w:val="49"/>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 xml:space="preserve">显示分辨率 1mm </w:t>
            </w:r>
          </w:p>
          <w:p>
            <w:pPr>
              <w:keepNext w:val="0"/>
              <w:keepLines w:val="0"/>
              <w:pageBreakBefore w:val="0"/>
              <w:widowControl w:val="0"/>
              <w:numPr>
                <w:ilvl w:val="0"/>
                <w:numId w:val="49"/>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 xml:space="preserve">工作温度  -10℃～50℃ </w:t>
            </w:r>
          </w:p>
          <w:p>
            <w:pPr>
              <w:keepNext w:val="0"/>
              <w:keepLines w:val="0"/>
              <w:pageBreakBefore w:val="0"/>
              <w:widowControl w:val="0"/>
              <w:numPr>
                <w:ilvl w:val="0"/>
                <w:numId w:val="49"/>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支持4G或NB-IoT或LORA通信传输能力</w:t>
            </w:r>
          </w:p>
          <w:p>
            <w:pPr>
              <w:keepNext w:val="0"/>
              <w:keepLines w:val="0"/>
              <w:pageBreakBefore w:val="0"/>
              <w:widowControl w:val="0"/>
              <w:numPr>
                <w:ilvl w:val="0"/>
                <w:numId w:val="49"/>
              </w:numPr>
              <w:kinsoku/>
              <w:wordWrap/>
              <w:overflowPunct/>
              <w:topLinePunct w:val="0"/>
              <w:autoSpaceDE/>
              <w:autoSpaceDN/>
              <w:bidi w:val="0"/>
              <w:adjustRightInd/>
              <w:snapToGrid/>
              <w:spacing w:line="360" w:lineRule="auto"/>
              <w:ind w:firstLine="0" w:firstLineChars="0"/>
              <w:textAlignment w:val="auto"/>
              <w:rPr>
                <w:rFonts w:hint="eastAsia" w:ascii="宋体" w:hAnsi="宋体" w:cs="宋体"/>
                <w:sz w:val="22"/>
                <w:szCs w:val="22"/>
                <w:highlight w:val="none"/>
                <w:lang w:val="en-US" w:eastAsia="zh-CN"/>
              </w:rPr>
            </w:pPr>
            <w:r>
              <w:rPr>
                <w:rFonts w:hint="eastAsia" w:ascii="宋体" w:hAnsi="宋体" w:eastAsia="宋体" w:cs="宋体"/>
                <w:sz w:val="22"/>
                <w:szCs w:val="22"/>
                <w:highlight w:val="none"/>
                <w:lang w:val="en-US" w:eastAsia="zh-CN"/>
              </w:rPr>
              <w:t>★等级防护≧IP68；</w:t>
            </w:r>
            <w:r>
              <w:rPr>
                <w:rFonts w:hint="eastAsia" w:ascii="宋体" w:hAnsi="宋体" w:eastAsia="宋体" w:cs="宋体"/>
                <w:b/>
                <w:bCs/>
                <w:sz w:val="22"/>
                <w:szCs w:val="22"/>
                <w:highlight w:val="none"/>
                <w:lang w:val="en-US" w:eastAsia="zh-CN"/>
              </w:rPr>
              <w:t>（提供国家认可的第三方检测机构出具的带CMA或CNAS标志的检测报告佐证）</w:t>
            </w:r>
          </w:p>
          <w:p>
            <w:pPr>
              <w:keepNext w:val="0"/>
              <w:keepLines w:val="0"/>
              <w:pageBreakBefore w:val="0"/>
              <w:widowControl w:val="0"/>
              <w:numPr>
                <w:ilvl w:val="0"/>
                <w:numId w:val="49"/>
              </w:numPr>
              <w:kinsoku/>
              <w:wordWrap/>
              <w:overflowPunct/>
              <w:topLinePunct w:val="0"/>
              <w:autoSpaceDE/>
              <w:autoSpaceDN/>
              <w:bidi w:val="0"/>
              <w:adjustRightInd/>
              <w:snapToGrid/>
              <w:spacing w:line="360" w:lineRule="auto"/>
              <w:ind w:firstLine="0" w:firstLineChars="0"/>
              <w:textAlignment w:val="auto"/>
              <w:rPr>
                <w:rFonts w:hint="eastAsia" w:ascii="宋体" w:hAnsi="宋体" w:cs="宋体"/>
                <w:sz w:val="22"/>
                <w:szCs w:val="22"/>
                <w:highlight w:val="none"/>
                <w:lang w:val="en-US" w:eastAsia="zh-CN"/>
              </w:rPr>
            </w:pPr>
            <w:r>
              <w:rPr>
                <w:rFonts w:hint="eastAsia" w:ascii="宋体" w:hAnsi="宋体" w:eastAsia="宋体" w:cs="宋体"/>
                <w:sz w:val="22"/>
                <w:szCs w:val="22"/>
                <w:highlight w:val="none"/>
                <w:lang w:val="en-US" w:eastAsia="zh-CN"/>
              </w:rPr>
              <w:t>通过防腐盐雾试验检测；</w:t>
            </w:r>
          </w:p>
          <w:p>
            <w:pPr>
              <w:keepNext w:val="0"/>
              <w:keepLines w:val="0"/>
              <w:pageBreakBefore w:val="0"/>
              <w:widowControl w:val="0"/>
              <w:numPr>
                <w:ilvl w:val="0"/>
                <w:numId w:val="49"/>
              </w:numPr>
              <w:kinsoku/>
              <w:wordWrap/>
              <w:overflowPunct/>
              <w:topLinePunct w:val="0"/>
              <w:autoSpaceDE/>
              <w:autoSpaceDN/>
              <w:bidi w:val="0"/>
              <w:adjustRightInd/>
              <w:snapToGrid/>
              <w:spacing w:line="360" w:lineRule="auto"/>
              <w:ind w:firstLine="0" w:firstLineChars="0"/>
              <w:textAlignment w:val="auto"/>
              <w:rPr>
                <w:rFonts w:hint="eastAsia" w:ascii="宋体" w:hAnsi="宋体" w:cs="宋体"/>
                <w:sz w:val="22"/>
                <w:szCs w:val="22"/>
                <w:highlight w:val="none"/>
                <w:lang w:val="en-US" w:eastAsia="zh-CN"/>
              </w:rPr>
            </w:pPr>
            <w:r>
              <w:rPr>
                <w:rFonts w:hint="eastAsia" w:ascii="宋体" w:hAnsi="宋体" w:eastAsia="宋体" w:cs="宋体"/>
                <w:sz w:val="22"/>
                <w:szCs w:val="22"/>
                <w:highlight w:val="none"/>
                <w:lang w:val="en-US" w:eastAsia="zh-CN"/>
              </w:rPr>
              <w:t>内置电池，可外接电源，并具备电压电量异常报警功能</w:t>
            </w:r>
          </w:p>
          <w:p>
            <w:pPr>
              <w:keepNext w:val="0"/>
              <w:keepLines w:val="0"/>
              <w:pageBreakBefore w:val="0"/>
              <w:widowControl w:val="0"/>
              <w:numPr>
                <w:ilvl w:val="0"/>
                <w:numId w:val="49"/>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可自定义设置数据采集频率，并实时查看设备状态</w:t>
            </w:r>
          </w:p>
          <w:p>
            <w:pPr>
              <w:keepNext w:val="0"/>
              <w:keepLines w:val="0"/>
              <w:pageBreakBefore w:val="0"/>
              <w:widowControl w:val="0"/>
              <w:numPr>
                <w:ilvl w:val="0"/>
                <w:numId w:val="49"/>
              </w:numPr>
              <w:kinsoku/>
              <w:wordWrap/>
              <w:overflowPunct/>
              <w:topLinePunct w:val="0"/>
              <w:autoSpaceDE/>
              <w:autoSpaceDN/>
              <w:bidi w:val="0"/>
              <w:adjustRightInd/>
              <w:snapToGrid/>
              <w:spacing w:line="360" w:lineRule="auto"/>
              <w:ind w:firstLine="0" w:firstLineChars="0"/>
              <w:textAlignment w:val="auto"/>
              <w:rPr>
                <w:rFonts w:hint="eastAsia" w:ascii="宋体" w:hAnsi="宋体" w:cs="宋体"/>
                <w:sz w:val="22"/>
                <w:szCs w:val="22"/>
                <w:highlight w:val="none"/>
                <w:lang w:val="en-US" w:eastAsia="zh-CN"/>
              </w:rPr>
            </w:pPr>
            <w:r>
              <w:rPr>
                <w:rFonts w:hint="eastAsia" w:ascii="宋体" w:hAnsi="宋体" w:eastAsia="宋体" w:cs="宋体"/>
                <w:sz w:val="22"/>
                <w:szCs w:val="22"/>
                <w:highlight w:val="none"/>
                <w:lang w:val="en-US" w:eastAsia="zh-CN"/>
              </w:rPr>
              <w:t>可设置预警参数，能及时发出预警信息和恢复信息</w:t>
            </w:r>
          </w:p>
          <w:p>
            <w:pPr>
              <w:keepNext w:val="0"/>
              <w:keepLines w:val="0"/>
              <w:pageBreakBefore w:val="0"/>
              <w:widowControl w:val="0"/>
              <w:numPr>
                <w:ilvl w:val="0"/>
                <w:numId w:val="49"/>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当信号不稳定或断网影响传输时，正常储存监测数据，当信号恢复正常时可自动续传中断期间的历史数据，保障数据连续性；</w:t>
            </w:r>
          </w:p>
          <w:p>
            <w:pPr>
              <w:keepNext w:val="0"/>
              <w:keepLines w:val="0"/>
              <w:pageBreakBefore w:val="0"/>
              <w:widowControl w:val="0"/>
              <w:numPr>
                <w:ilvl w:val="0"/>
                <w:numId w:val="49"/>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★产品近三年入选过《全国水利系统招标产品重点采购目录》；</w:t>
            </w:r>
            <w:r>
              <w:rPr>
                <w:rFonts w:hint="eastAsia" w:ascii="宋体" w:hAnsi="宋体" w:eastAsia="宋体" w:cs="宋体"/>
                <w:b/>
                <w:bCs/>
                <w:sz w:val="22"/>
                <w:szCs w:val="22"/>
                <w:highlight w:val="none"/>
                <w:lang w:val="en-US" w:eastAsia="zh-CN"/>
              </w:rPr>
              <w:t>（提供相关证明文件并加盖厂家公章佐证）</w:t>
            </w:r>
          </w:p>
        </w:tc>
        <w:tc>
          <w:tcPr>
            <w:tcW w:w="75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4套</w:t>
            </w:r>
          </w:p>
        </w:tc>
        <w:tc>
          <w:tcPr>
            <w:tcW w:w="106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含3年数据服务</w:t>
            </w:r>
          </w:p>
        </w:tc>
      </w:tr>
    </w:tbl>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highlight w:val="none"/>
          <w:lang w:val="en-US" w:eastAsia="zh-CN"/>
        </w:rPr>
      </w:pPr>
      <w:bookmarkStart w:id="230" w:name="_Toc20274"/>
      <w:bookmarkStart w:id="231" w:name="_Toc1777"/>
      <w:bookmarkStart w:id="232" w:name="_Toc17062"/>
      <w:bookmarkStart w:id="233" w:name="_Toc30056"/>
      <w:bookmarkStart w:id="234" w:name="_Toc2107"/>
      <w:bookmarkStart w:id="235" w:name="_Toc15741"/>
      <w:bookmarkStart w:id="236" w:name="_Toc30331"/>
      <w:bookmarkStart w:id="237" w:name="_Toc9183"/>
      <w:bookmarkStart w:id="238" w:name="_Toc26968"/>
      <w:bookmarkStart w:id="239" w:name="_Toc9921"/>
      <w:bookmarkStart w:id="240" w:name="_Toc331"/>
      <w:r>
        <w:rPr>
          <w:rFonts w:hint="eastAsia" w:ascii="宋体" w:hAnsi="宋体" w:eastAsia="宋体" w:cs="宋体"/>
          <w:b/>
          <w:bCs/>
          <w:sz w:val="22"/>
          <w:szCs w:val="22"/>
          <w:highlight w:val="none"/>
          <w:lang w:val="en-US" w:eastAsia="zh-CN"/>
        </w:rPr>
        <w:t>1.3雨量实时监测</w:t>
      </w:r>
      <w:bookmarkEnd w:id="230"/>
      <w:bookmarkEnd w:id="231"/>
      <w:bookmarkEnd w:id="232"/>
      <w:bookmarkEnd w:id="233"/>
      <w:bookmarkEnd w:id="234"/>
      <w:bookmarkEnd w:id="235"/>
      <w:bookmarkEnd w:id="236"/>
      <w:bookmarkEnd w:id="237"/>
      <w:bookmarkEnd w:id="238"/>
      <w:r>
        <w:rPr>
          <w:rFonts w:hint="eastAsia" w:ascii="宋体" w:hAnsi="宋体" w:eastAsia="宋体" w:cs="宋体"/>
          <w:b/>
          <w:bCs/>
          <w:sz w:val="22"/>
          <w:szCs w:val="22"/>
          <w:highlight w:val="none"/>
          <w:lang w:val="en-US" w:eastAsia="zh-CN"/>
        </w:rPr>
        <w:t>设备</w:t>
      </w:r>
      <w:bookmarkEnd w:id="239"/>
      <w:bookmarkEnd w:id="240"/>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按防汛防台气象降雨掌握需要开展雨量监测工作，本项目计划采购3套雨量监测数据服务，用于监测实时降雨情况。</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支持在GIS地图上显示全区雨量计设备的空间分布，支持查看设备信息。</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支持展示雨量计的运行状况，包括网络连接情况（正常/中断），电源状态，信号等。</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支持显示当前降雨强度，累计降雨量，当日累计降雨量和本次累计降雨量</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支持展示降雨强度、累计雨量等的历史数据、曲线图、报表等。</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相关设备参数要求如下：</w:t>
      </w:r>
    </w:p>
    <w:tbl>
      <w:tblPr>
        <w:tblStyle w:val="6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2"/>
        <w:gridCol w:w="6645"/>
        <w:gridCol w:w="878"/>
        <w:gridCol w:w="1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名称</w:t>
            </w:r>
          </w:p>
        </w:tc>
        <w:tc>
          <w:tcPr>
            <w:tcW w:w="5747"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内容参数</w:t>
            </w:r>
          </w:p>
        </w:tc>
        <w:tc>
          <w:tcPr>
            <w:tcW w:w="759"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数量</w:t>
            </w:r>
          </w:p>
        </w:tc>
        <w:tc>
          <w:tcPr>
            <w:tcW w:w="1063"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雨量监测设备</w:t>
            </w:r>
          </w:p>
        </w:tc>
        <w:tc>
          <w:tcPr>
            <w:tcW w:w="5747" w:type="dxa"/>
            <w:noWrap w:val="0"/>
            <w:vAlign w:val="top"/>
          </w:tcPr>
          <w:p>
            <w:pPr>
              <w:keepNext w:val="0"/>
              <w:keepLines w:val="0"/>
              <w:pageBreakBefore w:val="0"/>
              <w:widowControl w:val="0"/>
              <w:numPr>
                <w:ilvl w:val="0"/>
                <w:numId w:val="50"/>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整体不锈钢结构，符合国标：GB/T 21978.2－2014《降水量观测要求》要求</w:t>
            </w:r>
          </w:p>
          <w:p>
            <w:pPr>
              <w:keepNext w:val="0"/>
              <w:keepLines w:val="0"/>
              <w:pageBreakBefore w:val="0"/>
              <w:widowControl w:val="0"/>
              <w:numPr>
                <w:ilvl w:val="0"/>
                <w:numId w:val="50"/>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盛雨口直径：≥Φ200mm</w:t>
            </w:r>
          </w:p>
          <w:p>
            <w:pPr>
              <w:keepNext w:val="0"/>
              <w:keepLines w:val="0"/>
              <w:pageBreakBefore w:val="0"/>
              <w:widowControl w:val="0"/>
              <w:numPr>
                <w:ilvl w:val="0"/>
                <w:numId w:val="50"/>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分辨率：0.2mm</w:t>
            </w:r>
          </w:p>
          <w:p>
            <w:pPr>
              <w:keepNext w:val="0"/>
              <w:keepLines w:val="0"/>
              <w:pageBreakBefore w:val="0"/>
              <w:widowControl w:val="0"/>
              <w:numPr>
                <w:ilvl w:val="0"/>
                <w:numId w:val="50"/>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刃口锐角：40°～45°</w:t>
            </w:r>
          </w:p>
          <w:p>
            <w:pPr>
              <w:keepNext w:val="0"/>
              <w:keepLines w:val="0"/>
              <w:pageBreakBefore w:val="0"/>
              <w:widowControl w:val="0"/>
              <w:numPr>
                <w:ilvl w:val="0"/>
                <w:numId w:val="50"/>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工作温度：-10℃～50℃，储存温度：-40～80℃，</w:t>
            </w:r>
          </w:p>
          <w:p>
            <w:pPr>
              <w:keepNext w:val="0"/>
              <w:keepLines w:val="0"/>
              <w:pageBreakBefore w:val="0"/>
              <w:widowControl w:val="0"/>
              <w:numPr>
                <w:ilvl w:val="0"/>
                <w:numId w:val="50"/>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雨强范围：0mm～4mm/min（允许通过最大雨强8mm/min）</w:t>
            </w:r>
          </w:p>
          <w:p>
            <w:pPr>
              <w:keepNext w:val="0"/>
              <w:keepLines w:val="0"/>
              <w:pageBreakBefore w:val="0"/>
              <w:widowControl w:val="0"/>
              <w:numPr>
                <w:ilvl w:val="0"/>
                <w:numId w:val="50"/>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工作湿度：&lt;95%(40℃)</w:t>
            </w:r>
          </w:p>
          <w:p>
            <w:pPr>
              <w:keepNext w:val="0"/>
              <w:keepLines w:val="0"/>
              <w:pageBreakBefore w:val="0"/>
              <w:widowControl w:val="0"/>
              <w:numPr>
                <w:ilvl w:val="0"/>
                <w:numId w:val="50"/>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cs="宋体"/>
                <w:sz w:val="22"/>
                <w:szCs w:val="22"/>
                <w:highlight w:val="none"/>
                <w:lang w:val="en-US" w:eastAsia="zh-CN"/>
              </w:rPr>
            </w:pPr>
            <w:r>
              <w:rPr>
                <w:rFonts w:hint="eastAsia" w:ascii="宋体" w:hAnsi="宋体" w:eastAsia="宋体" w:cs="宋体"/>
                <w:sz w:val="22"/>
                <w:szCs w:val="22"/>
                <w:highlight w:val="none"/>
                <w:lang w:val="en-US" w:eastAsia="zh-CN"/>
              </w:rPr>
              <w:t>输出方式：支持RS485接口</w:t>
            </w:r>
          </w:p>
          <w:p>
            <w:pPr>
              <w:keepNext w:val="0"/>
              <w:keepLines w:val="0"/>
              <w:pageBreakBefore w:val="0"/>
              <w:widowControl w:val="0"/>
              <w:numPr>
                <w:ilvl w:val="0"/>
                <w:numId w:val="50"/>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cs="宋体"/>
                <w:sz w:val="22"/>
                <w:szCs w:val="22"/>
                <w:highlight w:val="none"/>
                <w:lang w:val="en-US" w:eastAsia="zh-CN"/>
              </w:rPr>
            </w:pPr>
            <w:r>
              <w:rPr>
                <w:rFonts w:hint="eastAsia" w:ascii="宋体" w:hAnsi="宋体" w:eastAsia="宋体" w:cs="宋体"/>
                <w:sz w:val="22"/>
                <w:szCs w:val="22"/>
                <w:highlight w:val="none"/>
                <w:lang w:val="en-US" w:eastAsia="zh-CN"/>
              </w:rPr>
              <w:t>★测量误差：国家准确度标准Ⅱ级，误差范围≤±3%；</w:t>
            </w:r>
            <w:r>
              <w:rPr>
                <w:rFonts w:hint="eastAsia" w:ascii="宋体" w:hAnsi="宋体" w:eastAsia="宋体" w:cs="宋体"/>
                <w:b/>
                <w:bCs/>
                <w:sz w:val="22"/>
                <w:szCs w:val="22"/>
                <w:highlight w:val="none"/>
                <w:lang w:val="en-US" w:eastAsia="zh-CN"/>
              </w:rPr>
              <w:t>（提供国家认可的第三方检测机构出具的带CMA或CNAS标志的检测报告佐证）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cs="宋体"/>
                <w:sz w:val="22"/>
                <w:szCs w:val="22"/>
                <w:highlight w:val="none"/>
                <w:lang w:val="en-US" w:eastAsia="zh-CN"/>
              </w:rPr>
            </w:pPr>
            <w:r>
              <w:rPr>
                <w:rFonts w:hint="eastAsia" w:ascii="宋体" w:hAnsi="宋体" w:eastAsia="宋体" w:cs="宋体"/>
                <w:kern w:val="2"/>
                <w:sz w:val="22"/>
                <w:szCs w:val="22"/>
                <w:highlight w:val="none"/>
                <w:lang w:val="en-US" w:eastAsia="zh-CN" w:bidi="ar-SA"/>
              </w:rPr>
              <w:t>10．</w:t>
            </w:r>
            <w:r>
              <w:rPr>
                <w:rFonts w:hint="eastAsia" w:ascii="宋体" w:hAnsi="宋体" w:eastAsia="宋体" w:cs="宋体"/>
                <w:sz w:val="22"/>
                <w:szCs w:val="22"/>
                <w:highlight w:val="none"/>
                <w:lang w:val="en-US" w:eastAsia="zh-CN"/>
              </w:rPr>
              <w:t>防雷、接地安装。</w:t>
            </w:r>
          </w:p>
        </w:tc>
        <w:tc>
          <w:tcPr>
            <w:tcW w:w="75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3套</w:t>
            </w:r>
          </w:p>
        </w:tc>
        <w:tc>
          <w:tcPr>
            <w:tcW w:w="106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含3年数据服务</w:t>
            </w:r>
          </w:p>
        </w:tc>
      </w:tr>
    </w:tbl>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highlight w:val="none"/>
          <w:lang w:val="en-US" w:eastAsia="zh-CN"/>
        </w:rPr>
      </w:pPr>
      <w:bookmarkStart w:id="241" w:name="_Toc26964"/>
      <w:bookmarkStart w:id="242" w:name="_Toc1314"/>
      <w:bookmarkStart w:id="243" w:name="_Toc3505"/>
      <w:bookmarkStart w:id="244" w:name="_Toc29415"/>
      <w:bookmarkStart w:id="245" w:name="_Toc30072"/>
      <w:bookmarkStart w:id="246" w:name="_Toc31525"/>
      <w:bookmarkStart w:id="247" w:name="_Toc16874"/>
      <w:bookmarkStart w:id="248" w:name="_Toc31749"/>
      <w:bookmarkStart w:id="249" w:name="_Toc25467"/>
      <w:bookmarkStart w:id="250" w:name="_Toc30543"/>
      <w:bookmarkStart w:id="251" w:name="_Toc28454"/>
      <w:r>
        <w:rPr>
          <w:rFonts w:hint="eastAsia" w:ascii="宋体" w:hAnsi="宋体" w:eastAsia="宋体" w:cs="宋体"/>
          <w:b/>
          <w:bCs/>
          <w:sz w:val="22"/>
          <w:szCs w:val="22"/>
          <w:highlight w:val="none"/>
          <w:lang w:val="en-US" w:eastAsia="zh-CN"/>
        </w:rPr>
        <w:t>1.4单兵设备</w:t>
      </w:r>
      <w:bookmarkEnd w:id="241"/>
      <w:bookmarkEnd w:id="242"/>
      <w:bookmarkEnd w:id="243"/>
      <w:bookmarkEnd w:id="244"/>
      <w:bookmarkEnd w:id="245"/>
      <w:bookmarkEnd w:id="246"/>
      <w:bookmarkEnd w:id="247"/>
      <w:bookmarkEnd w:id="248"/>
      <w:bookmarkEnd w:id="249"/>
      <w:bookmarkEnd w:id="250"/>
      <w:bookmarkEnd w:id="251"/>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本项目防汛可视化指挥涉及对应的单兵设备使用和接入，因此需要结合实际 需要建设对应的设备，本项目计划采购2台单兵设备，并按照智慧排水平台要求接入相关数据信息，以满足防汛 可视化指挥需要。</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支持以地图形式显示单兵设备的空间分布，支持查看设备信息。</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支持通过采集设备监测数据，系统能够实时显示当前位置及设备状态，包括网络数据连接情况（正常/中断）、信号强度等。</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支持提供数据查询功能，用户可查看人员在不同时间段的位置情况及行动轨迹。</w:t>
      </w:r>
    </w:p>
    <w:p>
      <w:pPr>
        <w:pStyle w:val="62"/>
        <w:spacing w:line="360" w:lineRule="auto"/>
        <w:rPr>
          <w:rFonts w:hint="eastAsia" w:ascii="宋体" w:hAnsi="宋体" w:cs="宋体"/>
          <w:sz w:val="22"/>
          <w:szCs w:val="22"/>
          <w:highlight w:val="none"/>
        </w:rPr>
      </w:pPr>
      <w:r>
        <w:rPr>
          <w:rFonts w:hint="eastAsia" w:ascii="宋体" w:hAnsi="宋体" w:eastAsia="宋体" w:cs="宋体"/>
          <w:sz w:val="22"/>
          <w:szCs w:val="22"/>
          <w:highlight w:val="none"/>
          <w:lang w:val="en-US" w:eastAsia="zh-CN"/>
        </w:rPr>
        <w:t>相关设备参考参数如下：</w:t>
      </w:r>
    </w:p>
    <w:tbl>
      <w:tblPr>
        <w:tblStyle w:val="6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2"/>
        <w:gridCol w:w="6645"/>
        <w:gridCol w:w="878"/>
        <w:gridCol w:w="1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名称</w:t>
            </w:r>
          </w:p>
        </w:tc>
        <w:tc>
          <w:tcPr>
            <w:tcW w:w="5747"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内容参数</w:t>
            </w:r>
          </w:p>
        </w:tc>
        <w:tc>
          <w:tcPr>
            <w:tcW w:w="759"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数量</w:t>
            </w:r>
          </w:p>
        </w:tc>
        <w:tc>
          <w:tcPr>
            <w:tcW w:w="1063"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单兵设备</w:t>
            </w:r>
          </w:p>
        </w:tc>
        <w:tc>
          <w:tcPr>
            <w:tcW w:w="5747" w:type="dxa"/>
            <w:noWrap w:val="0"/>
            <w:vAlign w:val="top"/>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1、★防护等级：设备防爆等级不低于本安防爆：Ex ib ⅡC T4 Gb，防护等级不低于IP68；</w:t>
            </w:r>
            <w:r>
              <w:rPr>
                <w:rFonts w:hint="eastAsia" w:ascii="宋体" w:hAnsi="宋体" w:eastAsia="宋体" w:cs="宋体"/>
                <w:b/>
                <w:bCs/>
                <w:sz w:val="22"/>
                <w:szCs w:val="22"/>
                <w:highlight w:val="none"/>
                <w:lang w:val="en-US" w:eastAsia="zh-CN"/>
              </w:rPr>
              <w:t>（提供国家认可的第三方检测机构出具的带CMA或CNAS标志的检测报告佐证）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2、网络通讯：支持4G/5G无线通信传输；</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3、★红外夜视：支持自动切换红外夜视功能；</w:t>
            </w:r>
            <w:r>
              <w:rPr>
                <w:rFonts w:hint="eastAsia" w:ascii="宋体" w:hAnsi="宋体" w:eastAsia="宋体" w:cs="宋体"/>
                <w:b/>
                <w:bCs/>
                <w:sz w:val="22"/>
                <w:szCs w:val="22"/>
                <w:highlight w:val="none"/>
                <w:lang w:val="en-US" w:eastAsia="zh-CN"/>
              </w:rPr>
              <w:t>（提供国家认可的第三方检测机构出具的带CMA或CNAS标志的检测报告佐证）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4、卫星定位：GPS /北斗；</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5、续航时间：待机≥24小时，持续使用时间≥5小时，可更换电池；</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6、存储：设备出厂内置存储容量≥64GB，内存可扩展至512GB；</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7、设备：设备硬件接口应支持MicroUsb、MiniUsb或Type-C接口；具备2路摄像头、主摄像头应不小于1300W像素，副摄像头应不小于500W像素；</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8、视频：视频画面带名称和时间标准，名称支持自定义；支持2K分辨率，超大广角高保真效果并支持高清网传；编码格式支持H.265；</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9、音频：音频通讯具备回音抑制功能；降噪能力可满足风雨嘈杂环境下的全双工清晰流畅通话；</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10、具有以时间等方式浏览和回放本机存储的视音频、音频、照片等信息的功能；</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11、具有PTT对讲，一键录像，一键SOS，一键拍照，一键录音等功能；</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12.★产品资质要求（通过国家强制性产品（3C）认证、获得工业和信息化部电信设备进网试用许可（入网许可）、获得工业和信息化部无线电发射设备型号核准证）</w:t>
            </w:r>
            <w:r>
              <w:rPr>
                <w:rFonts w:hint="eastAsia" w:ascii="宋体" w:hAnsi="宋体" w:eastAsia="宋体" w:cs="宋体"/>
                <w:b/>
                <w:bCs/>
                <w:sz w:val="22"/>
                <w:szCs w:val="22"/>
                <w:highlight w:val="none"/>
                <w:lang w:val="en-US" w:eastAsia="zh-CN"/>
              </w:rPr>
              <w:t>（提供相关证明文件并加盖厂家公章佐证）</w:t>
            </w:r>
          </w:p>
        </w:tc>
        <w:tc>
          <w:tcPr>
            <w:tcW w:w="75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2套</w:t>
            </w:r>
          </w:p>
        </w:tc>
        <w:tc>
          <w:tcPr>
            <w:tcW w:w="106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含3年数据服务</w:t>
            </w:r>
          </w:p>
        </w:tc>
      </w:tr>
    </w:tbl>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highlight w:val="none"/>
          <w:lang w:val="en-US" w:eastAsia="zh-CN"/>
        </w:rPr>
      </w:pPr>
      <w:bookmarkStart w:id="252" w:name="_Toc22586"/>
      <w:bookmarkStart w:id="253" w:name="_Toc16169"/>
      <w:bookmarkStart w:id="254" w:name="_Toc23573"/>
      <w:bookmarkStart w:id="255" w:name="_Toc15609"/>
      <w:bookmarkStart w:id="256" w:name="_Toc28751"/>
      <w:bookmarkStart w:id="257" w:name="_Toc26137"/>
      <w:bookmarkStart w:id="258" w:name="_Toc12794"/>
      <w:bookmarkStart w:id="259" w:name="_Toc9248"/>
      <w:bookmarkStart w:id="260" w:name="_Toc28430"/>
      <w:bookmarkStart w:id="261" w:name="_Toc2152"/>
      <w:bookmarkStart w:id="262" w:name="_Toc25402"/>
      <w:r>
        <w:rPr>
          <w:rFonts w:hint="eastAsia" w:ascii="宋体" w:hAnsi="宋体" w:eastAsia="宋体" w:cs="宋体"/>
          <w:b/>
          <w:bCs/>
          <w:sz w:val="22"/>
          <w:szCs w:val="22"/>
          <w:highlight w:val="none"/>
          <w:lang w:val="en-US" w:eastAsia="zh-CN"/>
        </w:rPr>
        <w:t>1.5车辆GPS实时监测</w:t>
      </w:r>
      <w:bookmarkEnd w:id="252"/>
      <w:bookmarkEnd w:id="253"/>
      <w:bookmarkEnd w:id="254"/>
      <w:bookmarkEnd w:id="255"/>
      <w:bookmarkEnd w:id="256"/>
      <w:bookmarkEnd w:id="257"/>
      <w:bookmarkEnd w:id="258"/>
      <w:bookmarkEnd w:id="259"/>
      <w:bookmarkEnd w:id="260"/>
      <w:r>
        <w:rPr>
          <w:rFonts w:hint="eastAsia" w:ascii="宋体" w:hAnsi="宋体" w:eastAsia="宋体" w:cs="宋体"/>
          <w:b/>
          <w:bCs/>
          <w:sz w:val="22"/>
          <w:szCs w:val="22"/>
          <w:highlight w:val="none"/>
          <w:lang w:val="en-US" w:eastAsia="zh-CN"/>
        </w:rPr>
        <w:t>设备</w:t>
      </w:r>
      <w:bookmarkEnd w:id="261"/>
      <w:bookmarkEnd w:id="262"/>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本项目防汛可视化指挥和维养监管涉及对应的车载GPS定位设备使用和接入，因此需要结合实际需要建设对应的设备，计划采购4台车辆的GPS设备，并按照智慧排水平台要求接入相关数据信息系统。</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支持以地图形式显示车辆的空间分布。</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支持通过获取GPS设备数据，系统能够实时显示4辆防汛车辆的位置，并同步GPS设备的运行工况，包括网络数据连接情况（正常/中断）、电源状态、信号强度等。</w:t>
      </w:r>
    </w:p>
    <w:p>
      <w:pPr>
        <w:bidi w:val="0"/>
        <w:spacing w:line="360" w:lineRule="auto"/>
        <w:ind w:firstLine="420" w:firstLineChars="0"/>
        <w:rPr>
          <w:rFonts w:hint="eastAsia" w:ascii="宋体" w:hAnsi="宋体" w:cs="宋体"/>
          <w:sz w:val="22"/>
          <w:szCs w:val="22"/>
          <w:highlight w:val="none"/>
          <w:lang w:val="en-US" w:eastAsia="zh-CN"/>
        </w:rPr>
      </w:pPr>
      <w:r>
        <w:rPr>
          <w:rFonts w:hint="eastAsia" w:ascii="宋体" w:hAnsi="宋体" w:eastAsia="宋体" w:cs="宋体"/>
          <w:sz w:val="22"/>
          <w:szCs w:val="22"/>
          <w:highlight w:val="none"/>
          <w:lang w:val="en-US" w:eastAsia="zh-CN"/>
        </w:rPr>
        <w:t>支持系统提供数据查询功能，用户可对车辆在不同段的位置情况及行驶轨迹，以满足防汛可视化指挥和维养管理需要。</w:t>
      </w:r>
    </w:p>
    <w:p>
      <w:pPr>
        <w:pStyle w:val="62"/>
        <w:spacing w:line="360" w:lineRule="auto"/>
        <w:rPr>
          <w:rFonts w:hint="eastAsia" w:ascii="宋体" w:hAnsi="宋体" w:cs="宋体"/>
          <w:sz w:val="22"/>
          <w:szCs w:val="22"/>
          <w:highlight w:val="none"/>
        </w:rPr>
      </w:pPr>
      <w:r>
        <w:rPr>
          <w:rFonts w:hint="eastAsia" w:ascii="宋体" w:hAnsi="宋体" w:eastAsia="宋体" w:cs="宋体"/>
          <w:sz w:val="22"/>
          <w:szCs w:val="22"/>
          <w:highlight w:val="none"/>
          <w:lang w:val="en-US" w:eastAsia="zh-CN"/>
        </w:rPr>
        <w:t>相关设备参考参数如下：</w:t>
      </w:r>
    </w:p>
    <w:tbl>
      <w:tblPr>
        <w:tblStyle w:val="6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2"/>
        <w:gridCol w:w="6645"/>
        <w:gridCol w:w="878"/>
        <w:gridCol w:w="1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名称</w:t>
            </w:r>
          </w:p>
        </w:tc>
        <w:tc>
          <w:tcPr>
            <w:tcW w:w="5747"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内容参数</w:t>
            </w:r>
          </w:p>
        </w:tc>
        <w:tc>
          <w:tcPr>
            <w:tcW w:w="759"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数量</w:t>
            </w:r>
          </w:p>
        </w:tc>
        <w:tc>
          <w:tcPr>
            <w:tcW w:w="1063"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车载GPS设备</w:t>
            </w:r>
          </w:p>
        </w:tc>
        <w:tc>
          <w:tcPr>
            <w:tcW w:w="5747" w:type="dxa"/>
            <w:noWrap w:val="0"/>
            <w:vAlign w:val="top"/>
          </w:tcPr>
          <w:p>
            <w:pPr>
              <w:keepNext w:val="0"/>
              <w:keepLines w:val="0"/>
              <w:pageBreakBefore w:val="0"/>
              <w:widowControl w:val="0"/>
              <w:numPr>
                <w:ilvl w:val="0"/>
                <w:numId w:val="51"/>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工作电压：DC 9V-90V</w:t>
            </w:r>
          </w:p>
          <w:p>
            <w:pPr>
              <w:keepNext w:val="0"/>
              <w:keepLines w:val="0"/>
              <w:pageBreakBefore w:val="0"/>
              <w:widowControl w:val="0"/>
              <w:numPr>
                <w:ilvl w:val="0"/>
                <w:numId w:val="51"/>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工作温度范围 ：-20℃~+75℃</w:t>
            </w:r>
          </w:p>
          <w:p>
            <w:pPr>
              <w:keepNext w:val="0"/>
              <w:keepLines w:val="0"/>
              <w:pageBreakBefore w:val="0"/>
              <w:widowControl w:val="0"/>
              <w:numPr>
                <w:ilvl w:val="0"/>
                <w:numId w:val="51"/>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备用后备电池</w:t>
            </w:r>
          </w:p>
          <w:p>
            <w:pPr>
              <w:keepNext w:val="0"/>
              <w:keepLines w:val="0"/>
              <w:pageBreakBefore w:val="0"/>
              <w:widowControl w:val="0"/>
              <w:numPr>
                <w:ilvl w:val="0"/>
                <w:numId w:val="51"/>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定位方式： 北斗定位</w:t>
            </w:r>
          </w:p>
          <w:p>
            <w:pPr>
              <w:keepNext w:val="0"/>
              <w:keepLines w:val="0"/>
              <w:pageBreakBefore w:val="0"/>
              <w:widowControl w:val="0"/>
              <w:numPr>
                <w:ilvl w:val="0"/>
                <w:numId w:val="51"/>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定位误差： &lt;10m</w:t>
            </w:r>
          </w:p>
          <w:p>
            <w:pPr>
              <w:keepNext w:val="0"/>
              <w:keepLines w:val="0"/>
              <w:pageBreakBefore w:val="0"/>
              <w:widowControl w:val="0"/>
              <w:numPr>
                <w:ilvl w:val="0"/>
                <w:numId w:val="51"/>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 xml:space="preserve">通信网络： 4G/5G </w:t>
            </w:r>
          </w:p>
          <w:p>
            <w:pPr>
              <w:keepNext w:val="0"/>
              <w:keepLines w:val="0"/>
              <w:pageBreakBefore w:val="0"/>
              <w:widowControl w:val="0"/>
              <w:numPr>
                <w:ilvl w:val="0"/>
                <w:numId w:val="51"/>
              </w:numPr>
              <w:kinsoku/>
              <w:wordWrap/>
              <w:overflowPunct/>
              <w:topLinePunct w:val="0"/>
              <w:autoSpaceDE/>
              <w:autoSpaceDN/>
              <w:bidi w:val="0"/>
              <w:adjustRightInd/>
              <w:snapToGrid/>
              <w:spacing w:line="360" w:lineRule="auto"/>
              <w:ind w:firstLine="0" w:firstLineChars="0"/>
              <w:textAlignment w:val="auto"/>
              <w:rPr>
                <w:rFonts w:hint="eastAsia" w:ascii="宋体" w:hAnsi="宋体" w:cs="宋体"/>
                <w:sz w:val="22"/>
                <w:szCs w:val="22"/>
                <w:highlight w:val="none"/>
                <w:lang w:val="en-US" w:eastAsia="zh-CN"/>
              </w:rPr>
            </w:pPr>
            <w:r>
              <w:rPr>
                <w:rFonts w:hint="eastAsia" w:ascii="宋体" w:hAnsi="宋体" w:eastAsia="宋体" w:cs="宋体"/>
                <w:sz w:val="22"/>
                <w:szCs w:val="22"/>
                <w:highlight w:val="none"/>
                <w:lang w:val="en-US" w:eastAsia="zh-CN"/>
              </w:rPr>
              <w:t>网络通讯方式TCP</w:t>
            </w:r>
          </w:p>
        </w:tc>
        <w:tc>
          <w:tcPr>
            <w:tcW w:w="75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4套</w:t>
            </w:r>
          </w:p>
        </w:tc>
        <w:tc>
          <w:tcPr>
            <w:tcW w:w="106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含3年数据服务</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p>
        </w:tc>
      </w:tr>
    </w:tbl>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highlight w:val="none"/>
          <w:lang w:val="en-US" w:eastAsia="zh-CN"/>
        </w:rPr>
      </w:pPr>
      <w:bookmarkStart w:id="263" w:name="_Toc2465"/>
      <w:bookmarkStart w:id="264" w:name="_Toc25473"/>
      <w:bookmarkStart w:id="265" w:name="_Toc17843"/>
      <w:bookmarkStart w:id="266" w:name="_Toc10391"/>
      <w:bookmarkStart w:id="267" w:name="_Toc12954"/>
      <w:bookmarkStart w:id="268" w:name="_Toc21206"/>
      <w:bookmarkStart w:id="269" w:name="_Toc10832"/>
      <w:bookmarkStart w:id="270" w:name="_Toc15626"/>
      <w:bookmarkStart w:id="271" w:name="_Toc31522"/>
      <w:bookmarkStart w:id="272" w:name="_Toc21535"/>
      <w:bookmarkStart w:id="273" w:name="_Toc30490"/>
      <w:r>
        <w:rPr>
          <w:rFonts w:hint="eastAsia" w:ascii="宋体" w:hAnsi="宋体" w:eastAsia="宋体" w:cs="宋体"/>
          <w:b/>
          <w:bCs/>
          <w:sz w:val="22"/>
          <w:szCs w:val="22"/>
          <w:highlight w:val="none"/>
          <w:lang w:val="en-US" w:eastAsia="zh-CN"/>
        </w:rPr>
        <w:t>1.6井下液位实时监测</w:t>
      </w:r>
      <w:bookmarkEnd w:id="263"/>
      <w:bookmarkEnd w:id="264"/>
      <w:bookmarkEnd w:id="265"/>
      <w:bookmarkEnd w:id="266"/>
      <w:bookmarkEnd w:id="267"/>
      <w:bookmarkEnd w:id="268"/>
      <w:bookmarkEnd w:id="269"/>
      <w:bookmarkEnd w:id="270"/>
      <w:bookmarkEnd w:id="271"/>
      <w:r>
        <w:rPr>
          <w:rFonts w:hint="eastAsia" w:ascii="宋体" w:hAnsi="宋体" w:eastAsia="宋体" w:cs="宋体"/>
          <w:b/>
          <w:bCs/>
          <w:sz w:val="22"/>
          <w:szCs w:val="22"/>
          <w:highlight w:val="none"/>
          <w:lang w:val="en-US" w:eastAsia="zh-CN"/>
        </w:rPr>
        <w:t>设备</w:t>
      </w:r>
      <w:bookmarkEnd w:id="272"/>
      <w:bookmarkEnd w:id="273"/>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本项目将在洞头区排水管网布设井下液位监测设备，显示各窨井的液位高度，为污水管网及部分雨水管网的防偷排监管提供实时监测监控，并同步监测设备的运行工况，结合实际需要建设对应的设备，本项目计划采购10套井下液位计，并按照智慧排水平台要求接入相关数据信息，以满足防汛可视化指挥和维养管理需要。</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支持以地图形式显示监测设备的空间分布，并可查看设备信息。</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支持通过采集设备监测数据，系统能够实时显示各窨井的液位高度，并同步监测设备的运行状况，包括网络数据连接情况（正常/中断）、电源状态、信号强度等。</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支持提供数据功能，用户可查看窨井液位在不同时间段的实时变化趋势、水位报表等</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相关设备参考参数如下：</w:t>
      </w:r>
    </w:p>
    <w:tbl>
      <w:tblPr>
        <w:tblStyle w:val="6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2"/>
        <w:gridCol w:w="6645"/>
        <w:gridCol w:w="878"/>
        <w:gridCol w:w="1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名称</w:t>
            </w:r>
          </w:p>
        </w:tc>
        <w:tc>
          <w:tcPr>
            <w:tcW w:w="5747"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内容参数</w:t>
            </w:r>
          </w:p>
        </w:tc>
        <w:tc>
          <w:tcPr>
            <w:tcW w:w="759"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数量</w:t>
            </w:r>
          </w:p>
        </w:tc>
        <w:tc>
          <w:tcPr>
            <w:tcW w:w="1063"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pacing w:val="-1"/>
                <w:sz w:val="22"/>
                <w:szCs w:val="22"/>
                <w:highlight w:val="none"/>
                <w:vertAlign w:val="baseline"/>
                <w:lang w:eastAsia="zh-CN"/>
              </w:rPr>
            </w:pPr>
            <w:r>
              <w:rPr>
                <w:rFonts w:hint="eastAsia" w:ascii="宋体" w:hAnsi="宋体" w:eastAsia="宋体" w:cs="宋体"/>
                <w:spacing w:val="-1"/>
                <w:sz w:val="22"/>
                <w:szCs w:val="22"/>
                <w:highlight w:val="none"/>
                <w:vertAlign w:val="baseline"/>
                <w:lang w:val="en-US" w:eastAsia="zh-CN"/>
              </w:rPr>
              <w:t>井下液位计</w:t>
            </w:r>
          </w:p>
        </w:tc>
        <w:tc>
          <w:tcPr>
            <w:tcW w:w="5747" w:type="dxa"/>
            <w:noWrap w:val="0"/>
            <w:vAlign w:val="top"/>
          </w:tcPr>
          <w:p>
            <w:pPr>
              <w:keepNext w:val="0"/>
              <w:keepLines w:val="0"/>
              <w:pageBreakBefore w:val="0"/>
              <w:widowControl w:val="0"/>
              <w:numPr>
                <w:ilvl w:val="0"/>
                <w:numId w:val="52"/>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具有水位、水浸、温度、电量等监测指标；</w:t>
            </w:r>
          </w:p>
          <w:p>
            <w:pPr>
              <w:keepNext w:val="0"/>
              <w:keepLines w:val="0"/>
              <w:pageBreakBefore w:val="0"/>
              <w:widowControl w:val="0"/>
              <w:numPr>
                <w:ilvl w:val="0"/>
                <w:numId w:val="52"/>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工作温度-20℃～80℃；</w:t>
            </w:r>
          </w:p>
          <w:p>
            <w:pPr>
              <w:keepNext w:val="0"/>
              <w:keepLines w:val="0"/>
              <w:pageBreakBefore w:val="0"/>
              <w:widowControl w:val="0"/>
              <w:numPr>
                <w:ilvl w:val="0"/>
                <w:numId w:val="52"/>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测量范围：不低于10m ，精度＜±0.5%FS；</w:t>
            </w:r>
          </w:p>
          <w:p>
            <w:pPr>
              <w:keepNext w:val="0"/>
              <w:keepLines w:val="0"/>
              <w:pageBreakBefore w:val="0"/>
              <w:widowControl w:val="0"/>
              <w:numPr>
                <w:ilvl w:val="0"/>
                <w:numId w:val="52"/>
              </w:numPr>
              <w:kinsoku/>
              <w:wordWrap/>
              <w:overflowPunct/>
              <w:topLinePunct w:val="0"/>
              <w:autoSpaceDE/>
              <w:autoSpaceDN/>
              <w:bidi w:val="0"/>
              <w:adjustRightInd/>
              <w:snapToGrid/>
              <w:spacing w:line="360" w:lineRule="auto"/>
              <w:ind w:firstLine="0" w:firstLineChars="0"/>
              <w:textAlignment w:val="auto"/>
              <w:rPr>
                <w:rFonts w:hint="eastAsia" w:ascii="宋体" w:hAnsi="宋体" w:cs="宋体"/>
                <w:sz w:val="22"/>
                <w:szCs w:val="22"/>
                <w:highlight w:val="none"/>
                <w:lang w:val="en-US" w:eastAsia="zh-CN"/>
              </w:rPr>
            </w:pPr>
            <w:r>
              <w:rPr>
                <w:rFonts w:hint="eastAsia" w:ascii="宋体" w:hAnsi="宋体" w:eastAsia="宋体" w:cs="宋体"/>
                <w:sz w:val="22"/>
                <w:szCs w:val="22"/>
                <w:highlight w:val="none"/>
                <w:lang w:val="en-US" w:eastAsia="zh-CN"/>
              </w:rPr>
              <w:t>采用内置锂电池供电，连续使用三年以上，具备电池异常报警功能；</w:t>
            </w:r>
          </w:p>
          <w:p>
            <w:pPr>
              <w:keepNext w:val="0"/>
              <w:keepLines w:val="0"/>
              <w:pageBreakBefore w:val="0"/>
              <w:widowControl w:val="0"/>
              <w:numPr>
                <w:ilvl w:val="0"/>
                <w:numId w:val="52"/>
              </w:numPr>
              <w:kinsoku/>
              <w:wordWrap/>
              <w:overflowPunct/>
              <w:topLinePunct w:val="0"/>
              <w:autoSpaceDE/>
              <w:autoSpaceDN/>
              <w:bidi w:val="0"/>
              <w:adjustRightInd/>
              <w:snapToGrid/>
              <w:spacing w:line="360" w:lineRule="auto"/>
              <w:ind w:firstLine="0" w:firstLineChars="0"/>
              <w:textAlignment w:val="auto"/>
              <w:rPr>
                <w:rFonts w:hint="eastAsia" w:ascii="宋体" w:hAnsi="宋体" w:cs="宋体"/>
                <w:sz w:val="22"/>
                <w:szCs w:val="22"/>
                <w:highlight w:val="none"/>
                <w:lang w:val="en-US" w:eastAsia="zh-CN"/>
              </w:rPr>
            </w:pPr>
            <w:r>
              <w:rPr>
                <w:rFonts w:hint="eastAsia" w:ascii="宋体" w:hAnsi="宋体" w:eastAsia="宋体" w:cs="宋体"/>
                <w:sz w:val="22"/>
                <w:szCs w:val="22"/>
                <w:highlight w:val="none"/>
                <w:lang w:val="en-US" w:eastAsia="zh-CN"/>
              </w:rPr>
              <w:t>支持4G或NB-IoT或LORA通信传输能力；</w:t>
            </w:r>
          </w:p>
          <w:p>
            <w:pPr>
              <w:keepNext w:val="0"/>
              <w:keepLines w:val="0"/>
              <w:pageBreakBefore w:val="0"/>
              <w:widowControl w:val="0"/>
              <w:numPr>
                <w:ilvl w:val="0"/>
                <w:numId w:val="52"/>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★内置≥80MHz主频微处理器和≥256MFlash国产存储芯片。可存储≥120万条数据，可以通过存储芯片取出数据达到存储效果；</w:t>
            </w:r>
          </w:p>
          <w:p>
            <w:pPr>
              <w:keepNext w:val="0"/>
              <w:keepLines w:val="0"/>
              <w:pageBreakBefore w:val="0"/>
              <w:widowControl w:val="0"/>
              <w:numPr>
                <w:ilvl w:val="0"/>
                <w:numId w:val="52"/>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可通过蓝牙或NFC等短距离无线模块，直连设备进行参数配置和设备调试；具有远程访问读取、远程管理和远程维护等功能；</w:t>
            </w:r>
          </w:p>
          <w:p>
            <w:pPr>
              <w:keepNext w:val="0"/>
              <w:keepLines w:val="0"/>
              <w:pageBreakBefore w:val="0"/>
              <w:widowControl w:val="0"/>
              <w:numPr>
                <w:ilvl w:val="0"/>
                <w:numId w:val="52"/>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★等级防护≧IP68，</w:t>
            </w:r>
            <w:r>
              <w:rPr>
                <w:rFonts w:hint="eastAsia" w:ascii="宋体" w:hAnsi="宋体" w:eastAsia="宋体" w:cs="宋体"/>
                <w:sz w:val="22"/>
                <w:szCs w:val="22"/>
                <w:highlight w:val="none"/>
              </w:rPr>
              <w:t>高低温循环冲击测试</w:t>
            </w:r>
            <w:r>
              <w:rPr>
                <w:rFonts w:hint="eastAsia" w:ascii="宋体" w:hAnsi="宋体" w:eastAsia="宋体" w:cs="宋体"/>
                <w:sz w:val="22"/>
                <w:szCs w:val="22"/>
                <w:highlight w:val="none"/>
                <w:lang w:val="en-US" w:eastAsia="zh-CN"/>
              </w:rPr>
              <w:t>高温</w:t>
            </w:r>
            <w:r>
              <w:rPr>
                <w:rFonts w:hint="eastAsia" w:ascii="宋体" w:hAnsi="宋体" w:eastAsia="宋体" w:cs="宋体"/>
                <w:sz w:val="22"/>
                <w:szCs w:val="22"/>
                <w:highlight w:val="none"/>
              </w:rPr>
              <w:t>80℃，低温-40℃，间隔时间1分钟；循环次数</w:t>
            </w:r>
            <w:r>
              <w:rPr>
                <w:rFonts w:hint="eastAsia" w:ascii="宋体" w:hAnsi="宋体" w:eastAsia="宋体" w:cs="宋体"/>
                <w:sz w:val="22"/>
                <w:szCs w:val="22"/>
                <w:highlight w:val="none"/>
                <w:lang w:val="en-US" w:eastAsia="zh-CN"/>
              </w:rPr>
              <w:t>≥</w:t>
            </w:r>
            <w:r>
              <w:rPr>
                <w:rFonts w:hint="eastAsia" w:ascii="宋体" w:hAnsi="宋体" w:eastAsia="宋体" w:cs="宋体"/>
                <w:sz w:val="22"/>
                <w:szCs w:val="22"/>
                <w:highlight w:val="none"/>
                <w:lang w:eastAsia="zh-CN"/>
              </w:rPr>
              <w:t>1</w:t>
            </w:r>
            <w:r>
              <w:rPr>
                <w:rFonts w:hint="eastAsia" w:ascii="宋体" w:hAnsi="宋体" w:eastAsia="宋体" w:cs="宋体"/>
                <w:sz w:val="22"/>
                <w:szCs w:val="22"/>
                <w:highlight w:val="none"/>
              </w:rPr>
              <w:t>0次</w:t>
            </w:r>
            <w:r>
              <w:rPr>
                <w:rFonts w:hint="eastAsia" w:ascii="宋体" w:hAnsi="宋体" w:eastAsia="宋体" w:cs="宋体"/>
                <w:sz w:val="22"/>
                <w:szCs w:val="22"/>
                <w:highlight w:val="none"/>
                <w:lang w:val="en-US" w:eastAsia="zh-CN"/>
              </w:rPr>
              <w:t>；</w:t>
            </w:r>
          </w:p>
          <w:p>
            <w:pPr>
              <w:keepNext w:val="0"/>
              <w:keepLines w:val="0"/>
              <w:pageBreakBefore w:val="0"/>
              <w:widowControl w:val="0"/>
              <w:numPr>
                <w:ilvl w:val="0"/>
                <w:numId w:val="52"/>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★内置电压、电量采集模块，具备低电量报警功能。每笔数据报文含电压、电量信息，支持低电压报警；</w:t>
            </w:r>
          </w:p>
          <w:p>
            <w:pPr>
              <w:keepNext w:val="0"/>
              <w:keepLines w:val="0"/>
              <w:pageBreakBefore w:val="0"/>
              <w:widowControl w:val="0"/>
              <w:numPr>
                <w:ilvl w:val="0"/>
                <w:numId w:val="52"/>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前置水位传感支持设备下方水位实时测量，后置压力式水位传感器支持设备上方水位实时测量，水位分层自适应切换测量技术，具备排水管网和窨井溢满水位监测能力；前置水位传感采用雷达水位监测技术，标称分辨率≤1mm，方向角≤ 3°；后置压力式水位测量传感器测量范围为0-200kPa；</w:t>
            </w:r>
          </w:p>
          <w:p>
            <w:pPr>
              <w:keepNext w:val="0"/>
              <w:keepLines w:val="0"/>
              <w:pageBreakBefore w:val="0"/>
              <w:widowControl w:val="0"/>
              <w:numPr>
                <w:ilvl w:val="0"/>
                <w:numId w:val="52"/>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★内置锂亚电池的容量≥150000mAH，具有低功耗设计，工作平均功耗≤1.7mW，平均待机功耗≤0.21mW，平均待机电流≤40μA；</w:t>
            </w:r>
          </w:p>
          <w:p>
            <w:pPr>
              <w:keepNext w:val="0"/>
              <w:keepLines w:val="0"/>
              <w:pageBreakBefore w:val="0"/>
              <w:widowControl w:val="0"/>
              <w:numPr>
                <w:ilvl w:val="0"/>
                <w:numId w:val="52"/>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支持监测设备被异动或破坏等异常时能够进行上报告警；</w:t>
            </w:r>
          </w:p>
          <w:p>
            <w:pPr>
              <w:keepNext w:val="0"/>
              <w:keepLines w:val="0"/>
              <w:pageBreakBefore w:val="0"/>
              <w:widowControl w:val="0"/>
              <w:numPr>
                <w:ilvl w:val="0"/>
                <w:numId w:val="52"/>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当信号不稳定或断网影响传输时，正常储存监测数据，当信号恢复正常时可自动续传中断期间的历史数据，保障数据连续性；</w:t>
            </w:r>
          </w:p>
          <w:p>
            <w:pPr>
              <w:keepNext w:val="0"/>
              <w:keepLines w:val="0"/>
              <w:pageBreakBefore w:val="0"/>
              <w:widowControl w:val="0"/>
              <w:numPr>
                <w:ilvl w:val="0"/>
                <w:numId w:val="52"/>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★设备具备国产芯片级底层数据安全加密防御能力。国产芯片根据输入的标识参数和内部产生的真随机数，共同生成随机动态的会话密钥，对明文数据进行加密；</w:t>
            </w:r>
          </w:p>
          <w:p>
            <w:pPr>
              <w:keepNext w:val="0"/>
              <w:keepLines w:val="0"/>
              <w:pageBreakBefore w:val="0"/>
              <w:widowControl w:val="0"/>
              <w:numPr>
                <w:ilvl w:val="0"/>
                <w:numId w:val="52"/>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★可通过服务器远程授时自动获取时间戳数据，具备输出分辨率≤1s的时间同步能力；</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0"/>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b/>
                <w:bCs/>
                <w:sz w:val="22"/>
                <w:szCs w:val="22"/>
                <w:highlight w:val="none"/>
                <w:lang w:val="en-US" w:eastAsia="zh-CN"/>
              </w:rPr>
              <w:t>（以上标★项，提供国家认可的第三方检测机构出具的带CMA或CNAS标志的检测报告佐证）</w:t>
            </w:r>
          </w:p>
        </w:tc>
        <w:tc>
          <w:tcPr>
            <w:tcW w:w="75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pacing w:val="-1"/>
                <w:sz w:val="22"/>
                <w:szCs w:val="22"/>
                <w:highlight w:val="none"/>
                <w:vertAlign w:val="baseline"/>
                <w:lang w:val="en-US" w:eastAsia="zh-CN"/>
              </w:rPr>
            </w:pPr>
            <w:r>
              <w:rPr>
                <w:rFonts w:hint="eastAsia" w:ascii="宋体" w:hAnsi="宋体" w:eastAsia="宋体" w:cs="宋体"/>
                <w:spacing w:val="-1"/>
                <w:sz w:val="22"/>
                <w:szCs w:val="22"/>
                <w:highlight w:val="none"/>
                <w:vertAlign w:val="baseline"/>
                <w:lang w:val="en-US" w:eastAsia="zh-CN"/>
              </w:rPr>
              <w:t>10套</w:t>
            </w:r>
          </w:p>
        </w:tc>
        <w:tc>
          <w:tcPr>
            <w:tcW w:w="106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pacing w:val="-1"/>
                <w:sz w:val="22"/>
                <w:szCs w:val="22"/>
                <w:highlight w:val="none"/>
                <w:vertAlign w:val="baseline"/>
                <w:lang w:val="en-US" w:eastAsia="zh-CN"/>
              </w:rPr>
            </w:pPr>
            <w:r>
              <w:rPr>
                <w:rFonts w:hint="eastAsia" w:ascii="宋体" w:hAnsi="宋体" w:eastAsia="宋体" w:cs="宋体"/>
                <w:spacing w:val="-1"/>
                <w:sz w:val="22"/>
                <w:szCs w:val="22"/>
                <w:highlight w:val="none"/>
                <w:vertAlign w:val="baseline"/>
                <w:lang w:val="en-US" w:eastAsia="zh-CN"/>
              </w:rPr>
              <w:t>含3年数据服务</w:t>
            </w:r>
          </w:p>
        </w:tc>
      </w:tr>
    </w:tbl>
    <w:p>
      <w:pPr>
        <w:pStyle w:val="62"/>
        <w:spacing w:line="360" w:lineRule="auto"/>
        <w:rPr>
          <w:rFonts w:hint="eastAsia" w:ascii="宋体" w:hAnsi="宋体" w:cs="宋体"/>
          <w:sz w:val="22"/>
          <w:szCs w:val="22"/>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highlight w:val="none"/>
          <w:lang w:val="en-US" w:eastAsia="zh-CN"/>
        </w:rPr>
      </w:pPr>
      <w:bookmarkStart w:id="274" w:name="_Toc1261"/>
      <w:bookmarkStart w:id="275" w:name="_Toc16431"/>
      <w:bookmarkStart w:id="276" w:name="_Toc12909"/>
      <w:bookmarkStart w:id="277" w:name="_Toc23220"/>
      <w:bookmarkStart w:id="278" w:name="_Toc18390"/>
      <w:bookmarkStart w:id="279" w:name="_Toc21558"/>
      <w:bookmarkStart w:id="280" w:name="_Toc12458"/>
      <w:bookmarkStart w:id="281" w:name="_Toc19257"/>
      <w:bookmarkStart w:id="282" w:name="_Toc8245"/>
      <w:bookmarkStart w:id="283" w:name="_Toc10899"/>
      <w:bookmarkStart w:id="284" w:name="_Toc9073"/>
      <w:r>
        <w:rPr>
          <w:rFonts w:hint="eastAsia" w:ascii="宋体" w:hAnsi="宋体" w:eastAsia="宋体" w:cs="宋体"/>
          <w:b/>
          <w:bCs/>
          <w:sz w:val="22"/>
          <w:szCs w:val="22"/>
          <w:highlight w:val="none"/>
          <w:lang w:val="en-US" w:eastAsia="zh-CN"/>
        </w:rPr>
        <w:t>1.7管网流量实时监测</w:t>
      </w:r>
      <w:bookmarkEnd w:id="274"/>
      <w:bookmarkEnd w:id="275"/>
      <w:bookmarkEnd w:id="276"/>
      <w:bookmarkEnd w:id="277"/>
      <w:bookmarkEnd w:id="278"/>
      <w:bookmarkEnd w:id="279"/>
      <w:bookmarkEnd w:id="280"/>
      <w:bookmarkEnd w:id="281"/>
      <w:bookmarkEnd w:id="282"/>
      <w:r>
        <w:rPr>
          <w:rFonts w:hint="eastAsia" w:ascii="宋体" w:hAnsi="宋体" w:eastAsia="宋体" w:cs="宋体"/>
          <w:b/>
          <w:bCs/>
          <w:sz w:val="22"/>
          <w:szCs w:val="22"/>
          <w:highlight w:val="none"/>
          <w:lang w:val="en-US" w:eastAsia="zh-CN"/>
        </w:rPr>
        <w:t>设备</w:t>
      </w:r>
      <w:bookmarkEnd w:id="283"/>
      <w:bookmarkEnd w:id="284"/>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本项目将在洞头区排水管网布设管网流量监测设备，监测管网内排水是否正常，结合实际需要建设对应的设备，本项目计划采购2套管网流量监测设备，并按照智慧排水平台要求接入相关数据信息，以满足防汛可视化指挥和维养管理需要。</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系统支持以地图形式显示监测设备的空间分布，并查看设备内容。</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支持通过采集设备监测数据，系统能够显示各管网监测设备的瞬时流量和累计流量情况、数据连接情况（正常/中断）、电源状态、信号强度等，并同步监测设备的运行工况。</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支持提供数据功能，用户可查看管网不同时间段的流量变化趋势、报表等。</w:t>
      </w:r>
    </w:p>
    <w:p>
      <w:pPr>
        <w:pStyle w:val="62"/>
        <w:spacing w:line="360" w:lineRule="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设备参考参数如下：</w:t>
      </w:r>
    </w:p>
    <w:tbl>
      <w:tblPr>
        <w:tblStyle w:val="6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2"/>
        <w:gridCol w:w="6645"/>
        <w:gridCol w:w="878"/>
        <w:gridCol w:w="1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名称</w:t>
            </w:r>
          </w:p>
        </w:tc>
        <w:tc>
          <w:tcPr>
            <w:tcW w:w="5747"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内容参数</w:t>
            </w:r>
          </w:p>
        </w:tc>
        <w:tc>
          <w:tcPr>
            <w:tcW w:w="759"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数量</w:t>
            </w:r>
          </w:p>
        </w:tc>
        <w:tc>
          <w:tcPr>
            <w:tcW w:w="1063"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管网流量监测</w:t>
            </w:r>
          </w:p>
        </w:tc>
        <w:tc>
          <w:tcPr>
            <w:tcW w:w="5747" w:type="dxa"/>
            <w:noWrap w:val="0"/>
            <w:vAlign w:val="top"/>
          </w:tcPr>
          <w:p>
            <w:pPr>
              <w:keepNext w:val="0"/>
              <w:keepLines w:val="0"/>
              <w:pageBreakBefore w:val="0"/>
              <w:widowControl w:val="0"/>
              <w:numPr>
                <w:ilvl w:val="0"/>
                <w:numId w:val="53"/>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满足满管、非满管工况的流量测量；</w:t>
            </w:r>
          </w:p>
          <w:p>
            <w:pPr>
              <w:keepNext w:val="0"/>
              <w:keepLines w:val="0"/>
              <w:pageBreakBefore w:val="0"/>
              <w:widowControl w:val="0"/>
              <w:numPr>
                <w:ilvl w:val="0"/>
                <w:numId w:val="53"/>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等级防护≧IP68；</w:t>
            </w:r>
          </w:p>
          <w:p>
            <w:pPr>
              <w:keepNext w:val="0"/>
              <w:keepLines w:val="0"/>
              <w:pageBreakBefore w:val="0"/>
              <w:widowControl w:val="0"/>
              <w:numPr>
                <w:ilvl w:val="0"/>
                <w:numId w:val="53"/>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通过防爆防腐盐雾试验检测；</w:t>
            </w:r>
          </w:p>
          <w:p>
            <w:pPr>
              <w:keepNext w:val="0"/>
              <w:keepLines w:val="0"/>
              <w:pageBreakBefore w:val="0"/>
              <w:widowControl w:val="0"/>
              <w:numPr>
                <w:ilvl w:val="0"/>
                <w:numId w:val="53"/>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支持4G或NB-IoT或LORA通信传输能力；</w:t>
            </w:r>
          </w:p>
          <w:p>
            <w:pPr>
              <w:keepNext w:val="0"/>
              <w:keepLines w:val="0"/>
              <w:pageBreakBefore w:val="0"/>
              <w:widowControl w:val="0"/>
              <w:numPr>
                <w:ilvl w:val="0"/>
                <w:numId w:val="53"/>
              </w:numPr>
              <w:kinsoku/>
              <w:wordWrap/>
              <w:overflowPunct/>
              <w:topLinePunct w:val="0"/>
              <w:autoSpaceDE/>
              <w:autoSpaceDN/>
              <w:bidi w:val="0"/>
              <w:adjustRightInd/>
              <w:snapToGrid/>
              <w:spacing w:line="360" w:lineRule="auto"/>
              <w:ind w:firstLine="0" w:firstLineChars="0"/>
              <w:textAlignment w:val="auto"/>
              <w:rPr>
                <w:rFonts w:hint="eastAsia" w:ascii="宋体" w:hAnsi="宋体" w:cs="宋体"/>
                <w:sz w:val="22"/>
                <w:szCs w:val="22"/>
                <w:highlight w:val="none"/>
                <w:lang w:val="en-US" w:eastAsia="zh-CN"/>
              </w:rPr>
            </w:pPr>
            <w:r>
              <w:rPr>
                <w:rFonts w:hint="eastAsia" w:ascii="宋体" w:hAnsi="宋体" w:eastAsia="宋体" w:cs="宋体"/>
                <w:sz w:val="22"/>
                <w:szCs w:val="22"/>
                <w:highlight w:val="none"/>
                <w:lang w:val="en-US" w:eastAsia="zh-CN"/>
              </w:rPr>
              <w:t>信号输出：支持Modbus协议，RS485；可自定义协议；</w:t>
            </w:r>
          </w:p>
          <w:p>
            <w:pPr>
              <w:keepNext w:val="0"/>
              <w:keepLines w:val="0"/>
              <w:pageBreakBefore w:val="0"/>
              <w:widowControl w:val="0"/>
              <w:numPr>
                <w:ilvl w:val="0"/>
                <w:numId w:val="53"/>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cs="宋体"/>
                <w:sz w:val="22"/>
                <w:szCs w:val="22"/>
                <w:highlight w:val="none"/>
                <w:lang w:val="en-US" w:eastAsia="zh-CN"/>
              </w:rPr>
            </w:pPr>
            <w:r>
              <w:rPr>
                <w:rFonts w:hint="eastAsia" w:ascii="宋体" w:hAnsi="宋体" w:eastAsia="宋体" w:cs="宋体"/>
                <w:sz w:val="22"/>
                <w:szCs w:val="22"/>
                <w:highlight w:val="none"/>
                <w:lang w:val="en-US" w:eastAsia="zh-CN"/>
              </w:rPr>
              <w:t>工作温度：-10℃至50℃；</w:t>
            </w:r>
          </w:p>
          <w:p>
            <w:pPr>
              <w:keepNext w:val="0"/>
              <w:keepLines w:val="0"/>
              <w:pageBreakBefore w:val="0"/>
              <w:widowControl w:val="0"/>
              <w:numPr>
                <w:ilvl w:val="0"/>
                <w:numId w:val="53"/>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采用内置锂电池供电，连续使用三年以上，具备电池异常报警功能；</w:t>
            </w:r>
          </w:p>
          <w:p>
            <w:pPr>
              <w:keepNext w:val="0"/>
              <w:keepLines w:val="0"/>
              <w:pageBreakBefore w:val="0"/>
              <w:widowControl w:val="0"/>
              <w:numPr>
                <w:ilvl w:val="0"/>
                <w:numId w:val="53"/>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流量量程：0.1 m/s～20m/s，流速分辨力：0.001m/s ，流速精度：</w:t>
            </w:r>
            <w:r>
              <w:rPr>
                <w:rFonts w:hint="eastAsia" w:ascii="宋体" w:hAnsi="宋体" w:eastAsia="宋体" w:cs="宋体"/>
                <w:sz w:val="22"/>
                <w:szCs w:val="22"/>
                <w:highlight w:val="none"/>
              </w:rPr>
              <w:t xml:space="preserve">≤±3% </w:t>
            </w:r>
            <w:r>
              <w:rPr>
                <w:rFonts w:hint="eastAsia" w:ascii="宋体" w:hAnsi="宋体" w:cs="宋体"/>
                <w:sz w:val="22"/>
                <w:szCs w:val="22"/>
                <w:highlight w:val="none"/>
                <w:lang w:eastAsia="zh-CN"/>
              </w:rPr>
              <w:t>；</w:t>
            </w:r>
          </w:p>
          <w:p>
            <w:pPr>
              <w:keepNext w:val="0"/>
              <w:keepLines w:val="0"/>
              <w:pageBreakBefore w:val="0"/>
              <w:widowControl w:val="0"/>
              <w:numPr>
                <w:ilvl w:val="0"/>
                <w:numId w:val="53"/>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液位量程：0m-10m，测量准确度：≤±1%，测量精度：±0.5%FS，测量分辨力：0.001m；</w:t>
            </w:r>
          </w:p>
          <w:p>
            <w:pPr>
              <w:keepNext w:val="0"/>
              <w:keepLines w:val="0"/>
              <w:pageBreakBefore w:val="0"/>
              <w:widowControl w:val="0"/>
              <w:numPr>
                <w:ilvl w:val="0"/>
                <w:numId w:val="53"/>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具有远程访问读取、远程管理、远程控制和远程维护等功能；</w:t>
            </w:r>
          </w:p>
          <w:p>
            <w:pPr>
              <w:keepNext w:val="0"/>
              <w:keepLines w:val="0"/>
              <w:pageBreakBefore w:val="0"/>
              <w:widowControl w:val="0"/>
              <w:numPr>
                <w:ilvl w:val="0"/>
                <w:numId w:val="53"/>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支持水位异常、流量监测、电量异常、网络异常或无效数据识别，可自定义设置数据采集上传频率，实现异常数据过滤，并实时查看设备状态；</w:t>
            </w:r>
          </w:p>
          <w:p>
            <w:pPr>
              <w:keepNext w:val="0"/>
              <w:keepLines w:val="0"/>
              <w:pageBreakBefore w:val="0"/>
              <w:widowControl w:val="0"/>
              <w:numPr>
                <w:ilvl w:val="0"/>
                <w:numId w:val="53"/>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可设置预警参数，能及时发出预警信息和恢复信息；</w:t>
            </w:r>
          </w:p>
          <w:p>
            <w:pPr>
              <w:keepNext w:val="0"/>
              <w:keepLines w:val="0"/>
              <w:pageBreakBefore w:val="0"/>
              <w:widowControl w:val="0"/>
              <w:numPr>
                <w:ilvl w:val="0"/>
                <w:numId w:val="53"/>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支持监测设备被异动或破坏等异常时能够进行上报告警；</w:t>
            </w:r>
          </w:p>
          <w:p>
            <w:pPr>
              <w:keepNext w:val="0"/>
              <w:keepLines w:val="0"/>
              <w:pageBreakBefore w:val="0"/>
              <w:widowControl w:val="0"/>
              <w:numPr>
                <w:ilvl w:val="0"/>
                <w:numId w:val="53"/>
              </w:numPr>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当信号不稳定或断网影响传输时，正常储存监测数据，当信号恢复正常时可自动续传中断期间的历史数据，保障数据连续性；</w:t>
            </w:r>
          </w:p>
        </w:tc>
        <w:tc>
          <w:tcPr>
            <w:tcW w:w="75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jc w:val="center"/>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2套</w:t>
            </w:r>
          </w:p>
        </w:tc>
        <w:tc>
          <w:tcPr>
            <w:tcW w:w="106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jc w:val="center"/>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含3年数据服务</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z w:val="22"/>
                <w:szCs w:val="22"/>
                <w:highlight w:val="none"/>
                <w:lang w:val="en-US" w:eastAsia="zh-CN"/>
              </w:rPr>
            </w:pPr>
          </w:p>
        </w:tc>
      </w:tr>
    </w:tbl>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highlight w:val="none"/>
          <w:lang w:val="en-US" w:eastAsia="zh-CN"/>
        </w:rPr>
      </w:pPr>
      <w:bookmarkStart w:id="285" w:name="_Toc18945"/>
      <w:bookmarkStart w:id="286" w:name="_Toc6057"/>
      <w:bookmarkStart w:id="287" w:name="_Toc10737"/>
      <w:bookmarkStart w:id="288" w:name="_Toc7970"/>
      <w:bookmarkStart w:id="289" w:name="_Toc2668"/>
      <w:bookmarkStart w:id="290" w:name="_Toc24304"/>
      <w:bookmarkStart w:id="291" w:name="_Toc26024"/>
      <w:bookmarkStart w:id="292" w:name="_Toc9386"/>
      <w:bookmarkStart w:id="293" w:name="_Toc32359"/>
      <w:bookmarkStart w:id="294" w:name="_Toc25822"/>
      <w:bookmarkStart w:id="295" w:name="_Toc24699"/>
      <w:r>
        <w:rPr>
          <w:rFonts w:hint="eastAsia" w:ascii="宋体" w:hAnsi="宋体" w:eastAsia="宋体" w:cs="宋体"/>
          <w:b/>
          <w:bCs/>
          <w:sz w:val="22"/>
          <w:szCs w:val="22"/>
          <w:highlight w:val="none"/>
          <w:lang w:val="en-US" w:eastAsia="zh-CN"/>
        </w:rPr>
        <w:t>1.8管网水质实时监测</w:t>
      </w:r>
      <w:bookmarkEnd w:id="285"/>
      <w:bookmarkEnd w:id="286"/>
      <w:bookmarkEnd w:id="287"/>
      <w:bookmarkEnd w:id="288"/>
      <w:bookmarkEnd w:id="289"/>
      <w:bookmarkEnd w:id="290"/>
      <w:bookmarkEnd w:id="291"/>
      <w:bookmarkEnd w:id="292"/>
      <w:bookmarkEnd w:id="293"/>
      <w:r>
        <w:rPr>
          <w:rFonts w:hint="eastAsia" w:ascii="宋体" w:hAnsi="宋体" w:eastAsia="宋体" w:cs="宋体"/>
          <w:b/>
          <w:bCs/>
          <w:sz w:val="22"/>
          <w:szCs w:val="22"/>
          <w:highlight w:val="none"/>
          <w:lang w:val="en-US" w:eastAsia="zh-CN"/>
        </w:rPr>
        <w:t>设备</w:t>
      </w:r>
      <w:bookmarkEnd w:id="294"/>
      <w:bookmarkEnd w:id="295"/>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本项目将在洞头区排水管网布设管网水质监测设备，监测设备的电导率和水温情况，监测管网入渗情况，为管网修复改造提供支持。并同步监测设备的运行工况，结合实际需要建设对应的设备，本项目计划采购</w:t>
      </w:r>
      <w:r>
        <w:rPr>
          <w:rFonts w:hint="eastAsia" w:ascii="宋体" w:hAnsi="宋体" w:cs="宋体"/>
          <w:sz w:val="22"/>
          <w:szCs w:val="22"/>
          <w:highlight w:val="none"/>
          <w:lang w:val="en-US" w:eastAsia="zh-CN"/>
        </w:rPr>
        <w:t>10</w:t>
      </w:r>
      <w:r>
        <w:rPr>
          <w:rFonts w:hint="eastAsia" w:ascii="宋体" w:hAnsi="宋体" w:eastAsia="宋体" w:cs="宋体"/>
          <w:sz w:val="22"/>
          <w:szCs w:val="22"/>
          <w:highlight w:val="none"/>
          <w:lang w:val="en-US" w:eastAsia="zh-CN"/>
        </w:rPr>
        <w:t>套井下液位监测，并按照智慧排水平台要求接入相关数据信息，以满足防汛可视化指挥和维养管理需要。</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系统支持以地图形式显示监测设备的空间分布。</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支持通过采集设备监测数据，系统能够展示各管网监测设备的电导率和水温情况，并同步监测设备的运行工况。</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支持提供数据实时数据功能，用户可查看管网水质在不同段的变化，曲线图、报表等。</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设备参考参数如下：</w:t>
      </w:r>
    </w:p>
    <w:tbl>
      <w:tblPr>
        <w:tblStyle w:val="6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2"/>
        <w:gridCol w:w="6645"/>
        <w:gridCol w:w="878"/>
        <w:gridCol w:w="1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名称</w:t>
            </w:r>
          </w:p>
        </w:tc>
        <w:tc>
          <w:tcPr>
            <w:tcW w:w="5747"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内容参数</w:t>
            </w:r>
          </w:p>
        </w:tc>
        <w:tc>
          <w:tcPr>
            <w:tcW w:w="759"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数量</w:t>
            </w:r>
          </w:p>
        </w:tc>
        <w:tc>
          <w:tcPr>
            <w:tcW w:w="1063"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pacing w:val="-1"/>
                <w:sz w:val="22"/>
                <w:szCs w:val="22"/>
                <w:highlight w:val="none"/>
                <w:vertAlign w:val="baseline"/>
              </w:rPr>
            </w:pPr>
            <w:r>
              <w:rPr>
                <w:rFonts w:hint="eastAsia" w:ascii="宋体" w:hAnsi="宋体" w:eastAsia="宋体" w:cs="宋体"/>
                <w:sz w:val="22"/>
                <w:szCs w:val="22"/>
                <w:highlight w:val="none"/>
                <w:lang w:val="en-US" w:eastAsia="zh-CN"/>
              </w:rPr>
              <w:t>管网水质监测</w:t>
            </w:r>
          </w:p>
        </w:tc>
        <w:tc>
          <w:tcPr>
            <w:tcW w:w="5747" w:type="dxa"/>
            <w:noWrap w:val="0"/>
            <w:vAlign w:val="top"/>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1、采集信息：电导率、温度、电池电压、信号强度</w:t>
            </w:r>
          </w:p>
          <w:p>
            <w:pPr>
              <w:keepNext w:val="0"/>
              <w:keepLines w:val="0"/>
              <w:pageBreakBefore w:val="0"/>
              <w:widowControl w:val="0"/>
              <w:numPr>
                <w:ilvl w:val="0"/>
                <w:numId w:val="54"/>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测量范围：10 us/cm ~200ms/cm</w:t>
            </w:r>
          </w:p>
          <w:p>
            <w:pPr>
              <w:keepNext w:val="0"/>
              <w:keepLines w:val="0"/>
              <w:pageBreakBefore w:val="0"/>
              <w:widowControl w:val="0"/>
              <w:numPr>
                <w:ilvl w:val="0"/>
                <w:numId w:val="54"/>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 xml:space="preserve">分辨率 0.1us/cm-1us/cm  </w:t>
            </w:r>
          </w:p>
          <w:p>
            <w:pPr>
              <w:keepNext w:val="0"/>
              <w:keepLines w:val="0"/>
              <w:pageBreakBefore w:val="0"/>
              <w:widowControl w:val="0"/>
              <w:numPr>
                <w:ilvl w:val="0"/>
                <w:numId w:val="54"/>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 xml:space="preserve">重复性：≤1% </w:t>
            </w:r>
          </w:p>
          <w:p>
            <w:pPr>
              <w:keepNext w:val="0"/>
              <w:keepLines w:val="0"/>
              <w:pageBreakBefore w:val="0"/>
              <w:widowControl w:val="0"/>
              <w:numPr>
                <w:ilvl w:val="0"/>
                <w:numId w:val="54"/>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采用内置锂电池， 7~36VDC供电，连续使用三年以上，具备电池异常报警功能</w:t>
            </w:r>
          </w:p>
          <w:p>
            <w:pPr>
              <w:keepNext w:val="0"/>
              <w:keepLines w:val="0"/>
              <w:pageBreakBefore w:val="0"/>
              <w:widowControl w:val="0"/>
              <w:numPr>
                <w:ilvl w:val="0"/>
                <w:numId w:val="54"/>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通讯接口：RS485，标准Modbus协议</w:t>
            </w:r>
          </w:p>
          <w:p>
            <w:pPr>
              <w:keepNext w:val="0"/>
              <w:keepLines w:val="0"/>
              <w:pageBreakBefore w:val="0"/>
              <w:widowControl w:val="0"/>
              <w:numPr>
                <w:ilvl w:val="0"/>
                <w:numId w:val="54"/>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支持4G或NB-IoT或LORA通信传输能力</w:t>
            </w:r>
          </w:p>
          <w:p>
            <w:pPr>
              <w:keepNext w:val="0"/>
              <w:keepLines w:val="0"/>
              <w:pageBreakBefore w:val="0"/>
              <w:widowControl w:val="0"/>
              <w:numPr>
                <w:ilvl w:val="0"/>
                <w:numId w:val="54"/>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 xml:space="preserve">等级防护≧IP68 </w:t>
            </w:r>
          </w:p>
          <w:p>
            <w:pPr>
              <w:keepNext w:val="0"/>
              <w:keepLines w:val="0"/>
              <w:pageBreakBefore w:val="0"/>
              <w:widowControl w:val="0"/>
              <w:numPr>
                <w:ilvl w:val="0"/>
                <w:numId w:val="54"/>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支持数据异常或无效数据识别，可自定义设置数据采集上传频率，实现异常数据过滤，并实时查看设备状态</w:t>
            </w:r>
          </w:p>
          <w:p>
            <w:pPr>
              <w:keepNext w:val="0"/>
              <w:keepLines w:val="0"/>
              <w:pageBreakBefore w:val="0"/>
              <w:widowControl w:val="0"/>
              <w:numPr>
                <w:ilvl w:val="0"/>
                <w:numId w:val="54"/>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可设置预警参数，能及时发出预警信息和恢复信息</w:t>
            </w:r>
          </w:p>
          <w:p>
            <w:pPr>
              <w:keepNext w:val="0"/>
              <w:keepLines w:val="0"/>
              <w:pageBreakBefore w:val="0"/>
              <w:widowControl w:val="0"/>
              <w:numPr>
                <w:ilvl w:val="0"/>
                <w:numId w:val="54"/>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支持监测设备被异动或破坏等异常时能够进行上报告警</w:t>
            </w:r>
          </w:p>
          <w:p>
            <w:pPr>
              <w:keepNext w:val="0"/>
              <w:keepLines w:val="0"/>
              <w:pageBreakBefore w:val="0"/>
              <w:widowControl w:val="0"/>
              <w:numPr>
                <w:ilvl w:val="0"/>
                <w:numId w:val="54"/>
              </w:numPr>
              <w:kinsoku/>
              <w:wordWrap/>
              <w:overflowPunct/>
              <w:topLinePunct w:val="0"/>
              <w:autoSpaceDE/>
              <w:autoSpaceDN/>
              <w:bidi w:val="0"/>
              <w:adjustRightInd/>
              <w:snapToGrid/>
              <w:spacing w:line="360" w:lineRule="auto"/>
              <w:ind w:firstLine="0" w:firstLineChars="0"/>
              <w:textAlignment w:val="auto"/>
              <w:rPr>
                <w:rFonts w:hint="eastAsia" w:ascii="宋体" w:hAnsi="宋体" w:cs="宋体"/>
                <w:sz w:val="22"/>
                <w:szCs w:val="22"/>
                <w:highlight w:val="none"/>
              </w:rPr>
            </w:pPr>
            <w:r>
              <w:rPr>
                <w:rFonts w:hint="eastAsia" w:ascii="宋体" w:hAnsi="宋体" w:eastAsia="宋体" w:cs="宋体"/>
                <w:sz w:val="22"/>
                <w:szCs w:val="22"/>
                <w:highlight w:val="none"/>
                <w:lang w:val="en-US" w:eastAsia="zh-CN"/>
              </w:rPr>
              <w:t>当信号不稳定或断网影响传输时，正常储存监测数据，当信号恢复正常时可自动续传中断期间的历史数据，保障数据连续性；</w:t>
            </w:r>
          </w:p>
        </w:tc>
        <w:tc>
          <w:tcPr>
            <w:tcW w:w="75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3套</w:t>
            </w:r>
          </w:p>
        </w:tc>
        <w:tc>
          <w:tcPr>
            <w:tcW w:w="106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含3年数据服务</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z w:val="22"/>
                <w:szCs w:val="22"/>
                <w:highlight w:val="none"/>
                <w:lang w:val="en-US" w:eastAsia="zh-CN"/>
              </w:rPr>
            </w:pPr>
          </w:p>
        </w:tc>
      </w:tr>
    </w:tbl>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highlight w:val="none"/>
          <w:lang w:val="en-US" w:eastAsia="zh-CN"/>
        </w:rPr>
      </w:pPr>
      <w:bookmarkStart w:id="296" w:name="_Toc13036"/>
      <w:bookmarkStart w:id="297" w:name="_Toc16433"/>
      <w:bookmarkStart w:id="298" w:name="_Toc32696"/>
      <w:bookmarkStart w:id="299" w:name="_Toc25270"/>
      <w:bookmarkStart w:id="300" w:name="_Toc21609"/>
      <w:bookmarkStart w:id="301" w:name="_Toc10789"/>
      <w:bookmarkStart w:id="302" w:name="_Toc29933"/>
      <w:bookmarkStart w:id="303" w:name="_Toc25578"/>
      <w:bookmarkStart w:id="304" w:name="_Toc30175"/>
      <w:bookmarkStart w:id="305" w:name="_Toc13663"/>
      <w:bookmarkStart w:id="306" w:name="_Toc32181"/>
      <w:r>
        <w:rPr>
          <w:rFonts w:hint="eastAsia" w:ascii="宋体" w:hAnsi="宋体" w:eastAsia="宋体" w:cs="宋体"/>
          <w:b/>
          <w:bCs/>
          <w:sz w:val="22"/>
          <w:szCs w:val="22"/>
          <w:highlight w:val="none"/>
          <w:lang w:val="en-US" w:eastAsia="zh-CN"/>
        </w:rPr>
        <w:t>1.9管网COD实时监测</w:t>
      </w:r>
      <w:bookmarkEnd w:id="296"/>
      <w:bookmarkEnd w:id="297"/>
      <w:bookmarkEnd w:id="298"/>
      <w:bookmarkEnd w:id="299"/>
      <w:bookmarkEnd w:id="300"/>
      <w:bookmarkEnd w:id="301"/>
      <w:bookmarkEnd w:id="302"/>
      <w:bookmarkEnd w:id="303"/>
      <w:bookmarkEnd w:id="304"/>
      <w:r>
        <w:rPr>
          <w:rFonts w:hint="eastAsia" w:ascii="宋体" w:hAnsi="宋体" w:eastAsia="宋体" w:cs="宋体"/>
          <w:b/>
          <w:bCs/>
          <w:sz w:val="22"/>
          <w:szCs w:val="22"/>
          <w:highlight w:val="none"/>
          <w:lang w:val="en-US" w:eastAsia="zh-CN"/>
        </w:rPr>
        <w:t>设备</w:t>
      </w:r>
      <w:bookmarkEnd w:id="305"/>
      <w:bookmarkEnd w:id="306"/>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本项目将在洞头区排水管网布设泵站COD监测设备，监测设备的COD浓度情况，并同步监测设备的运行工况，结合实际需要建设对应的设备，本项目计划采购2套泵站COD监测设备，并按照智慧排水平台要求接入相关数据信息，以满足防汛可视化指挥和维养管理需要。</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系统支持以地图形式显示监测设备的空间分布。</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支持通过采集设备监测数据，系统能够展示各管网监测设备的COD浓度情况，并同步监测设备的运行工况。</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支持提供数据功能，用户可查看管网COD在不同时间段的变化趋势、曲线图、报表等，帮助工作人员全面实时掌握管网污染历史情况。</w:t>
      </w:r>
    </w:p>
    <w:p>
      <w:pPr>
        <w:pStyle w:val="62"/>
        <w:spacing w:line="360" w:lineRule="auto"/>
        <w:ind w:left="0" w:leftChars="0" w:firstLine="0" w:firstLineChars="0"/>
        <w:rPr>
          <w:rFonts w:hint="eastAsia" w:ascii="宋体" w:hAnsi="宋体" w:eastAsia="宋体" w:cs="宋体"/>
          <w:b/>
          <w:bCs/>
          <w:sz w:val="22"/>
          <w:szCs w:val="22"/>
          <w:highlight w:val="none"/>
          <w:lang w:val="en-US" w:eastAsia="zh-CN"/>
        </w:rPr>
      </w:pPr>
      <w:r>
        <w:rPr>
          <w:rFonts w:hint="eastAsia" w:ascii="宋体" w:hAnsi="宋体" w:eastAsia="宋体" w:cs="宋体"/>
          <w:b/>
          <w:bCs/>
          <w:sz w:val="22"/>
          <w:szCs w:val="22"/>
          <w:highlight w:val="none"/>
          <w:lang w:val="en-US" w:eastAsia="zh-CN"/>
        </w:rPr>
        <w:t>相关设备参考参数如下：</w:t>
      </w:r>
    </w:p>
    <w:tbl>
      <w:tblPr>
        <w:tblStyle w:val="6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2"/>
        <w:gridCol w:w="6645"/>
        <w:gridCol w:w="878"/>
        <w:gridCol w:w="1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名称</w:t>
            </w:r>
          </w:p>
        </w:tc>
        <w:tc>
          <w:tcPr>
            <w:tcW w:w="5747"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内容参数</w:t>
            </w:r>
          </w:p>
        </w:tc>
        <w:tc>
          <w:tcPr>
            <w:tcW w:w="759"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数量</w:t>
            </w:r>
          </w:p>
        </w:tc>
        <w:tc>
          <w:tcPr>
            <w:tcW w:w="1063"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pacing w:val="-1"/>
                <w:sz w:val="22"/>
                <w:szCs w:val="22"/>
                <w:highlight w:val="none"/>
                <w:vertAlign w:val="baseline"/>
              </w:rPr>
            </w:pPr>
            <w:r>
              <w:rPr>
                <w:rFonts w:hint="eastAsia" w:ascii="宋体" w:hAnsi="宋体" w:eastAsia="宋体" w:cs="宋体"/>
                <w:sz w:val="22"/>
                <w:szCs w:val="22"/>
                <w:highlight w:val="none"/>
                <w:lang w:val="en-US" w:eastAsia="zh-CN"/>
              </w:rPr>
              <w:t>管网COD监测</w:t>
            </w:r>
          </w:p>
        </w:tc>
        <w:tc>
          <w:tcPr>
            <w:tcW w:w="5747" w:type="dxa"/>
            <w:noWrap w:val="0"/>
            <w:vAlign w:val="top"/>
          </w:tcPr>
          <w:p>
            <w:pPr>
              <w:keepNext w:val="0"/>
              <w:keepLines w:val="0"/>
              <w:pageBreakBefore w:val="0"/>
              <w:widowControl w:val="0"/>
              <w:numPr>
                <w:ilvl w:val="0"/>
                <w:numId w:val="55"/>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pacing w:val="-1"/>
                <w:sz w:val="22"/>
                <w:szCs w:val="22"/>
                <w:highlight w:val="none"/>
                <w:vertAlign w:val="baseline"/>
              </w:rPr>
            </w:pPr>
            <w:r>
              <w:rPr>
                <w:rFonts w:hint="eastAsia" w:ascii="宋体" w:hAnsi="宋体" w:eastAsia="宋体" w:cs="宋体"/>
                <w:sz w:val="22"/>
                <w:szCs w:val="22"/>
                <w:highlight w:val="none"/>
                <w:lang w:val="en-US" w:eastAsia="zh-CN"/>
              </w:rPr>
              <w:t>工作温度：-10 ℃- 50 ℃，</w:t>
            </w:r>
          </w:p>
          <w:p>
            <w:pPr>
              <w:keepNext w:val="0"/>
              <w:keepLines w:val="0"/>
              <w:pageBreakBefore w:val="0"/>
              <w:widowControl w:val="0"/>
              <w:numPr>
                <w:ilvl w:val="0"/>
                <w:numId w:val="55"/>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清洁功能：自带清洗刷</w:t>
            </w:r>
          </w:p>
          <w:p>
            <w:pPr>
              <w:keepNext w:val="0"/>
              <w:keepLines w:val="0"/>
              <w:pageBreakBefore w:val="0"/>
              <w:widowControl w:val="0"/>
              <w:numPr>
                <w:ilvl w:val="0"/>
                <w:numId w:val="55"/>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测定范围：0 ~ 500mg可选其他量程</w:t>
            </w:r>
          </w:p>
          <w:p>
            <w:pPr>
              <w:keepNext w:val="0"/>
              <w:keepLines w:val="0"/>
              <w:pageBreakBefore w:val="0"/>
              <w:widowControl w:val="0"/>
              <w:numPr>
                <w:ilvl w:val="0"/>
                <w:numId w:val="55"/>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分辨率：≤1mg/L，测量精度：≤±2%</w:t>
            </w:r>
          </w:p>
          <w:p>
            <w:pPr>
              <w:keepNext w:val="0"/>
              <w:keepLines w:val="0"/>
              <w:pageBreakBefore w:val="0"/>
              <w:widowControl w:val="0"/>
              <w:numPr>
                <w:ilvl w:val="0"/>
                <w:numId w:val="55"/>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采用内置锂电池， 7~36VDC供电，连续使用三年以上，具备电池异常报警功能</w:t>
            </w:r>
          </w:p>
          <w:p>
            <w:pPr>
              <w:keepNext w:val="0"/>
              <w:keepLines w:val="0"/>
              <w:pageBreakBefore w:val="0"/>
              <w:widowControl w:val="0"/>
              <w:numPr>
                <w:ilvl w:val="0"/>
                <w:numId w:val="55"/>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通讯接口：RS485，标准Modbus协议</w:t>
            </w:r>
          </w:p>
          <w:p>
            <w:pPr>
              <w:keepNext w:val="0"/>
              <w:keepLines w:val="0"/>
              <w:pageBreakBefore w:val="0"/>
              <w:widowControl w:val="0"/>
              <w:numPr>
                <w:ilvl w:val="0"/>
                <w:numId w:val="55"/>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支持4G或NB-IoT或LORA通信传输能力</w:t>
            </w:r>
          </w:p>
          <w:p>
            <w:pPr>
              <w:keepNext w:val="0"/>
              <w:keepLines w:val="0"/>
              <w:pageBreakBefore w:val="0"/>
              <w:widowControl w:val="0"/>
              <w:numPr>
                <w:ilvl w:val="0"/>
                <w:numId w:val="55"/>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 xml:space="preserve">等级防护≧IP68 </w:t>
            </w:r>
          </w:p>
          <w:p>
            <w:pPr>
              <w:keepNext w:val="0"/>
              <w:keepLines w:val="0"/>
              <w:pageBreakBefore w:val="0"/>
              <w:widowControl w:val="0"/>
              <w:numPr>
                <w:ilvl w:val="0"/>
                <w:numId w:val="55"/>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支持数据异常或无效数据识别，可自定义设置数据采集上传频率，实现异常数据过滤，并实时查看设备状态</w:t>
            </w:r>
          </w:p>
          <w:p>
            <w:pPr>
              <w:keepNext w:val="0"/>
              <w:keepLines w:val="0"/>
              <w:pageBreakBefore w:val="0"/>
              <w:widowControl w:val="0"/>
              <w:numPr>
                <w:ilvl w:val="0"/>
                <w:numId w:val="55"/>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可设置预警参数，能及时发出预警信息和恢复信息</w:t>
            </w:r>
          </w:p>
          <w:p>
            <w:pPr>
              <w:keepNext w:val="0"/>
              <w:keepLines w:val="0"/>
              <w:pageBreakBefore w:val="0"/>
              <w:widowControl w:val="0"/>
              <w:numPr>
                <w:ilvl w:val="0"/>
                <w:numId w:val="55"/>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支持监测设备被异动或破坏等异常时能够进行上报告警</w:t>
            </w:r>
          </w:p>
          <w:p>
            <w:pPr>
              <w:keepNext w:val="0"/>
              <w:keepLines w:val="0"/>
              <w:pageBreakBefore w:val="0"/>
              <w:widowControl w:val="0"/>
              <w:numPr>
                <w:ilvl w:val="0"/>
                <w:numId w:val="55"/>
              </w:numPr>
              <w:kinsoku/>
              <w:wordWrap/>
              <w:overflowPunct/>
              <w:topLinePunct w:val="0"/>
              <w:autoSpaceDE/>
              <w:autoSpaceDN/>
              <w:bidi w:val="0"/>
              <w:adjustRightInd/>
              <w:snapToGrid/>
              <w:spacing w:line="360" w:lineRule="auto"/>
              <w:ind w:firstLine="0" w:firstLineChars="0"/>
              <w:textAlignment w:val="auto"/>
              <w:rPr>
                <w:rFonts w:hint="eastAsia" w:ascii="宋体" w:hAnsi="宋体" w:cs="宋体"/>
                <w:sz w:val="22"/>
                <w:szCs w:val="22"/>
                <w:highlight w:val="none"/>
              </w:rPr>
            </w:pPr>
            <w:r>
              <w:rPr>
                <w:rFonts w:hint="eastAsia" w:ascii="宋体" w:hAnsi="宋体" w:eastAsia="宋体" w:cs="宋体"/>
                <w:sz w:val="22"/>
                <w:szCs w:val="22"/>
                <w:highlight w:val="none"/>
                <w:lang w:val="en-US" w:eastAsia="zh-CN"/>
              </w:rPr>
              <w:t>当信号不稳定或断网影响传输时，正常储存监测数据，当信号恢复正常时可自动续传中断期间的历史数据，保障数据连续性</w:t>
            </w:r>
          </w:p>
        </w:tc>
        <w:tc>
          <w:tcPr>
            <w:tcW w:w="75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2套</w:t>
            </w:r>
          </w:p>
        </w:tc>
        <w:tc>
          <w:tcPr>
            <w:tcW w:w="106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含3年数据服务</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p>
        </w:tc>
      </w:tr>
    </w:tbl>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highlight w:val="none"/>
          <w:lang w:val="en-US" w:eastAsia="zh-CN"/>
        </w:rPr>
      </w:pPr>
      <w:bookmarkStart w:id="307" w:name="_Toc20095"/>
      <w:bookmarkStart w:id="308" w:name="_Toc20236"/>
      <w:bookmarkStart w:id="309" w:name="_Toc26116"/>
      <w:bookmarkStart w:id="310" w:name="_Toc12253"/>
      <w:bookmarkStart w:id="311" w:name="_Toc31295"/>
      <w:bookmarkStart w:id="312" w:name="_Toc20651"/>
      <w:bookmarkStart w:id="313" w:name="_Toc32573"/>
      <w:bookmarkStart w:id="314" w:name="_Toc4164"/>
      <w:bookmarkStart w:id="315" w:name="_Toc12110"/>
      <w:bookmarkStart w:id="316" w:name="_Toc6652"/>
      <w:bookmarkStart w:id="317" w:name="_Toc23577"/>
      <w:r>
        <w:rPr>
          <w:rFonts w:hint="eastAsia" w:ascii="宋体" w:hAnsi="宋体" w:eastAsia="宋体" w:cs="宋体"/>
          <w:b/>
          <w:bCs/>
          <w:sz w:val="22"/>
          <w:szCs w:val="22"/>
          <w:highlight w:val="none"/>
          <w:lang w:val="en-US" w:eastAsia="zh-CN"/>
        </w:rPr>
        <w:t>1.10智能井盖实时监测</w:t>
      </w:r>
      <w:bookmarkEnd w:id="307"/>
      <w:bookmarkEnd w:id="308"/>
      <w:bookmarkEnd w:id="309"/>
      <w:bookmarkEnd w:id="310"/>
      <w:bookmarkEnd w:id="311"/>
      <w:bookmarkEnd w:id="312"/>
      <w:bookmarkEnd w:id="313"/>
      <w:bookmarkEnd w:id="314"/>
      <w:bookmarkEnd w:id="315"/>
      <w:r>
        <w:rPr>
          <w:rFonts w:hint="eastAsia" w:ascii="宋体" w:hAnsi="宋体" w:eastAsia="宋体" w:cs="宋体"/>
          <w:b/>
          <w:bCs/>
          <w:sz w:val="22"/>
          <w:szCs w:val="22"/>
          <w:highlight w:val="none"/>
          <w:lang w:val="en-US" w:eastAsia="zh-CN"/>
        </w:rPr>
        <w:t>设备</w:t>
      </w:r>
      <w:bookmarkEnd w:id="316"/>
      <w:bookmarkEnd w:id="317"/>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本项目将在洞头区排水管网布设智能井盖，各井盖的倾斜、溢流状态，并同步设备的运行工况，结合实际需要建设对应的设备，本项目计划采购5套智能井盖，并按照智慧排水平台要求接入相关数据信息，以满足防汛可视化指挥和维养管理需要。</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支持以地图形式显示监测设备的空间分配。</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支持通过采集监测数据，系统能够实时显示各井盖的倾斜、溢流状态，并同步设备的运行工况。</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支持提供数据功能，用户可查看井盖状态在不同段的变化趋势。</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相关设备参考参数如下：</w:t>
      </w:r>
    </w:p>
    <w:tbl>
      <w:tblPr>
        <w:tblStyle w:val="6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2"/>
        <w:gridCol w:w="6645"/>
        <w:gridCol w:w="878"/>
        <w:gridCol w:w="1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名称</w:t>
            </w:r>
          </w:p>
        </w:tc>
        <w:tc>
          <w:tcPr>
            <w:tcW w:w="5747"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内容参数</w:t>
            </w:r>
          </w:p>
        </w:tc>
        <w:tc>
          <w:tcPr>
            <w:tcW w:w="759"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数量</w:t>
            </w:r>
          </w:p>
        </w:tc>
        <w:tc>
          <w:tcPr>
            <w:tcW w:w="1063"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智能井盖</w:t>
            </w:r>
          </w:p>
        </w:tc>
        <w:tc>
          <w:tcPr>
            <w:tcW w:w="5747" w:type="dxa"/>
            <w:noWrap w:val="0"/>
            <w:vAlign w:val="top"/>
          </w:tcPr>
          <w:p>
            <w:pPr>
              <w:keepNext w:val="0"/>
              <w:keepLines w:val="0"/>
              <w:pageBreakBefore w:val="0"/>
              <w:widowControl w:val="0"/>
              <w:numPr>
                <w:ilvl w:val="0"/>
                <w:numId w:val="56"/>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支持4G或NB-IoT或LORA通信传输能力</w:t>
            </w:r>
          </w:p>
          <w:p>
            <w:pPr>
              <w:keepNext w:val="0"/>
              <w:keepLines w:val="0"/>
              <w:pageBreakBefore w:val="0"/>
              <w:widowControl w:val="0"/>
              <w:numPr>
                <w:ilvl w:val="0"/>
                <w:numId w:val="56"/>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 xml:space="preserve">等级防护≧IP68 </w:t>
            </w:r>
          </w:p>
          <w:p>
            <w:pPr>
              <w:keepNext w:val="0"/>
              <w:keepLines w:val="0"/>
              <w:pageBreakBefore w:val="0"/>
              <w:widowControl w:val="0"/>
              <w:numPr>
                <w:ilvl w:val="0"/>
                <w:numId w:val="56"/>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通过防爆防腐盐雾试验检测</w:t>
            </w:r>
          </w:p>
          <w:p>
            <w:pPr>
              <w:keepNext w:val="0"/>
              <w:keepLines w:val="0"/>
              <w:pageBreakBefore w:val="0"/>
              <w:widowControl w:val="0"/>
              <w:numPr>
                <w:ilvl w:val="0"/>
                <w:numId w:val="56"/>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工作温度：-10℃~50℃</w:t>
            </w:r>
          </w:p>
          <w:p>
            <w:pPr>
              <w:keepNext w:val="0"/>
              <w:keepLines w:val="0"/>
              <w:pageBreakBefore w:val="0"/>
              <w:widowControl w:val="0"/>
              <w:numPr>
                <w:ilvl w:val="0"/>
                <w:numId w:val="56"/>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工作电压 DC 3.0-3.6V，</w:t>
            </w:r>
          </w:p>
          <w:p>
            <w:pPr>
              <w:keepNext w:val="0"/>
              <w:keepLines w:val="0"/>
              <w:pageBreakBefore w:val="0"/>
              <w:widowControl w:val="0"/>
              <w:numPr>
                <w:ilvl w:val="0"/>
                <w:numId w:val="56"/>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★内置≥19AH电池，具有超低功耗设计，低功耗电流≤6uA，极限低功耗模式电流≤0.1uA，工作电流≤20mA，可连续工作≥5年。</w:t>
            </w:r>
            <w:r>
              <w:rPr>
                <w:rFonts w:hint="eastAsia" w:ascii="宋体" w:hAnsi="宋体" w:eastAsia="宋体" w:cs="宋体"/>
                <w:b/>
                <w:bCs/>
                <w:sz w:val="22"/>
                <w:szCs w:val="22"/>
                <w:highlight w:val="none"/>
                <w:lang w:val="en-US" w:eastAsia="zh-CN"/>
              </w:rPr>
              <w:t>（提供国家认可的第三方检测机构出具的带CMA或CNAS标志的检测报告佐证）</w:t>
            </w:r>
          </w:p>
          <w:p>
            <w:pPr>
              <w:keepNext w:val="0"/>
              <w:keepLines w:val="0"/>
              <w:pageBreakBefore w:val="0"/>
              <w:widowControl w:val="0"/>
              <w:numPr>
                <w:ilvl w:val="0"/>
                <w:numId w:val="56"/>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井盖倾斜监测:当井盖被打开或产生异动时，终端会实时将告警信息推送到监控平台。</w:t>
            </w:r>
          </w:p>
          <w:p>
            <w:pPr>
              <w:keepNext w:val="0"/>
              <w:keepLines w:val="0"/>
              <w:pageBreakBefore w:val="0"/>
              <w:widowControl w:val="0"/>
              <w:numPr>
                <w:ilvl w:val="0"/>
                <w:numId w:val="56"/>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溢流监测:传感器会实时检测井内水位信息，当检测到水位漫漫溢时，会实时将水位告警信息推送 到监控平台。</w:t>
            </w:r>
          </w:p>
          <w:p>
            <w:pPr>
              <w:keepNext w:val="0"/>
              <w:keepLines w:val="0"/>
              <w:pageBreakBefore w:val="0"/>
              <w:widowControl w:val="0"/>
              <w:numPr>
                <w:ilvl w:val="0"/>
                <w:numId w:val="56"/>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井盖破损:传感器内置光传感器，当井盖破损导致井内光线变化时，传感器会实时将破损告警信息 推送到监控平台。</w:t>
            </w:r>
          </w:p>
          <w:p>
            <w:pPr>
              <w:keepNext w:val="0"/>
              <w:keepLines w:val="0"/>
              <w:pageBreakBefore w:val="0"/>
              <w:widowControl w:val="0"/>
              <w:numPr>
                <w:ilvl w:val="0"/>
                <w:numId w:val="56"/>
              </w:numPr>
              <w:kinsoku/>
              <w:wordWrap/>
              <w:overflowPunct/>
              <w:topLinePunct w:val="0"/>
              <w:autoSpaceDE/>
              <w:autoSpaceDN/>
              <w:bidi w:val="0"/>
              <w:adjustRightInd/>
              <w:snapToGrid/>
              <w:spacing w:line="360" w:lineRule="auto"/>
              <w:ind w:firstLine="0" w:firstLineChars="0"/>
              <w:textAlignment w:val="auto"/>
              <w:rPr>
                <w:rFonts w:hint="eastAsia" w:ascii="宋体" w:hAnsi="宋体" w:cs="宋体"/>
                <w:sz w:val="22"/>
                <w:szCs w:val="22"/>
                <w:highlight w:val="none"/>
                <w:lang w:val="en-US" w:eastAsia="zh-CN"/>
              </w:rPr>
            </w:pPr>
            <w:r>
              <w:rPr>
                <w:rFonts w:hint="eastAsia" w:ascii="宋体" w:hAnsi="宋体" w:eastAsia="宋体" w:cs="宋体"/>
                <w:sz w:val="22"/>
                <w:szCs w:val="22"/>
                <w:highlight w:val="none"/>
                <w:lang w:val="en-US" w:eastAsia="zh-CN"/>
              </w:rPr>
              <w:t>参数更新:设备进行参数可以远程更新，可快速对需要调整的设备进行调试，并实时查看设备状态；</w:t>
            </w:r>
          </w:p>
          <w:p>
            <w:pPr>
              <w:keepNext w:val="0"/>
              <w:keepLines w:val="0"/>
              <w:pageBreakBefore w:val="0"/>
              <w:widowControl w:val="0"/>
              <w:numPr>
                <w:ilvl w:val="0"/>
                <w:numId w:val="56"/>
              </w:numPr>
              <w:kinsoku/>
              <w:wordWrap/>
              <w:overflowPunct/>
              <w:topLinePunct w:val="0"/>
              <w:autoSpaceDE/>
              <w:autoSpaceDN/>
              <w:bidi w:val="0"/>
              <w:adjustRightInd/>
              <w:snapToGrid/>
              <w:spacing w:line="360" w:lineRule="auto"/>
              <w:ind w:firstLine="0" w:firstLineChars="0"/>
              <w:textAlignment w:val="auto"/>
              <w:rPr>
                <w:rFonts w:hint="eastAsia" w:ascii="宋体" w:hAnsi="宋体" w:cs="宋体"/>
                <w:sz w:val="22"/>
                <w:szCs w:val="22"/>
                <w:highlight w:val="none"/>
                <w:lang w:val="en-US" w:eastAsia="zh-CN"/>
              </w:rPr>
            </w:pPr>
            <w:r>
              <w:rPr>
                <w:rFonts w:hint="eastAsia" w:ascii="宋体" w:hAnsi="宋体" w:eastAsia="宋体" w:cs="宋体"/>
                <w:sz w:val="22"/>
                <w:szCs w:val="22"/>
                <w:highlight w:val="none"/>
                <w:lang w:val="en-US" w:eastAsia="zh-CN"/>
              </w:rPr>
              <w:t>★通过Ex ib IIB T3 Gb防爆等级试验报告；</w:t>
            </w:r>
            <w:r>
              <w:rPr>
                <w:rFonts w:hint="eastAsia" w:ascii="宋体" w:hAnsi="宋体" w:eastAsia="宋体" w:cs="宋体"/>
                <w:b/>
                <w:bCs/>
                <w:sz w:val="22"/>
                <w:szCs w:val="22"/>
                <w:highlight w:val="none"/>
                <w:lang w:val="en-US" w:eastAsia="zh-CN"/>
              </w:rPr>
              <w:t>（提供相关证明文件并加盖厂家公章佐证）</w:t>
            </w:r>
          </w:p>
        </w:tc>
        <w:tc>
          <w:tcPr>
            <w:tcW w:w="75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5套</w:t>
            </w:r>
          </w:p>
        </w:tc>
        <w:tc>
          <w:tcPr>
            <w:tcW w:w="106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含3年数据服务</w:t>
            </w:r>
          </w:p>
        </w:tc>
      </w:tr>
    </w:tbl>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highlight w:val="none"/>
          <w:lang w:val="en-US" w:eastAsia="zh-CN"/>
        </w:rPr>
      </w:pPr>
      <w:bookmarkStart w:id="318" w:name="_Toc14164"/>
      <w:bookmarkStart w:id="319" w:name="_Toc6714"/>
      <w:bookmarkStart w:id="320" w:name="_Toc19189"/>
      <w:bookmarkStart w:id="321" w:name="_Toc5875"/>
      <w:bookmarkStart w:id="322" w:name="_Toc26214"/>
      <w:bookmarkStart w:id="323" w:name="_Toc7896"/>
      <w:bookmarkStart w:id="324" w:name="_Toc28996"/>
      <w:bookmarkStart w:id="325" w:name="_Toc6440"/>
      <w:bookmarkStart w:id="326" w:name="_Toc20725"/>
      <w:bookmarkStart w:id="327" w:name="_Toc28839"/>
      <w:bookmarkStart w:id="328" w:name="_Toc23404"/>
      <w:bookmarkStart w:id="329" w:name="_Toc10866"/>
      <w:bookmarkStart w:id="330" w:name="_Toc4519"/>
      <w:bookmarkStart w:id="331" w:name="_Toc13623"/>
      <w:bookmarkStart w:id="332" w:name="_Toc15454"/>
      <w:bookmarkStart w:id="333" w:name="_Toc19323"/>
      <w:bookmarkStart w:id="334" w:name="_Toc25310"/>
      <w:bookmarkStart w:id="335" w:name="_Toc11328"/>
      <w:bookmarkStart w:id="336" w:name="_Toc10297"/>
      <w:bookmarkStart w:id="337" w:name="_Toc11981"/>
      <w:bookmarkStart w:id="338" w:name="_Toc18379"/>
      <w:r>
        <w:rPr>
          <w:rFonts w:hint="eastAsia" w:ascii="宋体" w:hAnsi="宋体" w:eastAsia="宋体" w:cs="宋体"/>
          <w:b/>
          <w:bCs/>
          <w:sz w:val="22"/>
          <w:szCs w:val="22"/>
          <w:highlight w:val="none"/>
          <w:lang w:val="en-US" w:eastAsia="zh-CN"/>
        </w:rPr>
        <w:t>1.11配套三维应用移动设备</w:t>
      </w:r>
      <w:bookmarkEnd w:id="318"/>
      <w:bookmarkEnd w:id="319"/>
      <w:bookmarkEnd w:id="320"/>
      <w:bookmarkEnd w:id="321"/>
      <w:bookmarkEnd w:id="322"/>
      <w:bookmarkEnd w:id="323"/>
      <w:bookmarkEnd w:id="324"/>
      <w:bookmarkEnd w:id="325"/>
      <w:bookmarkEnd w:id="326"/>
      <w:bookmarkEnd w:id="327"/>
      <w:bookmarkEnd w:id="328"/>
      <w:bookmarkEnd w:id="329"/>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本项目将提供支持三维管网AR应用的移动设备，结合实际需要建设计划采购2台配套三维应用移动设备，并按照智慧排水平台要求接入相关数据信息含设备移动端AR三维管网应用授权，以满足防汛可视化指挥和维养管理需要。</w:t>
      </w:r>
    </w:p>
    <w:tbl>
      <w:tblPr>
        <w:tblStyle w:val="6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66"/>
        <w:gridCol w:w="6006"/>
        <w:gridCol w:w="1150"/>
        <w:gridCol w:w="16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2" w:type="dxa"/>
            <w:shd w:val="clear" w:color="auto" w:fill="F1F1F1"/>
            <w:noWrap w:val="0"/>
            <w:vAlign w:val="top"/>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名称</w:t>
            </w:r>
          </w:p>
        </w:tc>
        <w:tc>
          <w:tcPr>
            <w:tcW w:w="5192" w:type="dxa"/>
            <w:shd w:val="clear" w:color="auto" w:fill="F1F1F1"/>
            <w:noWrap w:val="0"/>
            <w:vAlign w:val="top"/>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参数内容</w:t>
            </w:r>
          </w:p>
        </w:tc>
        <w:tc>
          <w:tcPr>
            <w:tcW w:w="994"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数量</w:t>
            </w:r>
          </w:p>
        </w:tc>
        <w:tc>
          <w:tcPr>
            <w:tcW w:w="1411"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移动端设备</w:t>
            </w:r>
          </w:p>
        </w:tc>
        <w:tc>
          <w:tcPr>
            <w:tcW w:w="5192" w:type="dxa"/>
            <w:noWrap w:val="0"/>
            <w:vAlign w:val="top"/>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1、CPU ≥八核，2.0GHz</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2、内存存储：RAM≥ 8GB ROM≥128GB</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3、操作系统：Android 12及以上</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4、显示屏尺寸≥ 6.0 inch</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5、分辨率≥720*1612</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6、摄像头前置≥ 32MP，后置摄像头≥48MP</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7、支持ARCore功能。</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8、电池要求内置聚合物锂离子电池，≥5800mAh</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9、网络支持：WIFI 、蓝牙、4G、</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10、GPS ：支持GPS/Beidou/Galileo/GLONASS</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 xml:space="preserve">11、支持Type C *1，TF卡 *1，SIM卡 *1                                          </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12、包含电源适配器、Type-C数据线（1m）</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13、IP68防护</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14、设备一年质保</w:t>
            </w:r>
          </w:p>
        </w:tc>
        <w:tc>
          <w:tcPr>
            <w:tcW w:w="99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2台</w:t>
            </w:r>
          </w:p>
        </w:tc>
        <w:tc>
          <w:tcPr>
            <w:tcW w:w="1411"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包含3年数据流量</w:t>
            </w:r>
          </w:p>
        </w:tc>
      </w:tr>
    </w:tbl>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highlight w:val="none"/>
          <w:lang w:val="en-US" w:eastAsia="zh-CN"/>
        </w:rPr>
      </w:pPr>
      <w:bookmarkStart w:id="339" w:name="_Toc22554"/>
      <w:r>
        <w:rPr>
          <w:rFonts w:hint="eastAsia" w:ascii="宋体" w:hAnsi="宋体" w:eastAsia="宋体" w:cs="宋体"/>
          <w:b/>
          <w:bCs/>
          <w:sz w:val="22"/>
          <w:szCs w:val="22"/>
          <w:highlight w:val="none"/>
          <w:lang w:val="en-US" w:eastAsia="zh-CN"/>
        </w:rPr>
        <w:t>1.12配套移动作业工作机</w:t>
      </w:r>
      <w:bookmarkEnd w:id="339"/>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本项目将提供支持排水业务及防汛指挥调度应用的移动设备，结合实际需要建设计划采购15台配套移动作业工作机，并按照智慧排水平台要求接入相关数据信息，以满足移动办公和防汛可视化指挥管理的需要。</w:t>
      </w:r>
    </w:p>
    <w:tbl>
      <w:tblPr>
        <w:tblStyle w:val="6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66"/>
        <w:gridCol w:w="6052"/>
        <w:gridCol w:w="1103"/>
        <w:gridCol w:w="16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2"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名称</w:t>
            </w:r>
          </w:p>
        </w:tc>
        <w:tc>
          <w:tcPr>
            <w:tcW w:w="5232"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参数内容</w:t>
            </w:r>
          </w:p>
        </w:tc>
        <w:tc>
          <w:tcPr>
            <w:tcW w:w="954"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数量</w:t>
            </w:r>
          </w:p>
        </w:tc>
        <w:tc>
          <w:tcPr>
            <w:tcW w:w="1411"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移动作业工作机</w:t>
            </w:r>
          </w:p>
        </w:tc>
        <w:tc>
          <w:tcPr>
            <w:tcW w:w="5232" w:type="dxa"/>
            <w:noWrap w:val="0"/>
            <w:vAlign w:val="top"/>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1、CPU ≥八核心</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2、内存存储：RAM≥ 8GB ROM≥128GB</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3、操作系统：HarmonyOS4.2以上</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4、显示屏尺寸≥ 11.5英寸</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5、分辨率≥2800*1840</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6、摄像头前置≥ 800万摄像头，后置摄像头≥1300万摄像头</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7、感应器：环境光传感器，霍尔传感器，陀螺仪，重力传感器</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8、电池要求内置锂聚合物电池，≥8800mAh</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9、网络支持：WIFI 、蓝牙</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10、GPS ：支持GPS/Beidou/Galileo/GLONASS</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 xml:space="preserve">11、支持USB3.0 Type-C                                    </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12、包含主机 x1充电器 x1数据线 x1</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13、IP68防护</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14、增加平板键盘、外壳套装等</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15、设备一年质保</w:t>
            </w:r>
          </w:p>
        </w:tc>
        <w:tc>
          <w:tcPr>
            <w:tcW w:w="95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15台</w:t>
            </w:r>
          </w:p>
        </w:tc>
        <w:tc>
          <w:tcPr>
            <w:tcW w:w="1411"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jc w:val="center"/>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无</w:t>
            </w:r>
          </w:p>
        </w:tc>
      </w:tr>
    </w:tbl>
    <w:p>
      <w:pPr>
        <w:spacing w:line="360" w:lineRule="auto"/>
        <w:rPr>
          <w:rFonts w:hint="eastAsia" w:ascii="宋体" w:hAnsi="宋体" w:eastAsia="宋体" w:cs="宋体"/>
          <w:sz w:val="22"/>
          <w:szCs w:val="2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highlight w:val="none"/>
          <w:lang w:val="en-US" w:eastAsia="zh-CN"/>
        </w:rPr>
      </w:pPr>
      <w:bookmarkStart w:id="340" w:name="_Toc6111"/>
      <w:bookmarkStart w:id="341" w:name="_Toc9269"/>
      <w:r>
        <w:rPr>
          <w:rFonts w:hint="eastAsia" w:ascii="宋体" w:hAnsi="宋体" w:eastAsia="宋体" w:cs="宋体"/>
          <w:b/>
          <w:bCs/>
          <w:sz w:val="22"/>
          <w:szCs w:val="22"/>
          <w:highlight w:val="none"/>
          <w:lang w:val="en-US" w:eastAsia="zh-CN"/>
        </w:rPr>
        <w:t>1.1</w:t>
      </w:r>
      <w:r>
        <w:rPr>
          <w:rFonts w:hint="eastAsia" w:ascii="宋体" w:hAnsi="宋体" w:cs="宋体"/>
          <w:b/>
          <w:bCs/>
          <w:sz w:val="22"/>
          <w:szCs w:val="22"/>
          <w:highlight w:val="none"/>
          <w:lang w:val="en-US" w:eastAsia="zh-CN"/>
        </w:rPr>
        <w:t>3</w:t>
      </w:r>
      <w:r>
        <w:rPr>
          <w:rFonts w:hint="eastAsia" w:ascii="宋体" w:hAnsi="宋体" w:eastAsia="宋体" w:cs="宋体"/>
          <w:b/>
          <w:bCs/>
          <w:sz w:val="22"/>
          <w:szCs w:val="22"/>
          <w:highlight w:val="none"/>
          <w:lang w:val="en-US" w:eastAsia="zh-CN"/>
        </w:rPr>
        <w:t>泵站运行状态实时监测及数据展示</w:t>
      </w:r>
      <w:bookmarkEnd w:id="330"/>
      <w:bookmarkEnd w:id="331"/>
      <w:bookmarkEnd w:id="332"/>
      <w:bookmarkEnd w:id="333"/>
      <w:bookmarkEnd w:id="334"/>
      <w:bookmarkEnd w:id="335"/>
      <w:bookmarkEnd w:id="336"/>
      <w:bookmarkEnd w:id="337"/>
      <w:bookmarkEnd w:id="338"/>
      <w:bookmarkEnd w:id="340"/>
      <w:bookmarkEnd w:id="341"/>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本期项目将通过泵站数据采集改造增加采集网关及控制柜，实现泵站运行数据采集接入，结合实际需要建设对应的设备，本项目计划采购3套接入网关，并按照智慧排水平台要求接入相关数据信息，以满足防汛可视化指挥和维养管理需要。</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系统支持以地图形式显示泵站的空间分配，支持查看监测泵站设备内容。</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通过采集监测数据，系统能够实时查看各泵站的报表、运行、瞬时/累计流量、电压、水位、网络数据连接、用电量等泵站其他运行情况，并同步监测设备的运行工况，如发生异常状态（如连接、低电量），自动报警提示。</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支持提供数据功能，用户可查看泵站不同段的运行变化情况、瞬时/累计流量、历史数据、曲线图、报表、报警情况等。</w:t>
      </w:r>
    </w:p>
    <w:p>
      <w:pPr>
        <w:pStyle w:val="62"/>
        <w:spacing w:line="360" w:lineRule="auto"/>
        <w:ind w:left="0" w:leftChars="0" w:firstLine="440" w:firstLineChars="200"/>
        <w:rPr>
          <w:rFonts w:hint="eastAsia" w:ascii="宋体" w:hAnsi="宋体" w:cs="宋体"/>
          <w:sz w:val="22"/>
          <w:szCs w:val="22"/>
          <w:highlight w:val="none"/>
          <w:lang w:val="en-US" w:eastAsia="zh-CN"/>
        </w:rPr>
      </w:pPr>
      <w:r>
        <w:rPr>
          <w:rFonts w:hint="eastAsia" w:ascii="宋体" w:hAnsi="宋体" w:eastAsia="宋体" w:cs="宋体"/>
          <w:sz w:val="22"/>
          <w:szCs w:val="22"/>
          <w:highlight w:val="none"/>
          <w:lang w:val="en-US" w:eastAsia="zh-CN"/>
        </w:rPr>
        <w:t>相关设备参考参数如下：</w:t>
      </w:r>
    </w:p>
    <w:tbl>
      <w:tblPr>
        <w:tblStyle w:val="6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2"/>
        <w:gridCol w:w="6645"/>
        <w:gridCol w:w="878"/>
        <w:gridCol w:w="1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名称</w:t>
            </w:r>
          </w:p>
        </w:tc>
        <w:tc>
          <w:tcPr>
            <w:tcW w:w="5747"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内容参数</w:t>
            </w:r>
          </w:p>
        </w:tc>
        <w:tc>
          <w:tcPr>
            <w:tcW w:w="759"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数量</w:t>
            </w:r>
          </w:p>
        </w:tc>
        <w:tc>
          <w:tcPr>
            <w:tcW w:w="1063"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接入网关</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p>
        </w:tc>
        <w:tc>
          <w:tcPr>
            <w:tcW w:w="5747" w:type="dxa"/>
            <w:noWrap w:val="0"/>
            <w:vAlign w:val="top"/>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一、 功能部分</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应支持全频段4G LTE支持向下兼容3G，</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应支持网管系统统一管理， 且能够通过网管系统对其进行统一的网络连接状态监测和配置管理、实时状态监测预警。</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应支持支持多种工业接口模块化扩展（AIO，DIO，SERIAL，CAN，LORA）</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应支持NTP校时、同时带有硬件RTC。</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应带有硬件看门狗，以保障系统稳定运行。</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应支持OpenVPN组网功能。</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应具备Type-C调试口。</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应支持通过RS232/RS485转4G网络实现双向透传功能，传输模式支持TCP、UDP、Modbus。</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南向应支持EthernetIP/Modbus TCP/Modbus RTU/Melsec/S7 Ethernet/DCS/CNC/仪表等多种工业设备协议解析。</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北向应支持EIP/Modbus TCP/OPCUA/HTTP/MQTT/定制化。</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二、硬件规格以及系统防护：</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应支持不少于2路100Mbps以太网接口，不少于1路工业RS485接口。</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应支持导轨安装方式、采用塑料机身、无风扇散热</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★应具备CE、RoHS证书，须提供相关认证证明文件。</w:t>
            </w:r>
            <w:r>
              <w:rPr>
                <w:rFonts w:hint="eastAsia" w:ascii="宋体" w:hAnsi="宋体" w:eastAsia="宋体" w:cs="宋体"/>
                <w:b/>
                <w:bCs/>
                <w:sz w:val="22"/>
                <w:szCs w:val="22"/>
                <w:highlight w:val="none"/>
                <w:lang w:val="en-US" w:eastAsia="zh-CN"/>
              </w:rPr>
              <w:t>（提供相关证明材料佐证）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三、工业网关的NMS网络管理功能：</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应支持账号管理功能，支持管理员重置操作员密码、对操作员账户进行增删改查等操作；操作员可查看设备信息以及设备的工作状态。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应支持设备管理功能，设备增删改查，对设备进行远程重启、日志导出、恢复出厂等操作。</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应支持配置管理功能，可根据配置名称和型号选择对应的配置文件进行远程批量升级；对用户账号下的网关配置进行增删改查等管理操作。</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应支持固件管理功能，可根据用户所使用的设备型号选择对应的固件进行远程批量升级；</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应支持密码管理功能，可更改当前用户的登录密码。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应支持系统日志；可以记录所有系统操作、报警信息的日志记录，可查看所有用户历史操作记录。</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应支持工业网关设备的实时状态监测和预警，提供设备信号值、信号质量、温度、时延等参数的实时监测及状态预警提醒功能。</w:t>
            </w:r>
          </w:p>
        </w:tc>
        <w:tc>
          <w:tcPr>
            <w:tcW w:w="75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3套</w:t>
            </w:r>
          </w:p>
        </w:tc>
        <w:tc>
          <w:tcPr>
            <w:tcW w:w="106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控制柜根据现场情况定制</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p>
        </w:tc>
      </w:tr>
    </w:tbl>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highlight w:val="none"/>
          <w:lang w:val="en-US" w:eastAsia="zh-CN"/>
        </w:rPr>
      </w:pPr>
      <w:bookmarkStart w:id="342" w:name="_Toc13419"/>
      <w:bookmarkStart w:id="343" w:name="_Toc13494"/>
      <w:bookmarkStart w:id="344" w:name="_Toc8361"/>
      <w:bookmarkStart w:id="345" w:name="_Toc17074"/>
      <w:bookmarkStart w:id="346" w:name="_Toc21613"/>
      <w:bookmarkStart w:id="347" w:name="_Toc10783"/>
      <w:bookmarkStart w:id="348" w:name="_Toc6627"/>
      <w:bookmarkStart w:id="349" w:name="_Toc22126"/>
      <w:bookmarkStart w:id="350" w:name="_Toc24258"/>
      <w:bookmarkStart w:id="351" w:name="_Toc11999"/>
      <w:bookmarkStart w:id="352" w:name="_Toc27082"/>
      <w:r>
        <w:rPr>
          <w:rFonts w:hint="eastAsia" w:ascii="宋体" w:hAnsi="宋体" w:eastAsia="宋体" w:cs="宋体"/>
          <w:b/>
          <w:bCs/>
          <w:sz w:val="22"/>
          <w:szCs w:val="22"/>
          <w:highlight w:val="none"/>
          <w:lang w:val="en-US" w:eastAsia="zh-CN"/>
        </w:rPr>
        <w:t>1.1</w:t>
      </w:r>
      <w:r>
        <w:rPr>
          <w:rFonts w:hint="eastAsia" w:ascii="宋体" w:hAnsi="宋体" w:cs="宋体"/>
          <w:b/>
          <w:bCs/>
          <w:sz w:val="22"/>
          <w:szCs w:val="22"/>
          <w:highlight w:val="none"/>
          <w:lang w:val="en-US" w:eastAsia="zh-CN"/>
        </w:rPr>
        <w:t>4</w:t>
      </w:r>
      <w:r>
        <w:rPr>
          <w:rFonts w:hint="eastAsia" w:ascii="宋体" w:hAnsi="宋体" w:eastAsia="宋体" w:cs="宋体"/>
          <w:b/>
          <w:bCs/>
          <w:sz w:val="22"/>
          <w:szCs w:val="22"/>
          <w:highlight w:val="none"/>
          <w:lang w:val="en-US" w:eastAsia="zh-CN"/>
        </w:rPr>
        <w:t>水厂运行状态监测及数据展示</w:t>
      </w:r>
      <w:bookmarkEnd w:id="342"/>
      <w:bookmarkEnd w:id="343"/>
      <w:bookmarkEnd w:id="344"/>
      <w:bookmarkEnd w:id="345"/>
      <w:bookmarkEnd w:id="346"/>
      <w:bookmarkEnd w:id="347"/>
      <w:bookmarkEnd w:id="348"/>
      <w:bookmarkEnd w:id="349"/>
      <w:bookmarkEnd w:id="350"/>
      <w:bookmarkEnd w:id="351"/>
      <w:bookmarkEnd w:id="352"/>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本项目将在洞头区排水管网增加采集网关及控制柜，实现污水厂主要运行数据接入，结合实际需要建设对应的设备，本项目计划采购2套接入网关，并按照智慧排水平台要求接入相关数据信息，以满足防汛可视化指挥和维养管理需要。</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系统支持以地图形式显示泵站的空间分配，支持查看监测泵站设备内容。</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通过采集监测数据，系统能够实时查看各污水厂的报表、运行、瞬时/累计流量、电压、水位、网络数据连接、用电量等运行情况，并同步监测设备的运行工况，如发生异常状态（如连接、低电量）图标自动高亮提示。</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支持提供数据功能，用户可查看我污水厂不同段的运行变化情况、历史数据、瞬时/累计流量、曲线图、报警情况等。</w:t>
      </w:r>
    </w:p>
    <w:p>
      <w:pPr>
        <w:bidi w:val="0"/>
        <w:spacing w:line="360" w:lineRule="auto"/>
        <w:ind w:firstLine="420" w:firstLineChars="0"/>
        <w:rPr>
          <w:rFonts w:hint="eastAsia" w:ascii="宋体" w:hAnsi="宋体" w:cs="宋体"/>
          <w:sz w:val="22"/>
          <w:szCs w:val="22"/>
          <w:highlight w:val="none"/>
        </w:rPr>
      </w:pPr>
      <w:r>
        <w:rPr>
          <w:rFonts w:hint="eastAsia" w:ascii="宋体" w:hAnsi="宋体" w:eastAsia="宋体" w:cs="宋体"/>
          <w:sz w:val="22"/>
          <w:szCs w:val="22"/>
          <w:highlight w:val="none"/>
          <w:lang w:val="en-US" w:eastAsia="zh-CN"/>
        </w:rPr>
        <w:t>设备参考参数如下：</w:t>
      </w:r>
    </w:p>
    <w:tbl>
      <w:tblPr>
        <w:tblStyle w:val="6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2"/>
        <w:gridCol w:w="6645"/>
        <w:gridCol w:w="878"/>
        <w:gridCol w:w="1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名称</w:t>
            </w:r>
          </w:p>
        </w:tc>
        <w:tc>
          <w:tcPr>
            <w:tcW w:w="5747"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内容参数</w:t>
            </w:r>
          </w:p>
        </w:tc>
        <w:tc>
          <w:tcPr>
            <w:tcW w:w="759"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数量</w:t>
            </w:r>
          </w:p>
        </w:tc>
        <w:tc>
          <w:tcPr>
            <w:tcW w:w="1063"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b/>
                <w:bCs/>
                <w:spacing w:val="-1"/>
                <w:sz w:val="22"/>
                <w:szCs w:val="22"/>
                <w:highlight w:val="none"/>
                <w:vertAlign w:val="baseline"/>
                <w:lang w:val="en-US" w:eastAsia="zh-CN"/>
              </w:rPr>
            </w:pPr>
            <w:r>
              <w:rPr>
                <w:rFonts w:hint="eastAsia" w:ascii="宋体" w:hAnsi="宋体" w:eastAsia="宋体" w:cs="宋体"/>
                <w:b/>
                <w:bCs/>
                <w:spacing w:val="-1"/>
                <w:sz w:val="22"/>
                <w:szCs w:val="22"/>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接入网关</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p>
        </w:tc>
        <w:tc>
          <w:tcPr>
            <w:tcW w:w="5747" w:type="dxa"/>
            <w:noWrap w:val="0"/>
            <w:vAlign w:val="top"/>
          </w:tcPr>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一、功能部分</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应支持全频段4G LTE支持向下兼容3G，</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应支持网管系统统一管理， 且能够通过网管系统对其进行统一的网络连接状态监测和配置管理、实时状态监测预警。</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应支持支持多种工业接口模块化扩展（AIO，DIO，SERIAL，CAN，LORA）</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应支持NTP校时、同时带有硬件RTC。</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应带有硬件看门狗，以保障系统稳定运行。</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应支持OpenVPN组网功能。</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应具备Type-C调试口。</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应支持通过RS232/RS485转4G网络实现双向透传功能，传输模式支持TCP、UDP、Modbus。</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南向应支持EthernetIP/Modbus TCP/Modbus RTU/Melsec/S7 Ethernet/DCS/CNC/仪表等多种工业设备协议解析。</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北向应支持EIP/Modbus TCP/OPCUA/HTTP/MQTT/定制化。</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二、硬件规格以及系统防护：</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应支持不少于2路100Mbps以太网接口，不少于1路工业RS485接口。</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应支持导轨安装方式、采用塑料机身、无风扇散热</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★应具备CE、RoHS证书，须提供相关认证证明文件。</w:t>
            </w:r>
            <w:r>
              <w:rPr>
                <w:rFonts w:hint="eastAsia" w:ascii="宋体" w:hAnsi="宋体" w:eastAsia="宋体" w:cs="宋体"/>
                <w:b/>
                <w:bCs/>
                <w:sz w:val="22"/>
                <w:szCs w:val="22"/>
                <w:highlight w:val="none"/>
                <w:lang w:val="en-US" w:eastAsia="zh-CN"/>
              </w:rPr>
              <w:t>（提供相关证明材料佐证）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三、工业网关的NMS网络管理功能：</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应支持账号管理功能，支持管理员重置操作员密码、对操作员账户进行增删改查等操作；操作员可查看设备信息以及设备的工作状态。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应支持设备管理功能，设备增删改查，对设备进行远程重启、日志导出、恢复出厂等操作。</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应支持配置管理功能，可根据配置名称和型号选择对应的配置文件进行远程批量升级；对用户账号下的网关配置进行增删改查等管理操作。</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应支持固件管理功能，可根据用户所使用的设备型号选择对应的固件进行远程批量升级；</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应支持密码管理功能，可更改当前用户的登录密码。</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应支持系统日志；可以记录所有系统操作、报警信息的日志记录，可查看所有用户历史操作记录。</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应支持工业网关设备的实时状态监测和预警，提供设备信号值、信号质量、温度、时延等参数的实时监测及状态预警提醒功能。</w:t>
            </w:r>
          </w:p>
        </w:tc>
        <w:tc>
          <w:tcPr>
            <w:tcW w:w="75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2套</w:t>
            </w:r>
          </w:p>
        </w:tc>
        <w:tc>
          <w:tcPr>
            <w:tcW w:w="106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控制柜根据现场情况定制</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sz w:val="22"/>
                <w:szCs w:val="22"/>
                <w:highlight w:val="none"/>
                <w:lang w:val="en-US" w:eastAsia="zh-CN"/>
              </w:rPr>
            </w:pPr>
          </w:p>
        </w:tc>
      </w:tr>
    </w:tbl>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highlight w:val="none"/>
          <w:lang w:val="en-US" w:eastAsia="zh-CN"/>
        </w:rPr>
      </w:pPr>
      <w:bookmarkStart w:id="353" w:name="_Toc9612"/>
      <w:bookmarkStart w:id="354" w:name="_Toc29515"/>
      <w:bookmarkStart w:id="355" w:name="_Toc15685"/>
      <w:bookmarkStart w:id="356" w:name="_Toc16257"/>
      <w:bookmarkStart w:id="357" w:name="_Toc6643"/>
      <w:bookmarkStart w:id="358" w:name="_Toc8424"/>
      <w:bookmarkStart w:id="359" w:name="_Toc17992"/>
      <w:bookmarkStart w:id="360" w:name="_Toc23299"/>
      <w:bookmarkStart w:id="361" w:name="_Toc1211"/>
      <w:bookmarkStart w:id="362" w:name="_Toc20192"/>
      <w:bookmarkStart w:id="363" w:name="_Toc21417"/>
      <w:r>
        <w:rPr>
          <w:rFonts w:hint="eastAsia" w:ascii="宋体" w:hAnsi="宋体" w:eastAsia="宋体" w:cs="宋体"/>
          <w:b/>
          <w:bCs/>
          <w:sz w:val="22"/>
          <w:szCs w:val="22"/>
          <w:highlight w:val="none"/>
          <w:lang w:val="en-US" w:eastAsia="zh-CN"/>
        </w:rPr>
        <w:t>1.1</w:t>
      </w:r>
      <w:r>
        <w:rPr>
          <w:rFonts w:hint="eastAsia" w:ascii="宋体" w:hAnsi="宋体" w:cs="宋体"/>
          <w:b/>
          <w:bCs/>
          <w:sz w:val="22"/>
          <w:szCs w:val="22"/>
          <w:highlight w:val="none"/>
          <w:lang w:val="en-US" w:eastAsia="zh-CN"/>
        </w:rPr>
        <w:t>5</w:t>
      </w:r>
      <w:r>
        <w:rPr>
          <w:rFonts w:hint="eastAsia" w:ascii="宋体" w:hAnsi="宋体" w:eastAsia="宋体" w:cs="宋体"/>
          <w:b/>
          <w:bCs/>
          <w:sz w:val="22"/>
          <w:szCs w:val="22"/>
          <w:highlight w:val="none"/>
          <w:lang w:val="en-US" w:eastAsia="zh-CN"/>
        </w:rPr>
        <w:t>视频监控实时监测及数据展示</w:t>
      </w:r>
      <w:bookmarkEnd w:id="353"/>
      <w:bookmarkEnd w:id="354"/>
      <w:bookmarkEnd w:id="355"/>
      <w:bookmarkEnd w:id="356"/>
      <w:bookmarkEnd w:id="357"/>
      <w:bookmarkEnd w:id="358"/>
      <w:bookmarkEnd w:id="359"/>
      <w:bookmarkEnd w:id="360"/>
      <w:bookmarkEnd w:id="361"/>
      <w:bookmarkEnd w:id="362"/>
      <w:bookmarkEnd w:id="363"/>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本期项目将通过已有的视频综合平台接入防涝和排水管理中的视频数据接入，系统支持以地图形式显示视频监控点的空间分布。通过采集监控数据，系统能够实时显示下穿通道、闸门站及道路的视频画面。此外，系统提供数据功能，用户可查看监控点在不同段的历史视频记录。</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本项目采用统一视频管理平台，实现视频监控的平台接入，与本项目信息化平台进行二次开发视频集成应用，能流畅支撑本项目视频监控的并发浏览需要。</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统一视频管理平台技术要求：</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（1）★支持在PC端、移动端实时视频观看、云台方位操作、实时语音对讲、录像片段回放、视频画面截图；设备实时视频观看，可进行变倍和焦距参数调整。</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（2）平台稳定高效，支持多用户登录，快速响应不错误。</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（3）★平台安全可靠，支持多重加密，用户端、平台、采集设备、视频流多重加密，采用高强度的多位加密算法。</w:t>
      </w:r>
    </w:p>
    <w:p>
      <w:pPr>
        <w:bidi w:val="0"/>
        <w:spacing w:line="360" w:lineRule="auto"/>
        <w:ind w:firstLine="420" w:firstLineChars="0"/>
        <w:rPr>
          <w:rFonts w:hint="eastAsia" w:ascii="宋体" w:hAnsi="宋体" w:eastAsia="宋体" w:cs="宋体"/>
          <w:sz w:val="22"/>
          <w:szCs w:val="22"/>
          <w:highlight w:val="none"/>
          <w:lang w:val="en-US" w:eastAsia="zh-CN"/>
        </w:rPr>
      </w:pPr>
      <w:r>
        <w:rPr>
          <w:rFonts w:hint="eastAsia" w:ascii="宋体" w:hAnsi="宋体" w:eastAsia="宋体" w:cs="宋体"/>
          <w:b/>
          <w:bCs/>
          <w:sz w:val="22"/>
          <w:szCs w:val="22"/>
          <w:highlight w:val="none"/>
          <w:lang w:val="en-US" w:eastAsia="zh-CN"/>
        </w:rPr>
        <w:t>（以上标★项提供国家认可的第三方检测机构出具的带CMA或CNAS标志的检测报告佐证）</w:t>
      </w:r>
    </w:p>
    <w:p>
      <w:pPr>
        <w:keepNext w:val="0"/>
        <w:keepLines w:val="0"/>
        <w:pageBreakBefore w:val="0"/>
        <w:widowControl w:val="0"/>
        <w:numPr>
          <w:ilvl w:val="0"/>
          <w:numId w:val="57"/>
        </w:numPr>
        <w:kinsoku/>
        <w:wordWrap/>
        <w:overflowPunct/>
        <w:topLinePunct w:val="0"/>
        <w:autoSpaceDE/>
        <w:autoSpaceDN/>
        <w:bidi w:val="0"/>
        <w:adjustRightInd/>
        <w:snapToGrid/>
        <w:spacing w:line="360" w:lineRule="auto"/>
        <w:textAlignment w:val="auto"/>
        <w:outlineLvl w:val="1"/>
        <w:rPr>
          <w:rFonts w:hint="eastAsia" w:ascii="宋体" w:hAnsi="宋体" w:eastAsia="宋体" w:cs="宋体"/>
          <w:b/>
          <w:bCs/>
          <w:sz w:val="22"/>
          <w:szCs w:val="22"/>
          <w:highlight w:val="none"/>
          <w:lang w:val="en-US" w:eastAsia="zh-CN"/>
        </w:rPr>
      </w:pPr>
      <w:bookmarkStart w:id="364" w:name="_Toc7572"/>
      <w:bookmarkStart w:id="365" w:name="_Toc2191"/>
      <w:r>
        <w:rPr>
          <w:rFonts w:hint="eastAsia" w:ascii="宋体" w:hAnsi="宋体" w:eastAsia="宋体" w:cs="宋体"/>
          <w:b/>
          <w:bCs/>
          <w:sz w:val="22"/>
          <w:szCs w:val="22"/>
          <w:highlight w:val="none"/>
          <w:lang w:val="en-US" w:eastAsia="zh-CN"/>
        </w:rPr>
        <w:t>物联网设备投放</w:t>
      </w:r>
      <w:r>
        <w:rPr>
          <w:rFonts w:hint="eastAsia" w:ascii="宋体" w:hAnsi="宋体" w:cs="宋体"/>
          <w:b/>
          <w:bCs/>
          <w:sz w:val="22"/>
          <w:szCs w:val="22"/>
          <w:highlight w:val="none"/>
          <w:lang w:val="en-US" w:eastAsia="zh-CN"/>
        </w:rPr>
        <w:t>量及点位布置</w:t>
      </w:r>
      <w:bookmarkEnd w:id="364"/>
      <w:bookmarkEnd w:id="365"/>
    </w:p>
    <w:tbl>
      <w:tblPr>
        <w:tblStyle w:val="6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35"/>
        <w:gridCol w:w="1472"/>
        <w:gridCol w:w="1878"/>
        <w:gridCol w:w="47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1735"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设备</w:t>
            </w:r>
          </w:p>
        </w:tc>
        <w:tc>
          <w:tcPr>
            <w:tcW w:w="1472"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数量</w:t>
            </w:r>
          </w:p>
        </w:tc>
        <w:tc>
          <w:tcPr>
            <w:tcW w:w="1878"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对接内容</w:t>
            </w:r>
          </w:p>
        </w:tc>
        <w:tc>
          <w:tcPr>
            <w:tcW w:w="4769" w:type="dxa"/>
            <w:shd w:val="clear" w:color="auto" w:fill="F1F1F1"/>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设置点位（暂）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6" w:hRule="atLeast"/>
        </w:trPr>
        <w:tc>
          <w:tcPr>
            <w:tcW w:w="173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路面积水监测</w:t>
            </w:r>
          </w:p>
        </w:tc>
        <w:tc>
          <w:tcPr>
            <w:tcW w:w="14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5套</w:t>
            </w:r>
          </w:p>
        </w:tc>
        <w:tc>
          <w:tcPr>
            <w:tcW w:w="187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路面积水监测</w:t>
            </w:r>
          </w:p>
        </w:tc>
        <w:tc>
          <w:tcPr>
            <w:tcW w:w="4769" w:type="dxa"/>
            <w:noWrap w:val="0"/>
            <w:vAlign w:val="center"/>
          </w:tcPr>
          <w:p>
            <w:pPr>
              <w:keepNext w:val="0"/>
              <w:keepLines w:val="0"/>
              <w:pageBreakBefore w:val="0"/>
              <w:widowControl w:val="0"/>
              <w:numPr>
                <w:ilvl w:val="0"/>
                <w:numId w:val="58"/>
              </w:numPr>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中心街与烈士路交叉十字路口</w:t>
            </w:r>
          </w:p>
          <w:p>
            <w:pPr>
              <w:keepNext w:val="0"/>
              <w:keepLines w:val="0"/>
              <w:pageBreakBefore w:val="0"/>
              <w:widowControl w:val="0"/>
              <w:numPr>
                <w:ilvl w:val="0"/>
                <w:numId w:val="58"/>
              </w:numPr>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中心街与昌盛街交叉口</w:t>
            </w:r>
          </w:p>
          <w:p>
            <w:pPr>
              <w:keepNext w:val="0"/>
              <w:keepLines w:val="0"/>
              <w:pageBreakBefore w:val="0"/>
              <w:widowControl w:val="0"/>
              <w:numPr>
                <w:ilvl w:val="0"/>
                <w:numId w:val="58"/>
              </w:numPr>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打水鞍村段环岛路料场口外</w:t>
            </w:r>
          </w:p>
          <w:p>
            <w:pPr>
              <w:keepNext w:val="0"/>
              <w:keepLines w:val="0"/>
              <w:pageBreakBefore w:val="0"/>
              <w:widowControl w:val="0"/>
              <w:numPr>
                <w:ilvl w:val="0"/>
                <w:numId w:val="58"/>
              </w:numPr>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城南大道与连城大道交叉转盘处</w:t>
            </w:r>
          </w:p>
          <w:p>
            <w:pPr>
              <w:keepNext w:val="0"/>
              <w:keepLines w:val="0"/>
              <w:pageBreakBefore w:val="0"/>
              <w:widowControl w:val="0"/>
              <w:numPr>
                <w:ilvl w:val="0"/>
                <w:numId w:val="58"/>
              </w:numPr>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环岛路与燕山路交叉口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3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河道水位监测</w:t>
            </w:r>
          </w:p>
        </w:tc>
        <w:tc>
          <w:tcPr>
            <w:tcW w:w="14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4套</w:t>
            </w:r>
          </w:p>
        </w:tc>
        <w:tc>
          <w:tcPr>
            <w:tcW w:w="187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河道水位监测数据</w:t>
            </w:r>
          </w:p>
        </w:tc>
        <w:tc>
          <w:tcPr>
            <w:tcW w:w="476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1.海滨河新城客运站外</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2.杨文河杨文段环岛路与燕山路交叉口</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3.南塘河南塘泵站外</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4.后垄河城南污水厂外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3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雨量监测</w:t>
            </w:r>
          </w:p>
        </w:tc>
        <w:tc>
          <w:tcPr>
            <w:tcW w:w="14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3套</w:t>
            </w:r>
          </w:p>
        </w:tc>
        <w:tc>
          <w:tcPr>
            <w:tcW w:w="187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雨量监测数据</w:t>
            </w:r>
          </w:p>
        </w:tc>
        <w:tc>
          <w:tcPr>
            <w:tcW w:w="476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1.南塘泵站、2.杨文泵站、3.新城二期泵站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3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单兵设备</w:t>
            </w:r>
          </w:p>
        </w:tc>
        <w:tc>
          <w:tcPr>
            <w:tcW w:w="14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2套</w:t>
            </w:r>
          </w:p>
        </w:tc>
        <w:tc>
          <w:tcPr>
            <w:tcW w:w="187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对接单兵定位和视频数据</w:t>
            </w:r>
          </w:p>
        </w:tc>
        <w:tc>
          <w:tcPr>
            <w:tcW w:w="476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随机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3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车载GPS</w:t>
            </w:r>
          </w:p>
        </w:tc>
        <w:tc>
          <w:tcPr>
            <w:tcW w:w="14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4套</w:t>
            </w:r>
          </w:p>
        </w:tc>
        <w:tc>
          <w:tcPr>
            <w:tcW w:w="187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对接车载GPS数据</w:t>
            </w:r>
          </w:p>
        </w:tc>
        <w:tc>
          <w:tcPr>
            <w:tcW w:w="476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四辆防汛车辆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3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井下液位监测</w:t>
            </w:r>
          </w:p>
        </w:tc>
        <w:tc>
          <w:tcPr>
            <w:tcW w:w="14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10套</w:t>
            </w:r>
          </w:p>
        </w:tc>
        <w:tc>
          <w:tcPr>
            <w:tcW w:w="187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管网检查井内液位数据</w:t>
            </w:r>
          </w:p>
        </w:tc>
        <w:tc>
          <w:tcPr>
            <w:tcW w:w="476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Y1海西路与海韵大道</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Y2连城大道与霞晖大道交叉（金田）</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Y3文昌路与燕山路交叉（可靠近环岛）</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Y4文化街与镇前路交叉（北岙街道卫生院）</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Y5中心街与繁荣街交叉（靠近城南社区）</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Y6南塘段环岛路（鑫朝电子圆外）</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W1海韵大道污水泵站外</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W2连城大道与霞晖大道交叉（老婆大人）</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W3燕山路恒博广场外（农污汇进处）</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W4通港路与普陀路（靠近普陀寺）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3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管网流量监测</w:t>
            </w:r>
          </w:p>
        </w:tc>
        <w:tc>
          <w:tcPr>
            <w:tcW w:w="14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2套</w:t>
            </w:r>
          </w:p>
        </w:tc>
        <w:tc>
          <w:tcPr>
            <w:tcW w:w="187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管网内流量数据</w:t>
            </w:r>
          </w:p>
        </w:tc>
        <w:tc>
          <w:tcPr>
            <w:tcW w:w="4769" w:type="dxa"/>
            <w:noWrap w:val="0"/>
            <w:vAlign w:val="center"/>
          </w:tcPr>
          <w:p>
            <w:pPr>
              <w:keepNext w:val="0"/>
              <w:keepLines w:val="0"/>
              <w:pageBreakBefore w:val="0"/>
              <w:widowControl w:val="0"/>
              <w:numPr>
                <w:ilvl w:val="0"/>
                <w:numId w:val="59"/>
              </w:numPr>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城南污水厂段环岛路污水交汇井</w:t>
            </w:r>
          </w:p>
          <w:p>
            <w:pPr>
              <w:keepNext w:val="0"/>
              <w:keepLines w:val="0"/>
              <w:pageBreakBefore w:val="0"/>
              <w:widowControl w:val="0"/>
              <w:numPr>
                <w:ilvl w:val="0"/>
                <w:numId w:val="59"/>
              </w:numPr>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化工路污水管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3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管网电导率水质监测</w:t>
            </w:r>
          </w:p>
        </w:tc>
        <w:tc>
          <w:tcPr>
            <w:tcW w:w="14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3套</w:t>
            </w:r>
          </w:p>
        </w:tc>
        <w:tc>
          <w:tcPr>
            <w:tcW w:w="187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电导率监测数据</w:t>
            </w:r>
          </w:p>
        </w:tc>
        <w:tc>
          <w:tcPr>
            <w:tcW w:w="4769" w:type="dxa"/>
            <w:noWrap w:val="0"/>
            <w:vAlign w:val="center"/>
          </w:tcPr>
          <w:p>
            <w:pPr>
              <w:keepNext w:val="0"/>
              <w:keepLines w:val="0"/>
              <w:pageBreakBefore w:val="0"/>
              <w:widowControl w:val="0"/>
              <w:numPr>
                <w:ilvl w:val="0"/>
                <w:numId w:val="60"/>
              </w:numPr>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新城泵站压力管出水井</w:t>
            </w:r>
          </w:p>
          <w:p>
            <w:pPr>
              <w:keepNext w:val="0"/>
              <w:keepLines w:val="0"/>
              <w:pageBreakBefore w:val="0"/>
              <w:widowControl w:val="0"/>
              <w:numPr>
                <w:ilvl w:val="0"/>
                <w:numId w:val="60"/>
              </w:numPr>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九厅路与霞晖大道交叉（杨文泵站提升管出水口）</w:t>
            </w:r>
          </w:p>
          <w:p>
            <w:pPr>
              <w:keepNext w:val="0"/>
              <w:keepLines w:val="0"/>
              <w:pageBreakBefore w:val="0"/>
              <w:widowControl w:val="0"/>
              <w:numPr>
                <w:ilvl w:val="0"/>
                <w:numId w:val="60"/>
              </w:numPr>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铁炉头段环岛路污水井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3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管网COD水质监测</w:t>
            </w:r>
          </w:p>
        </w:tc>
        <w:tc>
          <w:tcPr>
            <w:tcW w:w="14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2套</w:t>
            </w:r>
          </w:p>
        </w:tc>
        <w:tc>
          <w:tcPr>
            <w:tcW w:w="187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管网内COD水质数据</w:t>
            </w:r>
          </w:p>
        </w:tc>
        <w:tc>
          <w:tcPr>
            <w:tcW w:w="4769" w:type="dxa"/>
            <w:noWrap w:val="0"/>
            <w:vAlign w:val="center"/>
          </w:tcPr>
          <w:p>
            <w:pPr>
              <w:keepNext w:val="0"/>
              <w:keepLines w:val="0"/>
              <w:pageBreakBefore w:val="0"/>
              <w:widowControl w:val="0"/>
              <w:numPr>
                <w:ilvl w:val="0"/>
                <w:numId w:val="61"/>
              </w:numPr>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新城泵站外中兴路污水进水管（南洋）</w:t>
            </w:r>
          </w:p>
          <w:p>
            <w:pPr>
              <w:keepNext w:val="0"/>
              <w:keepLines w:val="0"/>
              <w:pageBreakBefore w:val="0"/>
              <w:widowControl w:val="0"/>
              <w:numPr>
                <w:ilvl w:val="0"/>
                <w:numId w:val="61"/>
              </w:numPr>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通港路与普陀路（靠近普陀寺）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3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智能井盖监测</w:t>
            </w:r>
          </w:p>
        </w:tc>
        <w:tc>
          <w:tcPr>
            <w:tcW w:w="14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5套</w:t>
            </w:r>
          </w:p>
        </w:tc>
        <w:tc>
          <w:tcPr>
            <w:tcW w:w="187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智能井盖监测数据</w:t>
            </w:r>
          </w:p>
        </w:tc>
        <w:tc>
          <w:tcPr>
            <w:tcW w:w="4769" w:type="dxa"/>
            <w:noWrap w:val="0"/>
            <w:vAlign w:val="center"/>
          </w:tcPr>
          <w:p>
            <w:pPr>
              <w:keepNext w:val="0"/>
              <w:keepLines w:val="0"/>
              <w:pageBreakBefore w:val="0"/>
              <w:widowControl w:val="0"/>
              <w:numPr>
                <w:ilvl w:val="0"/>
                <w:numId w:val="62"/>
              </w:numPr>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海西路与霞光大道交叉雨水井</w:t>
            </w:r>
          </w:p>
          <w:p>
            <w:pPr>
              <w:keepNext w:val="0"/>
              <w:keepLines w:val="0"/>
              <w:pageBreakBefore w:val="0"/>
              <w:widowControl w:val="0"/>
              <w:numPr>
                <w:ilvl w:val="0"/>
                <w:numId w:val="62"/>
              </w:numPr>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霞晖大道安居出口（国网边）污水井</w:t>
            </w:r>
          </w:p>
          <w:p>
            <w:pPr>
              <w:keepNext w:val="0"/>
              <w:keepLines w:val="0"/>
              <w:pageBreakBefore w:val="0"/>
              <w:widowControl w:val="0"/>
              <w:numPr>
                <w:ilvl w:val="0"/>
                <w:numId w:val="62"/>
              </w:numPr>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城南大道与中兴路交叉口雨水井</w:t>
            </w:r>
          </w:p>
          <w:p>
            <w:pPr>
              <w:keepNext w:val="0"/>
              <w:keepLines w:val="0"/>
              <w:pageBreakBefore w:val="0"/>
              <w:widowControl w:val="0"/>
              <w:numPr>
                <w:ilvl w:val="0"/>
                <w:numId w:val="62"/>
              </w:numPr>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溢香路南塘小区外雨水井</w:t>
            </w:r>
          </w:p>
          <w:p>
            <w:pPr>
              <w:keepNext w:val="0"/>
              <w:keepLines w:val="0"/>
              <w:pageBreakBefore w:val="0"/>
              <w:widowControl w:val="0"/>
              <w:numPr>
                <w:ilvl w:val="0"/>
                <w:numId w:val="62"/>
              </w:numPr>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溢香路南塘小区外污水井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3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移动端</w:t>
            </w:r>
          </w:p>
        </w:tc>
        <w:tc>
          <w:tcPr>
            <w:tcW w:w="14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2台</w:t>
            </w:r>
          </w:p>
        </w:tc>
        <w:tc>
          <w:tcPr>
            <w:tcW w:w="187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对接移动端相关定位数据</w:t>
            </w:r>
          </w:p>
        </w:tc>
        <w:tc>
          <w:tcPr>
            <w:tcW w:w="476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随工作人员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3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移动工作机</w:t>
            </w:r>
          </w:p>
        </w:tc>
        <w:tc>
          <w:tcPr>
            <w:tcW w:w="14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15台</w:t>
            </w:r>
          </w:p>
        </w:tc>
        <w:tc>
          <w:tcPr>
            <w:tcW w:w="187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对接移动端相关定位数据</w:t>
            </w:r>
          </w:p>
        </w:tc>
        <w:tc>
          <w:tcPr>
            <w:tcW w:w="476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随工作人员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3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泵站网关</w:t>
            </w:r>
          </w:p>
        </w:tc>
        <w:tc>
          <w:tcPr>
            <w:tcW w:w="14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3套</w:t>
            </w:r>
          </w:p>
        </w:tc>
        <w:tc>
          <w:tcPr>
            <w:tcW w:w="187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泵站运行监测数据</w:t>
            </w:r>
          </w:p>
        </w:tc>
        <w:tc>
          <w:tcPr>
            <w:tcW w:w="476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泵站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3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污水厂网关</w:t>
            </w:r>
          </w:p>
        </w:tc>
        <w:tc>
          <w:tcPr>
            <w:tcW w:w="14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2套</w:t>
            </w:r>
          </w:p>
        </w:tc>
        <w:tc>
          <w:tcPr>
            <w:tcW w:w="187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污水厂运行监测数据</w:t>
            </w:r>
          </w:p>
        </w:tc>
        <w:tc>
          <w:tcPr>
            <w:tcW w:w="476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污水厂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3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视频监控</w:t>
            </w:r>
          </w:p>
        </w:tc>
        <w:tc>
          <w:tcPr>
            <w:tcW w:w="14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3座污水厂4座泵站</w:t>
            </w:r>
          </w:p>
        </w:tc>
        <w:tc>
          <w:tcPr>
            <w:tcW w:w="187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对接泵站和污水厂的视频监控数据</w:t>
            </w:r>
          </w:p>
        </w:tc>
        <w:tc>
          <w:tcPr>
            <w:tcW w:w="476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1.南塘泵站、2.杨文泵站、3.新城泵站、4.一中泵站、5.城南污水厂、6.城北污水厂、7、大门污水厂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3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道路监控</w:t>
            </w:r>
          </w:p>
        </w:tc>
        <w:tc>
          <w:tcPr>
            <w:tcW w:w="1472"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洞头区道路</w:t>
            </w:r>
          </w:p>
        </w:tc>
        <w:tc>
          <w:tcPr>
            <w:tcW w:w="187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对接视频监控数据</w:t>
            </w:r>
          </w:p>
        </w:tc>
        <w:tc>
          <w:tcPr>
            <w:tcW w:w="4769"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2"/>
                <w:szCs w:val="22"/>
                <w:lang w:val="en-US" w:eastAsia="zh-CN"/>
              </w:rPr>
            </w:pPr>
          </w:p>
        </w:tc>
      </w:tr>
    </w:tbl>
    <w:p>
      <w:pPr>
        <w:numPr>
          <w:ilvl w:val="0"/>
          <w:numId w:val="45"/>
        </w:numPr>
        <w:spacing w:after="120" w:line="360" w:lineRule="auto"/>
        <w:outlineLvl w:val="9"/>
        <w:rPr>
          <w:rFonts w:hint="eastAsia" w:ascii="宋体" w:hAnsi="宋体" w:eastAsia="宋体" w:cs="宋体"/>
          <w:b/>
          <w:bCs/>
          <w:i w:val="0"/>
          <w:iCs w:val="0"/>
          <w:caps w:val="0"/>
          <w:color w:val="auto"/>
          <w:spacing w:val="0"/>
          <w:kern w:val="0"/>
          <w:sz w:val="28"/>
          <w:szCs w:val="28"/>
          <w:shd w:val="clear" w:color="auto" w:fill="auto"/>
          <w:lang w:val="en-US" w:eastAsia="zh-CN"/>
        </w:rPr>
      </w:pPr>
      <w:bookmarkStart w:id="366" w:name="_Toc15391"/>
      <w:bookmarkStart w:id="367" w:name="_Toc9451"/>
      <w:bookmarkStart w:id="368" w:name="_Toc29216"/>
      <w:bookmarkStart w:id="369" w:name="_Toc1146"/>
      <w:bookmarkStart w:id="370" w:name="_Toc16233"/>
      <w:bookmarkStart w:id="371" w:name="_Toc5481"/>
      <w:bookmarkStart w:id="372" w:name="_Toc719"/>
      <w:bookmarkStart w:id="373" w:name="_Toc23618"/>
      <w:bookmarkStart w:id="374" w:name="_Toc25464"/>
      <w:bookmarkStart w:id="375" w:name="_Toc19846"/>
      <w:bookmarkStart w:id="376" w:name="_Toc32497"/>
      <w:bookmarkStart w:id="377" w:name="_Toc6463"/>
      <w:r>
        <w:rPr>
          <w:rFonts w:hint="eastAsia" w:ascii="宋体" w:hAnsi="宋体" w:eastAsia="宋体" w:cs="宋体"/>
          <w:b/>
          <w:bCs/>
          <w:i w:val="0"/>
          <w:iCs w:val="0"/>
          <w:caps w:val="0"/>
          <w:color w:val="auto"/>
          <w:spacing w:val="0"/>
          <w:kern w:val="0"/>
          <w:sz w:val="28"/>
          <w:szCs w:val="28"/>
          <w:shd w:val="clear" w:color="auto" w:fill="auto"/>
        </w:rPr>
        <w:t>系统功能</w:t>
      </w:r>
      <w:bookmarkEnd w:id="366"/>
      <w:bookmarkEnd w:id="367"/>
      <w:bookmarkEnd w:id="368"/>
      <w:r>
        <w:rPr>
          <w:rFonts w:hint="eastAsia" w:ascii="宋体" w:hAnsi="宋体" w:eastAsia="宋体" w:cs="宋体"/>
          <w:b/>
          <w:bCs/>
          <w:i w:val="0"/>
          <w:iCs w:val="0"/>
          <w:caps w:val="0"/>
          <w:color w:val="auto"/>
          <w:spacing w:val="0"/>
          <w:kern w:val="0"/>
          <w:sz w:val="28"/>
          <w:szCs w:val="28"/>
          <w:shd w:val="clear" w:color="auto" w:fill="auto"/>
          <w:lang w:val="en-US" w:eastAsia="zh-CN"/>
        </w:rPr>
        <w:t>架构分解</w:t>
      </w:r>
      <w:bookmarkEnd w:id="369"/>
      <w:bookmarkEnd w:id="370"/>
      <w:bookmarkEnd w:id="371"/>
      <w:bookmarkEnd w:id="372"/>
      <w:bookmarkEnd w:id="373"/>
      <w:bookmarkEnd w:id="374"/>
      <w:bookmarkEnd w:id="375"/>
      <w:bookmarkEnd w:id="376"/>
      <w:bookmarkEnd w:id="377"/>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宋体" w:hAnsi="宋体" w:eastAsia="宋体" w:cs="宋体"/>
          <w:b/>
          <w:bCs/>
          <w:sz w:val="22"/>
          <w:szCs w:val="22"/>
          <w:lang w:val="en-US" w:eastAsia="zh-CN"/>
        </w:rPr>
      </w:pPr>
      <w:bookmarkStart w:id="378" w:name="_Toc8270"/>
      <w:bookmarkStart w:id="379" w:name="_Toc4313"/>
      <w:bookmarkStart w:id="380" w:name="_Toc16068"/>
      <w:bookmarkStart w:id="381" w:name="_Toc25100"/>
      <w:bookmarkStart w:id="382" w:name="_Toc7166"/>
      <w:bookmarkStart w:id="383" w:name="_Toc29846"/>
      <w:bookmarkStart w:id="384" w:name="_Toc19242"/>
      <w:bookmarkStart w:id="385" w:name="_Toc32143"/>
      <w:bookmarkStart w:id="386" w:name="_Toc26848"/>
      <w:bookmarkStart w:id="387" w:name="_Toc27167"/>
      <w:bookmarkStart w:id="388" w:name="_Toc13435"/>
      <w:bookmarkStart w:id="389" w:name="_Toc27242"/>
      <w:r>
        <w:rPr>
          <w:rFonts w:hint="eastAsia" w:ascii="宋体" w:hAnsi="宋体" w:eastAsia="宋体" w:cs="宋体"/>
          <w:b/>
          <w:bCs/>
          <w:sz w:val="22"/>
          <w:szCs w:val="22"/>
          <w:lang w:val="en-US" w:eastAsia="zh-CN"/>
        </w:rPr>
        <w:t>1、基础</w:t>
      </w:r>
      <w:r>
        <w:rPr>
          <w:rFonts w:hint="eastAsia" w:ascii="宋体" w:hAnsi="宋体" w:cs="宋体"/>
          <w:b/>
          <w:bCs/>
          <w:sz w:val="22"/>
          <w:szCs w:val="22"/>
          <w:lang w:val="en-US" w:eastAsia="zh-CN"/>
        </w:rPr>
        <w:t>支撑</w:t>
      </w:r>
      <w:r>
        <w:rPr>
          <w:rFonts w:hint="eastAsia" w:ascii="宋体" w:hAnsi="宋体" w:eastAsia="宋体" w:cs="宋体"/>
          <w:b/>
          <w:bCs/>
          <w:sz w:val="22"/>
          <w:szCs w:val="22"/>
          <w:lang w:val="en-US" w:eastAsia="zh-CN"/>
        </w:rPr>
        <w:t>平台</w:t>
      </w:r>
      <w:bookmarkEnd w:id="378"/>
      <w:bookmarkEnd w:id="379"/>
      <w:bookmarkEnd w:id="380"/>
      <w:bookmarkEnd w:id="381"/>
      <w:bookmarkEnd w:id="382"/>
      <w:bookmarkEnd w:id="383"/>
      <w:bookmarkEnd w:id="384"/>
      <w:bookmarkEnd w:id="385"/>
      <w:bookmarkEnd w:id="386"/>
      <w:bookmarkEnd w:id="387"/>
      <w:bookmarkEnd w:id="388"/>
      <w:bookmarkEnd w:id="389"/>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支持实现全国产化环境。</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sz w:val="22"/>
          <w:szCs w:val="22"/>
          <w:lang w:val="en-US" w:eastAsia="zh-CN"/>
        </w:rPr>
      </w:pPr>
      <w:bookmarkStart w:id="390" w:name="_Toc10"/>
      <w:bookmarkStart w:id="391" w:name="_Toc22506"/>
      <w:bookmarkStart w:id="392" w:name="_Toc7791"/>
      <w:bookmarkStart w:id="393" w:name="_Toc13893"/>
      <w:bookmarkStart w:id="394" w:name="_Toc15375"/>
      <w:bookmarkStart w:id="395" w:name="_Toc11760"/>
      <w:bookmarkStart w:id="396" w:name="_Toc26557"/>
      <w:bookmarkStart w:id="397" w:name="_Toc23379"/>
      <w:bookmarkStart w:id="398" w:name="_Toc24542"/>
      <w:bookmarkStart w:id="399" w:name="_Toc21356"/>
      <w:bookmarkStart w:id="400" w:name="_Toc14097"/>
      <w:bookmarkStart w:id="401" w:name="_Toc31356"/>
      <w:r>
        <w:rPr>
          <w:rFonts w:hint="eastAsia" w:ascii="宋体" w:hAnsi="宋体" w:eastAsia="宋体" w:cs="宋体"/>
          <w:b/>
          <w:bCs/>
          <w:sz w:val="22"/>
          <w:szCs w:val="22"/>
          <w:lang w:val="en-US" w:eastAsia="zh-CN"/>
        </w:rPr>
        <w:t>1.1高性能数据库管理系统</w:t>
      </w:r>
      <w:bookmarkEnd w:id="390"/>
      <w:bookmarkEnd w:id="391"/>
      <w:bookmarkEnd w:id="392"/>
      <w:bookmarkEnd w:id="393"/>
      <w:bookmarkEnd w:id="394"/>
      <w:bookmarkEnd w:id="395"/>
      <w:bookmarkEnd w:id="396"/>
      <w:bookmarkEnd w:id="397"/>
      <w:bookmarkEnd w:id="398"/>
      <w:bookmarkEnd w:id="399"/>
      <w:bookmarkEnd w:id="400"/>
      <w:bookmarkEnd w:id="401"/>
    </w:p>
    <w:p>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工业级实时数据库管理，实现年度亿级数据存储和秒级别数据调取能力。支持对各类数据采集、压缩、存储、检索、分析反馈、控制等功能，实现数据标准制定与现有数据核查，数据处理与入库，数据拓扑检查与修正，在线监测网络建设，数据存储与管理，数据应用与决策支持等。</w:t>
      </w:r>
    </w:p>
    <w:p>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数据库系统需要具有永久使用权，并满足以下特性能力：</w:t>
      </w:r>
    </w:p>
    <w:p>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1、压缩能力。本项目传感器产生的数据量是非常庞大的，数据压缩可以降低存储成本。</w:t>
      </w:r>
    </w:p>
    <w:p>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2、支持分片，水平扩展。因为涉及的传感器可能很多，单个节点可能比较容易成为瓶颈，所以数据库应该具备水平扩展的能力，例如分表应该支持水平分区。</w:t>
      </w:r>
    </w:p>
    <w:p>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3、自动扩展分区，业务对时序数据的查询，往往都会带上对时间区间进行过滤，因此时序数据通常在分区时，一定会有一个时间分区的概念。数据库务必能够支持自动扩展分区。</w:t>
      </w:r>
    </w:p>
    <w:p>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4、插入性能。时序数据，插入是一个强需求。对于插入性能要求较高。</w:t>
      </w:r>
    </w:p>
    <w:p>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5、分区可删除。</w:t>
      </w:r>
    </w:p>
    <w:p>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6、易用性(SQL接口)。</w:t>
      </w:r>
    </w:p>
    <w:p>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7、类型丰富。物联网的终端各异，会有越来越多的非标准类型的支持需求。例如采集图像的传感器，数据库中至少要能够存取图像的特征值。</w:t>
      </w:r>
    </w:p>
    <w:p>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8、索引接口。支持多种索引创建。</w:t>
      </w:r>
    </w:p>
    <w:p>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9、高效分析能力。</w:t>
      </w:r>
    </w:p>
    <w:p>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10、支持持续查询，能够自动定期计算聚合数据，提高查询效率。</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sz w:val="22"/>
          <w:szCs w:val="22"/>
          <w:lang w:val="en-US" w:eastAsia="zh-CN"/>
        </w:rPr>
      </w:pPr>
      <w:bookmarkStart w:id="402" w:name="_Toc19537"/>
      <w:bookmarkStart w:id="403" w:name="_Toc24364"/>
      <w:bookmarkStart w:id="404" w:name="_Toc8334"/>
      <w:bookmarkStart w:id="405" w:name="_Toc17942"/>
      <w:bookmarkStart w:id="406" w:name="_Toc32204"/>
      <w:bookmarkStart w:id="407" w:name="_Toc6089"/>
      <w:bookmarkStart w:id="408" w:name="_Toc11625"/>
      <w:bookmarkStart w:id="409" w:name="_Toc15542"/>
      <w:bookmarkStart w:id="410" w:name="_Toc10428"/>
      <w:bookmarkStart w:id="411" w:name="_Toc31506"/>
      <w:bookmarkStart w:id="412" w:name="_Toc11839"/>
      <w:bookmarkStart w:id="413" w:name="_Toc24465"/>
      <w:r>
        <w:rPr>
          <w:rFonts w:hint="eastAsia" w:ascii="宋体" w:hAnsi="宋体" w:eastAsia="宋体" w:cs="宋体"/>
          <w:b/>
          <w:bCs/>
          <w:sz w:val="22"/>
          <w:szCs w:val="22"/>
          <w:lang w:val="en-US" w:eastAsia="zh-CN"/>
        </w:rPr>
        <w:t>1.2地理信息系统服务端开发平台</w:t>
      </w:r>
      <w:bookmarkEnd w:id="402"/>
      <w:bookmarkEnd w:id="403"/>
      <w:bookmarkEnd w:id="404"/>
      <w:bookmarkEnd w:id="405"/>
      <w:bookmarkEnd w:id="406"/>
      <w:bookmarkEnd w:id="407"/>
      <w:bookmarkEnd w:id="408"/>
      <w:bookmarkEnd w:id="409"/>
      <w:bookmarkEnd w:id="410"/>
      <w:bookmarkEnd w:id="411"/>
      <w:bookmarkEnd w:id="412"/>
      <w:bookmarkEnd w:id="413"/>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提供管网空间数据存储、调取、备份、分析等基础空间数据管理功能，支撑二三维管网GIS应用开发。开发平台包括且不限于如下功能：</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1）基础GIS二次开发控件</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点线面对象访问，同空间数据库进行交互。</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支持工作空间、图层管理，支持设置图层的顺序、显示比例尺。</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支持符号化管理功能。</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空间分析功能，提供点、线、面的缓冲区分析功能，提供对象空间关系分析功能。</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2）矢量地图发布服务</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WMS矢量地图发布服务，提供基础的点线面符号样式设置，提供道路线的边线处理、交叉路口处理。提供点的四方向注记自动显示和避让，提供线对象的沿线标注和角度旋转。</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主要技术要求：</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1. 支持按瓦片方式请求WMS服务。数据更改之后，WMS返回的地图要支持实时变化。</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2. WMS支持多用户对同一个区域的同时访问。</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3. 对同一个用户，返回的地图图片注记接边显示正常，不能存在注记被截断或者缺漏的情况。</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4. 注记显示疏密合理，能达到基本的美观要求。</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5. WMS性能较高，在100万点、5万线状数据的条件下，能支持快速返回地图图片，单图片平均输出耗时不超过1秒，最大单图片输出耗时不超过3秒。</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3）专题图发布服务</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提供等值图、饼图、柱状图等专题图发布。</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根据管网的类别和行政区划进行数量或长度统计，并发布为不同类型的专题地图。</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sz w:val="22"/>
          <w:szCs w:val="22"/>
          <w:lang w:val="en-US" w:eastAsia="zh-CN"/>
        </w:rPr>
      </w:pPr>
      <w:bookmarkStart w:id="414" w:name="_Toc25692"/>
      <w:bookmarkStart w:id="415" w:name="_Toc15126"/>
      <w:bookmarkStart w:id="416" w:name="_Toc10011"/>
      <w:bookmarkStart w:id="417" w:name="_Toc17396"/>
      <w:bookmarkStart w:id="418" w:name="_Toc12135"/>
      <w:bookmarkStart w:id="419" w:name="_Toc26034"/>
      <w:bookmarkStart w:id="420" w:name="_Toc5641"/>
      <w:bookmarkStart w:id="421" w:name="_Toc8068"/>
      <w:bookmarkStart w:id="422" w:name="_Toc17824"/>
      <w:bookmarkStart w:id="423" w:name="_Toc22708"/>
      <w:bookmarkStart w:id="424" w:name="_Toc2496"/>
      <w:bookmarkStart w:id="425" w:name="_Toc841"/>
      <w:r>
        <w:rPr>
          <w:rFonts w:hint="eastAsia" w:ascii="宋体" w:hAnsi="宋体" w:eastAsia="宋体" w:cs="宋体"/>
          <w:b/>
          <w:bCs/>
          <w:sz w:val="22"/>
          <w:szCs w:val="22"/>
          <w:lang w:val="en-US" w:eastAsia="zh-CN"/>
        </w:rPr>
        <w:t>1.3地理信息系统移动端开发平台</w:t>
      </w:r>
      <w:bookmarkEnd w:id="414"/>
      <w:bookmarkEnd w:id="415"/>
      <w:bookmarkEnd w:id="416"/>
      <w:bookmarkEnd w:id="417"/>
      <w:bookmarkEnd w:id="418"/>
      <w:bookmarkEnd w:id="419"/>
      <w:bookmarkEnd w:id="420"/>
      <w:bookmarkEnd w:id="421"/>
      <w:bookmarkEnd w:id="422"/>
      <w:bookmarkEnd w:id="423"/>
      <w:bookmarkEnd w:id="424"/>
      <w:bookmarkEnd w:id="425"/>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提供地图浏览、地图量算、图层管理、专题制图等地图操作能力:提供数据编辑、查询、风格设置、格式转换、投影转换等数据管理能力:提供GIS数据、多媒体数据、轨迹记录等数据采集功能:提供与云平台分布式分析、网络分析等服务访问功能。</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支持在线、离线浏览加载各种GIS基础数据和三维数据，对接Online三维服务。</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对模型、倾斜、BIM等三维数据三维通视分析。</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显示三维粒子、水面等三维特效、三维AR功能。</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提供基于增强现实技术实现的AR地图可视化、AR测量、AR数据采集和AR定位功能。</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★支持基于HarmonyOS内核的移动GIS开发包。（</w:t>
      </w:r>
      <w:r>
        <w:rPr>
          <w:rFonts w:hint="eastAsia" w:ascii="宋体" w:hAnsi="宋体" w:eastAsia="宋体" w:cs="宋体"/>
          <w:b/>
          <w:bCs/>
          <w:sz w:val="22"/>
          <w:szCs w:val="22"/>
          <w:lang w:val="en-US" w:eastAsia="zh-CN"/>
        </w:rPr>
        <w:t>提供产品彩页截图证明，并附带该产品厂家的官网网址下的产品彩页网址备查，未提供网址或者网址不是官网地址的不满足要求）</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提供支持三维管网AR应用的移动设备，配置不低于6G内存128G存储，支持ARCore功能。支持移动GIS开发包，含设备移动端AR三维管网应用授权。</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426" w:name="_Toc23585"/>
      <w:r>
        <w:rPr>
          <w:rFonts w:hint="eastAsia" w:ascii="宋体" w:hAnsi="宋体" w:eastAsia="宋体" w:cs="宋体"/>
          <w:b/>
          <w:bCs/>
          <w:sz w:val="22"/>
          <w:szCs w:val="22"/>
          <w:lang w:val="en-US" w:eastAsia="zh-CN"/>
        </w:rPr>
        <w:t>1.4支持等保评估</w:t>
      </w:r>
      <w:bookmarkEnd w:id="426"/>
    </w:p>
    <w:p>
      <w:pPr>
        <w:bidi w:val="0"/>
        <w:spacing w:line="360" w:lineRule="auto"/>
        <w:ind w:firstLine="420" w:firstLineChars="0"/>
        <w:rPr>
          <w:rFonts w:hint="eastAsia" w:ascii="宋体" w:hAnsi="宋体" w:eastAsia="宋体" w:cs="宋体"/>
          <w:sz w:val="22"/>
          <w:szCs w:val="22"/>
          <w:lang w:val="en-US" w:eastAsia="zh-CN"/>
        </w:rPr>
      </w:pPr>
      <w:bookmarkStart w:id="427" w:name="_Toc7628"/>
      <w:r>
        <w:rPr>
          <w:rFonts w:hint="eastAsia" w:ascii="宋体" w:hAnsi="宋体" w:eastAsia="宋体" w:cs="宋体"/>
          <w:sz w:val="22"/>
          <w:szCs w:val="22"/>
          <w:lang w:val="en-US" w:eastAsia="zh-CN"/>
        </w:rPr>
        <w:t>本项目需要支持完成项目二级等保</w:t>
      </w:r>
      <w:bookmarkEnd w:id="427"/>
      <w:r>
        <w:rPr>
          <w:rFonts w:hint="eastAsia" w:ascii="宋体" w:hAnsi="宋体" w:eastAsia="宋体" w:cs="宋体"/>
          <w:sz w:val="22"/>
          <w:szCs w:val="22"/>
          <w:lang w:val="en-US" w:eastAsia="zh-CN"/>
        </w:rPr>
        <w:t>评估。</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outlineLvl w:val="1"/>
        <w:rPr>
          <w:rFonts w:hint="eastAsia" w:ascii="宋体" w:hAnsi="宋体" w:eastAsia="宋体" w:cs="宋体"/>
          <w:b/>
          <w:bCs/>
          <w:sz w:val="22"/>
          <w:szCs w:val="22"/>
          <w:lang w:val="en-US" w:eastAsia="zh-CN"/>
        </w:rPr>
      </w:pPr>
      <w:bookmarkStart w:id="428" w:name="_Toc4945"/>
      <w:bookmarkStart w:id="429" w:name="_Toc23734"/>
      <w:r>
        <w:rPr>
          <w:rFonts w:hint="eastAsia" w:ascii="宋体" w:hAnsi="宋体" w:cs="宋体"/>
          <w:b/>
          <w:bCs/>
          <w:sz w:val="22"/>
          <w:szCs w:val="22"/>
          <w:lang w:val="en-US" w:eastAsia="zh-CN"/>
        </w:rPr>
        <w:t>2、</w:t>
      </w:r>
      <w:r>
        <w:rPr>
          <w:rFonts w:hint="eastAsia" w:ascii="宋体" w:hAnsi="宋体" w:eastAsia="宋体" w:cs="宋体"/>
          <w:b/>
          <w:bCs/>
          <w:sz w:val="22"/>
          <w:szCs w:val="22"/>
          <w:lang w:val="en-US" w:eastAsia="zh-CN"/>
        </w:rPr>
        <w:t>平台系统功能模块</w:t>
      </w:r>
      <w:bookmarkEnd w:id="428"/>
      <w:bookmarkEnd w:id="429"/>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outlineLvl w:val="1"/>
        <w:rPr>
          <w:rFonts w:hint="eastAsia" w:ascii="宋体" w:hAnsi="宋体" w:cs="宋体"/>
          <w:b/>
          <w:bCs/>
          <w:sz w:val="22"/>
          <w:szCs w:val="22"/>
          <w:lang w:val="en-US" w:eastAsia="zh-CN"/>
        </w:rPr>
      </w:pPr>
      <w:bookmarkStart w:id="430" w:name="_Toc9739"/>
      <w:bookmarkStart w:id="431" w:name="_Toc12178"/>
      <w:r>
        <w:rPr>
          <w:rFonts w:hint="eastAsia" w:ascii="宋体" w:hAnsi="宋体" w:cs="宋体"/>
          <w:b/>
          <w:bCs/>
          <w:sz w:val="22"/>
          <w:szCs w:val="22"/>
          <w:lang w:val="en-US" w:eastAsia="zh-CN"/>
        </w:rPr>
        <w:t>2.1数据库</w:t>
      </w:r>
      <w:bookmarkEnd w:id="430"/>
      <w:bookmarkEnd w:id="431"/>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本项目建设需使用的基础软件需使用的操作系统、数据库软件、中间件等必须使用国产化。</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432" w:name="_Toc3822"/>
      <w:bookmarkStart w:id="433" w:name="_Toc18503"/>
      <w:r>
        <w:rPr>
          <w:rFonts w:hint="eastAsia" w:ascii="宋体" w:hAnsi="宋体" w:eastAsia="宋体" w:cs="宋体"/>
          <w:b/>
          <w:bCs/>
          <w:sz w:val="22"/>
          <w:szCs w:val="22"/>
          <w:lang w:val="en-US" w:eastAsia="zh-CN"/>
        </w:rPr>
        <w:t>2.1.1数据库建设</w:t>
      </w:r>
      <w:bookmarkEnd w:id="432"/>
      <w:bookmarkEnd w:id="433"/>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运用GIS技术，接入的洞头区空间中心的二维矢量地图、影像地图、地名地址数据等数据，‌构建统一数据库，对洞头区现有的综合管网数据（排水、供水、燃气、电力管网等12类）、以及泵站、污水厂进行收集、整理、数据质量检查、拓扑关系处理、坐标统一处理等，建立综合管网数据库，排水管网运维数据库（包括排水管网巡养、修复、新建以及疏通排查）、附属设施数据库（包括厂、站、网、物联感知设备）、内涝防汛等数据库，实现二三维可视化和分析。</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434" w:name="_Toc21309"/>
      <w:bookmarkStart w:id="435" w:name="_Toc20541"/>
      <w:r>
        <w:rPr>
          <w:rFonts w:hint="eastAsia" w:ascii="宋体" w:hAnsi="宋体" w:eastAsia="宋体" w:cs="宋体"/>
          <w:b/>
          <w:bCs/>
          <w:sz w:val="22"/>
          <w:szCs w:val="22"/>
          <w:lang w:val="en-US" w:eastAsia="zh-CN"/>
        </w:rPr>
        <w:t>2.1.2基础数据库整理</w:t>
      </w:r>
      <w:bookmarkEnd w:id="434"/>
      <w:bookmarkEnd w:id="435"/>
    </w:p>
    <w:p>
      <w:pPr>
        <w:bidi w:val="0"/>
        <w:spacing w:line="360" w:lineRule="auto"/>
        <w:ind w:firstLine="420" w:firstLineChars="0"/>
        <w:rPr>
          <w:rFonts w:hint="eastAsia" w:ascii="宋体" w:hAnsi="宋体" w:cs="宋体"/>
          <w:sz w:val="22"/>
          <w:szCs w:val="22"/>
        </w:rPr>
      </w:pPr>
      <w:r>
        <w:rPr>
          <w:rFonts w:hint="eastAsia" w:ascii="宋体" w:hAnsi="宋体" w:eastAsia="宋体" w:cs="宋体"/>
          <w:sz w:val="22"/>
          <w:szCs w:val="22"/>
          <w:lang w:val="en-US" w:eastAsia="zh-CN"/>
        </w:rPr>
        <w:t>为给管网管理、内涝风险预测和GIS展示等提供数据支撑，进行如下基础数据的整理工作。</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数据标准化与规范化处理，对采集到的管网数据、监测数据和历史数据进行格式统一、单位标准化和编码规则，提高数据的兼容性和可用性，保证数据一致性（错误率≤1%）。</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数据质量检查，运用数据校验算法和逻辑规则（如一致性、关系连接关系、逻辑合理性）对数据进行准确性、一致性和一致性检查，及时发现并修正错误数据，包括数据库格式检查、规范性检查、点线表属性一致性检查、点线连接关系检查和逻辑合理性检查（如排水逆流、高程落差检查）。</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数据入库与存储，将经过处理和检查的数据安全、高效存储到数据库中。</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数据清洗，识别和删除、对无效数据和异常值，通过数据清洗工具提高数据质量。</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数据出现异常(如数据到达某个阈值)进行报警或重置恢复。</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数据转换，统一来自不同来源（如传感器、GIS、第三方平台）的数据格式和结构，生成标准数据格式，支持数据映射和格式转换。</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数据拓扑重建，对管网空间数据建立网络拓扑和几何拓扑关系，确保满足无连接缺陷。</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数据校正与更新，将现有的管网普查数据、竣工测量数据（纸质/电子）和最新动态更新数据进行校内核对，更新至数据库中，确保数据的实时性。</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管线数据入库完成后，为使其整体美观、便于应用，达到最佳的视觉效果，必须对它们进行符号化处理，这按照最新的标准和规范对每类管线每个元素制作符合规范要求的符号和字体。符号和字体在制作过程中必须对大小、角度、颜色严格要求，如遇特殊符号，还需经过多符号的图层叠加来完成制作</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436" w:name="_Toc8921"/>
      <w:bookmarkStart w:id="437" w:name="_Toc920"/>
      <w:bookmarkStart w:id="438" w:name="_Toc24460"/>
      <w:bookmarkStart w:id="439" w:name="_Toc30920"/>
      <w:bookmarkStart w:id="440" w:name="_Toc3314"/>
      <w:bookmarkStart w:id="441" w:name="_Toc28744"/>
      <w:bookmarkStart w:id="442" w:name="_Toc26737"/>
      <w:bookmarkStart w:id="443" w:name="_Toc1322"/>
      <w:bookmarkStart w:id="444" w:name="_Toc13429"/>
      <w:bookmarkStart w:id="445" w:name="_Toc18397"/>
      <w:bookmarkStart w:id="446" w:name="_Toc25531"/>
      <w:bookmarkStart w:id="447" w:name="_Toc2677"/>
      <w:r>
        <w:rPr>
          <w:rFonts w:hint="eastAsia" w:ascii="宋体" w:hAnsi="宋体" w:cs="宋体"/>
          <w:b/>
          <w:bCs/>
          <w:sz w:val="22"/>
          <w:szCs w:val="22"/>
          <w:lang w:val="en-US" w:eastAsia="zh-CN"/>
        </w:rPr>
        <w:t>2.1.3</w:t>
      </w:r>
      <w:r>
        <w:rPr>
          <w:rFonts w:hint="eastAsia" w:ascii="宋体" w:hAnsi="宋体" w:eastAsia="宋体" w:cs="宋体"/>
          <w:b/>
          <w:bCs/>
          <w:sz w:val="22"/>
          <w:szCs w:val="22"/>
          <w:lang w:val="en-US" w:eastAsia="zh-CN"/>
        </w:rPr>
        <w:t>数据平台对接</w:t>
      </w:r>
      <w:bookmarkEnd w:id="436"/>
      <w:bookmarkEnd w:id="437"/>
      <w:bookmarkEnd w:id="438"/>
      <w:bookmarkEnd w:id="439"/>
      <w:bookmarkEnd w:id="440"/>
      <w:bookmarkEnd w:id="441"/>
      <w:bookmarkEnd w:id="442"/>
      <w:bookmarkEnd w:id="443"/>
      <w:bookmarkEnd w:id="444"/>
      <w:bookmarkEnd w:id="445"/>
      <w:bookmarkEnd w:id="446"/>
      <w:bookmarkEnd w:id="447"/>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本期项目将基于标准接口实现数据对接的建设，系统支持与外部平台和设备的无缝数据交互，为本期项目的监测、风险预测、调度和管理提供数据支持。通过对接监测数据、第三方气象数据和管网运行数据，能够实现多源数据的实时采集和同步，保证数据共享和业务顺畅。</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支持与温州市排水平台的数据对接，提供标准数据接口，在权限允许的情况下支持调取系统数据；在温州市平台接口允许的情况下，支持通过接口实时推送数据到市平台，实现双向数据对接。</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支持与气象局系统的单向数据对接，获取未来4天天气数据、潮汐数据和当前天气数据，确保数据及时性和准确性。</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支持与洞头区现有视频监控平台的实时数据对接，获取易涝点、风险点、泵站、闸门站、道路、下穿通道等关键区域的视频流，支持实时观看、历史回放。</w:t>
      </w:r>
    </w:p>
    <w:p>
      <w:pPr>
        <w:keepNext w:val="0"/>
        <w:keepLines w:val="0"/>
        <w:widowControl/>
        <w:numPr>
          <w:ilvl w:val="0"/>
          <w:numId w:val="0"/>
        </w:numPr>
        <w:suppressLineNumbers w:val="0"/>
        <w:pBdr>
          <w:top w:val="none" w:color="auto" w:sz="0" w:space="0"/>
          <w:bottom w:val="none" w:color="auto" w:sz="0" w:space="0"/>
          <w:right w:val="none" w:color="auto" w:sz="0" w:space="0"/>
        </w:pBdr>
        <w:spacing w:before="80" w:beforeAutospacing="0" w:after="80" w:afterAutospacing="0" w:line="360" w:lineRule="auto"/>
        <w:ind w:right="0" w:rightChars="0"/>
        <w:jc w:val="left"/>
        <w:outlineLvl w:val="1"/>
        <w:rPr>
          <w:rFonts w:hint="eastAsia" w:ascii="宋体" w:hAnsi="宋体" w:eastAsia="宋体" w:cs="宋体"/>
          <w:b/>
          <w:bCs/>
          <w:color w:val="auto"/>
          <w:sz w:val="22"/>
          <w:szCs w:val="22"/>
          <w:lang w:val="en-US" w:eastAsia="zh-CN"/>
        </w:rPr>
      </w:pPr>
      <w:bookmarkStart w:id="448" w:name="_Toc8110"/>
      <w:bookmarkStart w:id="449" w:name="_Toc174"/>
      <w:bookmarkStart w:id="450" w:name="_Toc27623"/>
      <w:bookmarkStart w:id="451" w:name="_Toc3077"/>
      <w:bookmarkStart w:id="452" w:name="_Toc21020"/>
      <w:bookmarkStart w:id="453" w:name="_Toc24409"/>
      <w:bookmarkStart w:id="454" w:name="_Toc28934"/>
      <w:bookmarkStart w:id="455" w:name="_Toc24310"/>
      <w:bookmarkStart w:id="456" w:name="_Toc1631"/>
      <w:bookmarkStart w:id="457" w:name="_Toc27987"/>
      <w:bookmarkStart w:id="458" w:name="_Toc14750"/>
      <w:bookmarkStart w:id="459" w:name="_Toc20731"/>
      <w:r>
        <w:rPr>
          <w:rFonts w:hint="eastAsia" w:ascii="宋体" w:hAnsi="宋体" w:cs="宋体"/>
          <w:b/>
          <w:bCs/>
          <w:color w:val="auto"/>
          <w:sz w:val="22"/>
          <w:szCs w:val="22"/>
          <w:lang w:val="en-US" w:eastAsia="zh-CN"/>
        </w:rPr>
        <w:t>2.2</w:t>
      </w:r>
      <w:r>
        <w:rPr>
          <w:rFonts w:hint="eastAsia" w:ascii="宋体" w:hAnsi="宋体" w:eastAsia="宋体" w:cs="宋体"/>
          <w:b/>
          <w:bCs/>
          <w:color w:val="auto"/>
          <w:sz w:val="22"/>
          <w:szCs w:val="22"/>
          <w:lang w:val="en-US" w:eastAsia="zh-CN"/>
        </w:rPr>
        <w:t>、综合管网运行管理</w:t>
      </w:r>
      <w:bookmarkEnd w:id="448"/>
      <w:bookmarkEnd w:id="449"/>
      <w:bookmarkEnd w:id="450"/>
      <w:bookmarkEnd w:id="451"/>
      <w:bookmarkEnd w:id="452"/>
      <w:bookmarkEnd w:id="453"/>
      <w:bookmarkEnd w:id="454"/>
      <w:bookmarkEnd w:id="455"/>
      <w:bookmarkEnd w:id="456"/>
      <w:bookmarkEnd w:id="457"/>
      <w:bookmarkEnd w:id="458"/>
      <w:bookmarkEnd w:id="459"/>
    </w:p>
    <w:p>
      <w:pPr>
        <w:bidi w:val="0"/>
        <w:spacing w:line="360" w:lineRule="auto"/>
        <w:ind w:firstLine="420" w:firstLineChars="0"/>
        <w:rPr>
          <w:rFonts w:hint="eastAsia" w:ascii="宋体" w:hAnsi="宋体" w:cs="宋体"/>
          <w:sz w:val="22"/>
          <w:szCs w:val="22"/>
          <w:lang w:val="en-US" w:eastAsia="zh-CN"/>
        </w:rPr>
      </w:pPr>
      <w:r>
        <w:rPr>
          <w:rFonts w:hint="eastAsia" w:ascii="宋体" w:hAnsi="宋体" w:eastAsia="宋体" w:cs="宋体"/>
          <w:sz w:val="22"/>
          <w:szCs w:val="22"/>
          <w:lang w:val="en-US" w:eastAsia="zh-CN"/>
        </w:rPr>
        <w:t>对洞头区供排水、燃气、电力、通信等12类管网进行运维管理。</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460" w:name="_Toc14440"/>
      <w:bookmarkStart w:id="461" w:name="_Toc1569"/>
      <w:bookmarkStart w:id="462" w:name="_Toc20229"/>
      <w:bookmarkStart w:id="463" w:name="_Toc15872"/>
      <w:bookmarkStart w:id="464" w:name="_Toc19707"/>
      <w:bookmarkStart w:id="465" w:name="_Toc30752"/>
      <w:bookmarkStart w:id="466" w:name="_Toc9619"/>
      <w:bookmarkStart w:id="467" w:name="_Toc30066"/>
      <w:bookmarkStart w:id="468" w:name="_Toc4600"/>
      <w:r>
        <w:rPr>
          <w:rFonts w:hint="eastAsia" w:ascii="宋体" w:hAnsi="宋体" w:cs="宋体"/>
          <w:b/>
          <w:bCs/>
          <w:sz w:val="22"/>
          <w:szCs w:val="22"/>
          <w:lang w:val="en-US" w:eastAsia="zh-CN"/>
        </w:rPr>
        <w:t>2</w:t>
      </w:r>
      <w:r>
        <w:rPr>
          <w:rFonts w:hint="eastAsia" w:ascii="宋体" w:hAnsi="宋体" w:eastAsia="宋体" w:cs="宋体"/>
          <w:b/>
          <w:bCs/>
          <w:sz w:val="22"/>
          <w:szCs w:val="22"/>
          <w:lang w:val="en-US" w:eastAsia="zh-CN"/>
        </w:rPr>
        <w:t>.</w:t>
      </w:r>
      <w:r>
        <w:rPr>
          <w:rFonts w:hint="eastAsia" w:ascii="宋体" w:hAnsi="宋体" w:cs="宋体"/>
          <w:b/>
          <w:bCs/>
          <w:sz w:val="22"/>
          <w:szCs w:val="22"/>
          <w:lang w:val="en-US" w:eastAsia="zh-CN"/>
        </w:rPr>
        <w:t>2.1</w:t>
      </w:r>
      <w:r>
        <w:rPr>
          <w:rFonts w:hint="eastAsia" w:ascii="宋体" w:hAnsi="宋体" w:eastAsia="宋体" w:cs="宋体"/>
          <w:b/>
          <w:bCs/>
          <w:sz w:val="22"/>
          <w:szCs w:val="22"/>
          <w:lang w:val="en-US" w:eastAsia="zh-CN"/>
        </w:rPr>
        <w:t>管网分类运维</w:t>
      </w:r>
      <w:bookmarkEnd w:id="460"/>
      <w:bookmarkEnd w:id="461"/>
      <w:bookmarkEnd w:id="462"/>
      <w:bookmarkEnd w:id="463"/>
      <w:bookmarkEnd w:id="464"/>
      <w:bookmarkEnd w:id="465"/>
      <w:bookmarkEnd w:id="466"/>
      <w:bookmarkEnd w:id="467"/>
      <w:bookmarkEnd w:id="468"/>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对洞头区供排水、燃气、电力、通信等12类管网进行进行分类和编码，数据处理、入库，建立统一的标识体系，方便管理和查询。建立综合管网动态更新、管理、查询分析的综合性管理系统。对不同用户设置不同的操作权限，确保数据的安全性和系统的正常运行。实现洞头区地下空间管网设施的精细化、数字化管理。</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469" w:name="_Toc1856"/>
      <w:bookmarkStart w:id="470" w:name="_Toc20303"/>
      <w:bookmarkStart w:id="471" w:name="_Toc17600"/>
      <w:bookmarkStart w:id="472" w:name="_Toc14762"/>
      <w:bookmarkStart w:id="473" w:name="_Toc9756"/>
      <w:bookmarkStart w:id="474" w:name="_Toc20277"/>
      <w:bookmarkStart w:id="475" w:name="_Toc31865"/>
      <w:bookmarkStart w:id="476" w:name="_Toc13908"/>
      <w:bookmarkStart w:id="477" w:name="_Toc18785"/>
      <w:bookmarkStart w:id="478" w:name="_Toc22871"/>
      <w:bookmarkStart w:id="479" w:name="_Toc6504"/>
      <w:bookmarkStart w:id="480" w:name="_Toc17145"/>
      <w:r>
        <w:rPr>
          <w:rFonts w:hint="eastAsia" w:ascii="宋体" w:hAnsi="宋体" w:cs="宋体"/>
          <w:b/>
          <w:bCs/>
          <w:sz w:val="22"/>
          <w:szCs w:val="22"/>
          <w:lang w:val="en-US" w:eastAsia="zh-CN"/>
        </w:rPr>
        <w:t>2.2</w:t>
      </w:r>
      <w:r>
        <w:rPr>
          <w:rFonts w:hint="eastAsia" w:ascii="宋体" w:hAnsi="宋体" w:eastAsia="宋体" w:cs="宋体"/>
          <w:b/>
          <w:bCs/>
          <w:sz w:val="22"/>
          <w:szCs w:val="22"/>
          <w:lang w:val="en-US" w:eastAsia="zh-CN"/>
        </w:rPr>
        <w:t>.2综合管网动态更新</w:t>
      </w:r>
      <w:bookmarkEnd w:id="469"/>
      <w:bookmarkEnd w:id="470"/>
      <w:bookmarkEnd w:id="471"/>
      <w:bookmarkEnd w:id="472"/>
      <w:bookmarkEnd w:id="473"/>
      <w:bookmarkEnd w:id="474"/>
      <w:bookmarkEnd w:id="475"/>
      <w:bookmarkEnd w:id="476"/>
      <w:bookmarkEnd w:id="477"/>
      <w:bookmarkEnd w:id="478"/>
      <w:bookmarkEnd w:id="479"/>
      <w:bookmarkEnd w:id="480"/>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提供便捷的人工数据录入和编辑界面，提供丰富的管网编辑、属性编辑、管网维护等功能，允许管理人员在实地勘察或设施改造后手动更新管网数据，实现多源、多格式管网数据的导入，在该系统编辑的数据通过审核后可直接导入到 GIS 数据库中，实现动态更新，保障后续多来源管线数据的便捷入库，对每次数据更新进行版本控制，记录更新时间、操作人员和更新内容，同时保留历史数据，便于追溯和对比分析，可最大限度确保供水管网数据的完整性、准确性与现势性。</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481" w:name="_Toc29929"/>
      <w:bookmarkStart w:id="482" w:name="_Toc4979"/>
      <w:bookmarkStart w:id="483" w:name="_Toc4478"/>
      <w:bookmarkStart w:id="484" w:name="_Toc4608"/>
      <w:bookmarkStart w:id="485" w:name="_Toc1730"/>
      <w:bookmarkStart w:id="486" w:name="_Toc20148"/>
      <w:bookmarkStart w:id="487" w:name="_Toc29830"/>
      <w:bookmarkStart w:id="488" w:name="_Toc11429"/>
      <w:bookmarkStart w:id="489" w:name="_Toc26990"/>
      <w:bookmarkStart w:id="490" w:name="_Toc3603"/>
      <w:bookmarkStart w:id="491" w:name="_Toc30961"/>
      <w:bookmarkStart w:id="492" w:name="_Toc31318"/>
      <w:r>
        <w:rPr>
          <w:rFonts w:hint="eastAsia" w:ascii="宋体" w:hAnsi="宋体" w:cs="宋体"/>
          <w:b/>
          <w:bCs/>
          <w:sz w:val="22"/>
          <w:szCs w:val="22"/>
          <w:lang w:val="en-US" w:eastAsia="zh-CN"/>
        </w:rPr>
        <w:t>2.2</w:t>
      </w:r>
      <w:r>
        <w:rPr>
          <w:rFonts w:hint="eastAsia" w:ascii="宋体" w:hAnsi="宋体" w:eastAsia="宋体" w:cs="宋体"/>
          <w:b/>
          <w:bCs/>
          <w:sz w:val="22"/>
          <w:szCs w:val="22"/>
          <w:lang w:val="en-US" w:eastAsia="zh-CN"/>
        </w:rPr>
        <w:t>.3数据处理入库</w:t>
      </w:r>
      <w:bookmarkEnd w:id="481"/>
      <w:bookmarkEnd w:id="482"/>
      <w:bookmarkEnd w:id="483"/>
      <w:bookmarkEnd w:id="484"/>
      <w:bookmarkEnd w:id="485"/>
      <w:bookmarkEnd w:id="486"/>
      <w:bookmarkEnd w:id="487"/>
      <w:bookmarkEnd w:id="488"/>
      <w:bookmarkEnd w:id="489"/>
      <w:bookmarkEnd w:id="490"/>
      <w:bookmarkEnd w:id="491"/>
      <w:bookmarkEnd w:id="492"/>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多种数据采集方式，如人工测量、传感器监测、GIS数据导入等，运用数据校验算法和逻辑规则对采集到的各类管网数据进行标准化处理检查，统一数据格式、单位和编码规则，及时发现并纠正错误数据，确保供排水、燃气、电力、通信等管网的相关数据。</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重点对待入库的管网空间数据进行一系列数据规范性、表达一致性、逻辑合理性检查。查错内容主要包括以下几点：</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1、数据库格式检查。检查图层名称、字段名称、字段格式、字段长度的规范性。</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2、内容规范性检查。必填字段是否为空、字段内容规范性校验、重复值检查、阈值合理性检查。</w:t>
      </w:r>
    </w:p>
    <w:p>
      <w:pPr>
        <w:bidi w:val="0"/>
        <w:spacing w:line="360" w:lineRule="auto"/>
        <w:ind w:firstLine="420" w:firstLineChars="0"/>
        <w:rPr>
          <w:rFonts w:hint="eastAsia" w:ascii="宋体" w:hAnsi="宋体" w:eastAsia="宋体" w:cs="宋体"/>
          <w:sz w:val="22"/>
          <w:szCs w:val="22"/>
          <w:lang w:val="en-US" w:eastAsia="zh-CN"/>
        </w:rPr>
      </w:pPr>
      <w:bookmarkStart w:id="493" w:name="_Toc20105"/>
      <w:bookmarkStart w:id="494" w:name="_Toc12493"/>
      <w:bookmarkStart w:id="495" w:name="_Toc19367"/>
      <w:bookmarkStart w:id="496" w:name="_Toc13702"/>
      <w:bookmarkStart w:id="497" w:name="_Toc8478"/>
      <w:bookmarkStart w:id="498" w:name="_Toc1873"/>
      <w:bookmarkStart w:id="499" w:name="_Toc14187"/>
      <w:r>
        <w:rPr>
          <w:rFonts w:hint="eastAsia" w:ascii="宋体" w:hAnsi="宋体" w:eastAsia="宋体" w:cs="宋体"/>
          <w:sz w:val="22"/>
          <w:szCs w:val="22"/>
          <w:lang w:val="en-US" w:eastAsia="zh-CN"/>
        </w:rPr>
        <w:t>3、点线表属性一致性。坐标、地面高程、埋深、编号的一致性。</w:t>
      </w:r>
      <w:bookmarkEnd w:id="493"/>
      <w:bookmarkEnd w:id="494"/>
      <w:bookmarkEnd w:id="495"/>
      <w:bookmarkEnd w:id="496"/>
      <w:bookmarkEnd w:id="497"/>
      <w:bookmarkEnd w:id="498"/>
      <w:bookmarkEnd w:id="499"/>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4、点线连接关系检查。孤立点、截止点、管线连接数、大管流小管检查。</w:t>
      </w:r>
    </w:p>
    <w:p>
      <w:pPr>
        <w:bidi w:val="0"/>
        <w:spacing w:line="360" w:lineRule="auto"/>
        <w:ind w:firstLine="420" w:firstLineChars="0"/>
        <w:rPr>
          <w:rFonts w:hint="eastAsia" w:ascii="宋体" w:hAnsi="宋体" w:eastAsia="宋体" w:cs="宋体"/>
          <w:sz w:val="22"/>
          <w:szCs w:val="22"/>
          <w:lang w:val="en-US" w:eastAsia="zh-CN"/>
        </w:rPr>
      </w:pPr>
      <w:bookmarkStart w:id="500" w:name="_Toc11418"/>
      <w:bookmarkStart w:id="501" w:name="_Toc27219"/>
      <w:bookmarkStart w:id="502" w:name="_Toc10388"/>
      <w:bookmarkStart w:id="503" w:name="_Toc31120"/>
      <w:bookmarkStart w:id="504" w:name="_Toc19479"/>
      <w:bookmarkStart w:id="505" w:name="_Toc388"/>
      <w:bookmarkStart w:id="506" w:name="_Toc6841"/>
      <w:r>
        <w:rPr>
          <w:rFonts w:hint="eastAsia" w:ascii="宋体" w:hAnsi="宋体" w:eastAsia="宋体" w:cs="宋体"/>
          <w:sz w:val="22"/>
          <w:szCs w:val="22"/>
          <w:lang w:val="en-US" w:eastAsia="zh-CN"/>
        </w:rPr>
        <w:t>5、逻辑合理性检查。排水逆流、高程落差、雨流混接点检查。</w:t>
      </w:r>
      <w:bookmarkEnd w:id="500"/>
      <w:bookmarkEnd w:id="501"/>
      <w:bookmarkEnd w:id="502"/>
      <w:bookmarkEnd w:id="503"/>
      <w:bookmarkEnd w:id="504"/>
      <w:bookmarkEnd w:id="505"/>
      <w:bookmarkEnd w:id="506"/>
    </w:p>
    <w:p>
      <w:pPr>
        <w:bidi w:val="0"/>
        <w:spacing w:line="360" w:lineRule="auto"/>
        <w:ind w:firstLine="420" w:firstLineChars="0"/>
        <w:rPr>
          <w:rFonts w:hint="eastAsia" w:ascii="宋体" w:hAnsi="宋体" w:cs="宋体"/>
          <w:sz w:val="22"/>
          <w:szCs w:val="22"/>
          <w:lang w:val="en-US" w:eastAsia="zh-CN"/>
        </w:rPr>
      </w:pPr>
      <w:r>
        <w:rPr>
          <w:rFonts w:hint="eastAsia" w:ascii="宋体" w:hAnsi="宋体" w:eastAsia="宋体" w:cs="宋体"/>
          <w:sz w:val="22"/>
          <w:szCs w:val="22"/>
          <w:lang w:val="en-US" w:eastAsia="zh-CN"/>
        </w:rPr>
        <w:t>6、对于经过处理并通过检查的数据，在管理员审批通过的情况下，可以导入现有排水管网空间数据库中，并完成与数据库现状数据的合并。支持分布式存储和备份，保障数据的安全性和可靠性，系统会自动完成数据合并和数据库更新操作。</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507" w:name="_Toc4260"/>
      <w:bookmarkStart w:id="508" w:name="_Toc6990"/>
      <w:bookmarkStart w:id="509" w:name="_Toc11334"/>
      <w:bookmarkStart w:id="510" w:name="_Toc9337"/>
      <w:bookmarkStart w:id="511" w:name="_Toc6834"/>
      <w:bookmarkStart w:id="512" w:name="_Toc2305"/>
      <w:bookmarkStart w:id="513" w:name="_Toc97"/>
      <w:bookmarkStart w:id="514" w:name="_Toc6505"/>
      <w:bookmarkStart w:id="515" w:name="_Toc18526"/>
      <w:r>
        <w:rPr>
          <w:rFonts w:hint="eastAsia" w:ascii="宋体" w:hAnsi="宋体" w:cs="宋体"/>
          <w:b/>
          <w:bCs/>
          <w:sz w:val="22"/>
          <w:szCs w:val="22"/>
          <w:lang w:val="en-US" w:eastAsia="zh-CN"/>
        </w:rPr>
        <w:t>2.2</w:t>
      </w:r>
      <w:r>
        <w:rPr>
          <w:rFonts w:hint="eastAsia" w:ascii="宋体" w:hAnsi="宋体" w:eastAsia="宋体" w:cs="宋体"/>
          <w:b/>
          <w:bCs/>
          <w:sz w:val="22"/>
          <w:szCs w:val="22"/>
          <w:lang w:val="en-US" w:eastAsia="zh-CN"/>
        </w:rPr>
        <w:t>.4查询分析</w:t>
      </w:r>
      <w:bookmarkEnd w:id="507"/>
      <w:bookmarkEnd w:id="508"/>
      <w:bookmarkEnd w:id="509"/>
      <w:bookmarkEnd w:id="510"/>
      <w:bookmarkEnd w:id="511"/>
      <w:bookmarkEnd w:id="512"/>
      <w:bookmarkEnd w:id="513"/>
      <w:bookmarkEnd w:id="514"/>
      <w:bookmarkEnd w:id="515"/>
    </w:p>
    <w:p>
      <w:pPr>
        <w:bidi w:val="0"/>
        <w:spacing w:line="360" w:lineRule="auto"/>
        <w:ind w:firstLine="420" w:firstLineChars="0"/>
        <w:outlineLvl w:val="3"/>
        <w:rPr>
          <w:rFonts w:hint="eastAsia" w:ascii="宋体" w:hAnsi="宋体" w:eastAsia="宋体" w:cs="宋体"/>
          <w:b/>
          <w:bCs/>
          <w:sz w:val="22"/>
          <w:szCs w:val="22"/>
          <w:lang w:val="en-US" w:eastAsia="zh-CN"/>
        </w:rPr>
      </w:pPr>
      <w:bookmarkStart w:id="516" w:name="_Toc5029"/>
      <w:bookmarkStart w:id="517" w:name="_Toc22154"/>
      <w:bookmarkStart w:id="518" w:name="_Toc590"/>
      <w:bookmarkStart w:id="519" w:name="_Toc21030"/>
      <w:bookmarkStart w:id="520" w:name="_Toc24745"/>
      <w:bookmarkStart w:id="521" w:name="_Toc10908"/>
      <w:bookmarkStart w:id="522" w:name="_Toc18840"/>
      <w:bookmarkStart w:id="523" w:name="_Toc1328"/>
      <w:r>
        <w:rPr>
          <w:rFonts w:hint="eastAsia" w:ascii="宋体" w:hAnsi="宋体" w:eastAsia="宋体" w:cs="宋体"/>
          <w:b/>
          <w:bCs/>
          <w:sz w:val="22"/>
          <w:szCs w:val="22"/>
          <w:lang w:val="en-US" w:eastAsia="zh-CN"/>
        </w:rPr>
        <w:t>1）快速查询</w:t>
      </w:r>
      <w:bookmarkEnd w:id="516"/>
      <w:bookmarkEnd w:id="517"/>
      <w:bookmarkEnd w:id="518"/>
      <w:bookmarkEnd w:id="519"/>
      <w:bookmarkEnd w:id="520"/>
      <w:bookmarkEnd w:id="521"/>
      <w:bookmarkEnd w:id="522"/>
      <w:bookmarkEnd w:id="523"/>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提供丰富的地图浏览工具，并能够根据用户对管网数据的查询需求， 提供多种类型的管网数据展示专题图，便于用户能直观的查看各类设备设施的分布情况。</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支持通过关键字、设施编码、地理位置等多种方式快速查询管网设施的详细信息。</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提供管网数据查询与统计功能，如点击查询、交互查询、条件查询和范围查询，以及范围统计、条件统计、汇总统计等，能够帮助用户进行快速的管网信息浏览与统计。</w:t>
      </w:r>
    </w:p>
    <w:p>
      <w:pPr>
        <w:bidi w:val="0"/>
        <w:spacing w:line="360" w:lineRule="auto"/>
        <w:ind w:firstLine="420" w:firstLineChars="0"/>
        <w:outlineLvl w:val="3"/>
        <w:rPr>
          <w:rFonts w:hint="eastAsia" w:ascii="宋体" w:hAnsi="宋体" w:eastAsia="宋体" w:cs="宋体"/>
          <w:b/>
          <w:bCs/>
          <w:sz w:val="22"/>
          <w:szCs w:val="22"/>
          <w:lang w:val="en-US" w:eastAsia="zh-CN"/>
        </w:rPr>
      </w:pPr>
      <w:bookmarkStart w:id="524" w:name="_Toc11807"/>
      <w:bookmarkStart w:id="525" w:name="_Toc20374"/>
      <w:bookmarkStart w:id="526" w:name="_Toc811"/>
      <w:bookmarkStart w:id="527" w:name="_Toc3180"/>
      <w:bookmarkStart w:id="528" w:name="_Toc19804"/>
      <w:bookmarkStart w:id="529" w:name="_Toc18879"/>
      <w:bookmarkStart w:id="530" w:name="_Toc8944"/>
      <w:bookmarkStart w:id="531" w:name="_Toc3737"/>
      <w:r>
        <w:rPr>
          <w:rFonts w:hint="eastAsia" w:ascii="宋体" w:hAnsi="宋体" w:eastAsia="宋体" w:cs="宋体"/>
          <w:b/>
          <w:bCs/>
          <w:sz w:val="22"/>
          <w:szCs w:val="22"/>
          <w:lang w:val="en-US" w:eastAsia="zh-CN"/>
        </w:rPr>
        <w:t>2）空间分析</w:t>
      </w:r>
      <w:bookmarkEnd w:id="524"/>
      <w:bookmarkEnd w:id="525"/>
      <w:bookmarkEnd w:id="526"/>
      <w:bookmarkEnd w:id="527"/>
      <w:bookmarkEnd w:id="528"/>
      <w:bookmarkEnd w:id="529"/>
      <w:bookmarkEnd w:id="530"/>
      <w:bookmarkEnd w:id="531"/>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基于GIS技术，进行空间分析，如缓冲区分析、最短路径分析、管网覆盖范围分析等。</w:t>
      </w:r>
    </w:p>
    <w:p>
      <w:pPr>
        <w:bidi w:val="0"/>
        <w:spacing w:line="360" w:lineRule="auto"/>
        <w:ind w:firstLine="420" w:firstLineChars="0"/>
        <w:outlineLvl w:val="3"/>
        <w:rPr>
          <w:rFonts w:hint="eastAsia" w:ascii="宋体" w:hAnsi="宋体" w:eastAsia="宋体" w:cs="宋体"/>
          <w:b/>
          <w:bCs/>
          <w:sz w:val="22"/>
          <w:szCs w:val="22"/>
          <w:lang w:val="en-US" w:eastAsia="zh-CN"/>
        </w:rPr>
      </w:pPr>
      <w:bookmarkStart w:id="532" w:name="_Toc17705"/>
      <w:bookmarkStart w:id="533" w:name="_Toc10448"/>
      <w:bookmarkStart w:id="534" w:name="_Toc16725"/>
      <w:bookmarkStart w:id="535" w:name="_Toc19638"/>
      <w:bookmarkStart w:id="536" w:name="_Toc19969"/>
      <w:bookmarkStart w:id="537" w:name="_Toc19129"/>
      <w:bookmarkStart w:id="538" w:name="_Toc22576"/>
      <w:bookmarkStart w:id="539" w:name="_Toc28373"/>
      <w:r>
        <w:rPr>
          <w:rFonts w:hint="eastAsia" w:ascii="宋体" w:hAnsi="宋体" w:eastAsia="宋体" w:cs="宋体"/>
          <w:b/>
          <w:bCs/>
          <w:sz w:val="22"/>
          <w:szCs w:val="22"/>
          <w:lang w:val="en-US" w:eastAsia="zh-CN"/>
        </w:rPr>
        <w:t>3）统计分析</w:t>
      </w:r>
      <w:bookmarkEnd w:id="532"/>
      <w:bookmarkEnd w:id="533"/>
      <w:bookmarkEnd w:id="534"/>
      <w:bookmarkEnd w:id="535"/>
      <w:bookmarkEnd w:id="536"/>
      <w:bookmarkEnd w:id="537"/>
      <w:bookmarkEnd w:id="538"/>
      <w:bookmarkEnd w:id="539"/>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对管网数据进行统计分析，生成报表，如管网长度统计、设施数量统计、故障率统计等。</w:t>
      </w:r>
    </w:p>
    <w:p>
      <w:pPr>
        <w:bidi w:val="0"/>
        <w:spacing w:line="360" w:lineRule="auto"/>
        <w:ind w:firstLine="420" w:firstLineChars="0"/>
        <w:outlineLvl w:val="3"/>
        <w:rPr>
          <w:rFonts w:hint="eastAsia" w:ascii="宋体" w:hAnsi="宋体" w:eastAsia="宋体" w:cs="宋体"/>
          <w:b/>
          <w:bCs/>
          <w:sz w:val="22"/>
          <w:szCs w:val="22"/>
          <w:lang w:val="en-US" w:eastAsia="zh-CN"/>
        </w:rPr>
      </w:pPr>
      <w:bookmarkStart w:id="540" w:name="_Toc13991"/>
      <w:bookmarkStart w:id="541" w:name="_Toc8391"/>
      <w:bookmarkStart w:id="542" w:name="_Toc9748"/>
      <w:bookmarkStart w:id="543" w:name="_Toc2452"/>
      <w:bookmarkStart w:id="544" w:name="_Toc4129"/>
      <w:bookmarkStart w:id="545" w:name="_Toc1275"/>
      <w:bookmarkStart w:id="546" w:name="_Toc31948"/>
      <w:bookmarkStart w:id="547" w:name="_Toc9513"/>
      <w:r>
        <w:rPr>
          <w:rFonts w:hint="eastAsia" w:ascii="宋体" w:hAnsi="宋体" w:eastAsia="宋体" w:cs="宋体"/>
          <w:b/>
          <w:bCs/>
          <w:sz w:val="22"/>
          <w:szCs w:val="22"/>
          <w:lang w:val="en-US" w:eastAsia="zh-CN"/>
        </w:rPr>
        <w:t>4）趋势分析</w:t>
      </w:r>
      <w:bookmarkEnd w:id="540"/>
      <w:bookmarkEnd w:id="541"/>
      <w:bookmarkEnd w:id="542"/>
      <w:bookmarkEnd w:id="543"/>
      <w:bookmarkEnd w:id="544"/>
      <w:bookmarkEnd w:id="545"/>
      <w:bookmarkEnd w:id="546"/>
      <w:bookmarkEnd w:id="547"/>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分析管网运行数据的变化趋势，为规划和决策提供依据。</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548" w:name="_Toc10489"/>
      <w:bookmarkStart w:id="549" w:name="_Toc28510"/>
      <w:bookmarkStart w:id="550" w:name="_Toc15054"/>
      <w:bookmarkStart w:id="551" w:name="_Toc30948"/>
      <w:bookmarkStart w:id="552" w:name="_Toc7200"/>
      <w:bookmarkStart w:id="553" w:name="_Toc26432"/>
      <w:bookmarkStart w:id="554" w:name="_Toc27142"/>
      <w:bookmarkStart w:id="555" w:name="_Toc23029"/>
      <w:bookmarkStart w:id="556" w:name="_Toc18130"/>
      <w:r>
        <w:rPr>
          <w:rFonts w:hint="eastAsia" w:ascii="宋体" w:hAnsi="宋体" w:eastAsia="宋体" w:cs="宋体"/>
          <w:b/>
          <w:bCs/>
          <w:sz w:val="22"/>
          <w:szCs w:val="22"/>
          <w:lang w:val="en-US" w:eastAsia="zh-CN"/>
        </w:rPr>
        <w:t>2.2.5 AR管网GIS应用</w:t>
      </w:r>
      <w:bookmarkEnd w:id="548"/>
      <w:bookmarkEnd w:id="549"/>
      <w:bookmarkEnd w:id="550"/>
      <w:bookmarkEnd w:id="551"/>
      <w:bookmarkEnd w:id="552"/>
      <w:bookmarkEnd w:id="553"/>
      <w:bookmarkEnd w:id="554"/>
      <w:bookmarkEnd w:id="555"/>
      <w:bookmarkEnd w:id="556"/>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结合移动端的摄像头以及定位信息，实现当前位置的地下管网仿真呈现，在实景图像上，可以直观查看管网的走向、分布以及上下层级关系，通过点击操作，可以直观查看管网属性，实现信息的快捷查询。</w:t>
      </w:r>
    </w:p>
    <w:p>
      <w:pPr>
        <w:pStyle w:val="61"/>
        <w:spacing w:line="360" w:lineRule="auto"/>
        <w:rPr>
          <w:rFonts w:hint="eastAsia" w:ascii="宋体" w:hAnsi="宋体" w:cs="宋体"/>
          <w:sz w:val="22"/>
          <w:szCs w:val="22"/>
          <w:lang w:val="en-US" w:eastAsia="zh-CN"/>
        </w:rPr>
      </w:pPr>
    </w:p>
    <w:p>
      <w:pPr>
        <w:keepNext w:val="0"/>
        <w:keepLines w:val="0"/>
        <w:widowControl/>
        <w:numPr>
          <w:ilvl w:val="0"/>
          <w:numId w:val="0"/>
        </w:numPr>
        <w:suppressLineNumbers w:val="0"/>
        <w:pBdr>
          <w:top w:val="none" w:color="auto" w:sz="0" w:space="0"/>
          <w:bottom w:val="none" w:color="auto" w:sz="0" w:space="0"/>
          <w:right w:val="none" w:color="auto" w:sz="0" w:space="0"/>
        </w:pBdr>
        <w:spacing w:before="80" w:beforeAutospacing="0" w:after="80" w:afterAutospacing="0" w:line="360" w:lineRule="auto"/>
        <w:ind w:right="0" w:rightChars="0"/>
        <w:jc w:val="left"/>
        <w:outlineLvl w:val="1"/>
        <w:rPr>
          <w:rFonts w:hint="eastAsia" w:ascii="宋体" w:hAnsi="宋体" w:eastAsia="宋体" w:cs="宋体"/>
          <w:b/>
          <w:bCs/>
          <w:color w:val="auto"/>
          <w:sz w:val="22"/>
          <w:szCs w:val="22"/>
          <w:lang w:val="en-US" w:eastAsia="zh-CN"/>
        </w:rPr>
      </w:pPr>
      <w:bookmarkStart w:id="557" w:name="_Toc5292"/>
      <w:bookmarkStart w:id="558" w:name="_Toc8688"/>
      <w:r>
        <w:rPr>
          <w:rFonts w:hint="eastAsia" w:ascii="宋体" w:hAnsi="宋体" w:eastAsia="宋体" w:cs="宋体"/>
          <w:b/>
          <w:bCs/>
          <w:color w:val="auto"/>
          <w:sz w:val="22"/>
          <w:szCs w:val="22"/>
          <w:lang w:val="en-US" w:eastAsia="zh-CN"/>
        </w:rPr>
        <w:t>2.3</w:t>
      </w:r>
      <w:r>
        <w:rPr>
          <w:rFonts w:hint="eastAsia" w:ascii="宋体" w:hAnsi="宋体" w:cs="宋体"/>
          <w:b/>
          <w:bCs/>
          <w:color w:val="auto"/>
          <w:sz w:val="22"/>
          <w:szCs w:val="22"/>
          <w:lang w:val="en-US" w:eastAsia="zh-CN"/>
        </w:rPr>
        <w:t>、</w:t>
      </w:r>
      <w:r>
        <w:rPr>
          <w:rFonts w:hint="eastAsia" w:ascii="宋体" w:hAnsi="宋体" w:eastAsia="宋体" w:cs="宋体"/>
          <w:b/>
          <w:bCs/>
          <w:color w:val="auto"/>
          <w:sz w:val="22"/>
          <w:szCs w:val="22"/>
          <w:lang w:val="en-US" w:eastAsia="zh-CN"/>
        </w:rPr>
        <w:t>排水智慧管理系统</w:t>
      </w:r>
      <w:bookmarkEnd w:id="557"/>
      <w:bookmarkEnd w:id="558"/>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559" w:name="_Toc2603"/>
      <w:bookmarkStart w:id="560" w:name="_Toc16016"/>
      <w:r>
        <w:rPr>
          <w:rFonts w:hint="eastAsia" w:ascii="宋体" w:hAnsi="宋体" w:cs="宋体"/>
          <w:b/>
          <w:bCs/>
          <w:sz w:val="22"/>
          <w:szCs w:val="22"/>
          <w:lang w:val="en-US" w:eastAsia="zh-CN"/>
        </w:rPr>
        <w:t>2.3.1排水管网信息模块</w:t>
      </w:r>
      <w:bookmarkEnd w:id="559"/>
      <w:bookmarkEnd w:id="560"/>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1）通过浏览工具，浏览查询污水厂、泵站、管网等管网设施。支持管网基本数据查询分析，如点击查询、交互查询、条件查询和范围查询，以及范围统计、条件统计、汇总统计等，查看管网图层、管网历史信息、缺陷信息、疏通信息、cctv、qv排查信息、泵站信息及运行动态，污水厂信息及运行动态等详细信息。</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2）支持排水管网溯源排查、雨污混接改造项目设计、施工全过程管理，包括项目全过程（含CCTV机器人检测视频）资料的整理、录入与管理，督办单管理、问题整治点管理、项目检查移动端管理等功能，并结合移动端与排水管网信息管理系统实现数据共享互通，达到可实施动态更新，随时随地网上监管目的。</w:t>
      </w:r>
    </w:p>
    <w:p>
      <w:pPr>
        <w:bidi w:val="0"/>
        <w:spacing w:line="360" w:lineRule="auto"/>
        <w:ind w:firstLine="420" w:firstLineChars="0"/>
        <w:rPr>
          <w:rFonts w:hint="eastAsia" w:ascii="宋体" w:hAnsi="宋体" w:cs="宋体"/>
          <w:sz w:val="22"/>
          <w:szCs w:val="22"/>
          <w:highlight w:val="none"/>
        </w:rPr>
      </w:pPr>
      <w:r>
        <w:rPr>
          <w:rFonts w:hint="eastAsia" w:ascii="宋体" w:hAnsi="宋体" w:eastAsia="宋体" w:cs="宋体"/>
          <w:sz w:val="22"/>
          <w:szCs w:val="22"/>
          <w:lang w:val="en-US" w:eastAsia="zh-CN"/>
        </w:rPr>
        <w:t>3）支持新增、编辑、查询隐患的基本信息（包含设施位置、检测方式、隐患名称、隐患代码等字段）、详细信息（包含起/终点井号、管径、长度等字段）、地理信息（起点/终点坐标、高程、埋深等）和附件（照片、视频、修复后图片资料）。</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4）支持统计功能。包括管厂站网设备的空间分析、统计分析、趋势分析等可以进行搜索操作。</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5）提供多样化的报表模板，包括日报表、周报表、月报表、年报表，涵盖水量统计、水质分析、设备运维记录、能耗分析等各个方面。支持报表的自定义设计，满足不同用户的个性化需求；实现报表数据的自动化生成与导出功能，支持Excel、PDF等格式。</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561" w:name="_Toc16272"/>
      <w:bookmarkStart w:id="562" w:name="_Toc17353"/>
      <w:bookmarkStart w:id="563" w:name="_Toc8020"/>
      <w:bookmarkStart w:id="564" w:name="_Toc20172"/>
      <w:bookmarkStart w:id="565" w:name="_Toc2679"/>
      <w:bookmarkStart w:id="566" w:name="_Toc28770"/>
      <w:bookmarkStart w:id="567" w:name="_Toc17212"/>
      <w:bookmarkStart w:id="568" w:name="_Toc14714"/>
      <w:bookmarkStart w:id="569" w:name="_Toc21506"/>
      <w:bookmarkStart w:id="570" w:name="_Toc27468"/>
      <w:bookmarkStart w:id="571" w:name="_Toc11784"/>
      <w:bookmarkStart w:id="572" w:name="_Toc29511"/>
      <w:r>
        <w:rPr>
          <w:rFonts w:hint="eastAsia" w:ascii="宋体" w:hAnsi="宋体" w:eastAsia="宋体" w:cs="宋体"/>
          <w:b/>
          <w:bCs/>
          <w:sz w:val="22"/>
          <w:szCs w:val="22"/>
          <w:lang w:val="en-US" w:eastAsia="zh-CN"/>
        </w:rPr>
        <w:t>2.3.2排水设施智慧运维系统</w:t>
      </w:r>
      <w:bookmarkEnd w:id="561"/>
      <w:bookmarkEnd w:id="562"/>
      <w:bookmarkEnd w:id="563"/>
      <w:bookmarkEnd w:id="564"/>
      <w:bookmarkEnd w:id="565"/>
      <w:bookmarkEnd w:id="566"/>
      <w:bookmarkEnd w:id="567"/>
      <w:bookmarkEnd w:id="568"/>
      <w:bookmarkEnd w:id="569"/>
      <w:bookmarkEnd w:id="570"/>
      <w:bookmarkEnd w:id="571"/>
      <w:bookmarkEnd w:id="572"/>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支持包括排水设施数据库管理；排水设施巡检管理；巡检统计报表；工单管理；维修保养管理；工程维修台账管理；</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支持每个用户的个人工作台工作相关内容汇总展示和待办事项的快捷处理第一页面。以列表形式展示全部与我有关的待我处理事项及概要信息。</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支持分别对应所有公司领导层面、部门管理层面和个人处理事项层面进行数据统计。</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支持将所有待办事项进行汇总，在同一页面内支持快捷处置、审批、指派、登记等操作，方便用户对待处理事项进行快速集中处理。</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支持以小组件的方式调整面板展示内容，允许用户自由调整小组件的搭配方式及布局排版方式，实现个性自定义数据看板的能力。</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支持展示系统内管理员下发的通知内容或系统自动生成的报警信息，支持按不同消息类别筛选区分。</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支持一键查看具体事项内容，无需跳转其他页面，便于用户操作。</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支持与移动端互联，移动端功能惨超PC端简化形成。</w:t>
      </w:r>
    </w:p>
    <w:p>
      <w:pPr>
        <w:bidi w:val="0"/>
        <w:spacing w:line="360" w:lineRule="auto"/>
        <w:ind w:firstLine="420" w:firstLineChars="0"/>
        <w:outlineLvl w:val="3"/>
        <w:rPr>
          <w:rFonts w:hint="eastAsia" w:ascii="宋体" w:hAnsi="宋体" w:eastAsia="宋体" w:cs="宋体"/>
          <w:b/>
          <w:bCs/>
          <w:sz w:val="22"/>
          <w:szCs w:val="22"/>
          <w:lang w:val="en-US" w:eastAsia="zh-CN"/>
        </w:rPr>
      </w:pPr>
      <w:bookmarkStart w:id="573" w:name="_Toc30095"/>
      <w:bookmarkStart w:id="574" w:name="_Toc13105"/>
      <w:bookmarkStart w:id="575" w:name="_Toc6231"/>
      <w:bookmarkStart w:id="576" w:name="_Toc6358"/>
      <w:bookmarkStart w:id="577" w:name="_Toc18254"/>
      <w:r>
        <w:rPr>
          <w:rFonts w:hint="eastAsia" w:ascii="宋体" w:hAnsi="宋体" w:eastAsia="宋体" w:cs="宋体"/>
          <w:b/>
          <w:bCs/>
          <w:sz w:val="22"/>
          <w:szCs w:val="22"/>
          <w:lang w:val="en-US" w:eastAsia="zh-CN"/>
        </w:rPr>
        <w:t>1）巡检管理</w:t>
      </w:r>
      <w:bookmarkEnd w:id="573"/>
      <w:bookmarkEnd w:id="574"/>
      <w:bookmarkEnd w:id="575"/>
      <w:bookmarkEnd w:id="576"/>
      <w:bookmarkEnd w:id="577"/>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b/>
          <w:bCs/>
          <w:sz w:val="22"/>
          <w:szCs w:val="22"/>
          <w:lang w:val="en-US" w:eastAsia="zh-CN"/>
        </w:rPr>
        <w:t>巡检计划，</w:t>
      </w:r>
      <w:r>
        <w:rPr>
          <w:rFonts w:hint="eastAsia" w:ascii="宋体" w:hAnsi="宋体" w:eastAsia="宋体" w:cs="宋体"/>
          <w:sz w:val="22"/>
          <w:szCs w:val="22"/>
          <w:lang w:val="en-US" w:eastAsia="zh-CN"/>
        </w:rPr>
        <w:t xml:space="preserve">巡检计划用于制定和安排定期或不定期的巡检任务。平台支持巡检计划的新建、编辑、删除、巡检内容配置，包括巡检明细、巡检点、巡检项、巡检人员、定时/立即生成任务、巡检信息条件查询等功能。 </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支持在线新建管网和泵站巡检计划，需明确计划名称、执行周期（按日/周/月/年）、执行频率（如每周2次、每月1次）和达标里程（公里），并支持自定义巡检内容（如表格检查、泵站设备状态）。</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支持通过详情查看管网和泵站巡检的执行明细，包括计划名称、执行周期、执行频率、达标完成、计划状态（待执行/执行中/已完成）等，支持按时间段（如最近1个月）筛选查看。</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支持查看管网和泵站巡检的任务详情，包括任务任务执行人、任务内容（管网巡检、泵站设备检查）、任务时间和任务状态（未/进行中/已完成计划），并支持一键导出任务清单。</w:t>
      </w:r>
    </w:p>
    <w:p>
      <w:pPr>
        <w:bidi w:val="0"/>
        <w:spacing w:line="360" w:lineRule="auto"/>
        <w:ind w:firstLine="420" w:firstLineChars="0"/>
        <w:rPr>
          <w:rFonts w:hint="eastAsia" w:ascii="宋体" w:hAnsi="宋体" w:cs="宋体"/>
          <w:sz w:val="22"/>
          <w:szCs w:val="22"/>
          <w:lang w:val="en-US" w:eastAsia="zh-CN"/>
        </w:rPr>
      </w:pPr>
      <w:r>
        <w:rPr>
          <w:rFonts w:hint="eastAsia" w:ascii="宋体" w:hAnsi="宋体" w:eastAsia="宋体" w:cs="宋体"/>
          <w:sz w:val="22"/>
          <w:szCs w:val="22"/>
          <w:lang w:val="en-US" w:eastAsia="zh-CN"/>
        </w:rPr>
        <w:t>通过详情查看管网和泵站巡检的已执行情况，包括计划完成率（%）、支持问题发现数量和巡检反馈（照片、视频、文字描述）。</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b/>
          <w:bCs/>
          <w:sz w:val="22"/>
          <w:szCs w:val="22"/>
          <w:lang w:val="en-US" w:eastAsia="zh-CN"/>
        </w:rPr>
        <w:t>巡检任务，</w:t>
      </w:r>
      <w:r>
        <w:rPr>
          <w:rFonts w:hint="eastAsia" w:ascii="宋体" w:hAnsi="宋体" w:eastAsia="宋体" w:cs="宋体"/>
          <w:sz w:val="22"/>
          <w:szCs w:val="22"/>
          <w:lang w:val="en-US" w:eastAsia="zh-CN"/>
        </w:rPr>
        <w:t>巡检任务模块汇总单次巡管任务的记录，展示所有已生成任务的计划，全面智能化管理，提高了巡检效率和质量。平台提供巡检任务列表的条件查询（统计内容包括：任务归属计划、巡检类别、执行人及其部门、巡管任务开始/结束时间、单次任务执行时长（分钟）、巡管里程（km）、涉管里程（km）、巡管泵站数等。）、巡检任务内容的展示，包括：巡检任务明细、巡检记录、巡检轨迹、巡检人员、巡检点、巡检项。</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b/>
          <w:bCs/>
          <w:sz w:val="22"/>
          <w:szCs w:val="22"/>
          <w:lang w:val="en-US" w:eastAsia="zh-CN"/>
        </w:rPr>
        <w:t>巡检统计报表，</w:t>
      </w:r>
      <w:r>
        <w:rPr>
          <w:rFonts w:hint="eastAsia" w:ascii="宋体" w:hAnsi="宋体" w:eastAsia="宋体" w:cs="宋体"/>
          <w:sz w:val="22"/>
          <w:szCs w:val="22"/>
          <w:lang w:val="en-US" w:eastAsia="zh-CN"/>
        </w:rPr>
        <w:t>统计和分析巡检完成情况，提升巡检效率水平。平台提供巡检信息查询，以巡检（开始时间、结束时间）筛选巡检任务列表。通过对排水系统的巡检数据进行统计和分析，为企业提供有关排水系统运行状况的全面了解，有助于企业及时发现并解决潜在问题，保障排水系统的稳定运行。</w:t>
      </w:r>
    </w:p>
    <w:p>
      <w:pPr>
        <w:bidi w:val="0"/>
        <w:spacing w:line="360" w:lineRule="auto"/>
        <w:ind w:firstLine="420" w:firstLineChars="0"/>
        <w:outlineLvl w:val="3"/>
        <w:rPr>
          <w:rFonts w:hint="eastAsia" w:ascii="宋体" w:hAnsi="宋体" w:eastAsia="宋体" w:cs="宋体"/>
          <w:b/>
          <w:bCs/>
          <w:sz w:val="22"/>
          <w:szCs w:val="22"/>
          <w:lang w:val="en-US" w:eastAsia="zh-CN"/>
        </w:rPr>
      </w:pPr>
      <w:bookmarkStart w:id="578" w:name="_Toc12133"/>
      <w:bookmarkStart w:id="579" w:name="_Toc7797"/>
      <w:bookmarkStart w:id="580" w:name="_Toc30487"/>
      <w:bookmarkStart w:id="581" w:name="_Toc4892"/>
      <w:bookmarkStart w:id="582" w:name="_Toc3972"/>
      <w:r>
        <w:rPr>
          <w:rFonts w:hint="eastAsia" w:ascii="宋体" w:hAnsi="宋体" w:eastAsia="宋体" w:cs="宋体"/>
          <w:b/>
          <w:bCs/>
          <w:sz w:val="22"/>
          <w:szCs w:val="22"/>
          <w:lang w:val="en-US" w:eastAsia="zh-CN"/>
        </w:rPr>
        <w:t>2）工单管理</w:t>
      </w:r>
      <w:bookmarkEnd w:id="578"/>
      <w:bookmarkEnd w:id="579"/>
      <w:bookmarkEnd w:id="580"/>
      <w:bookmarkEnd w:id="581"/>
      <w:bookmarkEnd w:id="582"/>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b/>
          <w:bCs/>
          <w:sz w:val="22"/>
          <w:szCs w:val="22"/>
          <w:lang w:val="en-US" w:eastAsia="zh-CN"/>
        </w:rPr>
        <w:t>工单分类，</w:t>
      </w:r>
      <w:r>
        <w:rPr>
          <w:rFonts w:hint="eastAsia" w:ascii="宋体" w:hAnsi="宋体" w:eastAsia="宋体" w:cs="宋体"/>
          <w:sz w:val="22"/>
          <w:szCs w:val="22"/>
          <w:lang w:val="en-US" w:eastAsia="zh-CN"/>
        </w:rPr>
        <w:t>系统可根据管网业务类型对系统内的工单进行分类管理。</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b/>
          <w:bCs/>
          <w:sz w:val="22"/>
          <w:szCs w:val="22"/>
          <w:lang w:val="en-US" w:eastAsia="zh-CN"/>
        </w:rPr>
        <w:t>工单分配，</w:t>
      </w:r>
      <w:r>
        <w:rPr>
          <w:rFonts w:hint="eastAsia" w:ascii="宋体" w:hAnsi="宋体" w:eastAsia="宋体" w:cs="宋体"/>
          <w:sz w:val="22"/>
          <w:szCs w:val="22"/>
          <w:lang w:val="en-US" w:eastAsia="zh-CN"/>
        </w:rPr>
        <w:t>系统能够根据用户分步填写的报修表单，根据故障性质区分为不同类型的工单，并可根据分配规则自动分配工作单到相应班组。</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b/>
          <w:bCs/>
          <w:sz w:val="22"/>
          <w:szCs w:val="22"/>
          <w:lang w:val="en-US" w:eastAsia="zh-CN"/>
        </w:rPr>
        <w:t>工单提醒，</w:t>
      </w:r>
      <w:r>
        <w:rPr>
          <w:rFonts w:hint="eastAsia" w:ascii="宋体" w:hAnsi="宋体" w:eastAsia="宋体" w:cs="宋体"/>
          <w:sz w:val="22"/>
          <w:szCs w:val="22"/>
          <w:lang w:val="en-US" w:eastAsia="zh-CN"/>
        </w:rPr>
        <w:t>系统根据技术规程的作业时间标准，可自动生成工作计划及提醒。</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b/>
          <w:bCs/>
          <w:sz w:val="22"/>
          <w:szCs w:val="22"/>
          <w:lang w:val="en-US" w:eastAsia="zh-CN"/>
        </w:rPr>
        <w:t>工单审批，</w:t>
      </w:r>
      <w:r>
        <w:rPr>
          <w:rFonts w:hint="eastAsia" w:ascii="宋体" w:hAnsi="宋体" w:eastAsia="宋体" w:cs="宋体"/>
          <w:sz w:val="22"/>
          <w:szCs w:val="22"/>
          <w:lang w:val="en-US" w:eastAsia="zh-CN"/>
        </w:rPr>
        <w:t>系统根据用户根据实际需求定制工单的审批流程。</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b/>
          <w:bCs/>
          <w:sz w:val="22"/>
          <w:szCs w:val="22"/>
          <w:lang w:val="en-US" w:eastAsia="zh-CN"/>
        </w:rPr>
        <w:t>工单管理，</w:t>
      </w:r>
      <w:r>
        <w:rPr>
          <w:rFonts w:hint="eastAsia" w:ascii="宋体" w:hAnsi="宋体" w:eastAsia="宋体" w:cs="宋体"/>
          <w:sz w:val="22"/>
          <w:szCs w:val="22"/>
          <w:lang w:val="en-US" w:eastAsia="zh-CN"/>
        </w:rPr>
        <w:t>支持筛选报修来源、报修类别、工单状态、维修单位等，支持模糊搜索及推荐。</w:t>
      </w:r>
    </w:p>
    <w:p>
      <w:pPr>
        <w:bidi w:val="0"/>
        <w:spacing w:line="360" w:lineRule="auto"/>
        <w:ind w:firstLine="420" w:firstLineChars="0"/>
        <w:outlineLvl w:val="3"/>
        <w:rPr>
          <w:rFonts w:hint="eastAsia" w:ascii="宋体" w:hAnsi="宋体" w:eastAsia="宋体" w:cs="宋体"/>
          <w:b/>
          <w:bCs/>
          <w:sz w:val="22"/>
          <w:szCs w:val="22"/>
          <w:lang w:val="en-US" w:eastAsia="zh-CN"/>
        </w:rPr>
      </w:pPr>
      <w:bookmarkStart w:id="583" w:name="_Toc17554"/>
      <w:bookmarkStart w:id="584" w:name="_Toc31133"/>
      <w:bookmarkStart w:id="585" w:name="_Toc3956"/>
      <w:bookmarkStart w:id="586" w:name="_Toc5727"/>
      <w:bookmarkStart w:id="587" w:name="_Toc14763"/>
      <w:r>
        <w:rPr>
          <w:rFonts w:hint="eastAsia" w:ascii="宋体" w:hAnsi="宋体" w:eastAsia="宋体" w:cs="宋体"/>
          <w:b/>
          <w:bCs/>
          <w:sz w:val="22"/>
          <w:szCs w:val="22"/>
          <w:lang w:val="en-US" w:eastAsia="zh-CN"/>
        </w:rPr>
        <w:t>3）维修保养管理</w:t>
      </w:r>
      <w:bookmarkEnd w:id="583"/>
      <w:bookmarkEnd w:id="584"/>
      <w:bookmarkEnd w:id="585"/>
      <w:bookmarkEnd w:id="586"/>
      <w:bookmarkEnd w:id="587"/>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b/>
          <w:bCs/>
          <w:sz w:val="22"/>
          <w:szCs w:val="22"/>
          <w:lang w:val="en-US" w:eastAsia="zh-CN"/>
        </w:rPr>
        <w:t>检查计划管理，</w:t>
      </w:r>
      <w:r>
        <w:rPr>
          <w:rFonts w:hint="eastAsia" w:ascii="宋体" w:hAnsi="宋体" w:eastAsia="宋体" w:cs="宋体"/>
          <w:sz w:val="22"/>
          <w:szCs w:val="22"/>
          <w:lang w:val="en-US" w:eastAsia="zh-CN"/>
        </w:rPr>
        <w:t>系统实现按照养护计划派发的管线养护工单自动生产管网养护计划任务，并可自动下达到检查人员。</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b/>
          <w:bCs/>
          <w:sz w:val="22"/>
          <w:szCs w:val="22"/>
          <w:lang w:val="en-US" w:eastAsia="zh-CN"/>
        </w:rPr>
        <w:t>检查结果反馈，</w:t>
      </w:r>
      <w:r>
        <w:rPr>
          <w:rFonts w:hint="eastAsia" w:ascii="宋体" w:hAnsi="宋体" w:eastAsia="宋体" w:cs="宋体"/>
          <w:sz w:val="22"/>
          <w:szCs w:val="22"/>
          <w:lang w:val="en-US" w:eastAsia="zh-CN"/>
        </w:rPr>
        <w:t>系统支持管网养护检查人员在检查过程中记录发现问的题，并自动产生故障工作单。</w:t>
      </w:r>
    </w:p>
    <w:p>
      <w:pPr>
        <w:bidi w:val="0"/>
        <w:spacing w:line="360" w:lineRule="auto"/>
        <w:ind w:firstLine="420" w:firstLineChars="0"/>
        <w:outlineLvl w:val="3"/>
        <w:rPr>
          <w:rFonts w:hint="eastAsia" w:ascii="宋体" w:hAnsi="宋体" w:eastAsia="宋体" w:cs="宋体"/>
          <w:b/>
          <w:bCs/>
          <w:sz w:val="22"/>
          <w:szCs w:val="22"/>
          <w:lang w:val="en-US" w:eastAsia="zh-CN"/>
        </w:rPr>
      </w:pPr>
      <w:bookmarkStart w:id="588" w:name="_Toc2126"/>
      <w:bookmarkStart w:id="589" w:name="_Toc17999"/>
      <w:bookmarkStart w:id="590" w:name="_Toc5985"/>
      <w:bookmarkStart w:id="591" w:name="_Toc13641"/>
      <w:bookmarkStart w:id="592" w:name="_Toc27560"/>
      <w:r>
        <w:rPr>
          <w:rFonts w:hint="eastAsia" w:ascii="宋体" w:hAnsi="宋体" w:eastAsia="宋体" w:cs="宋体"/>
          <w:b/>
          <w:bCs/>
          <w:sz w:val="22"/>
          <w:szCs w:val="22"/>
          <w:lang w:val="en-US" w:eastAsia="zh-CN"/>
        </w:rPr>
        <w:t>4）工程维修台账管理</w:t>
      </w:r>
      <w:bookmarkEnd w:id="588"/>
      <w:bookmarkEnd w:id="589"/>
      <w:bookmarkEnd w:id="590"/>
      <w:bookmarkEnd w:id="591"/>
      <w:bookmarkEnd w:id="592"/>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从电气、机械、操作、备件、维护等多方面进行统计汇总，对系统中的维修记录进行分析，建立企业对固定缺陷的解决方法库，对固定维修工作的执行步骤、备件需求建立标准，对维修设备的安全操作规范、同种设备类型的标准维修策略（周计划、月计划等）、对维修项目的标准执行过程管理。可实现对设备维护过程中的费用提取、汇总、对比、分析。提高工作效率和维修水平，增加维修安全系数，降低企业维修成本。</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根据实际需求，对维修工作需要通过工单的形式进行管理。工单跟踪设备故障或事故的过程中，系统记录的数据包括涉及单位、故障时间、故障分类（故障、事故）、参与人员、故障（事故）描述、影响时长、技术分析、责任分析、详细分析、处理方法、预防建议等内容。</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系统可根据已登记的故障（事故）数据，自动生成故障台帐、故障（事故）统计报表，对特定设备类型的故障建立数据统计分析系统。</w:t>
      </w:r>
    </w:p>
    <w:p>
      <w:pPr>
        <w:bidi w:val="0"/>
        <w:spacing w:line="360" w:lineRule="auto"/>
        <w:ind w:firstLine="420" w:firstLineChars="0"/>
        <w:outlineLvl w:val="3"/>
        <w:rPr>
          <w:rFonts w:hint="eastAsia" w:ascii="宋体" w:hAnsi="宋体" w:eastAsia="宋体" w:cs="宋体"/>
          <w:b/>
          <w:bCs/>
          <w:sz w:val="22"/>
          <w:szCs w:val="22"/>
          <w:lang w:val="en-US" w:eastAsia="zh-CN"/>
        </w:rPr>
      </w:pPr>
      <w:bookmarkStart w:id="593" w:name="_Toc28702"/>
      <w:bookmarkStart w:id="594" w:name="_Toc26358"/>
      <w:bookmarkStart w:id="595" w:name="_Toc6365"/>
      <w:bookmarkStart w:id="596" w:name="_Toc5605"/>
      <w:bookmarkStart w:id="597" w:name="_Toc5883"/>
      <w:r>
        <w:rPr>
          <w:rFonts w:hint="eastAsia" w:ascii="宋体" w:hAnsi="宋体" w:eastAsia="宋体" w:cs="宋体"/>
          <w:b/>
          <w:bCs/>
          <w:sz w:val="22"/>
          <w:szCs w:val="22"/>
          <w:lang w:val="en-US" w:eastAsia="zh-CN"/>
        </w:rPr>
        <w:t>5）闸泵站污水厂智慧运维系统</w:t>
      </w:r>
      <w:bookmarkEnd w:id="593"/>
      <w:bookmarkEnd w:id="594"/>
      <w:bookmarkEnd w:id="595"/>
      <w:bookmarkEnd w:id="596"/>
      <w:bookmarkEnd w:id="597"/>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包括闸、泵站、污水厂管理，对站点、类型、分区、设备仪表等动态管理和数据接入，实现监测运行实时动态数据、历史数据的查询展示、泵站与污水厂工艺流程图等。</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b/>
          <w:bCs/>
          <w:sz w:val="22"/>
          <w:szCs w:val="22"/>
          <w:lang w:val="en-US" w:eastAsia="zh-CN"/>
        </w:rPr>
        <w:t>实时数据展示，</w:t>
      </w:r>
      <w:r>
        <w:rPr>
          <w:rFonts w:hint="eastAsia" w:ascii="宋体" w:hAnsi="宋体" w:eastAsia="宋体" w:cs="宋体"/>
          <w:sz w:val="22"/>
          <w:szCs w:val="22"/>
          <w:lang w:val="en-US" w:eastAsia="zh-CN"/>
        </w:rPr>
        <w:t>通过数据采集网关、PLC（可编程逻辑控制器）等硬件设备，实时采集闸、泵站、污水厂内的各项运行参数，包括水池液位、污水厂进出流量、污水厂水质在线、泵组工作状态、闸门开关状态、出站流量、进出站压力等，运维人员可以通过监控平台查看设备的实时运行状态。集成报警功能，一旦设备出现异常或故障，系统能够立即发出告警信息。</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b/>
          <w:bCs/>
          <w:sz w:val="22"/>
          <w:szCs w:val="22"/>
          <w:lang w:val="en-US" w:eastAsia="zh-CN"/>
        </w:rPr>
        <w:t>历史数据，</w:t>
      </w:r>
      <w:r>
        <w:rPr>
          <w:rFonts w:hint="eastAsia" w:ascii="宋体" w:hAnsi="宋体" w:eastAsia="宋体" w:cs="宋体"/>
          <w:sz w:val="22"/>
          <w:szCs w:val="22"/>
          <w:lang w:val="en-US" w:eastAsia="zh-CN"/>
        </w:rPr>
        <w:t>系统支持数据存储与查询功能，将采集到的实时数据存储在数据库中，形成历史数据记录表。运维人员可以通过系统的查询界面，输入特定的查询条件（如时间范围、设备类型等），快速检索并展示所需的历史数据。数据以图表、曲线等形式直观呈现，有助于运维人员分析设备的运行趋势、评估设备的性能状况。</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b/>
          <w:bCs/>
          <w:sz w:val="22"/>
          <w:szCs w:val="22"/>
          <w:lang w:val="en-US" w:eastAsia="zh-CN"/>
        </w:rPr>
        <w:t>工艺流程，</w:t>
      </w:r>
      <w:r>
        <w:rPr>
          <w:rFonts w:hint="eastAsia" w:ascii="宋体" w:hAnsi="宋体" w:eastAsia="宋体" w:cs="宋体"/>
          <w:sz w:val="22"/>
          <w:szCs w:val="22"/>
          <w:lang w:val="en-US" w:eastAsia="zh-CN"/>
        </w:rPr>
        <w:t>通过图形化的方式直观展示泵站的工艺流程。运维人员可以通过系统界面查看工艺流程图，了解泵站内各设备的布局、连接关系以及水流方向等信息。</w:t>
      </w:r>
    </w:p>
    <w:p>
      <w:pPr>
        <w:bidi w:val="0"/>
        <w:spacing w:line="360" w:lineRule="auto"/>
        <w:ind w:firstLine="420" w:firstLineChars="0"/>
        <w:outlineLvl w:val="3"/>
        <w:rPr>
          <w:rFonts w:hint="eastAsia" w:ascii="宋体" w:hAnsi="宋体" w:eastAsia="宋体" w:cs="宋体"/>
          <w:b/>
          <w:bCs/>
          <w:sz w:val="22"/>
          <w:szCs w:val="22"/>
          <w:lang w:val="en-US" w:eastAsia="zh-CN"/>
        </w:rPr>
      </w:pPr>
      <w:bookmarkStart w:id="598" w:name="_Toc6512"/>
      <w:bookmarkStart w:id="599" w:name="_Toc21920"/>
      <w:bookmarkStart w:id="600" w:name="_Toc14600"/>
      <w:bookmarkStart w:id="601" w:name="_Toc21470"/>
      <w:bookmarkStart w:id="602" w:name="_Toc26163"/>
      <w:r>
        <w:rPr>
          <w:rFonts w:hint="eastAsia" w:ascii="宋体" w:hAnsi="宋体" w:eastAsia="宋体" w:cs="宋体"/>
          <w:b/>
          <w:bCs/>
          <w:sz w:val="22"/>
          <w:szCs w:val="22"/>
          <w:lang w:val="en-US" w:eastAsia="zh-CN"/>
        </w:rPr>
        <w:t>6）统计分析及报表管理系统</w:t>
      </w:r>
      <w:bookmarkEnd w:id="598"/>
      <w:bookmarkEnd w:id="599"/>
      <w:bookmarkEnd w:id="600"/>
      <w:bookmarkEnd w:id="601"/>
      <w:bookmarkEnd w:id="602"/>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依据现有排水设施运行情况，通过采集提升水量和用电量数据等各类数据指标，系统自动生成包括日报表、周报表、月报表、年报表，涵盖水量统计、水质分析、设备运维记录、能耗分析等各个方面。这些报表不仅提供了详细的数据支持，还能够帮助管理人员更好地了解排水系统的整体运行状况，为优化管理和决策提供依据。</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系统根据实际需要提供数据自动采集入库、手工录入采集能力，实现筛选、导出功能。</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如水量月报，包含参数有：提升水量（万m³）、日均水量（万m³/日）、 总用电量（万度）、电单耗（kwh/m³）。</w:t>
      </w:r>
    </w:p>
    <w:p>
      <w:pPr>
        <w:bidi w:val="0"/>
        <w:spacing w:line="360" w:lineRule="auto"/>
        <w:ind w:firstLine="420" w:firstLineChars="0"/>
        <w:outlineLvl w:val="3"/>
        <w:rPr>
          <w:rFonts w:hint="eastAsia" w:ascii="宋体" w:hAnsi="宋体" w:eastAsia="宋体" w:cs="宋体"/>
          <w:b/>
          <w:bCs/>
          <w:sz w:val="22"/>
          <w:szCs w:val="22"/>
          <w:lang w:val="en-US" w:eastAsia="zh-CN"/>
        </w:rPr>
      </w:pPr>
      <w:bookmarkStart w:id="603" w:name="_Toc7407"/>
      <w:bookmarkStart w:id="604" w:name="_Toc3971"/>
      <w:bookmarkStart w:id="605" w:name="_Toc10791"/>
      <w:bookmarkStart w:id="606" w:name="_Toc29100"/>
      <w:bookmarkStart w:id="607" w:name="_Toc2754"/>
      <w:r>
        <w:rPr>
          <w:rFonts w:hint="eastAsia" w:ascii="宋体" w:hAnsi="宋体" w:eastAsia="宋体" w:cs="宋体"/>
          <w:b/>
          <w:bCs/>
          <w:sz w:val="22"/>
          <w:szCs w:val="22"/>
          <w:lang w:val="en-US" w:eastAsia="zh-CN"/>
        </w:rPr>
        <w:t>7）安全作业监管</w:t>
      </w:r>
      <w:bookmarkEnd w:id="603"/>
      <w:bookmarkEnd w:id="604"/>
      <w:bookmarkEnd w:id="605"/>
      <w:bookmarkEnd w:id="606"/>
      <w:bookmarkEnd w:id="607"/>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在特殊业务场景中，关注有限空间作业监管和排水安全作业监管，能够确保作业人员的安全，减少事故发生，提升排水管理的效率和准确性。</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对有限空间施工作业人员，提供安全作业审批管理，规范安全作业生产。主要内容包括作业基本信息填写、提供作业申请表、气体检测记录、作业安全票等成果附件信息以及拍照上传作业现场图片等多媒体信息。</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b/>
          <w:bCs/>
          <w:sz w:val="22"/>
          <w:szCs w:val="22"/>
          <w:lang w:val="en-US" w:eastAsia="zh-CN"/>
        </w:rPr>
        <w:t>作业基本信息填写，</w:t>
      </w:r>
      <w:r>
        <w:rPr>
          <w:rFonts w:hint="eastAsia" w:ascii="宋体" w:hAnsi="宋体" w:eastAsia="宋体" w:cs="宋体"/>
          <w:sz w:val="22"/>
          <w:szCs w:val="22"/>
          <w:lang w:val="en-US" w:eastAsia="zh-CN"/>
        </w:rPr>
        <w:t>支持填写有限空间作业的基本信息，包括但不限于作业地点、作业时间、作业内容、涉及的有害物质（如有毒气体、易燃易爆气体等）、预计作业人数、作业负责人及联系方式等。</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b/>
          <w:bCs/>
          <w:sz w:val="22"/>
          <w:szCs w:val="22"/>
          <w:lang w:val="en-US" w:eastAsia="zh-CN"/>
        </w:rPr>
        <w:t>作业申请表管理，</w:t>
      </w:r>
      <w:r>
        <w:rPr>
          <w:rFonts w:hint="eastAsia" w:ascii="宋体" w:hAnsi="宋体" w:eastAsia="宋体" w:cs="宋体"/>
          <w:sz w:val="22"/>
          <w:szCs w:val="22"/>
          <w:lang w:val="en-US" w:eastAsia="zh-CN"/>
        </w:rPr>
        <w:t>基于填写的作业基本信息，系统自动生成格式化的作业申请表。申请人可以预览并确认申请表内容无误后，通过系统提交给相关部门或负责人进行审批。</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b/>
          <w:bCs/>
          <w:sz w:val="22"/>
          <w:szCs w:val="22"/>
          <w:lang w:val="en-US" w:eastAsia="zh-CN"/>
        </w:rPr>
        <w:t>气体检测记录，</w:t>
      </w:r>
      <w:r>
        <w:rPr>
          <w:rFonts w:hint="eastAsia" w:ascii="宋体" w:hAnsi="宋体" w:eastAsia="宋体" w:cs="宋体"/>
          <w:sz w:val="22"/>
          <w:szCs w:val="22"/>
          <w:lang w:val="en-US" w:eastAsia="zh-CN"/>
        </w:rPr>
        <w:t>在有限空间作业前、作业过程中及作业后，必须进行气体浓度检测，并记录检测结果。此模块支持作业人员上传或录入气体检测数据，包括检测时间、检测位置、检测气体种类（如氧气、甲烷、硫化氢等）、浓度值及是否超标等信息。</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b/>
          <w:bCs/>
          <w:sz w:val="22"/>
          <w:szCs w:val="22"/>
          <w:lang w:val="en-US" w:eastAsia="zh-CN"/>
        </w:rPr>
        <w:t>作业安全票管理，</w:t>
      </w:r>
      <w:r>
        <w:rPr>
          <w:rFonts w:hint="eastAsia" w:ascii="宋体" w:hAnsi="宋体" w:eastAsia="宋体" w:cs="宋体"/>
          <w:sz w:val="22"/>
          <w:szCs w:val="22"/>
          <w:lang w:val="en-US" w:eastAsia="zh-CN"/>
        </w:rPr>
        <w:t>作业安全票是有限空间作业的重要安全凭证，包含作业审批结果、安全措施要求、应急联系方式等内容。该模块支持生成作业安全票，并根据审批结果自动更新状态（通过、驳回、待审核等）。</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b/>
          <w:bCs/>
          <w:sz w:val="22"/>
          <w:szCs w:val="22"/>
          <w:lang w:val="en-US" w:eastAsia="zh-CN"/>
        </w:rPr>
        <w:t>多媒体信息上传，</w:t>
      </w:r>
      <w:r>
        <w:rPr>
          <w:rFonts w:hint="eastAsia" w:ascii="宋体" w:hAnsi="宋体" w:eastAsia="宋体" w:cs="宋体"/>
          <w:sz w:val="22"/>
          <w:szCs w:val="22"/>
          <w:lang w:val="en-US" w:eastAsia="zh-CN"/>
        </w:rPr>
        <w:t>此模块支持作业人员使用移动设备（如手机、平板电脑）拍摄作业现场照片、视频等多媒体信息，并上传至系统。</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b/>
          <w:bCs/>
          <w:sz w:val="22"/>
          <w:szCs w:val="22"/>
          <w:lang w:val="en-US" w:eastAsia="zh-CN"/>
        </w:rPr>
        <w:t>审批流程管理，</w:t>
      </w:r>
      <w:r>
        <w:rPr>
          <w:rFonts w:hint="eastAsia" w:ascii="宋体" w:hAnsi="宋体" w:eastAsia="宋体" w:cs="宋体"/>
          <w:sz w:val="22"/>
          <w:szCs w:val="22"/>
          <w:lang w:val="en-US" w:eastAsia="zh-CN"/>
        </w:rPr>
        <w:t>定义并管理有限空间作业的审批流程，包括审批层级、审批人员、审批时限等。系统根据预设的流程自动流转作业申请，发送审批通知，并跟踪审批进度。</w:t>
      </w:r>
    </w:p>
    <w:p>
      <w:pPr>
        <w:bidi w:val="0"/>
        <w:spacing w:line="360" w:lineRule="auto"/>
        <w:ind w:firstLine="420" w:firstLineChars="0"/>
        <w:outlineLvl w:val="3"/>
        <w:rPr>
          <w:rFonts w:hint="eastAsia" w:ascii="宋体" w:hAnsi="宋体" w:eastAsia="宋体" w:cs="宋体"/>
          <w:b/>
          <w:bCs/>
          <w:sz w:val="22"/>
          <w:szCs w:val="22"/>
          <w:lang w:val="en-US" w:eastAsia="zh-CN"/>
        </w:rPr>
      </w:pPr>
      <w:bookmarkStart w:id="608" w:name="_Toc11019"/>
      <w:bookmarkStart w:id="609" w:name="_Toc10115"/>
      <w:bookmarkStart w:id="610" w:name="_Toc27180"/>
      <w:bookmarkStart w:id="611" w:name="_Toc11119"/>
      <w:bookmarkStart w:id="612" w:name="_Toc25181"/>
      <w:bookmarkStart w:id="613" w:name="_Toc18760"/>
      <w:bookmarkStart w:id="614" w:name="_Toc14819"/>
      <w:bookmarkStart w:id="615" w:name="_Toc28761"/>
      <w:bookmarkStart w:id="616" w:name="_Toc14426"/>
      <w:bookmarkStart w:id="617" w:name="_Toc4173"/>
      <w:bookmarkStart w:id="618" w:name="_Toc10824"/>
      <w:bookmarkStart w:id="619" w:name="_Toc29443"/>
      <w:r>
        <w:rPr>
          <w:rFonts w:hint="eastAsia" w:ascii="宋体" w:hAnsi="宋体" w:eastAsia="宋体" w:cs="宋体"/>
          <w:b/>
          <w:bCs/>
          <w:sz w:val="22"/>
          <w:szCs w:val="22"/>
          <w:lang w:val="en-US" w:eastAsia="zh-CN"/>
        </w:rPr>
        <w:t>8）移动端应用</w:t>
      </w:r>
      <w:bookmarkEnd w:id="608"/>
      <w:bookmarkEnd w:id="609"/>
      <w:bookmarkEnd w:id="610"/>
      <w:bookmarkEnd w:id="611"/>
      <w:bookmarkEnd w:id="612"/>
      <w:bookmarkEnd w:id="613"/>
      <w:bookmarkEnd w:id="614"/>
      <w:bookmarkEnd w:id="615"/>
      <w:bookmarkEnd w:id="616"/>
      <w:bookmarkEnd w:id="617"/>
      <w:bookmarkEnd w:id="618"/>
      <w:bookmarkEnd w:id="619"/>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本系统将基于移动端应用实现系统的移动化支持，提供移动化排水业务动态监管、巡查、工单、安全作业、监测、预警接收、任务管理、调度指令执行和反馈功能等养护流程以及信息便捷处理，并支持AR管网查询，方便值守人员和管理人员在移动端操作。同时，打通单兵设备、车载GPS以及AR移动设备等终端，为现场作业提供全方位的支持和保障。</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支持反馈现场信息，包括现场照片、视频、文字描述和处置状态（未开始/进行中/已完成），反馈信息实时同步到系统后台，并标记在GIS地图上，支持批量上传以提升效率。</w:t>
      </w:r>
    </w:p>
    <w:p>
      <w:pPr>
        <w:bidi w:val="0"/>
        <w:spacing w:line="360" w:lineRule="auto"/>
        <w:ind w:firstLine="420" w:firstLineChars="0"/>
        <w:rPr>
          <w:rFonts w:hint="eastAsia" w:ascii="宋体" w:hAnsi="宋体" w:cs="宋体"/>
          <w:sz w:val="22"/>
          <w:szCs w:val="22"/>
        </w:rPr>
      </w:pPr>
      <w:r>
        <w:rPr>
          <w:rFonts w:hint="eastAsia" w:ascii="宋体" w:hAnsi="宋体" w:eastAsia="宋体" w:cs="宋体"/>
          <w:sz w:val="22"/>
          <w:szCs w:val="22"/>
          <w:lang w:val="en-US" w:eastAsia="zh-CN"/>
        </w:rPr>
        <w:t>支持查看和处理待办任务，包括预警处理、调度执行和反馈确认，支持列表形式展示待办事项概要，支持指派或登记操作。</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支持以接收和查看通知，包括设备通知（如监测设备离线）、支持风险和调度通知，支持按消息类别筛选，支持一键确认或关闭通知。</w:t>
      </w:r>
    </w:p>
    <w:p>
      <w:pPr>
        <w:bidi w:val="0"/>
        <w:spacing w:line="360" w:lineRule="auto"/>
        <w:ind w:firstLine="420" w:firstLineChars="0"/>
        <w:rPr>
          <w:rFonts w:hint="eastAsia" w:ascii="宋体" w:hAnsi="宋体" w:cs="宋体"/>
          <w:sz w:val="22"/>
          <w:szCs w:val="22"/>
        </w:rPr>
      </w:pPr>
      <w:r>
        <w:rPr>
          <w:rFonts w:hint="eastAsia" w:ascii="宋体" w:hAnsi="宋体" w:eastAsia="宋体" w:cs="宋体"/>
          <w:sz w:val="22"/>
          <w:szCs w:val="22"/>
          <w:lang w:val="en-US" w:eastAsia="zh-CN"/>
        </w:rPr>
        <w:t>支持查询当前及历史数据和记录，包括数据历史监测趋势、预警处理记录、调度执行记录和反馈文件，支持按时间段和类型筛选，并支持数据导出。</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支持以进行用户权限和个人设置，包括登录信息（用户名、密码）、通知设置，并支持在线编辑个人信息（如联系方式）。</w:t>
      </w:r>
    </w:p>
    <w:p>
      <w:pPr>
        <w:bidi w:val="0"/>
        <w:spacing w:line="360" w:lineRule="auto"/>
        <w:ind w:firstLine="420" w:firstLineChars="0"/>
        <w:rPr>
          <w:rFonts w:hint="eastAsia" w:ascii="宋体" w:hAnsi="宋体" w:eastAsia="宋体" w:cs="宋体"/>
          <w:b w:val="0"/>
          <w:bCs w:val="0"/>
          <w:color w:val="auto"/>
          <w:sz w:val="22"/>
          <w:szCs w:val="22"/>
          <w:lang w:val="en-US" w:eastAsia="zh-CN"/>
        </w:rPr>
      </w:pPr>
      <w:r>
        <w:rPr>
          <w:rFonts w:hint="eastAsia" w:ascii="宋体" w:hAnsi="宋体" w:eastAsia="宋体" w:cs="宋体"/>
          <w:sz w:val="22"/>
          <w:szCs w:val="22"/>
          <w:lang w:val="en-US" w:eastAsia="zh-CN"/>
        </w:rPr>
        <w:t>支持的离线功能，在网络中断时查看最近一次同步的数据监测、预警信息和调度指令，并在网络恢复后自动同步数据和反馈，确保移动端操作连续性。</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支持移动报表浏览，对设备设施运行的实时数据进行汇总统计，自动生成各类运行日报、月报、年报、综合报表，等各时间跨度、各类型的报表。</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支持移动终端上可以随时随地查询防汛相关信息，对于突发性、应急性事件的处理具有重要意义。</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支持人员管理巡查点位考勤及巡查轨迹回放、查询、统计和考核。</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 xml:space="preserve">支持在手机端上可以通过填写查询条件，查找相对应的维修记录，支持添加新的维修记录。维修记录用于对排水系统的维修养护情况进行记录，形成数字化统计依据，为维修记录的结算和统计分析报表提供条件。 </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620" w:name="_Toc24179"/>
      <w:bookmarkStart w:id="621" w:name="_Toc31095"/>
      <w:bookmarkStart w:id="622" w:name="_Toc1306"/>
      <w:bookmarkStart w:id="623" w:name="_Toc11773"/>
      <w:bookmarkStart w:id="624" w:name="_Toc13638"/>
      <w:bookmarkStart w:id="625" w:name="_Toc26053"/>
      <w:bookmarkStart w:id="626" w:name="_Toc4785"/>
      <w:bookmarkStart w:id="627" w:name="_Toc9552"/>
      <w:bookmarkStart w:id="628" w:name="_Toc1157"/>
      <w:r>
        <w:rPr>
          <w:rFonts w:hint="eastAsia" w:ascii="宋体" w:hAnsi="宋体" w:cs="宋体"/>
          <w:b/>
          <w:bCs/>
          <w:sz w:val="22"/>
          <w:szCs w:val="22"/>
          <w:lang w:val="en-US" w:eastAsia="zh-CN"/>
        </w:rPr>
        <w:t>2.3.3</w:t>
      </w:r>
      <w:r>
        <w:rPr>
          <w:rFonts w:hint="eastAsia" w:ascii="宋体" w:hAnsi="宋体" w:eastAsia="宋体" w:cs="宋体"/>
          <w:b/>
          <w:bCs/>
          <w:sz w:val="22"/>
          <w:szCs w:val="22"/>
          <w:lang w:val="en-US" w:eastAsia="zh-CN"/>
        </w:rPr>
        <w:t>排水监管一张图升级</w:t>
      </w:r>
      <w:bookmarkEnd w:id="620"/>
      <w:bookmarkEnd w:id="621"/>
      <w:bookmarkEnd w:id="622"/>
      <w:bookmarkEnd w:id="623"/>
      <w:bookmarkEnd w:id="624"/>
      <w:bookmarkEnd w:id="625"/>
      <w:bookmarkEnd w:id="626"/>
      <w:bookmarkEnd w:id="627"/>
      <w:bookmarkEnd w:id="628"/>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对现有的排水运维一张图进行升级，增加水厂、泵站、考核、报表、路面积水、视频监控等模块，并梳理排水全流程的厂、站、网等各个环节的数据关系，增加排水一张图的二级数据钻取，实现快捷的数据查看。</w:t>
      </w:r>
    </w:p>
    <w:p>
      <w:pPr>
        <w:bidi w:val="0"/>
        <w:spacing w:line="360" w:lineRule="auto"/>
        <w:ind w:firstLine="420" w:firstLineChars="0"/>
        <w:outlineLvl w:val="3"/>
        <w:rPr>
          <w:rFonts w:hint="eastAsia" w:ascii="宋体" w:hAnsi="宋体" w:eastAsia="宋体" w:cs="宋体"/>
          <w:b/>
          <w:bCs/>
          <w:sz w:val="22"/>
          <w:szCs w:val="22"/>
          <w:lang w:val="en-US" w:eastAsia="zh-CN"/>
        </w:rPr>
      </w:pPr>
      <w:bookmarkStart w:id="629" w:name="_Toc30863"/>
      <w:bookmarkStart w:id="630" w:name="_Toc2269"/>
      <w:bookmarkStart w:id="631" w:name="_Toc5717"/>
      <w:bookmarkStart w:id="632" w:name="_Toc22660"/>
      <w:bookmarkStart w:id="633" w:name="_Toc10686"/>
      <w:r>
        <w:rPr>
          <w:rFonts w:hint="eastAsia" w:ascii="宋体" w:hAnsi="宋体" w:eastAsia="宋体" w:cs="宋体"/>
          <w:b/>
          <w:bCs/>
          <w:sz w:val="22"/>
          <w:szCs w:val="22"/>
          <w:lang w:val="en-US" w:eastAsia="zh-CN"/>
        </w:rPr>
        <w:t>1）污水厂信息管理</w:t>
      </w:r>
      <w:bookmarkEnd w:id="629"/>
      <w:bookmarkEnd w:id="630"/>
      <w:bookmarkEnd w:id="631"/>
      <w:bookmarkEnd w:id="632"/>
      <w:bookmarkEnd w:id="633"/>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根据现场实际工艺绘制集成两座污水厂的工艺流程，可包含实时运行参数（进水量、出水量、水质指标等）、处理工艺（格栅、沉淀、曝气、消毒等）、关键设备状态（泵组、阀门、传感器等）和水质指标（COD、氨氮、pH值等）、污水厂位置、处理能力等污水厂详细的信息展示。其中会描绘水流方向、设备连接关系和处理单元的逻辑顺序。</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支持水厂内部布局图展示，通过点击可进一步查看各处理单元的具体情况；集成远程监控系统，实时获取并展示水厂关键设备的运行视频。</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支持以不同颜色显示污水厂状态（在线、离线、故障、疑似死机），并支持多图层切换，包括各类站点、管线段（分级）、管线点（按附属物区分）。</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以工艺流程图为载体实现污水厂运行过程监控，根据后期采集的数据，比如可显示进水量、出水量、处理工艺（格栅、沉淀、曝气、消毒等）、关键设备状态（泵组、阀门、传感器）和水质（COD、氨氮、pH值等），并以图形化方式显示水流方向和连接设备，支持实时更新（更新支持频率默认5分钟/次）。</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支持点击图标时以弹窗显示点位详细信息，包括：实时监测数据（列表/图表）、基础信息、物联设备详情、巡检记录、运维记录等。</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支持统计当前站点、设备总数，统计区域内管线分布情况。</w:t>
      </w:r>
    </w:p>
    <w:p>
      <w:pPr>
        <w:bidi w:val="0"/>
        <w:spacing w:line="360" w:lineRule="auto"/>
        <w:ind w:firstLine="420" w:firstLineChars="0"/>
        <w:rPr>
          <w:rFonts w:hint="eastAsia" w:ascii="宋体" w:hAnsi="宋体" w:cs="宋体"/>
          <w:sz w:val="22"/>
          <w:szCs w:val="22"/>
          <w:lang w:val="en-US" w:eastAsia="zh-CN"/>
        </w:rPr>
      </w:pPr>
      <w:r>
        <w:rPr>
          <w:rFonts w:hint="eastAsia" w:ascii="宋体" w:hAnsi="宋体" w:eastAsia="宋体" w:cs="宋体"/>
          <w:sz w:val="22"/>
          <w:szCs w:val="22"/>
          <w:lang w:val="en-US" w:eastAsia="zh-CN"/>
        </w:rPr>
        <w:t>支持展示告警点位信息，支持一键跳转告警详情。</w:t>
      </w:r>
    </w:p>
    <w:p>
      <w:pPr>
        <w:bidi w:val="0"/>
        <w:spacing w:line="360" w:lineRule="auto"/>
        <w:ind w:firstLine="420" w:firstLineChars="0"/>
        <w:outlineLvl w:val="3"/>
        <w:rPr>
          <w:rFonts w:hint="eastAsia" w:ascii="宋体" w:hAnsi="宋体" w:eastAsia="宋体" w:cs="宋体"/>
          <w:b/>
          <w:bCs/>
          <w:sz w:val="22"/>
          <w:szCs w:val="22"/>
          <w:lang w:val="en-US" w:eastAsia="zh-CN"/>
        </w:rPr>
      </w:pPr>
      <w:bookmarkStart w:id="634" w:name="_Toc11489"/>
      <w:bookmarkStart w:id="635" w:name="_Toc31394"/>
      <w:bookmarkStart w:id="636" w:name="_Toc9668"/>
      <w:bookmarkStart w:id="637" w:name="_Toc17188"/>
      <w:bookmarkStart w:id="638" w:name="_Toc29957"/>
      <w:r>
        <w:rPr>
          <w:rFonts w:hint="eastAsia" w:ascii="宋体" w:hAnsi="宋体" w:eastAsia="宋体" w:cs="宋体"/>
          <w:b/>
          <w:bCs/>
          <w:sz w:val="22"/>
          <w:szCs w:val="22"/>
          <w:lang w:val="en-US" w:eastAsia="zh-CN"/>
        </w:rPr>
        <w:t>2）泵站信息管理</w:t>
      </w:r>
      <w:bookmarkEnd w:id="634"/>
      <w:bookmarkEnd w:id="635"/>
      <w:bookmarkEnd w:id="636"/>
      <w:bookmarkEnd w:id="637"/>
      <w:bookmarkEnd w:id="638"/>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根据现场情况绘制集成三座污水泵站厂的工艺流程，在一张图上标注并展示所有泵站的位置、规模、泵组工作状态、泵站运行状态（开启/关闭）、泵送流量、瞬时流量、水位、扬程、能耗等关键信息。实现泵站远程控制功能，如远程启停泵、调节泵速等；集成泵站监控视频，实时监控泵房环境及泵机运行状态。</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支持以不同颜色显示泵站状态（在线、离线、故障、疑似死机），并支持多图层切换，包括各类站点、管线段（分级）、管线点（按附属物区分）。</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以工艺流程图为载体实现泵站运行过程监控，根据后期采集的数据，比如可显示进水量、出水量、关键设备状态和水质，并以图形化方式显示水流方向和连接设备，支持实时更新（更新支持频率默认5分钟/次）。</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支持点击图标时以弹窗显示点位详细信息，包括：实时监测数据（列表/图表）、基础信息、物联设备详情、巡检记录、运维记录等。</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支持统计当前站点、设备总数，统计区域内管线分布情况。</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支持展示告警点位信息，支持一键跳转告警详情。</w:t>
      </w:r>
    </w:p>
    <w:p>
      <w:pPr>
        <w:bidi w:val="0"/>
        <w:spacing w:line="360" w:lineRule="auto"/>
        <w:ind w:firstLine="420" w:firstLineChars="0"/>
        <w:outlineLvl w:val="3"/>
        <w:rPr>
          <w:rFonts w:hint="eastAsia" w:ascii="宋体" w:hAnsi="宋体" w:eastAsia="宋体" w:cs="宋体"/>
          <w:b/>
          <w:bCs/>
          <w:sz w:val="22"/>
          <w:szCs w:val="22"/>
          <w:lang w:val="en-US" w:eastAsia="zh-CN"/>
        </w:rPr>
      </w:pPr>
      <w:bookmarkStart w:id="639" w:name="_Toc10477"/>
      <w:bookmarkStart w:id="640" w:name="_Toc4493"/>
      <w:bookmarkStart w:id="641" w:name="_Toc10877"/>
      <w:bookmarkStart w:id="642" w:name="_Toc24198"/>
      <w:bookmarkStart w:id="643" w:name="_Toc19081"/>
      <w:r>
        <w:rPr>
          <w:rFonts w:hint="eastAsia" w:ascii="宋体" w:hAnsi="宋体" w:eastAsia="宋体" w:cs="宋体"/>
          <w:b/>
          <w:bCs/>
          <w:sz w:val="22"/>
          <w:szCs w:val="22"/>
          <w:lang w:val="en-US" w:eastAsia="zh-CN"/>
        </w:rPr>
        <w:t>3）管网网格点管理</w:t>
      </w:r>
      <w:bookmarkEnd w:id="639"/>
      <w:bookmarkEnd w:id="640"/>
      <w:bookmarkEnd w:id="641"/>
      <w:bookmarkEnd w:id="642"/>
      <w:bookmarkEnd w:id="643"/>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在一张图上标注并展示所有网格管网的位置、规模、通水状态、流量等关键信息。实现管网集成观看=等；集成现场监控视频，实时监控管网地上地下环境及通水运行状态。</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支持用户管理管网网格点管理的拓扑关系，自定义网格点排序及层级。</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支持对任意层级进行展示顺序调整、层级升降更换等操作。</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支持以不同颜色显示管网状态（新建、修复、正常通水、疑似堵塞），并支持多图层切换，包括各类站点、管线段（分级）、管线点（按附属物区分）。</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支持以地图为载体实现管网运行过程监控，根据后期采集的数据，比如可显示翻新建管网、堵塞疏通、关键点水质，并以图形化方式显示水流方向和连接物联网设备，支持更新。</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支持点击图标时以弹窗显示点位详细信息，包括：实时监测数据（列表/图表）、基础信息、物联设备详情、巡检记录、物联数据、运维记录及告警信息等。</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支持统计网格，统计区域内管线分布情况。</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支持各类外部排水户产权、营业信息、联系人信息、变更情况以及物联设备（如入网口流量计等）的基本信息、物联数据、一体化运维信息及告警信息。</w:t>
      </w:r>
    </w:p>
    <w:p>
      <w:pPr>
        <w:bidi w:val="0"/>
        <w:spacing w:line="360" w:lineRule="auto"/>
        <w:ind w:firstLine="420" w:firstLineChars="0"/>
        <w:rPr>
          <w:rFonts w:hint="eastAsia" w:ascii="宋体" w:hAnsi="宋体" w:cs="宋体"/>
          <w:sz w:val="22"/>
          <w:szCs w:val="22"/>
          <w:lang w:val="en-US" w:eastAsia="zh-CN"/>
        </w:rPr>
      </w:pPr>
      <w:r>
        <w:rPr>
          <w:rFonts w:hint="eastAsia" w:ascii="宋体" w:hAnsi="宋体" w:eastAsia="宋体" w:cs="宋体"/>
          <w:sz w:val="22"/>
          <w:szCs w:val="22"/>
          <w:lang w:val="en-US" w:eastAsia="zh-CN"/>
        </w:rPr>
        <w:t>支持新增、编辑设备信息，并配置设备接入协议等。</w:t>
      </w:r>
    </w:p>
    <w:p>
      <w:pPr>
        <w:bidi w:val="0"/>
        <w:spacing w:line="360" w:lineRule="auto"/>
        <w:ind w:firstLine="420" w:firstLineChars="0"/>
        <w:outlineLvl w:val="3"/>
        <w:rPr>
          <w:rFonts w:hint="eastAsia" w:ascii="宋体" w:hAnsi="宋体" w:eastAsia="宋体" w:cs="宋体"/>
          <w:b/>
          <w:bCs/>
          <w:sz w:val="22"/>
          <w:szCs w:val="22"/>
          <w:lang w:val="en-US" w:eastAsia="zh-CN"/>
        </w:rPr>
      </w:pPr>
      <w:bookmarkStart w:id="644" w:name="_Toc17027"/>
      <w:bookmarkStart w:id="645" w:name="_Toc14865"/>
      <w:bookmarkStart w:id="646" w:name="_Toc5525"/>
      <w:bookmarkStart w:id="647" w:name="_Toc24836"/>
      <w:bookmarkStart w:id="648" w:name="_Toc15603"/>
      <w:r>
        <w:rPr>
          <w:rFonts w:hint="eastAsia" w:ascii="宋体" w:hAnsi="宋体" w:eastAsia="宋体" w:cs="宋体"/>
          <w:b/>
          <w:bCs/>
          <w:sz w:val="22"/>
          <w:szCs w:val="22"/>
          <w:lang w:val="en-US" w:eastAsia="zh-CN"/>
        </w:rPr>
        <w:t>4）告警中心</w:t>
      </w:r>
      <w:bookmarkEnd w:id="644"/>
      <w:bookmarkEnd w:id="645"/>
      <w:bookmarkEnd w:id="646"/>
      <w:bookmarkEnd w:id="647"/>
      <w:bookmarkEnd w:id="648"/>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系统支持可视化工具，自定义数据处理规则编排，从而在设备达到某些特定状态时能够调整设备状态或通知到管理者。从而用户就无需全天盯住相关设备，只在触发的时候能够获取相关信息。</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b w:val="0"/>
          <w:bCs w:val="0"/>
          <w:sz w:val="22"/>
          <w:szCs w:val="22"/>
          <w:lang w:val="en-US" w:eastAsia="zh-CN"/>
        </w:rPr>
        <w:t>告警界面，</w:t>
      </w:r>
      <w:r>
        <w:rPr>
          <w:rFonts w:hint="eastAsia" w:ascii="宋体" w:hAnsi="宋体" w:eastAsia="宋体" w:cs="宋体"/>
          <w:sz w:val="22"/>
          <w:szCs w:val="22"/>
          <w:lang w:val="en-US" w:eastAsia="zh-CN"/>
        </w:rPr>
        <w:t>支持以站点-指标维度展示告警信息，并对同类告警进行汇聚，通过详情弹窗查看告警基础数据、告警统计数据曲线、告警排名三个方面信息。</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其中基础数据包含告警数量，含今日和当月告警总数；告警配置含平台当前正常、禁用、全部的告警配置数量；最新告警按照时间倒序展示报警信息，可展开查看详情。</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告警统计数据曲线，支持按照告警类型、告警时间进行数据筛选后查看对应的曲线图。</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可设置统计曲线的筛选条件，排列告警次数最多的内容。</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支持自动计算当前告警持续时长，自动记录告警通知状态。</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支持一键转通知发送给相关人员，将告警流转为一体化运维通知及后续工单。</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支持手动确认告警信息并在一段时间内停止告警通知。</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支持对不同类型站点配置告警触发阈值。支持设置告警分级，包括预警级别和紧急级别。</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支持一键调用或新建通知模板，以匹配不同时段通知不同人员。支持开启恢复通知，即告警消除通知。</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支持用户自定义配置告警沉默时长，若告警持续发生，则在沉默周期内不会重复通知用户，以减少冗余信息干扰。</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支持同类型站点批量操作告警配置。</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支持站点告警通知功能一键启停，以应对临时需要的告警关闭。支持一键批量启停设置。</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b w:val="0"/>
          <w:bCs w:val="0"/>
          <w:sz w:val="22"/>
          <w:szCs w:val="22"/>
          <w:lang w:val="en-US" w:eastAsia="zh-CN"/>
        </w:rPr>
        <w:t>通知模板，</w:t>
      </w:r>
      <w:r>
        <w:rPr>
          <w:rFonts w:hint="eastAsia" w:ascii="宋体" w:hAnsi="宋体" w:eastAsia="宋体" w:cs="宋体"/>
          <w:sz w:val="22"/>
          <w:szCs w:val="22"/>
          <w:lang w:val="en-US" w:eastAsia="zh-CN"/>
        </w:rPr>
        <w:t>提供预设格式和内容的模板，便于快速生成和发送告警通知，提升响应效率。</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支持自由组合接收通知的用户、部门。支持自定义通知周期及通知时段。支持通过系统通知、短信等方式告知用户。</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支持同一模板下多分组设置通知规则。</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支持用户手动输入短信接人或从系统通讯录勾选接收人</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支持选取短信预设模板，一键发送短信。</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支持自定义备忘组人员，一键发送短信给备忘组内成员。</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支持记录所有发送的短信和接收的反馈，方便用户查看和管理历史通讯信息。</w:t>
      </w:r>
    </w:p>
    <w:p>
      <w:pPr>
        <w:bidi w:val="0"/>
        <w:spacing w:line="360" w:lineRule="auto"/>
        <w:ind w:firstLine="420" w:firstLineChars="0"/>
        <w:outlineLvl w:val="3"/>
        <w:rPr>
          <w:rFonts w:hint="eastAsia" w:ascii="宋体" w:hAnsi="宋体" w:eastAsia="宋体" w:cs="宋体"/>
          <w:b/>
          <w:bCs/>
          <w:sz w:val="22"/>
          <w:szCs w:val="22"/>
          <w:lang w:val="en-US" w:eastAsia="zh-CN"/>
        </w:rPr>
      </w:pPr>
      <w:bookmarkStart w:id="649" w:name="_Toc30172"/>
      <w:bookmarkStart w:id="650" w:name="_Toc24629"/>
      <w:bookmarkStart w:id="651" w:name="_Toc19169"/>
      <w:bookmarkStart w:id="652" w:name="_Toc3716"/>
      <w:bookmarkStart w:id="653" w:name="_Toc28027"/>
      <w:r>
        <w:rPr>
          <w:rFonts w:hint="eastAsia" w:ascii="宋体" w:hAnsi="宋体" w:eastAsia="宋体" w:cs="宋体"/>
          <w:b/>
          <w:bCs/>
          <w:sz w:val="22"/>
          <w:szCs w:val="22"/>
          <w:lang w:val="en-US" w:eastAsia="zh-CN"/>
        </w:rPr>
        <w:t>6）考核管理</w:t>
      </w:r>
      <w:bookmarkEnd w:id="649"/>
      <w:bookmarkEnd w:id="650"/>
      <w:bookmarkEnd w:id="651"/>
      <w:bookmarkEnd w:id="652"/>
      <w:bookmarkEnd w:id="653"/>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支持考核标准的自定义配置，相关管理人员可通过移动端进行考核打分，以及提供个人历史考核数据查询与对比分析功能。</w:t>
      </w:r>
    </w:p>
    <w:p>
      <w:pPr>
        <w:bidi w:val="0"/>
        <w:spacing w:line="360" w:lineRule="auto"/>
        <w:ind w:firstLine="420" w:firstLineChars="0"/>
        <w:outlineLvl w:val="3"/>
        <w:rPr>
          <w:rFonts w:hint="eastAsia" w:ascii="宋体" w:hAnsi="宋体" w:eastAsia="宋体" w:cs="宋体"/>
          <w:b/>
          <w:bCs/>
          <w:sz w:val="22"/>
          <w:szCs w:val="22"/>
          <w:lang w:val="en-US" w:eastAsia="zh-CN"/>
        </w:rPr>
      </w:pPr>
      <w:bookmarkStart w:id="654" w:name="_Toc781"/>
      <w:bookmarkStart w:id="655" w:name="_Toc22898"/>
      <w:bookmarkStart w:id="656" w:name="_Toc7064"/>
      <w:bookmarkStart w:id="657" w:name="_Toc20261"/>
      <w:bookmarkStart w:id="658" w:name="_Toc4295"/>
      <w:r>
        <w:rPr>
          <w:rFonts w:hint="eastAsia" w:ascii="宋体" w:hAnsi="宋体" w:eastAsia="宋体" w:cs="宋体"/>
          <w:b/>
          <w:bCs/>
          <w:sz w:val="22"/>
          <w:szCs w:val="22"/>
          <w:lang w:val="en-US" w:eastAsia="zh-CN"/>
        </w:rPr>
        <w:t>7）报表管理</w:t>
      </w:r>
      <w:bookmarkEnd w:id="654"/>
      <w:bookmarkEnd w:id="655"/>
      <w:bookmarkEnd w:id="656"/>
      <w:bookmarkEnd w:id="657"/>
      <w:bookmarkEnd w:id="658"/>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提供多样化的报表模板，包括日报表、周报表、月报表、年报表，涵盖水量统计、水质分析、设备运维记录、能耗分析等各个方面。支持报表的自定义设计，满足不同用户的个性化需求；实现报表数据的自动化生成与导出功能，支持Excel、PDF等格式。</w:t>
      </w:r>
    </w:p>
    <w:p>
      <w:pPr>
        <w:bidi w:val="0"/>
        <w:spacing w:line="360" w:lineRule="auto"/>
        <w:ind w:firstLine="420" w:firstLineChars="0"/>
        <w:outlineLvl w:val="3"/>
        <w:rPr>
          <w:rFonts w:hint="eastAsia" w:ascii="宋体" w:hAnsi="宋体" w:eastAsia="宋体" w:cs="宋体"/>
          <w:b/>
          <w:bCs/>
          <w:sz w:val="22"/>
          <w:szCs w:val="22"/>
          <w:lang w:val="en-US" w:eastAsia="zh-CN"/>
        </w:rPr>
      </w:pPr>
      <w:bookmarkStart w:id="659" w:name="_Toc6818"/>
      <w:bookmarkStart w:id="660" w:name="_Toc16720"/>
      <w:bookmarkStart w:id="661" w:name="_Toc1768"/>
      <w:bookmarkStart w:id="662" w:name="_Toc31780"/>
      <w:bookmarkStart w:id="663" w:name="_Toc14825"/>
      <w:r>
        <w:rPr>
          <w:rFonts w:hint="eastAsia" w:ascii="宋体" w:hAnsi="宋体" w:eastAsia="宋体" w:cs="宋体"/>
          <w:b/>
          <w:bCs/>
          <w:sz w:val="22"/>
          <w:szCs w:val="22"/>
          <w:lang w:val="en-US" w:eastAsia="zh-CN"/>
        </w:rPr>
        <w:t>8）路面积水监测</w:t>
      </w:r>
      <w:bookmarkEnd w:id="659"/>
      <w:bookmarkEnd w:id="660"/>
      <w:bookmarkEnd w:id="661"/>
      <w:bookmarkEnd w:id="662"/>
      <w:bookmarkEnd w:id="663"/>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结合GIS地图，实时展示城市低洼地区、易积水路段的积水情况，包括积水深度、积水范围、积水时长等。集成气象数据，预测并预警可能发生的积水情况；提供积水应急处理方案建议，辅助决策者快速响应。</w:t>
      </w:r>
    </w:p>
    <w:p>
      <w:pPr>
        <w:bidi w:val="0"/>
        <w:spacing w:line="360" w:lineRule="auto"/>
        <w:ind w:firstLine="420" w:firstLineChars="0"/>
        <w:outlineLvl w:val="3"/>
        <w:rPr>
          <w:rFonts w:hint="eastAsia" w:ascii="宋体" w:hAnsi="宋体" w:eastAsia="宋体" w:cs="宋体"/>
          <w:b/>
          <w:bCs/>
          <w:sz w:val="22"/>
          <w:szCs w:val="22"/>
          <w:lang w:val="en-US" w:eastAsia="zh-CN"/>
        </w:rPr>
      </w:pPr>
      <w:bookmarkStart w:id="664" w:name="_Toc10649"/>
      <w:bookmarkStart w:id="665" w:name="_Toc10059"/>
      <w:bookmarkStart w:id="666" w:name="_Toc25115"/>
      <w:bookmarkStart w:id="667" w:name="_Toc28350"/>
      <w:bookmarkStart w:id="668" w:name="_Toc26598"/>
      <w:r>
        <w:rPr>
          <w:rFonts w:hint="eastAsia" w:ascii="宋体" w:hAnsi="宋体" w:eastAsia="宋体" w:cs="宋体"/>
          <w:b/>
          <w:bCs/>
          <w:sz w:val="22"/>
          <w:szCs w:val="22"/>
          <w:lang w:val="en-US" w:eastAsia="zh-CN"/>
        </w:rPr>
        <w:t>9）视频监控</w:t>
      </w:r>
      <w:bookmarkEnd w:id="664"/>
      <w:bookmarkEnd w:id="665"/>
      <w:bookmarkEnd w:id="666"/>
      <w:bookmarkEnd w:id="667"/>
      <w:bookmarkEnd w:id="668"/>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对接洞头区其他单位现有监控平台，整合公司现有视频监控资源，实现视频实时监控能力。在一张图上直接查看关键区域（如水厂、泵站、易积水路段）的实时视频画面。支持按不同类型站点自由配置预设的视频组合方案，支持视频画面的轮询播放、缩放、全屏显示等功能；实现视频异常检测与报警，如人员闯入、设备故障等。支持视频实时查看、回放、下载等功能。</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sz w:val="22"/>
          <w:szCs w:val="22"/>
          <w:lang w:val="en-US" w:eastAsia="zh-CN"/>
        </w:rPr>
      </w:pPr>
      <w:bookmarkStart w:id="669" w:name="_Toc32"/>
      <w:bookmarkStart w:id="670" w:name="_Toc24638"/>
      <w:bookmarkStart w:id="671" w:name="_Toc21473"/>
      <w:bookmarkStart w:id="672" w:name="_Toc31416"/>
      <w:bookmarkStart w:id="673" w:name="_Toc31832"/>
      <w:bookmarkStart w:id="674" w:name="_Toc1824"/>
      <w:bookmarkStart w:id="675" w:name="_Toc16497"/>
      <w:bookmarkStart w:id="676" w:name="_Toc4617"/>
      <w:bookmarkStart w:id="677" w:name="_Toc13817"/>
      <w:bookmarkStart w:id="678" w:name="_Toc6013"/>
      <w:bookmarkStart w:id="679" w:name="_Toc12000"/>
      <w:bookmarkStart w:id="680" w:name="_Toc9945"/>
      <w:bookmarkStart w:id="681" w:name="_Toc2694"/>
      <w:bookmarkStart w:id="682" w:name="_Toc19459"/>
      <w:bookmarkStart w:id="683" w:name="_Toc27213"/>
      <w:r>
        <w:rPr>
          <w:rFonts w:hint="eastAsia" w:ascii="宋体" w:hAnsi="宋体" w:cs="宋体"/>
          <w:b/>
          <w:bCs/>
          <w:sz w:val="22"/>
          <w:szCs w:val="22"/>
          <w:lang w:val="en-US" w:eastAsia="zh-CN"/>
        </w:rPr>
        <w:t>2.3.4</w:t>
      </w:r>
      <w:r>
        <w:rPr>
          <w:rFonts w:hint="eastAsia" w:ascii="宋体" w:hAnsi="宋体" w:eastAsia="宋体" w:cs="宋体"/>
          <w:b/>
          <w:bCs/>
          <w:sz w:val="22"/>
          <w:szCs w:val="22"/>
          <w:lang w:val="en-US" w:eastAsia="zh-CN"/>
        </w:rPr>
        <w:t>物资管理</w:t>
      </w:r>
      <w:bookmarkEnd w:id="669"/>
      <w:bookmarkEnd w:id="670"/>
      <w:bookmarkEnd w:id="671"/>
      <w:bookmarkEnd w:id="672"/>
      <w:bookmarkEnd w:id="673"/>
      <w:bookmarkEnd w:id="674"/>
      <w:bookmarkEnd w:id="675"/>
      <w:bookmarkEnd w:id="676"/>
      <w:bookmarkEnd w:id="677"/>
      <w:bookmarkEnd w:id="678"/>
      <w:bookmarkEnd w:id="679"/>
      <w:bookmarkEnd w:id="680"/>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物资列表该模块主要用于管理具体物资及其归属仓库的明细列表，并对相关仓库执行出入库等操作。支持用户对仓库执行一键入库、出库或快速领用的操作。支持一键切换物资模式与仓库模式。</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出入库管理主要用于记录出入库申请记录的查询、审批等操作。支持用户查看单次提交的出入库申请详情，并对申请进行审批、驳回等操作。</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仓库管理支持用户对公司名下所有物资仓库进行统一管理。支持新增、编辑仓库信息（包括名称、负责人、联系方式、仓库地址等字段）等操作。</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物资分类管理支持用户新增、编辑物资分类与已建仓库的关联关系。</w:t>
      </w:r>
    </w:p>
    <w:p>
      <w:pPr>
        <w:bidi w:val="0"/>
        <w:spacing w:line="360" w:lineRule="auto"/>
        <w:ind w:firstLine="420" w:firstLineChars="0"/>
        <w:rPr>
          <w:rFonts w:hint="eastAsia" w:ascii="宋体" w:hAnsi="宋体" w:eastAsia="宋体" w:cs="宋体"/>
          <w:b/>
          <w:bCs/>
          <w:sz w:val="22"/>
          <w:szCs w:val="22"/>
          <w:lang w:val="en-US" w:eastAsia="zh-CN"/>
        </w:rPr>
      </w:pPr>
      <w:r>
        <w:rPr>
          <w:rFonts w:hint="eastAsia" w:ascii="宋体" w:hAnsi="宋体" w:eastAsia="宋体" w:cs="宋体"/>
          <w:sz w:val="22"/>
          <w:szCs w:val="22"/>
          <w:lang w:val="en-US" w:eastAsia="zh-CN"/>
        </w:rPr>
        <w:t>物资信息管理，用于管理具体物资的库存告警值及归属分类的关系。支持用户配置库存告警值，当库存量低于库存告警值时，执行相应出入库操作后会做出提示告知。</w:t>
      </w:r>
    </w:p>
    <w:bookmarkEnd w:id="681"/>
    <w:bookmarkEnd w:id="682"/>
    <w:bookmarkEnd w:id="683"/>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684" w:name="_Toc22595"/>
      <w:bookmarkStart w:id="685" w:name="_Toc328"/>
      <w:bookmarkStart w:id="686" w:name="_Toc20936"/>
      <w:bookmarkStart w:id="687" w:name="_Toc31766"/>
      <w:bookmarkStart w:id="688" w:name="_Toc22840"/>
      <w:bookmarkStart w:id="689" w:name="_Toc18141"/>
      <w:bookmarkStart w:id="690" w:name="_Toc6495"/>
      <w:bookmarkStart w:id="691" w:name="_Toc23667"/>
      <w:bookmarkStart w:id="692" w:name="_Toc1190"/>
      <w:bookmarkStart w:id="693" w:name="_Toc8659"/>
      <w:bookmarkStart w:id="694" w:name="_Toc3335"/>
      <w:bookmarkStart w:id="695" w:name="_Toc14735"/>
      <w:r>
        <w:rPr>
          <w:rFonts w:hint="eastAsia" w:ascii="宋体" w:hAnsi="宋体" w:eastAsia="宋体" w:cs="宋体"/>
          <w:b/>
          <w:bCs/>
          <w:sz w:val="22"/>
          <w:szCs w:val="22"/>
          <w:lang w:val="en-US" w:eastAsia="zh-CN"/>
        </w:rPr>
        <w:t>2.3.5内涝防汛管理</w:t>
      </w:r>
      <w:bookmarkEnd w:id="684"/>
      <w:bookmarkEnd w:id="685"/>
      <w:bookmarkEnd w:id="686"/>
      <w:bookmarkEnd w:id="687"/>
      <w:bookmarkEnd w:id="688"/>
      <w:bookmarkEnd w:id="689"/>
      <w:bookmarkEnd w:id="690"/>
      <w:bookmarkEnd w:id="691"/>
      <w:bookmarkEnd w:id="692"/>
      <w:bookmarkEnd w:id="693"/>
      <w:bookmarkEnd w:id="694"/>
      <w:bookmarkEnd w:id="695"/>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 xml:space="preserve">针对现存在的内涝管理难度大、设施运维不便的场景，进行针对性开发对应功能模块，通过智慧解决方案应对痛点，对积水点与易涝区进行识别、划分，并进行数字化信息建档，完成防汛重点区域、易涝风险点、泵站、隧道、下穿通道、水库、值守点等专题图层的数据录入、地图位置标注，并对接第三方天气与潮汐数据，提前防控，从而解决内涝风险管理难题。打造内涝风险管理监管一张图，另外增加水厂、泵站、考核、报表、路面积水、视频监控等模块，并梳理排水全流程的厂、站、网等各个环节的数据关系。 </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通过建立排水设施数据库，对排水设施进行巡检管理，通过工单管理模块、维修保养管理模块、工程维修台账管理模块、巡检统计报表模块，对排水设施巡检进行全生命周期监管，从而解决内排水设施运维管理难题。</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696" w:name="_Toc24134"/>
      <w:bookmarkStart w:id="697" w:name="_Toc26515"/>
      <w:bookmarkStart w:id="698" w:name="_Toc30476"/>
      <w:bookmarkStart w:id="699" w:name="_Toc68"/>
      <w:bookmarkStart w:id="700" w:name="_Toc22268"/>
      <w:bookmarkStart w:id="701" w:name="_Toc7770"/>
      <w:bookmarkStart w:id="702" w:name="_Toc6474"/>
      <w:bookmarkStart w:id="703" w:name="_Toc18628"/>
      <w:bookmarkStart w:id="704" w:name="_Toc29902"/>
      <w:bookmarkStart w:id="705" w:name="_Toc11890"/>
      <w:bookmarkStart w:id="706" w:name="_Toc856"/>
      <w:bookmarkStart w:id="707" w:name="_Toc8388"/>
      <w:r>
        <w:rPr>
          <w:rFonts w:hint="eastAsia" w:ascii="宋体" w:hAnsi="宋体" w:cs="宋体"/>
          <w:b/>
          <w:bCs/>
          <w:sz w:val="22"/>
          <w:szCs w:val="22"/>
          <w:lang w:val="en-US" w:eastAsia="zh-CN"/>
        </w:rPr>
        <w:t>2.3.5.1</w:t>
      </w:r>
      <w:r>
        <w:rPr>
          <w:rFonts w:hint="eastAsia" w:ascii="宋体" w:hAnsi="宋体" w:eastAsia="宋体" w:cs="宋体"/>
          <w:b/>
          <w:bCs/>
          <w:sz w:val="22"/>
          <w:szCs w:val="22"/>
          <w:lang w:val="en-US" w:eastAsia="zh-CN"/>
        </w:rPr>
        <w:t>数据数字化</w:t>
      </w:r>
      <w:bookmarkEnd w:id="696"/>
      <w:bookmarkEnd w:id="697"/>
      <w:bookmarkEnd w:id="698"/>
      <w:bookmarkEnd w:id="699"/>
      <w:bookmarkEnd w:id="700"/>
      <w:bookmarkEnd w:id="701"/>
      <w:bookmarkEnd w:id="702"/>
      <w:bookmarkEnd w:id="703"/>
      <w:bookmarkEnd w:id="704"/>
      <w:bookmarkEnd w:id="705"/>
      <w:bookmarkEnd w:id="706"/>
      <w:bookmarkEnd w:id="707"/>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本期项目将基于组合数据库实现系统的数据库建设，完成防汛重点区域、易涝风险点、泵站、隧道、下穿通道、水库、值守点等专题图层的数据录入、地图位置标注。为实时监测、风险预测、预警生成和调度提供数据与查询支持。</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由于本次原始数据均无表格类的标准化数据，需要根据各个部门协调的防汛相关数据的纸质化、PPT说明、图片截图、地图位置示意图片等内容，进行标准化整理、数字化入库、地图位置标注、对应关系整理等工作，最终完成防汛相关数据库建设。</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运用数据校验算法和逻辑规则，对录入的数据进行准确性、完整性和一致性检查，重点对待入库的管网空间数据进行一系列数据规范性、表达一致性、逻辑合理性检查。对于经过处理并通过检查的数据，在管理员审批通过的情况下，可以导入现有排水管网空间数据库中，并完成与数据库现状数据的合并。支持分布式存储和备份，保障数据的安全性和可靠性，自动完成数据合并和数据库更新操作。</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708" w:name="_Toc16678"/>
      <w:bookmarkStart w:id="709" w:name="_Toc19898"/>
      <w:bookmarkStart w:id="710" w:name="_Toc1965"/>
      <w:bookmarkStart w:id="711" w:name="_Toc21442"/>
      <w:bookmarkStart w:id="712" w:name="_Toc12989"/>
      <w:bookmarkStart w:id="713" w:name="_Toc18351"/>
      <w:bookmarkStart w:id="714" w:name="_Toc29079"/>
      <w:bookmarkStart w:id="715" w:name="_Toc15727"/>
      <w:bookmarkStart w:id="716" w:name="_Toc21060"/>
      <w:r>
        <w:rPr>
          <w:rFonts w:hint="eastAsia" w:ascii="宋体" w:hAnsi="宋体" w:cs="宋体"/>
          <w:b/>
          <w:bCs/>
          <w:sz w:val="22"/>
          <w:szCs w:val="22"/>
          <w:lang w:val="en-US" w:eastAsia="zh-CN"/>
        </w:rPr>
        <w:t>2.3.5.2</w:t>
      </w:r>
      <w:r>
        <w:rPr>
          <w:rFonts w:hint="eastAsia" w:ascii="宋体" w:hAnsi="宋体" w:eastAsia="宋体" w:cs="宋体"/>
          <w:b/>
          <w:bCs/>
          <w:sz w:val="22"/>
          <w:szCs w:val="22"/>
          <w:lang w:val="en-US" w:eastAsia="zh-CN"/>
        </w:rPr>
        <w:t>积水点与易涝区识别建档</w:t>
      </w:r>
      <w:bookmarkEnd w:id="708"/>
      <w:bookmarkEnd w:id="709"/>
      <w:bookmarkEnd w:id="710"/>
      <w:bookmarkEnd w:id="711"/>
      <w:bookmarkEnd w:id="712"/>
      <w:r>
        <w:rPr>
          <w:rFonts w:hint="eastAsia" w:ascii="宋体" w:hAnsi="宋体" w:eastAsia="宋体" w:cs="宋体"/>
          <w:b/>
          <w:bCs/>
          <w:sz w:val="22"/>
          <w:szCs w:val="22"/>
          <w:lang w:val="en-US" w:eastAsia="zh-CN"/>
        </w:rPr>
        <w:t>分析</w:t>
      </w:r>
      <w:bookmarkEnd w:id="713"/>
      <w:bookmarkEnd w:id="714"/>
      <w:bookmarkEnd w:id="715"/>
      <w:bookmarkEnd w:id="716"/>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将基于实时监测数据和历史记录数据，自动识别并标注出易积水区域和具体的积水点，包括道路、隧道、涵洞等。实现易涝点与易涝区的识别与管理，根据地形、排水设施状况及历史内涝记录，将城市划分为不同的易涝区域，并设定风险等级。支持以地图形式显示不同级别的易涝点和易涝区的空间分布。通过分析监测数据和历史内涝信息，系统能够实时识别易涝点和易涝区，并同步监测其状态变化。另外，系统提供历史数据查询功能，为每个积水点和易涝区建立详细档案，包括位置、面积、积水深度、积水时间、历史记录等，用户可查看易涝点和易涝区在不同时间段的积水变化趋势，帮助工作人员全面掌握易涝点和易涝区的历史情况，便于后续管理和分析。</w:t>
      </w:r>
    </w:p>
    <w:p>
      <w:pPr>
        <w:bidi w:val="0"/>
        <w:spacing w:line="360" w:lineRule="auto"/>
        <w:ind w:firstLine="420" w:firstLineChars="0"/>
        <w:rPr>
          <w:rFonts w:hint="eastAsia" w:ascii="宋体" w:hAnsi="宋体" w:eastAsia="宋体" w:cs="宋体"/>
          <w:sz w:val="22"/>
          <w:szCs w:val="22"/>
          <w:lang w:val="en-US" w:eastAsia="zh-CN"/>
        </w:rPr>
      </w:pPr>
      <w:bookmarkStart w:id="717" w:name="_Toc11287"/>
      <w:bookmarkStart w:id="718" w:name="_Toc26396"/>
      <w:bookmarkStart w:id="719" w:name="_Toc22914"/>
      <w:bookmarkStart w:id="720" w:name="_Toc21347"/>
      <w:bookmarkStart w:id="721" w:name="_Toc20752"/>
      <w:r>
        <w:rPr>
          <w:rFonts w:hint="eastAsia" w:ascii="宋体" w:hAnsi="宋体" w:eastAsia="宋体" w:cs="宋体"/>
          <w:sz w:val="22"/>
          <w:szCs w:val="22"/>
          <w:lang w:val="en-US" w:eastAsia="zh-CN"/>
        </w:rPr>
        <w:t>支持通过移动端登记的现场情况，同步更新风险点、易涝点和易涝区的的文件信息，用户可在APP上查看和编辑信息，并支持现场快照上传并关联至文件以记录现场情况。</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722" w:name="_Toc5661"/>
      <w:bookmarkStart w:id="723" w:name="_Toc12540"/>
      <w:bookmarkStart w:id="724" w:name="_Toc27002"/>
      <w:bookmarkStart w:id="725" w:name="_Toc2419"/>
      <w:r>
        <w:rPr>
          <w:rFonts w:hint="eastAsia" w:ascii="宋体" w:hAnsi="宋体" w:cs="宋体"/>
          <w:b/>
          <w:bCs/>
          <w:sz w:val="22"/>
          <w:szCs w:val="22"/>
          <w:lang w:val="en-US" w:eastAsia="zh-CN"/>
        </w:rPr>
        <w:t>2.3.5.3</w:t>
      </w:r>
      <w:r>
        <w:rPr>
          <w:rFonts w:hint="eastAsia" w:ascii="宋体" w:hAnsi="宋体" w:eastAsia="宋体" w:cs="宋体"/>
          <w:b/>
          <w:bCs/>
          <w:sz w:val="22"/>
          <w:szCs w:val="22"/>
          <w:lang w:val="en-US" w:eastAsia="zh-CN"/>
        </w:rPr>
        <w:t>点位数据新增</w:t>
      </w:r>
      <w:bookmarkEnd w:id="717"/>
      <w:bookmarkEnd w:id="718"/>
      <w:bookmarkEnd w:id="719"/>
      <w:bookmarkEnd w:id="720"/>
      <w:bookmarkEnd w:id="721"/>
      <w:bookmarkEnd w:id="722"/>
      <w:bookmarkEnd w:id="723"/>
      <w:bookmarkEnd w:id="724"/>
      <w:bookmarkEnd w:id="725"/>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新增城区易涝点和易涝区的站点类别自动建档和手动录入，字段包括（位置坐标、类型、积水深度、积水时间、积水面积、历史记录、责任单位），支持从数据批量导入初始档案，档案自动关联监测设备，并支持Excel格式导入数据。</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726" w:name="_Toc18005"/>
      <w:bookmarkStart w:id="727" w:name="_Toc19026"/>
      <w:bookmarkStart w:id="728" w:name="_Toc13002"/>
      <w:bookmarkStart w:id="729" w:name="_Toc16"/>
      <w:bookmarkStart w:id="730" w:name="_Toc32276"/>
      <w:bookmarkStart w:id="731" w:name="_Toc24343"/>
      <w:bookmarkStart w:id="732" w:name="_Toc15527"/>
      <w:bookmarkStart w:id="733" w:name="_Toc17945"/>
      <w:bookmarkStart w:id="734" w:name="_Toc21261"/>
      <w:r>
        <w:rPr>
          <w:rFonts w:hint="eastAsia" w:ascii="宋体" w:hAnsi="宋体" w:cs="宋体"/>
          <w:b/>
          <w:bCs/>
          <w:sz w:val="22"/>
          <w:szCs w:val="22"/>
          <w:lang w:val="en-US" w:eastAsia="zh-CN"/>
        </w:rPr>
        <w:t>2.3.5.4</w:t>
      </w:r>
      <w:r>
        <w:rPr>
          <w:rFonts w:hint="eastAsia" w:ascii="宋体" w:hAnsi="宋体" w:eastAsia="宋体" w:cs="宋体"/>
          <w:b/>
          <w:bCs/>
          <w:sz w:val="22"/>
          <w:szCs w:val="22"/>
          <w:lang w:val="en-US" w:eastAsia="zh-CN"/>
        </w:rPr>
        <w:t>视频监控接入和查询</w:t>
      </w:r>
      <w:bookmarkEnd w:id="726"/>
      <w:bookmarkEnd w:id="727"/>
      <w:bookmarkEnd w:id="728"/>
      <w:bookmarkEnd w:id="729"/>
      <w:bookmarkEnd w:id="730"/>
      <w:bookmarkEnd w:id="731"/>
      <w:bookmarkEnd w:id="732"/>
      <w:bookmarkEnd w:id="733"/>
      <w:bookmarkEnd w:id="734"/>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支持新增人行和车行下穿通道视频监控。</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支持新增闸门站视频监控。</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支持新增道路的视频监控，新增道路和路口点位信息。</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支持视频监控页面新增查询功能，支持按视频监控名称查询。</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735" w:name="_Toc31728"/>
      <w:bookmarkStart w:id="736" w:name="_Toc32509"/>
      <w:bookmarkStart w:id="737" w:name="_Toc18105"/>
      <w:bookmarkStart w:id="738" w:name="_Toc12973"/>
      <w:bookmarkStart w:id="739" w:name="_Toc26033"/>
      <w:bookmarkStart w:id="740" w:name="_Toc18980"/>
      <w:bookmarkStart w:id="741" w:name="_Toc3915"/>
      <w:bookmarkStart w:id="742" w:name="_Toc30560"/>
      <w:bookmarkStart w:id="743" w:name="_Toc4888"/>
      <w:r>
        <w:rPr>
          <w:rFonts w:hint="eastAsia" w:ascii="宋体" w:hAnsi="宋体" w:cs="宋体"/>
          <w:b/>
          <w:bCs/>
          <w:sz w:val="22"/>
          <w:szCs w:val="22"/>
          <w:lang w:val="en-US" w:eastAsia="zh-CN"/>
        </w:rPr>
        <w:t>2.3.5.5</w:t>
      </w:r>
      <w:r>
        <w:rPr>
          <w:rFonts w:hint="eastAsia" w:ascii="宋体" w:hAnsi="宋体" w:eastAsia="宋体" w:cs="宋体"/>
          <w:b/>
          <w:bCs/>
          <w:sz w:val="22"/>
          <w:szCs w:val="22"/>
          <w:lang w:val="en-US" w:eastAsia="zh-CN"/>
        </w:rPr>
        <w:t>第三方天气数据对接</w:t>
      </w:r>
      <w:bookmarkEnd w:id="735"/>
      <w:bookmarkEnd w:id="736"/>
      <w:bookmarkEnd w:id="737"/>
      <w:bookmarkEnd w:id="738"/>
      <w:bookmarkEnd w:id="739"/>
      <w:bookmarkEnd w:id="740"/>
      <w:bookmarkEnd w:id="741"/>
      <w:bookmarkEnd w:id="742"/>
      <w:bookmarkEnd w:id="743"/>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支持未来4天天气数据获取和一张图展示</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支持新增抓取潮汐数据服务，定时获取最新港口潮汐数据。</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支持防汛一张图展示潮汐数据。</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744" w:name="_Toc1744"/>
      <w:bookmarkStart w:id="745" w:name="_Toc22845"/>
      <w:bookmarkStart w:id="746" w:name="_Toc24735"/>
      <w:bookmarkStart w:id="747" w:name="_Toc25468"/>
      <w:bookmarkStart w:id="748" w:name="_Toc30572"/>
      <w:bookmarkStart w:id="749" w:name="_Toc18085"/>
      <w:bookmarkStart w:id="750" w:name="_Toc29223"/>
      <w:bookmarkStart w:id="751" w:name="_Toc28262"/>
      <w:bookmarkStart w:id="752" w:name="_Toc31694"/>
      <w:r>
        <w:rPr>
          <w:rFonts w:hint="eastAsia" w:ascii="宋体" w:hAnsi="宋体" w:cs="宋体"/>
          <w:b/>
          <w:bCs/>
          <w:sz w:val="22"/>
          <w:szCs w:val="22"/>
          <w:lang w:val="en-US" w:eastAsia="zh-CN"/>
        </w:rPr>
        <w:t>2.3.5.6</w:t>
      </w:r>
      <w:r>
        <w:rPr>
          <w:rFonts w:hint="eastAsia" w:ascii="宋体" w:hAnsi="宋体" w:eastAsia="宋体" w:cs="宋体"/>
          <w:b/>
          <w:bCs/>
          <w:sz w:val="22"/>
          <w:szCs w:val="22"/>
          <w:lang w:val="en-US" w:eastAsia="zh-CN"/>
        </w:rPr>
        <w:t>数据后台管理</w:t>
      </w:r>
      <w:bookmarkEnd w:id="744"/>
      <w:bookmarkEnd w:id="745"/>
      <w:bookmarkEnd w:id="746"/>
      <w:bookmarkEnd w:id="747"/>
      <w:bookmarkEnd w:id="748"/>
      <w:bookmarkEnd w:id="749"/>
      <w:bookmarkEnd w:id="750"/>
      <w:bookmarkEnd w:id="751"/>
      <w:bookmarkEnd w:id="752"/>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提供对防汛重点区域、隧道、下穿通道、水库、值守点、易涝风险点等专题图层的数据更新管理功能，支持对各个图层的数据详情进行编辑管理。</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图层管理：包括站点类别名称、站点类别编码、父级站点类别、站点类别全称、可用性设置。</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防汛重点区域管理：包括站点名称、站点编码、所在分区、站点类别、所在管理所、空间位置信息、顺序号、堆叠顺序、显示级别、站点简介、应急处置、多媒体信息、附件信息、备注等。</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防汛重点区域，支持对应急处置情况进行管理，包括位置、责任单位、责任人、应急单位、应急联系人，以及3级响应、2级响应、1级响应的人员、物资、车辆安排情况。</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隧道、下穿通道、水库、易涝风险点等管理功能与防汛重点区域管理类似，均可实现上述数据的新增、修改、删除和查看功能。</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3"/>
        <w:rPr>
          <w:rFonts w:hint="eastAsia" w:ascii="宋体" w:hAnsi="宋体" w:eastAsia="宋体" w:cs="宋体"/>
          <w:b/>
          <w:bCs/>
          <w:sz w:val="22"/>
          <w:szCs w:val="22"/>
          <w:lang w:val="en-US" w:eastAsia="zh-CN"/>
        </w:rPr>
      </w:pPr>
      <w:bookmarkStart w:id="753" w:name="_Toc29547"/>
      <w:bookmarkStart w:id="754" w:name="_Toc2039"/>
      <w:bookmarkStart w:id="755" w:name="_Toc17270"/>
      <w:bookmarkStart w:id="756" w:name="_Toc30051"/>
      <w:bookmarkStart w:id="757" w:name="_Toc21916"/>
      <w:r>
        <w:rPr>
          <w:rFonts w:hint="eastAsia" w:ascii="宋体" w:hAnsi="宋体" w:cs="宋体"/>
          <w:b/>
          <w:bCs/>
          <w:sz w:val="22"/>
          <w:szCs w:val="22"/>
          <w:lang w:val="en-US" w:eastAsia="zh-CN"/>
        </w:rPr>
        <w:t>1）</w:t>
      </w:r>
      <w:r>
        <w:rPr>
          <w:rFonts w:hint="eastAsia" w:ascii="宋体" w:hAnsi="宋体" w:eastAsia="宋体" w:cs="宋体"/>
          <w:b/>
          <w:bCs/>
          <w:sz w:val="22"/>
          <w:szCs w:val="22"/>
          <w:lang w:val="en-US" w:eastAsia="zh-CN"/>
        </w:rPr>
        <w:t>地图图层服务更新</w:t>
      </w:r>
      <w:bookmarkEnd w:id="753"/>
      <w:bookmarkEnd w:id="754"/>
      <w:bookmarkEnd w:id="755"/>
      <w:bookmarkEnd w:id="756"/>
      <w:bookmarkEnd w:id="757"/>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管网图层服务发布，包含污水图层服务和雨水图层服务。</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防汛一张图加入内涝点以及易涝区发布的图层服务。</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防汛一张图支持按权属单位过滤图层的点位数据。</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3"/>
        <w:rPr>
          <w:rFonts w:hint="eastAsia" w:ascii="宋体" w:hAnsi="宋体" w:eastAsia="宋体" w:cs="宋体"/>
          <w:b/>
          <w:bCs/>
          <w:sz w:val="22"/>
          <w:szCs w:val="22"/>
          <w:lang w:val="en-US" w:eastAsia="zh-CN"/>
        </w:rPr>
      </w:pPr>
      <w:bookmarkStart w:id="758" w:name="_Toc17216"/>
      <w:bookmarkStart w:id="759" w:name="_Toc28918"/>
      <w:bookmarkStart w:id="760" w:name="_Toc28440"/>
      <w:bookmarkStart w:id="761" w:name="_Toc10878"/>
      <w:bookmarkStart w:id="762" w:name="_Toc8909"/>
      <w:r>
        <w:rPr>
          <w:rFonts w:hint="eastAsia" w:ascii="宋体" w:hAnsi="宋体" w:cs="宋体"/>
          <w:b/>
          <w:bCs/>
          <w:sz w:val="22"/>
          <w:szCs w:val="22"/>
          <w:lang w:val="en-US" w:eastAsia="zh-CN"/>
        </w:rPr>
        <w:t>2）</w:t>
      </w:r>
      <w:r>
        <w:rPr>
          <w:rFonts w:hint="eastAsia" w:ascii="宋体" w:hAnsi="宋体" w:eastAsia="宋体" w:cs="宋体"/>
          <w:b/>
          <w:bCs/>
          <w:sz w:val="22"/>
          <w:szCs w:val="22"/>
          <w:lang w:val="en-US" w:eastAsia="zh-CN"/>
        </w:rPr>
        <w:t>值守点设置与监控</w:t>
      </w:r>
      <w:bookmarkEnd w:id="758"/>
      <w:bookmarkEnd w:id="759"/>
      <w:bookmarkEnd w:id="760"/>
      <w:bookmarkEnd w:id="761"/>
      <w:bookmarkEnd w:id="762"/>
    </w:p>
    <w:p>
      <w:pPr>
        <w:bidi w:val="0"/>
        <w:spacing w:line="360" w:lineRule="auto"/>
        <w:ind w:firstLine="420" w:firstLineChars="0"/>
        <w:rPr>
          <w:rFonts w:hint="eastAsia" w:ascii="宋体" w:hAnsi="宋体" w:eastAsia="宋体" w:cs="宋体"/>
          <w:b/>
          <w:bCs/>
          <w:sz w:val="22"/>
          <w:szCs w:val="22"/>
          <w:lang w:val="en-US" w:eastAsia="zh-CN"/>
        </w:rPr>
      </w:pPr>
      <w:r>
        <w:rPr>
          <w:rFonts w:hint="eastAsia" w:ascii="宋体" w:hAnsi="宋体" w:eastAsia="宋体" w:cs="宋体"/>
          <w:b/>
          <w:bCs/>
          <w:sz w:val="22"/>
          <w:szCs w:val="22"/>
          <w:lang w:val="en-US" w:eastAsia="zh-CN"/>
        </w:rPr>
        <w:t>值守点布局</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根据积水点和易涝区的分布，合理设置值守点，确保关键区域有专人负责。</w:t>
      </w:r>
    </w:p>
    <w:p>
      <w:pPr>
        <w:bidi w:val="0"/>
        <w:spacing w:line="360" w:lineRule="auto"/>
        <w:ind w:firstLine="420" w:firstLineChars="0"/>
        <w:rPr>
          <w:rFonts w:hint="eastAsia" w:ascii="宋体" w:hAnsi="宋体" w:eastAsia="宋体" w:cs="宋体"/>
          <w:b/>
          <w:bCs/>
          <w:sz w:val="22"/>
          <w:szCs w:val="22"/>
          <w:lang w:val="en-US" w:eastAsia="zh-CN"/>
        </w:rPr>
      </w:pPr>
      <w:r>
        <w:rPr>
          <w:rFonts w:hint="eastAsia" w:ascii="宋体" w:hAnsi="宋体" w:eastAsia="宋体" w:cs="宋体"/>
          <w:b/>
          <w:bCs/>
          <w:sz w:val="22"/>
          <w:szCs w:val="22"/>
          <w:lang w:val="en-US" w:eastAsia="zh-CN"/>
        </w:rPr>
        <w:t>实时监控</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通过视频监控、水位监测等技术手段，对值守点及周边区域进行24小时不间断监控，及时发现积水情况。</w:t>
      </w:r>
    </w:p>
    <w:p>
      <w:pPr>
        <w:bidi w:val="0"/>
        <w:spacing w:line="360" w:lineRule="auto"/>
        <w:ind w:firstLine="420" w:firstLineChars="0"/>
        <w:rPr>
          <w:rFonts w:hint="eastAsia" w:ascii="宋体" w:hAnsi="宋体" w:eastAsia="宋体" w:cs="宋体"/>
          <w:b/>
          <w:bCs/>
          <w:sz w:val="22"/>
          <w:szCs w:val="22"/>
          <w:lang w:val="en-US" w:eastAsia="zh-CN"/>
        </w:rPr>
      </w:pPr>
      <w:r>
        <w:rPr>
          <w:rFonts w:hint="eastAsia" w:ascii="宋体" w:hAnsi="宋体" w:eastAsia="宋体" w:cs="宋体"/>
          <w:b/>
          <w:bCs/>
          <w:sz w:val="22"/>
          <w:szCs w:val="22"/>
          <w:lang w:val="en-US" w:eastAsia="zh-CN"/>
        </w:rPr>
        <w:t>预警响应</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当监测到积水达到预设阈值时，系统自动触发预警，通知值守人员及相关部门采取应对措施。</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3"/>
        <w:rPr>
          <w:rFonts w:hint="eastAsia" w:ascii="宋体" w:hAnsi="宋体" w:eastAsia="宋体" w:cs="宋体"/>
          <w:b/>
          <w:bCs/>
          <w:sz w:val="22"/>
          <w:szCs w:val="22"/>
          <w:lang w:val="en-US" w:eastAsia="zh-CN"/>
        </w:rPr>
      </w:pPr>
      <w:bookmarkStart w:id="763" w:name="_Toc12637"/>
      <w:bookmarkStart w:id="764" w:name="_Toc29400"/>
      <w:bookmarkStart w:id="765" w:name="_Toc5198"/>
      <w:bookmarkStart w:id="766" w:name="_Toc28063"/>
      <w:bookmarkStart w:id="767" w:name="_Toc21025"/>
      <w:r>
        <w:rPr>
          <w:rFonts w:hint="eastAsia" w:ascii="宋体" w:hAnsi="宋体" w:cs="宋体"/>
          <w:b/>
          <w:bCs/>
          <w:sz w:val="22"/>
          <w:szCs w:val="22"/>
          <w:lang w:val="en-US" w:eastAsia="zh-CN"/>
        </w:rPr>
        <w:t>3）</w:t>
      </w:r>
      <w:r>
        <w:rPr>
          <w:rFonts w:hint="eastAsia" w:ascii="宋体" w:hAnsi="宋体" w:eastAsia="宋体" w:cs="宋体"/>
          <w:b/>
          <w:bCs/>
          <w:sz w:val="22"/>
          <w:szCs w:val="22"/>
          <w:lang w:val="en-US" w:eastAsia="zh-CN"/>
        </w:rPr>
        <w:t>防内涝专题图层分级开发</w:t>
      </w:r>
      <w:bookmarkEnd w:id="763"/>
      <w:bookmarkEnd w:id="764"/>
      <w:bookmarkEnd w:id="765"/>
      <w:bookmarkEnd w:id="766"/>
      <w:bookmarkEnd w:id="767"/>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在防汛一张图上，显示防汛重点区域、隧道、下穿通道、水库、值守点专题图层，通过图标标注各个图层的数据点位。</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图层管理功能：为方便图层数据展示，开发图层管理功能，可以快速显示关闭图层、通过双击图层名称，可以支持快速关闭其他图层，仅显示当前重要图层，然后通过勾选其他相关图层实现地图内容的对照展示。</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图标配置管理：为每个专题图层设计显示图标，并实现在不同的地图比例尺下，地图图标的躲避展示和非躲避（压盖）展示模式。</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后台数据发布：通过GIS图层服务的方式，为每个图层发布专题服务，并叠加到地图上，实现各个专题图层的叠加展示。</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对于防汛重点区域图层，支持对区域的重要程度进行大小区分，按非常重要、重要、一般进行不同大小的图标标识。并支持通过后台配置管理，设置防汛重点区域的重要性、危害性级别，方便当后续易涝点级别调整时，可以快速的通过后台管理，更改关注度，为更精准的防汛调度提供便捷。</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支持信息查看功能，包括点击每个图层的图标可以弹出信息窗，展示数据详情。数据详情内容如下：</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防汛重点区域：展示位置、责任单位、责任人、应急单位、应急联系人，三级响应的措施、人员安排等内容。</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支持快速查看易涝点周边的视频监控、水位监测点的实时数据和历史数据曲线，通过曲线可以快速判定现场情况，以便对现场作出更准确的判定。</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3"/>
        <w:rPr>
          <w:rFonts w:hint="eastAsia" w:ascii="宋体" w:hAnsi="宋体" w:eastAsia="宋体" w:cs="宋体"/>
          <w:b/>
          <w:bCs/>
          <w:sz w:val="22"/>
          <w:szCs w:val="22"/>
          <w:lang w:val="en-US" w:eastAsia="zh-CN"/>
        </w:rPr>
      </w:pPr>
      <w:bookmarkStart w:id="768" w:name="_Toc7057"/>
      <w:bookmarkStart w:id="769" w:name="_Toc26468"/>
      <w:bookmarkStart w:id="770" w:name="_Toc30386"/>
      <w:bookmarkStart w:id="771" w:name="_Toc25664"/>
      <w:bookmarkStart w:id="772" w:name="_Toc32116"/>
      <w:r>
        <w:rPr>
          <w:rFonts w:hint="eastAsia" w:ascii="宋体" w:hAnsi="宋体" w:cs="宋体"/>
          <w:b/>
          <w:bCs/>
          <w:sz w:val="22"/>
          <w:szCs w:val="22"/>
          <w:lang w:val="en-US" w:eastAsia="zh-CN"/>
        </w:rPr>
        <w:t>4）</w:t>
      </w:r>
      <w:r>
        <w:rPr>
          <w:rFonts w:hint="eastAsia" w:ascii="宋体" w:hAnsi="宋体" w:eastAsia="宋体" w:cs="宋体"/>
          <w:b/>
          <w:bCs/>
          <w:sz w:val="22"/>
          <w:szCs w:val="22"/>
          <w:lang w:val="en-US" w:eastAsia="zh-CN"/>
        </w:rPr>
        <w:t>闸门与泵站管理</w:t>
      </w:r>
      <w:bookmarkEnd w:id="768"/>
      <w:bookmarkEnd w:id="769"/>
      <w:bookmarkEnd w:id="770"/>
      <w:bookmarkEnd w:id="771"/>
      <w:bookmarkEnd w:id="772"/>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实现闸门和泵站的远程自动化控制，根据积水情况自动或手动调节闸门开度、启动泵站排水。</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实时监测闸门和泵站的运行状态，包括开启度、电流、电压等参数，确保设备正常运行。</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制定定期巡检和维护计划，通过系统记录每次巡检和维护的详细情况，确保设备处于最佳状态。</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实时显示泵站站点主要设备信息。监测参数包括：站点名称、瞬时流量、水位、标高水位、溢流标高水位、水泵运行状态、格栅运行状态、累计流量、用电量等。</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3"/>
        <w:rPr>
          <w:rFonts w:hint="eastAsia" w:ascii="宋体" w:hAnsi="宋体" w:eastAsia="宋体" w:cs="宋体"/>
          <w:b/>
          <w:bCs/>
          <w:sz w:val="22"/>
          <w:szCs w:val="22"/>
          <w:lang w:val="en-US" w:eastAsia="zh-CN"/>
        </w:rPr>
      </w:pPr>
      <w:bookmarkStart w:id="773" w:name="_Toc4582"/>
      <w:bookmarkStart w:id="774" w:name="_Toc25434"/>
      <w:bookmarkStart w:id="775" w:name="_Toc29364"/>
      <w:bookmarkStart w:id="776" w:name="_Toc18792"/>
      <w:bookmarkStart w:id="777" w:name="_Toc18596"/>
      <w:r>
        <w:rPr>
          <w:rFonts w:hint="eastAsia" w:ascii="宋体" w:hAnsi="宋体" w:cs="宋体"/>
          <w:b/>
          <w:bCs/>
          <w:sz w:val="22"/>
          <w:szCs w:val="22"/>
          <w:lang w:val="en-US" w:eastAsia="zh-CN"/>
        </w:rPr>
        <w:t>5）</w:t>
      </w:r>
      <w:r>
        <w:rPr>
          <w:rFonts w:hint="eastAsia" w:ascii="宋体" w:hAnsi="宋体" w:eastAsia="宋体" w:cs="宋体"/>
          <w:b/>
          <w:bCs/>
          <w:sz w:val="22"/>
          <w:szCs w:val="22"/>
          <w:lang w:val="en-US" w:eastAsia="zh-CN"/>
        </w:rPr>
        <w:t>人员与车辆调度</w:t>
      </w:r>
      <w:bookmarkEnd w:id="773"/>
      <w:bookmarkEnd w:id="774"/>
      <w:bookmarkEnd w:id="775"/>
      <w:bookmarkEnd w:id="776"/>
      <w:bookmarkEnd w:id="777"/>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根据积水点的严重程度和位置，规划最优的救援路线和人员、车辆配置方案。</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通过GPS定位等技术手段，实时跟踪救援人员和车辆的位置，确保快速到达现场。</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建立跨部门、跨区域的协同作战机制，通过系统实现信息共享和指挥调度，提高应急响应效率。</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本功能包含于现有的车辆以及人员的移动终端的实时位置数据接入。</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3"/>
        <w:rPr>
          <w:rFonts w:hint="eastAsia" w:ascii="宋体" w:hAnsi="宋体" w:eastAsia="宋体" w:cs="宋体"/>
          <w:b/>
          <w:bCs/>
          <w:sz w:val="22"/>
          <w:szCs w:val="22"/>
          <w:lang w:val="en-US" w:eastAsia="zh-CN"/>
        </w:rPr>
      </w:pPr>
      <w:bookmarkStart w:id="778" w:name="_Toc16504"/>
      <w:bookmarkStart w:id="779" w:name="_Toc2417"/>
      <w:bookmarkStart w:id="780" w:name="_Toc32739"/>
      <w:bookmarkStart w:id="781" w:name="_Toc3015"/>
      <w:bookmarkStart w:id="782" w:name="_Toc3634"/>
      <w:r>
        <w:rPr>
          <w:rFonts w:hint="eastAsia" w:ascii="宋体" w:hAnsi="宋体" w:cs="宋体"/>
          <w:b/>
          <w:bCs/>
          <w:sz w:val="22"/>
          <w:szCs w:val="22"/>
          <w:lang w:val="en-US" w:eastAsia="zh-CN"/>
        </w:rPr>
        <w:t>6）</w:t>
      </w:r>
      <w:r>
        <w:rPr>
          <w:rFonts w:hint="eastAsia" w:ascii="宋体" w:hAnsi="宋体" w:eastAsia="宋体" w:cs="宋体"/>
          <w:b/>
          <w:bCs/>
          <w:sz w:val="22"/>
          <w:szCs w:val="22"/>
          <w:lang w:val="en-US" w:eastAsia="zh-CN"/>
        </w:rPr>
        <w:t>物资管理</w:t>
      </w:r>
      <w:bookmarkEnd w:id="778"/>
      <w:bookmarkEnd w:id="779"/>
      <w:bookmarkEnd w:id="780"/>
      <w:bookmarkEnd w:id="781"/>
      <w:bookmarkEnd w:id="782"/>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将应急物资进行数字化管理，记录物资的种类、数量、存放位置等信息，实现实时查询和统计。</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3"/>
        <w:rPr>
          <w:rFonts w:hint="eastAsia" w:ascii="宋体" w:hAnsi="宋体" w:eastAsia="宋体" w:cs="宋体"/>
          <w:b/>
          <w:bCs/>
          <w:sz w:val="22"/>
          <w:szCs w:val="22"/>
          <w:lang w:val="zh-CN" w:eastAsia="zh-CN"/>
        </w:rPr>
      </w:pPr>
      <w:bookmarkStart w:id="783" w:name="_Toc15744"/>
      <w:bookmarkStart w:id="784" w:name="_Toc29597"/>
      <w:bookmarkStart w:id="785" w:name="_Toc6721"/>
      <w:bookmarkStart w:id="786" w:name="_Toc12424"/>
      <w:bookmarkStart w:id="787" w:name="_Toc16669"/>
      <w:r>
        <w:rPr>
          <w:rFonts w:hint="eastAsia" w:ascii="宋体" w:hAnsi="宋体" w:cs="宋体"/>
          <w:b/>
          <w:bCs/>
          <w:sz w:val="22"/>
          <w:szCs w:val="22"/>
          <w:lang w:val="en-US" w:eastAsia="zh-CN"/>
        </w:rPr>
        <w:t>7）</w:t>
      </w:r>
      <w:r>
        <w:rPr>
          <w:rFonts w:hint="eastAsia" w:ascii="宋体" w:hAnsi="宋体" w:eastAsia="宋体" w:cs="宋体"/>
          <w:b/>
          <w:bCs/>
          <w:sz w:val="22"/>
          <w:szCs w:val="22"/>
          <w:lang w:val="zh-CN" w:eastAsia="zh-CN"/>
        </w:rPr>
        <w:t>实时监测</w:t>
      </w:r>
      <w:bookmarkEnd w:id="783"/>
      <w:bookmarkEnd w:id="784"/>
      <w:bookmarkEnd w:id="785"/>
      <w:bookmarkEnd w:id="786"/>
      <w:bookmarkEnd w:id="787"/>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zh-CN" w:eastAsia="zh-CN"/>
        </w:rPr>
        <w:t>集成多方数据，</w:t>
      </w:r>
      <w:r>
        <w:rPr>
          <w:rFonts w:hint="eastAsia" w:ascii="宋体" w:hAnsi="宋体" w:eastAsia="宋体" w:cs="宋体"/>
          <w:sz w:val="22"/>
          <w:szCs w:val="22"/>
          <w:lang w:val="en-US" w:eastAsia="zh-CN"/>
        </w:rPr>
        <w:t>包括洞头区用于内涝风险管理</w:t>
      </w:r>
      <w:r>
        <w:rPr>
          <w:rFonts w:hint="eastAsia" w:ascii="宋体" w:hAnsi="宋体" w:eastAsia="宋体" w:cs="宋体"/>
          <w:sz w:val="22"/>
          <w:szCs w:val="22"/>
          <w:lang w:val="zh-CN" w:eastAsia="zh-CN"/>
        </w:rPr>
        <w:t>的道路水位、河道水位、水库水位数据。城区雨量监测数据，排水管道液位数据，气象局的天气预报、云图、雷达图，以及易涝区域实时视频数据。</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3"/>
        <w:rPr>
          <w:rFonts w:hint="eastAsia" w:ascii="宋体" w:hAnsi="宋体" w:eastAsia="宋体" w:cs="宋体"/>
          <w:b/>
          <w:bCs/>
          <w:sz w:val="22"/>
          <w:szCs w:val="22"/>
          <w:lang w:val="en-US" w:eastAsia="zh-CN"/>
        </w:rPr>
      </w:pPr>
      <w:bookmarkStart w:id="788" w:name="_Toc20233"/>
      <w:bookmarkStart w:id="789" w:name="_Toc8541"/>
      <w:bookmarkStart w:id="790" w:name="_Toc32221"/>
      <w:bookmarkStart w:id="791" w:name="_Toc1743"/>
      <w:bookmarkStart w:id="792" w:name="_Toc382"/>
      <w:r>
        <w:rPr>
          <w:rFonts w:hint="eastAsia" w:ascii="宋体" w:hAnsi="宋体" w:cs="宋体"/>
          <w:b/>
          <w:bCs/>
          <w:sz w:val="22"/>
          <w:szCs w:val="22"/>
          <w:lang w:val="en-US" w:eastAsia="zh-CN"/>
        </w:rPr>
        <w:t>8）</w:t>
      </w:r>
      <w:r>
        <w:rPr>
          <w:rFonts w:hint="eastAsia" w:ascii="宋体" w:hAnsi="宋体" w:eastAsia="宋体" w:cs="宋体"/>
          <w:b/>
          <w:bCs/>
          <w:sz w:val="22"/>
          <w:szCs w:val="22"/>
          <w:lang w:val="en-US" w:eastAsia="zh-CN"/>
        </w:rPr>
        <w:t>防汛响应启动</w:t>
      </w:r>
      <w:bookmarkEnd w:id="788"/>
      <w:bookmarkEnd w:id="789"/>
      <w:bookmarkEnd w:id="790"/>
      <w:bookmarkEnd w:id="791"/>
      <w:bookmarkEnd w:id="792"/>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根据防汛响应级别，动态调整防汛重点区域的图像标识</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根据洞头区易涝点的数据情况，进行防汛重点区域的数据重要性、危害性设定。</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应急响应可以根据实际需要进行响应升级与降级。预案升降级后，将根据响应的设置内容，对防汛重点区域进行响应的状态显示更新，及时调整防汛队伍关注情况和现场调度安排。</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预警过程中，调度员、领导可在防汛调度一张图上查看所有防汛重点区域的状态显示、周边水位信息和视频监控，查看队伍出勤详情和内涝点上报详情，以及易涝点位的实时整体水浸预警情况。</w:t>
      </w:r>
    </w:p>
    <w:p>
      <w:pPr>
        <w:keepNext w:val="0"/>
        <w:keepLines w:val="0"/>
        <w:pageBreakBefore w:val="0"/>
        <w:widowControl w:val="0"/>
        <w:numPr>
          <w:ilvl w:val="0"/>
          <w:numId w:val="63"/>
        </w:numPr>
        <w:kinsoku/>
        <w:wordWrap/>
        <w:overflowPunct/>
        <w:topLinePunct w:val="0"/>
        <w:autoSpaceDE/>
        <w:autoSpaceDN/>
        <w:bidi w:val="0"/>
        <w:adjustRightInd/>
        <w:snapToGrid/>
        <w:spacing w:line="360" w:lineRule="auto"/>
        <w:textAlignment w:val="auto"/>
        <w:outlineLvl w:val="3"/>
        <w:rPr>
          <w:rFonts w:hint="eastAsia" w:ascii="宋体" w:hAnsi="宋体" w:eastAsia="宋体" w:cs="宋体"/>
          <w:b/>
          <w:bCs/>
          <w:sz w:val="22"/>
          <w:szCs w:val="22"/>
          <w:lang w:val="en-US" w:eastAsia="zh-CN"/>
        </w:rPr>
      </w:pPr>
      <w:bookmarkStart w:id="793" w:name="_Toc24540"/>
      <w:bookmarkStart w:id="794" w:name="_Toc24327"/>
      <w:bookmarkStart w:id="795" w:name="_Toc22009"/>
      <w:bookmarkStart w:id="796" w:name="_Toc16743"/>
      <w:bookmarkStart w:id="797" w:name="_Toc18692"/>
      <w:r>
        <w:rPr>
          <w:rFonts w:hint="eastAsia" w:ascii="宋体" w:hAnsi="宋体" w:eastAsia="宋体" w:cs="宋体"/>
          <w:b/>
          <w:bCs/>
          <w:sz w:val="22"/>
          <w:szCs w:val="22"/>
          <w:lang w:val="en-US" w:eastAsia="zh-CN"/>
        </w:rPr>
        <w:t>报警管理</w:t>
      </w:r>
      <w:bookmarkEnd w:id="793"/>
      <w:bookmarkEnd w:id="794"/>
      <w:bookmarkEnd w:id="795"/>
      <w:bookmarkEnd w:id="796"/>
      <w:bookmarkEnd w:id="797"/>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支持新增报警确认功能，在移动端确认报警后，此报警在防汛一张图也自动关闭。</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支持新增开启平台报警和关闭平台报警功能。</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支持视频监控查询优化，支持按站点类型查询。</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支持报警全部启用或关闭，支持移动端开启或关闭全平台的报警规则。</w:t>
      </w:r>
    </w:p>
    <w:p>
      <w:pPr>
        <w:keepNext w:val="0"/>
        <w:keepLines w:val="0"/>
        <w:widowControl/>
        <w:numPr>
          <w:ilvl w:val="0"/>
          <w:numId w:val="0"/>
        </w:numPr>
        <w:suppressLineNumbers w:val="0"/>
        <w:pBdr>
          <w:top w:val="none" w:color="auto" w:sz="0" w:space="0"/>
          <w:bottom w:val="none" w:color="auto" w:sz="0" w:space="0"/>
          <w:right w:val="none" w:color="auto" w:sz="0" w:space="0"/>
        </w:pBdr>
        <w:spacing w:before="80" w:beforeAutospacing="0" w:after="80" w:afterAutospacing="0" w:line="360" w:lineRule="auto"/>
        <w:ind w:right="0" w:rightChars="0"/>
        <w:jc w:val="left"/>
        <w:outlineLvl w:val="1"/>
        <w:rPr>
          <w:rFonts w:hint="eastAsia" w:ascii="宋体" w:hAnsi="宋体" w:eastAsia="宋体" w:cs="宋体"/>
          <w:b/>
          <w:bCs/>
          <w:color w:val="auto"/>
          <w:sz w:val="22"/>
          <w:szCs w:val="22"/>
          <w:lang w:val="en-US" w:eastAsia="zh-CN"/>
        </w:rPr>
      </w:pPr>
      <w:bookmarkStart w:id="798" w:name="_Toc8837"/>
      <w:bookmarkStart w:id="799" w:name="_Toc30741"/>
      <w:bookmarkStart w:id="800" w:name="_Toc16919"/>
      <w:bookmarkStart w:id="801" w:name="_Toc13161"/>
      <w:bookmarkStart w:id="802" w:name="_Toc4921"/>
      <w:bookmarkStart w:id="803" w:name="_Toc7500"/>
      <w:bookmarkStart w:id="804" w:name="_Toc27709"/>
      <w:bookmarkStart w:id="805" w:name="_Toc9562"/>
      <w:bookmarkStart w:id="806" w:name="_Toc17018"/>
      <w:bookmarkStart w:id="807" w:name="_Toc16359"/>
      <w:bookmarkStart w:id="808" w:name="_Toc19778"/>
      <w:bookmarkStart w:id="809" w:name="_Toc1363"/>
      <w:r>
        <w:rPr>
          <w:rFonts w:hint="eastAsia" w:ascii="宋体" w:hAnsi="宋体" w:eastAsia="宋体" w:cs="宋体"/>
          <w:b/>
          <w:bCs/>
          <w:color w:val="auto"/>
          <w:sz w:val="22"/>
          <w:szCs w:val="22"/>
          <w:lang w:val="en-US" w:eastAsia="zh-CN"/>
        </w:rPr>
        <w:t>2.4、三维地理信息</w:t>
      </w:r>
      <w:bookmarkEnd w:id="798"/>
      <w:bookmarkEnd w:id="799"/>
      <w:bookmarkEnd w:id="800"/>
      <w:r>
        <w:rPr>
          <w:rFonts w:hint="eastAsia" w:ascii="宋体" w:hAnsi="宋体" w:eastAsia="宋体" w:cs="宋体"/>
          <w:b/>
          <w:bCs/>
          <w:color w:val="auto"/>
          <w:sz w:val="22"/>
          <w:szCs w:val="22"/>
          <w:lang w:val="en-US" w:eastAsia="zh-CN"/>
        </w:rPr>
        <w:t>系统</w:t>
      </w:r>
      <w:bookmarkEnd w:id="801"/>
      <w:bookmarkEnd w:id="802"/>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810" w:name="_Toc24101"/>
      <w:bookmarkStart w:id="811" w:name="_Toc25920"/>
      <w:r>
        <w:rPr>
          <w:rFonts w:hint="eastAsia" w:ascii="宋体" w:hAnsi="宋体" w:eastAsia="宋体" w:cs="宋体"/>
          <w:b/>
          <w:bCs/>
          <w:sz w:val="22"/>
          <w:szCs w:val="22"/>
          <w:lang w:val="en-US" w:eastAsia="zh-CN"/>
        </w:rPr>
        <w:t>2.4.1开发引擎</w:t>
      </w:r>
      <w:bookmarkEnd w:id="810"/>
      <w:bookmarkEnd w:id="811"/>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三维地理信息开发引擎，可以利用海量的遥感航测影像数据、数字高程数据以及其他二三维数据搭建出一个对真实世界进行模拟的三维场景。</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其主要特点包括：</w:t>
      </w:r>
    </w:p>
    <w:p>
      <w:pPr>
        <w:bidi w:val="0"/>
        <w:spacing w:line="360" w:lineRule="auto"/>
        <w:ind w:firstLine="420" w:firstLineChars="0"/>
        <w:rPr>
          <w:rFonts w:hint="eastAsia" w:ascii="宋体" w:hAnsi="宋体" w:eastAsia="宋体" w:cs="宋体"/>
          <w:sz w:val="22"/>
          <w:szCs w:val="22"/>
          <w:lang w:val="en-US" w:eastAsia="zh-CN"/>
        </w:rPr>
      </w:pPr>
      <w:bookmarkStart w:id="812" w:name="_Toc20141"/>
      <w:bookmarkStart w:id="813" w:name="_Toc6974"/>
      <w:bookmarkStart w:id="814" w:name="_Toc3535"/>
      <w:bookmarkStart w:id="815" w:name="_Toc25647"/>
      <w:r>
        <w:rPr>
          <w:rFonts w:hint="eastAsia" w:ascii="宋体" w:hAnsi="宋体" w:eastAsia="宋体" w:cs="宋体"/>
          <w:b/>
          <w:bCs/>
          <w:sz w:val="22"/>
          <w:szCs w:val="22"/>
          <w:lang w:val="en-US" w:eastAsia="zh-CN"/>
        </w:rPr>
        <w:t>三维建模：</w:t>
      </w:r>
      <w:bookmarkEnd w:id="812"/>
      <w:bookmarkEnd w:id="813"/>
      <w:bookmarkEnd w:id="814"/>
      <w:bookmarkEnd w:id="815"/>
      <w:r>
        <w:rPr>
          <w:rFonts w:hint="eastAsia" w:ascii="宋体" w:hAnsi="宋体" w:eastAsia="宋体" w:cs="宋体"/>
          <w:sz w:val="22"/>
          <w:szCs w:val="22"/>
          <w:lang w:val="en-US" w:eastAsia="zh-CN"/>
        </w:rPr>
        <w:t>通过地表图层可以提取屋顶和各个建筑物模型的纹理，也可以任意加载和更换建筑物纹理。可以通过建筑物属性信息，如外观、位置、高程模式、几何要素、纹理、一般属性，以及对象的平移、拉伸、锁定等进行设置。</w:t>
      </w:r>
    </w:p>
    <w:p>
      <w:pPr>
        <w:bidi w:val="0"/>
        <w:spacing w:line="360" w:lineRule="auto"/>
        <w:ind w:firstLine="420" w:firstLineChars="0"/>
        <w:rPr>
          <w:rFonts w:hint="eastAsia" w:ascii="宋体" w:hAnsi="宋体" w:eastAsia="宋体" w:cs="宋体"/>
          <w:sz w:val="22"/>
          <w:szCs w:val="22"/>
          <w:lang w:val="en-US" w:eastAsia="zh-CN"/>
        </w:rPr>
      </w:pPr>
      <w:bookmarkStart w:id="816" w:name="_Toc21350"/>
      <w:bookmarkStart w:id="817" w:name="_Toc31791"/>
      <w:bookmarkStart w:id="818" w:name="_Toc1419"/>
      <w:bookmarkStart w:id="819" w:name="_Toc18988"/>
      <w:r>
        <w:rPr>
          <w:rFonts w:hint="eastAsia" w:ascii="宋体" w:hAnsi="宋体" w:eastAsia="宋体" w:cs="宋体"/>
          <w:b/>
          <w:bCs/>
          <w:sz w:val="22"/>
          <w:szCs w:val="22"/>
          <w:lang w:val="en-US" w:eastAsia="zh-CN"/>
        </w:rPr>
        <w:t>动态模型：</w:t>
      </w:r>
      <w:bookmarkEnd w:id="816"/>
      <w:bookmarkEnd w:id="817"/>
      <w:bookmarkEnd w:id="818"/>
      <w:bookmarkEnd w:id="819"/>
      <w:r>
        <w:rPr>
          <w:rFonts w:hint="eastAsia" w:ascii="宋体" w:hAnsi="宋体" w:eastAsia="宋体" w:cs="宋体"/>
          <w:sz w:val="22"/>
          <w:szCs w:val="22"/>
          <w:lang w:val="en-US" w:eastAsia="zh-CN"/>
        </w:rPr>
        <w:t>动态模型除了设置外观、类型、大小等属性以外，还可以指定其运动路线、高度、速度、加速度、转弯速度以及是否沿指定路径循环运动。动态模型可以根据不同角度观察对象。</w:t>
      </w:r>
    </w:p>
    <w:p>
      <w:pPr>
        <w:bidi w:val="0"/>
        <w:spacing w:line="360" w:lineRule="auto"/>
        <w:ind w:firstLine="420" w:firstLineChars="0"/>
        <w:rPr>
          <w:rFonts w:hint="eastAsia" w:ascii="宋体" w:hAnsi="宋体" w:eastAsia="宋体" w:cs="宋体"/>
          <w:sz w:val="22"/>
          <w:szCs w:val="22"/>
          <w:lang w:val="en-US" w:eastAsia="zh-CN"/>
        </w:rPr>
      </w:pPr>
      <w:bookmarkStart w:id="820" w:name="_Toc18413"/>
      <w:bookmarkStart w:id="821" w:name="_Toc5737"/>
      <w:bookmarkStart w:id="822" w:name="_Toc26886"/>
      <w:bookmarkStart w:id="823" w:name="_Toc19633"/>
      <w:r>
        <w:rPr>
          <w:rFonts w:hint="eastAsia" w:ascii="宋体" w:hAnsi="宋体" w:eastAsia="宋体" w:cs="宋体"/>
          <w:b/>
          <w:bCs/>
          <w:sz w:val="22"/>
          <w:szCs w:val="22"/>
          <w:lang w:val="en-US" w:eastAsia="zh-CN"/>
        </w:rPr>
        <w:t>场景浏览</w:t>
      </w:r>
      <w:bookmarkEnd w:id="820"/>
      <w:bookmarkEnd w:id="821"/>
      <w:bookmarkEnd w:id="822"/>
      <w:bookmarkEnd w:id="823"/>
      <w:r>
        <w:rPr>
          <w:rFonts w:hint="eastAsia" w:ascii="宋体" w:hAnsi="宋体" w:eastAsia="宋体" w:cs="宋体"/>
          <w:b/>
          <w:bCs/>
          <w:sz w:val="22"/>
          <w:szCs w:val="22"/>
          <w:lang w:val="en-US" w:eastAsia="zh-CN"/>
        </w:rPr>
        <w:t>：</w:t>
      </w:r>
      <w:r>
        <w:rPr>
          <w:rFonts w:hint="eastAsia" w:ascii="宋体" w:hAnsi="宋体" w:eastAsia="宋体" w:cs="宋体"/>
          <w:sz w:val="22"/>
          <w:szCs w:val="22"/>
          <w:lang w:val="en-US" w:eastAsia="zh-CN"/>
        </w:rPr>
        <w:t>系统提供键盘和鼠标两种最基本的实时浏览操作，包括场景漫游方式、自动漫游方式、路径漫游方式等。</w:t>
      </w:r>
    </w:p>
    <w:p>
      <w:pPr>
        <w:bidi w:val="0"/>
        <w:spacing w:line="360" w:lineRule="auto"/>
        <w:ind w:firstLine="420" w:firstLineChars="0"/>
        <w:rPr>
          <w:rFonts w:hint="eastAsia" w:ascii="宋体" w:hAnsi="宋体" w:eastAsia="宋体" w:cs="宋体"/>
          <w:sz w:val="22"/>
          <w:szCs w:val="22"/>
          <w:lang w:val="en-US" w:eastAsia="zh-CN"/>
        </w:rPr>
      </w:pPr>
      <w:bookmarkStart w:id="824" w:name="_Toc5416"/>
      <w:bookmarkStart w:id="825" w:name="_Toc32007"/>
      <w:bookmarkStart w:id="826" w:name="_Toc2857"/>
      <w:bookmarkStart w:id="827" w:name="_Toc2236"/>
      <w:r>
        <w:rPr>
          <w:rFonts w:hint="eastAsia" w:ascii="宋体" w:hAnsi="宋体" w:eastAsia="宋体" w:cs="宋体"/>
          <w:b/>
          <w:bCs/>
          <w:sz w:val="22"/>
          <w:szCs w:val="22"/>
          <w:lang w:val="en-US" w:eastAsia="zh-CN"/>
        </w:rPr>
        <w:t>场景创建</w:t>
      </w:r>
      <w:bookmarkEnd w:id="824"/>
      <w:bookmarkEnd w:id="825"/>
      <w:bookmarkEnd w:id="826"/>
      <w:bookmarkEnd w:id="827"/>
      <w:r>
        <w:rPr>
          <w:rFonts w:hint="eastAsia" w:ascii="宋体" w:hAnsi="宋体" w:eastAsia="宋体" w:cs="宋体"/>
          <w:b/>
          <w:bCs/>
          <w:sz w:val="22"/>
          <w:szCs w:val="22"/>
          <w:lang w:val="en-US" w:eastAsia="zh-CN"/>
        </w:rPr>
        <w:t>：</w:t>
      </w:r>
      <w:r>
        <w:rPr>
          <w:rFonts w:hint="eastAsia" w:ascii="宋体" w:hAnsi="宋体" w:eastAsia="宋体" w:cs="宋体"/>
          <w:sz w:val="22"/>
          <w:szCs w:val="22"/>
          <w:lang w:val="en-US" w:eastAsia="zh-CN"/>
        </w:rPr>
        <w:t>系统是以数字地球模型、数字正射三维影像、数字地面模型、数字高程模型和矢量数据为基本对象并对其做综合处理，以地理信息系统的分层管理理念来建立三维信息系统。它将先进的三维可视现实和三维虚拟现实进行集成，真正做到了所见即所得。</w:t>
      </w:r>
    </w:p>
    <w:p>
      <w:pPr>
        <w:bidi w:val="0"/>
        <w:spacing w:line="360" w:lineRule="auto"/>
        <w:ind w:firstLine="420" w:firstLineChars="0"/>
        <w:rPr>
          <w:rFonts w:hint="eastAsia" w:ascii="宋体" w:hAnsi="宋体" w:eastAsia="宋体" w:cs="宋体"/>
          <w:sz w:val="22"/>
          <w:szCs w:val="22"/>
          <w:lang w:val="en-US" w:eastAsia="zh-CN"/>
        </w:rPr>
      </w:pPr>
      <w:bookmarkStart w:id="828" w:name="_Toc5479"/>
      <w:bookmarkStart w:id="829" w:name="_Toc30026"/>
      <w:bookmarkStart w:id="830" w:name="_Toc30775"/>
      <w:bookmarkStart w:id="831" w:name="_Toc5433"/>
      <w:r>
        <w:rPr>
          <w:rFonts w:hint="eastAsia" w:ascii="宋体" w:hAnsi="宋体" w:eastAsia="宋体" w:cs="宋体"/>
          <w:b/>
          <w:bCs/>
          <w:sz w:val="22"/>
          <w:szCs w:val="22"/>
          <w:lang w:val="en-US" w:eastAsia="zh-CN"/>
        </w:rPr>
        <w:t>对象编辑</w:t>
      </w:r>
      <w:bookmarkEnd w:id="828"/>
      <w:bookmarkEnd w:id="829"/>
      <w:bookmarkEnd w:id="830"/>
      <w:bookmarkEnd w:id="831"/>
      <w:r>
        <w:rPr>
          <w:rFonts w:hint="eastAsia" w:ascii="宋体" w:hAnsi="宋体" w:eastAsia="宋体" w:cs="宋体"/>
          <w:b/>
          <w:bCs/>
          <w:sz w:val="22"/>
          <w:szCs w:val="22"/>
          <w:lang w:val="en-US" w:eastAsia="zh-CN"/>
        </w:rPr>
        <w:t>：</w:t>
      </w:r>
      <w:r>
        <w:rPr>
          <w:rFonts w:hint="eastAsia" w:ascii="宋体" w:hAnsi="宋体" w:eastAsia="宋体" w:cs="宋体"/>
          <w:sz w:val="22"/>
          <w:szCs w:val="22"/>
          <w:lang w:val="en-US" w:eastAsia="zh-CN"/>
        </w:rPr>
        <w:t>支持多种通用平台三维建模工具的数据格式。可依据模型地理坐标按相应位置加载到三维场景中。</w:t>
      </w:r>
    </w:p>
    <w:p>
      <w:pPr>
        <w:bidi w:val="0"/>
        <w:spacing w:line="360" w:lineRule="auto"/>
        <w:ind w:firstLine="420" w:firstLineChars="0"/>
        <w:rPr>
          <w:rFonts w:hint="eastAsia" w:ascii="宋体" w:hAnsi="宋体" w:eastAsia="宋体" w:cs="宋体"/>
          <w:sz w:val="22"/>
          <w:szCs w:val="22"/>
          <w:lang w:val="en-US" w:eastAsia="zh-CN"/>
        </w:rPr>
      </w:pPr>
      <w:bookmarkStart w:id="832" w:name="_Toc26193"/>
      <w:bookmarkStart w:id="833" w:name="_Toc24555"/>
      <w:bookmarkStart w:id="834" w:name="_Toc21526"/>
      <w:bookmarkStart w:id="835" w:name="_Toc17478"/>
      <w:r>
        <w:rPr>
          <w:rFonts w:hint="eastAsia" w:ascii="宋体" w:hAnsi="宋体" w:eastAsia="宋体" w:cs="宋体"/>
          <w:b/>
          <w:bCs/>
          <w:sz w:val="22"/>
          <w:szCs w:val="22"/>
          <w:lang w:val="en-US" w:eastAsia="zh-CN"/>
        </w:rPr>
        <w:t>矢量数据加载</w:t>
      </w:r>
      <w:bookmarkEnd w:id="832"/>
      <w:bookmarkEnd w:id="833"/>
      <w:bookmarkEnd w:id="834"/>
      <w:bookmarkEnd w:id="835"/>
      <w:r>
        <w:rPr>
          <w:rFonts w:hint="eastAsia" w:ascii="宋体" w:hAnsi="宋体" w:eastAsia="宋体" w:cs="宋体"/>
          <w:b/>
          <w:bCs/>
          <w:sz w:val="22"/>
          <w:szCs w:val="22"/>
          <w:lang w:val="en-US" w:eastAsia="zh-CN"/>
        </w:rPr>
        <w:t>：</w:t>
      </w:r>
      <w:r>
        <w:rPr>
          <w:rFonts w:hint="eastAsia" w:ascii="宋体" w:hAnsi="宋体" w:eastAsia="宋体" w:cs="宋体"/>
          <w:sz w:val="22"/>
          <w:szCs w:val="22"/>
          <w:lang w:val="en-US" w:eastAsia="zh-CN"/>
        </w:rPr>
        <w:t>系统可将矢量数据加载到三维场景中，主要用于二维信息在三维表面的叠加，以达到二维和三维的统一。</w:t>
      </w:r>
    </w:p>
    <w:p>
      <w:pPr>
        <w:bidi w:val="0"/>
        <w:spacing w:line="360" w:lineRule="auto"/>
        <w:ind w:firstLine="420" w:firstLineChars="0"/>
        <w:rPr>
          <w:rFonts w:hint="eastAsia" w:ascii="宋体" w:hAnsi="宋体" w:eastAsia="宋体" w:cs="宋体"/>
          <w:sz w:val="22"/>
          <w:szCs w:val="22"/>
          <w:lang w:val="en-US" w:eastAsia="zh-CN"/>
        </w:rPr>
      </w:pPr>
      <w:bookmarkStart w:id="836" w:name="_Toc8995"/>
      <w:bookmarkStart w:id="837" w:name="_Toc30031"/>
      <w:bookmarkStart w:id="838" w:name="_Toc21861"/>
      <w:bookmarkStart w:id="839" w:name="_Toc2180"/>
      <w:r>
        <w:rPr>
          <w:rFonts w:hint="eastAsia" w:ascii="宋体" w:hAnsi="宋体" w:eastAsia="宋体" w:cs="宋体"/>
          <w:b/>
          <w:bCs/>
          <w:sz w:val="22"/>
          <w:szCs w:val="22"/>
          <w:lang w:val="en-US" w:eastAsia="zh-CN"/>
        </w:rPr>
        <w:t>三维模型建模</w:t>
      </w:r>
      <w:bookmarkEnd w:id="836"/>
      <w:bookmarkEnd w:id="837"/>
      <w:bookmarkEnd w:id="838"/>
      <w:bookmarkEnd w:id="839"/>
      <w:r>
        <w:rPr>
          <w:rFonts w:hint="eastAsia" w:ascii="宋体" w:hAnsi="宋体" w:eastAsia="宋体" w:cs="宋体"/>
          <w:b/>
          <w:bCs/>
          <w:sz w:val="22"/>
          <w:szCs w:val="22"/>
          <w:lang w:val="en-US" w:eastAsia="zh-CN"/>
        </w:rPr>
        <w:t>：</w:t>
      </w:r>
      <w:r>
        <w:rPr>
          <w:rFonts w:hint="eastAsia" w:ascii="宋体" w:hAnsi="宋体" w:eastAsia="宋体" w:cs="宋体"/>
          <w:sz w:val="22"/>
          <w:szCs w:val="22"/>
          <w:lang w:val="en-US" w:eastAsia="zh-CN"/>
        </w:rPr>
        <w:t>系统提供非常便利的三维建模模块，利用交互式编辑工具在三维地表场景上创建不同规则、形状的三维模型，并可进行三维模型的格式化转换，转换到通用的数据格式中。对于精细模型和案例模型，可利用通用的三维建模工具建模后添加到系统中。</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可以在不同的模型中自定义添加标注、注释、位图、动画等信息；并且可进行快捷查询、实时编辑；</w:t>
      </w:r>
    </w:p>
    <w:p>
      <w:pPr>
        <w:bidi w:val="0"/>
        <w:spacing w:line="360" w:lineRule="auto"/>
        <w:ind w:firstLine="420" w:firstLineChars="0"/>
        <w:rPr>
          <w:rFonts w:hint="eastAsia" w:ascii="宋体" w:hAnsi="宋体" w:eastAsia="宋体" w:cs="宋体"/>
          <w:b/>
          <w:bCs/>
          <w:sz w:val="22"/>
          <w:szCs w:val="22"/>
          <w:lang w:val="en-US" w:eastAsia="zh-CN"/>
        </w:rPr>
      </w:pPr>
      <w:bookmarkStart w:id="840" w:name="_Toc19848"/>
      <w:bookmarkStart w:id="841" w:name="_Toc13418"/>
      <w:bookmarkStart w:id="842" w:name="_Toc1556"/>
      <w:bookmarkStart w:id="843" w:name="_Toc8844"/>
      <w:r>
        <w:rPr>
          <w:rFonts w:hint="eastAsia" w:ascii="宋体" w:hAnsi="宋体" w:eastAsia="宋体" w:cs="宋体"/>
          <w:b/>
          <w:bCs/>
          <w:sz w:val="22"/>
          <w:szCs w:val="22"/>
          <w:lang w:val="en-US" w:eastAsia="zh-CN"/>
        </w:rPr>
        <w:t>模型类型</w:t>
      </w:r>
      <w:bookmarkEnd w:id="840"/>
      <w:bookmarkEnd w:id="841"/>
      <w:bookmarkEnd w:id="842"/>
      <w:bookmarkEnd w:id="843"/>
      <w:r>
        <w:rPr>
          <w:rFonts w:hint="eastAsia" w:ascii="宋体" w:hAnsi="宋体" w:eastAsia="宋体" w:cs="宋体"/>
          <w:b/>
          <w:bCs/>
          <w:sz w:val="22"/>
          <w:szCs w:val="22"/>
          <w:lang w:val="en-US" w:eastAsia="zh-CN"/>
        </w:rPr>
        <w:t>：</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二维模型：线段、矩形、规则及不规则多边形、圆弧、圆、椭圆、箭头等；</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三维模型：规则及不规则建筑物、正多面体、柱体、球体、锥体、金字塔、立体箭头；</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运动模型：在陆地、水面、空中运动的各种交通工具和物体；</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批量建模：格局一致的建筑、树木、电线杆等；</w:t>
      </w:r>
    </w:p>
    <w:p>
      <w:pPr>
        <w:bidi w:val="0"/>
        <w:spacing w:line="360" w:lineRule="auto"/>
        <w:ind w:firstLine="420" w:firstLineChars="0"/>
        <w:rPr>
          <w:rFonts w:hint="eastAsia" w:ascii="宋体" w:hAnsi="宋体" w:eastAsia="宋体" w:cs="宋体"/>
          <w:sz w:val="22"/>
          <w:szCs w:val="22"/>
          <w:lang w:val="en-US" w:eastAsia="zh-CN"/>
        </w:rPr>
      </w:pPr>
      <w:bookmarkStart w:id="844" w:name="_Toc28715"/>
      <w:bookmarkStart w:id="845" w:name="_Toc15328"/>
      <w:bookmarkStart w:id="846" w:name="_Toc20512"/>
      <w:bookmarkStart w:id="847" w:name="_Toc26694"/>
      <w:r>
        <w:rPr>
          <w:rFonts w:hint="eastAsia" w:ascii="宋体" w:hAnsi="宋体" w:eastAsia="宋体" w:cs="宋体"/>
          <w:b/>
          <w:bCs/>
          <w:sz w:val="22"/>
          <w:szCs w:val="22"/>
          <w:lang w:val="en-US" w:eastAsia="zh-CN"/>
        </w:rPr>
        <w:t>海量数据的处理</w:t>
      </w:r>
      <w:bookmarkEnd w:id="844"/>
      <w:bookmarkEnd w:id="845"/>
      <w:bookmarkEnd w:id="846"/>
      <w:bookmarkEnd w:id="847"/>
      <w:r>
        <w:rPr>
          <w:rFonts w:hint="eastAsia" w:ascii="宋体" w:hAnsi="宋体" w:eastAsia="宋体" w:cs="宋体"/>
          <w:b/>
          <w:bCs/>
          <w:sz w:val="22"/>
          <w:szCs w:val="22"/>
          <w:lang w:val="en-US" w:eastAsia="zh-CN"/>
        </w:rPr>
        <w:t>：</w:t>
      </w:r>
      <w:r>
        <w:rPr>
          <w:rFonts w:hint="eastAsia" w:ascii="宋体" w:hAnsi="宋体" w:eastAsia="宋体" w:cs="宋体"/>
          <w:sz w:val="22"/>
          <w:szCs w:val="22"/>
          <w:lang w:val="en-US" w:eastAsia="zh-CN"/>
        </w:rPr>
        <w:t>支持大型数据库和实时信息流通技术，结合大量的航片、卫星影像、地理地表信息、数字高程模型和矢量数据，简洁、快速创建大型三维地表数据集，以网络数据流形式高效、快速展现地形、地貌信息3D地理空间影像。</w:t>
      </w:r>
    </w:p>
    <w:p>
      <w:pPr>
        <w:bidi w:val="0"/>
        <w:spacing w:line="360" w:lineRule="auto"/>
        <w:ind w:firstLine="420" w:firstLineChars="0"/>
        <w:rPr>
          <w:rFonts w:hint="eastAsia" w:ascii="宋体" w:hAnsi="宋体" w:eastAsia="宋体" w:cs="宋体"/>
          <w:sz w:val="22"/>
          <w:szCs w:val="22"/>
          <w:lang w:val="en-US" w:eastAsia="zh-CN"/>
        </w:rPr>
      </w:pPr>
      <w:bookmarkStart w:id="848" w:name="_Toc7023"/>
      <w:bookmarkStart w:id="849" w:name="_Toc26779"/>
      <w:bookmarkStart w:id="850" w:name="_Toc28515"/>
      <w:bookmarkStart w:id="851" w:name="_Toc25816"/>
      <w:r>
        <w:rPr>
          <w:rFonts w:hint="eastAsia" w:ascii="宋体" w:hAnsi="宋体" w:eastAsia="宋体" w:cs="宋体"/>
          <w:b/>
          <w:bCs/>
          <w:sz w:val="22"/>
          <w:szCs w:val="22"/>
          <w:lang w:val="en-US" w:eastAsia="zh-CN"/>
        </w:rPr>
        <w:t>三维空间分析工具</w:t>
      </w:r>
      <w:bookmarkEnd w:id="848"/>
      <w:bookmarkEnd w:id="849"/>
      <w:bookmarkEnd w:id="850"/>
      <w:bookmarkEnd w:id="851"/>
      <w:r>
        <w:rPr>
          <w:rFonts w:hint="eastAsia" w:ascii="宋体" w:hAnsi="宋体" w:eastAsia="宋体" w:cs="宋体"/>
          <w:b/>
          <w:bCs/>
          <w:sz w:val="22"/>
          <w:szCs w:val="22"/>
          <w:lang w:val="en-US" w:eastAsia="zh-CN"/>
        </w:rPr>
        <w:t>：</w:t>
      </w:r>
      <w:r>
        <w:rPr>
          <w:rFonts w:hint="eastAsia" w:ascii="宋体" w:hAnsi="宋体" w:eastAsia="宋体" w:cs="宋体"/>
          <w:sz w:val="22"/>
          <w:szCs w:val="22"/>
          <w:lang w:val="en-US" w:eastAsia="zh-CN"/>
        </w:rPr>
        <w:t>支持鼠标在三维空间内的水平距离量测、空间距离量测、垂直距离量测、坡度量测、面积量测、等高线生成、剖面、侧面、外形、轮廓、最佳路径分析、通视分析、关联区域分析等。</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852" w:name="_Toc9305"/>
      <w:bookmarkStart w:id="853" w:name="_Toc22970"/>
      <w:bookmarkStart w:id="854" w:name="_Toc14420"/>
      <w:bookmarkStart w:id="855" w:name="_Toc13871"/>
      <w:bookmarkStart w:id="856" w:name="_Toc29636"/>
      <w:bookmarkStart w:id="857" w:name="_Toc5415"/>
      <w:bookmarkStart w:id="858" w:name="_Toc3102"/>
      <w:bookmarkStart w:id="859" w:name="_Toc17109"/>
      <w:bookmarkStart w:id="860" w:name="_Toc20372"/>
      <w:bookmarkStart w:id="861" w:name="_Toc30684"/>
      <w:bookmarkStart w:id="862" w:name="_Toc25453"/>
      <w:bookmarkStart w:id="863" w:name="_Toc25218"/>
      <w:r>
        <w:rPr>
          <w:rFonts w:hint="eastAsia" w:ascii="宋体" w:hAnsi="宋体" w:eastAsia="宋体" w:cs="宋体"/>
          <w:b/>
          <w:bCs/>
          <w:sz w:val="22"/>
          <w:szCs w:val="22"/>
          <w:lang w:val="en-US" w:eastAsia="zh-CN"/>
        </w:rPr>
        <w:t>2.4.2管网三维数据建模</w:t>
      </w:r>
      <w:bookmarkEnd w:id="852"/>
      <w:bookmarkEnd w:id="853"/>
      <w:bookmarkEnd w:id="854"/>
      <w:bookmarkEnd w:id="855"/>
      <w:bookmarkEnd w:id="856"/>
      <w:bookmarkEnd w:id="857"/>
      <w:bookmarkEnd w:id="858"/>
      <w:bookmarkEnd w:id="859"/>
      <w:bookmarkEnd w:id="860"/>
      <w:bookmarkEnd w:id="861"/>
      <w:bookmarkEnd w:id="862"/>
      <w:bookmarkEnd w:id="863"/>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本项目需要对洞头全区主要排水、供水、燃气、电力管网、弱电等12类进行三维建模，根据管网类型创建不同的三维模型，包括管网、阀门、检查井、三通、立管和消防栓等附属物的三维模型。在模型创建过程中进行细化和优化，以确保模型的精确性和高效性，同时确保管网系统的组件正确连接和布局，并与地上模型进行整合，建立并集中存储地上建筑模型、地下管线三维模型，实现地上地下三维一体化效果。</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管线数据三维建模工作主要是完成各类管线设施的三维模型建设，生成管线部件库。系统展示时，会根据各管点的类型自动从部件库调用对应的三维模型，实现管线点的三维展示。管线段的三维模型将根据管线点的连接关系、管线类型、管线管径等参数由系统自动生成。</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864" w:name="_Toc29911"/>
      <w:bookmarkStart w:id="865" w:name="_Toc3115"/>
      <w:bookmarkStart w:id="866" w:name="_Toc17787"/>
      <w:bookmarkStart w:id="867" w:name="_Toc26822"/>
      <w:bookmarkStart w:id="868" w:name="_Toc8096"/>
      <w:bookmarkStart w:id="869" w:name="_Toc12675"/>
      <w:bookmarkStart w:id="870" w:name="_Toc14444"/>
      <w:bookmarkStart w:id="871" w:name="_Toc24384"/>
      <w:bookmarkStart w:id="872" w:name="_Toc12364"/>
      <w:bookmarkStart w:id="873" w:name="_Toc27756"/>
      <w:bookmarkStart w:id="874" w:name="_Toc4783"/>
      <w:bookmarkStart w:id="875" w:name="_Toc25803"/>
      <w:r>
        <w:rPr>
          <w:rFonts w:hint="eastAsia" w:ascii="宋体" w:hAnsi="宋体" w:eastAsia="宋体" w:cs="宋体"/>
          <w:b/>
          <w:bCs/>
          <w:sz w:val="22"/>
          <w:szCs w:val="22"/>
          <w:lang w:val="en-US" w:eastAsia="zh-CN"/>
        </w:rPr>
        <w:t>2.4.3 三维管网GIS系统功能模块</w:t>
      </w:r>
      <w:bookmarkEnd w:id="864"/>
      <w:bookmarkEnd w:id="865"/>
      <w:bookmarkEnd w:id="866"/>
      <w:bookmarkEnd w:id="867"/>
      <w:bookmarkEnd w:id="868"/>
      <w:bookmarkEnd w:id="869"/>
      <w:bookmarkEnd w:id="870"/>
      <w:bookmarkEnd w:id="871"/>
      <w:bookmarkEnd w:id="872"/>
      <w:bookmarkEnd w:id="873"/>
      <w:bookmarkEnd w:id="874"/>
      <w:bookmarkEnd w:id="875"/>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基于三维建模、AR呈现、倾斜摄影融合的GIS引擎对洞头排水、供水、燃气、电力管网进行开发支持，建立管网三维立体可视化平台，提供综合管网管理、三维管网查看、查询定位、图层控制、管网断面分析、管网流动模拟、内涝风险分析和现场浏览调查提供洞察支持等功能，实现管网的三维可视化和分析。</w:t>
      </w:r>
    </w:p>
    <w:p>
      <w:pPr>
        <w:bidi w:val="0"/>
        <w:spacing w:line="360" w:lineRule="auto"/>
        <w:ind w:firstLine="420" w:firstLineChars="0"/>
        <w:outlineLvl w:val="3"/>
        <w:rPr>
          <w:rFonts w:hint="eastAsia" w:ascii="宋体" w:hAnsi="宋体" w:eastAsia="宋体" w:cs="宋体"/>
          <w:sz w:val="22"/>
          <w:szCs w:val="22"/>
          <w:lang w:val="en-US" w:eastAsia="zh-CN"/>
        </w:rPr>
      </w:pPr>
      <w:bookmarkStart w:id="876" w:name="_Toc13975"/>
      <w:bookmarkStart w:id="877" w:name="_Toc14192"/>
      <w:bookmarkStart w:id="878" w:name="_Toc9794"/>
      <w:bookmarkStart w:id="879" w:name="_Toc24065"/>
      <w:bookmarkStart w:id="880" w:name="_Toc21505"/>
      <w:r>
        <w:rPr>
          <w:rFonts w:hint="eastAsia" w:ascii="宋体" w:hAnsi="宋体" w:eastAsia="宋体" w:cs="宋体"/>
          <w:sz w:val="22"/>
          <w:szCs w:val="22"/>
          <w:lang w:val="en-US" w:eastAsia="zh-CN"/>
        </w:rPr>
        <w:t>1）二三维一体化展示</w:t>
      </w:r>
      <w:bookmarkEnd w:id="876"/>
      <w:bookmarkEnd w:id="877"/>
      <w:bookmarkEnd w:id="878"/>
      <w:bookmarkEnd w:id="879"/>
      <w:bookmarkEnd w:id="880"/>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提供地上和地下设施的综合三维展示，整合地上建筑物、道路以及地下管网的三维模型，实现在同一平台上对整个区域的全景可视化。用户能够直观地查看地上建筑与地下管网的空间关系，提升整体系统的理解和管理效率。</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基于倾斜摄影影像、数字高程模型（DEM）、管网拓扑数据，生成标准化三维场景。</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基于倾斜摄影查看管网三维模型的实时运行与展示，基于三维地理信息开发引擎实现基于浏览器的三维场景查看，支持缩放、旋转。</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基于倾斜摄影查看管网三维模型的集成与接口开发，与GIS地图对接，提供三维场景可视化接口，支持与内涝模型应用集成。</w:t>
      </w:r>
    </w:p>
    <w:p>
      <w:pPr>
        <w:bidi w:val="0"/>
        <w:spacing w:line="360" w:lineRule="auto"/>
        <w:ind w:firstLine="420" w:firstLineChars="0"/>
        <w:outlineLvl w:val="3"/>
        <w:rPr>
          <w:rFonts w:hint="eastAsia" w:ascii="宋体" w:hAnsi="宋体" w:eastAsia="宋体" w:cs="宋体"/>
          <w:sz w:val="22"/>
          <w:szCs w:val="22"/>
          <w:lang w:val="en-US" w:eastAsia="zh-CN"/>
        </w:rPr>
      </w:pPr>
      <w:bookmarkStart w:id="881" w:name="_Toc29059"/>
      <w:bookmarkStart w:id="882" w:name="_Toc25319"/>
      <w:bookmarkStart w:id="883" w:name="_Toc2982"/>
      <w:bookmarkStart w:id="884" w:name="_Toc624"/>
      <w:bookmarkStart w:id="885" w:name="_Toc31797"/>
      <w:r>
        <w:rPr>
          <w:rFonts w:hint="eastAsia" w:ascii="宋体" w:hAnsi="宋体" w:eastAsia="宋体" w:cs="宋体"/>
          <w:sz w:val="22"/>
          <w:szCs w:val="22"/>
          <w:lang w:val="en-US" w:eastAsia="zh-CN"/>
        </w:rPr>
        <w:t>2） 管线图层管理</w:t>
      </w:r>
      <w:bookmarkEnd w:id="881"/>
      <w:bookmarkEnd w:id="882"/>
      <w:bookmarkEnd w:id="883"/>
      <w:bookmarkEnd w:id="884"/>
      <w:bookmarkEnd w:id="885"/>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图层管理列表中按类别加载了平台中所有管线，可双击节点定位到对应的管线范围。</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支持打开或者关闭不同图层类别的管网。</w:t>
      </w:r>
    </w:p>
    <w:p>
      <w:pPr>
        <w:bidi w:val="0"/>
        <w:spacing w:line="360" w:lineRule="auto"/>
        <w:ind w:firstLine="420" w:firstLineChars="0"/>
        <w:outlineLvl w:val="3"/>
        <w:rPr>
          <w:rFonts w:hint="eastAsia" w:ascii="宋体" w:hAnsi="宋体" w:eastAsia="宋体" w:cs="宋体"/>
          <w:sz w:val="22"/>
          <w:szCs w:val="22"/>
          <w:lang w:val="en-US" w:eastAsia="zh-CN"/>
        </w:rPr>
      </w:pPr>
      <w:bookmarkStart w:id="886" w:name="_Toc12697"/>
      <w:bookmarkStart w:id="887" w:name="_Toc5200"/>
      <w:bookmarkStart w:id="888" w:name="_Toc27630"/>
      <w:bookmarkStart w:id="889" w:name="_Toc18639"/>
      <w:bookmarkStart w:id="890" w:name="_Toc22489"/>
      <w:r>
        <w:rPr>
          <w:rFonts w:hint="eastAsia" w:ascii="宋体" w:hAnsi="宋体" w:eastAsia="宋体" w:cs="宋体"/>
          <w:sz w:val="22"/>
          <w:szCs w:val="22"/>
          <w:lang w:val="en-US" w:eastAsia="zh-CN"/>
        </w:rPr>
        <w:t>3）管线查询</w:t>
      </w:r>
      <w:bookmarkEnd w:id="886"/>
      <w:bookmarkEnd w:id="887"/>
      <w:bookmarkEnd w:id="888"/>
      <w:bookmarkEnd w:id="889"/>
      <w:bookmarkEnd w:id="890"/>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管网查询分为空间查询和属性查询两部分。</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任意点击一条管线或一个管点，即可在属性面板中展示其属性。</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垂直管线绘制一条相交线，查询相交管线的所有信息。</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绘制一个多边形范围，查询范围内所有管线和管点的信息。</w:t>
      </w:r>
    </w:p>
    <w:p>
      <w:pPr>
        <w:bidi w:val="0"/>
        <w:spacing w:line="360" w:lineRule="auto"/>
        <w:ind w:firstLine="420" w:firstLineChars="0"/>
        <w:outlineLvl w:val="3"/>
        <w:rPr>
          <w:rFonts w:hint="eastAsia" w:ascii="宋体" w:hAnsi="宋体" w:eastAsia="宋体" w:cs="宋体"/>
          <w:sz w:val="22"/>
          <w:szCs w:val="22"/>
          <w:lang w:val="en-US" w:eastAsia="zh-CN"/>
        </w:rPr>
      </w:pPr>
      <w:bookmarkStart w:id="891" w:name="_Toc9923"/>
      <w:bookmarkStart w:id="892" w:name="_Toc31176"/>
      <w:bookmarkStart w:id="893" w:name="_Toc15472"/>
      <w:bookmarkStart w:id="894" w:name="_Toc23858"/>
      <w:bookmarkStart w:id="895" w:name="_Toc14347"/>
      <w:r>
        <w:rPr>
          <w:rFonts w:hint="eastAsia" w:ascii="宋体" w:hAnsi="宋体" w:eastAsia="宋体" w:cs="宋体"/>
          <w:sz w:val="22"/>
          <w:szCs w:val="22"/>
          <w:lang w:val="en-US" w:eastAsia="zh-CN"/>
        </w:rPr>
        <w:t>4） 管线统计</w:t>
      </w:r>
      <w:bookmarkEnd w:id="891"/>
      <w:bookmarkEnd w:id="892"/>
      <w:bookmarkEnd w:id="893"/>
      <w:bookmarkEnd w:id="894"/>
      <w:bookmarkEnd w:id="895"/>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根据统计需要设置统计参数，可完成整体范围统计、自定义范围点类型统计并可生成统计图表。</w:t>
      </w:r>
    </w:p>
    <w:p>
      <w:pPr>
        <w:bidi w:val="0"/>
        <w:spacing w:line="360" w:lineRule="auto"/>
        <w:ind w:firstLine="420" w:firstLineChars="0"/>
        <w:outlineLvl w:val="3"/>
        <w:rPr>
          <w:rFonts w:hint="eastAsia" w:ascii="宋体" w:hAnsi="宋体" w:eastAsia="宋体" w:cs="宋体"/>
          <w:sz w:val="22"/>
          <w:szCs w:val="22"/>
          <w:lang w:val="en-US" w:eastAsia="zh-CN"/>
        </w:rPr>
      </w:pPr>
      <w:bookmarkStart w:id="896" w:name="_Toc25237"/>
      <w:bookmarkStart w:id="897" w:name="_Toc11600"/>
      <w:bookmarkStart w:id="898" w:name="_Toc2058"/>
      <w:bookmarkStart w:id="899" w:name="_Toc24626"/>
      <w:bookmarkStart w:id="900" w:name="_Toc21257"/>
      <w:r>
        <w:rPr>
          <w:rFonts w:hint="eastAsia" w:ascii="宋体" w:hAnsi="宋体" w:eastAsia="宋体" w:cs="宋体"/>
          <w:sz w:val="22"/>
          <w:szCs w:val="22"/>
          <w:lang w:val="en-US" w:eastAsia="zh-CN"/>
        </w:rPr>
        <w:t>5）管线分析</w:t>
      </w:r>
      <w:bookmarkEnd w:id="896"/>
      <w:bookmarkEnd w:id="897"/>
      <w:bookmarkEnd w:id="898"/>
      <w:bookmarkEnd w:id="899"/>
      <w:bookmarkEnd w:id="900"/>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支持管线横断面、纵断面、爆管分析、联通分析、流向分析等。</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在当前地图中对选择的管线做横断面剖切，系统会自动根据管线数据内查出剖线处的相关数据，然后依据这些数据自动生成横切剖面图</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在当前地图中对选择的管线做纵断面剖切，系统会自动根据管线数据内查出剖线处的相关数据，然后依据这些数据自动生成纵切剖面图。</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可分析管段发生爆管时，受影响管段以及上游需关闭阀门。</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可分析选择的管线与相交管线的垂直距离，并判断是否符合规范值，不符合规范值则高亮显示。</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任意选择两个同一图层的管点和管线，分析连通性，并显示连通的流向。</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选择一种管线类型、流动效果，自动生成管线动态流动的模型。</w:t>
      </w:r>
    </w:p>
    <w:p>
      <w:pPr>
        <w:bidi w:val="0"/>
        <w:spacing w:line="360" w:lineRule="auto"/>
        <w:ind w:firstLine="420" w:firstLineChars="0"/>
        <w:outlineLvl w:val="3"/>
        <w:rPr>
          <w:rFonts w:hint="eastAsia" w:ascii="宋体" w:hAnsi="宋体" w:eastAsia="宋体" w:cs="宋体"/>
          <w:sz w:val="22"/>
          <w:szCs w:val="22"/>
          <w:lang w:val="en-US" w:eastAsia="zh-CN"/>
        </w:rPr>
      </w:pPr>
      <w:bookmarkStart w:id="901" w:name="_Toc31312"/>
      <w:bookmarkStart w:id="902" w:name="_Toc2590"/>
      <w:bookmarkStart w:id="903" w:name="_Toc24468"/>
      <w:bookmarkStart w:id="904" w:name="_Toc18418"/>
      <w:bookmarkStart w:id="905" w:name="_Toc12218"/>
      <w:r>
        <w:rPr>
          <w:rFonts w:hint="eastAsia" w:ascii="宋体" w:hAnsi="宋体" w:eastAsia="宋体" w:cs="宋体"/>
          <w:sz w:val="22"/>
          <w:szCs w:val="22"/>
          <w:lang w:val="en-US" w:eastAsia="zh-CN"/>
        </w:rPr>
        <w:t>6） 管线标注</w:t>
      </w:r>
      <w:bookmarkEnd w:id="901"/>
      <w:bookmarkEnd w:id="902"/>
      <w:bookmarkEnd w:id="903"/>
      <w:bookmarkEnd w:id="904"/>
      <w:bookmarkEnd w:id="905"/>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管线标注可以通过点击扯旗等方式，展示管点和管线的信息。</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可随意查看管点和管线的高程（管线为起点高程和终点高程）。</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可查看任意管线的管径值。</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可查看任意管线的起点埋深和终点埋深。</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可查看任意管点或管线的坐标信息（管线为起点坐标和终点坐标）。</w:t>
      </w:r>
    </w:p>
    <w:p>
      <w:pPr>
        <w:bidi w:val="0"/>
        <w:spacing w:line="360" w:lineRule="auto"/>
        <w:ind w:firstLine="420" w:firstLineChars="0"/>
        <w:rPr>
          <w:rFonts w:hint="eastAsia" w:ascii="宋体" w:hAnsi="宋体" w:eastAsia="宋体" w:cs="宋体"/>
          <w:b/>
          <w:bCs/>
          <w:i w:val="0"/>
          <w:iCs w:val="0"/>
          <w:caps w:val="0"/>
          <w:color w:val="auto"/>
          <w:spacing w:val="0"/>
          <w:sz w:val="22"/>
          <w:szCs w:val="22"/>
          <w:shd w:val="clear" w:color="auto" w:fill="FFFFFF"/>
          <w:lang w:val="en-US" w:eastAsia="zh-CN"/>
        </w:rPr>
      </w:pPr>
      <w:r>
        <w:rPr>
          <w:rFonts w:hint="eastAsia" w:ascii="宋体" w:hAnsi="宋体" w:eastAsia="宋体" w:cs="宋体"/>
          <w:sz w:val="22"/>
          <w:szCs w:val="22"/>
          <w:lang w:val="en-US" w:eastAsia="zh-CN"/>
        </w:rPr>
        <w:t>可查看任意管线的坡度值。</w:t>
      </w:r>
    </w:p>
    <w:p>
      <w:pPr>
        <w:pStyle w:val="5"/>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line="360" w:lineRule="auto"/>
        <w:ind w:leftChars="0" w:right="0" w:rightChars="0"/>
        <w:jc w:val="left"/>
        <w:outlineLvl w:val="1"/>
        <w:rPr>
          <w:rFonts w:hint="eastAsia" w:ascii="宋体" w:hAnsi="宋体" w:eastAsia="宋体" w:cs="宋体"/>
          <w:b/>
          <w:bCs/>
          <w:i w:val="0"/>
          <w:iCs w:val="0"/>
          <w:caps w:val="0"/>
          <w:color w:val="auto"/>
          <w:spacing w:val="0"/>
          <w:sz w:val="22"/>
          <w:szCs w:val="22"/>
          <w:shd w:val="clear" w:color="auto" w:fill="FFFFFF"/>
          <w:lang w:val="en-US" w:eastAsia="zh-CN"/>
        </w:rPr>
      </w:pPr>
      <w:bookmarkStart w:id="906" w:name="_Toc27970"/>
      <w:bookmarkStart w:id="907" w:name="_Toc4115"/>
      <w:r>
        <w:rPr>
          <w:rFonts w:hint="eastAsia" w:ascii="宋体" w:hAnsi="宋体" w:cs="宋体"/>
          <w:b/>
          <w:bCs/>
          <w:i w:val="0"/>
          <w:iCs w:val="0"/>
          <w:caps w:val="0"/>
          <w:color w:val="auto"/>
          <w:spacing w:val="0"/>
          <w:sz w:val="22"/>
          <w:szCs w:val="22"/>
          <w:shd w:val="clear" w:color="auto" w:fill="FFFFFF"/>
          <w:lang w:val="en-US" w:eastAsia="zh-CN"/>
        </w:rPr>
        <w:t>2.5</w:t>
      </w:r>
      <w:r>
        <w:rPr>
          <w:rFonts w:hint="eastAsia" w:ascii="宋体" w:hAnsi="宋体" w:eastAsia="宋体" w:cs="宋体"/>
          <w:b/>
          <w:bCs/>
          <w:i w:val="0"/>
          <w:iCs w:val="0"/>
          <w:caps w:val="0"/>
          <w:color w:val="auto"/>
          <w:spacing w:val="0"/>
          <w:sz w:val="22"/>
          <w:szCs w:val="22"/>
          <w:shd w:val="clear" w:color="auto" w:fill="FFFFFF"/>
          <w:lang w:val="en-US" w:eastAsia="zh-CN"/>
        </w:rPr>
        <w:t>、</w:t>
      </w:r>
      <w:r>
        <w:rPr>
          <w:rFonts w:hint="eastAsia" w:ascii="宋体" w:hAnsi="宋体" w:cs="宋体"/>
          <w:b/>
          <w:bCs/>
          <w:i w:val="0"/>
          <w:iCs w:val="0"/>
          <w:caps w:val="0"/>
          <w:color w:val="auto"/>
          <w:spacing w:val="0"/>
          <w:sz w:val="22"/>
          <w:szCs w:val="22"/>
          <w:shd w:val="clear" w:color="auto" w:fill="FFFFFF"/>
          <w:lang w:val="en-US" w:eastAsia="zh-CN"/>
        </w:rPr>
        <w:t>内涝</w:t>
      </w:r>
      <w:r>
        <w:rPr>
          <w:rFonts w:hint="eastAsia" w:ascii="宋体" w:hAnsi="宋体" w:eastAsia="宋体" w:cs="宋体"/>
          <w:b/>
          <w:bCs/>
          <w:i w:val="0"/>
          <w:iCs w:val="0"/>
          <w:caps w:val="0"/>
          <w:color w:val="auto"/>
          <w:spacing w:val="0"/>
          <w:sz w:val="22"/>
          <w:szCs w:val="22"/>
          <w:shd w:val="clear" w:color="auto" w:fill="FFFFFF"/>
          <w:lang w:val="en-US" w:eastAsia="zh-CN"/>
        </w:rPr>
        <w:t>风险预警分析模型</w:t>
      </w:r>
      <w:bookmarkEnd w:id="803"/>
      <w:bookmarkEnd w:id="804"/>
      <w:bookmarkEnd w:id="805"/>
      <w:bookmarkEnd w:id="806"/>
      <w:bookmarkEnd w:id="807"/>
      <w:bookmarkEnd w:id="808"/>
      <w:bookmarkEnd w:id="809"/>
      <w:r>
        <w:rPr>
          <w:rFonts w:hint="eastAsia" w:ascii="宋体" w:hAnsi="宋体" w:cs="宋体"/>
          <w:b/>
          <w:bCs/>
          <w:i w:val="0"/>
          <w:iCs w:val="0"/>
          <w:caps w:val="0"/>
          <w:color w:val="auto"/>
          <w:spacing w:val="0"/>
          <w:sz w:val="22"/>
          <w:szCs w:val="22"/>
          <w:shd w:val="clear" w:color="auto" w:fill="FFFFFF"/>
          <w:lang w:val="en-US" w:eastAsia="zh-CN"/>
        </w:rPr>
        <w:t>建设</w:t>
      </w:r>
      <w:bookmarkEnd w:id="906"/>
      <w:bookmarkEnd w:id="907"/>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基于地面、排水管网等多源数据和地理信息，结合潮汐海水位和内河、道路积水、历史内涝数据等情况，研发防汛大数据预警模型，防范内涝、积水等风险。</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防汛预警模型是智能应用场景的核心之一。对数据进行整合，接入物联网监测数据、气象数据以及历史记录等多源信息。然后，利用先进的智能算法进行内涝风险预测分析，预警信息通过平台实时推送给相关人员，同时生成可视化的分析报告，为决策提供支持。</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908" w:name="_Toc24222"/>
      <w:bookmarkStart w:id="909" w:name="_Toc15104"/>
      <w:bookmarkStart w:id="910" w:name="_Toc13952"/>
      <w:bookmarkStart w:id="911" w:name="_Toc4184"/>
      <w:bookmarkStart w:id="912" w:name="_Toc25834"/>
      <w:bookmarkStart w:id="913" w:name="_Toc23381"/>
      <w:bookmarkStart w:id="914" w:name="_Toc19444"/>
      <w:bookmarkStart w:id="915" w:name="_Toc6733"/>
      <w:bookmarkStart w:id="916" w:name="_Toc13916"/>
      <w:r>
        <w:rPr>
          <w:rFonts w:hint="eastAsia" w:ascii="宋体" w:hAnsi="宋体" w:cs="宋体"/>
          <w:b/>
          <w:bCs/>
          <w:sz w:val="22"/>
          <w:szCs w:val="22"/>
          <w:lang w:val="en-US" w:eastAsia="zh-CN"/>
        </w:rPr>
        <w:t>2.5</w:t>
      </w:r>
      <w:r>
        <w:rPr>
          <w:rFonts w:hint="eastAsia" w:ascii="宋体" w:hAnsi="宋体" w:eastAsia="宋体" w:cs="宋体"/>
          <w:b/>
          <w:bCs/>
          <w:sz w:val="22"/>
          <w:szCs w:val="22"/>
          <w:lang w:val="en-US" w:eastAsia="zh-CN"/>
        </w:rPr>
        <w:t>.1‌数据</w:t>
      </w:r>
      <w:r>
        <w:rPr>
          <w:rFonts w:hint="eastAsia" w:ascii="宋体" w:hAnsi="宋体" w:cs="宋体"/>
          <w:b/>
          <w:bCs/>
          <w:sz w:val="22"/>
          <w:szCs w:val="22"/>
          <w:lang w:val="en-US" w:eastAsia="zh-CN"/>
        </w:rPr>
        <w:t>信息整合采集</w:t>
      </w:r>
      <w:r>
        <w:rPr>
          <w:rFonts w:hint="eastAsia" w:ascii="宋体" w:hAnsi="宋体" w:eastAsia="宋体" w:cs="宋体"/>
          <w:b/>
          <w:bCs/>
          <w:sz w:val="22"/>
          <w:szCs w:val="22"/>
          <w:lang w:val="en-US" w:eastAsia="zh-CN"/>
        </w:rPr>
        <w:t>‌</w:t>
      </w:r>
      <w:bookmarkEnd w:id="908"/>
      <w:bookmarkEnd w:id="909"/>
      <w:bookmarkEnd w:id="910"/>
      <w:bookmarkEnd w:id="911"/>
      <w:bookmarkEnd w:id="912"/>
      <w:bookmarkEnd w:id="913"/>
      <w:bookmarkEnd w:id="914"/>
      <w:bookmarkEnd w:id="915"/>
      <w:bookmarkEnd w:id="916"/>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设计数据接入接口，实现多源数据（路面积水深度、河道水位、潮汐水位、降雨量、管网液位、监测数据、历史数据和地理信息等）的整合。</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支持历史统计数据的集成与接口开发，与内涝模型对接，提供历史趋势数据接口，支持与预警生成与自动化模块集成，输出统计结果以支持风险预测和预案制定。</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917" w:name="_Toc9708"/>
      <w:bookmarkStart w:id="918" w:name="_Toc10691"/>
      <w:bookmarkStart w:id="919" w:name="_Toc1581"/>
      <w:bookmarkStart w:id="920" w:name="_Toc20379"/>
      <w:bookmarkStart w:id="921" w:name="_Toc30526"/>
      <w:bookmarkStart w:id="922" w:name="_Toc9022"/>
      <w:bookmarkStart w:id="923" w:name="_Toc26118"/>
      <w:bookmarkStart w:id="924" w:name="_Toc14920"/>
      <w:bookmarkStart w:id="925" w:name="_Toc28337"/>
      <w:r>
        <w:rPr>
          <w:rFonts w:hint="eastAsia" w:ascii="宋体" w:hAnsi="宋体" w:cs="宋体"/>
          <w:b/>
          <w:bCs/>
          <w:sz w:val="22"/>
          <w:szCs w:val="22"/>
          <w:lang w:val="en-US" w:eastAsia="zh-CN"/>
        </w:rPr>
        <w:t>2.5.2综合</w:t>
      </w:r>
      <w:r>
        <w:rPr>
          <w:rFonts w:hint="eastAsia" w:ascii="宋体" w:hAnsi="宋体" w:eastAsia="宋体" w:cs="宋体"/>
          <w:b/>
          <w:bCs/>
          <w:sz w:val="22"/>
          <w:szCs w:val="22"/>
          <w:lang w:val="en-US" w:eastAsia="zh-CN"/>
        </w:rPr>
        <w:t>‌智能</w:t>
      </w:r>
      <w:r>
        <w:rPr>
          <w:rFonts w:hint="eastAsia" w:ascii="宋体" w:hAnsi="宋体" w:cs="宋体"/>
          <w:b/>
          <w:bCs/>
          <w:sz w:val="22"/>
          <w:szCs w:val="22"/>
          <w:lang w:val="en-US" w:eastAsia="zh-CN"/>
        </w:rPr>
        <w:t>数据分析</w:t>
      </w:r>
      <w:r>
        <w:rPr>
          <w:rFonts w:hint="eastAsia" w:ascii="宋体" w:hAnsi="宋体" w:eastAsia="宋体" w:cs="宋体"/>
          <w:b/>
          <w:bCs/>
          <w:sz w:val="22"/>
          <w:szCs w:val="22"/>
          <w:lang w:val="en-US" w:eastAsia="zh-CN"/>
        </w:rPr>
        <w:t>‌</w:t>
      </w:r>
      <w:bookmarkEnd w:id="917"/>
      <w:bookmarkEnd w:id="918"/>
      <w:bookmarkEnd w:id="919"/>
      <w:bookmarkEnd w:id="920"/>
      <w:bookmarkEnd w:id="921"/>
      <w:bookmarkEnd w:id="922"/>
      <w:bookmarkEnd w:id="923"/>
      <w:bookmarkEnd w:id="924"/>
      <w:bookmarkEnd w:id="925"/>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通过对海水潮位、河道水位、管网水位、雨情、台风、气象、潮位等相关的各种数据进行收集、监测和分析，开发关于内涝风险预测和管网异常诊断、潮水灾害风险分析等的预警分析，并结合多种调度预案进行预演模拟、比选和派发等操作。</w:t>
      </w:r>
    </w:p>
    <w:p>
      <w:pPr>
        <w:bidi w:val="0"/>
        <w:spacing w:line="360" w:lineRule="auto"/>
        <w:ind w:firstLine="420" w:firstLineChars="0"/>
        <w:rPr>
          <w:rFonts w:hint="eastAsia" w:ascii="宋体" w:hAnsi="宋体" w:eastAsia="宋体" w:cs="宋体"/>
          <w:sz w:val="22"/>
          <w:szCs w:val="22"/>
          <w:lang w:val="zh-CN" w:eastAsia="zh-CN"/>
        </w:rPr>
      </w:pPr>
      <w:r>
        <w:rPr>
          <w:rFonts w:hint="eastAsia" w:ascii="宋体" w:hAnsi="宋体" w:eastAsia="宋体" w:cs="宋体"/>
          <w:sz w:val="22"/>
          <w:szCs w:val="22"/>
          <w:lang w:val="zh-CN" w:eastAsia="zh-CN"/>
        </w:rPr>
        <w:t>基于气象局预报</w:t>
      </w:r>
      <w:r>
        <w:rPr>
          <w:rFonts w:hint="eastAsia" w:ascii="宋体" w:hAnsi="宋体" w:eastAsia="宋体" w:cs="宋体"/>
          <w:sz w:val="22"/>
          <w:szCs w:val="22"/>
          <w:lang w:val="en-US" w:eastAsia="zh-CN"/>
        </w:rPr>
        <w:t>以及潮位变化数据</w:t>
      </w:r>
      <w:r>
        <w:rPr>
          <w:rFonts w:hint="eastAsia" w:ascii="宋体" w:hAnsi="宋体" w:eastAsia="宋体" w:cs="宋体"/>
          <w:sz w:val="22"/>
          <w:szCs w:val="22"/>
          <w:lang w:val="zh-CN" w:eastAsia="zh-CN"/>
        </w:rPr>
        <w:t>，根据</w:t>
      </w:r>
      <w:r>
        <w:rPr>
          <w:rFonts w:hint="eastAsia" w:ascii="宋体" w:hAnsi="宋体" w:eastAsia="宋体" w:cs="宋体"/>
          <w:sz w:val="22"/>
          <w:szCs w:val="22"/>
          <w:lang w:val="en-US" w:eastAsia="zh-CN"/>
        </w:rPr>
        <w:t>台风、</w:t>
      </w:r>
      <w:r>
        <w:rPr>
          <w:rFonts w:hint="eastAsia" w:ascii="宋体" w:hAnsi="宋体" w:eastAsia="宋体" w:cs="宋体"/>
          <w:sz w:val="22"/>
          <w:szCs w:val="22"/>
          <w:lang w:val="zh-CN" w:eastAsia="zh-CN"/>
        </w:rPr>
        <w:t>降雨区域、时长、强度，可模拟</w:t>
      </w:r>
      <w:r>
        <w:rPr>
          <w:rFonts w:hint="eastAsia" w:ascii="宋体" w:hAnsi="宋体" w:eastAsia="宋体" w:cs="宋体"/>
          <w:sz w:val="22"/>
          <w:szCs w:val="22"/>
          <w:lang w:val="en-US" w:eastAsia="zh-CN"/>
        </w:rPr>
        <w:t>计算</w:t>
      </w:r>
      <w:r>
        <w:rPr>
          <w:rFonts w:hint="eastAsia" w:ascii="宋体" w:hAnsi="宋体" w:eastAsia="宋体" w:cs="宋体"/>
          <w:sz w:val="22"/>
          <w:szCs w:val="22"/>
          <w:lang w:val="zh-CN" w:eastAsia="zh-CN"/>
        </w:rPr>
        <w:t>出此次降雨导致的</w:t>
      </w:r>
      <w:r>
        <w:rPr>
          <w:rFonts w:hint="eastAsia" w:ascii="宋体" w:hAnsi="宋体" w:eastAsia="宋体" w:cs="宋体"/>
          <w:sz w:val="22"/>
          <w:szCs w:val="22"/>
          <w:lang w:val="en-US" w:eastAsia="zh-CN"/>
        </w:rPr>
        <w:t>可能内涝风险面积及风险区域，自动生成并呈现诊断结果，在一张图上展示，为用户提供有效的异常诊断模型，为潮水趋势预报、雨洪内涝预测和灾害预警提供科学依据，为大潮水的潮位预报、潮位变化预演和预案执行提供可靠的数据支撑，利于用户</w:t>
      </w:r>
      <w:r>
        <w:rPr>
          <w:rFonts w:hint="eastAsia" w:ascii="宋体" w:hAnsi="宋体" w:eastAsia="宋体" w:cs="宋体"/>
          <w:sz w:val="22"/>
          <w:szCs w:val="22"/>
          <w:lang w:val="zh-CN" w:eastAsia="zh-CN"/>
        </w:rPr>
        <w:t>事先进行物资调度，人员值守安排，做好应急准备工作。</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根据收集的潮位站的历史潮位资料、气象资料、地形资料等数据进行如下内容的分析：</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1）潮位资料分析：对潮位站资料进行代表性、一致性、完整性分析；</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2）雨情分析：对典型台风过程的气象资料进行分析；</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3）区域台风风场模型：构建区域台风风场模型并进行优化；</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4）风暴增水模型构建：构建二维风暴潮增水模型；</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5）模型率定与验证：使用历史数据对风暴潮增水模型进行率定和验证；</w:t>
      </w:r>
    </w:p>
    <w:p>
      <w:pPr>
        <w:bidi w:val="0"/>
        <w:spacing w:line="360" w:lineRule="auto"/>
        <w:ind w:firstLine="420" w:firstLineChars="0"/>
        <w:rPr>
          <w:rFonts w:hint="eastAsia" w:ascii="宋体" w:hAnsi="宋体" w:eastAsia="宋体" w:cs="宋体"/>
          <w:sz w:val="22"/>
          <w:szCs w:val="22"/>
          <w:lang w:val="zh-CN" w:eastAsia="zh-CN"/>
        </w:rPr>
      </w:pPr>
      <w:bookmarkStart w:id="926" w:name="_Toc29334"/>
      <w:bookmarkStart w:id="927" w:name="_Toc21297"/>
      <w:bookmarkStart w:id="928" w:name="_Toc8567"/>
      <w:bookmarkStart w:id="929" w:name="_Toc18261"/>
      <w:r>
        <w:rPr>
          <w:rFonts w:hint="eastAsia" w:ascii="宋体" w:hAnsi="宋体" w:eastAsia="宋体" w:cs="宋体"/>
          <w:sz w:val="22"/>
          <w:szCs w:val="22"/>
          <w:lang w:val="en-US" w:eastAsia="zh-CN"/>
        </w:rPr>
        <w:t>6）天文潮预报：代表站点天文潮汐表预报；</w:t>
      </w:r>
      <w:bookmarkEnd w:id="926"/>
      <w:bookmarkEnd w:id="927"/>
      <w:bookmarkEnd w:id="928"/>
      <w:bookmarkEnd w:id="929"/>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eastAsia" w:ascii="宋体" w:hAnsi="宋体" w:eastAsia="宋体" w:cs="宋体"/>
          <w:b/>
          <w:bCs/>
          <w:sz w:val="22"/>
          <w:szCs w:val="22"/>
          <w:lang w:val="en-US" w:eastAsia="zh-CN"/>
        </w:rPr>
      </w:pPr>
      <w:bookmarkStart w:id="930" w:name="_Toc612"/>
      <w:bookmarkStart w:id="931" w:name="_Toc17561"/>
      <w:bookmarkStart w:id="932" w:name="_Toc12926"/>
      <w:bookmarkStart w:id="933" w:name="_Toc4563"/>
      <w:bookmarkStart w:id="934" w:name="_Toc24087"/>
      <w:bookmarkStart w:id="935" w:name="_Toc6858"/>
      <w:bookmarkStart w:id="936" w:name="_Toc14191"/>
      <w:bookmarkStart w:id="937" w:name="_Toc19062"/>
      <w:bookmarkStart w:id="938" w:name="_Toc20307"/>
      <w:bookmarkStart w:id="939" w:name="_Toc6798"/>
      <w:r>
        <w:rPr>
          <w:rFonts w:hint="eastAsia" w:ascii="宋体" w:hAnsi="宋体" w:cs="宋体"/>
          <w:b/>
          <w:bCs/>
          <w:sz w:val="22"/>
          <w:szCs w:val="22"/>
          <w:lang w:val="en-US" w:eastAsia="zh-CN"/>
        </w:rPr>
        <w:t>2.5</w:t>
      </w:r>
      <w:r>
        <w:rPr>
          <w:rFonts w:hint="eastAsia" w:ascii="宋体" w:hAnsi="宋体" w:eastAsia="宋体" w:cs="宋体"/>
          <w:b/>
          <w:bCs/>
          <w:sz w:val="22"/>
          <w:szCs w:val="22"/>
          <w:lang w:val="en-US" w:eastAsia="zh-CN"/>
        </w:rPr>
        <w:t>.3</w:t>
      </w:r>
      <w:bookmarkEnd w:id="930"/>
      <w:bookmarkEnd w:id="931"/>
      <w:bookmarkEnd w:id="932"/>
      <w:bookmarkEnd w:id="933"/>
      <w:bookmarkEnd w:id="934"/>
      <w:bookmarkEnd w:id="935"/>
      <w:bookmarkEnd w:id="936"/>
      <w:bookmarkEnd w:id="937"/>
      <w:r>
        <w:rPr>
          <w:rFonts w:hint="eastAsia" w:ascii="宋体" w:hAnsi="宋体" w:cs="宋体"/>
          <w:b/>
          <w:bCs/>
          <w:sz w:val="22"/>
          <w:szCs w:val="22"/>
          <w:lang w:val="en-US" w:eastAsia="zh-CN"/>
        </w:rPr>
        <w:t>模型成效建设</w:t>
      </w:r>
      <w:bookmarkEnd w:id="938"/>
      <w:bookmarkEnd w:id="939"/>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42" w:firstLineChars="200"/>
        <w:textAlignment w:val="auto"/>
        <w:outlineLvl w:val="3"/>
        <w:rPr>
          <w:rFonts w:hint="eastAsia" w:ascii="宋体" w:hAnsi="宋体" w:eastAsia="宋体" w:cs="宋体"/>
          <w:b/>
          <w:bCs/>
          <w:sz w:val="22"/>
          <w:szCs w:val="22"/>
          <w:lang w:val="en-US" w:eastAsia="zh-CN"/>
        </w:rPr>
      </w:pPr>
      <w:bookmarkStart w:id="940" w:name="_Toc11739"/>
      <w:bookmarkStart w:id="941" w:name="_Toc8399"/>
      <w:bookmarkStart w:id="942" w:name="_Toc27303"/>
      <w:bookmarkStart w:id="943" w:name="_Toc16145"/>
      <w:bookmarkStart w:id="944" w:name="_Toc31748"/>
      <w:bookmarkStart w:id="945" w:name="_Toc19817"/>
      <w:bookmarkStart w:id="946" w:name="_Toc20901"/>
      <w:bookmarkStart w:id="947" w:name="_Toc8757"/>
      <w:bookmarkStart w:id="948" w:name="_Toc31658"/>
      <w:r>
        <w:rPr>
          <w:rFonts w:hint="eastAsia" w:ascii="宋体" w:hAnsi="宋体" w:eastAsia="宋体" w:cs="宋体"/>
          <w:b/>
          <w:bCs/>
          <w:sz w:val="22"/>
          <w:szCs w:val="22"/>
          <w:lang w:val="en-US" w:eastAsia="zh-CN"/>
        </w:rPr>
        <w:t>1）基础信息展示</w:t>
      </w:r>
      <w:bookmarkEnd w:id="940"/>
      <w:bookmarkEnd w:id="941"/>
      <w:bookmarkEnd w:id="942"/>
      <w:bookmarkEnd w:id="943"/>
      <w:bookmarkEnd w:id="944"/>
      <w:bookmarkEnd w:id="945"/>
      <w:bookmarkEnd w:id="946"/>
      <w:bookmarkEnd w:id="947"/>
      <w:bookmarkEnd w:id="948"/>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该系统支持在地图上直观展示气象信息、相关的水雨情数据以及潮位监测等基础信息，使用户能够全面了解当前环境状况。除此之外，系统还提供了丰富的查询和统计功能，方便用户对历史数据和实时数据进行检索和分析，为科学决策提供了有力支持。</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42" w:firstLineChars="200"/>
        <w:textAlignment w:val="auto"/>
        <w:outlineLvl w:val="3"/>
        <w:rPr>
          <w:rFonts w:hint="eastAsia" w:ascii="宋体" w:hAnsi="宋体" w:eastAsia="宋体" w:cs="宋体"/>
          <w:b/>
          <w:bCs/>
          <w:sz w:val="22"/>
          <w:szCs w:val="22"/>
          <w:lang w:val="en-US" w:eastAsia="zh-CN"/>
        </w:rPr>
      </w:pPr>
      <w:bookmarkStart w:id="949" w:name="_Toc24950"/>
      <w:bookmarkStart w:id="950" w:name="_Toc26523"/>
      <w:bookmarkStart w:id="951" w:name="_Toc24226"/>
      <w:bookmarkStart w:id="952" w:name="_Toc18326"/>
      <w:bookmarkStart w:id="953" w:name="_Toc24421"/>
      <w:bookmarkStart w:id="954" w:name="_Toc5399"/>
      <w:bookmarkStart w:id="955" w:name="_Toc7853"/>
      <w:bookmarkStart w:id="956" w:name="_Toc29227"/>
      <w:bookmarkStart w:id="957" w:name="_Toc23512"/>
      <w:r>
        <w:rPr>
          <w:rFonts w:hint="eastAsia" w:ascii="宋体" w:hAnsi="宋体" w:eastAsia="宋体" w:cs="宋体"/>
          <w:b/>
          <w:bCs/>
          <w:sz w:val="22"/>
          <w:szCs w:val="22"/>
          <w:lang w:val="en-US" w:eastAsia="zh-CN"/>
        </w:rPr>
        <w:t>2）风险内涝研判分析与预测</w:t>
      </w:r>
      <w:bookmarkEnd w:id="949"/>
      <w:bookmarkEnd w:id="950"/>
      <w:bookmarkEnd w:id="951"/>
      <w:bookmarkEnd w:id="952"/>
      <w:bookmarkEnd w:id="953"/>
      <w:bookmarkEnd w:id="954"/>
      <w:bookmarkEnd w:id="955"/>
      <w:bookmarkEnd w:id="956"/>
      <w:bookmarkEnd w:id="957"/>
    </w:p>
    <w:p>
      <w:pPr>
        <w:bidi w:val="0"/>
        <w:spacing w:line="360" w:lineRule="auto"/>
        <w:ind w:firstLine="420" w:firstLineChars="0"/>
        <w:rPr>
          <w:rFonts w:hint="eastAsia" w:ascii="宋体" w:hAnsi="宋体" w:eastAsia="宋体" w:cs="宋体"/>
          <w:b/>
          <w:bCs/>
          <w:sz w:val="22"/>
          <w:szCs w:val="22"/>
          <w:lang w:val="en-US" w:eastAsia="zh-CN"/>
        </w:rPr>
      </w:pPr>
      <w:r>
        <w:rPr>
          <w:rFonts w:hint="eastAsia" w:ascii="宋体" w:hAnsi="宋体" w:eastAsia="宋体" w:cs="宋体"/>
          <w:b/>
          <w:bCs/>
          <w:sz w:val="22"/>
          <w:szCs w:val="22"/>
          <w:lang w:val="en-US" w:eastAsia="zh-CN"/>
        </w:rPr>
        <w:t>风险点预测与管理</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将基于实时监测数据和内涝预测模型实现风险点的识别与管理，系统支持以GIS地图形式显示风险点的空间分布。通过分析监测数据和模型预测结果，系统能够实时识别风险点，并同步其状态变化。此外，系统支持查看风险点在不同时间段的预测变化趋势，帮助工作人员全面掌握风险点的预测情况。</w:t>
      </w:r>
    </w:p>
    <w:p>
      <w:pPr>
        <w:bidi w:val="0"/>
        <w:spacing w:line="360" w:lineRule="auto"/>
        <w:ind w:firstLine="420" w:firstLineChars="0"/>
        <w:rPr>
          <w:rFonts w:hint="eastAsia" w:ascii="宋体" w:hAnsi="宋体" w:eastAsia="宋体" w:cs="宋体"/>
          <w:b/>
          <w:bCs/>
          <w:sz w:val="22"/>
          <w:szCs w:val="22"/>
          <w:lang w:val="en-US" w:eastAsia="zh-CN"/>
        </w:rPr>
      </w:pPr>
      <w:r>
        <w:rPr>
          <w:rFonts w:hint="eastAsia" w:ascii="宋体" w:hAnsi="宋体" w:eastAsia="宋体" w:cs="宋体"/>
          <w:b/>
          <w:bCs/>
          <w:sz w:val="22"/>
          <w:szCs w:val="22"/>
          <w:lang w:val="en-US" w:eastAsia="zh-CN"/>
        </w:rPr>
        <w:t>内涝风险分析与预测</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将基于多源数据和预测模型实现内涝风险分析与预测，系统支持以地图形式显示内涝风险区域的分布。通过监测数据、历史数据和模型预测，系统能够实时评估全区风险等级，并生成未来6小时、12小时、24小时的预测结果。此外，系统提供风险分析数据查询功能，用户可查看不同时间段的内涝风险变化趋势，帮助工作人员全面掌握内涝风险的动态情况。</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42" w:firstLineChars="200"/>
        <w:textAlignment w:val="auto"/>
        <w:outlineLvl w:val="3"/>
        <w:rPr>
          <w:rFonts w:hint="eastAsia" w:ascii="宋体" w:hAnsi="宋体" w:eastAsia="宋体" w:cs="宋体"/>
          <w:b/>
          <w:bCs/>
          <w:sz w:val="22"/>
          <w:szCs w:val="22"/>
          <w:lang w:val="en-US" w:eastAsia="zh-CN"/>
        </w:rPr>
      </w:pPr>
      <w:bookmarkStart w:id="958" w:name="_Toc9820"/>
      <w:bookmarkStart w:id="959" w:name="_Toc18866"/>
      <w:bookmarkStart w:id="960" w:name="_Toc26017"/>
      <w:bookmarkStart w:id="961" w:name="_Toc14392"/>
      <w:bookmarkStart w:id="962" w:name="_Toc5259"/>
      <w:bookmarkStart w:id="963" w:name="_Toc26161"/>
      <w:bookmarkStart w:id="964" w:name="_Toc21237"/>
      <w:bookmarkStart w:id="965" w:name="_Toc21832"/>
      <w:bookmarkStart w:id="966" w:name="_Toc17769"/>
      <w:r>
        <w:rPr>
          <w:rFonts w:hint="eastAsia" w:ascii="宋体" w:hAnsi="宋体" w:eastAsia="宋体" w:cs="宋体"/>
          <w:b/>
          <w:bCs/>
          <w:sz w:val="22"/>
          <w:szCs w:val="22"/>
          <w:lang w:val="en-US" w:eastAsia="zh-CN"/>
        </w:rPr>
        <w:t>3）水位预报、实时监测及数据展示</w:t>
      </w:r>
      <w:bookmarkEnd w:id="958"/>
      <w:bookmarkEnd w:id="959"/>
      <w:bookmarkEnd w:id="960"/>
      <w:bookmarkEnd w:id="961"/>
      <w:bookmarkEnd w:id="962"/>
      <w:bookmarkEnd w:id="963"/>
      <w:bookmarkEnd w:id="964"/>
      <w:bookmarkEnd w:id="965"/>
      <w:bookmarkEnd w:id="966"/>
    </w:p>
    <w:p>
      <w:pPr>
        <w:bidi w:val="0"/>
        <w:spacing w:line="360" w:lineRule="auto"/>
        <w:ind w:firstLine="420" w:firstLineChars="0"/>
        <w:rPr>
          <w:rFonts w:hint="eastAsia" w:ascii="宋体" w:hAnsi="宋体" w:eastAsia="宋体" w:cs="宋体"/>
          <w:b/>
          <w:bCs/>
          <w:sz w:val="22"/>
          <w:szCs w:val="22"/>
          <w:lang w:val="en-US" w:eastAsia="zh-CN"/>
        </w:rPr>
      </w:pPr>
      <w:r>
        <w:rPr>
          <w:rFonts w:hint="eastAsia" w:ascii="宋体" w:hAnsi="宋体" w:eastAsia="宋体" w:cs="宋体"/>
          <w:b/>
          <w:bCs/>
          <w:sz w:val="22"/>
          <w:szCs w:val="22"/>
          <w:lang w:val="en-US" w:eastAsia="zh-CN"/>
        </w:rPr>
        <w:t>海洋潮位实时监测及数据展示</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本期项目将通过对接气象局系统实现海洋潮汐监测。系统支持潮位分析计算预报功能，能够自动进行潮位的分级计算预报并展示计算成果，无需用户进行额外操作。系统会自动生成并呈现潮位预报数据，提供预报洞头区海塘的最高潮位数据及最高潮位到来时间。通过自动化的潮位分析和预报功能，为用户提供有效的潮位信息支持。</w:t>
      </w:r>
    </w:p>
    <w:p>
      <w:pPr>
        <w:bidi w:val="0"/>
        <w:spacing w:line="360" w:lineRule="auto"/>
        <w:ind w:firstLine="420" w:firstLineChars="0"/>
        <w:rPr>
          <w:rFonts w:hint="eastAsia" w:ascii="宋体" w:hAnsi="宋体" w:eastAsia="宋体" w:cs="宋体"/>
          <w:b/>
          <w:bCs/>
          <w:sz w:val="22"/>
          <w:szCs w:val="22"/>
          <w:lang w:val="en-US" w:eastAsia="zh-CN"/>
        </w:rPr>
      </w:pPr>
      <w:r>
        <w:rPr>
          <w:rFonts w:hint="eastAsia" w:ascii="宋体" w:hAnsi="宋体" w:eastAsia="宋体" w:cs="宋体"/>
          <w:b/>
          <w:bCs/>
          <w:sz w:val="22"/>
          <w:szCs w:val="22"/>
          <w:lang w:val="en-US" w:eastAsia="zh-CN"/>
        </w:rPr>
        <w:t>河道水位实时监测及数据展示</w:t>
      </w:r>
    </w:p>
    <w:p>
      <w:pPr>
        <w:bidi w:val="0"/>
        <w:spacing w:line="360" w:lineRule="auto"/>
        <w:ind w:firstLine="420" w:firstLineChars="0"/>
        <w:rPr>
          <w:rFonts w:hint="eastAsia" w:ascii="宋体" w:hAnsi="宋体" w:cs="宋体"/>
          <w:sz w:val="22"/>
          <w:szCs w:val="22"/>
          <w:lang w:val="en-US" w:eastAsia="zh-CN"/>
        </w:rPr>
      </w:pPr>
      <w:r>
        <w:rPr>
          <w:rFonts w:hint="eastAsia" w:ascii="宋体" w:hAnsi="宋体" w:eastAsia="宋体" w:cs="宋体"/>
          <w:sz w:val="22"/>
          <w:szCs w:val="22"/>
          <w:lang w:val="en-US" w:eastAsia="zh-CN"/>
        </w:rPr>
        <w:t>将通过对接现有河道监测系统实现河道水位监测，系统支持以地图形式显示河道监测点的空间分布。通过采集监测数据，系统能够实时展示各河道的水位，此外，系统提供数据查询功能，用户可查看河道水位在不同时间段的变化趋势。</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42" w:firstLineChars="200"/>
        <w:textAlignment w:val="auto"/>
        <w:outlineLvl w:val="3"/>
        <w:rPr>
          <w:rFonts w:hint="eastAsia" w:ascii="宋体" w:hAnsi="宋体" w:eastAsia="宋体" w:cs="宋体"/>
          <w:b/>
          <w:bCs/>
          <w:sz w:val="22"/>
          <w:szCs w:val="22"/>
          <w:lang w:val="en-US" w:eastAsia="zh-CN"/>
        </w:rPr>
      </w:pPr>
      <w:bookmarkStart w:id="967" w:name="_Toc5742"/>
      <w:bookmarkStart w:id="968" w:name="_Toc17042"/>
      <w:bookmarkStart w:id="969" w:name="_Toc12983"/>
      <w:bookmarkStart w:id="970" w:name="_Toc23761"/>
      <w:bookmarkStart w:id="971" w:name="_Toc7504"/>
      <w:bookmarkStart w:id="972" w:name="_Toc12914"/>
      <w:bookmarkStart w:id="973" w:name="_Toc26130"/>
      <w:bookmarkStart w:id="974" w:name="_Toc21693"/>
      <w:bookmarkStart w:id="975" w:name="_Toc3308"/>
      <w:r>
        <w:rPr>
          <w:rFonts w:hint="eastAsia" w:ascii="宋体" w:hAnsi="宋体" w:eastAsia="宋体" w:cs="宋体"/>
          <w:b/>
          <w:bCs/>
          <w:sz w:val="22"/>
          <w:szCs w:val="22"/>
          <w:lang w:val="en-US" w:eastAsia="zh-CN"/>
        </w:rPr>
        <w:t>4）监测预警</w:t>
      </w:r>
      <w:bookmarkEnd w:id="967"/>
      <w:bookmarkEnd w:id="968"/>
      <w:bookmarkEnd w:id="969"/>
      <w:bookmarkEnd w:id="970"/>
      <w:bookmarkEnd w:id="971"/>
      <w:bookmarkEnd w:id="972"/>
      <w:bookmarkEnd w:id="973"/>
      <w:bookmarkEnd w:id="974"/>
      <w:bookmarkEnd w:id="975"/>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系统集成潮位、雨量、河道水位等多种综合监测数据，提供全面的预警监测、预警统计和预警管理功能，支持以GIS地图形式显示预警点位的空间分布。通过这些功能，用户可以实时掌握各类环境参数的变化情况，通过风险分析，系统能够生成分级预警信息和调度建议，使用户可及时获取到不同时间段内的预警信息和调度建议。系统采用标准的五色图（蓝色、黄色、橙色、红色和紫色）来展示预警等级，直观地反映不同程度的风险状况，用户可以迅速识别当前的风险级别，帮助工作人员全面掌握处理历史的预警情况，从而采取相应的应对措施。</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42" w:firstLineChars="200"/>
        <w:textAlignment w:val="auto"/>
        <w:outlineLvl w:val="3"/>
        <w:rPr>
          <w:rFonts w:hint="eastAsia" w:ascii="宋体" w:hAnsi="宋体" w:eastAsia="宋体" w:cs="宋体"/>
          <w:b/>
          <w:bCs/>
          <w:sz w:val="22"/>
          <w:szCs w:val="22"/>
          <w:lang w:val="en-US" w:eastAsia="zh-CN"/>
        </w:rPr>
      </w:pPr>
      <w:bookmarkStart w:id="976" w:name="_Toc15498"/>
      <w:bookmarkStart w:id="977" w:name="_Toc917"/>
      <w:bookmarkStart w:id="978" w:name="_Toc17585"/>
      <w:bookmarkStart w:id="979" w:name="_Toc1263"/>
      <w:bookmarkStart w:id="980" w:name="_Toc31207"/>
      <w:bookmarkStart w:id="981" w:name="_Toc28848"/>
      <w:bookmarkStart w:id="982" w:name="_Toc1062"/>
      <w:bookmarkStart w:id="983" w:name="_Toc23818"/>
      <w:bookmarkStart w:id="984" w:name="_Toc19665"/>
      <w:r>
        <w:rPr>
          <w:rFonts w:hint="eastAsia" w:ascii="宋体" w:hAnsi="宋体" w:eastAsia="宋体" w:cs="宋体"/>
          <w:b/>
          <w:bCs/>
          <w:sz w:val="22"/>
          <w:szCs w:val="22"/>
          <w:lang w:val="en-US" w:eastAsia="zh-CN"/>
        </w:rPr>
        <w:t>5）预演预案</w:t>
      </w:r>
      <w:bookmarkEnd w:id="976"/>
      <w:bookmarkEnd w:id="977"/>
      <w:bookmarkEnd w:id="978"/>
      <w:bookmarkEnd w:id="979"/>
      <w:bookmarkEnd w:id="980"/>
      <w:bookmarkEnd w:id="981"/>
      <w:bookmarkEnd w:id="982"/>
      <w:bookmarkEnd w:id="983"/>
      <w:bookmarkEnd w:id="984"/>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基于内部预警等级实现应急预案的管理和触发，系统支持建立不同的预案以应对不同级别的内涝风险。</w:t>
      </w:r>
    </w:p>
    <w:p>
      <w:pPr>
        <w:bidi w:val="0"/>
        <w:spacing w:line="360" w:lineRule="auto"/>
        <w:ind w:firstLine="420" w:firstLineChars="0"/>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并生成模拟预演，这些预演功能可帮助用户提前了解可能发生的风暴潮情况，从而制定更为精准的应对措施。通过预先设定的规则和条件，系统能够确保预案的有效性和适用性，为后续调度提供决策。另外，系统提供根据预警和预演结果，提供全面的防潮预案编辑、管理、发布和执行派发等功能，用户可查看预案的制定、触发和执行记录，可编辑和更新防潮预案，确保预案内容与最新的预警和预演结果相匹配。管理功能则帮助用户高效地组织和维护各类预案，确保预案的完整性和时效性。</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42" w:firstLineChars="200"/>
        <w:textAlignment w:val="auto"/>
        <w:outlineLvl w:val="3"/>
        <w:rPr>
          <w:rFonts w:hint="eastAsia" w:ascii="宋体" w:hAnsi="宋体" w:eastAsia="宋体" w:cs="宋体"/>
          <w:b/>
          <w:bCs/>
          <w:sz w:val="22"/>
          <w:szCs w:val="22"/>
          <w:lang w:val="en-US" w:eastAsia="zh-CN"/>
        </w:rPr>
      </w:pPr>
      <w:bookmarkStart w:id="985" w:name="_Toc2912"/>
      <w:bookmarkStart w:id="986" w:name="_Toc29120"/>
      <w:bookmarkStart w:id="987" w:name="_Toc10990"/>
      <w:bookmarkStart w:id="988" w:name="_Toc10694"/>
      <w:bookmarkStart w:id="989" w:name="_Toc2808"/>
      <w:bookmarkStart w:id="990" w:name="_Toc23454"/>
      <w:bookmarkStart w:id="991" w:name="_Toc4509"/>
      <w:bookmarkStart w:id="992" w:name="_Toc32079"/>
      <w:bookmarkStart w:id="993" w:name="_Toc29183"/>
      <w:r>
        <w:rPr>
          <w:rFonts w:hint="eastAsia" w:ascii="宋体" w:hAnsi="宋体" w:cs="宋体"/>
          <w:b/>
          <w:bCs/>
          <w:sz w:val="22"/>
          <w:szCs w:val="22"/>
          <w:lang w:val="en-US" w:eastAsia="zh-CN"/>
        </w:rPr>
        <w:t>6</w:t>
      </w:r>
      <w:r>
        <w:rPr>
          <w:rFonts w:hint="eastAsia" w:ascii="宋体" w:hAnsi="宋体" w:eastAsia="宋体" w:cs="宋体"/>
          <w:b/>
          <w:bCs/>
          <w:sz w:val="22"/>
          <w:szCs w:val="22"/>
          <w:lang w:val="en-US" w:eastAsia="zh-CN"/>
        </w:rPr>
        <w:t>）排涝车辆管理</w:t>
      </w:r>
      <w:bookmarkEnd w:id="985"/>
      <w:bookmarkEnd w:id="986"/>
      <w:bookmarkEnd w:id="987"/>
      <w:bookmarkEnd w:id="988"/>
      <w:bookmarkEnd w:id="989"/>
      <w:bookmarkEnd w:id="990"/>
      <w:bookmarkEnd w:id="991"/>
      <w:bookmarkEnd w:id="992"/>
      <w:bookmarkEnd w:id="993"/>
    </w:p>
    <w:p>
      <w:pPr>
        <w:bidi w:val="0"/>
        <w:spacing w:line="360" w:lineRule="auto"/>
        <w:ind w:firstLine="420" w:firstLineChars="0"/>
        <w:rPr>
          <w:rFonts w:hint="eastAsia" w:ascii="宋体" w:hAnsi="宋体" w:cs="宋体"/>
          <w:sz w:val="22"/>
          <w:szCs w:val="22"/>
        </w:rPr>
      </w:pPr>
      <w:r>
        <w:rPr>
          <w:rFonts w:hint="eastAsia" w:ascii="宋体" w:hAnsi="宋体" w:eastAsia="宋体" w:cs="宋体"/>
          <w:sz w:val="22"/>
          <w:szCs w:val="22"/>
          <w:lang w:val="en-US" w:eastAsia="zh-CN"/>
        </w:rPr>
        <w:t>基于内涝处置的需要，实现排涝车辆的业务管理。通过管理和监控车辆的状态、执行状态和维护信息，从而保证车辆的高效利用。系统支持以地图形式显示车辆分布，为内涝处置提供支持。</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42" w:firstLineChars="200"/>
        <w:textAlignment w:val="auto"/>
        <w:outlineLvl w:val="3"/>
        <w:rPr>
          <w:rFonts w:hint="eastAsia" w:ascii="宋体" w:hAnsi="宋体" w:eastAsia="宋体" w:cs="宋体"/>
          <w:b/>
          <w:bCs/>
          <w:sz w:val="22"/>
          <w:szCs w:val="22"/>
          <w:lang w:val="en-US" w:eastAsia="zh-CN"/>
        </w:rPr>
      </w:pPr>
      <w:bookmarkStart w:id="994" w:name="_Toc7727"/>
      <w:bookmarkStart w:id="995" w:name="_Toc7829"/>
      <w:bookmarkStart w:id="996" w:name="_Toc20714"/>
      <w:bookmarkStart w:id="997" w:name="_Toc32466"/>
      <w:bookmarkStart w:id="998" w:name="_Toc28667"/>
      <w:bookmarkStart w:id="999" w:name="_Toc13811"/>
      <w:bookmarkStart w:id="1000" w:name="_Toc2640"/>
      <w:bookmarkStart w:id="1001" w:name="_Toc4684"/>
      <w:bookmarkStart w:id="1002" w:name="_Toc32202"/>
      <w:r>
        <w:rPr>
          <w:rFonts w:hint="eastAsia" w:ascii="宋体" w:hAnsi="宋体" w:cs="宋体"/>
          <w:b/>
          <w:bCs/>
          <w:sz w:val="22"/>
          <w:szCs w:val="22"/>
          <w:lang w:val="en-US" w:eastAsia="zh-CN"/>
        </w:rPr>
        <w:t>7</w:t>
      </w:r>
      <w:r>
        <w:rPr>
          <w:rFonts w:hint="eastAsia" w:ascii="宋体" w:hAnsi="宋体" w:eastAsia="宋体" w:cs="宋体"/>
          <w:b/>
          <w:bCs/>
          <w:sz w:val="22"/>
          <w:szCs w:val="22"/>
          <w:lang w:val="en-US" w:eastAsia="zh-CN"/>
        </w:rPr>
        <w:t>）应急人员管理</w:t>
      </w:r>
      <w:bookmarkEnd w:id="994"/>
      <w:bookmarkEnd w:id="995"/>
      <w:bookmarkEnd w:id="996"/>
      <w:bookmarkEnd w:id="997"/>
      <w:bookmarkEnd w:id="998"/>
      <w:bookmarkEnd w:id="999"/>
      <w:bookmarkEnd w:id="1000"/>
      <w:bookmarkEnd w:id="1001"/>
      <w:bookmarkEnd w:id="1002"/>
    </w:p>
    <w:p>
      <w:pPr>
        <w:keepNext w:val="0"/>
        <w:keepLines w:val="0"/>
        <w:pageBreakBefore w:val="0"/>
        <w:widowControl w:val="0"/>
        <w:kinsoku/>
        <w:wordWrap/>
        <w:overflowPunct/>
        <w:topLinePunct w:val="0"/>
        <w:autoSpaceDE/>
        <w:autoSpaceDN/>
        <w:bidi w:val="0"/>
        <w:adjustRightInd/>
        <w:snapToGrid/>
        <w:spacing w:line="360" w:lineRule="auto"/>
        <w:ind w:firstLine="440" w:firstLineChars="200"/>
        <w:textAlignment w:val="auto"/>
        <w:outlineLvl w:val="1"/>
        <w:rPr>
          <w:rFonts w:hint="eastAsia" w:ascii="宋体" w:hAnsi="宋体" w:eastAsia="宋体" w:cs="宋体"/>
          <w:b/>
          <w:color w:val="auto"/>
          <w:sz w:val="22"/>
          <w:szCs w:val="22"/>
          <w:highlight w:val="none"/>
          <w:lang w:val="en-US" w:eastAsia="zh-CN"/>
        </w:rPr>
      </w:pPr>
      <w:r>
        <w:rPr>
          <w:rFonts w:hint="eastAsia" w:ascii="宋体" w:hAnsi="宋体" w:eastAsia="宋体" w:cs="宋体"/>
          <w:sz w:val="22"/>
          <w:szCs w:val="22"/>
          <w:lang w:val="en-US" w:eastAsia="zh-CN"/>
        </w:rPr>
        <w:t>基于内涝处置的需要实现应急排涝人员的业务管理，系统支持以地图形式显示人员的空间分布。通过管理和监控人员的任务情况和执行信息，系统能够高效保证人员的调配和任务落实，为内涝处置提供支持。</w:t>
      </w:r>
    </w:p>
    <w:p>
      <w:pPr>
        <w:keepNext w:val="0"/>
        <w:keepLines w:val="0"/>
        <w:pageBreakBefore w:val="0"/>
        <w:widowControl/>
        <w:numPr>
          <w:ilvl w:val="0"/>
          <w:numId w:val="45"/>
        </w:numPr>
        <w:kinsoku/>
        <w:wordWrap/>
        <w:overflowPunct/>
        <w:topLinePunct w:val="0"/>
        <w:autoSpaceDE/>
        <w:autoSpaceDN/>
        <w:bidi w:val="0"/>
        <w:adjustRightInd/>
        <w:snapToGrid/>
        <w:spacing w:after="120" w:line="360" w:lineRule="auto"/>
        <w:ind w:firstLine="0" w:firstLineChars="0"/>
        <w:textAlignment w:val="auto"/>
        <w:outlineLvl w:val="9"/>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售后服务要求</w:t>
      </w:r>
    </w:p>
    <w:p>
      <w:pPr>
        <w:keepNext w:val="0"/>
        <w:keepLines w:val="0"/>
        <w:pageBreakBefore w:val="0"/>
        <w:kinsoku/>
        <w:wordWrap/>
        <w:overflowPunct/>
        <w:topLinePunct w:val="0"/>
        <w:bidi w:val="0"/>
        <w:snapToGrid/>
        <w:spacing w:line="360" w:lineRule="auto"/>
        <w:ind w:firstLine="539" w:firstLineChars="245"/>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本项目需在质保期内提供技术团队进行售后服务，以从事项目经理、产品经理、开发等人员为主，且有过类似软件开发项目经验。</w:t>
      </w:r>
    </w:p>
    <w:p>
      <w:pPr>
        <w:keepNext w:val="0"/>
        <w:keepLines w:val="0"/>
        <w:pageBreakBefore w:val="0"/>
        <w:kinsoku/>
        <w:wordWrap/>
        <w:overflowPunct/>
        <w:topLinePunct w:val="0"/>
        <w:bidi w:val="0"/>
        <w:snapToGrid/>
        <w:spacing w:line="360" w:lineRule="auto"/>
        <w:ind w:firstLine="539" w:firstLineChars="245"/>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本项目需提供质保期</w:t>
      </w: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年，质保期从验收合格之日开始计算。试运行期间需无条件响应并满足用户对系统的修改，并最迟不超过24小时提供免费上门服务。</w:t>
      </w: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年的质保期间需及时响应并满足用户对于系统的问题故障处理和缺陷修正。</w:t>
      </w:r>
    </w:p>
    <w:p>
      <w:pPr>
        <w:keepNext w:val="0"/>
        <w:keepLines w:val="0"/>
        <w:pageBreakBefore w:val="0"/>
        <w:kinsoku/>
        <w:wordWrap/>
        <w:overflowPunct/>
        <w:topLinePunct w:val="0"/>
        <w:bidi w:val="0"/>
        <w:snapToGrid/>
        <w:spacing w:line="360" w:lineRule="auto"/>
        <w:ind w:firstLine="539" w:firstLineChars="245"/>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保期内所有的服务均根据用户要求提供服务,包括提供7×24小时电话或电子邮件服务，1小时内做出明确响应和安排；如需现场服务的，具有解决故障能力的技术工程师应在2小时内到场。上述服务如未能及时满足，需按用户实际损失作相应赔偿。</w:t>
      </w:r>
    </w:p>
    <w:p>
      <w:pPr>
        <w:keepNext w:val="0"/>
        <w:keepLines w:val="0"/>
        <w:pageBreakBefore w:val="0"/>
        <w:widowControl/>
        <w:numPr>
          <w:ilvl w:val="0"/>
          <w:numId w:val="45"/>
        </w:numPr>
        <w:kinsoku/>
        <w:wordWrap/>
        <w:overflowPunct/>
        <w:topLinePunct w:val="0"/>
        <w:autoSpaceDE/>
        <w:autoSpaceDN/>
        <w:bidi w:val="0"/>
        <w:adjustRightInd/>
        <w:snapToGrid/>
        <w:spacing w:after="120" w:line="360" w:lineRule="auto"/>
        <w:ind w:firstLine="0" w:firstLineChars="0"/>
        <w:textAlignment w:val="auto"/>
        <w:outlineLvl w:val="9"/>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培训要求</w:t>
      </w:r>
    </w:p>
    <w:p>
      <w:pPr>
        <w:keepNext w:val="0"/>
        <w:keepLines w:val="0"/>
        <w:pageBreakBefore w:val="0"/>
        <w:kinsoku/>
        <w:wordWrap/>
        <w:overflowPunct/>
        <w:topLinePunct w:val="0"/>
        <w:bidi w:val="0"/>
        <w:snapToGrid/>
        <w:spacing w:line="360" w:lineRule="auto"/>
        <w:ind w:firstLine="539" w:firstLineChars="245"/>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在本项目服务期间，除了项目的上线培训外，在项目正式运行后，需根据用户的实际需求提供相应的系统培训；中标人需提供培训服务，并须提供具体的培训方案。培训方案中需详细描述培训内容、人数、时间、地点。</w:t>
      </w:r>
    </w:p>
    <w:p>
      <w:pPr>
        <w:keepNext w:val="0"/>
        <w:keepLines w:val="0"/>
        <w:pageBreakBefore w:val="0"/>
        <w:widowControl/>
        <w:numPr>
          <w:ilvl w:val="0"/>
          <w:numId w:val="45"/>
        </w:numPr>
        <w:kinsoku/>
        <w:wordWrap/>
        <w:overflowPunct/>
        <w:topLinePunct w:val="0"/>
        <w:autoSpaceDE/>
        <w:autoSpaceDN/>
        <w:bidi w:val="0"/>
        <w:adjustRightInd/>
        <w:snapToGrid/>
        <w:spacing w:after="120" w:line="360" w:lineRule="auto"/>
        <w:ind w:firstLine="0" w:firstLineChars="0"/>
        <w:textAlignment w:val="auto"/>
        <w:outlineLvl w:val="9"/>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知识产权要求</w:t>
      </w:r>
    </w:p>
    <w:p>
      <w:pPr>
        <w:keepNext w:val="0"/>
        <w:keepLines w:val="0"/>
        <w:pageBreakBefore w:val="0"/>
        <w:kinsoku/>
        <w:wordWrap/>
        <w:overflowPunct/>
        <w:topLinePunct w:val="0"/>
        <w:bidi w:val="0"/>
        <w:snapToGrid/>
        <w:spacing w:line="360" w:lineRule="auto"/>
        <w:ind w:firstLine="539" w:firstLineChars="245"/>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1、</w:t>
      </w:r>
      <w:r>
        <w:rPr>
          <w:rFonts w:hint="eastAsia" w:ascii="新宋体" w:hAnsi="新宋体" w:eastAsia="新宋体" w:cs="新宋体"/>
          <w:color w:val="auto"/>
          <w:sz w:val="22"/>
          <w:szCs w:val="22"/>
          <w:highlight w:val="none"/>
        </w:rPr>
        <w:t>中标人应保证所提供的系统或其任何一部分均不会侵犯任何第三方的知识产权。</w:t>
      </w:r>
    </w:p>
    <w:p>
      <w:pPr>
        <w:keepNext w:val="0"/>
        <w:keepLines w:val="0"/>
        <w:pageBreakBefore w:val="0"/>
        <w:kinsoku/>
        <w:wordWrap/>
        <w:overflowPunct/>
        <w:topLinePunct w:val="0"/>
        <w:bidi w:val="0"/>
        <w:snapToGrid/>
        <w:spacing w:line="360" w:lineRule="auto"/>
        <w:ind w:firstLine="539" w:firstLineChars="245"/>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2、</w:t>
      </w:r>
      <w:r>
        <w:rPr>
          <w:rFonts w:hint="eastAsia" w:ascii="新宋体" w:hAnsi="新宋体" w:eastAsia="新宋体" w:cs="新宋体"/>
          <w:color w:val="auto"/>
          <w:sz w:val="22"/>
          <w:szCs w:val="22"/>
          <w:highlight w:val="none"/>
        </w:rPr>
        <w:t>中标人应保证采购人在安全产品使用过程中，免受第三方提出的侵权起诉。如发生此类纠纷，由中标人承担一切责任并负责解决。</w:t>
      </w:r>
    </w:p>
    <w:p>
      <w:pPr>
        <w:keepNext w:val="0"/>
        <w:keepLines w:val="0"/>
        <w:pageBreakBefore w:val="0"/>
        <w:kinsoku/>
        <w:wordWrap/>
        <w:overflowPunct/>
        <w:topLinePunct w:val="0"/>
        <w:bidi w:val="0"/>
        <w:snapToGrid/>
        <w:spacing w:line="360" w:lineRule="auto"/>
        <w:ind w:firstLine="539" w:firstLineChars="245"/>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投标人须保证所提供的产品包括相关附件为相应厂家原装正品，软件产品为相关厂家正版软件，符合国家有关规定。投标人须保证所提供产品具有合法的版权或使用权，本项目采购的产品，如在本项目范围内使用过程中出现版权或使用权纠纷，应由中标人负责，采购人不承担责任。</w:t>
      </w:r>
    </w:p>
    <w:p>
      <w:pPr>
        <w:keepNext w:val="0"/>
        <w:keepLines w:val="0"/>
        <w:pageBreakBefore w:val="0"/>
        <w:kinsoku/>
        <w:wordWrap/>
        <w:overflowPunct/>
        <w:topLinePunct w:val="0"/>
        <w:bidi w:val="0"/>
        <w:snapToGrid/>
        <w:spacing w:line="360" w:lineRule="auto"/>
        <w:ind w:firstLine="539" w:firstLineChars="245"/>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4、</w:t>
      </w:r>
      <w:r>
        <w:rPr>
          <w:rFonts w:hint="eastAsia" w:ascii="新宋体" w:hAnsi="新宋体" w:eastAsia="新宋体" w:cs="新宋体"/>
          <w:color w:val="auto"/>
          <w:sz w:val="22"/>
          <w:szCs w:val="22"/>
          <w:highlight w:val="none"/>
        </w:rPr>
        <w:t>本项目开发成果的知识产权归采购人所有。未经采购人书面同意，中标人不得擅自扩散或提供给第三方使用。</w:t>
      </w:r>
    </w:p>
    <w:p>
      <w:pPr>
        <w:keepNext w:val="0"/>
        <w:keepLines w:val="0"/>
        <w:pageBreakBefore w:val="0"/>
        <w:kinsoku/>
        <w:wordWrap/>
        <w:overflowPunct/>
        <w:topLinePunct w:val="0"/>
        <w:bidi w:val="0"/>
        <w:snapToGrid/>
        <w:spacing w:line="360" w:lineRule="auto"/>
        <w:ind w:firstLine="539" w:firstLineChars="245"/>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5、</w:t>
      </w:r>
      <w:r>
        <w:rPr>
          <w:rFonts w:hint="eastAsia" w:ascii="新宋体" w:hAnsi="新宋体" w:eastAsia="新宋体" w:cs="新宋体"/>
          <w:color w:val="auto"/>
          <w:sz w:val="22"/>
          <w:szCs w:val="22"/>
          <w:highlight w:val="none"/>
        </w:rPr>
        <w:t>中标人应保证采购人在软件使用过程中，免受第三方提出的侵权起诉。如发生此类纠纷，由中标人承担一切责任并负责解决。</w:t>
      </w:r>
    </w:p>
    <w:p>
      <w:pPr>
        <w:keepNext w:val="0"/>
        <w:keepLines w:val="0"/>
        <w:pageBreakBefore w:val="0"/>
        <w:widowControl/>
        <w:numPr>
          <w:ilvl w:val="0"/>
          <w:numId w:val="45"/>
        </w:numPr>
        <w:kinsoku/>
        <w:wordWrap/>
        <w:overflowPunct/>
        <w:topLinePunct w:val="0"/>
        <w:autoSpaceDE/>
        <w:autoSpaceDN/>
        <w:bidi w:val="0"/>
        <w:adjustRightInd/>
        <w:snapToGrid/>
        <w:spacing w:after="120" w:line="360" w:lineRule="auto"/>
        <w:ind w:firstLine="0" w:firstLineChars="0"/>
        <w:textAlignment w:val="auto"/>
        <w:outlineLvl w:val="9"/>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保密要求</w:t>
      </w:r>
    </w:p>
    <w:p>
      <w:pPr>
        <w:keepNext w:val="0"/>
        <w:keepLines w:val="0"/>
        <w:pageBreakBefore w:val="0"/>
        <w:kinsoku/>
        <w:wordWrap/>
        <w:overflowPunct/>
        <w:topLinePunct w:val="0"/>
        <w:bidi w:val="0"/>
        <w:snapToGrid/>
        <w:spacing w:line="360" w:lineRule="auto"/>
        <w:ind w:firstLine="539" w:firstLineChars="245"/>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中标人在项目实施过程中，遵循采购人的保密要求，项目涉及的业务资料、技术资料、数据等应严格保密，不得扩散。</w:t>
      </w:r>
    </w:p>
    <w:p>
      <w:pPr>
        <w:keepNext w:val="0"/>
        <w:keepLines w:val="0"/>
        <w:pageBreakBefore w:val="0"/>
        <w:widowControl/>
        <w:numPr>
          <w:ilvl w:val="0"/>
          <w:numId w:val="45"/>
        </w:numPr>
        <w:kinsoku/>
        <w:wordWrap/>
        <w:overflowPunct/>
        <w:topLinePunct w:val="0"/>
        <w:autoSpaceDE/>
        <w:autoSpaceDN/>
        <w:bidi w:val="0"/>
        <w:adjustRightInd/>
        <w:snapToGrid/>
        <w:spacing w:after="120" w:line="360" w:lineRule="auto"/>
        <w:ind w:firstLine="0" w:firstLineChars="0"/>
        <w:textAlignment w:val="auto"/>
        <w:outlineLvl w:val="9"/>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服务标准</w:t>
      </w:r>
    </w:p>
    <w:p>
      <w:pPr>
        <w:pStyle w:val="124"/>
        <w:keepNext w:val="0"/>
        <w:keepLines w:val="0"/>
        <w:pageBreakBefore w:val="0"/>
        <w:kinsoku/>
        <w:wordWrap/>
        <w:overflowPunct/>
        <w:topLinePunct w:val="0"/>
        <w:bidi w:val="0"/>
        <w:snapToGrid/>
        <w:spacing w:line="360" w:lineRule="auto"/>
        <w:ind w:firstLine="48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本项目需执行国家相关标准、行业标准、地方标准或者其他标准、规范。</w:t>
      </w:r>
    </w:p>
    <w:p>
      <w:pPr>
        <w:keepNext w:val="0"/>
        <w:keepLines w:val="0"/>
        <w:pageBreakBefore w:val="0"/>
        <w:widowControl/>
        <w:numPr>
          <w:ilvl w:val="0"/>
          <w:numId w:val="45"/>
        </w:numPr>
        <w:kinsoku/>
        <w:wordWrap/>
        <w:overflowPunct/>
        <w:topLinePunct w:val="0"/>
        <w:autoSpaceDE/>
        <w:autoSpaceDN/>
        <w:bidi w:val="0"/>
        <w:adjustRightInd/>
        <w:snapToGrid/>
        <w:spacing w:after="120" w:line="360" w:lineRule="auto"/>
        <w:ind w:firstLine="0" w:firstLineChars="0"/>
        <w:textAlignment w:val="auto"/>
        <w:outlineLvl w:val="9"/>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工期要求</w:t>
      </w:r>
    </w:p>
    <w:p>
      <w:pPr>
        <w:pStyle w:val="124"/>
        <w:keepNext w:val="0"/>
        <w:keepLines w:val="0"/>
        <w:pageBreakBefore w:val="0"/>
        <w:kinsoku/>
        <w:wordWrap/>
        <w:overflowPunct/>
        <w:topLinePunct w:val="0"/>
        <w:bidi w:val="0"/>
        <w:snapToGrid/>
        <w:spacing w:line="360" w:lineRule="auto"/>
        <w:ind w:firstLine="48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本项目所有系统要求合同签订后</w:t>
      </w:r>
      <w:r>
        <w:rPr>
          <w:rFonts w:hint="eastAsia" w:ascii="新宋体" w:hAnsi="新宋体" w:eastAsia="新宋体" w:cs="新宋体"/>
          <w:b/>
          <w:bCs/>
          <w:color w:val="auto"/>
          <w:sz w:val="22"/>
          <w:szCs w:val="22"/>
          <w:highlight w:val="none"/>
          <w:lang w:val="en-US" w:eastAsia="zh-CN"/>
        </w:rPr>
        <w:t>180日历天</w:t>
      </w:r>
      <w:r>
        <w:rPr>
          <w:rFonts w:hint="eastAsia" w:ascii="新宋体" w:hAnsi="新宋体" w:eastAsia="新宋体" w:cs="新宋体"/>
          <w:color w:val="auto"/>
          <w:sz w:val="22"/>
          <w:szCs w:val="22"/>
          <w:highlight w:val="none"/>
        </w:rPr>
        <w:t>内完成系统完成开发，经过不少于3个月的试运行，并通过正式验收，质保期</w:t>
      </w:r>
      <w:r>
        <w:rPr>
          <w:rFonts w:hint="eastAsia" w:ascii="新宋体" w:hAnsi="新宋体" w:eastAsia="新宋体" w:cs="新宋体"/>
          <w:color w:val="auto"/>
          <w:sz w:val="22"/>
          <w:szCs w:val="22"/>
          <w:highlight w:val="none"/>
          <w:lang w:val="en-US" w:eastAsia="zh-CN"/>
        </w:rPr>
        <w:t>三</w:t>
      </w:r>
      <w:r>
        <w:rPr>
          <w:rFonts w:hint="eastAsia" w:ascii="新宋体" w:hAnsi="新宋体" w:eastAsia="新宋体" w:cs="新宋体"/>
          <w:color w:val="auto"/>
          <w:sz w:val="22"/>
          <w:szCs w:val="22"/>
          <w:highlight w:val="none"/>
        </w:rPr>
        <w:t>年。</w:t>
      </w:r>
    </w:p>
    <w:p>
      <w:pPr>
        <w:keepNext w:val="0"/>
        <w:keepLines w:val="0"/>
        <w:pageBreakBefore w:val="0"/>
        <w:widowControl/>
        <w:numPr>
          <w:ilvl w:val="0"/>
          <w:numId w:val="45"/>
        </w:numPr>
        <w:kinsoku/>
        <w:wordWrap/>
        <w:overflowPunct/>
        <w:topLinePunct w:val="0"/>
        <w:autoSpaceDE/>
        <w:autoSpaceDN/>
        <w:bidi w:val="0"/>
        <w:adjustRightInd/>
        <w:snapToGrid/>
        <w:spacing w:after="120" w:line="360" w:lineRule="auto"/>
        <w:ind w:firstLine="0" w:firstLineChars="0"/>
        <w:textAlignment w:val="auto"/>
        <w:outlineLvl w:val="9"/>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验收标准</w:t>
      </w:r>
    </w:p>
    <w:p>
      <w:pPr>
        <w:pStyle w:val="124"/>
        <w:keepNext w:val="0"/>
        <w:keepLines w:val="0"/>
        <w:pageBreakBefore w:val="0"/>
        <w:kinsoku/>
        <w:wordWrap/>
        <w:overflowPunct/>
        <w:topLinePunct w:val="0"/>
        <w:bidi w:val="0"/>
        <w:snapToGrid/>
        <w:spacing w:line="360" w:lineRule="auto"/>
        <w:ind w:firstLine="48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采购人按照招标文件和合同要求进行验收。</w:t>
      </w:r>
    </w:p>
    <w:p>
      <w:pPr>
        <w:pStyle w:val="124"/>
        <w:keepNext w:val="0"/>
        <w:keepLines w:val="0"/>
        <w:pageBreakBefore w:val="0"/>
        <w:kinsoku/>
        <w:wordWrap/>
        <w:overflowPunct/>
        <w:topLinePunct w:val="0"/>
        <w:bidi w:val="0"/>
        <w:snapToGrid/>
        <w:spacing w:line="360" w:lineRule="auto"/>
        <w:ind w:firstLine="480"/>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项目验收需根据招标文件以及合同的需求，由采购人召集专家组织项目验收。验收时需提供的文档包括但不仅限于：项目投标文件电子稿、项目实施方案、系统（软件）安装实施报告、测试方案、测试记录及报告、配置和维护手册、系统试运行报告、项目总结报告、项目用户报告等相关材料</w:t>
      </w:r>
    </w:p>
    <w:p>
      <w:pPr>
        <w:keepNext w:val="0"/>
        <w:keepLines w:val="0"/>
        <w:pageBreakBefore w:val="0"/>
        <w:widowControl/>
        <w:numPr>
          <w:ilvl w:val="0"/>
          <w:numId w:val="45"/>
        </w:numPr>
        <w:kinsoku/>
        <w:wordWrap/>
        <w:overflowPunct/>
        <w:topLinePunct w:val="0"/>
        <w:autoSpaceDE/>
        <w:autoSpaceDN/>
        <w:bidi w:val="0"/>
        <w:adjustRightInd/>
        <w:snapToGrid/>
        <w:spacing w:after="120" w:line="360" w:lineRule="auto"/>
        <w:ind w:firstLine="0" w:firstLineChars="0"/>
        <w:textAlignment w:val="auto"/>
        <w:outlineLvl w:val="9"/>
        <w:rPr>
          <w:rFonts w:hint="eastAsia" w:ascii="宋体" w:hAnsi="宋体" w:eastAsia="宋体" w:cs="宋体"/>
          <w:b/>
          <w:bCs/>
          <w:color w:val="auto"/>
          <w:kern w:val="0"/>
          <w:sz w:val="28"/>
          <w:szCs w:val="28"/>
          <w:highlight w:val="none"/>
          <w:lang w:val="en-US" w:eastAsia="zh-CN"/>
        </w:rPr>
      </w:pPr>
      <w:r>
        <w:rPr>
          <w:rFonts w:hint="eastAsia" w:ascii="宋体" w:hAnsi="宋体" w:eastAsia="宋体" w:cs="宋体"/>
          <w:b/>
          <w:bCs/>
          <w:color w:val="auto"/>
          <w:kern w:val="0"/>
          <w:sz w:val="28"/>
          <w:szCs w:val="28"/>
          <w:highlight w:val="none"/>
          <w:lang w:val="en-US" w:eastAsia="zh-CN"/>
        </w:rPr>
        <w:t>付款方式</w:t>
      </w:r>
    </w:p>
    <w:p>
      <w:pPr>
        <w:spacing w:line="360" w:lineRule="auto"/>
        <w:ind w:firstLine="539" w:firstLineChars="245"/>
        <w:rPr>
          <w:rFonts w:hint="eastAsia" w:ascii="新宋体" w:hAnsi="新宋体" w:eastAsia="新宋体" w:cs="宋体"/>
          <w:color w:val="auto"/>
          <w:kern w:val="0"/>
          <w:sz w:val="22"/>
          <w:szCs w:val="22"/>
          <w:highlight w:val="none"/>
        </w:rPr>
      </w:pPr>
      <w:r>
        <w:rPr>
          <w:rFonts w:hint="eastAsia" w:ascii="新宋体" w:hAnsi="新宋体" w:eastAsia="新宋体" w:cs="宋体"/>
          <w:color w:val="auto"/>
          <w:kern w:val="0"/>
          <w:sz w:val="22"/>
          <w:szCs w:val="22"/>
          <w:highlight w:val="none"/>
        </w:rPr>
        <w:t>履约保证金：</w:t>
      </w:r>
      <w:r>
        <w:rPr>
          <w:rFonts w:hint="eastAsia" w:ascii="新宋体" w:hAnsi="新宋体" w:eastAsia="新宋体" w:cs="宋体"/>
          <w:color w:val="auto"/>
          <w:kern w:val="0"/>
          <w:sz w:val="22"/>
          <w:szCs w:val="22"/>
          <w:highlight w:val="none"/>
          <w:lang w:val="en-US" w:eastAsia="zh-CN"/>
        </w:rPr>
        <w:t>中标人</w:t>
      </w:r>
      <w:r>
        <w:rPr>
          <w:rFonts w:hint="eastAsia" w:ascii="新宋体" w:hAnsi="新宋体" w:eastAsia="新宋体" w:cs="宋体"/>
          <w:color w:val="auto"/>
          <w:kern w:val="0"/>
          <w:sz w:val="22"/>
          <w:szCs w:val="22"/>
          <w:highlight w:val="none"/>
        </w:rPr>
        <w:t>根据</w:t>
      </w:r>
      <w:r>
        <w:rPr>
          <w:rFonts w:hint="eastAsia" w:ascii="新宋体" w:hAnsi="新宋体" w:eastAsia="新宋体" w:cs="宋体"/>
          <w:color w:val="auto"/>
          <w:kern w:val="0"/>
          <w:sz w:val="22"/>
          <w:szCs w:val="22"/>
          <w:highlight w:val="none"/>
          <w:lang w:val="en-US" w:eastAsia="zh-CN"/>
        </w:rPr>
        <w:t>招标人</w:t>
      </w:r>
      <w:r>
        <w:rPr>
          <w:rFonts w:hint="eastAsia" w:ascii="新宋体" w:hAnsi="新宋体" w:eastAsia="新宋体" w:cs="宋体"/>
          <w:color w:val="auto"/>
          <w:kern w:val="0"/>
          <w:sz w:val="22"/>
          <w:szCs w:val="22"/>
          <w:highlight w:val="none"/>
        </w:rPr>
        <w:t>双方协议，在合同签订后</w:t>
      </w:r>
      <w:r>
        <w:rPr>
          <w:rFonts w:hint="eastAsia" w:ascii="新宋体" w:hAnsi="新宋体" w:eastAsia="新宋体" w:cs="宋体"/>
          <w:color w:val="auto"/>
          <w:kern w:val="0"/>
          <w:sz w:val="22"/>
          <w:szCs w:val="22"/>
          <w:highlight w:val="none"/>
          <w:lang w:val="en-US" w:eastAsia="zh-CN"/>
        </w:rPr>
        <w:t>5</w:t>
      </w:r>
      <w:r>
        <w:rPr>
          <w:rFonts w:hint="eastAsia" w:ascii="新宋体" w:hAnsi="新宋体" w:eastAsia="新宋体" w:cs="宋体"/>
          <w:color w:val="auto"/>
          <w:kern w:val="0"/>
          <w:sz w:val="22"/>
          <w:szCs w:val="22"/>
          <w:highlight w:val="none"/>
        </w:rPr>
        <w:t>个工作日内</w:t>
      </w:r>
      <w:r>
        <w:rPr>
          <w:rFonts w:hint="eastAsia" w:ascii="新宋体" w:hAnsi="新宋体" w:eastAsia="新宋体" w:cs="宋体"/>
          <w:color w:val="auto"/>
          <w:kern w:val="0"/>
          <w:sz w:val="22"/>
          <w:szCs w:val="22"/>
          <w:highlight w:val="none"/>
          <w:lang w:val="en-US" w:eastAsia="zh-CN"/>
        </w:rPr>
        <w:t>中标人</w:t>
      </w:r>
      <w:r>
        <w:rPr>
          <w:rFonts w:hint="eastAsia" w:ascii="新宋体" w:hAnsi="新宋体" w:eastAsia="新宋体" w:cs="宋体"/>
          <w:color w:val="auto"/>
          <w:kern w:val="0"/>
          <w:sz w:val="22"/>
          <w:szCs w:val="22"/>
          <w:highlight w:val="none"/>
        </w:rPr>
        <w:t>向</w:t>
      </w:r>
      <w:r>
        <w:rPr>
          <w:rFonts w:hint="eastAsia" w:ascii="新宋体" w:hAnsi="新宋体" w:eastAsia="新宋体" w:cs="宋体"/>
          <w:color w:val="auto"/>
          <w:kern w:val="0"/>
          <w:sz w:val="22"/>
          <w:szCs w:val="22"/>
          <w:highlight w:val="none"/>
          <w:lang w:val="en-US" w:eastAsia="zh-CN"/>
        </w:rPr>
        <w:t>招标人</w:t>
      </w:r>
      <w:r>
        <w:rPr>
          <w:rFonts w:hint="eastAsia" w:ascii="新宋体" w:hAnsi="新宋体" w:eastAsia="新宋体" w:cs="宋体"/>
          <w:color w:val="auto"/>
          <w:kern w:val="0"/>
          <w:sz w:val="22"/>
          <w:szCs w:val="22"/>
          <w:highlight w:val="none"/>
        </w:rPr>
        <w:t>提供合同总金额的</w:t>
      </w:r>
      <w:r>
        <w:rPr>
          <w:rFonts w:hint="eastAsia" w:ascii="新宋体" w:hAnsi="新宋体" w:eastAsia="新宋体" w:cs="宋体"/>
          <w:color w:val="auto"/>
          <w:kern w:val="0"/>
          <w:sz w:val="22"/>
          <w:szCs w:val="22"/>
          <w:highlight w:val="none"/>
          <w:lang w:val="en-US" w:eastAsia="zh-CN"/>
        </w:rPr>
        <w:t>1</w:t>
      </w:r>
      <w:r>
        <w:rPr>
          <w:rFonts w:hint="eastAsia" w:ascii="新宋体" w:hAnsi="新宋体" w:eastAsia="新宋体" w:cs="宋体"/>
          <w:color w:val="auto"/>
          <w:kern w:val="0"/>
          <w:sz w:val="22"/>
          <w:szCs w:val="22"/>
          <w:highlight w:val="none"/>
        </w:rPr>
        <w:t xml:space="preserve">%，即¥ </w:t>
      </w:r>
      <w:r>
        <w:rPr>
          <w:rFonts w:hint="eastAsia" w:ascii="新宋体" w:hAnsi="新宋体" w:eastAsia="新宋体" w:cs="宋体"/>
          <w:color w:val="auto"/>
          <w:kern w:val="0"/>
          <w:sz w:val="22"/>
          <w:szCs w:val="22"/>
          <w:highlight w:val="none"/>
          <w:u w:val="single"/>
        </w:rPr>
        <w:t xml:space="preserve">    （人名币    元）</w:t>
      </w:r>
      <w:r>
        <w:rPr>
          <w:rFonts w:hint="eastAsia" w:ascii="新宋体" w:hAnsi="新宋体" w:eastAsia="新宋体" w:cs="宋体"/>
          <w:color w:val="auto"/>
          <w:kern w:val="0"/>
          <w:sz w:val="22"/>
          <w:szCs w:val="22"/>
          <w:highlight w:val="none"/>
        </w:rPr>
        <w:t>履约保证金（或银行、保险公司出具保函形式）；</w:t>
      </w:r>
    </w:p>
    <w:p>
      <w:pPr>
        <w:spacing w:line="360" w:lineRule="auto"/>
        <w:ind w:firstLine="539" w:firstLineChars="245"/>
        <w:rPr>
          <w:rFonts w:hint="eastAsia" w:ascii="新宋体" w:hAnsi="新宋体" w:eastAsia="新宋体" w:cs="宋体"/>
          <w:color w:val="auto"/>
          <w:kern w:val="0"/>
          <w:sz w:val="22"/>
          <w:szCs w:val="22"/>
          <w:highlight w:val="none"/>
        </w:rPr>
      </w:pPr>
      <w:r>
        <w:rPr>
          <w:rFonts w:hint="eastAsia" w:ascii="新宋体" w:hAnsi="新宋体" w:eastAsia="新宋体" w:cs="宋体"/>
          <w:color w:val="auto"/>
          <w:kern w:val="0"/>
          <w:sz w:val="22"/>
          <w:szCs w:val="22"/>
          <w:highlight w:val="none"/>
        </w:rPr>
        <w:t>第一笔款：</w:t>
      </w:r>
      <w:r>
        <w:rPr>
          <w:rFonts w:hint="eastAsia" w:ascii="新宋体" w:hAnsi="新宋体" w:eastAsia="新宋体" w:cs="新宋体"/>
          <w:color w:val="auto"/>
          <w:sz w:val="22"/>
          <w:szCs w:val="22"/>
          <w:highlight w:val="none"/>
        </w:rPr>
        <w:t>合同生效以及具备实施条件后7个工作日内</w:t>
      </w:r>
      <w:r>
        <w:rPr>
          <w:rFonts w:hint="eastAsia" w:ascii="新宋体" w:hAnsi="新宋体" w:eastAsia="新宋体" w:cs="宋体"/>
          <w:color w:val="auto"/>
          <w:kern w:val="0"/>
          <w:sz w:val="22"/>
          <w:szCs w:val="22"/>
          <w:highlight w:val="none"/>
        </w:rPr>
        <w:t>，向</w:t>
      </w:r>
      <w:r>
        <w:rPr>
          <w:rFonts w:hint="eastAsia" w:ascii="新宋体" w:hAnsi="新宋体" w:eastAsia="新宋体" w:cs="宋体"/>
          <w:color w:val="auto"/>
          <w:kern w:val="0"/>
          <w:sz w:val="22"/>
          <w:szCs w:val="22"/>
          <w:highlight w:val="none"/>
          <w:lang w:val="en-US" w:eastAsia="zh-CN"/>
        </w:rPr>
        <w:t>中标人</w:t>
      </w:r>
      <w:r>
        <w:rPr>
          <w:rFonts w:hint="eastAsia" w:ascii="新宋体" w:hAnsi="新宋体" w:eastAsia="新宋体" w:cs="宋体"/>
          <w:color w:val="auto"/>
          <w:kern w:val="0"/>
          <w:sz w:val="22"/>
          <w:szCs w:val="22"/>
          <w:highlight w:val="none"/>
        </w:rPr>
        <w:t>支付合同总价的</w:t>
      </w:r>
      <w:r>
        <w:rPr>
          <w:rFonts w:hint="eastAsia" w:hAnsi="新宋体" w:eastAsia="新宋体" w:cs="宋体"/>
          <w:color w:val="auto"/>
          <w:kern w:val="0"/>
          <w:sz w:val="22"/>
          <w:szCs w:val="22"/>
          <w:highlight w:val="none"/>
          <w:lang w:val="en-US" w:eastAsia="zh-CN"/>
        </w:rPr>
        <w:t>30</w:t>
      </w:r>
      <w:r>
        <w:rPr>
          <w:rFonts w:hint="eastAsia" w:ascii="新宋体" w:hAnsi="新宋体" w:eastAsia="新宋体" w:cs="宋体"/>
          <w:color w:val="auto"/>
          <w:kern w:val="0"/>
          <w:sz w:val="22"/>
          <w:szCs w:val="22"/>
          <w:highlight w:val="none"/>
        </w:rPr>
        <w:t>%，即人民币</w:t>
      </w:r>
      <w:r>
        <w:rPr>
          <w:rFonts w:hint="eastAsia" w:ascii="新宋体" w:hAnsi="新宋体" w:eastAsia="新宋体" w:cs="宋体"/>
          <w:color w:val="auto"/>
          <w:kern w:val="0"/>
          <w:sz w:val="22"/>
          <w:szCs w:val="22"/>
          <w:highlight w:val="none"/>
          <w:u w:val="single"/>
        </w:rPr>
        <w:t xml:space="preserve">     元整（RMB￥     ）</w:t>
      </w:r>
      <w:r>
        <w:rPr>
          <w:rFonts w:hint="eastAsia" w:ascii="新宋体" w:hAnsi="新宋体" w:eastAsia="新宋体" w:cs="宋体"/>
          <w:color w:val="auto"/>
          <w:kern w:val="0"/>
          <w:sz w:val="22"/>
          <w:szCs w:val="22"/>
          <w:highlight w:val="none"/>
        </w:rPr>
        <w:t>；</w:t>
      </w:r>
    </w:p>
    <w:p>
      <w:pPr>
        <w:spacing w:line="360" w:lineRule="auto"/>
        <w:ind w:firstLine="539" w:firstLineChars="245"/>
        <w:rPr>
          <w:rFonts w:hint="eastAsia" w:ascii="新宋体" w:hAnsi="新宋体" w:eastAsia="新宋体" w:cs="宋体"/>
          <w:color w:val="auto"/>
          <w:kern w:val="0"/>
          <w:sz w:val="22"/>
          <w:szCs w:val="22"/>
          <w:highlight w:val="none"/>
        </w:rPr>
      </w:pPr>
      <w:r>
        <w:rPr>
          <w:rFonts w:hint="eastAsia" w:ascii="新宋体" w:hAnsi="新宋体" w:eastAsia="新宋体" w:cs="宋体"/>
          <w:color w:val="auto"/>
          <w:kern w:val="0"/>
          <w:sz w:val="22"/>
          <w:szCs w:val="22"/>
          <w:highlight w:val="none"/>
        </w:rPr>
        <w:t>第二笔款：在系统安装完毕（应该是项目全部建设完成），通过初步验收后，</w:t>
      </w:r>
      <w:r>
        <w:rPr>
          <w:rFonts w:hint="eastAsia" w:ascii="新宋体" w:hAnsi="新宋体" w:eastAsia="新宋体" w:cs="新宋体"/>
          <w:color w:val="auto"/>
          <w:sz w:val="22"/>
          <w:szCs w:val="22"/>
          <w:highlight w:val="none"/>
        </w:rPr>
        <w:t>收到发票后</w:t>
      </w:r>
      <w:r>
        <w:rPr>
          <w:rFonts w:hint="eastAsia" w:ascii="新宋体" w:hAnsi="新宋体" w:eastAsia="新宋体" w:cs="新宋体"/>
          <w:color w:val="auto"/>
          <w:sz w:val="22"/>
          <w:szCs w:val="22"/>
          <w:highlight w:val="none"/>
          <w:lang w:val="en-US" w:eastAsia="zh-CN"/>
        </w:rPr>
        <w:t>7</w:t>
      </w:r>
      <w:r>
        <w:rPr>
          <w:rFonts w:hint="eastAsia" w:ascii="新宋体" w:hAnsi="新宋体" w:eastAsia="新宋体" w:cs="新宋体"/>
          <w:color w:val="auto"/>
          <w:sz w:val="22"/>
          <w:szCs w:val="22"/>
          <w:highlight w:val="none"/>
        </w:rPr>
        <w:t>个工作日内</w:t>
      </w:r>
      <w:r>
        <w:rPr>
          <w:rFonts w:hint="eastAsia" w:ascii="新宋体" w:hAnsi="新宋体" w:eastAsia="新宋体" w:cs="宋体"/>
          <w:color w:val="auto"/>
          <w:kern w:val="0"/>
          <w:sz w:val="22"/>
          <w:szCs w:val="22"/>
          <w:highlight w:val="none"/>
        </w:rPr>
        <w:t>向</w:t>
      </w:r>
      <w:r>
        <w:rPr>
          <w:rFonts w:hint="eastAsia" w:ascii="新宋体" w:hAnsi="新宋体" w:eastAsia="新宋体" w:cs="宋体"/>
          <w:color w:val="auto"/>
          <w:kern w:val="0"/>
          <w:sz w:val="22"/>
          <w:szCs w:val="22"/>
          <w:highlight w:val="none"/>
          <w:lang w:val="en-US" w:eastAsia="zh-CN"/>
        </w:rPr>
        <w:t>中标人</w:t>
      </w:r>
      <w:r>
        <w:rPr>
          <w:rFonts w:hint="eastAsia" w:ascii="新宋体" w:hAnsi="新宋体" w:eastAsia="新宋体" w:cs="宋体"/>
          <w:color w:val="auto"/>
          <w:kern w:val="0"/>
          <w:sz w:val="22"/>
          <w:szCs w:val="22"/>
          <w:highlight w:val="none"/>
        </w:rPr>
        <w:t>支付合同总价的</w:t>
      </w:r>
      <w:r>
        <w:rPr>
          <w:rFonts w:hint="eastAsia" w:ascii="新宋体" w:hAnsi="新宋体" w:eastAsia="新宋体" w:cs="宋体"/>
          <w:color w:val="auto"/>
          <w:kern w:val="0"/>
          <w:sz w:val="22"/>
          <w:szCs w:val="22"/>
          <w:highlight w:val="none"/>
          <w:lang w:val="en-US" w:eastAsia="zh-CN"/>
        </w:rPr>
        <w:t>4</w:t>
      </w:r>
      <w:r>
        <w:rPr>
          <w:rFonts w:hint="eastAsia" w:ascii="新宋体" w:hAnsi="新宋体" w:eastAsia="新宋体" w:cs="宋体"/>
          <w:color w:val="auto"/>
          <w:kern w:val="0"/>
          <w:sz w:val="22"/>
          <w:szCs w:val="22"/>
          <w:highlight w:val="none"/>
        </w:rPr>
        <w:t>0%，即人民币即人民币</w:t>
      </w:r>
      <w:r>
        <w:rPr>
          <w:rFonts w:hint="eastAsia" w:ascii="新宋体" w:hAnsi="新宋体" w:eastAsia="新宋体" w:cs="宋体"/>
          <w:color w:val="auto"/>
          <w:kern w:val="0"/>
          <w:sz w:val="22"/>
          <w:szCs w:val="22"/>
          <w:highlight w:val="none"/>
          <w:u w:val="single"/>
        </w:rPr>
        <w:t xml:space="preserve">      </w:t>
      </w:r>
      <w:r>
        <w:rPr>
          <w:rFonts w:hint="eastAsia" w:ascii="新宋体" w:hAnsi="新宋体" w:eastAsia="新宋体" w:cs="宋体"/>
          <w:color w:val="auto"/>
          <w:kern w:val="0"/>
          <w:sz w:val="22"/>
          <w:szCs w:val="22"/>
          <w:highlight w:val="none"/>
        </w:rPr>
        <w:t>元整（RMB￥</w:t>
      </w:r>
      <w:r>
        <w:rPr>
          <w:rFonts w:hint="eastAsia" w:ascii="新宋体" w:hAnsi="新宋体" w:eastAsia="新宋体" w:cs="宋体"/>
          <w:color w:val="auto"/>
          <w:kern w:val="0"/>
          <w:sz w:val="22"/>
          <w:szCs w:val="22"/>
          <w:highlight w:val="none"/>
          <w:u w:val="single"/>
        </w:rPr>
        <w:t xml:space="preserve">       </w:t>
      </w:r>
      <w:r>
        <w:rPr>
          <w:rFonts w:hint="eastAsia" w:ascii="新宋体" w:hAnsi="新宋体" w:eastAsia="新宋体" w:cs="宋体"/>
          <w:color w:val="auto"/>
          <w:kern w:val="0"/>
          <w:sz w:val="22"/>
          <w:szCs w:val="22"/>
          <w:highlight w:val="none"/>
        </w:rPr>
        <w:t>）；</w:t>
      </w:r>
    </w:p>
    <w:p>
      <w:pPr>
        <w:spacing w:line="360" w:lineRule="auto"/>
        <w:ind w:firstLine="539" w:firstLineChars="245"/>
        <w:rPr>
          <w:rFonts w:hint="eastAsia" w:ascii="新宋体" w:hAnsi="新宋体" w:eastAsia="新宋体" w:cs="宋体"/>
          <w:color w:val="auto"/>
          <w:kern w:val="0"/>
          <w:sz w:val="22"/>
          <w:szCs w:val="22"/>
          <w:highlight w:val="none"/>
          <w:lang w:eastAsia="zh-CN"/>
        </w:rPr>
      </w:pPr>
      <w:r>
        <w:rPr>
          <w:rFonts w:hint="eastAsia" w:ascii="新宋体" w:hAnsi="新宋体" w:eastAsia="新宋体" w:cs="宋体"/>
          <w:color w:val="auto"/>
          <w:kern w:val="0"/>
          <w:sz w:val="22"/>
          <w:szCs w:val="22"/>
          <w:highlight w:val="none"/>
        </w:rPr>
        <w:t>第三笔款：系统通过最终验收后，在收到发票后</w:t>
      </w:r>
      <w:r>
        <w:rPr>
          <w:rFonts w:hint="eastAsia" w:ascii="新宋体" w:hAnsi="新宋体" w:eastAsia="新宋体" w:cs="宋体"/>
          <w:color w:val="auto"/>
          <w:kern w:val="0"/>
          <w:sz w:val="22"/>
          <w:szCs w:val="22"/>
          <w:highlight w:val="none"/>
          <w:lang w:val="en-US" w:eastAsia="zh-CN"/>
        </w:rPr>
        <w:t>7</w:t>
      </w:r>
      <w:r>
        <w:rPr>
          <w:rFonts w:hint="eastAsia" w:ascii="新宋体" w:hAnsi="新宋体" w:eastAsia="新宋体" w:cs="宋体"/>
          <w:color w:val="auto"/>
          <w:kern w:val="0"/>
          <w:sz w:val="22"/>
          <w:szCs w:val="22"/>
          <w:highlight w:val="none"/>
        </w:rPr>
        <w:t>个工作日内向</w:t>
      </w:r>
      <w:r>
        <w:rPr>
          <w:rFonts w:hint="eastAsia" w:ascii="新宋体" w:hAnsi="新宋体" w:eastAsia="新宋体" w:cs="宋体"/>
          <w:color w:val="auto"/>
          <w:kern w:val="0"/>
          <w:sz w:val="22"/>
          <w:szCs w:val="22"/>
          <w:highlight w:val="none"/>
          <w:lang w:val="en-US" w:eastAsia="zh-CN"/>
        </w:rPr>
        <w:t>中标人</w:t>
      </w:r>
      <w:r>
        <w:rPr>
          <w:rFonts w:hint="eastAsia" w:ascii="新宋体" w:hAnsi="新宋体" w:eastAsia="新宋体" w:cs="宋体"/>
          <w:color w:val="auto"/>
          <w:kern w:val="0"/>
          <w:sz w:val="22"/>
          <w:szCs w:val="22"/>
          <w:highlight w:val="none"/>
        </w:rPr>
        <w:t>支付合同总价的</w:t>
      </w:r>
      <w:r>
        <w:rPr>
          <w:rFonts w:hint="eastAsia" w:ascii="新宋体" w:hAnsi="新宋体" w:eastAsia="新宋体" w:cs="宋体"/>
          <w:color w:val="auto"/>
          <w:kern w:val="0"/>
          <w:sz w:val="22"/>
          <w:szCs w:val="22"/>
          <w:highlight w:val="none"/>
          <w:lang w:val="en-US" w:eastAsia="zh-CN"/>
        </w:rPr>
        <w:t>30</w:t>
      </w:r>
      <w:r>
        <w:rPr>
          <w:rFonts w:hint="eastAsia" w:ascii="新宋体" w:hAnsi="新宋体" w:eastAsia="新宋体" w:cs="宋体"/>
          <w:color w:val="auto"/>
          <w:kern w:val="0"/>
          <w:sz w:val="22"/>
          <w:szCs w:val="22"/>
          <w:highlight w:val="none"/>
        </w:rPr>
        <w:t>%，即人民币即人民币</w:t>
      </w:r>
      <w:r>
        <w:rPr>
          <w:rFonts w:hint="eastAsia" w:ascii="新宋体" w:hAnsi="新宋体" w:eastAsia="新宋体" w:cs="宋体"/>
          <w:color w:val="auto"/>
          <w:kern w:val="0"/>
          <w:sz w:val="22"/>
          <w:szCs w:val="22"/>
          <w:highlight w:val="none"/>
          <w:u w:val="single"/>
        </w:rPr>
        <w:t xml:space="preserve">      </w:t>
      </w:r>
      <w:r>
        <w:rPr>
          <w:rFonts w:hint="eastAsia" w:ascii="新宋体" w:hAnsi="新宋体" w:eastAsia="新宋体" w:cs="宋体"/>
          <w:color w:val="auto"/>
          <w:kern w:val="0"/>
          <w:sz w:val="22"/>
          <w:szCs w:val="22"/>
          <w:highlight w:val="none"/>
        </w:rPr>
        <w:t>元整（RMB￥</w:t>
      </w:r>
      <w:r>
        <w:rPr>
          <w:rFonts w:hint="eastAsia" w:ascii="新宋体" w:hAnsi="新宋体" w:eastAsia="新宋体" w:cs="宋体"/>
          <w:color w:val="auto"/>
          <w:kern w:val="0"/>
          <w:sz w:val="22"/>
          <w:szCs w:val="22"/>
          <w:highlight w:val="none"/>
          <w:u w:val="single"/>
        </w:rPr>
        <w:t xml:space="preserve">       </w:t>
      </w:r>
      <w:r>
        <w:rPr>
          <w:rFonts w:hint="eastAsia" w:ascii="新宋体" w:hAnsi="新宋体" w:eastAsia="新宋体" w:cs="宋体"/>
          <w:color w:val="auto"/>
          <w:kern w:val="0"/>
          <w:sz w:val="22"/>
          <w:szCs w:val="22"/>
          <w:highlight w:val="none"/>
        </w:rPr>
        <w:t>）；</w:t>
      </w:r>
      <w:r>
        <w:rPr>
          <w:rFonts w:hint="eastAsia" w:ascii="新宋体" w:hAnsi="新宋体" w:eastAsia="新宋体" w:cs="宋体"/>
          <w:color w:val="auto"/>
          <w:kern w:val="0"/>
          <w:sz w:val="22"/>
          <w:szCs w:val="22"/>
          <w:highlight w:val="none"/>
          <w:lang w:val="en-US" w:eastAsia="zh-CN"/>
        </w:rPr>
        <w:t>并</w:t>
      </w:r>
      <w:r>
        <w:rPr>
          <w:rFonts w:hint="eastAsia" w:ascii="新宋体" w:hAnsi="新宋体" w:eastAsia="新宋体" w:cs="宋体"/>
          <w:color w:val="auto"/>
          <w:kern w:val="0"/>
          <w:sz w:val="22"/>
          <w:szCs w:val="22"/>
          <w:highlight w:val="none"/>
        </w:rPr>
        <w:t>退还履约保证金（或保函形式）</w:t>
      </w:r>
      <w:r>
        <w:rPr>
          <w:rFonts w:hint="eastAsia" w:ascii="新宋体" w:hAnsi="新宋体" w:eastAsia="新宋体" w:cs="宋体"/>
          <w:color w:val="auto"/>
          <w:kern w:val="0"/>
          <w:sz w:val="22"/>
          <w:szCs w:val="22"/>
          <w:highlight w:val="none"/>
          <w:lang w:eastAsia="zh-CN"/>
        </w:rPr>
        <w:t>。</w:t>
      </w:r>
    </w:p>
    <w:p>
      <w:pPr>
        <w:widowControl/>
        <w:numPr>
          <w:ilvl w:val="0"/>
          <w:numId w:val="45"/>
        </w:numPr>
        <w:spacing w:after="120" w:line="360" w:lineRule="auto"/>
        <w:ind w:firstLine="0" w:firstLineChars="0"/>
        <w:outlineLvl w:val="9"/>
        <w:rPr>
          <w:rFonts w:hint="eastAsia" w:ascii="宋体" w:hAnsi="宋体" w:eastAsia="宋体" w:cs="宋体"/>
          <w:b/>
          <w:bCs/>
          <w:color w:val="auto"/>
          <w:kern w:val="0"/>
          <w:sz w:val="28"/>
          <w:szCs w:val="28"/>
          <w:highlight w:val="none"/>
          <w:lang w:val="en-US" w:eastAsia="zh-CN"/>
        </w:rPr>
      </w:pPr>
      <w:r>
        <w:rPr>
          <w:rFonts w:hint="eastAsia" w:ascii="宋体" w:hAnsi="宋体" w:eastAsia="宋体" w:cs="宋体"/>
          <w:b/>
          <w:bCs/>
          <w:color w:val="auto"/>
          <w:kern w:val="0"/>
          <w:sz w:val="28"/>
          <w:szCs w:val="28"/>
          <w:highlight w:val="none"/>
          <w:lang w:val="en-US" w:eastAsia="zh-CN"/>
        </w:rPr>
        <w:t>其他</w:t>
      </w:r>
    </w:p>
    <w:p>
      <w:pPr>
        <w:pStyle w:val="124"/>
        <w:snapToGrid/>
        <w:spacing w:line="360" w:lineRule="auto"/>
        <w:ind w:firstLine="48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1</w:t>
      </w:r>
      <w:r>
        <w:rPr>
          <w:rFonts w:hint="eastAsia" w:ascii="新宋体" w:hAnsi="新宋体" w:eastAsia="新宋体" w:cs="新宋体"/>
          <w:b w:val="0"/>
          <w:bCs w:val="0"/>
          <w:color w:val="auto"/>
          <w:sz w:val="22"/>
          <w:szCs w:val="22"/>
          <w:highlight w:val="none"/>
          <w:lang w:eastAsia="zh-CN"/>
        </w:rPr>
        <w:t>、</w:t>
      </w:r>
      <w:r>
        <w:rPr>
          <w:rFonts w:hint="eastAsia" w:ascii="新宋体" w:hAnsi="新宋体" w:eastAsia="新宋体" w:cs="新宋体"/>
          <w:b w:val="0"/>
          <w:bCs w:val="0"/>
          <w:color w:val="auto"/>
          <w:sz w:val="22"/>
          <w:szCs w:val="22"/>
          <w:highlight w:val="none"/>
        </w:rPr>
        <w:t>除招标文件中所明确的采购需求外，欢迎其他能满足本项目采购需求且性能相当于或高于所明确采购需求的产品参加投标报价。同时在采购需求偏离表中作出详细对比说明。</w:t>
      </w:r>
    </w:p>
    <w:p>
      <w:pPr>
        <w:pStyle w:val="124"/>
        <w:snapToGrid/>
        <w:spacing w:line="360" w:lineRule="auto"/>
        <w:ind w:firstLine="48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2</w:t>
      </w:r>
      <w:r>
        <w:rPr>
          <w:rFonts w:hint="eastAsia" w:ascii="新宋体" w:hAnsi="新宋体" w:eastAsia="新宋体" w:cs="新宋体"/>
          <w:b w:val="0"/>
          <w:bCs w:val="0"/>
          <w:color w:val="auto"/>
          <w:sz w:val="22"/>
          <w:szCs w:val="22"/>
          <w:highlight w:val="none"/>
          <w:lang w:eastAsia="zh-CN"/>
        </w:rPr>
        <w:t>、</w:t>
      </w:r>
      <w:r>
        <w:rPr>
          <w:rFonts w:hint="eastAsia" w:ascii="新宋体" w:hAnsi="新宋体" w:eastAsia="新宋体" w:cs="新宋体"/>
          <w:b w:val="0"/>
          <w:bCs w:val="0"/>
          <w:color w:val="auto"/>
          <w:sz w:val="22"/>
          <w:szCs w:val="22"/>
          <w:highlight w:val="none"/>
          <w:lang w:val="en-US" w:eastAsia="zh-CN"/>
        </w:rPr>
        <w:t>标</w:t>
      </w:r>
      <w:r>
        <w:rPr>
          <w:rFonts w:hint="eastAsia" w:ascii="新宋体" w:hAnsi="新宋体" w:eastAsia="新宋体" w:cs="新宋体"/>
          <w:b w:val="0"/>
          <w:bCs w:val="0"/>
          <w:color w:val="auto"/>
          <w:sz w:val="22"/>
          <w:szCs w:val="22"/>
          <w:highlight w:val="none"/>
        </w:rPr>
        <w:t>“</w:t>
      </w:r>
      <w:r>
        <w:rPr>
          <w:rFonts w:hint="eastAsia" w:ascii="新宋体" w:hAnsi="新宋体" w:eastAsia="新宋体" w:cs="新宋体"/>
          <w:color w:val="auto"/>
          <w:sz w:val="22"/>
          <w:szCs w:val="22"/>
          <w:highlight w:val="none"/>
        </w:rPr>
        <w:t>★</w:t>
      </w:r>
      <w:r>
        <w:rPr>
          <w:rFonts w:hint="eastAsia" w:ascii="新宋体" w:hAnsi="新宋体" w:eastAsia="新宋体" w:cs="新宋体"/>
          <w:b w:val="0"/>
          <w:bCs w:val="0"/>
          <w:color w:val="auto"/>
          <w:sz w:val="22"/>
          <w:szCs w:val="22"/>
          <w:highlight w:val="none"/>
        </w:rPr>
        <w:t>”</w:t>
      </w:r>
      <w:r>
        <w:rPr>
          <w:rFonts w:hint="eastAsia" w:ascii="新宋体" w:hAnsi="新宋体" w:eastAsia="新宋体" w:cs="新宋体"/>
          <w:b w:val="0"/>
          <w:bCs w:val="0"/>
          <w:color w:val="auto"/>
          <w:sz w:val="22"/>
          <w:szCs w:val="22"/>
          <w:highlight w:val="none"/>
          <w:lang w:val="en-US" w:eastAsia="zh-CN"/>
        </w:rPr>
        <w:t>的</w:t>
      </w:r>
      <w:r>
        <w:rPr>
          <w:rFonts w:hint="eastAsia" w:ascii="新宋体" w:hAnsi="新宋体" w:eastAsia="新宋体" w:cs="新宋体"/>
          <w:b w:val="0"/>
          <w:bCs w:val="0"/>
          <w:color w:val="auto"/>
          <w:sz w:val="22"/>
          <w:szCs w:val="22"/>
          <w:highlight w:val="none"/>
        </w:rPr>
        <w:t>为</w:t>
      </w:r>
      <w:r>
        <w:rPr>
          <w:rFonts w:hint="eastAsia" w:ascii="新宋体" w:hAnsi="新宋体" w:eastAsia="新宋体" w:cs="新宋体"/>
          <w:b w:val="0"/>
          <w:bCs w:val="0"/>
          <w:color w:val="auto"/>
          <w:sz w:val="22"/>
          <w:szCs w:val="22"/>
          <w:highlight w:val="none"/>
          <w:lang w:val="en-US" w:eastAsia="zh-CN"/>
        </w:rPr>
        <w:t>重要技术参数或</w:t>
      </w:r>
      <w:r>
        <w:rPr>
          <w:rFonts w:hint="eastAsia" w:ascii="新宋体" w:hAnsi="新宋体" w:eastAsia="新宋体" w:cs="新宋体"/>
          <w:b w:val="0"/>
          <w:bCs w:val="0"/>
          <w:color w:val="auto"/>
          <w:sz w:val="22"/>
          <w:szCs w:val="22"/>
          <w:highlight w:val="none"/>
        </w:rPr>
        <w:t>重要条款。</w:t>
      </w:r>
    </w:p>
    <w:p>
      <w:pPr>
        <w:pStyle w:val="124"/>
        <w:snapToGrid/>
        <w:spacing w:line="360" w:lineRule="auto"/>
        <w:ind w:firstLine="48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3</w:t>
      </w:r>
      <w:r>
        <w:rPr>
          <w:rFonts w:hint="eastAsia" w:ascii="新宋体" w:hAnsi="新宋体" w:eastAsia="新宋体" w:cs="新宋体"/>
          <w:b w:val="0"/>
          <w:bCs w:val="0"/>
          <w:color w:val="auto"/>
          <w:sz w:val="22"/>
          <w:szCs w:val="22"/>
          <w:highlight w:val="none"/>
          <w:lang w:eastAsia="zh-CN"/>
        </w:rPr>
        <w:t>、</w:t>
      </w:r>
      <w:r>
        <w:rPr>
          <w:rFonts w:hint="eastAsia" w:ascii="新宋体" w:hAnsi="新宋体" w:eastAsia="新宋体" w:cs="新宋体"/>
          <w:b w:val="0"/>
          <w:bCs w:val="0"/>
          <w:color w:val="auto"/>
          <w:sz w:val="22"/>
          <w:szCs w:val="22"/>
          <w:highlight w:val="none"/>
        </w:rPr>
        <w:t>如技术部分中未特别注明需执行的国家相关标准、行业标准、地方标准或者其他标准、规范，则统一执行最新标准、规范。</w:t>
      </w:r>
    </w:p>
    <w:p>
      <w:pPr>
        <w:pStyle w:val="124"/>
        <w:spacing w:line="360" w:lineRule="auto"/>
        <w:ind w:firstLine="480"/>
        <w:rPr>
          <w:rFonts w:hint="eastAsia" w:ascii="新宋体" w:hAnsi="新宋体" w:eastAsia="新宋体" w:cs="新宋体"/>
          <w:b w:val="0"/>
          <w:bCs w:val="0"/>
          <w:color w:val="auto"/>
          <w:sz w:val="22"/>
          <w:szCs w:val="22"/>
          <w:highlight w:val="none"/>
        </w:rPr>
      </w:pPr>
      <w:r>
        <w:rPr>
          <w:rFonts w:hint="eastAsia" w:ascii="新宋体" w:hAnsi="新宋体" w:eastAsia="新宋体" w:cs="新宋体"/>
          <w:b w:val="0"/>
          <w:bCs w:val="0"/>
          <w:color w:val="auto"/>
          <w:sz w:val="22"/>
          <w:szCs w:val="22"/>
          <w:highlight w:val="none"/>
        </w:rPr>
        <w:t>4</w:t>
      </w:r>
      <w:r>
        <w:rPr>
          <w:rFonts w:hint="eastAsia" w:ascii="新宋体" w:hAnsi="新宋体" w:eastAsia="新宋体" w:cs="新宋体"/>
          <w:b w:val="0"/>
          <w:bCs w:val="0"/>
          <w:color w:val="auto"/>
          <w:sz w:val="22"/>
          <w:szCs w:val="22"/>
          <w:highlight w:val="none"/>
          <w:lang w:eastAsia="zh-CN"/>
        </w:rPr>
        <w:t>、</w:t>
      </w:r>
      <w:r>
        <w:rPr>
          <w:rFonts w:hint="eastAsia" w:ascii="新宋体" w:hAnsi="新宋体" w:eastAsia="新宋体" w:cs="新宋体"/>
          <w:b w:val="0"/>
          <w:bCs w:val="0"/>
          <w:color w:val="auto"/>
          <w:sz w:val="22"/>
          <w:szCs w:val="22"/>
          <w:highlight w:val="none"/>
        </w:rPr>
        <w:t>技术部分中如需要提供的证明材料有有效期的必须在有效期内，由不清晰或者模糊造成无法判断证明材料是否符合要求的风险由投标人自行承担。未按要求提供证明材料的，视为负偏离。</w:t>
      </w:r>
    </w:p>
    <w:p>
      <w:pPr>
        <w:pStyle w:val="124"/>
        <w:spacing w:line="360" w:lineRule="auto"/>
        <w:ind w:firstLine="480"/>
        <w:rPr>
          <w:color w:val="auto"/>
        </w:rPr>
      </w:pPr>
      <w:r>
        <w:rPr>
          <w:rFonts w:hint="eastAsia" w:ascii="宋体" w:hAnsi="宋体"/>
          <w:b/>
          <w:bCs/>
          <w:color w:val="auto"/>
          <w:sz w:val="24"/>
          <w:u w:val="single"/>
        </w:rPr>
        <w:t>▲</w:t>
      </w:r>
      <w:r>
        <w:rPr>
          <w:rFonts w:hint="eastAsia" w:ascii="新宋体" w:hAnsi="新宋体" w:eastAsia="新宋体" w:cs="新宋体"/>
          <w:b/>
          <w:bCs/>
          <w:color w:val="auto"/>
          <w:sz w:val="22"/>
          <w:szCs w:val="22"/>
          <w:highlight w:val="none"/>
          <w:u w:val="single"/>
          <w:lang w:val="en-US" w:eastAsia="zh-CN"/>
        </w:rPr>
        <w:t>5、提供上述要求的对接平台承诺函（相关硬件设备、软件数据根据排水一体化后与温州市“智慧排水”平台对接；对接产生的费用由中标人自行承担）格式自拟。</w:t>
      </w:r>
      <w:r>
        <w:rPr>
          <w:color w:val="auto"/>
        </w:rPr>
        <w:br w:type="page"/>
      </w:r>
    </w:p>
    <w:p>
      <w:pPr>
        <w:spacing w:line="360" w:lineRule="auto"/>
        <w:rPr>
          <w:color w:val="auto"/>
        </w:rPr>
      </w:pPr>
    </w:p>
    <w:p>
      <w:pPr>
        <w:pStyle w:val="3"/>
        <w:spacing w:line="360" w:lineRule="auto"/>
        <w:rPr>
          <w:rFonts w:ascii="宋体" w:hAnsi="宋体" w:eastAsia="宋体" w:cs="Arial"/>
          <w:color w:val="auto"/>
          <w:sz w:val="36"/>
          <w:szCs w:val="36"/>
        </w:rPr>
      </w:pPr>
      <w:bookmarkStart w:id="1003" w:name="_Toc10956"/>
      <w:r>
        <w:rPr>
          <w:rFonts w:hint="eastAsia" w:ascii="宋体" w:hAnsi="宋体" w:eastAsia="宋体" w:cs="Arial"/>
          <w:color w:val="auto"/>
          <w:sz w:val="36"/>
          <w:szCs w:val="36"/>
        </w:rPr>
        <w:t xml:space="preserve">第三部分   </w:t>
      </w:r>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r>
        <w:rPr>
          <w:rFonts w:hint="eastAsia" w:ascii="宋体" w:hAnsi="宋体" w:eastAsia="宋体" w:cs="Arial"/>
          <w:color w:val="auto"/>
          <w:sz w:val="36"/>
          <w:szCs w:val="36"/>
        </w:rPr>
        <w:t>评标原则及方法</w:t>
      </w:r>
      <w:bookmarkEnd w:id="1003"/>
    </w:p>
    <w:p>
      <w:pPr>
        <w:spacing w:line="360" w:lineRule="auto"/>
        <w:ind w:left="439" w:leftChars="209"/>
        <w:rPr>
          <w:rFonts w:ascii="宋体" w:hAnsi="宋体"/>
          <w:b/>
          <w:color w:val="auto"/>
          <w:sz w:val="22"/>
          <w:szCs w:val="22"/>
        </w:rPr>
      </w:pPr>
      <w:r>
        <w:rPr>
          <w:rFonts w:hint="eastAsia" w:ascii="宋体" w:hAnsi="宋体"/>
          <w:b/>
          <w:color w:val="auto"/>
          <w:sz w:val="22"/>
          <w:szCs w:val="22"/>
        </w:rPr>
        <w:t>据《中华人民共和国政府采购法》等相关法规特制定以下评标办法。</w:t>
      </w:r>
    </w:p>
    <w:p>
      <w:pPr>
        <w:pStyle w:val="25"/>
        <w:spacing w:before="120" w:beforeLines="50" w:afterLines="50" w:line="360" w:lineRule="auto"/>
        <w:rPr>
          <w:rFonts w:ascii="宋体" w:hAnsi="宋体" w:cs="Arial"/>
          <w:b/>
          <w:color w:val="auto"/>
        </w:rPr>
      </w:pPr>
      <w:bookmarkStart w:id="1004" w:name="_Toc221356898"/>
      <w:bookmarkStart w:id="1005" w:name="_Toc221356961"/>
      <w:r>
        <w:rPr>
          <w:rFonts w:hint="eastAsia" w:ascii="宋体" w:hAnsi="宋体" w:cs="Arial"/>
          <w:b/>
          <w:color w:val="auto"/>
        </w:rPr>
        <w:t>一. 总  则</w:t>
      </w:r>
      <w:bookmarkEnd w:id="1004"/>
      <w:bookmarkEnd w:id="1005"/>
    </w:p>
    <w:p>
      <w:pPr>
        <w:spacing w:line="360" w:lineRule="auto"/>
        <w:ind w:left="439" w:leftChars="209"/>
        <w:rPr>
          <w:rFonts w:ascii="宋体" w:hAnsi="宋体" w:cs="Arial"/>
          <w:color w:val="auto"/>
          <w:sz w:val="22"/>
          <w:szCs w:val="22"/>
        </w:rPr>
      </w:pPr>
      <w:r>
        <w:rPr>
          <w:rFonts w:hint="eastAsia" w:ascii="宋体" w:hAnsi="宋体" w:cs="Arial"/>
          <w:color w:val="auto"/>
          <w:sz w:val="22"/>
          <w:szCs w:val="22"/>
        </w:rPr>
        <w:t>评标工作遵循公平、公正、科学、择优原则和诚实、信誉、效率的服务原则。本着科学、严谨的态度，认真进行评标。择优选用，推进技术进步，确保工程质量、交货期，节约投资，最大限度的保护当事人权益，严格按照招标文件的商务、技术要求，对投标文件进行综合评定，提出优选方案，编写评标报告。对落标单位，评委会不作任何落标解释。投标人不得以任何方式干扰招投标工作的进行，一经发现其投标文件将被拒绝。</w:t>
      </w:r>
    </w:p>
    <w:p>
      <w:pPr>
        <w:spacing w:line="360" w:lineRule="auto"/>
        <w:rPr>
          <w:rFonts w:ascii="宋体" w:hAnsi="宋体" w:cs="Arial"/>
          <w:b/>
          <w:color w:val="auto"/>
          <w:sz w:val="22"/>
        </w:rPr>
      </w:pPr>
      <w:r>
        <w:rPr>
          <w:rFonts w:hint="eastAsia" w:ascii="宋体" w:hAnsi="宋体" w:cs="Arial"/>
          <w:b/>
          <w:color w:val="auto"/>
          <w:sz w:val="22"/>
        </w:rPr>
        <w:t>二、评标组织</w:t>
      </w:r>
    </w:p>
    <w:p>
      <w:pPr>
        <w:spacing w:line="360" w:lineRule="auto"/>
        <w:ind w:left="439" w:leftChars="209"/>
        <w:rPr>
          <w:rFonts w:ascii="宋体" w:hAnsi="宋体" w:cs="Arial"/>
          <w:color w:val="auto"/>
          <w:sz w:val="22"/>
          <w:szCs w:val="22"/>
        </w:rPr>
      </w:pPr>
      <w:r>
        <w:rPr>
          <w:rFonts w:hint="eastAsia" w:ascii="宋体" w:hAnsi="宋体"/>
          <w:color w:val="auto"/>
          <w:sz w:val="22"/>
          <w:szCs w:val="22"/>
        </w:rPr>
        <w:t>评标工作由招标人依法组建的评标委员会负责，评标全过程由有关部门指导监督。</w:t>
      </w:r>
    </w:p>
    <w:p>
      <w:pPr>
        <w:spacing w:line="360" w:lineRule="auto"/>
        <w:rPr>
          <w:rFonts w:ascii="宋体" w:hAnsi="宋体" w:cs="Arial"/>
          <w:b/>
          <w:color w:val="auto"/>
          <w:sz w:val="22"/>
        </w:rPr>
      </w:pPr>
      <w:r>
        <w:rPr>
          <w:rFonts w:hint="eastAsia" w:ascii="宋体" w:hAnsi="宋体" w:cs="Arial"/>
          <w:b/>
          <w:color w:val="auto"/>
          <w:sz w:val="22"/>
        </w:rPr>
        <w:t>三、评标办法</w:t>
      </w:r>
    </w:p>
    <w:p>
      <w:pPr>
        <w:spacing w:line="360" w:lineRule="auto"/>
        <w:ind w:left="439" w:leftChars="209"/>
        <w:rPr>
          <w:rFonts w:ascii="宋体" w:hAnsi="宋体" w:cs="Arial"/>
          <w:b/>
          <w:color w:val="auto"/>
          <w:sz w:val="22"/>
        </w:rPr>
      </w:pPr>
      <w:r>
        <w:rPr>
          <w:rFonts w:hint="eastAsia" w:ascii="宋体" w:hAnsi="宋体" w:cs="Arial"/>
          <w:color w:val="auto"/>
          <w:sz w:val="22"/>
        </w:rPr>
        <w:t>本次采购采用综合评分法，即投标人最大限度地满足招标文件实质性要求的基础上，按照招标文件的各项因素进行综合评审后，以评标总得分最高的投标人和次高的投标人作为第一和第二排序的中标候选人的评标方法。根据采购要求，</w:t>
      </w:r>
      <w:r>
        <w:rPr>
          <w:rFonts w:hint="eastAsia" w:ascii="宋体" w:hAnsi="宋体" w:cs="Arial"/>
          <w:b/>
          <w:color w:val="auto"/>
          <w:sz w:val="22"/>
        </w:rPr>
        <w:t>总分设定为100分；其中商务技术文件</w:t>
      </w:r>
      <w:r>
        <w:rPr>
          <w:rFonts w:hint="eastAsia" w:ascii="宋体" w:hAnsi="宋体" w:cs="Arial"/>
          <w:b/>
          <w:color w:val="auto"/>
          <w:sz w:val="22"/>
          <w:lang w:val="en-US" w:eastAsia="zh-CN"/>
        </w:rPr>
        <w:t>70</w:t>
      </w:r>
      <w:r>
        <w:rPr>
          <w:rFonts w:hint="eastAsia" w:ascii="宋体" w:hAnsi="宋体" w:cs="Arial"/>
          <w:b/>
          <w:color w:val="auto"/>
          <w:sz w:val="22"/>
        </w:rPr>
        <w:t>分，报价文件（报价）</w:t>
      </w:r>
      <w:r>
        <w:rPr>
          <w:rFonts w:hint="eastAsia" w:ascii="宋体" w:hAnsi="宋体" w:cs="Arial"/>
          <w:b/>
          <w:color w:val="auto"/>
          <w:sz w:val="22"/>
          <w:lang w:val="en-US" w:eastAsia="zh-CN"/>
        </w:rPr>
        <w:t>30</w:t>
      </w:r>
      <w:r>
        <w:rPr>
          <w:rFonts w:hint="eastAsia" w:ascii="宋体" w:hAnsi="宋体" w:cs="Arial"/>
          <w:b/>
          <w:color w:val="auto"/>
          <w:sz w:val="22"/>
        </w:rPr>
        <w:t>分。</w:t>
      </w:r>
    </w:p>
    <w:p>
      <w:pPr>
        <w:spacing w:line="360" w:lineRule="auto"/>
        <w:rPr>
          <w:rFonts w:ascii="宋体" w:hAnsi="宋体" w:cs="Arial"/>
          <w:b/>
          <w:color w:val="auto"/>
          <w:sz w:val="22"/>
        </w:rPr>
      </w:pPr>
      <w:bookmarkStart w:id="1006" w:name="_Toc221356965"/>
      <w:bookmarkStart w:id="1007" w:name="_Toc221356902"/>
      <w:r>
        <w:rPr>
          <w:rFonts w:hint="eastAsia" w:ascii="宋体" w:hAnsi="宋体" w:cs="Arial"/>
          <w:b/>
          <w:color w:val="auto"/>
          <w:sz w:val="22"/>
        </w:rPr>
        <w:t>四、评分细则</w:t>
      </w:r>
      <w:bookmarkEnd w:id="1006"/>
      <w:bookmarkEnd w:id="1007"/>
    </w:p>
    <w:p>
      <w:pPr>
        <w:spacing w:line="360" w:lineRule="auto"/>
        <w:rPr>
          <w:rFonts w:ascii="宋体" w:hAnsi="宋体" w:cs="Arial"/>
          <w:color w:val="auto"/>
          <w:sz w:val="22"/>
        </w:rPr>
      </w:pPr>
      <w:bookmarkStart w:id="1008" w:name="_Toc221356966"/>
      <w:bookmarkStart w:id="1009" w:name="_Toc221356903"/>
      <w:r>
        <w:rPr>
          <w:rFonts w:hint="eastAsia" w:ascii="宋体" w:hAnsi="宋体" w:cs="Arial"/>
          <w:color w:val="auto"/>
          <w:sz w:val="22"/>
        </w:rPr>
        <w:t>1、商务技术分的评定（</w:t>
      </w:r>
      <w:r>
        <w:rPr>
          <w:rFonts w:hint="eastAsia" w:ascii="宋体" w:hAnsi="宋体" w:cs="Arial"/>
          <w:color w:val="auto"/>
          <w:sz w:val="22"/>
          <w:lang w:val="en-US" w:eastAsia="zh-CN"/>
        </w:rPr>
        <w:t>70</w:t>
      </w:r>
      <w:r>
        <w:rPr>
          <w:rFonts w:hint="eastAsia" w:ascii="宋体" w:hAnsi="宋体" w:cs="Arial"/>
          <w:color w:val="auto"/>
          <w:sz w:val="22"/>
        </w:rPr>
        <w:t>分）</w:t>
      </w:r>
    </w:p>
    <w:p>
      <w:pPr>
        <w:spacing w:line="360" w:lineRule="auto"/>
        <w:ind w:left="439" w:leftChars="209"/>
        <w:rPr>
          <w:rFonts w:ascii="宋体" w:hAnsi="宋体" w:cs="Arial"/>
          <w:color w:val="auto"/>
          <w:sz w:val="22"/>
        </w:rPr>
      </w:pPr>
      <w:r>
        <w:rPr>
          <w:rFonts w:hint="eastAsia" w:ascii="宋体" w:hAnsi="宋体" w:cs="Arial"/>
          <w:color w:val="auto"/>
          <w:sz w:val="22"/>
        </w:rPr>
        <w:t>各评委成员按下列评分项目进行评定，每人一张评分计算表，由评标委员会成员各自评定打分并记实名。如任何一张表的一项评分内容分值超过规定的范围，则该张表无效。评标委员会成员对各投标人的各项评分内容评分的合计分的算术平均值为该投标人技术分的最终得分（四舍五入，保留小数点后二位）。</w:t>
      </w:r>
    </w:p>
    <w:tbl>
      <w:tblPr>
        <w:tblStyle w:val="63"/>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660"/>
        <w:gridCol w:w="1595"/>
        <w:gridCol w:w="6670"/>
        <w:gridCol w:w="9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2" w:hRule="atLeast"/>
          <w:jc w:val="center"/>
        </w:trPr>
        <w:tc>
          <w:tcPr>
            <w:tcW w:w="655" w:type="dxa"/>
            <w:shd w:val="clear" w:color="auto" w:fill="auto"/>
            <w:vAlign w:val="center"/>
          </w:tcPr>
          <w:p>
            <w:pPr>
              <w:keepNext w:val="0"/>
              <w:keepLines w:val="0"/>
              <w:pageBreakBefore w:val="0"/>
              <w:kinsoku/>
              <w:wordWrap/>
              <w:topLinePunct w:val="0"/>
              <w:bidi w:val="0"/>
              <w:spacing w:line="240" w:lineRule="auto"/>
              <w:jc w:val="center"/>
              <w:rPr>
                <w:rFonts w:hint="eastAsia" w:ascii="宋体" w:hAnsi="宋体" w:eastAsia="宋体" w:cs="宋体"/>
                <w:sz w:val="22"/>
                <w:szCs w:val="22"/>
                <w:highlight w:val="none"/>
              </w:rPr>
            </w:pPr>
            <w:r>
              <w:rPr>
                <w:rFonts w:hint="eastAsia" w:ascii="宋体" w:hAnsi="宋体" w:eastAsia="宋体" w:cs="宋体"/>
                <w:b w:val="0"/>
                <w:bCs w:val="0"/>
                <w:color w:val="000000"/>
                <w:sz w:val="22"/>
                <w:szCs w:val="22"/>
                <w:highlight w:val="none"/>
              </w:rPr>
              <w:t>序号</w:t>
            </w:r>
          </w:p>
        </w:tc>
        <w:tc>
          <w:tcPr>
            <w:tcW w:w="1582" w:type="dxa"/>
            <w:shd w:val="clear" w:color="auto" w:fill="auto"/>
            <w:vAlign w:val="center"/>
          </w:tcPr>
          <w:p>
            <w:pPr>
              <w:keepNext w:val="0"/>
              <w:keepLines w:val="0"/>
              <w:pageBreakBefore w:val="0"/>
              <w:kinsoku/>
              <w:wordWrap/>
              <w:topLinePunct w:val="0"/>
              <w:bidi w:val="0"/>
              <w:spacing w:line="240" w:lineRule="auto"/>
              <w:jc w:val="center"/>
              <w:rPr>
                <w:rFonts w:hint="eastAsia" w:ascii="宋体" w:hAnsi="宋体" w:eastAsia="宋体" w:cs="宋体"/>
                <w:sz w:val="22"/>
                <w:szCs w:val="22"/>
                <w:highlight w:val="none"/>
              </w:rPr>
            </w:pPr>
            <w:r>
              <w:rPr>
                <w:rFonts w:hint="eastAsia" w:ascii="宋体" w:hAnsi="宋体" w:eastAsia="宋体" w:cs="宋体"/>
                <w:b w:val="0"/>
                <w:bCs w:val="0"/>
                <w:color w:val="000000"/>
                <w:sz w:val="22"/>
                <w:szCs w:val="22"/>
                <w:highlight w:val="none"/>
              </w:rPr>
              <w:t>评标因素</w:t>
            </w:r>
          </w:p>
        </w:tc>
        <w:tc>
          <w:tcPr>
            <w:tcW w:w="6617" w:type="dxa"/>
            <w:shd w:val="clear" w:color="auto" w:fill="auto"/>
            <w:vAlign w:val="center"/>
          </w:tcPr>
          <w:p>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评标标准</w:t>
            </w:r>
          </w:p>
        </w:tc>
        <w:tc>
          <w:tcPr>
            <w:tcW w:w="922" w:type="dxa"/>
            <w:shd w:val="clear" w:color="auto" w:fill="auto"/>
            <w:vAlign w:val="center"/>
          </w:tcPr>
          <w:p>
            <w:pPr>
              <w:spacing w:line="360" w:lineRule="auto"/>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37" w:hRule="atLeast"/>
          <w:jc w:val="center"/>
        </w:trPr>
        <w:tc>
          <w:tcPr>
            <w:tcW w:w="655" w:type="dxa"/>
            <w:shd w:val="clear" w:color="auto" w:fill="auto"/>
            <w:vAlign w:val="center"/>
          </w:tcPr>
          <w:p>
            <w:pPr>
              <w:spacing w:line="360" w:lineRule="auto"/>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w:t>
            </w:r>
          </w:p>
        </w:tc>
        <w:tc>
          <w:tcPr>
            <w:tcW w:w="1582" w:type="dxa"/>
            <w:shd w:val="clear" w:color="auto" w:fill="auto"/>
            <w:vAlign w:val="center"/>
          </w:tcPr>
          <w:p>
            <w:pPr>
              <w:spacing w:line="360" w:lineRule="auto"/>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投标人资质能力</w:t>
            </w:r>
          </w:p>
        </w:tc>
        <w:tc>
          <w:tcPr>
            <w:tcW w:w="6617" w:type="dxa"/>
            <w:shd w:val="clear" w:color="auto" w:fill="auto"/>
            <w:vAlign w:val="center"/>
          </w:tcPr>
          <w:p>
            <w:pPr>
              <w:spacing w:line="360" w:lineRule="auto"/>
              <w:jc w:val="left"/>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1、投标人具有：质量管理体系认证证书；职业健康安全管理体系认证证书；环境管理体系认证证书；每具备1个证书的</w:t>
            </w:r>
            <w:r>
              <w:rPr>
                <w:rFonts w:hint="eastAsia" w:ascii="宋体" w:hAnsi="宋体" w:cs="宋体"/>
                <w:sz w:val="22"/>
                <w:szCs w:val="22"/>
                <w:highlight w:val="none"/>
                <w:lang w:val="en-US" w:eastAsia="zh-CN"/>
              </w:rPr>
              <w:t>1</w:t>
            </w:r>
            <w:r>
              <w:rPr>
                <w:rFonts w:hint="eastAsia" w:ascii="宋体" w:hAnsi="宋体" w:eastAsia="宋体" w:cs="宋体"/>
                <w:sz w:val="22"/>
                <w:szCs w:val="22"/>
                <w:highlight w:val="none"/>
                <w:lang w:val="en-US" w:eastAsia="zh-CN"/>
              </w:rPr>
              <w:t>分，最高得</w:t>
            </w:r>
            <w:r>
              <w:rPr>
                <w:rFonts w:hint="eastAsia" w:ascii="宋体" w:hAnsi="宋体" w:cs="宋体"/>
                <w:sz w:val="22"/>
                <w:szCs w:val="22"/>
                <w:highlight w:val="none"/>
                <w:lang w:val="en-US" w:eastAsia="zh-CN"/>
              </w:rPr>
              <w:t>3</w:t>
            </w:r>
            <w:r>
              <w:rPr>
                <w:rFonts w:hint="eastAsia" w:ascii="宋体" w:hAnsi="宋体" w:eastAsia="宋体" w:cs="宋体"/>
                <w:sz w:val="22"/>
                <w:szCs w:val="22"/>
                <w:highlight w:val="none"/>
                <w:lang w:val="en-US" w:eastAsia="zh-CN"/>
              </w:rPr>
              <w:t>分。证书认证范围需包含软件开发，否则不得分。</w:t>
            </w:r>
            <w:r>
              <w:rPr>
                <w:rFonts w:hint="eastAsia" w:ascii="宋体" w:hAnsi="宋体" w:eastAsia="宋体" w:cs="宋体"/>
                <w:sz w:val="22"/>
                <w:szCs w:val="22"/>
                <w:highlight w:val="none"/>
                <w:lang w:val="en-US" w:eastAsia="zh-CN"/>
              </w:rPr>
              <w:br w:type="textWrapping"/>
            </w:r>
            <w:r>
              <w:rPr>
                <w:rFonts w:hint="eastAsia" w:ascii="宋体" w:hAnsi="宋体" w:eastAsia="宋体" w:cs="宋体"/>
                <w:sz w:val="22"/>
                <w:szCs w:val="22"/>
                <w:highlight w:val="none"/>
                <w:lang w:val="en-US" w:eastAsia="zh-CN"/>
              </w:rPr>
              <w:t>2、投标人获得信息技术服务管理体系认证、信息安全管理体系认证、信息技术服务运营维护标准符合性证书（ITSS），每个证书得1分，最高得3分。</w:t>
            </w:r>
            <w:r>
              <w:rPr>
                <w:rFonts w:hint="eastAsia" w:ascii="宋体" w:hAnsi="宋体" w:eastAsia="宋体" w:cs="宋体"/>
                <w:sz w:val="22"/>
                <w:szCs w:val="22"/>
                <w:highlight w:val="none"/>
                <w:lang w:val="en-US" w:eastAsia="zh-CN"/>
              </w:rPr>
              <w:br w:type="textWrapping"/>
            </w:r>
            <w:r>
              <w:rPr>
                <w:rFonts w:hint="eastAsia" w:ascii="宋体" w:hAnsi="宋体" w:eastAsia="宋体" w:cs="宋体"/>
                <w:sz w:val="22"/>
                <w:szCs w:val="22"/>
                <w:highlight w:val="none"/>
                <w:lang w:val="en-US" w:eastAsia="zh-CN"/>
              </w:rPr>
              <w:t>注：须提供扫描件加盖电子公章，否则不得分。</w:t>
            </w:r>
          </w:p>
        </w:tc>
        <w:tc>
          <w:tcPr>
            <w:tcW w:w="922" w:type="dxa"/>
            <w:shd w:val="clear" w:color="auto" w:fill="auto"/>
            <w:vAlign w:val="center"/>
          </w:tcPr>
          <w:p>
            <w:pPr>
              <w:spacing w:line="360" w:lineRule="auto"/>
              <w:jc w:val="center"/>
              <w:rPr>
                <w:rFonts w:hint="default"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0-</w:t>
            </w:r>
            <w:r>
              <w:rPr>
                <w:rFonts w:hint="eastAsia" w:ascii="宋体" w:hAnsi="宋体" w:cs="宋体"/>
                <w:sz w:val="22"/>
                <w:szCs w:val="22"/>
                <w:highlight w:val="none"/>
                <w:lang w:val="en-US" w:eastAsia="zh-CN"/>
              </w:rPr>
              <w:t>6</w:t>
            </w:r>
            <w:r>
              <w:rPr>
                <w:rFonts w:hint="eastAsia" w:ascii="宋体" w:hAnsi="宋体" w:eastAsia="宋体" w:cs="宋体"/>
                <w:sz w:val="22"/>
                <w:szCs w:val="22"/>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3" w:hRule="atLeast"/>
          <w:jc w:val="center"/>
        </w:trPr>
        <w:tc>
          <w:tcPr>
            <w:tcW w:w="655" w:type="dxa"/>
            <w:shd w:val="clear" w:color="auto" w:fill="auto"/>
            <w:vAlign w:val="center"/>
          </w:tcPr>
          <w:p>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2</w:t>
            </w:r>
          </w:p>
        </w:tc>
        <w:tc>
          <w:tcPr>
            <w:tcW w:w="1582" w:type="dxa"/>
            <w:shd w:val="clear" w:color="auto" w:fill="auto"/>
            <w:vAlign w:val="center"/>
          </w:tcPr>
          <w:p>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项目总体设计</w:t>
            </w:r>
          </w:p>
        </w:tc>
        <w:tc>
          <w:tcPr>
            <w:tcW w:w="6617" w:type="dxa"/>
            <w:shd w:val="clear" w:color="auto" w:fill="auto"/>
            <w:vAlign w:val="center"/>
          </w:tcPr>
          <w:p>
            <w:pPr>
              <w:spacing w:line="360" w:lineRule="auto"/>
              <w:jc w:val="left"/>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投标人应充分考虑本项目的建设背景、总体架构、应用系统架构、业务系统功能设计，符合采购人对洞头区智慧排水一期项目的功能要求，在投标文件中提供总体设计方案。根据投标人方案的设计完整程度、设计合理性、阐述详尽程度、系统先进性，是否符合采购要求等进行评价；</w:t>
            </w:r>
            <w:r>
              <w:rPr>
                <w:rFonts w:hint="eastAsia" w:ascii="宋体" w:hAnsi="宋体" w:eastAsia="宋体" w:cs="宋体"/>
                <w:sz w:val="22"/>
                <w:szCs w:val="22"/>
                <w:highlight w:val="none"/>
                <w:lang w:val="en-US" w:eastAsia="zh-CN"/>
              </w:rPr>
              <w:br w:type="textWrapping"/>
            </w:r>
            <w:r>
              <w:rPr>
                <w:rFonts w:hint="eastAsia" w:ascii="宋体" w:hAnsi="宋体" w:eastAsia="宋体" w:cs="宋体"/>
                <w:sz w:val="22"/>
                <w:szCs w:val="22"/>
                <w:highlight w:val="none"/>
                <w:lang w:val="en-US" w:eastAsia="zh-CN"/>
              </w:rPr>
              <w:t>根据方案的优劣情况进行评分，优秀的得</w:t>
            </w:r>
            <w:bookmarkStart w:id="1010" w:name="OLE_LINK5"/>
            <w:r>
              <w:rPr>
                <w:rFonts w:hint="eastAsia" w:ascii="宋体" w:hAnsi="宋体" w:cs="宋体"/>
                <w:sz w:val="22"/>
                <w:szCs w:val="22"/>
                <w:highlight w:val="none"/>
                <w:lang w:val="en-US" w:eastAsia="zh-CN"/>
              </w:rPr>
              <w:t>3</w:t>
            </w:r>
            <w:r>
              <w:rPr>
                <w:rFonts w:hint="eastAsia" w:ascii="宋体" w:hAnsi="宋体" w:eastAsia="宋体" w:cs="宋体"/>
                <w:sz w:val="22"/>
                <w:szCs w:val="22"/>
                <w:highlight w:val="none"/>
                <w:lang w:val="en-US" w:eastAsia="zh-CN"/>
              </w:rPr>
              <w:t>-</w:t>
            </w:r>
            <w:r>
              <w:rPr>
                <w:rFonts w:hint="eastAsia" w:ascii="宋体" w:hAnsi="宋体" w:cs="宋体"/>
                <w:sz w:val="22"/>
                <w:szCs w:val="22"/>
                <w:highlight w:val="none"/>
                <w:lang w:val="en-US" w:eastAsia="zh-CN"/>
              </w:rPr>
              <w:t>2</w:t>
            </w:r>
            <w:r>
              <w:rPr>
                <w:rFonts w:hint="eastAsia" w:ascii="宋体" w:hAnsi="宋体" w:eastAsia="宋体" w:cs="宋体"/>
                <w:sz w:val="22"/>
                <w:szCs w:val="22"/>
                <w:highlight w:val="none"/>
                <w:lang w:val="en-US" w:eastAsia="zh-CN"/>
              </w:rPr>
              <w:t>.</w:t>
            </w:r>
            <w:bookmarkEnd w:id="1010"/>
            <w:r>
              <w:rPr>
                <w:rFonts w:hint="eastAsia" w:ascii="宋体" w:hAnsi="宋体" w:cs="宋体"/>
                <w:sz w:val="22"/>
                <w:szCs w:val="22"/>
                <w:highlight w:val="none"/>
                <w:lang w:val="en-US" w:eastAsia="zh-CN"/>
              </w:rPr>
              <w:t>1</w:t>
            </w:r>
            <w:r>
              <w:rPr>
                <w:rFonts w:hint="eastAsia" w:ascii="宋体" w:hAnsi="宋体" w:eastAsia="宋体" w:cs="宋体"/>
                <w:sz w:val="22"/>
                <w:szCs w:val="22"/>
                <w:highlight w:val="none"/>
                <w:lang w:val="en-US" w:eastAsia="zh-CN"/>
              </w:rPr>
              <w:t>分，良好的得</w:t>
            </w:r>
            <w:bookmarkStart w:id="1011" w:name="OLE_LINK6"/>
            <w:r>
              <w:rPr>
                <w:rFonts w:hint="eastAsia" w:ascii="宋体" w:hAnsi="宋体" w:cs="宋体"/>
                <w:sz w:val="22"/>
                <w:szCs w:val="22"/>
                <w:highlight w:val="none"/>
                <w:lang w:val="en-US" w:eastAsia="zh-CN"/>
              </w:rPr>
              <w:t>2</w:t>
            </w:r>
            <w:r>
              <w:rPr>
                <w:rFonts w:hint="eastAsia" w:ascii="宋体" w:hAnsi="宋体" w:eastAsia="宋体" w:cs="宋体"/>
                <w:sz w:val="22"/>
                <w:szCs w:val="22"/>
                <w:highlight w:val="none"/>
                <w:lang w:val="en-US" w:eastAsia="zh-CN"/>
              </w:rPr>
              <w:t>-1.1</w:t>
            </w:r>
            <w:bookmarkEnd w:id="1011"/>
            <w:r>
              <w:rPr>
                <w:rFonts w:hint="eastAsia" w:ascii="宋体" w:hAnsi="宋体" w:eastAsia="宋体" w:cs="宋体"/>
                <w:sz w:val="22"/>
                <w:szCs w:val="22"/>
                <w:highlight w:val="none"/>
                <w:lang w:val="en-US" w:eastAsia="zh-CN"/>
              </w:rPr>
              <w:t>分，一般的得1-0</w:t>
            </w:r>
            <w:r>
              <w:rPr>
                <w:rFonts w:hint="eastAsia" w:ascii="宋体" w:hAnsi="宋体" w:cs="宋体"/>
                <w:sz w:val="22"/>
                <w:szCs w:val="22"/>
                <w:highlight w:val="none"/>
                <w:lang w:val="en-US" w:eastAsia="zh-CN"/>
              </w:rPr>
              <w:t>.1</w:t>
            </w:r>
            <w:r>
              <w:rPr>
                <w:rFonts w:hint="eastAsia" w:ascii="宋体" w:hAnsi="宋体" w:eastAsia="宋体" w:cs="宋体"/>
                <w:sz w:val="22"/>
                <w:szCs w:val="22"/>
                <w:highlight w:val="none"/>
                <w:lang w:val="en-US" w:eastAsia="zh-CN"/>
              </w:rPr>
              <w:t>分</w:t>
            </w:r>
            <w:r>
              <w:rPr>
                <w:rFonts w:hint="eastAsia" w:ascii="宋体" w:hAnsi="宋体" w:cs="宋体"/>
                <w:sz w:val="22"/>
                <w:szCs w:val="22"/>
                <w:highlight w:val="none"/>
                <w:lang w:val="en-US" w:eastAsia="zh-CN"/>
              </w:rPr>
              <w:t>；</w:t>
            </w:r>
            <w:r>
              <w:rPr>
                <w:rFonts w:hint="eastAsia" w:ascii="宋体" w:hAnsi="宋体" w:cs="宋体"/>
                <w:kern w:val="0"/>
                <w:sz w:val="22"/>
                <w:szCs w:val="22"/>
                <w:highlight w:val="none"/>
              </w:rPr>
              <w:t>未提供的不得分。</w:t>
            </w:r>
          </w:p>
        </w:tc>
        <w:tc>
          <w:tcPr>
            <w:tcW w:w="922" w:type="dxa"/>
            <w:shd w:val="clear" w:color="auto" w:fill="auto"/>
            <w:vAlign w:val="center"/>
          </w:tcPr>
          <w:p>
            <w:pPr>
              <w:spacing w:line="360" w:lineRule="auto"/>
              <w:jc w:val="center"/>
              <w:rPr>
                <w:rFonts w:hint="default" w:ascii="宋体" w:hAnsi="宋体" w:eastAsia="宋体" w:cs="宋体"/>
                <w:sz w:val="22"/>
                <w:szCs w:val="22"/>
                <w:highlight w:val="none"/>
                <w:lang w:val="en-US"/>
              </w:rPr>
            </w:pPr>
            <w:r>
              <w:rPr>
                <w:rFonts w:hint="eastAsia" w:ascii="宋体" w:hAnsi="宋体" w:eastAsia="宋体" w:cs="宋体"/>
                <w:sz w:val="22"/>
                <w:szCs w:val="22"/>
                <w:highlight w:val="none"/>
                <w:lang w:val="en-US" w:eastAsia="zh-CN"/>
              </w:rPr>
              <w:t>0-</w:t>
            </w:r>
            <w:r>
              <w:rPr>
                <w:rFonts w:hint="eastAsia" w:ascii="宋体" w:hAnsi="宋体" w:cs="宋体"/>
                <w:sz w:val="22"/>
                <w:szCs w:val="22"/>
                <w:highlight w:val="none"/>
                <w:lang w:val="en-US" w:eastAsia="zh-CN"/>
              </w:rPr>
              <w:t>3</w:t>
            </w:r>
            <w:r>
              <w:rPr>
                <w:rFonts w:hint="eastAsia" w:ascii="宋体" w:hAnsi="宋体" w:eastAsia="宋体" w:cs="宋体"/>
                <w:sz w:val="22"/>
                <w:szCs w:val="22"/>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17" w:hRule="atLeast"/>
          <w:jc w:val="center"/>
        </w:trPr>
        <w:tc>
          <w:tcPr>
            <w:tcW w:w="655" w:type="dxa"/>
            <w:shd w:val="clear" w:color="auto" w:fill="auto"/>
            <w:vAlign w:val="center"/>
          </w:tcPr>
          <w:p>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3</w:t>
            </w:r>
          </w:p>
        </w:tc>
        <w:tc>
          <w:tcPr>
            <w:tcW w:w="1582" w:type="dxa"/>
            <w:shd w:val="clear" w:color="auto" w:fill="auto"/>
            <w:vAlign w:val="center"/>
          </w:tcPr>
          <w:p>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项目需求分析</w:t>
            </w:r>
          </w:p>
        </w:tc>
        <w:tc>
          <w:tcPr>
            <w:tcW w:w="6617" w:type="dxa"/>
            <w:shd w:val="clear" w:color="auto" w:fill="auto"/>
            <w:vAlign w:val="center"/>
          </w:tcPr>
          <w:p>
            <w:pPr>
              <w:spacing w:line="360" w:lineRule="auto"/>
              <w:jc w:val="left"/>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根据投标人提供的现状情况调研报告进行评价，能正确理解项目服务需求，对采购人的项目需求进行深入调研并撰写项目需求调研报告。需求调研报告内容符合项目实际、详细完整深入、能理解并详细阐述各系统内容及流程、实施细则，是否符合采购人的实际需求。根据方案的优劣情况进行评分，优秀的得</w:t>
            </w:r>
            <w:r>
              <w:rPr>
                <w:rFonts w:hint="eastAsia" w:ascii="宋体" w:hAnsi="宋体" w:cs="宋体"/>
                <w:sz w:val="22"/>
                <w:szCs w:val="22"/>
                <w:highlight w:val="none"/>
                <w:lang w:val="en-US" w:eastAsia="zh-CN"/>
              </w:rPr>
              <w:t>3</w:t>
            </w:r>
            <w:r>
              <w:rPr>
                <w:rFonts w:hint="eastAsia" w:ascii="宋体" w:hAnsi="宋体" w:eastAsia="宋体" w:cs="宋体"/>
                <w:sz w:val="22"/>
                <w:szCs w:val="22"/>
                <w:highlight w:val="none"/>
                <w:lang w:val="en-US" w:eastAsia="zh-CN"/>
              </w:rPr>
              <w:t>-</w:t>
            </w:r>
            <w:r>
              <w:rPr>
                <w:rFonts w:hint="eastAsia" w:ascii="宋体" w:hAnsi="宋体" w:cs="宋体"/>
                <w:sz w:val="22"/>
                <w:szCs w:val="22"/>
                <w:highlight w:val="none"/>
                <w:lang w:val="en-US" w:eastAsia="zh-CN"/>
              </w:rPr>
              <w:t>2</w:t>
            </w:r>
            <w:r>
              <w:rPr>
                <w:rFonts w:hint="eastAsia" w:ascii="宋体" w:hAnsi="宋体" w:eastAsia="宋体" w:cs="宋体"/>
                <w:sz w:val="22"/>
                <w:szCs w:val="22"/>
                <w:highlight w:val="none"/>
                <w:lang w:val="en-US" w:eastAsia="zh-CN"/>
              </w:rPr>
              <w:t>.</w:t>
            </w:r>
            <w:r>
              <w:rPr>
                <w:rFonts w:hint="eastAsia" w:ascii="宋体" w:hAnsi="宋体" w:cs="宋体"/>
                <w:sz w:val="22"/>
                <w:szCs w:val="22"/>
                <w:highlight w:val="none"/>
                <w:lang w:val="en-US" w:eastAsia="zh-CN"/>
              </w:rPr>
              <w:t>1</w:t>
            </w:r>
            <w:r>
              <w:rPr>
                <w:rFonts w:hint="eastAsia" w:ascii="宋体" w:hAnsi="宋体" w:eastAsia="宋体" w:cs="宋体"/>
                <w:sz w:val="22"/>
                <w:szCs w:val="22"/>
                <w:highlight w:val="none"/>
                <w:lang w:val="en-US" w:eastAsia="zh-CN"/>
              </w:rPr>
              <w:t>分，良好的得2-1.1分，一般的得1-0</w:t>
            </w:r>
            <w:r>
              <w:rPr>
                <w:rFonts w:hint="eastAsia" w:ascii="宋体" w:hAnsi="宋体" w:cs="宋体"/>
                <w:sz w:val="22"/>
                <w:szCs w:val="22"/>
                <w:highlight w:val="none"/>
                <w:lang w:val="en-US" w:eastAsia="zh-CN"/>
              </w:rPr>
              <w:t>.1</w:t>
            </w:r>
            <w:r>
              <w:rPr>
                <w:rFonts w:hint="eastAsia" w:ascii="宋体" w:hAnsi="宋体" w:eastAsia="宋体" w:cs="宋体"/>
                <w:sz w:val="22"/>
                <w:szCs w:val="22"/>
                <w:highlight w:val="none"/>
                <w:lang w:val="en-US" w:eastAsia="zh-CN"/>
              </w:rPr>
              <w:t>分</w:t>
            </w:r>
            <w:bookmarkStart w:id="1012" w:name="OLE_LINK7"/>
            <w:r>
              <w:rPr>
                <w:rFonts w:hint="eastAsia" w:ascii="宋体" w:hAnsi="宋体" w:cs="宋体"/>
                <w:sz w:val="22"/>
                <w:szCs w:val="22"/>
                <w:highlight w:val="none"/>
                <w:lang w:val="en-US" w:eastAsia="zh-CN"/>
              </w:rPr>
              <w:t>；</w:t>
            </w:r>
            <w:r>
              <w:rPr>
                <w:rFonts w:hint="eastAsia" w:ascii="宋体" w:hAnsi="宋体" w:cs="宋体"/>
                <w:kern w:val="0"/>
                <w:sz w:val="22"/>
                <w:szCs w:val="22"/>
                <w:highlight w:val="none"/>
              </w:rPr>
              <w:t>未提供的不得分。</w:t>
            </w:r>
            <w:bookmarkEnd w:id="1012"/>
          </w:p>
        </w:tc>
        <w:tc>
          <w:tcPr>
            <w:tcW w:w="922" w:type="dxa"/>
            <w:shd w:val="clear" w:color="auto" w:fill="auto"/>
            <w:vAlign w:val="center"/>
          </w:tcPr>
          <w:p>
            <w:pPr>
              <w:spacing w:line="360" w:lineRule="auto"/>
              <w:jc w:val="center"/>
              <w:rPr>
                <w:rFonts w:hint="default" w:ascii="宋体" w:hAnsi="宋体" w:eastAsia="宋体" w:cs="宋体"/>
                <w:sz w:val="22"/>
                <w:szCs w:val="22"/>
                <w:highlight w:val="none"/>
                <w:lang w:val="en-US"/>
              </w:rPr>
            </w:pPr>
            <w:r>
              <w:rPr>
                <w:rFonts w:hint="eastAsia" w:ascii="宋体" w:hAnsi="宋体" w:eastAsia="宋体" w:cs="宋体"/>
                <w:sz w:val="22"/>
                <w:szCs w:val="22"/>
                <w:highlight w:val="none"/>
                <w:lang w:val="en-US" w:eastAsia="zh-CN"/>
              </w:rPr>
              <w:t>0-</w:t>
            </w:r>
            <w:r>
              <w:rPr>
                <w:rFonts w:hint="eastAsia" w:ascii="宋体" w:hAnsi="宋体" w:cs="宋体"/>
                <w:sz w:val="22"/>
                <w:szCs w:val="22"/>
                <w:highlight w:val="none"/>
                <w:lang w:val="en-US" w:eastAsia="zh-CN"/>
              </w:rPr>
              <w:t>3</w:t>
            </w:r>
            <w:r>
              <w:rPr>
                <w:rFonts w:hint="eastAsia" w:ascii="宋体" w:hAnsi="宋体" w:eastAsia="宋体" w:cs="宋体"/>
                <w:sz w:val="22"/>
                <w:szCs w:val="22"/>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648" w:hRule="atLeast"/>
          <w:jc w:val="center"/>
        </w:trPr>
        <w:tc>
          <w:tcPr>
            <w:tcW w:w="655" w:type="dxa"/>
            <w:shd w:val="clear" w:color="auto" w:fill="auto"/>
            <w:vAlign w:val="center"/>
          </w:tcPr>
          <w:p>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4</w:t>
            </w:r>
          </w:p>
        </w:tc>
        <w:tc>
          <w:tcPr>
            <w:tcW w:w="1582" w:type="dxa"/>
            <w:shd w:val="clear" w:color="auto" w:fill="auto"/>
            <w:vAlign w:val="center"/>
          </w:tcPr>
          <w:p>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u盘讲解演示</w:t>
            </w:r>
          </w:p>
        </w:tc>
        <w:tc>
          <w:tcPr>
            <w:tcW w:w="6617" w:type="dxa"/>
            <w:shd w:val="clear" w:color="auto" w:fill="auto"/>
            <w:vAlign w:val="center"/>
          </w:tcPr>
          <w:p>
            <w:pPr>
              <w:spacing w:line="360" w:lineRule="auto"/>
              <w:jc w:val="left"/>
              <w:rPr>
                <w:rFonts w:hint="eastAsia" w:ascii="宋体" w:hAnsi="宋体" w:eastAsia="宋体" w:cs="宋体"/>
                <w:sz w:val="22"/>
                <w:szCs w:val="22"/>
                <w:highlight w:val="none"/>
              </w:rPr>
            </w:pPr>
            <w:bookmarkStart w:id="1013" w:name="OLE_LINK1"/>
            <w:r>
              <w:rPr>
                <w:rFonts w:hint="eastAsia" w:ascii="宋体" w:hAnsi="宋体" w:cs="宋体"/>
                <w:i w:val="0"/>
                <w:iCs w:val="0"/>
                <w:kern w:val="2"/>
                <w:sz w:val="22"/>
                <w:szCs w:val="22"/>
                <w:highlight w:val="none"/>
                <w:u w:val="none"/>
                <w:lang w:val="en-US" w:eastAsia="zh-CN" w:bidi="ar"/>
              </w:rPr>
              <w:t>要</w:t>
            </w:r>
            <w:r>
              <w:rPr>
                <w:rFonts w:hint="eastAsia" w:ascii="宋体" w:hAnsi="宋体" w:eastAsia="宋体" w:cs="宋体"/>
                <w:i w:val="0"/>
                <w:iCs w:val="0"/>
                <w:kern w:val="2"/>
                <w:sz w:val="22"/>
                <w:szCs w:val="22"/>
                <w:highlight w:val="none"/>
                <w:u w:val="none"/>
                <w:lang w:val="en-US" w:eastAsia="zh-CN" w:bidi="ar"/>
              </w:rPr>
              <w:t>求投标人证明具有成功推进本项目类似的信息化系统上线实施的能力，提供本项目内容类似的落地项目的实际系统演示视频。实际系统演示视频应至少包含本项目的如下10个建设内容模块：管网数据质检工具、综合管网GIS系统、三维管网GIS系统、AR管网、防内涝调度系统、排水设施健康管理、排水设施智慧运维、排水监管一张图、防汛调度一张图、移动APP。</w:t>
            </w:r>
            <w:r>
              <w:rPr>
                <w:rFonts w:hint="eastAsia" w:ascii="宋体" w:hAnsi="宋体" w:eastAsia="宋体" w:cs="宋体"/>
                <w:i w:val="0"/>
                <w:iCs w:val="0"/>
                <w:kern w:val="2"/>
                <w:sz w:val="22"/>
                <w:szCs w:val="22"/>
                <w:highlight w:val="none"/>
                <w:u w:val="none"/>
                <w:lang w:val="en-US" w:eastAsia="zh-CN" w:bidi="ar"/>
              </w:rPr>
              <w:br w:type="textWrapping"/>
            </w:r>
            <w:r>
              <w:rPr>
                <w:rFonts w:hint="eastAsia" w:ascii="宋体" w:hAnsi="宋体" w:eastAsia="宋体" w:cs="宋体"/>
                <w:i w:val="0"/>
                <w:iCs w:val="0"/>
                <w:kern w:val="2"/>
                <w:sz w:val="22"/>
                <w:szCs w:val="22"/>
                <w:highlight w:val="none"/>
                <w:u w:val="none"/>
                <w:lang w:val="en-US" w:eastAsia="zh-CN" w:bidi="ar"/>
              </w:rPr>
              <w:t>根据投标人提供的10个模块共计不超过10分钟的系统演示视频（含解说）的真实性和符合度进行评分，每满足一个模块得</w:t>
            </w:r>
            <w:r>
              <w:rPr>
                <w:rFonts w:hint="eastAsia" w:ascii="宋体" w:hAnsi="宋体" w:cs="宋体"/>
                <w:i w:val="0"/>
                <w:iCs w:val="0"/>
                <w:kern w:val="2"/>
                <w:sz w:val="22"/>
                <w:szCs w:val="22"/>
                <w:highlight w:val="none"/>
                <w:u w:val="none"/>
                <w:lang w:val="en-US" w:eastAsia="zh-CN" w:bidi="ar"/>
              </w:rPr>
              <w:t>1</w:t>
            </w:r>
            <w:r>
              <w:rPr>
                <w:rFonts w:hint="eastAsia" w:ascii="宋体" w:hAnsi="宋体" w:eastAsia="宋体" w:cs="宋体"/>
                <w:i w:val="0"/>
                <w:iCs w:val="0"/>
                <w:kern w:val="2"/>
                <w:sz w:val="22"/>
                <w:szCs w:val="22"/>
                <w:highlight w:val="none"/>
                <w:u w:val="none"/>
                <w:lang w:val="en-US" w:eastAsia="zh-CN" w:bidi="ar"/>
              </w:rPr>
              <w:t>分（真实性的判断：系统为真实类似案例系统，演示录屏录像，对于所有演示内容，使用PPT、demo、截图、动画、静态页面、office软件等非真实应用系统方式进行演示的不得分；符合度的判断：基本符合本项目相关模块的技术要求，有较高的功能覆盖度），本项满分1</w:t>
            </w:r>
            <w:r>
              <w:rPr>
                <w:rFonts w:hint="eastAsia" w:ascii="宋体" w:hAnsi="宋体" w:cs="宋体"/>
                <w:i w:val="0"/>
                <w:iCs w:val="0"/>
                <w:kern w:val="2"/>
                <w:sz w:val="22"/>
                <w:szCs w:val="22"/>
                <w:highlight w:val="none"/>
                <w:u w:val="none"/>
                <w:lang w:val="en-US" w:eastAsia="zh-CN" w:bidi="ar"/>
              </w:rPr>
              <w:t>0</w:t>
            </w:r>
            <w:r>
              <w:rPr>
                <w:rFonts w:hint="eastAsia" w:ascii="宋体" w:hAnsi="宋体" w:eastAsia="宋体" w:cs="宋体"/>
                <w:i w:val="0"/>
                <w:iCs w:val="0"/>
                <w:kern w:val="2"/>
                <w:sz w:val="22"/>
                <w:szCs w:val="22"/>
                <w:highlight w:val="none"/>
                <w:u w:val="none"/>
                <w:lang w:val="en-US" w:eastAsia="zh-CN" w:bidi="ar"/>
              </w:rPr>
              <w:t>分。投标人需提供演示讲解U盘，不提供演示讲解U盘或不按要求演示讲解的不得分。</w:t>
            </w:r>
            <w:bookmarkEnd w:id="1013"/>
          </w:p>
        </w:tc>
        <w:tc>
          <w:tcPr>
            <w:tcW w:w="922" w:type="dxa"/>
            <w:shd w:val="clear" w:color="auto" w:fill="auto"/>
            <w:vAlign w:val="center"/>
          </w:tcPr>
          <w:p>
            <w:pPr>
              <w:spacing w:line="360" w:lineRule="auto"/>
              <w:jc w:val="center"/>
              <w:rPr>
                <w:rFonts w:hint="eastAsia" w:ascii="宋体" w:hAnsi="宋体" w:eastAsia="宋体" w:cs="宋体"/>
                <w:sz w:val="22"/>
                <w:szCs w:val="22"/>
                <w:highlight w:val="none"/>
                <w:lang w:val="en-US"/>
              </w:rPr>
            </w:pPr>
            <w:r>
              <w:rPr>
                <w:rFonts w:hint="eastAsia" w:ascii="宋体" w:hAnsi="宋体" w:eastAsia="宋体" w:cs="宋体"/>
                <w:sz w:val="22"/>
                <w:szCs w:val="22"/>
                <w:highlight w:val="none"/>
                <w:lang w:val="en-US" w:eastAsia="zh-CN"/>
              </w:rPr>
              <w:t>0-</w:t>
            </w:r>
            <w:r>
              <w:rPr>
                <w:rFonts w:hint="eastAsia" w:ascii="宋体" w:hAnsi="宋体" w:cs="宋体"/>
                <w:sz w:val="22"/>
                <w:szCs w:val="22"/>
                <w:highlight w:val="none"/>
                <w:lang w:val="en-US" w:eastAsia="zh-CN"/>
              </w:rPr>
              <w:t>10</w:t>
            </w:r>
            <w:r>
              <w:rPr>
                <w:rFonts w:hint="eastAsia" w:ascii="宋体" w:hAnsi="宋体" w:eastAsia="宋体" w:cs="宋体"/>
                <w:sz w:val="22"/>
                <w:szCs w:val="22"/>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13" w:hRule="atLeast"/>
          <w:jc w:val="center"/>
        </w:trPr>
        <w:tc>
          <w:tcPr>
            <w:tcW w:w="655" w:type="dxa"/>
            <w:shd w:val="clear" w:color="auto" w:fill="auto"/>
            <w:vAlign w:val="center"/>
          </w:tcPr>
          <w:p>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5</w:t>
            </w:r>
          </w:p>
        </w:tc>
        <w:tc>
          <w:tcPr>
            <w:tcW w:w="1582" w:type="dxa"/>
            <w:shd w:val="clear" w:color="auto" w:fill="auto"/>
            <w:vAlign w:val="center"/>
          </w:tcPr>
          <w:p>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技术参数响应</w:t>
            </w:r>
          </w:p>
        </w:tc>
        <w:tc>
          <w:tcPr>
            <w:tcW w:w="6617" w:type="dxa"/>
            <w:shd w:val="clear" w:color="auto" w:fill="auto"/>
            <w:vAlign w:val="center"/>
          </w:tcPr>
          <w:p>
            <w:pPr>
              <w:spacing w:line="360" w:lineRule="auto"/>
              <w:jc w:val="left"/>
              <w:rPr>
                <w:rFonts w:hint="eastAsia" w:ascii="宋体" w:hAnsi="宋体" w:eastAsia="宋体" w:cs="宋体"/>
                <w:sz w:val="22"/>
                <w:szCs w:val="22"/>
                <w:highlight w:val="none"/>
              </w:rPr>
            </w:pPr>
            <w:r>
              <w:rPr>
                <w:rFonts w:hint="eastAsia" w:ascii="宋体" w:hAnsi="宋体" w:eastAsia="宋体" w:cs="宋体"/>
                <w:sz w:val="22"/>
                <w:szCs w:val="22"/>
                <w:highlight w:val="none"/>
              </w:rPr>
              <w:t>针对本项目招标文件内容,对投标人提供的技术规格、服务条款及商务条款响应情况与招标文件要求的满足程度进行打分，完全符合要求的得</w:t>
            </w:r>
            <w:r>
              <w:rPr>
                <w:rFonts w:hint="eastAsia" w:ascii="宋体" w:hAnsi="宋体" w:cs="宋体"/>
                <w:sz w:val="22"/>
                <w:szCs w:val="22"/>
                <w:highlight w:val="none"/>
                <w:lang w:val="en-US" w:eastAsia="zh-CN"/>
              </w:rPr>
              <w:t>26</w:t>
            </w:r>
            <w:r>
              <w:rPr>
                <w:rFonts w:hint="eastAsia" w:ascii="宋体" w:hAnsi="宋体" w:eastAsia="宋体" w:cs="宋体"/>
                <w:sz w:val="22"/>
                <w:szCs w:val="22"/>
                <w:highlight w:val="none"/>
              </w:rPr>
              <w:t>分；“</w:t>
            </w:r>
            <w:bookmarkStart w:id="1014" w:name="OLE_LINK2"/>
            <w:r>
              <w:rPr>
                <w:rFonts w:hint="eastAsia" w:ascii="宋体" w:hAnsi="宋体" w:eastAsia="宋体" w:cs="宋体"/>
                <w:sz w:val="22"/>
                <w:szCs w:val="22"/>
                <w:highlight w:val="none"/>
              </w:rPr>
              <w:t>★</w:t>
            </w:r>
            <w:bookmarkEnd w:id="1014"/>
            <w:r>
              <w:rPr>
                <w:rFonts w:hint="eastAsia" w:ascii="宋体" w:hAnsi="宋体" w:eastAsia="宋体" w:cs="宋体"/>
                <w:sz w:val="22"/>
                <w:szCs w:val="22"/>
                <w:highlight w:val="none"/>
              </w:rPr>
              <w:t>”的指标每负偏离一项扣</w:t>
            </w: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分，</w:t>
            </w:r>
            <w:r>
              <w:rPr>
                <w:rFonts w:hint="eastAsia" w:ascii="宋体" w:hAnsi="宋体" w:eastAsia="宋体" w:cs="宋体"/>
                <w:sz w:val="22"/>
                <w:szCs w:val="22"/>
                <w:highlight w:val="none"/>
                <w:lang w:val="en-US" w:eastAsia="zh-CN"/>
              </w:rPr>
              <w:t>扣完为止</w:t>
            </w:r>
            <w:r>
              <w:rPr>
                <w:rFonts w:hint="eastAsia" w:ascii="宋体" w:hAnsi="宋体" w:eastAsia="宋体" w:cs="宋体"/>
                <w:sz w:val="22"/>
                <w:szCs w:val="22"/>
                <w:highlight w:val="none"/>
              </w:rPr>
              <w:t>。</w:t>
            </w:r>
          </w:p>
          <w:p>
            <w:pPr>
              <w:spacing w:line="360" w:lineRule="auto"/>
              <w:jc w:val="left"/>
              <w:rPr>
                <w:rFonts w:hint="eastAsia" w:ascii="宋体" w:hAnsi="宋体" w:eastAsia="宋体" w:cs="宋体"/>
                <w:sz w:val="22"/>
                <w:szCs w:val="22"/>
                <w:highlight w:val="none"/>
              </w:rPr>
            </w:pPr>
            <w:r>
              <w:rPr>
                <w:rFonts w:hint="eastAsia" w:ascii="宋体" w:hAnsi="宋体" w:eastAsia="宋体" w:cs="宋体"/>
                <w:sz w:val="22"/>
                <w:szCs w:val="22"/>
                <w:highlight w:val="none"/>
              </w:rPr>
              <w:t>注：以上技术指标如出现偏离必须在《偏离表》中完整体现。</w:t>
            </w:r>
          </w:p>
          <w:p>
            <w:pPr>
              <w:spacing w:line="360" w:lineRule="auto"/>
              <w:jc w:val="left"/>
              <w:rPr>
                <w:rFonts w:hint="eastAsia" w:ascii="宋体" w:hAnsi="宋体" w:eastAsia="宋体" w:cs="宋体"/>
                <w:sz w:val="22"/>
                <w:szCs w:val="22"/>
                <w:highlight w:val="none"/>
              </w:rPr>
            </w:pPr>
            <w:r>
              <w:rPr>
                <w:rFonts w:hint="eastAsia" w:ascii="宋体" w:hAnsi="宋体" w:eastAsia="宋体" w:cs="宋体"/>
                <w:sz w:val="22"/>
                <w:szCs w:val="22"/>
                <w:highlight w:val="none"/>
              </w:rPr>
              <w:t>如要求提供检测报告、截图材料或相关证明材料），</w:t>
            </w:r>
            <w:r>
              <w:rPr>
                <w:rFonts w:hint="eastAsia" w:ascii="宋体" w:hAnsi="宋体" w:eastAsia="宋体" w:cs="宋体"/>
                <w:sz w:val="22"/>
                <w:szCs w:val="22"/>
                <w:highlight w:val="none"/>
                <w:lang w:eastAsia="zh-CN"/>
              </w:rPr>
              <w:t>所提供的佐证材料必须作好标书中所在位置的页码提示，并做好醒目标注，方便评委查找，未提供或不符合要求或材料不能辨识不得分。</w:t>
            </w:r>
          </w:p>
        </w:tc>
        <w:tc>
          <w:tcPr>
            <w:tcW w:w="922" w:type="dxa"/>
            <w:shd w:val="clear" w:color="auto" w:fill="auto"/>
            <w:vAlign w:val="center"/>
          </w:tcPr>
          <w:p>
            <w:pPr>
              <w:spacing w:line="360" w:lineRule="auto"/>
              <w:jc w:val="center"/>
              <w:rPr>
                <w:rFonts w:hint="default" w:ascii="宋体" w:hAnsi="宋体" w:eastAsia="宋体" w:cs="宋体"/>
                <w:sz w:val="22"/>
                <w:szCs w:val="22"/>
                <w:highlight w:val="none"/>
                <w:lang w:val="en-US"/>
              </w:rPr>
            </w:pPr>
            <w:r>
              <w:rPr>
                <w:rFonts w:hint="eastAsia" w:ascii="宋体" w:hAnsi="宋体" w:eastAsia="宋体" w:cs="宋体"/>
                <w:sz w:val="22"/>
                <w:szCs w:val="22"/>
                <w:highlight w:val="none"/>
                <w:lang w:val="en-US" w:eastAsia="zh-CN"/>
              </w:rPr>
              <w:t>0-</w:t>
            </w:r>
            <w:r>
              <w:rPr>
                <w:rFonts w:hint="eastAsia" w:ascii="宋体" w:hAnsi="宋体" w:cs="宋体"/>
                <w:sz w:val="22"/>
                <w:szCs w:val="22"/>
                <w:highlight w:val="none"/>
                <w:lang w:val="en-US" w:eastAsia="zh-CN"/>
              </w:rPr>
              <w:t>26</w:t>
            </w:r>
            <w:r>
              <w:rPr>
                <w:rFonts w:hint="eastAsia" w:ascii="宋体" w:hAnsi="宋体" w:eastAsia="宋体" w:cs="宋体"/>
                <w:sz w:val="22"/>
                <w:szCs w:val="22"/>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655" w:type="dxa"/>
            <w:shd w:val="clear" w:color="auto" w:fill="auto"/>
            <w:vAlign w:val="center"/>
          </w:tcPr>
          <w:p>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6</w:t>
            </w:r>
          </w:p>
        </w:tc>
        <w:tc>
          <w:tcPr>
            <w:tcW w:w="1582" w:type="dxa"/>
            <w:shd w:val="clear" w:color="auto" w:fill="auto"/>
            <w:vAlign w:val="center"/>
          </w:tcPr>
          <w:p>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同类项目业绩</w:t>
            </w:r>
          </w:p>
        </w:tc>
        <w:tc>
          <w:tcPr>
            <w:tcW w:w="6617" w:type="dxa"/>
            <w:shd w:val="clear" w:color="auto" w:fill="auto"/>
            <w:vAlign w:val="center"/>
          </w:tcPr>
          <w:p>
            <w:pPr>
              <w:spacing w:line="360" w:lineRule="auto"/>
              <w:jc w:val="left"/>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根据投标人202</w:t>
            </w:r>
            <w:r>
              <w:rPr>
                <w:rFonts w:hint="eastAsia" w:ascii="宋体" w:hAnsi="宋体" w:cs="宋体"/>
                <w:sz w:val="22"/>
                <w:szCs w:val="22"/>
                <w:highlight w:val="none"/>
                <w:lang w:val="en-US" w:eastAsia="zh-CN"/>
              </w:rPr>
              <w:t>2</w:t>
            </w:r>
            <w:r>
              <w:rPr>
                <w:rFonts w:hint="eastAsia" w:ascii="宋体" w:hAnsi="宋体" w:eastAsia="宋体" w:cs="宋体"/>
                <w:sz w:val="22"/>
                <w:szCs w:val="22"/>
                <w:highlight w:val="none"/>
                <w:lang w:val="en-US" w:eastAsia="zh-CN"/>
              </w:rPr>
              <w:t>年1月1日以来完成过同类项目业绩，每提供1个得</w:t>
            </w:r>
            <w:r>
              <w:rPr>
                <w:rFonts w:hint="eastAsia" w:ascii="宋体" w:hAnsi="宋体" w:cs="宋体"/>
                <w:sz w:val="22"/>
                <w:szCs w:val="22"/>
                <w:highlight w:val="none"/>
                <w:lang w:val="en-US" w:eastAsia="zh-CN"/>
              </w:rPr>
              <w:t>2</w:t>
            </w:r>
            <w:r>
              <w:rPr>
                <w:rFonts w:hint="eastAsia" w:ascii="宋体" w:hAnsi="宋体" w:eastAsia="宋体" w:cs="宋体"/>
                <w:sz w:val="22"/>
                <w:szCs w:val="22"/>
                <w:highlight w:val="none"/>
                <w:lang w:val="en-US" w:eastAsia="zh-CN"/>
              </w:rPr>
              <w:t>分,本项最高得</w:t>
            </w:r>
            <w:r>
              <w:rPr>
                <w:rFonts w:hint="eastAsia" w:ascii="宋体" w:hAnsi="宋体" w:cs="宋体"/>
                <w:sz w:val="22"/>
                <w:szCs w:val="22"/>
                <w:highlight w:val="none"/>
                <w:lang w:val="en-US" w:eastAsia="zh-CN"/>
              </w:rPr>
              <w:t>2</w:t>
            </w:r>
            <w:r>
              <w:rPr>
                <w:rFonts w:hint="eastAsia" w:ascii="宋体" w:hAnsi="宋体" w:eastAsia="宋体" w:cs="宋体"/>
                <w:sz w:val="22"/>
                <w:szCs w:val="22"/>
                <w:highlight w:val="none"/>
                <w:lang w:val="en-US" w:eastAsia="zh-CN"/>
              </w:rPr>
              <w:t>分。（提供合同扫描件加盖投标供应商公章）</w:t>
            </w:r>
          </w:p>
        </w:tc>
        <w:tc>
          <w:tcPr>
            <w:tcW w:w="922" w:type="dxa"/>
            <w:shd w:val="clear" w:color="auto" w:fill="auto"/>
            <w:vAlign w:val="center"/>
          </w:tcPr>
          <w:p>
            <w:pPr>
              <w:spacing w:line="360" w:lineRule="auto"/>
              <w:jc w:val="center"/>
              <w:rPr>
                <w:rFonts w:hint="default" w:ascii="宋体" w:hAnsi="宋体" w:eastAsia="宋体" w:cs="宋体"/>
                <w:sz w:val="22"/>
                <w:szCs w:val="22"/>
                <w:highlight w:val="none"/>
                <w:lang w:val="en-US"/>
              </w:rPr>
            </w:pPr>
            <w:r>
              <w:rPr>
                <w:rFonts w:hint="eastAsia" w:ascii="宋体" w:hAnsi="宋体" w:eastAsia="宋体" w:cs="宋体"/>
                <w:sz w:val="22"/>
                <w:szCs w:val="22"/>
                <w:highlight w:val="none"/>
                <w:lang w:val="en-US" w:eastAsia="zh-CN"/>
              </w:rPr>
              <w:t>0-</w:t>
            </w:r>
            <w:r>
              <w:rPr>
                <w:rFonts w:hint="eastAsia" w:ascii="宋体" w:hAnsi="宋体" w:cs="宋体"/>
                <w:sz w:val="22"/>
                <w:szCs w:val="22"/>
                <w:highlight w:val="none"/>
                <w:lang w:val="en-US" w:eastAsia="zh-CN"/>
              </w:rPr>
              <w:t>2</w:t>
            </w:r>
            <w:r>
              <w:rPr>
                <w:rFonts w:hint="eastAsia" w:ascii="宋体" w:hAnsi="宋体" w:eastAsia="宋体" w:cs="宋体"/>
                <w:sz w:val="22"/>
                <w:szCs w:val="22"/>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674" w:hRule="atLeast"/>
          <w:jc w:val="center"/>
        </w:trPr>
        <w:tc>
          <w:tcPr>
            <w:tcW w:w="655" w:type="dxa"/>
            <w:shd w:val="clear" w:color="auto" w:fill="auto"/>
            <w:vAlign w:val="center"/>
          </w:tcPr>
          <w:p>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7</w:t>
            </w:r>
          </w:p>
        </w:tc>
        <w:tc>
          <w:tcPr>
            <w:tcW w:w="1582" w:type="dxa"/>
            <w:shd w:val="clear" w:color="auto" w:fill="auto"/>
            <w:vAlign w:val="center"/>
          </w:tcPr>
          <w:p>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投入本项目的项目技术力量和人员配置情况</w:t>
            </w:r>
          </w:p>
        </w:tc>
        <w:tc>
          <w:tcPr>
            <w:tcW w:w="6617" w:type="dxa"/>
            <w:shd w:val="clear" w:color="auto" w:fill="auto"/>
            <w:vAlign w:val="center"/>
          </w:tcPr>
          <w:p>
            <w:pPr>
              <w:spacing w:line="360" w:lineRule="auto"/>
              <w:jc w:val="left"/>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1、投标人拟派本项目的项目负责人（一名）是否具有高级数据库管理工程师、软件设计师（软考）证书、高级工程师(信息技术)、IT服务项目经理证书，每提供一个得1分，最高得</w:t>
            </w:r>
            <w:r>
              <w:rPr>
                <w:rFonts w:hint="eastAsia" w:ascii="宋体" w:hAnsi="宋体" w:cs="宋体"/>
                <w:sz w:val="22"/>
                <w:szCs w:val="22"/>
                <w:highlight w:val="none"/>
                <w:lang w:val="en-US" w:eastAsia="zh-CN"/>
              </w:rPr>
              <w:t>3</w:t>
            </w:r>
            <w:r>
              <w:rPr>
                <w:rFonts w:hint="eastAsia" w:ascii="宋体" w:hAnsi="宋体" w:eastAsia="宋体" w:cs="宋体"/>
                <w:sz w:val="22"/>
                <w:szCs w:val="22"/>
                <w:highlight w:val="none"/>
                <w:lang w:val="en-US" w:eastAsia="zh-CN"/>
              </w:rPr>
              <w:t>分。</w:t>
            </w:r>
            <w:r>
              <w:rPr>
                <w:rFonts w:hint="eastAsia" w:ascii="宋体" w:hAnsi="宋体" w:eastAsia="宋体" w:cs="宋体"/>
                <w:sz w:val="22"/>
                <w:szCs w:val="22"/>
                <w:highlight w:val="none"/>
                <w:lang w:val="en-US" w:eastAsia="zh-CN"/>
              </w:rPr>
              <w:br w:type="textWrapping"/>
            </w:r>
            <w:r>
              <w:rPr>
                <w:rFonts w:hint="eastAsia" w:ascii="宋体" w:hAnsi="宋体" w:eastAsia="宋体" w:cs="宋体"/>
                <w:sz w:val="22"/>
                <w:szCs w:val="22"/>
                <w:highlight w:val="none"/>
                <w:lang w:val="en-US" w:eastAsia="zh-CN"/>
              </w:rPr>
              <w:t>2、投标人拟派本项目的安全负责人（一名）是否具有高级网络信息安全工程师证书、高级安全防范工程师证书、高级工程师(信息技术)、IT服务管理认证证书，每提供一个得1分，最高得</w:t>
            </w:r>
            <w:r>
              <w:rPr>
                <w:rFonts w:hint="eastAsia" w:ascii="宋体" w:hAnsi="宋体" w:cs="宋体"/>
                <w:sz w:val="22"/>
                <w:szCs w:val="22"/>
                <w:highlight w:val="none"/>
                <w:lang w:val="en-US" w:eastAsia="zh-CN"/>
              </w:rPr>
              <w:t>3</w:t>
            </w:r>
            <w:r>
              <w:rPr>
                <w:rFonts w:hint="eastAsia" w:ascii="宋体" w:hAnsi="宋体" w:eastAsia="宋体" w:cs="宋体"/>
                <w:sz w:val="22"/>
                <w:szCs w:val="22"/>
                <w:highlight w:val="none"/>
                <w:lang w:val="en-US" w:eastAsia="zh-CN"/>
              </w:rPr>
              <w:t>分。</w:t>
            </w:r>
            <w:r>
              <w:rPr>
                <w:rFonts w:hint="eastAsia" w:ascii="宋体" w:hAnsi="宋体" w:eastAsia="宋体" w:cs="宋体"/>
                <w:sz w:val="22"/>
                <w:szCs w:val="22"/>
                <w:highlight w:val="none"/>
                <w:lang w:val="en-US" w:eastAsia="zh-CN"/>
              </w:rPr>
              <w:br w:type="textWrapping"/>
            </w:r>
            <w:r>
              <w:rPr>
                <w:rFonts w:hint="eastAsia" w:ascii="宋体" w:hAnsi="宋体" w:eastAsia="宋体" w:cs="宋体"/>
                <w:sz w:val="22"/>
                <w:szCs w:val="22"/>
                <w:highlight w:val="none"/>
                <w:lang w:val="en-US" w:eastAsia="zh-CN"/>
              </w:rPr>
              <w:t xml:space="preserve">3、投标人拟派本项目的服务人员(除项目负责人和安全负责人外) 是否具有系统架构设计师、高级工程师(信息技术)、高级安全防范工程师、网络规划设计师、系统集成项目管理工程师证书，每提供一个得1分，最高得4分。 </w:t>
            </w:r>
          </w:p>
          <w:p>
            <w:pPr>
              <w:spacing w:line="360" w:lineRule="auto"/>
              <w:jc w:val="left"/>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注：以上人员需提供完整且有效的证书复印件，以及本公司近六个月内任意连续三个月的社保证明，并加盖电子公章，未按要求提供者不得分。</w:t>
            </w:r>
          </w:p>
        </w:tc>
        <w:tc>
          <w:tcPr>
            <w:tcW w:w="922" w:type="dxa"/>
            <w:shd w:val="clear" w:color="auto" w:fill="auto"/>
            <w:vAlign w:val="center"/>
          </w:tcPr>
          <w:p>
            <w:pPr>
              <w:spacing w:line="360" w:lineRule="auto"/>
              <w:jc w:val="center"/>
              <w:rPr>
                <w:rFonts w:hint="default" w:ascii="宋体" w:hAnsi="宋体" w:eastAsia="宋体" w:cs="宋体"/>
                <w:sz w:val="22"/>
                <w:szCs w:val="22"/>
                <w:highlight w:val="none"/>
                <w:lang w:val="en-US"/>
              </w:rPr>
            </w:pPr>
            <w:r>
              <w:rPr>
                <w:rFonts w:hint="eastAsia" w:ascii="宋体" w:hAnsi="宋体" w:eastAsia="宋体" w:cs="宋体"/>
                <w:sz w:val="22"/>
                <w:szCs w:val="22"/>
                <w:highlight w:val="none"/>
                <w:lang w:val="en-US" w:eastAsia="zh-CN"/>
              </w:rPr>
              <w:t>0-1</w:t>
            </w:r>
            <w:r>
              <w:rPr>
                <w:rFonts w:hint="eastAsia" w:ascii="宋体" w:hAnsi="宋体" w:cs="宋体"/>
                <w:sz w:val="22"/>
                <w:szCs w:val="22"/>
                <w:highlight w:val="none"/>
                <w:lang w:val="en-US" w:eastAsia="zh-CN"/>
              </w:rPr>
              <w:t>0</w:t>
            </w:r>
            <w:r>
              <w:rPr>
                <w:rFonts w:hint="eastAsia" w:ascii="宋体" w:hAnsi="宋体" w:eastAsia="宋体" w:cs="宋体"/>
                <w:sz w:val="22"/>
                <w:szCs w:val="22"/>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70" w:hRule="atLeast"/>
          <w:jc w:val="center"/>
        </w:trPr>
        <w:tc>
          <w:tcPr>
            <w:tcW w:w="655" w:type="dxa"/>
            <w:shd w:val="clear" w:color="auto" w:fill="auto"/>
            <w:vAlign w:val="center"/>
          </w:tcPr>
          <w:p>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8</w:t>
            </w:r>
          </w:p>
        </w:tc>
        <w:tc>
          <w:tcPr>
            <w:tcW w:w="1582" w:type="dxa"/>
            <w:shd w:val="clear" w:color="auto" w:fill="auto"/>
            <w:vAlign w:val="center"/>
          </w:tcPr>
          <w:p>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培训方案</w:t>
            </w:r>
          </w:p>
        </w:tc>
        <w:tc>
          <w:tcPr>
            <w:tcW w:w="6617" w:type="dxa"/>
            <w:shd w:val="clear" w:color="auto" w:fill="auto"/>
            <w:vAlign w:val="center"/>
          </w:tcPr>
          <w:p>
            <w:pPr>
              <w:spacing w:line="360" w:lineRule="auto"/>
              <w:jc w:val="left"/>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投标人提出培训计划、地点、组织、人员配备、软硬件资料等内容是否完整、科学合理由评委进行综合打分优秀的得</w:t>
            </w:r>
            <w:r>
              <w:rPr>
                <w:rFonts w:hint="eastAsia" w:ascii="宋体" w:hAnsi="宋体" w:cs="宋体"/>
                <w:sz w:val="22"/>
                <w:szCs w:val="22"/>
                <w:highlight w:val="none"/>
                <w:lang w:val="en-US" w:eastAsia="zh-CN"/>
              </w:rPr>
              <w:t>3</w:t>
            </w:r>
            <w:r>
              <w:rPr>
                <w:rFonts w:hint="eastAsia" w:ascii="宋体" w:hAnsi="宋体" w:eastAsia="宋体" w:cs="宋体"/>
                <w:sz w:val="22"/>
                <w:szCs w:val="22"/>
                <w:highlight w:val="none"/>
                <w:lang w:val="en-US" w:eastAsia="zh-CN"/>
              </w:rPr>
              <w:t>-</w:t>
            </w:r>
            <w:r>
              <w:rPr>
                <w:rFonts w:hint="eastAsia" w:ascii="宋体" w:hAnsi="宋体" w:cs="宋体"/>
                <w:sz w:val="22"/>
                <w:szCs w:val="22"/>
                <w:highlight w:val="none"/>
                <w:lang w:val="en-US" w:eastAsia="zh-CN"/>
              </w:rPr>
              <w:t>2</w:t>
            </w:r>
            <w:r>
              <w:rPr>
                <w:rFonts w:hint="eastAsia" w:ascii="宋体" w:hAnsi="宋体" w:eastAsia="宋体" w:cs="宋体"/>
                <w:sz w:val="22"/>
                <w:szCs w:val="22"/>
                <w:highlight w:val="none"/>
                <w:lang w:val="en-US" w:eastAsia="zh-CN"/>
              </w:rPr>
              <w:t>.1分，良好的得</w:t>
            </w:r>
            <w:r>
              <w:rPr>
                <w:rFonts w:hint="eastAsia" w:ascii="宋体" w:hAnsi="宋体" w:cs="宋体"/>
                <w:sz w:val="22"/>
                <w:szCs w:val="22"/>
                <w:highlight w:val="none"/>
                <w:lang w:val="en-US" w:eastAsia="zh-CN"/>
              </w:rPr>
              <w:t>2</w:t>
            </w:r>
            <w:r>
              <w:rPr>
                <w:rFonts w:hint="eastAsia" w:ascii="宋体" w:hAnsi="宋体" w:eastAsia="宋体" w:cs="宋体"/>
                <w:sz w:val="22"/>
                <w:szCs w:val="22"/>
                <w:highlight w:val="none"/>
                <w:lang w:val="en-US" w:eastAsia="zh-CN"/>
              </w:rPr>
              <w:t>-1.1分，一般的得1-0</w:t>
            </w:r>
            <w:r>
              <w:rPr>
                <w:rFonts w:hint="eastAsia" w:ascii="宋体" w:hAnsi="宋体" w:cs="宋体"/>
                <w:sz w:val="22"/>
                <w:szCs w:val="22"/>
                <w:highlight w:val="none"/>
                <w:lang w:val="en-US" w:eastAsia="zh-CN"/>
              </w:rPr>
              <w:t>.1</w:t>
            </w:r>
            <w:r>
              <w:rPr>
                <w:rFonts w:hint="eastAsia" w:ascii="宋体" w:hAnsi="宋体" w:eastAsia="宋体" w:cs="宋体"/>
                <w:sz w:val="22"/>
                <w:szCs w:val="22"/>
                <w:highlight w:val="none"/>
                <w:lang w:val="en-US" w:eastAsia="zh-CN"/>
              </w:rPr>
              <w:t>分</w:t>
            </w:r>
            <w:r>
              <w:rPr>
                <w:rFonts w:hint="eastAsia" w:ascii="宋体" w:hAnsi="宋体" w:cs="宋体"/>
                <w:sz w:val="22"/>
                <w:szCs w:val="22"/>
                <w:highlight w:val="none"/>
                <w:lang w:val="en-US" w:eastAsia="zh-CN"/>
              </w:rPr>
              <w:t>；</w:t>
            </w:r>
            <w:r>
              <w:rPr>
                <w:rFonts w:hint="eastAsia" w:ascii="宋体" w:hAnsi="宋体" w:cs="宋体"/>
                <w:kern w:val="0"/>
                <w:sz w:val="22"/>
                <w:szCs w:val="22"/>
                <w:highlight w:val="none"/>
              </w:rPr>
              <w:t>未提供的不得分。</w:t>
            </w:r>
          </w:p>
        </w:tc>
        <w:tc>
          <w:tcPr>
            <w:tcW w:w="922" w:type="dxa"/>
            <w:shd w:val="clear" w:color="auto" w:fill="auto"/>
            <w:vAlign w:val="center"/>
          </w:tcPr>
          <w:p>
            <w:pPr>
              <w:spacing w:line="360" w:lineRule="auto"/>
              <w:jc w:val="center"/>
              <w:rPr>
                <w:rFonts w:hint="default" w:ascii="宋体" w:hAnsi="宋体" w:eastAsia="宋体" w:cs="宋体"/>
                <w:sz w:val="22"/>
                <w:szCs w:val="22"/>
                <w:highlight w:val="none"/>
                <w:lang w:val="en-US"/>
              </w:rPr>
            </w:pPr>
            <w:r>
              <w:rPr>
                <w:rFonts w:hint="eastAsia" w:ascii="宋体" w:hAnsi="宋体" w:eastAsia="宋体" w:cs="宋体"/>
                <w:sz w:val="22"/>
                <w:szCs w:val="22"/>
                <w:highlight w:val="none"/>
                <w:lang w:val="en-US" w:eastAsia="zh-CN"/>
              </w:rPr>
              <w:t>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70" w:hRule="atLeast"/>
          <w:jc w:val="center"/>
        </w:trPr>
        <w:tc>
          <w:tcPr>
            <w:tcW w:w="655" w:type="dxa"/>
            <w:shd w:val="clear" w:color="auto" w:fill="auto"/>
            <w:vAlign w:val="center"/>
          </w:tcPr>
          <w:p>
            <w:pPr>
              <w:spacing w:line="360" w:lineRule="auto"/>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9</w:t>
            </w:r>
          </w:p>
        </w:tc>
        <w:tc>
          <w:tcPr>
            <w:tcW w:w="1582" w:type="dxa"/>
            <w:shd w:val="clear" w:color="auto" w:fill="auto"/>
            <w:vAlign w:val="center"/>
          </w:tcPr>
          <w:p>
            <w:pPr>
              <w:spacing w:line="360" w:lineRule="auto"/>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项目质量保证期</w:t>
            </w:r>
          </w:p>
        </w:tc>
        <w:tc>
          <w:tcPr>
            <w:tcW w:w="6617" w:type="dxa"/>
            <w:shd w:val="clear" w:color="auto" w:fill="auto"/>
            <w:vAlign w:val="center"/>
          </w:tcPr>
          <w:p>
            <w:pPr>
              <w:spacing w:line="360" w:lineRule="auto"/>
              <w:jc w:val="left"/>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在满足本项目</w:t>
            </w:r>
            <w:r>
              <w:rPr>
                <w:rFonts w:hint="eastAsia" w:ascii="宋体" w:hAnsi="宋体" w:cs="宋体"/>
                <w:sz w:val="22"/>
                <w:szCs w:val="22"/>
                <w:highlight w:val="none"/>
                <w:lang w:val="en-US" w:eastAsia="zh-CN"/>
              </w:rPr>
              <w:t>3</w:t>
            </w:r>
            <w:r>
              <w:rPr>
                <w:rFonts w:hint="eastAsia" w:ascii="宋体" w:hAnsi="宋体" w:eastAsia="宋体" w:cs="宋体"/>
                <w:sz w:val="22"/>
                <w:szCs w:val="22"/>
                <w:highlight w:val="none"/>
                <w:lang w:val="en-US" w:eastAsia="zh-CN"/>
              </w:rPr>
              <w:t>年免费质量保证期的基础上，每增加1年免费质量保证期得</w:t>
            </w:r>
            <w:r>
              <w:rPr>
                <w:rFonts w:hint="eastAsia" w:ascii="宋体" w:hAnsi="宋体" w:cs="宋体"/>
                <w:sz w:val="22"/>
                <w:szCs w:val="22"/>
                <w:highlight w:val="none"/>
                <w:lang w:val="en-US" w:eastAsia="zh-CN"/>
              </w:rPr>
              <w:t>2</w:t>
            </w:r>
            <w:r>
              <w:rPr>
                <w:rFonts w:hint="eastAsia" w:ascii="宋体" w:hAnsi="宋体" w:eastAsia="宋体" w:cs="宋体"/>
                <w:sz w:val="22"/>
                <w:szCs w:val="22"/>
                <w:highlight w:val="none"/>
                <w:lang w:val="en-US" w:eastAsia="zh-CN"/>
              </w:rPr>
              <w:t>分，本项最高得</w:t>
            </w:r>
            <w:r>
              <w:rPr>
                <w:rFonts w:hint="eastAsia" w:ascii="宋体" w:hAnsi="宋体" w:cs="宋体"/>
                <w:sz w:val="22"/>
                <w:szCs w:val="22"/>
                <w:highlight w:val="none"/>
                <w:lang w:val="en-US" w:eastAsia="zh-CN"/>
              </w:rPr>
              <w:t>4</w:t>
            </w:r>
            <w:r>
              <w:rPr>
                <w:rFonts w:hint="eastAsia" w:ascii="宋体" w:hAnsi="宋体" w:eastAsia="宋体" w:cs="宋体"/>
                <w:sz w:val="22"/>
                <w:szCs w:val="22"/>
                <w:highlight w:val="none"/>
                <w:lang w:val="en-US" w:eastAsia="zh-CN"/>
              </w:rPr>
              <w:t>分。提供承诺函（格式自拟），未提供不得分。</w:t>
            </w:r>
          </w:p>
          <w:p>
            <w:pPr>
              <w:spacing w:line="360" w:lineRule="auto"/>
              <w:jc w:val="left"/>
              <w:rPr>
                <w:rFonts w:hint="eastAsia" w:ascii="宋体" w:hAnsi="宋体" w:cs="宋体"/>
                <w:sz w:val="22"/>
                <w:szCs w:val="22"/>
                <w:highlight w:val="none"/>
                <w:lang w:val="en-US" w:eastAsia="zh-CN"/>
              </w:rPr>
            </w:pPr>
            <w:r>
              <w:rPr>
                <w:rFonts w:hint="eastAsia" w:ascii="宋体" w:hAnsi="宋体" w:cs="宋体"/>
                <w:sz w:val="22"/>
                <w:szCs w:val="22"/>
                <w:highlight w:val="none"/>
                <w:lang w:val="en-US" w:eastAsia="zh-CN"/>
              </w:rPr>
              <w:t>注：在增加的免费项目质量保证期内：</w:t>
            </w:r>
          </w:p>
          <w:p>
            <w:pPr>
              <w:spacing w:line="360" w:lineRule="auto"/>
              <w:jc w:val="left"/>
              <w:rPr>
                <w:rFonts w:hint="eastAsia" w:ascii="宋体" w:hAnsi="宋体" w:cs="宋体"/>
                <w:sz w:val="22"/>
                <w:szCs w:val="22"/>
                <w:highlight w:val="none"/>
                <w:lang w:val="en-US" w:eastAsia="zh-CN"/>
              </w:rPr>
            </w:pPr>
            <w:r>
              <w:rPr>
                <w:rFonts w:hint="eastAsia" w:ascii="宋体" w:hAnsi="宋体" w:cs="宋体"/>
                <w:sz w:val="22"/>
                <w:szCs w:val="22"/>
                <w:highlight w:val="none"/>
                <w:lang w:val="en-US" w:eastAsia="zh-CN"/>
              </w:rPr>
              <w:t>（1）针对相关软件平台，投标人需负责本次招标项目的相关内容，以及现有排水管网 GIS 系统、排水调度中心系统的免费运维；</w:t>
            </w:r>
          </w:p>
          <w:p>
            <w:pPr>
              <w:spacing w:line="360" w:lineRule="auto"/>
              <w:jc w:val="left"/>
              <w:rPr>
                <w:rFonts w:hint="default" w:ascii="宋体" w:hAnsi="宋体" w:eastAsia="宋体" w:cs="宋体"/>
                <w:sz w:val="22"/>
                <w:szCs w:val="22"/>
                <w:highlight w:val="none"/>
                <w:lang w:val="en-US" w:eastAsia="zh-CN"/>
              </w:rPr>
            </w:pPr>
            <w:r>
              <w:rPr>
                <w:rFonts w:hint="eastAsia" w:ascii="宋体" w:hAnsi="宋体" w:cs="宋体"/>
                <w:sz w:val="22"/>
                <w:szCs w:val="22"/>
                <w:highlight w:val="none"/>
                <w:lang w:val="en-US" w:eastAsia="zh-CN"/>
              </w:rPr>
              <w:t>（2）针对相关物联网硬件部分，投标人需提供免费的产品故障检测、电池更换、产品维修等服务，但不含日常运维服务。</w:t>
            </w:r>
          </w:p>
        </w:tc>
        <w:tc>
          <w:tcPr>
            <w:tcW w:w="922" w:type="dxa"/>
            <w:shd w:val="clear" w:color="auto" w:fill="auto"/>
            <w:vAlign w:val="center"/>
          </w:tcPr>
          <w:p>
            <w:pPr>
              <w:spacing w:line="360" w:lineRule="auto"/>
              <w:jc w:val="center"/>
              <w:rPr>
                <w:rFonts w:hint="default"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0-</w:t>
            </w:r>
            <w:r>
              <w:rPr>
                <w:rFonts w:hint="eastAsia" w:ascii="宋体" w:hAnsi="宋体" w:cs="宋体"/>
                <w:sz w:val="22"/>
                <w:szCs w:val="22"/>
                <w:highlight w:val="none"/>
                <w:lang w:val="en-US" w:eastAsia="zh-CN"/>
              </w:rPr>
              <w:t>4</w:t>
            </w:r>
            <w:r>
              <w:rPr>
                <w:rFonts w:hint="eastAsia" w:ascii="宋体" w:hAnsi="宋体" w:eastAsia="宋体" w:cs="宋体"/>
                <w:sz w:val="22"/>
                <w:szCs w:val="22"/>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 w:hRule="atLeast"/>
          <w:jc w:val="center"/>
        </w:trPr>
        <w:tc>
          <w:tcPr>
            <w:tcW w:w="655" w:type="dxa"/>
            <w:shd w:val="clear" w:color="auto" w:fill="auto"/>
            <w:vAlign w:val="center"/>
          </w:tcPr>
          <w:p>
            <w:pPr>
              <w:spacing w:line="360" w:lineRule="auto"/>
              <w:jc w:val="center"/>
              <w:rPr>
                <w:rFonts w:hint="default" w:ascii="宋体" w:hAnsi="宋体" w:eastAsia="宋体" w:cs="宋体"/>
                <w:sz w:val="22"/>
                <w:szCs w:val="22"/>
                <w:highlight w:val="none"/>
                <w:lang w:val="en-US"/>
              </w:rPr>
            </w:pPr>
            <w:r>
              <w:rPr>
                <w:rFonts w:hint="eastAsia" w:ascii="宋体" w:hAnsi="宋体" w:eastAsia="宋体" w:cs="宋体"/>
                <w:sz w:val="22"/>
                <w:szCs w:val="22"/>
                <w:highlight w:val="none"/>
                <w:lang w:val="en-US" w:eastAsia="zh-CN"/>
              </w:rPr>
              <w:t>10</w:t>
            </w:r>
          </w:p>
        </w:tc>
        <w:tc>
          <w:tcPr>
            <w:tcW w:w="1582" w:type="dxa"/>
            <w:shd w:val="clear" w:color="auto" w:fill="auto"/>
            <w:vAlign w:val="center"/>
          </w:tcPr>
          <w:p>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售后服务能力</w:t>
            </w:r>
          </w:p>
        </w:tc>
        <w:tc>
          <w:tcPr>
            <w:tcW w:w="6617" w:type="dxa"/>
            <w:shd w:val="clear" w:color="auto" w:fill="auto"/>
            <w:vAlign w:val="center"/>
          </w:tcPr>
          <w:p>
            <w:pPr>
              <w:spacing w:line="360" w:lineRule="auto"/>
              <w:jc w:val="left"/>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根据投标人对本项目提供的售后服务方案（至少包括售后服务网点情况、软件升级服务、售后服务承诺、响应时间及响应程度、保障措施）的合理性、完整性、服务能力等综合情况打分。优秀的得</w:t>
            </w:r>
            <w:r>
              <w:rPr>
                <w:rFonts w:hint="eastAsia" w:ascii="宋体" w:hAnsi="宋体" w:cs="宋体"/>
                <w:sz w:val="22"/>
                <w:szCs w:val="22"/>
                <w:highlight w:val="none"/>
                <w:lang w:val="en-US" w:eastAsia="zh-CN"/>
              </w:rPr>
              <w:t>3</w:t>
            </w:r>
            <w:r>
              <w:rPr>
                <w:rFonts w:hint="eastAsia" w:ascii="宋体" w:hAnsi="宋体" w:eastAsia="宋体" w:cs="宋体"/>
                <w:sz w:val="22"/>
                <w:szCs w:val="22"/>
                <w:highlight w:val="none"/>
                <w:lang w:val="en-US" w:eastAsia="zh-CN"/>
              </w:rPr>
              <w:t>-</w:t>
            </w:r>
            <w:r>
              <w:rPr>
                <w:rFonts w:hint="eastAsia" w:ascii="宋体" w:hAnsi="宋体" w:cs="宋体"/>
                <w:sz w:val="22"/>
                <w:szCs w:val="22"/>
                <w:highlight w:val="none"/>
                <w:lang w:val="en-US" w:eastAsia="zh-CN"/>
              </w:rPr>
              <w:t>2</w:t>
            </w:r>
            <w:r>
              <w:rPr>
                <w:rFonts w:hint="eastAsia" w:ascii="宋体" w:hAnsi="宋体" w:eastAsia="宋体" w:cs="宋体"/>
                <w:sz w:val="22"/>
                <w:szCs w:val="22"/>
                <w:highlight w:val="none"/>
                <w:lang w:val="en-US" w:eastAsia="zh-CN"/>
              </w:rPr>
              <w:t>.1分，良好的得</w:t>
            </w:r>
            <w:r>
              <w:rPr>
                <w:rFonts w:hint="eastAsia" w:ascii="宋体" w:hAnsi="宋体" w:cs="宋体"/>
                <w:sz w:val="22"/>
                <w:szCs w:val="22"/>
                <w:highlight w:val="none"/>
                <w:lang w:val="en-US" w:eastAsia="zh-CN"/>
              </w:rPr>
              <w:t>2</w:t>
            </w:r>
            <w:r>
              <w:rPr>
                <w:rFonts w:hint="eastAsia" w:ascii="宋体" w:hAnsi="宋体" w:eastAsia="宋体" w:cs="宋体"/>
                <w:sz w:val="22"/>
                <w:szCs w:val="22"/>
                <w:highlight w:val="none"/>
                <w:lang w:val="en-US" w:eastAsia="zh-CN"/>
              </w:rPr>
              <w:t>-1.1分，一般的得1-0</w:t>
            </w:r>
            <w:r>
              <w:rPr>
                <w:rFonts w:hint="eastAsia" w:ascii="宋体" w:hAnsi="宋体" w:cs="宋体"/>
                <w:sz w:val="22"/>
                <w:szCs w:val="22"/>
                <w:highlight w:val="none"/>
                <w:lang w:val="en-US" w:eastAsia="zh-CN"/>
              </w:rPr>
              <w:t>.1</w:t>
            </w:r>
            <w:r>
              <w:rPr>
                <w:rFonts w:hint="eastAsia" w:ascii="宋体" w:hAnsi="宋体" w:eastAsia="宋体" w:cs="宋体"/>
                <w:sz w:val="22"/>
                <w:szCs w:val="22"/>
                <w:highlight w:val="none"/>
                <w:lang w:val="en-US" w:eastAsia="zh-CN"/>
              </w:rPr>
              <w:t>分</w:t>
            </w:r>
            <w:r>
              <w:rPr>
                <w:rFonts w:hint="eastAsia" w:ascii="宋体" w:hAnsi="宋体" w:cs="宋体"/>
                <w:sz w:val="22"/>
                <w:szCs w:val="22"/>
                <w:highlight w:val="none"/>
                <w:lang w:val="en-US" w:eastAsia="zh-CN"/>
              </w:rPr>
              <w:t>；</w:t>
            </w:r>
            <w:r>
              <w:rPr>
                <w:rFonts w:hint="eastAsia" w:ascii="宋体" w:hAnsi="宋体" w:cs="宋体"/>
                <w:kern w:val="0"/>
                <w:sz w:val="22"/>
                <w:szCs w:val="22"/>
                <w:highlight w:val="none"/>
              </w:rPr>
              <w:t>未提供的不得分。</w:t>
            </w:r>
          </w:p>
        </w:tc>
        <w:tc>
          <w:tcPr>
            <w:tcW w:w="922" w:type="dxa"/>
            <w:shd w:val="clear" w:color="auto" w:fill="auto"/>
            <w:vAlign w:val="center"/>
          </w:tcPr>
          <w:p>
            <w:pPr>
              <w:spacing w:line="360" w:lineRule="auto"/>
              <w:jc w:val="center"/>
              <w:rPr>
                <w:rFonts w:hint="default" w:ascii="宋体" w:hAnsi="宋体" w:eastAsia="宋体" w:cs="宋体"/>
                <w:sz w:val="22"/>
                <w:szCs w:val="22"/>
                <w:highlight w:val="none"/>
                <w:lang w:val="en-US"/>
              </w:rPr>
            </w:pPr>
            <w:r>
              <w:rPr>
                <w:rFonts w:hint="eastAsia" w:ascii="宋体" w:hAnsi="宋体" w:eastAsia="宋体" w:cs="宋体"/>
                <w:sz w:val="22"/>
                <w:szCs w:val="22"/>
                <w:highlight w:val="none"/>
                <w:lang w:val="en-US" w:eastAsia="zh-CN"/>
              </w:rPr>
              <w:t>0-3分</w:t>
            </w:r>
          </w:p>
        </w:tc>
      </w:tr>
    </w:tbl>
    <w:p>
      <w:pPr>
        <w:pStyle w:val="3"/>
        <w:spacing w:line="360" w:lineRule="auto"/>
        <w:rPr>
          <w:rFonts w:ascii="宋体" w:hAnsi="宋体" w:cs="Arial"/>
          <w:color w:val="auto"/>
          <w:sz w:val="22"/>
        </w:rPr>
      </w:pPr>
    </w:p>
    <w:p>
      <w:pPr>
        <w:spacing w:line="360" w:lineRule="auto"/>
        <w:rPr>
          <w:rFonts w:ascii="宋体" w:hAnsi="宋体" w:cs="Arial"/>
          <w:color w:val="auto"/>
          <w:sz w:val="22"/>
        </w:rPr>
      </w:pPr>
      <w:r>
        <w:rPr>
          <w:rFonts w:hint="eastAsia" w:ascii="宋体" w:hAnsi="宋体" w:cs="Arial"/>
          <w:color w:val="auto"/>
          <w:sz w:val="22"/>
        </w:rPr>
        <w:t>2、</w:t>
      </w:r>
      <w:r>
        <w:rPr>
          <w:rFonts w:hint="eastAsia" w:ascii="宋体" w:hAnsi="宋体" w:cs="Arial"/>
          <w:b/>
          <w:color w:val="auto"/>
          <w:sz w:val="22"/>
        </w:rPr>
        <w:t>商务评分（</w:t>
      </w:r>
      <w:r>
        <w:rPr>
          <w:rFonts w:hint="eastAsia" w:ascii="宋体" w:hAnsi="宋体" w:cs="Arial"/>
          <w:b/>
          <w:color w:val="auto"/>
          <w:sz w:val="22"/>
          <w:lang w:val="en-US" w:eastAsia="zh-CN"/>
        </w:rPr>
        <w:t>30</w:t>
      </w:r>
      <w:r>
        <w:rPr>
          <w:rFonts w:hint="eastAsia" w:ascii="宋体" w:hAnsi="宋体" w:cs="Arial"/>
          <w:b/>
          <w:color w:val="auto"/>
          <w:sz w:val="22"/>
        </w:rPr>
        <w:t>分）</w:t>
      </w:r>
      <w:r>
        <w:rPr>
          <w:rFonts w:hint="eastAsia" w:ascii="宋体" w:hAnsi="宋体" w:cs="Arial"/>
          <w:color w:val="auto"/>
          <w:sz w:val="22"/>
        </w:rPr>
        <w:t>：</w:t>
      </w:r>
    </w:p>
    <w:p>
      <w:pPr>
        <w:spacing w:line="360" w:lineRule="auto"/>
        <w:ind w:left="328" w:leftChars="156"/>
        <w:rPr>
          <w:rFonts w:ascii="宋体" w:hAnsi="宋体" w:cs="Arial"/>
          <w:color w:val="auto"/>
          <w:sz w:val="22"/>
        </w:rPr>
      </w:pPr>
      <w:r>
        <w:rPr>
          <w:rFonts w:hint="eastAsia" w:ascii="宋体" w:hAnsi="宋体" w:cs="Arial"/>
          <w:color w:val="auto"/>
          <w:sz w:val="22"/>
        </w:rPr>
        <w:t>满足招标文件要求且报价最低的投标报价为评标基准价。</w:t>
      </w:r>
    </w:p>
    <w:p>
      <w:pPr>
        <w:spacing w:line="360" w:lineRule="auto"/>
        <w:ind w:firstLine="0" w:firstLineChars="0"/>
        <w:rPr>
          <w:rFonts w:ascii="宋体" w:hAnsi="宋体" w:cs="Arial"/>
          <w:color w:val="auto"/>
          <w:sz w:val="22"/>
        </w:rPr>
      </w:pPr>
      <w:r>
        <w:rPr>
          <w:rFonts w:hint="eastAsia" w:ascii="宋体" w:hAnsi="宋体" w:cs="Arial"/>
          <w:color w:val="auto"/>
          <w:sz w:val="22"/>
        </w:rPr>
        <w:t>1）有效投标人的投标报价等于评标基准价时其商务分为满分</w:t>
      </w:r>
      <w:r>
        <w:rPr>
          <w:rFonts w:hint="eastAsia" w:ascii="宋体" w:hAnsi="宋体" w:cs="Arial"/>
          <w:color w:val="auto"/>
          <w:sz w:val="22"/>
          <w:lang w:val="en-US" w:eastAsia="zh-CN"/>
        </w:rPr>
        <w:t>30</w:t>
      </w:r>
      <w:r>
        <w:rPr>
          <w:rFonts w:hint="eastAsia" w:ascii="宋体" w:hAnsi="宋体" w:cs="Arial"/>
          <w:color w:val="auto"/>
          <w:sz w:val="22"/>
        </w:rPr>
        <w:t>分；</w:t>
      </w:r>
    </w:p>
    <w:p>
      <w:pPr>
        <w:spacing w:line="360" w:lineRule="auto"/>
        <w:ind w:firstLine="0" w:firstLineChars="0"/>
        <w:rPr>
          <w:rFonts w:ascii="宋体" w:hAnsi="宋体" w:cs="Arial"/>
          <w:color w:val="auto"/>
          <w:sz w:val="22"/>
        </w:rPr>
      </w:pPr>
      <w:r>
        <w:rPr>
          <w:rFonts w:hint="eastAsia" w:ascii="宋体" w:hAnsi="宋体" w:cs="Arial"/>
          <w:color w:val="auto"/>
          <w:sz w:val="22"/>
        </w:rPr>
        <w:t>2）其他投标人的价格分按以下公式计算：</w:t>
      </w:r>
    </w:p>
    <w:p>
      <w:pPr>
        <w:spacing w:line="360" w:lineRule="auto"/>
        <w:ind w:left="657" w:leftChars="313"/>
        <w:rPr>
          <w:rFonts w:ascii="宋体" w:hAnsi="宋体" w:cs="Arial"/>
          <w:color w:val="auto"/>
          <w:sz w:val="22"/>
        </w:rPr>
      </w:pPr>
      <w:r>
        <w:rPr>
          <w:rFonts w:hint="eastAsia" w:ascii="宋体" w:hAnsi="宋体" w:cs="Arial"/>
          <w:color w:val="auto"/>
          <w:sz w:val="22"/>
        </w:rPr>
        <w:t>商务分得分=（评标基准价/投标人投标总价）×</w:t>
      </w:r>
      <w:r>
        <w:rPr>
          <w:rFonts w:hint="eastAsia" w:ascii="宋体" w:hAnsi="宋体" w:cs="Arial"/>
          <w:color w:val="auto"/>
          <w:sz w:val="22"/>
          <w:lang w:val="en-US" w:eastAsia="zh-CN"/>
        </w:rPr>
        <w:t>30</w:t>
      </w:r>
      <w:r>
        <w:rPr>
          <w:rFonts w:hint="eastAsia" w:ascii="宋体" w:hAnsi="宋体" w:cs="Arial"/>
          <w:color w:val="auto"/>
          <w:sz w:val="22"/>
        </w:rPr>
        <w:t>% ×100（四舍五入后保留小数2位）</w:t>
      </w:r>
    </w:p>
    <w:p>
      <w:pPr>
        <w:spacing w:line="360" w:lineRule="auto"/>
        <w:ind w:firstLine="0" w:firstLineChars="0"/>
        <w:rPr>
          <w:rFonts w:ascii="宋体" w:hAnsi="宋体" w:cs="宋体"/>
          <w:b/>
          <w:color w:val="auto"/>
          <w:sz w:val="22"/>
          <w:szCs w:val="22"/>
        </w:rPr>
      </w:pPr>
      <w:r>
        <w:rPr>
          <w:rFonts w:hint="eastAsia" w:ascii="宋体" w:hAnsi="宋体" w:cs="宋体"/>
          <w:b/>
          <w:color w:val="auto"/>
          <w:sz w:val="22"/>
          <w:szCs w:val="22"/>
        </w:rPr>
        <w:t>3）本项目为对应的中小企业划分标准所属行业：</w:t>
      </w:r>
      <w:r>
        <w:rPr>
          <w:rFonts w:hint="eastAsia" w:ascii="宋体" w:hAnsi="宋体" w:cs="新宋体"/>
          <w:b/>
          <w:bCs/>
          <w:color w:val="auto"/>
          <w:kern w:val="0"/>
          <w:sz w:val="22"/>
          <w:u w:val="single"/>
          <w:lang w:val="en-US" w:eastAsia="zh-CN"/>
        </w:rPr>
        <w:t>工业</w:t>
      </w:r>
      <w:r>
        <w:rPr>
          <w:rFonts w:hint="eastAsia" w:ascii="宋体" w:hAnsi="宋体" w:cs="宋体"/>
          <w:b/>
          <w:color w:val="auto"/>
          <w:sz w:val="22"/>
          <w:szCs w:val="22"/>
        </w:rPr>
        <w:t>。对于符合招标文件规定的小、微企业（或监狱企业、残疾人福利单位），对其投标报价给予10%的扣除，用扣除后的价格（即价格的 90% ）参与评审。</w:t>
      </w:r>
    </w:p>
    <w:p>
      <w:pPr>
        <w:spacing w:line="360" w:lineRule="auto"/>
        <w:ind w:firstLine="0" w:firstLineChars="0"/>
        <w:rPr>
          <w:rFonts w:ascii="宋体" w:hAnsi="宋体" w:cs="Arial"/>
          <w:color w:val="auto"/>
          <w:sz w:val="22"/>
        </w:rPr>
      </w:pPr>
      <w:r>
        <w:rPr>
          <w:rFonts w:hint="eastAsia" w:ascii="宋体" w:hAnsi="宋体" w:cs="宋体"/>
          <w:b/>
          <w:color w:val="auto"/>
          <w:sz w:val="22"/>
          <w:szCs w:val="22"/>
        </w:rPr>
        <w:t>4）对于联合体协议约定小微企业合同份额占到合同总金额30%以上的，对其投标报价给予6%的扣除，用扣除后的价格（即价格的 94% ）参与评审。</w:t>
      </w:r>
    </w:p>
    <w:p>
      <w:pPr>
        <w:spacing w:line="360" w:lineRule="auto"/>
        <w:rPr>
          <w:rFonts w:ascii="宋体" w:hAnsi="宋体" w:cs="Arial"/>
          <w:color w:val="auto"/>
          <w:sz w:val="22"/>
        </w:rPr>
      </w:pPr>
      <w:r>
        <w:rPr>
          <w:rFonts w:hint="eastAsia" w:ascii="宋体" w:hAnsi="宋体" w:cs="Arial"/>
          <w:color w:val="auto"/>
          <w:sz w:val="22"/>
        </w:rPr>
        <w:t xml:space="preserve">  5）</w:t>
      </w:r>
      <w:r>
        <w:rPr>
          <w:rFonts w:hint="eastAsia" w:ascii="宋体" w:hAnsi="宋体"/>
          <w:b/>
          <w:bCs/>
          <w:color w:val="auto"/>
          <w:sz w:val="22"/>
          <w:szCs w:val="22"/>
        </w:rPr>
        <w:t>▲</w:t>
      </w:r>
      <w:r>
        <w:rPr>
          <w:rFonts w:hint="eastAsia" w:ascii="宋体" w:hAnsi="宋体" w:cs="Arial"/>
          <w:b/>
          <w:color w:val="auto"/>
          <w:sz w:val="22"/>
          <w:szCs w:val="22"/>
          <w:u w:val="single"/>
        </w:rPr>
        <w:t>本项目采购预算为</w:t>
      </w:r>
      <w:r>
        <w:rPr>
          <w:rFonts w:hint="eastAsia" w:ascii="宋体" w:hAnsi="宋体" w:cs="Arial"/>
          <w:b/>
          <w:color w:val="auto"/>
          <w:sz w:val="22"/>
          <w:szCs w:val="22"/>
          <w:u w:val="single"/>
          <w:lang w:eastAsia="zh-CN"/>
        </w:rPr>
        <w:t>3000000</w:t>
      </w:r>
      <w:r>
        <w:rPr>
          <w:rFonts w:hint="eastAsia" w:ascii="宋体" w:hAnsi="宋体" w:cs="Arial"/>
          <w:b/>
          <w:color w:val="auto"/>
          <w:sz w:val="22"/>
          <w:szCs w:val="22"/>
          <w:u w:val="single"/>
        </w:rPr>
        <w:t>元，</w:t>
      </w:r>
      <w:r>
        <w:rPr>
          <w:rFonts w:hint="eastAsia" w:ascii="宋体" w:hAnsi="宋体"/>
          <w:b/>
          <w:color w:val="auto"/>
          <w:sz w:val="22"/>
          <w:szCs w:val="22"/>
          <w:u w:val="single"/>
        </w:rPr>
        <w:t>如投标人报价超过采购预算，其投标文件作无效标处理</w:t>
      </w:r>
      <w:r>
        <w:rPr>
          <w:rFonts w:hint="eastAsia" w:ascii="宋体" w:hAnsi="宋体" w:cs="Arial"/>
          <w:color w:val="auto"/>
          <w:sz w:val="22"/>
        </w:rPr>
        <w:t>。</w:t>
      </w:r>
    </w:p>
    <w:p>
      <w:pPr>
        <w:spacing w:line="360" w:lineRule="auto"/>
        <w:ind w:firstLine="0" w:firstLineChars="0"/>
        <w:rPr>
          <w:rFonts w:ascii="宋体" w:hAnsi="宋体" w:cs="Arial"/>
          <w:b/>
          <w:color w:val="auto"/>
          <w:sz w:val="22"/>
          <w:szCs w:val="22"/>
          <w:u w:val="single"/>
        </w:rPr>
      </w:pPr>
      <w:r>
        <w:rPr>
          <w:rFonts w:hint="eastAsia" w:ascii="宋体" w:hAnsi="宋体" w:cs="Arial"/>
          <w:color w:val="auto"/>
          <w:sz w:val="22"/>
        </w:rPr>
        <w:t>6）</w:t>
      </w:r>
      <w:r>
        <w:rPr>
          <w:rFonts w:hint="eastAsia" w:ascii="宋体" w:hAnsi="宋体" w:cs="Arial"/>
          <w:color w:val="auto"/>
          <w:sz w:val="22"/>
          <w:szCs w:val="22"/>
        </w:rPr>
        <w:t>所有投标人商务报价均超采购预算，</w:t>
      </w:r>
      <w:r>
        <w:rPr>
          <w:rFonts w:hint="eastAsia" w:ascii="宋体" w:hAnsi="宋体"/>
          <w:color w:val="auto"/>
          <w:sz w:val="22"/>
          <w:szCs w:val="22"/>
        </w:rPr>
        <w:t>采购人无法支付的,</w:t>
      </w:r>
      <w:r>
        <w:rPr>
          <w:rFonts w:hint="eastAsia" w:ascii="宋体" w:hAnsi="宋体" w:cs="Arial"/>
          <w:color w:val="auto"/>
          <w:sz w:val="22"/>
          <w:szCs w:val="22"/>
        </w:rPr>
        <w:t>重新组织招标</w:t>
      </w:r>
      <w:r>
        <w:rPr>
          <w:rFonts w:hint="eastAsia" w:ascii="宋体" w:hAnsi="宋体" w:cs="Arial"/>
          <w:color w:val="auto"/>
          <w:sz w:val="22"/>
        </w:rPr>
        <w:t>。</w:t>
      </w:r>
    </w:p>
    <w:p>
      <w:pPr>
        <w:spacing w:line="360" w:lineRule="auto"/>
        <w:rPr>
          <w:rFonts w:ascii="宋体" w:hAnsi="宋体" w:cs="Arial"/>
          <w:color w:val="auto"/>
          <w:sz w:val="22"/>
        </w:rPr>
      </w:pPr>
      <w:r>
        <w:rPr>
          <w:rFonts w:hint="eastAsia" w:ascii="宋体" w:hAnsi="宋体" w:cs="Arial"/>
          <w:color w:val="auto"/>
          <w:sz w:val="22"/>
        </w:rPr>
        <w:t>3、 有效投标人的综合得分为技术资信分和商务（报价）分的总和。</w:t>
      </w:r>
    </w:p>
    <w:bookmarkEnd w:id="1008"/>
    <w:bookmarkEnd w:id="1009"/>
    <w:p>
      <w:pPr>
        <w:jc w:val="left"/>
        <w:rPr>
          <w:rFonts w:hint="eastAsia" w:ascii="宋体" w:hAnsi="宋体" w:eastAsia="宋体" w:cs="Arial"/>
          <w:color w:val="auto"/>
          <w:sz w:val="36"/>
          <w:szCs w:val="36"/>
        </w:rPr>
      </w:pPr>
      <w:bookmarkStart w:id="1015" w:name="_Toc246261271"/>
      <w:bookmarkStart w:id="1016" w:name="_Toc262105510"/>
      <w:bookmarkStart w:id="1017" w:name="_Toc223716004"/>
      <w:bookmarkStart w:id="1018" w:name="_Toc221356894"/>
      <w:bookmarkStart w:id="1019" w:name="_Toc241404208"/>
      <w:bookmarkStart w:id="1020" w:name="_Toc249758721"/>
      <w:bookmarkStart w:id="1021" w:name="_Toc222114885"/>
      <w:bookmarkStart w:id="1022" w:name="_Toc245191320"/>
      <w:bookmarkStart w:id="1023" w:name="_Toc10781"/>
      <w:bookmarkStart w:id="1024" w:name="_Toc221356957"/>
      <w:bookmarkStart w:id="1025" w:name="_Toc245722287"/>
      <w:bookmarkStart w:id="1026" w:name="_Toc221423625"/>
      <w:bookmarkStart w:id="1027" w:name="_Toc262049425"/>
      <w:bookmarkStart w:id="1028" w:name="_Toc239145360"/>
      <w:bookmarkStart w:id="1029" w:name="_Toc221374632"/>
      <w:bookmarkStart w:id="1030" w:name="_Toc249758871"/>
      <w:r>
        <w:rPr>
          <w:rFonts w:hint="eastAsia" w:ascii="宋体" w:hAnsi="宋体" w:eastAsia="宋体" w:cs="Arial"/>
          <w:color w:val="auto"/>
          <w:sz w:val="36"/>
          <w:szCs w:val="36"/>
        </w:rPr>
        <w:br w:type="page"/>
      </w:r>
    </w:p>
    <w:p>
      <w:pPr>
        <w:jc w:val="center"/>
        <w:rPr>
          <w:rFonts w:ascii="宋体" w:hAnsi="宋体" w:eastAsia="宋体" w:cs="Arial"/>
          <w:color w:val="auto"/>
          <w:sz w:val="36"/>
          <w:szCs w:val="36"/>
        </w:rPr>
      </w:pPr>
      <w:r>
        <w:rPr>
          <w:rFonts w:hint="eastAsia" w:ascii="宋体" w:hAnsi="宋体" w:eastAsia="宋体" w:cs="Arial"/>
          <w:color w:val="auto"/>
          <w:sz w:val="36"/>
          <w:szCs w:val="36"/>
        </w:rPr>
        <w:t>第四部分   合同主要条款</w:t>
      </w:r>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p>
    <w:p>
      <w:pPr>
        <w:spacing w:line="360" w:lineRule="auto"/>
        <w:rPr>
          <w:color w:val="auto"/>
        </w:rPr>
      </w:pPr>
      <w:bookmarkStart w:id="1031" w:name="_Toc221356960"/>
      <w:bookmarkStart w:id="1032" w:name="_Toc221356897"/>
      <w:bookmarkStart w:id="1033" w:name="_Toc221374633"/>
    </w:p>
    <w:p>
      <w:pPr>
        <w:pStyle w:val="16"/>
      </w:pPr>
    </w:p>
    <w:p>
      <w:pPr>
        <w:spacing w:line="460" w:lineRule="exact"/>
        <w:jc w:val="center"/>
        <w:rPr>
          <w:rFonts w:ascii="新宋体" w:hAnsi="新宋体" w:eastAsia="新宋体"/>
          <w:b/>
          <w:sz w:val="44"/>
          <w:szCs w:val="44"/>
        </w:rPr>
      </w:pPr>
    </w:p>
    <w:p>
      <w:pPr>
        <w:spacing w:line="800" w:lineRule="exact"/>
        <w:jc w:val="center"/>
        <w:rPr>
          <w:rFonts w:ascii="新宋体" w:hAnsi="新宋体" w:eastAsia="新宋体"/>
          <w:b/>
          <w:bCs/>
          <w:sz w:val="32"/>
          <w:szCs w:val="32"/>
        </w:rPr>
      </w:pPr>
      <w:r>
        <w:rPr>
          <w:rFonts w:hint="eastAsia" w:ascii="新宋体" w:hAnsi="新宋体" w:eastAsia="新宋体"/>
          <w:b/>
          <w:sz w:val="56"/>
          <w:szCs w:val="56"/>
        </w:rPr>
        <w:t>政 府 采 购 合 同</w:t>
      </w:r>
    </w:p>
    <w:p>
      <w:pPr>
        <w:spacing w:line="460" w:lineRule="exact"/>
        <w:rPr>
          <w:rFonts w:ascii="新宋体" w:hAnsi="新宋体" w:eastAsia="新宋体"/>
          <w:b/>
          <w:bCs/>
          <w:sz w:val="22"/>
          <w:szCs w:val="22"/>
        </w:rPr>
      </w:pPr>
    </w:p>
    <w:p>
      <w:pPr>
        <w:spacing w:line="460" w:lineRule="exact"/>
        <w:ind w:left="552" w:hanging="552" w:hangingChars="250"/>
        <w:rPr>
          <w:rFonts w:ascii="新宋体" w:hAnsi="新宋体" w:eastAsia="新宋体"/>
          <w:b/>
          <w:bCs/>
          <w:sz w:val="22"/>
          <w:szCs w:val="22"/>
        </w:rPr>
      </w:pPr>
    </w:p>
    <w:p>
      <w:pPr>
        <w:spacing w:line="460" w:lineRule="exact"/>
        <w:ind w:left="552" w:hanging="552" w:hangingChars="250"/>
        <w:rPr>
          <w:rFonts w:ascii="新宋体" w:hAnsi="新宋体" w:eastAsia="新宋体"/>
          <w:b/>
          <w:bCs/>
          <w:sz w:val="22"/>
          <w:szCs w:val="22"/>
        </w:rPr>
      </w:pPr>
    </w:p>
    <w:p>
      <w:pPr>
        <w:spacing w:line="460" w:lineRule="exact"/>
        <w:ind w:left="550" w:hanging="550" w:hangingChars="250"/>
        <w:rPr>
          <w:rFonts w:ascii="新宋体" w:hAnsi="新宋体" w:eastAsia="新宋体"/>
          <w:sz w:val="22"/>
          <w:szCs w:val="22"/>
        </w:rPr>
      </w:pPr>
    </w:p>
    <w:p>
      <w:pPr>
        <w:spacing w:line="720" w:lineRule="auto"/>
        <w:ind w:firstLine="2380" w:firstLineChars="850"/>
        <w:rPr>
          <w:rFonts w:hint="default" w:ascii="新宋体" w:hAnsi="新宋体" w:eastAsia="新宋体"/>
          <w:sz w:val="28"/>
          <w:lang w:val="en-US" w:eastAsia="zh-CN"/>
        </w:rPr>
      </w:pPr>
      <w:r>
        <w:rPr>
          <w:rFonts w:hint="eastAsia" w:ascii="新宋体" w:hAnsi="新宋体" w:eastAsia="新宋体"/>
          <w:sz w:val="28"/>
        </w:rPr>
        <w:t>项 目 名 称：</w:t>
      </w:r>
      <w:r>
        <w:rPr>
          <w:rFonts w:hint="eastAsia" w:ascii="新宋体" w:hAnsi="新宋体" w:eastAsia="新宋体"/>
          <w:sz w:val="28"/>
          <w:u w:val="single"/>
          <w:lang w:val="en-US" w:eastAsia="zh-CN"/>
        </w:rPr>
        <w:t xml:space="preserve">                        </w:t>
      </w:r>
    </w:p>
    <w:p>
      <w:pPr>
        <w:spacing w:line="720" w:lineRule="auto"/>
        <w:ind w:firstLine="2413" w:firstLineChars="862"/>
        <w:rPr>
          <w:rFonts w:hint="default" w:ascii="新宋体" w:hAnsi="新宋体" w:eastAsia="新宋体"/>
          <w:sz w:val="28"/>
          <w:u w:val="single"/>
          <w:lang w:val="en-US" w:eastAsia="zh-CN"/>
        </w:rPr>
      </w:pPr>
      <w:r>
        <w:rPr>
          <w:rFonts w:hint="eastAsia" w:ascii="新宋体" w:hAnsi="新宋体" w:eastAsia="新宋体"/>
          <w:sz w:val="28"/>
        </w:rPr>
        <w:t>项 目 地 点：</w:t>
      </w:r>
      <w:r>
        <w:rPr>
          <w:rFonts w:hint="eastAsia" w:ascii="新宋体" w:hAnsi="新宋体" w:eastAsia="新宋体"/>
          <w:sz w:val="28"/>
          <w:u w:val="single"/>
          <w:lang w:val="en-US" w:eastAsia="zh-CN"/>
        </w:rPr>
        <w:t xml:space="preserve">                        </w:t>
      </w:r>
    </w:p>
    <w:p>
      <w:pPr>
        <w:spacing w:line="720" w:lineRule="auto"/>
        <w:ind w:firstLine="2413" w:firstLineChars="862"/>
        <w:rPr>
          <w:rFonts w:hint="default" w:ascii="新宋体" w:hAnsi="新宋体" w:eastAsia="新宋体"/>
          <w:sz w:val="28"/>
          <w:lang w:val="en-US" w:eastAsia="zh-CN"/>
        </w:rPr>
      </w:pPr>
      <w:r>
        <w:rPr>
          <w:rFonts w:hint="eastAsia" w:ascii="新宋体" w:hAnsi="新宋体" w:eastAsia="新宋体"/>
          <w:sz w:val="28"/>
        </w:rPr>
        <w:t>合 同 编 号：</w:t>
      </w:r>
      <w:r>
        <w:rPr>
          <w:rFonts w:hint="eastAsia" w:ascii="新宋体" w:hAnsi="新宋体" w:eastAsia="新宋体"/>
          <w:sz w:val="28"/>
          <w:u w:val="single"/>
          <w:lang w:val="en-US" w:eastAsia="zh-CN"/>
        </w:rPr>
        <w:t xml:space="preserve">                        </w:t>
      </w:r>
    </w:p>
    <w:p>
      <w:pPr>
        <w:spacing w:line="460" w:lineRule="exact"/>
        <w:ind w:firstLine="4373" w:firstLineChars="1562"/>
        <w:rPr>
          <w:rFonts w:ascii="新宋体" w:hAnsi="新宋体" w:eastAsia="新宋体"/>
          <w:sz w:val="28"/>
        </w:rPr>
      </w:pPr>
    </w:p>
    <w:p>
      <w:pPr>
        <w:spacing w:line="460" w:lineRule="exact"/>
        <w:ind w:firstLine="2413" w:firstLineChars="862"/>
        <w:rPr>
          <w:rFonts w:ascii="新宋体" w:hAnsi="新宋体" w:eastAsia="新宋体"/>
          <w:sz w:val="28"/>
        </w:rPr>
      </w:pPr>
    </w:p>
    <w:p>
      <w:pPr>
        <w:spacing w:line="460" w:lineRule="exact"/>
        <w:ind w:firstLine="2413" w:firstLineChars="862"/>
        <w:rPr>
          <w:rFonts w:ascii="新宋体" w:hAnsi="新宋体" w:eastAsia="新宋体"/>
          <w:sz w:val="28"/>
        </w:rPr>
      </w:pPr>
    </w:p>
    <w:p>
      <w:pPr>
        <w:spacing w:line="460" w:lineRule="exact"/>
        <w:ind w:firstLine="2413" w:firstLineChars="862"/>
        <w:rPr>
          <w:rFonts w:ascii="新宋体" w:hAnsi="新宋体" w:eastAsia="新宋体"/>
          <w:sz w:val="28"/>
        </w:rPr>
      </w:pPr>
    </w:p>
    <w:p>
      <w:pPr>
        <w:pStyle w:val="16"/>
        <w:rPr>
          <w:rFonts w:ascii="新宋体" w:hAnsi="新宋体" w:eastAsia="新宋体"/>
          <w:sz w:val="28"/>
        </w:rPr>
      </w:pPr>
    </w:p>
    <w:p>
      <w:pPr>
        <w:rPr>
          <w:rFonts w:ascii="新宋体" w:hAnsi="新宋体" w:eastAsia="新宋体"/>
          <w:sz w:val="28"/>
        </w:rPr>
      </w:pPr>
    </w:p>
    <w:p>
      <w:pPr>
        <w:pStyle w:val="16"/>
      </w:pPr>
    </w:p>
    <w:p>
      <w:pPr>
        <w:spacing w:line="440" w:lineRule="exact"/>
        <w:ind w:right="544" w:rightChars="259" w:firstLine="1058" w:firstLineChars="378"/>
        <w:rPr>
          <w:rFonts w:ascii="新宋体" w:hAnsi="新宋体" w:eastAsia="新宋体"/>
          <w:sz w:val="28"/>
        </w:rPr>
      </w:pPr>
      <w:r>
        <w:rPr>
          <w:rFonts w:hint="eastAsia" w:ascii="新宋体" w:hAnsi="新宋体" w:eastAsia="新宋体"/>
          <w:sz w:val="28"/>
        </w:rPr>
        <w:t>采 购 单 位：</w:t>
      </w:r>
      <w:r>
        <w:rPr>
          <w:rFonts w:hint="eastAsia" w:ascii="新宋体" w:hAnsi="新宋体" w:eastAsia="新宋体"/>
          <w:sz w:val="28"/>
          <w:u w:val="single"/>
        </w:rPr>
        <w:t xml:space="preserve">         </w:t>
      </w:r>
      <w:r>
        <w:rPr>
          <w:rFonts w:hint="eastAsia" w:ascii="新宋体" w:hAnsi="新宋体" w:eastAsia="新宋体"/>
          <w:sz w:val="28"/>
          <w:u w:val="single"/>
          <w:lang w:val="en-US" w:eastAsia="zh-CN"/>
        </w:rPr>
        <w:t xml:space="preserve">                     </w:t>
      </w:r>
      <w:r>
        <w:rPr>
          <w:rFonts w:hint="eastAsia" w:ascii="新宋体" w:hAnsi="新宋体" w:eastAsia="新宋体"/>
          <w:sz w:val="28"/>
          <w:u w:val="single"/>
        </w:rPr>
        <w:t xml:space="preserve">      </w:t>
      </w:r>
    </w:p>
    <w:p>
      <w:pPr>
        <w:spacing w:line="440" w:lineRule="exact"/>
        <w:ind w:right="544" w:rightChars="259" w:firstLine="1058" w:firstLineChars="378"/>
        <w:rPr>
          <w:rFonts w:ascii="新宋体" w:hAnsi="新宋体" w:eastAsia="新宋体"/>
          <w:sz w:val="28"/>
        </w:rPr>
      </w:pPr>
      <w:r>
        <w:rPr>
          <w:rFonts w:hint="eastAsia" w:ascii="新宋体" w:hAnsi="新宋体" w:eastAsia="新宋体"/>
          <w:sz w:val="28"/>
        </w:rPr>
        <w:t xml:space="preserve"> </w:t>
      </w:r>
    </w:p>
    <w:p>
      <w:pPr>
        <w:spacing w:line="440" w:lineRule="exact"/>
        <w:ind w:right="544" w:rightChars="259" w:firstLine="960" w:firstLineChars="300"/>
        <w:rPr>
          <w:rFonts w:ascii="新宋体" w:hAnsi="新宋体" w:eastAsia="新宋体"/>
          <w:sz w:val="28"/>
          <w:u w:val="single"/>
        </w:rPr>
      </w:pPr>
      <w:r>
        <w:rPr>
          <w:rFonts w:hint="eastAsia" w:ascii="新宋体" w:hAnsi="新宋体" w:eastAsia="新宋体"/>
          <w:spacing w:val="20"/>
          <w:sz w:val="28"/>
        </w:rPr>
        <w:t>中标供应商：</w:t>
      </w:r>
      <w:r>
        <w:rPr>
          <w:rFonts w:hint="eastAsia" w:ascii="新宋体" w:hAnsi="新宋体" w:eastAsia="新宋体"/>
          <w:sz w:val="28"/>
          <w:u w:val="single"/>
        </w:rPr>
        <w:t xml:space="preserve">                                     </w:t>
      </w:r>
    </w:p>
    <w:p>
      <w:pPr>
        <w:spacing w:line="440" w:lineRule="exact"/>
        <w:ind w:right="544" w:rightChars="259" w:firstLine="1058" w:firstLineChars="378"/>
        <w:rPr>
          <w:rFonts w:ascii="新宋体" w:hAnsi="新宋体" w:eastAsia="新宋体"/>
          <w:sz w:val="28"/>
        </w:rPr>
      </w:pPr>
    </w:p>
    <w:p>
      <w:pPr>
        <w:ind w:right="544" w:rightChars="259" w:firstLine="1058" w:firstLineChars="378"/>
        <w:rPr>
          <w:rFonts w:ascii="新宋体" w:hAnsi="新宋体" w:eastAsia="新宋体"/>
          <w:sz w:val="28"/>
        </w:rPr>
      </w:pPr>
      <w:r>
        <w:rPr>
          <w:rFonts w:hint="eastAsia" w:ascii="新宋体" w:hAnsi="新宋体" w:eastAsia="新宋体"/>
          <w:sz w:val="28"/>
        </w:rPr>
        <w:t>签 订 日 期：</w:t>
      </w:r>
      <w:r>
        <w:rPr>
          <w:rFonts w:hint="eastAsia" w:ascii="新宋体" w:hAnsi="新宋体" w:eastAsia="新宋体"/>
          <w:sz w:val="28"/>
          <w:u w:val="single"/>
        </w:rPr>
        <w:t xml:space="preserve">                                      </w:t>
      </w:r>
      <w:r>
        <w:rPr>
          <w:rFonts w:hint="eastAsia" w:ascii="新宋体" w:hAnsi="新宋体" w:eastAsia="新宋体"/>
          <w:sz w:val="28"/>
        </w:rPr>
        <w:t xml:space="preserve"> </w:t>
      </w:r>
    </w:p>
    <w:p>
      <w:pPr>
        <w:spacing w:line="460" w:lineRule="exact"/>
        <w:rPr>
          <w:rFonts w:ascii="新宋体" w:hAnsi="新宋体" w:eastAsia="新宋体"/>
          <w:b/>
          <w:bCs/>
          <w:sz w:val="22"/>
          <w:szCs w:val="22"/>
        </w:rPr>
      </w:pPr>
    </w:p>
    <w:p>
      <w:pPr>
        <w:spacing w:line="400" w:lineRule="exact"/>
        <w:rPr>
          <w:rFonts w:hint="eastAsia" w:ascii="新宋体" w:hAnsi="新宋体" w:eastAsia="新宋体"/>
          <w:bCs/>
          <w:sz w:val="22"/>
          <w:szCs w:val="22"/>
        </w:rPr>
      </w:pPr>
    </w:p>
    <w:p>
      <w:pPr>
        <w:spacing w:line="360" w:lineRule="auto"/>
        <w:rPr>
          <w:rFonts w:hint="eastAsia" w:ascii="宋体" w:hAnsi="宋体" w:eastAsia="宋体" w:cs="宋体"/>
          <w:bCs/>
          <w:sz w:val="22"/>
          <w:szCs w:val="22"/>
        </w:rPr>
      </w:pPr>
    </w:p>
    <w:p>
      <w:pPr>
        <w:spacing w:line="360" w:lineRule="auto"/>
        <w:rPr>
          <w:rFonts w:hint="eastAsia" w:ascii="宋体" w:hAnsi="宋体" w:eastAsia="宋体" w:cs="宋体"/>
          <w:bCs/>
          <w:sz w:val="22"/>
          <w:szCs w:val="22"/>
        </w:rPr>
      </w:pPr>
    </w:p>
    <w:p>
      <w:pPr>
        <w:spacing w:line="360" w:lineRule="auto"/>
        <w:rPr>
          <w:rFonts w:hint="eastAsia" w:ascii="宋体" w:hAnsi="宋体" w:eastAsia="宋体" w:cs="宋体"/>
          <w:bCs/>
          <w:sz w:val="22"/>
          <w:szCs w:val="22"/>
        </w:rPr>
      </w:pPr>
    </w:p>
    <w:p>
      <w:pPr>
        <w:spacing w:line="360" w:lineRule="auto"/>
        <w:rPr>
          <w:rFonts w:hint="eastAsia" w:ascii="宋体" w:hAnsi="宋体" w:eastAsia="宋体" w:cs="宋体"/>
          <w:bCs/>
          <w:sz w:val="22"/>
          <w:szCs w:val="22"/>
          <w:u w:val="single"/>
        </w:rPr>
      </w:pPr>
      <w:r>
        <w:rPr>
          <w:rFonts w:hint="eastAsia" w:ascii="宋体" w:hAnsi="宋体" w:eastAsia="宋体" w:cs="宋体"/>
          <w:bCs/>
          <w:sz w:val="22"/>
          <w:szCs w:val="22"/>
        </w:rPr>
        <w:t>采购单位</w:t>
      </w:r>
      <w:r>
        <w:rPr>
          <w:rFonts w:hint="eastAsia" w:ascii="宋体" w:hAnsi="宋体" w:eastAsia="宋体" w:cs="宋体"/>
          <w:sz w:val="22"/>
          <w:szCs w:val="22"/>
        </w:rPr>
        <w:t>：</w:t>
      </w:r>
      <w:r>
        <w:rPr>
          <w:rFonts w:hint="eastAsia" w:ascii="宋体" w:hAnsi="宋体" w:eastAsia="宋体" w:cs="宋体"/>
          <w:bCs/>
          <w:sz w:val="22"/>
          <w:szCs w:val="22"/>
          <w:u w:val="single"/>
        </w:rPr>
        <w:t xml:space="preserve">                            </w:t>
      </w:r>
      <w:r>
        <w:rPr>
          <w:rFonts w:hint="eastAsia" w:ascii="宋体" w:hAnsi="宋体" w:eastAsia="宋体" w:cs="宋体"/>
          <w:bCs/>
          <w:sz w:val="22"/>
          <w:szCs w:val="22"/>
        </w:rPr>
        <w:t>（以下称甲方）</w:t>
      </w:r>
    </w:p>
    <w:p>
      <w:pPr>
        <w:spacing w:line="360" w:lineRule="auto"/>
        <w:rPr>
          <w:rFonts w:hint="eastAsia" w:ascii="宋体" w:hAnsi="宋体" w:eastAsia="宋体" w:cs="宋体"/>
          <w:sz w:val="22"/>
          <w:szCs w:val="22"/>
        </w:rPr>
      </w:pPr>
      <w:r>
        <w:rPr>
          <w:rFonts w:hint="eastAsia" w:ascii="宋体" w:hAnsi="宋体" w:eastAsia="宋体" w:cs="宋体"/>
          <w:bCs/>
          <w:sz w:val="22"/>
          <w:szCs w:val="22"/>
        </w:rPr>
        <w:t>中标供应商:</w:t>
      </w:r>
      <w:r>
        <w:rPr>
          <w:rFonts w:hint="eastAsia" w:ascii="宋体" w:hAnsi="宋体" w:eastAsia="宋体" w:cs="宋体"/>
          <w:bCs/>
          <w:sz w:val="22"/>
          <w:szCs w:val="22"/>
          <w:u w:val="single"/>
        </w:rPr>
        <w:t xml:space="preserve">                           </w:t>
      </w:r>
      <w:r>
        <w:rPr>
          <w:rFonts w:hint="eastAsia" w:ascii="宋体" w:hAnsi="宋体" w:eastAsia="宋体" w:cs="宋体"/>
          <w:bCs/>
          <w:sz w:val="22"/>
          <w:szCs w:val="22"/>
        </w:rPr>
        <w:t>（以下称乙方）</w:t>
      </w:r>
    </w:p>
    <w:p>
      <w:pPr>
        <w:overflowPunct w:val="0"/>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甲方采购的</w:t>
      </w:r>
      <w:r>
        <w:rPr>
          <w:rFonts w:hint="eastAsia" w:ascii="宋体" w:hAnsi="宋体" w:cs="宋体"/>
          <w:color w:val="000000"/>
          <w:sz w:val="22"/>
          <w:szCs w:val="22"/>
          <w:u w:val="single"/>
        </w:rPr>
        <w:t xml:space="preserve">             （项目名称、编号）           </w:t>
      </w:r>
      <w:r>
        <w:rPr>
          <w:rFonts w:hint="eastAsia" w:ascii="宋体" w:hAnsi="宋体" w:cs="宋体"/>
          <w:color w:val="000000"/>
          <w:sz w:val="22"/>
          <w:szCs w:val="22"/>
        </w:rPr>
        <w:t xml:space="preserve">在国内以公开招标方式进行采购，经评标委员会综合评定 </w:t>
      </w:r>
      <w:r>
        <w:rPr>
          <w:rFonts w:hint="eastAsia" w:ascii="宋体" w:hAnsi="宋体" w:cs="宋体"/>
          <w:color w:val="000000"/>
          <w:sz w:val="22"/>
          <w:szCs w:val="22"/>
          <w:u w:val="single"/>
        </w:rPr>
        <w:t xml:space="preserve">        （中标供应商名称）          </w:t>
      </w:r>
      <w:r>
        <w:rPr>
          <w:rFonts w:hint="eastAsia" w:ascii="宋体" w:hAnsi="宋体" w:cs="宋体"/>
          <w:color w:val="000000"/>
          <w:sz w:val="22"/>
          <w:szCs w:val="22"/>
        </w:rPr>
        <w:t>为本项目中标供应商。为了明确甲、乙双方的权利和义务，履行各自的职责，高效优质地完成本项目的各项工作任务，按照《《中华人民共和国政府采购法》、《中华人民共和国民法典》等有关法律法规规定，经甲乙双方在平等、自愿的基础上共同协商一致，同意按照以下条款，签署本合同。</w:t>
      </w:r>
    </w:p>
    <w:p>
      <w:pPr>
        <w:spacing w:line="360" w:lineRule="auto"/>
        <w:ind w:firstLine="442" w:firstLineChars="200"/>
        <w:rPr>
          <w:rFonts w:hint="eastAsia" w:ascii="宋体" w:hAnsi="宋体" w:eastAsia="宋体" w:cs="宋体"/>
          <w:b/>
          <w:sz w:val="22"/>
          <w:szCs w:val="22"/>
        </w:rPr>
      </w:pPr>
      <w:r>
        <w:rPr>
          <w:rFonts w:hint="eastAsia" w:ascii="宋体" w:hAnsi="宋体" w:eastAsia="宋体" w:cs="宋体"/>
          <w:b/>
          <w:bCs/>
          <w:sz w:val="22"/>
          <w:szCs w:val="22"/>
          <w:lang w:val="en-US" w:eastAsia="zh-CN"/>
        </w:rPr>
        <w:t>1、</w:t>
      </w:r>
      <w:r>
        <w:rPr>
          <w:rFonts w:hint="eastAsia" w:ascii="宋体" w:hAnsi="宋体" w:eastAsia="宋体" w:cs="宋体"/>
          <w:b/>
          <w:bCs/>
          <w:sz w:val="22"/>
          <w:szCs w:val="22"/>
        </w:rPr>
        <w:t>合同文件</w:t>
      </w:r>
      <w:r>
        <w:rPr>
          <w:rFonts w:hint="eastAsia" w:ascii="宋体" w:hAnsi="宋体" w:eastAsia="宋体" w:cs="宋体"/>
          <w:b/>
          <w:sz w:val="22"/>
          <w:szCs w:val="22"/>
        </w:rPr>
        <w:t>的组成</w:t>
      </w:r>
    </w:p>
    <w:p>
      <w:pPr>
        <w:spacing w:line="360" w:lineRule="auto"/>
        <w:rPr>
          <w:rFonts w:hint="eastAsia" w:ascii="宋体" w:hAnsi="宋体" w:cs="宋体"/>
          <w:b/>
          <w:bCs/>
          <w:sz w:val="22"/>
          <w:szCs w:val="22"/>
        </w:rPr>
      </w:pPr>
      <w:r>
        <w:rPr>
          <w:rFonts w:hint="eastAsia" w:ascii="宋体" w:hAnsi="宋体" w:eastAsia="宋体" w:cs="宋体"/>
          <w:sz w:val="22"/>
          <w:szCs w:val="22"/>
        </w:rPr>
        <w:t xml:space="preserve">     </w:t>
      </w:r>
      <w:r>
        <w:rPr>
          <w:rFonts w:hint="eastAsia" w:ascii="宋体" w:hAnsi="宋体" w:cs="宋体"/>
          <w:color w:val="000000"/>
          <w:sz w:val="22"/>
          <w:szCs w:val="22"/>
        </w:rPr>
        <w:t>下列文件构成本合同的组成部分：</w:t>
      </w:r>
    </w:p>
    <w:p>
      <w:pPr>
        <w:spacing w:line="360" w:lineRule="auto"/>
        <w:ind w:firstLine="440" w:firstLineChars="200"/>
        <w:rPr>
          <w:rFonts w:hint="eastAsia" w:ascii="宋体" w:hAnsi="宋体" w:cs="宋体"/>
          <w:b/>
          <w:bCs/>
          <w:sz w:val="22"/>
          <w:szCs w:val="22"/>
        </w:rPr>
      </w:pPr>
      <w:r>
        <w:rPr>
          <w:rFonts w:hint="eastAsia" w:ascii="宋体" w:hAnsi="宋体" w:cs="宋体"/>
          <w:color w:val="000000"/>
          <w:sz w:val="22"/>
          <w:szCs w:val="22"/>
        </w:rPr>
        <w:t xml:space="preserve">（1）合同主要条款及合同补充条款               </w:t>
      </w:r>
    </w:p>
    <w:p>
      <w:pPr>
        <w:spacing w:line="360" w:lineRule="auto"/>
        <w:ind w:firstLine="440" w:firstLineChars="200"/>
        <w:rPr>
          <w:rFonts w:hint="eastAsia" w:ascii="宋体" w:hAnsi="宋体" w:cs="宋体"/>
          <w:b/>
          <w:bCs/>
          <w:sz w:val="22"/>
          <w:szCs w:val="22"/>
        </w:rPr>
      </w:pPr>
      <w:r>
        <w:rPr>
          <w:rFonts w:hint="eastAsia" w:ascii="宋体" w:hAnsi="宋体" w:cs="宋体"/>
          <w:color w:val="000000"/>
          <w:sz w:val="22"/>
          <w:szCs w:val="22"/>
        </w:rPr>
        <w:t>（2）中标通知书</w:t>
      </w:r>
    </w:p>
    <w:p>
      <w:pPr>
        <w:spacing w:line="360" w:lineRule="auto"/>
        <w:ind w:firstLine="440" w:firstLineChars="200"/>
        <w:rPr>
          <w:rFonts w:hint="eastAsia" w:ascii="宋体" w:hAnsi="宋体" w:cs="宋体"/>
          <w:b/>
          <w:bCs/>
          <w:sz w:val="22"/>
          <w:szCs w:val="22"/>
        </w:rPr>
      </w:pPr>
      <w:r>
        <w:rPr>
          <w:rFonts w:hint="eastAsia" w:ascii="宋体" w:hAnsi="宋体" w:cs="宋体"/>
          <w:color w:val="000000"/>
          <w:sz w:val="22"/>
          <w:szCs w:val="22"/>
        </w:rPr>
        <w:t>（3）承诺书（含询标时承诺和优惠条件）</w:t>
      </w:r>
    </w:p>
    <w:p>
      <w:pPr>
        <w:spacing w:line="360" w:lineRule="auto"/>
        <w:ind w:firstLine="440" w:firstLineChars="200"/>
        <w:rPr>
          <w:rFonts w:hint="eastAsia" w:ascii="宋体" w:hAnsi="宋体" w:cs="宋体"/>
          <w:b/>
          <w:bCs/>
          <w:sz w:val="22"/>
          <w:szCs w:val="22"/>
        </w:rPr>
      </w:pPr>
      <w:r>
        <w:rPr>
          <w:rFonts w:hint="eastAsia" w:ascii="宋体" w:hAnsi="宋体" w:cs="宋体"/>
          <w:color w:val="000000"/>
          <w:sz w:val="22"/>
          <w:szCs w:val="22"/>
        </w:rPr>
        <w:t>（4）招标文件</w:t>
      </w:r>
    </w:p>
    <w:p>
      <w:pPr>
        <w:spacing w:line="360" w:lineRule="auto"/>
        <w:ind w:firstLine="440" w:firstLineChars="200"/>
        <w:rPr>
          <w:rFonts w:hint="eastAsia" w:ascii="宋体" w:hAnsi="宋体" w:cs="宋体"/>
          <w:b/>
          <w:bCs/>
          <w:sz w:val="22"/>
          <w:szCs w:val="22"/>
        </w:rPr>
      </w:pPr>
      <w:r>
        <w:rPr>
          <w:rFonts w:hint="eastAsia" w:ascii="宋体" w:hAnsi="宋体" w:cs="宋体"/>
          <w:color w:val="000000"/>
          <w:sz w:val="22"/>
          <w:szCs w:val="22"/>
        </w:rPr>
        <w:t xml:space="preserve">（5）投标文件 </w:t>
      </w:r>
    </w:p>
    <w:p>
      <w:pPr>
        <w:spacing w:line="360" w:lineRule="auto"/>
        <w:ind w:firstLine="440" w:firstLineChars="200"/>
        <w:rPr>
          <w:rFonts w:hint="eastAsia" w:ascii="宋体" w:hAnsi="宋体" w:cs="宋体"/>
          <w:b/>
          <w:bCs/>
          <w:sz w:val="22"/>
          <w:szCs w:val="22"/>
        </w:rPr>
      </w:pPr>
      <w:r>
        <w:rPr>
          <w:rFonts w:hint="eastAsia" w:ascii="宋体" w:hAnsi="宋体" w:cs="宋体"/>
          <w:color w:val="000000"/>
          <w:sz w:val="22"/>
          <w:szCs w:val="22"/>
        </w:rPr>
        <w:t>（6）履约保证金</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2、买方责任</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 xml:space="preserve">2.1买方提出项目建设任务和需求，负责项目的总体组织工作，并保留根据实际工作需求，提出对项目建设方案进行适当修改的权利。 </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2.2买方应为调研、安装、测试、调试等卖方工作提供必要的工作环境及协助人员。</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2.3买方负责组织由卖方提供的技术培训工作。</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2.4买方负责协调最终用户和卖方的关系，并提供最终用户的联系方式。</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2.5买方对卖方向买方提供的内部资料予以保密，且不向任何第三方泄露卖方的商业机密和技术机密。</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3、卖方责任</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3.1卖方必须根据项目招标文件中《招标内容及要求》细化项目建设需求，并按照投标文件中的规定进行项目建设和具体实施工作。</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3.2卖方根据招标文件的基本技术要求与买方共同确定项目所需的系统软件、硬件的数量及规格要求。</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3.3卖方保证按合同规定时间完工，并在工程结束时提交完整的相应技术文档及用户手册，并积极配合买方对工程项目进行验收。</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3.4卖方向买方提供提供</w:t>
      </w:r>
      <w:r>
        <w:rPr>
          <w:rFonts w:hint="eastAsia" w:ascii="宋体" w:hAnsi="宋体" w:cs="宋体"/>
          <w:color w:val="000000"/>
          <w:sz w:val="22"/>
          <w:szCs w:val="22"/>
          <w:u w:val="single"/>
        </w:rPr>
        <w:t xml:space="preserve">     </w:t>
      </w:r>
      <w:r>
        <w:rPr>
          <w:rFonts w:hint="eastAsia" w:ascii="宋体" w:hAnsi="宋体" w:cs="宋体"/>
          <w:color w:val="000000"/>
          <w:sz w:val="22"/>
          <w:szCs w:val="22"/>
        </w:rPr>
        <w:t>年免费的软件升级、技术升级与支持服务。</w:t>
      </w:r>
      <w:r>
        <w:rPr>
          <w:rFonts w:hint="eastAsia" w:ascii="宋体" w:hAnsi="宋体" w:cs="宋体"/>
          <w:color w:val="000000"/>
          <w:sz w:val="22"/>
          <w:szCs w:val="22"/>
          <w:u w:val="single"/>
        </w:rPr>
        <w:t xml:space="preserve">    </w:t>
      </w:r>
      <w:r>
        <w:rPr>
          <w:rFonts w:hint="eastAsia" w:ascii="宋体" w:hAnsi="宋体" w:cs="宋体"/>
          <w:color w:val="000000"/>
          <w:sz w:val="22"/>
          <w:szCs w:val="22"/>
        </w:rPr>
        <w:t>年的时间从项目通过验收之日（即验收报告核准时间）次日起开始计算。</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3.5卖方为买方提供项目的所有软、硬件设备使用、管理及维护等方面的培训</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3.6未经买方书面授权或同意，卖方不得以任何方式将项目转交第三方或由第三方提供相关服务。</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3.7合同签订后</w:t>
      </w:r>
      <w:r>
        <w:rPr>
          <w:rFonts w:hint="eastAsia" w:ascii="宋体" w:hAnsi="宋体" w:cs="宋体"/>
          <w:color w:val="000000"/>
          <w:sz w:val="22"/>
          <w:szCs w:val="22"/>
          <w:u w:val="single"/>
        </w:rPr>
        <w:t xml:space="preserve">    </w:t>
      </w:r>
      <w:r>
        <w:rPr>
          <w:rFonts w:hint="eastAsia" w:ascii="宋体" w:hAnsi="宋体" w:cs="宋体"/>
          <w:color w:val="000000"/>
          <w:sz w:val="22"/>
          <w:szCs w:val="22"/>
          <w:lang w:val="en-US" w:eastAsia="zh-CN"/>
        </w:rPr>
        <w:t>日历天</w:t>
      </w:r>
      <w:r>
        <w:rPr>
          <w:rFonts w:hint="eastAsia" w:ascii="宋体" w:hAnsi="宋体" w:cs="宋体"/>
          <w:color w:val="000000"/>
          <w:sz w:val="22"/>
          <w:szCs w:val="22"/>
        </w:rPr>
        <w:t>内完成系统基本信息项目的研发，达到试运行效果；</w:t>
      </w:r>
      <w:r>
        <w:rPr>
          <w:rFonts w:hint="eastAsia" w:ascii="宋体" w:hAnsi="宋体" w:cs="宋体"/>
          <w:color w:val="000000"/>
          <w:sz w:val="22"/>
          <w:szCs w:val="22"/>
          <w:u w:val="single"/>
        </w:rPr>
        <w:t xml:space="preserve">   </w:t>
      </w:r>
      <w:r>
        <w:rPr>
          <w:rFonts w:hint="eastAsia" w:ascii="宋体" w:hAnsi="宋体" w:cs="宋体"/>
          <w:color w:val="000000"/>
          <w:sz w:val="22"/>
          <w:szCs w:val="22"/>
          <w:lang w:val="en-US" w:eastAsia="zh-CN"/>
        </w:rPr>
        <w:t>日历天</w:t>
      </w:r>
      <w:r>
        <w:rPr>
          <w:rFonts w:hint="eastAsia" w:ascii="宋体" w:hAnsi="宋体" w:cs="宋体"/>
          <w:color w:val="000000"/>
          <w:sz w:val="22"/>
          <w:szCs w:val="22"/>
        </w:rPr>
        <w:t>内完成需求中所有功能，达到上线运行效果。</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4、售后服务和技术培训</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卖方应按附件《技术支持和售后服务方案》的内容为买方提供技术支持和售后服务。</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5、项目合同总金额</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合同总金额为：RMB￥</w:t>
      </w:r>
      <w:r>
        <w:rPr>
          <w:rFonts w:hint="eastAsia" w:ascii="宋体" w:hAnsi="宋体" w:cs="宋体"/>
          <w:color w:val="000000"/>
          <w:sz w:val="22"/>
          <w:szCs w:val="22"/>
          <w:u w:val="single"/>
        </w:rPr>
        <w:t xml:space="preserve">                             </w:t>
      </w:r>
      <w:r>
        <w:rPr>
          <w:rFonts w:hint="eastAsia" w:ascii="宋体" w:hAnsi="宋体" w:cs="宋体"/>
          <w:color w:val="000000"/>
          <w:sz w:val="22"/>
          <w:szCs w:val="22"/>
        </w:rPr>
        <w:t xml:space="preserve"> ；</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大写：</w:t>
      </w:r>
      <w:r>
        <w:rPr>
          <w:rFonts w:hint="eastAsia" w:ascii="宋体" w:hAnsi="宋体" w:cs="宋体"/>
          <w:color w:val="000000"/>
          <w:sz w:val="22"/>
          <w:szCs w:val="22"/>
          <w:u w:val="single"/>
        </w:rPr>
        <w:t xml:space="preserve">                                           </w:t>
      </w:r>
      <w:r>
        <w:rPr>
          <w:rFonts w:hint="eastAsia" w:ascii="宋体" w:hAnsi="宋体" w:cs="宋体"/>
          <w:color w:val="000000"/>
          <w:sz w:val="22"/>
          <w:szCs w:val="22"/>
        </w:rPr>
        <w:t>元整；</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详细价格清单</w:t>
      </w:r>
    </w:p>
    <w:tbl>
      <w:tblPr>
        <w:tblStyle w:val="63"/>
        <w:tblW w:w="0" w:type="auto"/>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5"/>
        <w:gridCol w:w="2340"/>
        <w:gridCol w:w="720"/>
        <w:gridCol w:w="1440"/>
        <w:gridCol w:w="1440"/>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5" w:type="dxa"/>
            <w:noWrap w:val="0"/>
            <w:vAlign w:val="center"/>
          </w:tcPr>
          <w:p>
            <w:pPr>
              <w:spacing w:line="360" w:lineRule="auto"/>
              <w:ind w:firstLine="0" w:firstLineChars="0"/>
              <w:jc w:val="center"/>
              <w:rPr>
                <w:rFonts w:hint="eastAsia" w:ascii="宋体" w:hAnsi="宋体" w:cs="宋体"/>
                <w:color w:val="000000"/>
                <w:sz w:val="22"/>
                <w:szCs w:val="22"/>
              </w:rPr>
            </w:pPr>
            <w:r>
              <w:rPr>
                <w:rFonts w:hint="eastAsia" w:ascii="宋体" w:hAnsi="宋体" w:cs="宋体"/>
                <w:color w:val="000000"/>
                <w:sz w:val="22"/>
                <w:szCs w:val="22"/>
              </w:rPr>
              <w:t>名称</w:t>
            </w:r>
          </w:p>
        </w:tc>
        <w:tc>
          <w:tcPr>
            <w:tcW w:w="2340" w:type="dxa"/>
            <w:noWrap w:val="0"/>
            <w:vAlign w:val="center"/>
          </w:tcPr>
          <w:p>
            <w:pPr>
              <w:spacing w:line="360" w:lineRule="auto"/>
              <w:ind w:firstLine="0" w:firstLineChars="0"/>
              <w:jc w:val="center"/>
              <w:rPr>
                <w:rFonts w:hint="eastAsia" w:ascii="宋体" w:hAnsi="宋体" w:cs="宋体"/>
                <w:color w:val="000000"/>
                <w:sz w:val="22"/>
                <w:szCs w:val="22"/>
              </w:rPr>
            </w:pPr>
            <w:r>
              <w:rPr>
                <w:rFonts w:hint="eastAsia" w:ascii="宋体" w:hAnsi="宋体" w:cs="宋体"/>
                <w:color w:val="000000"/>
                <w:sz w:val="22"/>
                <w:szCs w:val="22"/>
              </w:rPr>
              <w:t>说明</w:t>
            </w:r>
          </w:p>
        </w:tc>
        <w:tc>
          <w:tcPr>
            <w:tcW w:w="720" w:type="dxa"/>
            <w:noWrap w:val="0"/>
            <w:vAlign w:val="center"/>
          </w:tcPr>
          <w:p>
            <w:pPr>
              <w:spacing w:line="360" w:lineRule="auto"/>
              <w:ind w:firstLine="0" w:firstLineChars="0"/>
              <w:jc w:val="center"/>
              <w:rPr>
                <w:rFonts w:hint="eastAsia" w:ascii="宋体" w:hAnsi="宋体" w:cs="宋体"/>
                <w:color w:val="000000"/>
                <w:sz w:val="22"/>
                <w:szCs w:val="22"/>
              </w:rPr>
            </w:pPr>
            <w:r>
              <w:rPr>
                <w:rFonts w:hint="eastAsia" w:ascii="宋体" w:hAnsi="宋体" w:cs="宋体"/>
                <w:color w:val="000000"/>
                <w:sz w:val="22"/>
                <w:szCs w:val="22"/>
              </w:rPr>
              <w:t>数量</w:t>
            </w:r>
          </w:p>
        </w:tc>
        <w:tc>
          <w:tcPr>
            <w:tcW w:w="1440" w:type="dxa"/>
            <w:noWrap w:val="0"/>
            <w:vAlign w:val="center"/>
          </w:tcPr>
          <w:p>
            <w:pPr>
              <w:spacing w:line="360" w:lineRule="auto"/>
              <w:ind w:firstLine="0" w:firstLineChars="0"/>
              <w:jc w:val="center"/>
              <w:rPr>
                <w:rFonts w:hint="eastAsia" w:ascii="宋体" w:hAnsi="宋体" w:cs="宋体"/>
                <w:color w:val="000000"/>
                <w:sz w:val="22"/>
                <w:szCs w:val="22"/>
              </w:rPr>
            </w:pPr>
            <w:r>
              <w:rPr>
                <w:rFonts w:hint="eastAsia" w:ascii="宋体" w:hAnsi="宋体" w:cs="宋体"/>
                <w:color w:val="000000"/>
                <w:sz w:val="22"/>
                <w:szCs w:val="22"/>
              </w:rPr>
              <w:t>单价</w:t>
            </w:r>
          </w:p>
        </w:tc>
        <w:tc>
          <w:tcPr>
            <w:tcW w:w="1440" w:type="dxa"/>
            <w:noWrap w:val="0"/>
            <w:vAlign w:val="center"/>
          </w:tcPr>
          <w:p>
            <w:pPr>
              <w:spacing w:line="360" w:lineRule="auto"/>
              <w:ind w:firstLine="0" w:firstLineChars="0"/>
              <w:jc w:val="center"/>
              <w:rPr>
                <w:rFonts w:hint="eastAsia" w:ascii="宋体" w:hAnsi="宋体" w:cs="宋体"/>
                <w:color w:val="000000"/>
                <w:sz w:val="22"/>
                <w:szCs w:val="22"/>
              </w:rPr>
            </w:pPr>
            <w:r>
              <w:rPr>
                <w:rFonts w:hint="eastAsia" w:ascii="宋体" w:hAnsi="宋体" w:cs="宋体"/>
                <w:color w:val="000000"/>
                <w:sz w:val="22"/>
                <w:szCs w:val="22"/>
              </w:rPr>
              <w:t>总价</w:t>
            </w:r>
          </w:p>
        </w:tc>
        <w:tc>
          <w:tcPr>
            <w:tcW w:w="1260" w:type="dxa"/>
            <w:noWrap w:val="0"/>
            <w:vAlign w:val="center"/>
          </w:tcPr>
          <w:p>
            <w:pPr>
              <w:spacing w:line="360" w:lineRule="auto"/>
              <w:ind w:firstLine="0" w:firstLineChars="0"/>
              <w:jc w:val="center"/>
              <w:rPr>
                <w:rFonts w:hint="eastAsia" w:ascii="宋体" w:hAnsi="宋体" w:cs="宋体"/>
                <w:color w:val="000000"/>
                <w:sz w:val="22"/>
                <w:szCs w:val="22"/>
              </w:rPr>
            </w:pPr>
            <w:r>
              <w:rPr>
                <w:rFonts w:hint="eastAsia" w:ascii="宋体" w:hAnsi="宋体" w:cs="宋体"/>
                <w:color w:val="000000"/>
                <w:sz w:val="22"/>
                <w:szCs w:val="22"/>
              </w:rPr>
              <w:t>保修期限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2265" w:type="dxa"/>
            <w:noWrap w:val="0"/>
            <w:vAlign w:val="center"/>
          </w:tcPr>
          <w:p>
            <w:pPr>
              <w:spacing w:line="360" w:lineRule="auto"/>
              <w:ind w:firstLine="440" w:firstLineChars="200"/>
              <w:rPr>
                <w:rFonts w:hint="eastAsia" w:ascii="宋体" w:hAnsi="宋体" w:cs="宋体"/>
                <w:color w:val="000000"/>
                <w:sz w:val="22"/>
                <w:szCs w:val="22"/>
              </w:rPr>
            </w:pPr>
          </w:p>
        </w:tc>
        <w:tc>
          <w:tcPr>
            <w:tcW w:w="2340" w:type="dxa"/>
            <w:noWrap w:val="0"/>
            <w:vAlign w:val="center"/>
          </w:tcPr>
          <w:p>
            <w:pPr>
              <w:spacing w:line="360" w:lineRule="auto"/>
              <w:ind w:firstLine="440" w:firstLineChars="200"/>
              <w:rPr>
                <w:rFonts w:hint="eastAsia" w:ascii="宋体" w:hAnsi="宋体" w:cs="宋体"/>
                <w:color w:val="000000"/>
                <w:sz w:val="22"/>
                <w:szCs w:val="22"/>
              </w:rPr>
            </w:pPr>
          </w:p>
        </w:tc>
        <w:tc>
          <w:tcPr>
            <w:tcW w:w="720" w:type="dxa"/>
            <w:noWrap w:val="0"/>
            <w:vAlign w:val="center"/>
          </w:tcPr>
          <w:p>
            <w:pPr>
              <w:spacing w:line="360" w:lineRule="auto"/>
              <w:ind w:firstLine="440" w:firstLineChars="200"/>
              <w:rPr>
                <w:rFonts w:hint="eastAsia" w:ascii="宋体" w:hAnsi="宋体" w:cs="宋体"/>
                <w:color w:val="000000"/>
                <w:sz w:val="22"/>
                <w:szCs w:val="22"/>
              </w:rPr>
            </w:pPr>
          </w:p>
        </w:tc>
        <w:tc>
          <w:tcPr>
            <w:tcW w:w="1440" w:type="dxa"/>
            <w:noWrap w:val="0"/>
            <w:vAlign w:val="center"/>
          </w:tcPr>
          <w:p>
            <w:pPr>
              <w:spacing w:line="360" w:lineRule="auto"/>
              <w:ind w:firstLine="440" w:firstLineChars="200"/>
              <w:rPr>
                <w:rFonts w:hint="eastAsia" w:ascii="宋体" w:hAnsi="宋体" w:cs="宋体"/>
                <w:color w:val="000000"/>
                <w:sz w:val="22"/>
                <w:szCs w:val="22"/>
              </w:rPr>
            </w:pPr>
          </w:p>
        </w:tc>
        <w:tc>
          <w:tcPr>
            <w:tcW w:w="1440" w:type="dxa"/>
            <w:noWrap w:val="0"/>
            <w:vAlign w:val="center"/>
          </w:tcPr>
          <w:p>
            <w:pPr>
              <w:spacing w:line="360" w:lineRule="auto"/>
              <w:ind w:firstLine="440" w:firstLineChars="200"/>
              <w:rPr>
                <w:rFonts w:hint="eastAsia" w:ascii="宋体" w:hAnsi="宋体" w:cs="宋体"/>
                <w:color w:val="000000"/>
                <w:sz w:val="22"/>
                <w:szCs w:val="22"/>
              </w:rPr>
            </w:pPr>
          </w:p>
        </w:tc>
        <w:tc>
          <w:tcPr>
            <w:tcW w:w="1260" w:type="dxa"/>
            <w:noWrap w:val="0"/>
            <w:vAlign w:val="center"/>
          </w:tcPr>
          <w:p>
            <w:pPr>
              <w:spacing w:line="360" w:lineRule="auto"/>
              <w:ind w:firstLine="440" w:firstLineChars="200"/>
              <w:rPr>
                <w:rFonts w:hint="eastAsia" w:ascii="宋体" w:hAnsi="宋体" w:cs="宋体"/>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2265" w:type="dxa"/>
            <w:noWrap w:val="0"/>
            <w:vAlign w:val="center"/>
          </w:tcPr>
          <w:p>
            <w:pPr>
              <w:spacing w:line="360" w:lineRule="auto"/>
              <w:ind w:firstLine="440" w:firstLineChars="200"/>
              <w:rPr>
                <w:rFonts w:hint="eastAsia" w:ascii="宋体" w:hAnsi="宋体" w:cs="宋体"/>
                <w:color w:val="000000"/>
                <w:sz w:val="22"/>
                <w:szCs w:val="22"/>
              </w:rPr>
            </w:pPr>
          </w:p>
        </w:tc>
        <w:tc>
          <w:tcPr>
            <w:tcW w:w="2340" w:type="dxa"/>
            <w:noWrap w:val="0"/>
            <w:vAlign w:val="center"/>
          </w:tcPr>
          <w:p>
            <w:pPr>
              <w:spacing w:line="360" w:lineRule="auto"/>
              <w:ind w:firstLine="440" w:firstLineChars="200"/>
              <w:rPr>
                <w:rFonts w:hint="eastAsia" w:ascii="宋体" w:hAnsi="宋体" w:cs="宋体"/>
                <w:color w:val="000000"/>
                <w:sz w:val="22"/>
                <w:szCs w:val="22"/>
              </w:rPr>
            </w:pPr>
          </w:p>
        </w:tc>
        <w:tc>
          <w:tcPr>
            <w:tcW w:w="720" w:type="dxa"/>
            <w:noWrap w:val="0"/>
            <w:vAlign w:val="center"/>
          </w:tcPr>
          <w:p>
            <w:pPr>
              <w:spacing w:line="360" w:lineRule="auto"/>
              <w:ind w:firstLine="440" w:firstLineChars="200"/>
              <w:rPr>
                <w:rFonts w:hint="eastAsia" w:ascii="宋体" w:hAnsi="宋体" w:cs="宋体"/>
                <w:color w:val="000000"/>
                <w:sz w:val="22"/>
                <w:szCs w:val="22"/>
              </w:rPr>
            </w:pPr>
          </w:p>
        </w:tc>
        <w:tc>
          <w:tcPr>
            <w:tcW w:w="1440" w:type="dxa"/>
            <w:noWrap w:val="0"/>
            <w:vAlign w:val="center"/>
          </w:tcPr>
          <w:p>
            <w:pPr>
              <w:spacing w:line="360" w:lineRule="auto"/>
              <w:ind w:firstLine="440" w:firstLineChars="200"/>
              <w:rPr>
                <w:rFonts w:hint="eastAsia" w:ascii="宋体" w:hAnsi="宋体" w:cs="宋体"/>
                <w:color w:val="000000"/>
                <w:sz w:val="22"/>
                <w:szCs w:val="22"/>
              </w:rPr>
            </w:pPr>
          </w:p>
        </w:tc>
        <w:tc>
          <w:tcPr>
            <w:tcW w:w="1440" w:type="dxa"/>
            <w:noWrap w:val="0"/>
            <w:vAlign w:val="center"/>
          </w:tcPr>
          <w:p>
            <w:pPr>
              <w:spacing w:line="360" w:lineRule="auto"/>
              <w:ind w:firstLine="440" w:firstLineChars="200"/>
              <w:rPr>
                <w:rFonts w:hint="eastAsia" w:ascii="宋体" w:hAnsi="宋体" w:cs="宋体"/>
                <w:color w:val="000000"/>
                <w:sz w:val="22"/>
                <w:szCs w:val="22"/>
              </w:rPr>
            </w:pPr>
          </w:p>
        </w:tc>
        <w:tc>
          <w:tcPr>
            <w:tcW w:w="1260" w:type="dxa"/>
            <w:noWrap w:val="0"/>
            <w:vAlign w:val="center"/>
          </w:tcPr>
          <w:p>
            <w:pPr>
              <w:spacing w:line="360" w:lineRule="auto"/>
              <w:ind w:firstLine="440" w:firstLineChars="200"/>
              <w:rPr>
                <w:rFonts w:hint="eastAsia" w:ascii="宋体" w:hAnsi="宋体" w:cs="宋体"/>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2265" w:type="dxa"/>
            <w:noWrap w:val="0"/>
            <w:vAlign w:val="center"/>
          </w:tcPr>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合计总价</w:t>
            </w:r>
          </w:p>
        </w:tc>
        <w:tc>
          <w:tcPr>
            <w:tcW w:w="4500" w:type="dxa"/>
            <w:gridSpan w:val="3"/>
            <w:noWrap w:val="0"/>
            <w:vAlign w:val="center"/>
          </w:tcPr>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（大写）    整</w:t>
            </w:r>
          </w:p>
        </w:tc>
        <w:tc>
          <w:tcPr>
            <w:tcW w:w="2700" w:type="dxa"/>
            <w:gridSpan w:val="2"/>
            <w:noWrap w:val="0"/>
            <w:vAlign w:val="center"/>
          </w:tcPr>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 .00</w:t>
            </w:r>
          </w:p>
        </w:tc>
      </w:tr>
    </w:tbl>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6、项目合同支付条款</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履约保证金：卖方根据买方双方协议，在合同签订后</w:t>
      </w:r>
      <w:r>
        <w:rPr>
          <w:rFonts w:hint="eastAsia" w:ascii="宋体" w:hAnsi="宋体" w:cs="宋体"/>
          <w:color w:val="000000"/>
          <w:sz w:val="22"/>
          <w:szCs w:val="22"/>
          <w:lang w:val="en-US" w:eastAsia="zh-CN"/>
        </w:rPr>
        <w:t>5</w:t>
      </w:r>
      <w:r>
        <w:rPr>
          <w:rFonts w:hint="eastAsia" w:ascii="宋体" w:hAnsi="宋体" w:cs="宋体"/>
          <w:color w:val="000000"/>
          <w:sz w:val="22"/>
          <w:szCs w:val="22"/>
        </w:rPr>
        <w:t>个工作日内卖方向买方提供合同总金额的</w:t>
      </w:r>
      <w:r>
        <w:rPr>
          <w:rFonts w:hint="eastAsia" w:ascii="宋体" w:hAnsi="宋体" w:cs="宋体"/>
          <w:color w:val="000000"/>
          <w:sz w:val="22"/>
          <w:szCs w:val="22"/>
          <w:lang w:val="en-US" w:eastAsia="zh-CN"/>
        </w:rPr>
        <w:t>1</w:t>
      </w:r>
      <w:r>
        <w:rPr>
          <w:rFonts w:hint="eastAsia" w:ascii="宋体" w:hAnsi="宋体" w:cs="宋体"/>
          <w:color w:val="000000"/>
          <w:sz w:val="22"/>
          <w:szCs w:val="22"/>
        </w:rPr>
        <w:t>%，即¥</w:t>
      </w:r>
      <w:r>
        <w:rPr>
          <w:rFonts w:hint="eastAsia" w:ascii="宋体" w:hAnsi="宋体" w:cs="宋体"/>
          <w:color w:val="000000"/>
          <w:sz w:val="22"/>
          <w:szCs w:val="22"/>
          <w:u w:val="single"/>
        </w:rPr>
        <w:t xml:space="preserve">     （人名币    元）</w:t>
      </w:r>
      <w:r>
        <w:rPr>
          <w:rFonts w:hint="eastAsia" w:ascii="宋体" w:hAnsi="宋体" w:cs="宋体"/>
          <w:color w:val="000000"/>
          <w:sz w:val="22"/>
          <w:szCs w:val="22"/>
        </w:rPr>
        <w:t>履约保证金（或银行、保险公司出具保函形式）；</w:t>
      </w:r>
    </w:p>
    <w:p>
      <w:pPr>
        <w:spacing w:line="360" w:lineRule="auto"/>
        <w:ind w:left="218" w:leftChars="104" w:firstLine="220" w:firstLineChars="100"/>
        <w:rPr>
          <w:rFonts w:hint="eastAsia" w:ascii="宋体" w:hAnsi="宋体" w:cs="宋体"/>
          <w:color w:val="000000"/>
          <w:sz w:val="22"/>
          <w:szCs w:val="22"/>
        </w:rPr>
      </w:pPr>
      <w:r>
        <w:rPr>
          <w:rFonts w:hint="eastAsia" w:ascii="宋体" w:hAnsi="宋体" w:cs="宋体"/>
          <w:color w:val="000000"/>
          <w:sz w:val="22"/>
          <w:szCs w:val="22"/>
        </w:rPr>
        <w:t>第一笔款：合同生效以及具备实施条件后7个工作日内，向卖方支付合同总价的</w:t>
      </w:r>
      <w:r>
        <w:rPr>
          <w:rFonts w:hint="eastAsia" w:ascii="宋体" w:hAnsi="宋体" w:cs="宋体"/>
          <w:color w:val="000000"/>
          <w:sz w:val="22"/>
          <w:szCs w:val="22"/>
          <w:lang w:val="en-US" w:eastAsia="zh-CN"/>
        </w:rPr>
        <w:t>30</w:t>
      </w:r>
      <w:r>
        <w:rPr>
          <w:rFonts w:hint="eastAsia" w:ascii="宋体" w:hAnsi="宋体" w:cs="宋体"/>
          <w:color w:val="000000"/>
          <w:sz w:val="22"/>
          <w:szCs w:val="22"/>
        </w:rPr>
        <w:t>%，即人民币</w:t>
      </w:r>
      <w:r>
        <w:rPr>
          <w:rFonts w:hint="eastAsia" w:ascii="宋体" w:hAnsi="宋体" w:cs="宋体"/>
          <w:color w:val="000000"/>
          <w:sz w:val="22"/>
          <w:szCs w:val="22"/>
          <w:u w:val="single"/>
        </w:rPr>
        <w:t xml:space="preserve"> </w:t>
      </w:r>
      <w:r>
        <w:rPr>
          <w:rFonts w:hint="eastAsia" w:ascii="宋体" w:hAnsi="宋体" w:cs="宋体"/>
          <w:color w:val="000000"/>
          <w:sz w:val="22"/>
          <w:szCs w:val="22"/>
          <w:u w:val="single"/>
          <w:lang w:val="en-US" w:eastAsia="zh-CN"/>
        </w:rPr>
        <w:t xml:space="preserve"> </w:t>
      </w:r>
      <w:r>
        <w:rPr>
          <w:rFonts w:hint="eastAsia" w:ascii="宋体" w:hAnsi="宋体" w:cs="宋体"/>
          <w:color w:val="000000"/>
          <w:sz w:val="22"/>
          <w:szCs w:val="22"/>
        </w:rPr>
        <w:t xml:space="preserve">  </w:t>
      </w:r>
      <w:r>
        <w:rPr>
          <w:rFonts w:hint="eastAsia" w:ascii="宋体" w:hAnsi="宋体" w:cs="宋体"/>
          <w:color w:val="000000"/>
          <w:sz w:val="22"/>
          <w:szCs w:val="22"/>
          <w:u w:val="single"/>
        </w:rPr>
        <w:t>元整（RMB￥     ）</w:t>
      </w:r>
      <w:r>
        <w:rPr>
          <w:rFonts w:hint="eastAsia" w:ascii="宋体" w:hAnsi="宋体" w:cs="宋体"/>
          <w:color w:val="000000"/>
          <w:sz w:val="22"/>
          <w:szCs w:val="22"/>
        </w:rPr>
        <w:t>；</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第二笔款：在系统安装完毕（应该是项目全部建设完成），通过初步验收后，收到发票后</w:t>
      </w:r>
      <w:r>
        <w:rPr>
          <w:rFonts w:hint="eastAsia" w:ascii="宋体" w:hAnsi="宋体" w:cs="宋体"/>
          <w:color w:val="000000"/>
          <w:sz w:val="22"/>
          <w:szCs w:val="22"/>
          <w:lang w:val="en-US" w:eastAsia="zh-CN"/>
        </w:rPr>
        <w:t>7</w:t>
      </w:r>
      <w:r>
        <w:rPr>
          <w:rFonts w:hint="eastAsia" w:ascii="宋体" w:hAnsi="宋体" w:cs="宋体"/>
          <w:color w:val="000000"/>
          <w:sz w:val="22"/>
          <w:szCs w:val="22"/>
        </w:rPr>
        <w:t>个工作日内向卖方支付合同总价的</w:t>
      </w:r>
      <w:r>
        <w:rPr>
          <w:rFonts w:hint="eastAsia" w:ascii="宋体" w:hAnsi="宋体" w:cs="宋体"/>
          <w:color w:val="000000"/>
          <w:sz w:val="22"/>
          <w:szCs w:val="22"/>
          <w:lang w:val="en-US" w:eastAsia="zh-CN"/>
        </w:rPr>
        <w:t>4</w:t>
      </w:r>
      <w:r>
        <w:rPr>
          <w:rFonts w:hint="eastAsia" w:ascii="宋体" w:hAnsi="宋体" w:cs="宋体"/>
          <w:color w:val="000000"/>
          <w:sz w:val="22"/>
          <w:szCs w:val="22"/>
        </w:rPr>
        <w:t>0%，即人民币即人民币</w:t>
      </w:r>
      <w:r>
        <w:rPr>
          <w:rFonts w:hint="eastAsia" w:ascii="宋体" w:hAnsi="宋体" w:cs="宋体"/>
          <w:color w:val="000000"/>
          <w:sz w:val="22"/>
          <w:szCs w:val="22"/>
          <w:u w:val="single"/>
        </w:rPr>
        <w:t xml:space="preserve">      元整（RMB￥       ）</w:t>
      </w:r>
      <w:r>
        <w:rPr>
          <w:rFonts w:hint="eastAsia" w:ascii="宋体" w:hAnsi="宋体" w:cs="宋体"/>
          <w:color w:val="000000"/>
          <w:sz w:val="22"/>
          <w:szCs w:val="22"/>
        </w:rPr>
        <w:t>；</w:t>
      </w:r>
    </w:p>
    <w:p>
      <w:pPr>
        <w:spacing w:line="360" w:lineRule="auto"/>
        <w:ind w:firstLine="440" w:firstLineChars="200"/>
        <w:rPr>
          <w:rFonts w:hint="eastAsia" w:ascii="宋体" w:hAnsi="宋体" w:cs="宋体"/>
          <w:color w:val="000000"/>
          <w:sz w:val="22"/>
          <w:szCs w:val="22"/>
          <w:lang w:eastAsia="zh-CN"/>
        </w:rPr>
      </w:pPr>
      <w:r>
        <w:rPr>
          <w:rFonts w:hint="eastAsia" w:ascii="宋体" w:hAnsi="宋体" w:cs="宋体"/>
          <w:color w:val="000000"/>
          <w:sz w:val="22"/>
          <w:szCs w:val="22"/>
        </w:rPr>
        <w:t>第三笔款：系统通过最终验收后，在收到发票后</w:t>
      </w:r>
      <w:r>
        <w:rPr>
          <w:rFonts w:hint="eastAsia" w:ascii="宋体" w:hAnsi="宋体" w:cs="宋体"/>
          <w:color w:val="000000"/>
          <w:sz w:val="22"/>
          <w:szCs w:val="22"/>
          <w:lang w:val="en-US" w:eastAsia="zh-CN"/>
        </w:rPr>
        <w:t>7</w:t>
      </w:r>
      <w:r>
        <w:rPr>
          <w:rFonts w:hint="eastAsia" w:ascii="宋体" w:hAnsi="宋体" w:cs="宋体"/>
          <w:color w:val="000000"/>
          <w:sz w:val="22"/>
          <w:szCs w:val="22"/>
        </w:rPr>
        <w:t>个工作日内向卖方支付合同总价的</w:t>
      </w:r>
      <w:r>
        <w:rPr>
          <w:rFonts w:hint="eastAsia" w:ascii="宋体" w:hAnsi="宋体" w:cs="宋体"/>
          <w:color w:val="000000"/>
          <w:sz w:val="22"/>
          <w:szCs w:val="22"/>
          <w:lang w:val="en-US" w:eastAsia="zh-CN"/>
        </w:rPr>
        <w:t>30</w:t>
      </w:r>
      <w:r>
        <w:rPr>
          <w:rFonts w:hint="eastAsia" w:ascii="宋体" w:hAnsi="宋体" w:cs="宋体"/>
          <w:color w:val="000000"/>
          <w:sz w:val="22"/>
          <w:szCs w:val="22"/>
        </w:rPr>
        <w:t>%，即人民币即人民币</w:t>
      </w:r>
      <w:r>
        <w:rPr>
          <w:rFonts w:hint="eastAsia" w:ascii="宋体" w:hAnsi="宋体" w:cs="宋体"/>
          <w:color w:val="000000"/>
          <w:sz w:val="22"/>
          <w:szCs w:val="22"/>
          <w:u w:val="single"/>
        </w:rPr>
        <w:t xml:space="preserve">      元整（RMB￥       ）</w:t>
      </w:r>
      <w:r>
        <w:rPr>
          <w:rFonts w:hint="eastAsia" w:ascii="宋体" w:hAnsi="宋体" w:cs="宋体"/>
          <w:color w:val="000000"/>
          <w:sz w:val="22"/>
          <w:szCs w:val="22"/>
        </w:rPr>
        <w:t>；</w:t>
      </w:r>
      <w:r>
        <w:rPr>
          <w:rFonts w:hint="eastAsia" w:ascii="宋体" w:hAnsi="宋体" w:cs="宋体"/>
          <w:color w:val="000000"/>
          <w:sz w:val="22"/>
          <w:szCs w:val="22"/>
          <w:lang w:val="en-US" w:eastAsia="zh-CN"/>
        </w:rPr>
        <w:t>并</w:t>
      </w:r>
      <w:r>
        <w:rPr>
          <w:rFonts w:hint="eastAsia" w:ascii="宋体" w:hAnsi="宋体" w:cs="宋体"/>
          <w:color w:val="000000"/>
          <w:sz w:val="22"/>
          <w:szCs w:val="22"/>
        </w:rPr>
        <w:t>退还履约保证金（或保函形式）</w:t>
      </w:r>
      <w:r>
        <w:rPr>
          <w:rFonts w:hint="eastAsia" w:ascii="宋体" w:hAnsi="宋体" w:cs="宋体"/>
          <w:color w:val="000000"/>
          <w:sz w:val="22"/>
          <w:szCs w:val="22"/>
          <w:lang w:eastAsia="zh-CN"/>
        </w:rPr>
        <w:t>。</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注：以上金额支付均需财政审批通过拨款到位后方后支付。</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7、项目合同修改</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除了合同条款第10条的规定外，任何对合同的变更、修改和补充,须报</w:t>
      </w:r>
      <w:r>
        <w:rPr>
          <w:rFonts w:hint="eastAsia" w:ascii="宋体" w:hAnsi="宋体" w:cs="宋体"/>
          <w:color w:val="000000"/>
          <w:sz w:val="22"/>
          <w:szCs w:val="22"/>
          <w:lang w:eastAsia="zh-CN"/>
        </w:rPr>
        <w:t>甲方同意后</w:t>
      </w:r>
      <w:r>
        <w:rPr>
          <w:rFonts w:hint="eastAsia" w:ascii="宋体" w:hAnsi="宋体" w:cs="宋体"/>
          <w:color w:val="000000"/>
          <w:sz w:val="22"/>
          <w:szCs w:val="22"/>
        </w:rPr>
        <w:t>，双方授权的代表签署书面文件</w:t>
      </w:r>
      <w:r>
        <w:rPr>
          <w:rFonts w:hint="eastAsia" w:ascii="宋体" w:hAnsi="宋体" w:cs="宋体"/>
          <w:color w:val="000000"/>
          <w:sz w:val="22"/>
          <w:szCs w:val="22"/>
          <w:lang w:eastAsia="zh-CN"/>
        </w:rPr>
        <w:t>方</w:t>
      </w:r>
      <w:r>
        <w:rPr>
          <w:rFonts w:hint="eastAsia" w:ascii="宋体" w:hAnsi="宋体" w:cs="宋体"/>
          <w:color w:val="000000"/>
          <w:sz w:val="22"/>
          <w:szCs w:val="22"/>
        </w:rPr>
        <w:t>有效，并作为附件成为本合同不可分割的组成部分。</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8、违约责任</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8.1在履行合同的过程中，如果卖方遇到将不能按照合同规定的时间完成系统实施和提供服务时，应该及时以书面形式将拖延的事实、可能拖延的时间和原因通知买方。买方在收到卖方通知后，应尽快对情况进行评价，并确定是否酌情延长交货时间和提供服务以及是否收到误期赔偿费。延期应通过修改合同的方式由双方认可。</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8.2 除了合同条款第10条的情况外，除非延期是根据合同条款8.1的规定取得买方的同意而不收取误期赔偿费之外，当卖方已经拖延交货和提供服务，买方应在不影响合同项下的其他补救措施的情况下，从合同价中扣除误期赔偿费。每延误一周的赔偿费按合同总价的百分之零点五（0.5%）计收，不足一周按一周计算，直至交货或提供服务为止。误期赔偿费的最高限额为合同价格的百分之五（5%）。一旦达到误期赔偿费的最高限额，买方有权根据合同第9条款的规定终止合同。</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8.3如果买方没有按照合同规定的时间付款，每延误一周的赔偿费按应付货款的百分之零点五（0.5%）计收，直至将应付货款付给卖方为止。误期赔偿费的最高限额为合同价格的百分之五（5%）。</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 xml:space="preserve">9、项目合同终止 </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由于合同一方不履行合同或严重违反合同，造成合同部分或全部无法履行时，对方除有权向违约方索赔外，并有权部分或全部终止合同。对于部分终止的合同，违约方除应承担相应规定的责任外，还应继续履行合同的剩余部分。</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9.1违约终止合同</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在买方对卖方违约而采取的任何补救措施没有成效的情况下，买方可向卖方发出书面违约通知书，提出终止部分或全部合同：</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（1）如果卖方未能在合同规定的期限或买方根据合同条款的规定同意延长的限期内提供部分或全部的货物或系统产品，达到合同所规定的建设需求和服务；</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（2）如果卖方未能履行合同规定的其他任何义务。</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9.2 因破产而终止合同</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如果卖方破产或无清偿能力，买方可在任何时候以书面形式通知卖方，提出终止合同而不给卖方补偿。该终止合同将不损害或影响买方已经采取或将要采取的任何行动或补救措施的权力。</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10、不可抗力</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10.1本合同规定的不可抗力事件是指买卖双方在缔结合同时所不能预见的，并且它的发生及其后果是无法避免和无法克服的事件，诸如战争和严重的风灾、水灾、雪灾、地震等自然灾害，以及政策性等不由双方控制的，也包括双方同意的其他不可抗力事件。</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10.2签约双方任一方由于受不可抗力事件的影响而不能执行合同时，履行合同的期限应予以延长，其延长的期限应相当于事件所影响的时间。</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10.3受阻一方应在不可抗力事件发生后尽快用书面方式或电报、传真通知对方，并于事件发生后14天内将有关当局出具的证明文件用特快专递或挂号信寄给对方审阅确认。一旦不可抗力事件的影响持续120天以上，双方应通过友好协商在合理的时间内达成进一步履行合同的协议，买方也可以考虑解除合同。</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11、项目知识产权</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11.1项目知识产权归买方所有。涉及的源代码必须遵循标准和规范，并在项目验收后无条件提交给买方，买方拥有对该系统软件源码进行后续修改、完善以及升级改造的权利。</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11.2卖方应保证买方在中华人民共和国使用该系统产品或系统产品的任何一部分时，免受第三方提出的侵犯其专利权、商标权或工业设计权的索赔或起诉。</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11.3如果买方在使用该货物或货物的任何一部分时被任何第三方诉称侵犯了该第三方知识产权或任何其它权利，买方应立即通知卖方。卖方应负责处理这一指控并应以卖方的名义自负费用向起诉方提出抗辩。由此可能产生的一切法律责任和经济责任均由卖方承担。买方将尽可能地对卖方抗辩给予协助，由此发生的费用由卖方承担。</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11.4如果买方发现任何第三方在未被买方许可的范围内非法使用买方获得的知识产权，买方应立即通知卖方。卖方应在收到买方通知后第一时间采取适当行动以制止非法使用行为；否则，如果买方要求，卖方应授权买方根据中国法律规定对该第三方提起诉讼，并给买方尽可能的协助。买方应负担诉讼中发生的全部费用，并有权获得判决给付的全部赔偿。如果有卖方的责任，由卖方承担相应的责任。</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12、项目保密</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12.1买方向卖方提供的所有资料，仅供本项目小组人员参考使用，卖方须严守资料中所涉秘密、妥善保管，不得遗失、转借、复印。</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12.2卖方发现买方的保密事项已经泄露或可能泄露时，应当立即采取补救措施，并及时报告买方。</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12.3本项目完成后15天内，买方有权向卖方索回部分或全部资料。卖方应根据买方要求，如数退还。</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12.4卖方负责对项目相关人员组织进行保密教育，并在接受和退还涉密内容的资料时建立登记制度。</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12.5因卖方原因造成的泄失密事件，卖方须承担有关法律责任，并赔偿相应经济损失。</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12.6本项目所有文档及本项目所接触的双方资料，未经对方授权代表书面许可，不得向与合同无关的其他方泄漏任何文件或与合同有关的数据，包括合同本身。</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13、仲裁</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13.1合同的实施或与合同有关的一切争端应通过双方友好协商解决。如果友好协商开始60天后还不能解决，任何一方都可依法向项目合同签署地提交仲裁委员会或人民法院解决。</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13.2仲裁费除仲裁机关另有裁决外均由败诉方负担。</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13.3在仲裁期间，除正在进行仲裁的部分以外，双方应继续执行合同的其余部分。</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13.4本合同适用中华人民共和国法律。</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14、项目合同附件清单</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附件一：软件功能要求</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附件二：招标文件（项目编号：       ）</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附件三：卖方投标文件（项目编号：      ）</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附件四：其他</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15、项目合同生效及其它</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15.1合同应在双方签字盖章并在买方收到卖方提供的履约保证金后开始生效。</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15.2本合同一式柒份，双方各执叁份，合同附件及招标文件、卖方投标文件、成交通知书等是合同不可分割的一部分，具有同等法律效力。壹份送招标代理公司备案。</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15.3如需修改或补充合同内容，经协商，双方应签署书面修改或补充协议，该协议将作为本合同的一个组成部分。</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15.4本合同终止日期为系统保修期的结束日期，到期后自行终止。</w:t>
      </w:r>
    </w:p>
    <w:p>
      <w:pPr>
        <w:spacing w:line="360" w:lineRule="auto"/>
        <w:ind w:firstLine="440" w:firstLineChars="200"/>
        <w:rPr>
          <w:rFonts w:hint="eastAsia" w:ascii="宋体" w:hAnsi="宋体" w:cs="宋体"/>
          <w:color w:val="000000"/>
          <w:sz w:val="22"/>
          <w:szCs w:val="22"/>
        </w:rPr>
      </w:pPr>
      <w:r>
        <w:rPr>
          <w:rFonts w:hint="eastAsia" w:ascii="宋体" w:hAnsi="宋体" w:cs="宋体"/>
          <w:color w:val="000000"/>
          <w:sz w:val="22"/>
          <w:szCs w:val="22"/>
        </w:rPr>
        <w:t>15.5双方可就该软件系统</w:t>
      </w:r>
      <w:r>
        <w:rPr>
          <w:rFonts w:hint="eastAsia" w:ascii="宋体" w:hAnsi="宋体" w:cs="宋体"/>
          <w:color w:val="000000"/>
          <w:sz w:val="22"/>
          <w:szCs w:val="22"/>
          <w:u w:val="single"/>
        </w:rPr>
        <w:t xml:space="preserve">    </w:t>
      </w:r>
      <w:r>
        <w:rPr>
          <w:rFonts w:hint="eastAsia" w:ascii="宋体" w:hAnsi="宋体" w:cs="宋体"/>
          <w:color w:val="000000"/>
          <w:sz w:val="22"/>
          <w:szCs w:val="22"/>
        </w:rPr>
        <w:t>年免费维护期满后的维护与技术支持服务等内容另外签署服务合同。服务内容与合同规定的</w:t>
      </w:r>
      <w:r>
        <w:rPr>
          <w:rFonts w:hint="eastAsia" w:ascii="宋体" w:hAnsi="宋体" w:cs="宋体"/>
          <w:i/>
          <w:iCs/>
          <w:color w:val="000000"/>
          <w:sz w:val="22"/>
          <w:szCs w:val="22"/>
          <w:u w:val="single"/>
        </w:rPr>
        <w:t xml:space="preserve">    </w:t>
      </w:r>
      <w:r>
        <w:rPr>
          <w:rFonts w:hint="eastAsia" w:ascii="宋体" w:hAnsi="宋体" w:cs="宋体"/>
          <w:color w:val="000000"/>
          <w:sz w:val="22"/>
          <w:szCs w:val="22"/>
        </w:rPr>
        <w:t>年期免费服务标准内容一致。</w:t>
      </w:r>
    </w:p>
    <w:p>
      <w:pPr>
        <w:pStyle w:val="34"/>
        <w:spacing w:line="360" w:lineRule="auto"/>
        <w:ind w:firstLine="323" w:firstLineChars="147"/>
        <w:rPr>
          <w:rFonts w:hint="eastAsia" w:hAnsi="宋体" w:cs="宋体"/>
          <w:b w:val="0"/>
          <w:sz w:val="22"/>
          <w:szCs w:val="22"/>
        </w:rPr>
      </w:pPr>
      <w:r>
        <w:rPr>
          <w:rFonts w:hint="eastAsia" w:hAnsi="宋体" w:cs="宋体"/>
          <w:b w:val="0"/>
          <w:sz w:val="22"/>
          <w:szCs w:val="22"/>
          <w:lang w:eastAsia="zh-CN"/>
        </w:rPr>
        <w:t>甲方</w:t>
      </w:r>
      <w:r>
        <w:rPr>
          <w:rFonts w:hint="eastAsia" w:hAnsi="宋体" w:cs="宋体"/>
          <w:b w:val="0"/>
          <w:sz w:val="22"/>
          <w:szCs w:val="22"/>
        </w:rPr>
        <w:t xml:space="preserve">：（印章）                                  </w:t>
      </w:r>
      <w:r>
        <w:rPr>
          <w:rFonts w:hint="eastAsia" w:hAnsi="宋体" w:cs="宋体"/>
          <w:b w:val="0"/>
          <w:sz w:val="22"/>
          <w:szCs w:val="22"/>
          <w:lang w:val="en-US" w:eastAsia="zh-CN"/>
        </w:rPr>
        <w:t xml:space="preserve">  </w:t>
      </w:r>
      <w:r>
        <w:rPr>
          <w:rFonts w:hint="eastAsia" w:hAnsi="宋体" w:cs="宋体"/>
          <w:b w:val="0"/>
          <w:sz w:val="22"/>
          <w:szCs w:val="22"/>
          <w:lang w:eastAsia="zh-CN"/>
        </w:rPr>
        <w:t>乙方</w:t>
      </w:r>
      <w:r>
        <w:rPr>
          <w:rFonts w:hint="eastAsia" w:hAnsi="宋体" w:cs="宋体"/>
          <w:b w:val="0"/>
          <w:sz w:val="22"/>
          <w:szCs w:val="22"/>
        </w:rPr>
        <w:t>：（印章）</w:t>
      </w:r>
    </w:p>
    <w:p>
      <w:pPr>
        <w:pStyle w:val="34"/>
        <w:spacing w:line="360" w:lineRule="auto"/>
        <w:ind w:firstLine="323" w:firstLineChars="147"/>
        <w:rPr>
          <w:rFonts w:hint="eastAsia" w:hAnsi="宋体" w:cs="宋体"/>
          <w:b w:val="0"/>
          <w:sz w:val="22"/>
          <w:szCs w:val="22"/>
        </w:rPr>
      </w:pPr>
      <w:r>
        <w:rPr>
          <w:rFonts w:hint="eastAsia" w:hAnsi="宋体" w:cs="宋体"/>
          <w:b w:val="0"/>
          <w:sz w:val="22"/>
          <w:szCs w:val="22"/>
        </w:rPr>
        <w:t>全权代表:（签字）                                 全权代表:（签字）</w:t>
      </w:r>
    </w:p>
    <w:p>
      <w:pPr>
        <w:pStyle w:val="34"/>
        <w:spacing w:line="360" w:lineRule="auto"/>
        <w:ind w:firstLine="323" w:firstLineChars="147"/>
        <w:rPr>
          <w:rFonts w:hint="eastAsia" w:hAnsi="宋体" w:cs="宋体"/>
          <w:b w:val="0"/>
          <w:sz w:val="22"/>
          <w:szCs w:val="22"/>
        </w:rPr>
      </w:pPr>
      <w:r>
        <w:rPr>
          <w:rFonts w:hint="eastAsia" w:hAnsi="宋体" w:cs="宋体"/>
          <w:b w:val="0"/>
          <w:sz w:val="22"/>
          <w:szCs w:val="22"/>
        </w:rPr>
        <w:t>地址：                                            地址：</w:t>
      </w:r>
    </w:p>
    <w:p>
      <w:pPr>
        <w:pStyle w:val="34"/>
        <w:spacing w:line="360" w:lineRule="auto"/>
        <w:ind w:firstLine="323" w:firstLineChars="147"/>
        <w:rPr>
          <w:rFonts w:hint="eastAsia" w:hAnsi="宋体" w:cs="宋体"/>
          <w:b w:val="0"/>
          <w:sz w:val="22"/>
          <w:szCs w:val="22"/>
        </w:rPr>
      </w:pPr>
      <w:r>
        <w:rPr>
          <w:rFonts w:hint="eastAsia" w:hAnsi="宋体" w:cs="宋体"/>
          <w:b w:val="0"/>
          <w:sz w:val="22"/>
          <w:szCs w:val="22"/>
        </w:rPr>
        <w:t>邮政编码：                                        邮政编码：</w:t>
      </w:r>
    </w:p>
    <w:p>
      <w:pPr>
        <w:pStyle w:val="34"/>
        <w:spacing w:line="360" w:lineRule="auto"/>
        <w:ind w:firstLine="323" w:firstLineChars="147"/>
        <w:rPr>
          <w:rFonts w:hint="eastAsia" w:hAnsi="宋体" w:cs="宋体"/>
          <w:b w:val="0"/>
          <w:sz w:val="22"/>
          <w:szCs w:val="22"/>
        </w:rPr>
      </w:pPr>
      <w:r>
        <w:rPr>
          <w:rFonts w:hint="eastAsia" w:hAnsi="宋体" w:cs="宋体"/>
          <w:b w:val="0"/>
          <w:sz w:val="22"/>
          <w:szCs w:val="22"/>
        </w:rPr>
        <w:t>电话：                                            电话：</w:t>
      </w:r>
    </w:p>
    <w:p>
      <w:pPr>
        <w:pStyle w:val="34"/>
        <w:spacing w:line="360" w:lineRule="auto"/>
        <w:ind w:firstLine="323" w:firstLineChars="147"/>
        <w:rPr>
          <w:rFonts w:hint="eastAsia" w:hAnsi="宋体" w:cs="宋体"/>
          <w:b w:val="0"/>
          <w:sz w:val="22"/>
          <w:szCs w:val="22"/>
        </w:rPr>
      </w:pPr>
      <w:r>
        <w:rPr>
          <w:rFonts w:hint="eastAsia" w:hAnsi="宋体" w:cs="宋体"/>
          <w:b w:val="0"/>
          <w:sz w:val="22"/>
          <w:szCs w:val="22"/>
        </w:rPr>
        <w:t>传真：                                            传真：</w:t>
      </w:r>
    </w:p>
    <w:p>
      <w:pPr>
        <w:pStyle w:val="34"/>
        <w:spacing w:line="360" w:lineRule="auto"/>
        <w:ind w:firstLine="323" w:firstLineChars="147"/>
        <w:rPr>
          <w:rFonts w:hint="eastAsia" w:hAnsi="宋体" w:cs="宋体"/>
          <w:b w:val="0"/>
          <w:sz w:val="22"/>
          <w:szCs w:val="22"/>
        </w:rPr>
      </w:pPr>
      <w:r>
        <w:rPr>
          <w:rFonts w:hint="eastAsia" w:hAnsi="宋体" w:cs="宋体"/>
          <w:b w:val="0"/>
          <w:sz w:val="22"/>
          <w:szCs w:val="22"/>
        </w:rPr>
        <w:t>开户银行：                                        开户银行：</w:t>
      </w:r>
    </w:p>
    <w:p>
      <w:pPr>
        <w:pStyle w:val="34"/>
        <w:spacing w:line="360" w:lineRule="auto"/>
        <w:ind w:firstLine="323" w:firstLineChars="147"/>
        <w:rPr>
          <w:rFonts w:hint="eastAsia" w:hAnsi="宋体" w:cs="宋体"/>
          <w:b w:val="0"/>
          <w:sz w:val="22"/>
          <w:szCs w:val="22"/>
        </w:rPr>
      </w:pPr>
      <w:r>
        <w:rPr>
          <w:rFonts w:hint="eastAsia" w:hAnsi="宋体" w:cs="宋体"/>
          <w:b w:val="0"/>
          <w:sz w:val="22"/>
          <w:szCs w:val="22"/>
        </w:rPr>
        <w:t>帐号：                                            帐号：</w:t>
      </w:r>
    </w:p>
    <w:p>
      <w:pPr>
        <w:spacing w:line="360" w:lineRule="auto"/>
        <w:rPr>
          <w:rFonts w:hint="eastAsia" w:ascii="宋体" w:hAnsi="宋体" w:cs="宋体"/>
          <w:b/>
          <w:sz w:val="22"/>
          <w:szCs w:val="22"/>
        </w:rPr>
      </w:pPr>
      <w:r>
        <w:rPr>
          <w:rFonts w:hint="eastAsia" w:ascii="宋体" w:hAnsi="宋体" w:cs="宋体"/>
          <w:sz w:val="22"/>
          <w:szCs w:val="22"/>
        </w:rPr>
        <w:t xml:space="preserve">  签署日期：    年   月    日</w:t>
      </w:r>
    </w:p>
    <w:p>
      <w:pPr>
        <w:spacing w:line="360" w:lineRule="auto"/>
        <w:rPr>
          <w:rFonts w:hint="eastAsia" w:ascii="宋体" w:hAnsi="宋体" w:cs="宋体"/>
          <w:sz w:val="22"/>
          <w:szCs w:val="22"/>
        </w:rPr>
      </w:pPr>
      <w:r>
        <w:rPr>
          <w:rFonts w:hint="eastAsia" w:ascii="宋体" w:hAnsi="宋体" w:cs="宋体"/>
          <w:sz w:val="22"/>
          <w:szCs w:val="22"/>
        </w:rPr>
        <w:t xml:space="preserve">  </w:t>
      </w:r>
    </w:p>
    <w:p>
      <w:pPr>
        <w:spacing w:line="360" w:lineRule="auto"/>
        <w:rPr>
          <w:rFonts w:hint="eastAsia" w:ascii="宋体" w:hAnsi="宋体" w:cs="宋体"/>
          <w:b/>
          <w:sz w:val="22"/>
          <w:szCs w:val="22"/>
          <w:lang w:val="zh-CN"/>
        </w:rPr>
      </w:pPr>
      <w:r>
        <w:rPr>
          <w:rFonts w:hint="eastAsia" w:ascii="宋体" w:hAnsi="宋体" w:cs="宋体"/>
          <w:b/>
          <w:sz w:val="22"/>
          <w:szCs w:val="22"/>
        </w:rPr>
        <w:t xml:space="preserve"> </w:t>
      </w:r>
      <w:r>
        <w:rPr>
          <w:rFonts w:hint="eastAsia" w:ascii="宋体" w:hAnsi="宋体" w:cs="宋体"/>
          <w:b/>
          <w:sz w:val="22"/>
          <w:szCs w:val="22"/>
          <w:u w:val="single"/>
        </w:rPr>
        <w:t>注：以上合同条款供采购人及中标供应商作为商务参考，具体签订时，采购人可根据自身项目情况与中标供应商协商另行修改拟定相关合同具体条款。</w:t>
      </w:r>
    </w:p>
    <w:p>
      <w:pPr>
        <w:spacing w:line="440" w:lineRule="exact"/>
        <w:ind w:left="210" w:leftChars="100" w:firstLine="220" w:firstLineChars="100"/>
        <w:rPr>
          <w:rFonts w:hint="eastAsia" w:ascii="宋体" w:hAnsi="宋体" w:eastAsia="宋体" w:cs="宋体"/>
          <w:sz w:val="22"/>
          <w:szCs w:val="22"/>
          <w:highlight w:val="none"/>
        </w:rPr>
      </w:pPr>
    </w:p>
    <w:p>
      <w:pPr>
        <w:snapToGrid w:val="0"/>
        <w:spacing w:line="360" w:lineRule="auto"/>
        <w:jc w:val="left"/>
        <w:rPr>
          <w:rFonts w:ascii="仿宋_GB2312" w:hAnsi="宋体"/>
          <w:b/>
          <w:bCs/>
          <w:color w:val="auto"/>
          <w:sz w:val="24"/>
          <w:u w:val="single"/>
        </w:rPr>
      </w:pPr>
    </w:p>
    <w:p>
      <w:pPr>
        <w:spacing w:line="360" w:lineRule="auto"/>
        <w:ind w:firstLine="0" w:firstLineChars="0"/>
        <w:rPr>
          <w:rFonts w:ascii="宋体" w:hAnsi="宋体" w:cs="Arial"/>
          <w:b/>
          <w:color w:val="auto"/>
          <w:sz w:val="36"/>
          <w:szCs w:val="36"/>
        </w:rPr>
      </w:pPr>
      <w:r>
        <w:rPr>
          <w:rFonts w:ascii="宋体" w:hAnsi="宋体" w:cs="Arial"/>
          <w:color w:val="auto"/>
          <w:sz w:val="22"/>
          <w:szCs w:val="22"/>
        </w:rPr>
        <w:br w:type="page"/>
      </w:r>
      <w:bookmarkStart w:id="1034" w:name="_Toc222114886"/>
      <w:bookmarkStart w:id="1035" w:name="_Toc245722288"/>
      <w:bookmarkStart w:id="1036" w:name="_Toc262049426"/>
      <w:bookmarkStart w:id="1037" w:name="_Toc245191321"/>
      <w:bookmarkStart w:id="1038" w:name="_Toc262105511"/>
      <w:bookmarkStart w:id="1039" w:name="_Toc241404209"/>
      <w:bookmarkStart w:id="1040" w:name="_Toc246261272"/>
      <w:bookmarkStart w:id="1041" w:name="_Toc223716005"/>
      <w:bookmarkStart w:id="1042" w:name="_Toc249758722"/>
      <w:bookmarkStart w:id="1043" w:name="_Toc249758872"/>
      <w:bookmarkStart w:id="1044" w:name="_Toc239145361"/>
      <w:bookmarkStart w:id="1045" w:name="_Toc221423626"/>
    </w:p>
    <w:p>
      <w:pPr>
        <w:pStyle w:val="3"/>
        <w:spacing w:line="360" w:lineRule="auto"/>
        <w:rPr>
          <w:rFonts w:ascii="宋体" w:hAnsi="宋体" w:eastAsia="宋体" w:cs="Arial"/>
          <w:color w:val="auto"/>
          <w:sz w:val="36"/>
          <w:szCs w:val="36"/>
        </w:rPr>
      </w:pPr>
      <w:bookmarkStart w:id="1046" w:name="_Toc22293"/>
      <w:r>
        <w:rPr>
          <w:rFonts w:hint="eastAsia" w:ascii="宋体" w:hAnsi="宋体" w:eastAsia="宋体" w:cs="Arial"/>
          <w:color w:val="auto"/>
          <w:sz w:val="36"/>
          <w:szCs w:val="36"/>
        </w:rPr>
        <w:t xml:space="preserve">第五部分   </w:t>
      </w:r>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r>
        <w:rPr>
          <w:rFonts w:hint="eastAsia" w:ascii="宋体" w:hAnsi="宋体" w:eastAsia="宋体" w:cs="Arial"/>
          <w:color w:val="auto"/>
          <w:sz w:val="36"/>
          <w:szCs w:val="36"/>
        </w:rPr>
        <w:t>附件</w:t>
      </w:r>
      <w:bookmarkEnd w:id="1046"/>
    </w:p>
    <w:p>
      <w:pPr>
        <w:spacing w:line="360" w:lineRule="auto"/>
        <w:rPr>
          <w:rFonts w:ascii="宋体" w:hAnsi="宋体"/>
          <w:color w:val="auto"/>
        </w:rPr>
      </w:pPr>
    </w:p>
    <w:p>
      <w:pPr>
        <w:spacing w:line="360" w:lineRule="auto"/>
        <w:rPr>
          <w:rFonts w:ascii="宋体" w:hAnsi="宋体"/>
          <w:b/>
          <w:bCs/>
          <w:color w:val="auto"/>
          <w:sz w:val="22"/>
          <w:szCs w:val="22"/>
        </w:rPr>
      </w:pPr>
      <w:r>
        <w:rPr>
          <w:rFonts w:hint="eastAsia" w:ascii="宋体" w:hAnsi="宋体"/>
          <w:b/>
          <w:bCs/>
          <w:color w:val="auto"/>
          <w:sz w:val="22"/>
          <w:szCs w:val="22"/>
        </w:rPr>
        <w:t>附件一</w:t>
      </w:r>
    </w:p>
    <w:p>
      <w:pPr>
        <w:spacing w:line="360" w:lineRule="auto"/>
        <w:jc w:val="center"/>
        <w:rPr>
          <w:rFonts w:ascii="宋体" w:hAnsi="宋体" w:cs="仿宋"/>
          <w:b/>
          <w:bCs/>
          <w:color w:val="auto"/>
          <w:sz w:val="28"/>
          <w:szCs w:val="28"/>
        </w:rPr>
      </w:pPr>
      <w:r>
        <w:rPr>
          <w:rFonts w:hint="eastAsia" w:ascii="宋体" w:hAnsi="宋体" w:cs="仿宋"/>
          <w:b/>
          <w:bCs/>
          <w:color w:val="auto"/>
          <w:sz w:val="28"/>
          <w:szCs w:val="28"/>
        </w:rPr>
        <w:t>资格审查料</w:t>
      </w:r>
    </w:p>
    <w:p>
      <w:pPr>
        <w:spacing w:line="360" w:lineRule="auto"/>
        <w:jc w:val="center"/>
        <w:rPr>
          <w:rFonts w:ascii="宋体" w:hAnsi="宋体" w:cs="仿宋"/>
          <w:color w:val="auto"/>
          <w:sz w:val="28"/>
          <w:szCs w:val="28"/>
        </w:rPr>
      </w:pPr>
    </w:p>
    <w:p>
      <w:pPr>
        <w:spacing w:line="360" w:lineRule="auto"/>
        <w:jc w:val="center"/>
        <w:rPr>
          <w:rFonts w:ascii="宋体" w:hAnsi="宋体" w:cs="仿宋"/>
          <w:b/>
          <w:color w:val="auto"/>
          <w:sz w:val="22"/>
          <w:szCs w:val="22"/>
        </w:rPr>
      </w:pPr>
      <w:r>
        <w:rPr>
          <w:rFonts w:hint="eastAsia" w:ascii="宋体" w:hAnsi="宋体" w:cs="仿宋"/>
          <w:b/>
          <w:color w:val="auto"/>
          <w:sz w:val="22"/>
          <w:szCs w:val="22"/>
        </w:rPr>
        <w:t>（1-1）法定代表人声明书</w:t>
      </w:r>
    </w:p>
    <w:p>
      <w:pPr>
        <w:spacing w:line="360" w:lineRule="auto"/>
        <w:rPr>
          <w:rFonts w:ascii="宋体" w:hAnsi="宋体"/>
          <w:color w:val="auto"/>
        </w:rPr>
      </w:pPr>
    </w:p>
    <w:p>
      <w:pPr>
        <w:spacing w:line="360" w:lineRule="auto"/>
        <w:rPr>
          <w:rFonts w:ascii="宋体" w:hAnsi="宋体"/>
          <w:color w:val="auto"/>
          <w:sz w:val="22"/>
          <w:szCs w:val="22"/>
        </w:rPr>
      </w:pPr>
      <w:r>
        <w:rPr>
          <w:rFonts w:hint="eastAsia" w:ascii="宋体" w:hAnsi="宋体"/>
          <w:bCs/>
          <w:color w:val="auto"/>
          <w:sz w:val="22"/>
          <w:szCs w:val="22"/>
          <w:lang w:eastAsia="zh-CN"/>
        </w:rPr>
        <w:t>温州市洞头区综合行政执法局</w:t>
      </w:r>
      <w:r>
        <w:rPr>
          <w:rFonts w:hint="eastAsia" w:ascii="宋体" w:hAnsi="宋体"/>
          <w:color w:val="auto"/>
          <w:sz w:val="22"/>
          <w:szCs w:val="22"/>
        </w:rPr>
        <w:t>：</w:t>
      </w:r>
    </w:p>
    <w:p>
      <w:pPr>
        <w:spacing w:line="360" w:lineRule="auto"/>
        <w:rPr>
          <w:rFonts w:ascii="宋体" w:hAnsi="宋体"/>
          <w:color w:val="auto"/>
          <w:sz w:val="22"/>
          <w:szCs w:val="22"/>
        </w:rPr>
      </w:pPr>
      <w:r>
        <w:rPr>
          <w:rFonts w:hint="eastAsia" w:ascii="宋体" w:hAnsi="宋体"/>
          <w:color w:val="auto"/>
          <w:sz w:val="22"/>
          <w:szCs w:val="22"/>
          <w:lang w:eastAsia="zh-CN"/>
        </w:rPr>
        <w:t>浙江恒杰工程管理有限公司</w:t>
      </w:r>
      <w:r>
        <w:rPr>
          <w:rFonts w:hint="eastAsia" w:ascii="宋体" w:hAnsi="宋体"/>
          <w:color w:val="auto"/>
          <w:sz w:val="22"/>
          <w:szCs w:val="22"/>
        </w:rPr>
        <w:t>：</w:t>
      </w:r>
    </w:p>
    <w:p>
      <w:pPr>
        <w:spacing w:line="360" w:lineRule="auto"/>
        <w:rPr>
          <w:rFonts w:ascii="宋体" w:hAnsi="宋体"/>
          <w:color w:val="auto"/>
          <w:sz w:val="22"/>
          <w:szCs w:val="22"/>
          <w:u w:val="single"/>
        </w:rPr>
      </w:pPr>
    </w:p>
    <w:p>
      <w:pPr>
        <w:spacing w:line="360" w:lineRule="auto"/>
        <w:ind w:firstLine="0" w:firstLineChars="0"/>
        <w:rPr>
          <w:rFonts w:ascii="宋体" w:hAnsi="宋体"/>
          <w:color w:val="auto"/>
          <w:sz w:val="22"/>
          <w:szCs w:val="22"/>
        </w:rPr>
      </w:pPr>
      <w:r>
        <w:rPr>
          <w:rFonts w:hint="eastAsia" w:ascii="宋体" w:hAnsi="宋体"/>
          <w:color w:val="auto"/>
          <w:sz w:val="22"/>
          <w:szCs w:val="22"/>
        </w:rPr>
        <w:t>本人</w:t>
      </w:r>
      <w:r>
        <w:rPr>
          <w:rFonts w:hint="eastAsia" w:ascii="宋体" w:hAnsi="宋体"/>
          <w:color w:val="auto"/>
          <w:sz w:val="22"/>
          <w:szCs w:val="22"/>
          <w:u w:val="single"/>
        </w:rPr>
        <w:t>（法定代表人姓名）</w:t>
      </w:r>
      <w:r>
        <w:rPr>
          <w:rFonts w:hint="eastAsia" w:ascii="宋体" w:hAnsi="宋体"/>
          <w:color w:val="auto"/>
          <w:sz w:val="22"/>
          <w:szCs w:val="22"/>
        </w:rPr>
        <w:t>为</w:t>
      </w:r>
      <w:r>
        <w:rPr>
          <w:rFonts w:hint="eastAsia" w:ascii="宋体" w:hAnsi="宋体"/>
          <w:color w:val="auto"/>
          <w:sz w:val="22"/>
          <w:szCs w:val="22"/>
          <w:u w:val="single"/>
        </w:rPr>
        <w:t>（投标人全称）</w:t>
      </w:r>
      <w:r>
        <w:rPr>
          <w:rFonts w:hint="eastAsia" w:ascii="宋体" w:hAnsi="宋体"/>
          <w:color w:val="auto"/>
          <w:sz w:val="22"/>
          <w:szCs w:val="22"/>
        </w:rPr>
        <w:t>的法定代表人。我公司参加贵处组织的</w:t>
      </w:r>
      <w:r>
        <w:rPr>
          <w:rFonts w:hint="eastAsia" w:ascii="宋体" w:hAnsi="宋体"/>
          <w:color w:val="auto"/>
          <w:sz w:val="22"/>
          <w:szCs w:val="22"/>
          <w:u w:val="single"/>
        </w:rPr>
        <w:t>（招标项目名称、招标编号）</w:t>
      </w:r>
      <w:r>
        <w:rPr>
          <w:rFonts w:hint="eastAsia" w:ascii="宋体" w:hAnsi="宋体"/>
          <w:color w:val="auto"/>
          <w:sz w:val="22"/>
          <w:szCs w:val="22"/>
        </w:rPr>
        <w:t>的招标活动，由我本人全权代表我方处理招标活动中的一切事宜。联系方式如下：</w:t>
      </w:r>
      <w:r>
        <w:rPr>
          <w:rFonts w:hint="eastAsia" w:ascii="宋体" w:hAnsi="宋体"/>
          <w:color w:val="auto"/>
          <w:sz w:val="22"/>
          <w:szCs w:val="22"/>
          <w:u w:val="single"/>
        </w:rPr>
        <w:t xml:space="preserve">手机号码：       联系邮箱:         详细通讯地址：             </w:t>
      </w:r>
      <w:r>
        <w:rPr>
          <w:rFonts w:hint="eastAsia" w:ascii="宋体" w:hAnsi="宋体"/>
          <w:color w:val="auto"/>
          <w:sz w:val="22"/>
          <w:szCs w:val="22"/>
        </w:rPr>
        <w:t xml:space="preserve"> 。  </w:t>
      </w:r>
    </w:p>
    <w:p>
      <w:pPr>
        <w:spacing w:line="360" w:lineRule="auto"/>
        <w:rPr>
          <w:rFonts w:ascii="宋体" w:hAnsi="宋体"/>
          <w:color w:val="auto"/>
        </w:rPr>
      </w:pPr>
    </w:p>
    <w:p>
      <w:pPr>
        <w:spacing w:line="360" w:lineRule="auto"/>
        <w:rPr>
          <w:rFonts w:ascii="宋体" w:hAnsi="宋体"/>
          <w:color w:val="auto"/>
        </w:rPr>
      </w:pPr>
    </w:p>
    <w:p>
      <w:pPr>
        <w:spacing w:line="360" w:lineRule="auto"/>
        <w:rPr>
          <w:rFonts w:ascii="宋体" w:hAnsi="宋体"/>
          <w:color w:val="auto"/>
        </w:rPr>
      </w:pPr>
    </w:p>
    <w:p>
      <w:pPr>
        <w:spacing w:line="360" w:lineRule="auto"/>
        <w:ind w:firstLine="0" w:firstLineChars="0"/>
        <w:rPr>
          <w:rFonts w:ascii="宋体" w:hAnsi="宋体"/>
          <w:color w:val="auto"/>
          <w:sz w:val="22"/>
          <w:szCs w:val="22"/>
        </w:rPr>
      </w:pPr>
    </w:p>
    <w:p>
      <w:pPr>
        <w:spacing w:line="360" w:lineRule="auto"/>
        <w:ind w:firstLine="0"/>
        <w:rPr>
          <w:rFonts w:ascii="宋体" w:hAnsi="宋体"/>
          <w:color w:val="auto"/>
          <w:sz w:val="22"/>
          <w:szCs w:val="22"/>
        </w:rPr>
      </w:pPr>
      <w:r>
        <w:rPr>
          <w:rFonts w:hint="eastAsia" w:ascii="宋体" w:hAnsi="宋体"/>
          <w:color w:val="auto"/>
          <w:sz w:val="22"/>
          <w:szCs w:val="22"/>
        </w:rPr>
        <w:t xml:space="preserve">         投标人全称（公章）：</w:t>
      </w:r>
    </w:p>
    <w:p>
      <w:pPr>
        <w:spacing w:line="360" w:lineRule="auto"/>
        <w:ind w:firstLine="0"/>
        <w:rPr>
          <w:rFonts w:ascii="宋体" w:hAnsi="宋体"/>
          <w:color w:val="auto"/>
          <w:sz w:val="22"/>
          <w:szCs w:val="22"/>
        </w:rPr>
      </w:pPr>
      <w:r>
        <w:rPr>
          <w:rFonts w:hint="eastAsia" w:ascii="宋体" w:hAnsi="宋体"/>
          <w:color w:val="auto"/>
          <w:sz w:val="22"/>
          <w:szCs w:val="22"/>
        </w:rPr>
        <w:t xml:space="preserve">         日期：     年    月   日</w:t>
      </w:r>
    </w:p>
    <w:p>
      <w:pPr>
        <w:spacing w:line="360" w:lineRule="auto"/>
        <w:rPr>
          <w:rFonts w:ascii="宋体" w:hAnsi="宋体"/>
          <w:color w:val="auto"/>
          <w:sz w:val="22"/>
          <w:szCs w:val="22"/>
        </w:rPr>
      </w:pPr>
    </w:p>
    <w:p>
      <w:pPr>
        <w:widowControl/>
        <w:spacing w:line="360" w:lineRule="auto"/>
        <w:jc w:val="left"/>
        <w:rPr>
          <w:rFonts w:ascii="Arial" w:hAnsi="Arial" w:cs="Arial"/>
          <w:color w:val="auto"/>
          <w:szCs w:val="21"/>
        </w:rPr>
      </w:pPr>
    </w:p>
    <w:p>
      <w:pPr>
        <w:widowControl/>
        <w:spacing w:line="360" w:lineRule="auto"/>
        <w:jc w:val="left"/>
        <w:rPr>
          <w:rFonts w:ascii="Arial" w:hAnsi="Arial" w:cs="Arial"/>
          <w:color w:val="auto"/>
          <w:szCs w:val="21"/>
        </w:rPr>
      </w:pPr>
    </w:p>
    <w:p>
      <w:pPr>
        <w:widowControl/>
        <w:spacing w:line="360" w:lineRule="auto"/>
        <w:jc w:val="left"/>
        <w:rPr>
          <w:rFonts w:ascii="Arial" w:hAnsi="Arial" w:cs="Arial"/>
          <w:color w:val="auto"/>
          <w:szCs w:val="21"/>
        </w:rPr>
      </w:pPr>
      <w:r>
        <w:rPr>
          <w:rFonts w:hint="eastAsia" w:ascii="宋体" w:hAnsi="宋体"/>
          <w:b/>
          <w:color w:val="auto"/>
          <w:sz w:val="22"/>
          <w:szCs w:val="22"/>
        </w:rPr>
        <w:t>附：法定代表人</w:t>
      </w:r>
      <w:r>
        <w:rPr>
          <w:rFonts w:ascii="宋体" w:hAnsi="宋体"/>
          <w:b/>
          <w:color w:val="auto"/>
          <w:sz w:val="22"/>
          <w:szCs w:val="22"/>
        </w:rPr>
        <w:t>身</w:t>
      </w:r>
      <w:r>
        <w:rPr>
          <w:rFonts w:ascii="宋体" w:hAnsi="宋体" w:cs="Courier New"/>
          <w:b/>
          <w:color w:val="auto"/>
          <w:sz w:val="22"/>
          <w:szCs w:val="22"/>
        </w:rPr>
        <w:t>份证正反面复印件</w:t>
      </w:r>
      <w:r>
        <w:rPr>
          <w:rFonts w:ascii="Arial" w:hAnsi="Arial" w:cs="Arial"/>
          <w:color w:val="auto"/>
          <w:szCs w:val="21"/>
        </w:rPr>
        <w:br w:type="page"/>
      </w:r>
    </w:p>
    <w:p>
      <w:pPr>
        <w:spacing w:line="360" w:lineRule="auto"/>
        <w:rPr>
          <w:rFonts w:ascii="Arial" w:hAnsi="Arial" w:cs="Arial"/>
          <w:color w:val="auto"/>
          <w:szCs w:val="21"/>
        </w:rPr>
      </w:pPr>
    </w:p>
    <w:p>
      <w:pPr>
        <w:spacing w:line="360" w:lineRule="auto"/>
        <w:jc w:val="center"/>
        <w:rPr>
          <w:rFonts w:ascii="宋体" w:hAnsi="宋体" w:cs="仿宋"/>
          <w:b/>
          <w:color w:val="auto"/>
          <w:sz w:val="22"/>
          <w:szCs w:val="22"/>
        </w:rPr>
      </w:pPr>
    </w:p>
    <w:p>
      <w:pPr>
        <w:spacing w:line="360" w:lineRule="auto"/>
        <w:jc w:val="center"/>
        <w:rPr>
          <w:rFonts w:ascii="宋体" w:hAnsi="宋体" w:cs="仿宋"/>
          <w:b/>
          <w:color w:val="auto"/>
          <w:sz w:val="22"/>
          <w:szCs w:val="22"/>
        </w:rPr>
      </w:pPr>
      <w:r>
        <w:rPr>
          <w:rFonts w:hint="eastAsia" w:ascii="宋体" w:hAnsi="宋体" w:cs="仿宋"/>
          <w:b/>
          <w:color w:val="auto"/>
          <w:sz w:val="22"/>
          <w:szCs w:val="22"/>
        </w:rPr>
        <w:t>（1-2）法定代表人授权书</w:t>
      </w:r>
    </w:p>
    <w:p>
      <w:pPr>
        <w:spacing w:line="360" w:lineRule="auto"/>
        <w:jc w:val="center"/>
        <w:rPr>
          <w:rFonts w:ascii="宋体" w:hAnsi="宋体"/>
          <w:b/>
          <w:bCs/>
          <w:color w:val="auto"/>
          <w:sz w:val="28"/>
          <w:szCs w:val="28"/>
        </w:rPr>
      </w:pPr>
    </w:p>
    <w:p>
      <w:pPr>
        <w:spacing w:line="360" w:lineRule="auto"/>
        <w:rPr>
          <w:rFonts w:ascii="宋体" w:hAnsi="宋体"/>
          <w:color w:val="auto"/>
          <w:sz w:val="22"/>
          <w:szCs w:val="22"/>
        </w:rPr>
      </w:pPr>
      <w:r>
        <w:rPr>
          <w:rFonts w:hint="eastAsia" w:ascii="宋体" w:hAnsi="宋体"/>
          <w:bCs/>
          <w:color w:val="auto"/>
          <w:sz w:val="22"/>
          <w:szCs w:val="22"/>
          <w:lang w:eastAsia="zh-CN"/>
        </w:rPr>
        <w:t>温州市洞头区综合行政执法局</w:t>
      </w:r>
      <w:r>
        <w:rPr>
          <w:rFonts w:hint="eastAsia" w:ascii="宋体" w:hAnsi="宋体"/>
          <w:color w:val="auto"/>
          <w:sz w:val="22"/>
          <w:szCs w:val="22"/>
        </w:rPr>
        <w:t>：</w:t>
      </w:r>
    </w:p>
    <w:p>
      <w:pPr>
        <w:spacing w:line="360" w:lineRule="auto"/>
        <w:rPr>
          <w:rFonts w:ascii="宋体" w:hAnsi="宋体"/>
          <w:color w:val="auto"/>
          <w:sz w:val="22"/>
          <w:szCs w:val="22"/>
        </w:rPr>
      </w:pPr>
      <w:r>
        <w:rPr>
          <w:rFonts w:hint="eastAsia" w:ascii="宋体" w:hAnsi="宋体"/>
          <w:color w:val="auto"/>
          <w:sz w:val="22"/>
          <w:szCs w:val="22"/>
          <w:lang w:eastAsia="zh-CN"/>
        </w:rPr>
        <w:t>浙江恒杰工程管理有限公司</w:t>
      </w:r>
      <w:r>
        <w:rPr>
          <w:rFonts w:hint="eastAsia" w:ascii="宋体" w:hAnsi="宋体"/>
          <w:color w:val="auto"/>
          <w:sz w:val="22"/>
          <w:szCs w:val="22"/>
        </w:rPr>
        <w:t>：</w:t>
      </w:r>
    </w:p>
    <w:p>
      <w:pPr>
        <w:spacing w:line="360" w:lineRule="auto"/>
        <w:rPr>
          <w:rFonts w:ascii="宋体" w:hAnsi="宋体"/>
          <w:color w:val="auto"/>
          <w:sz w:val="22"/>
          <w:szCs w:val="22"/>
          <w:u w:val="single"/>
        </w:rPr>
      </w:pPr>
    </w:p>
    <w:p>
      <w:pPr>
        <w:spacing w:line="360" w:lineRule="auto"/>
        <w:ind w:firstLine="0" w:firstLineChars="0"/>
        <w:rPr>
          <w:rFonts w:ascii="宋体" w:hAnsi="宋体"/>
          <w:color w:val="auto"/>
          <w:sz w:val="22"/>
          <w:szCs w:val="22"/>
        </w:rPr>
      </w:pPr>
      <w:r>
        <w:rPr>
          <w:rFonts w:hint="eastAsia" w:ascii="宋体" w:hAnsi="宋体"/>
          <w:color w:val="auto"/>
          <w:sz w:val="22"/>
          <w:szCs w:val="22"/>
          <w:u w:val="single"/>
        </w:rPr>
        <w:t>（投标人全称）</w:t>
      </w:r>
      <w:r>
        <w:rPr>
          <w:rFonts w:hint="eastAsia" w:ascii="宋体" w:hAnsi="宋体"/>
          <w:color w:val="auto"/>
          <w:sz w:val="22"/>
          <w:szCs w:val="22"/>
        </w:rPr>
        <w:t xml:space="preserve">法定代表人 </w:t>
      </w:r>
      <w:r>
        <w:rPr>
          <w:rFonts w:hint="eastAsia" w:ascii="宋体" w:hAnsi="宋体"/>
          <w:color w:val="auto"/>
          <w:sz w:val="22"/>
          <w:szCs w:val="22"/>
          <w:u w:val="single"/>
        </w:rPr>
        <w:t>（法定代表人姓名）</w:t>
      </w:r>
      <w:r>
        <w:rPr>
          <w:rFonts w:hint="eastAsia" w:ascii="宋体" w:hAnsi="宋体"/>
          <w:color w:val="auto"/>
          <w:sz w:val="22"/>
          <w:szCs w:val="22"/>
        </w:rPr>
        <w:t xml:space="preserve"> 授权</w:t>
      </w:r>
      <w:r>
        <w:rPr>
          <w:rFonts w:hint="eastAsia" w:ascii="宋体" w:hAnsi="宋体"/>
          <w:color w:val="auto"/>
          <w:sz w:val="22"/>
          <w:szCs w:val="22"/>
          <w:u w:val="single"/>
        </w:rPr>
        <w:t>（全权代表姓名）</w:t>
      </w:r>
      <w:r>
        <w:rPr>
          <w:rFonts w:hint="eastAsia" w:ascii="宋体" w:hAnsi="宋体"/>
          <w:color w:val="auto"/>
          <w:sz w:val="22"/>
          <w:szCs w:val="22"/>
        </w:rPr>
        <w:t>为本项目全权代表，参加贵处组织的</w:t>
      </w:r>
      <w:r>
        <w:rPr>
          <w:rFonts w:hint="eastAsia" w:ascii="宋体" w:hAnsi="宋体"/>
          <w:color w:val="auto"/>
          <w:sz w:val="22"/>
          <w:szCs w:val="22"/>
          <w:u w:val="single"/>
        </w:rPr>
        <w:t>（招标项目名称、招标编号）</w:t>
      </w:r>
      <w:r>
        <w:rPr>
          <w:rFonts w:hint="eastAsia" w:ascii="宋体" w:hAnsi="宋体"/>
          <w:color w:val="auto"/>
          <w:sz w:val="22"/>
          <w:szCs w:val="22"/>
        </w:rPr>
        <w:t>的招标活动，全权代表我方处理招标活动中的一切事宜。联系方式如下：</w:t>
      </w:r>
      <w:r>
        <w:rPr>
          <w:rFonts w:hint="eastAsia" w:ascii="宋体" w:hAnsi="宋体"/>
          <w:color w:val="auto"/>
          <w:sz w:val="22"/>
          <w:szCs w:val="22"/>
          <w:u w:val="single"/>
        </w:rPr>
        <w:t xml:space="preserve">手机号码：       联系邮箱:         详细通讯地址：             </w:t>
      </w:r>
      <w:r>
        <w:rPr>
          <w:rFonts w:hint="eastAsia" w:ascii="宋体" w:hAnsi="宋体"/>
          <w:color w:val="auto"/>
          <w:sz w:val="22"/>
          <w:szCs w:val="22"/>
        </w:rPr>
        <w:t xml:space="preserve"> 。  </w:t>
      </w:r>
    </w:p>
    <w:p>
      <w:pPr>
        <w:spacing w:line="360" w:lineRule="auto"/>
        <w:ind w:firstLine="0" w:firstLineChars="0"/>
        <w:rPr>
          <w:rFonts w:ascii="宋体" w:hAnsi="宋体"/>
          <w:color w:val="auto"/>
          <w:sz w:val="22"/>
          <w:szCs w:val="22"/>
        </w:rPr>
      </w:pPr>
    </w:p>
    <w:p>
      <w:pPr>
        <w:spacing w:line="360" w:lineRule="auto"/>
        <w:ind w:firstLine="0" w:firstLineChars="0"/>
        <w:rPr>
          <w:rFonts w:ascii="宋体" w:hAnsi="宋体"/>
          <w:color w:val="auto"/>
          <w:sz w:val="22"/>
          <w:szCs w:val="22"/>
        </w:rPr>
      </w:pPr>
    </w:p>
    <w:p>
      <w:pPr>
        <w:spacing w:line="360" w:lineRule="auto"/>
        <w:ind w:firstLine="0"/>
        <w:rPr>
          <w:rFonts w:ascii="宋体" w:hAnsi="宋体"/>
          <w:color w:val="auto"/>
          <w:sz w:val="22"/>
          <w:szCs w:val="22"/>
        </w:rPr>
      </w:pPr>
    </w:p>
    <w:p>
      <w:pPr>
        <w:spacing w:line="360" w:lineRule="auto"/>
        <w:ind w:firstLine="0" w:firstLineChars="0"/>
        <w:rPr>
          <w:rFonts w:ascii="宋体" w:hAnsi="宋体"/>
          <w:color w:val="auto"/>
          <w:sz w:val="22"/>
          <w:szCs w:val="22"/>
        </w:rPr>
      </w:pPr>
      <w:r>
        <w:rPr>
          <w:rFonts w:hint="eastAsia" w:ascii="宋体" w:hAnsi="宋体"/>
          <w:color w:val="auto"/>
          <w:sz w:val="22"/>
          <w:szCs w:val="22"/>
        </w:rPr>
        <w:t>法定代表人 (签字或盖章)：</w:t>
      </w:r>
    </w:p>
    <w:p>
      <w:pPr>
        <w:spacing w:line="360" w:lineRule="auto"/>
        <w:ind w:firstLine="0"/>
        <w:rPr>
          <w:rFonts w:ascii="宋体" w:hAnsi="宋体"/>
          <w:color w:val="auto"/>
          <w:sz w:val="22"/>
          <w:szCs w:val="22"/>
        </w:rPr>
      </w:pPr>
      <w:r>
        <w:rPr>
          <w:rFonts w:hint="eastAsia" w:ascii="宋体" w:hAnsi="宋体"/>
          <w:color w:val="auto"/>
          <w:sz w:val="22"/>
          <w:szCs w:val="22"/>
        </w:rPr>
        <w:t xml:space="preserve">         投标人全称（公章）：</w:t>
      </w:r>
    </w:p>
    <w:p>
      <w:pPr>
        <w:spacing w:line="360" w:lineRule="auto"/>
        <w:ind w:firstLine="0"/>
        <w:rPr>
          <w:rFonts w:ascii="宋体" w:hAnsi="宋体"/>
          <w:color w:val="auto"/>
          <w:sz w:val="22"/>
          <w:szCs w:val="22"/>
        </w:rPr>
      </w:pPr>
      <w:r>
        <w:rPr>
          <w:rFonts w:hint="eastAsia" w:ascii="宋体" w:hAnsi="宋体"/>
          <w:color w:val="auto"/>
          <w:sz w:val="22"/>
          <w:szCs w:val="22"/>
        </w:rPr>
        <w:t xml:space="preserve">         日期：     年    月   日</w:t>
      </w:r>
    </w:p>
    <w:p>
      <w:pPr>
        <w:spacing w:line="360" w:lineRule="auto"/>
        <w:rPr>
          <w:rFonts w:ascii="宋体" w:hAnsi="宋体"/>
          <w:color w:val="auto"/>
          <w:sz w:val="22"/>
          <w:szCs w:val="22"/>
        </w:rPr>
      </w:pPr>
    </w:p>
    <w:p>
      <w:pPr>
        <w:spacing w:line="360" w:lineRule="auto"/>
        <w:rPr>
          <w:rFonts w:ascii="宋体" w:hAnsi="宋体"/>
          <w:color w:val="auto"/>
          <w:sz w:val="22"/>
          <w:szCs w:val="22"/>
        </w:rPr>
      </w:pPr>
    </w:p>
    <w:p>
      <w:pPr>
        <w:spacing w:line="360" w:lineRule="auto"/>
        <w:rPr>
          <w:rFonts w:ascii="宋体" w:hAnsi="宋体"/>
          <w:color w:val="auto"/>
          <w:sz w:val="22"/>
          <w:szCs w:val="22"/>
        </w:rPr>
      </w:pPr>
      <w:r>
        <w:rPr>
          <w:rFonts w:hint="eastAsia" w:ascii="宋体" w:hAnsi="宋体"/>
          <w:b/>
          <w:color w:val="auto"/>
          <w:sz w:val="22"/>
          <w:szCs w:val="22"/>
        </w:rPr>
        <w:t>附：法定代表人及授权代表的</w:t>
      </w:r>
      <w:r>
        <w:rPr>
          <w:rFonts w:ascii="宋体" w:hAnsi="宋体" w:cs="Courier New"/>
          <w:b/>
          <w:color w:val="auto"/>
          <w:sz w:val="22"/>
          <w:szCs w:val="22"/>
        </w:rPr>
        <w:t>身份证</w:t>
      </w:r>
      <w:r>
        <w:rPr>
          <w:rFonts w:hint="eastAsia" w:ascii="宋体" w:hAnsi="宋体"/>
          <w:b/>
          <w:color w:val="auto"/>
          <w:sz w:val="22"/>
          <w:szCs w:val="22"/>
        </w:rPr>
        <w:t>正反面复印件</w:t>
      </w:r>
    </w:p>
    <w:p>
      <w:pPr>
        <w:widowControl/>
        <w:spacing w:line="360" w:lineRule="auto"/>
        <w:jc w:val="left"/>
        <w:rPr>
          <w:rFonts w:ascii="宋体" w:hAnsi="宋体"/>
          <w:b/>
          <w:bCs/>
          <w:color w:val="auto"/>
        </w:rPr>
      </w:pPr>
    </w:p>
    <w:p>
      <w:pPr>
        <w:widowControl/>
        <w:spacing w:line="360" w:lineRule="auto"/>
        <w:jc w:val="left"/>
        <w:rPr>
          <w:rFonts w:ascii="宋体" w:hAnsi="宋体"/>
          <w:b/>
          <w:bCs/>
          <w:color w:val="auto"/>
        </w:rPr>
      </w:pPr>
    </w:p>
    <w:p>
      <w:pPr>
        <w:widowControl/>
        <w:spacing w:line="360" w:lineRule="auto"/>
        <w:jc w:val="left"/>
        <w:rPr>
          <w:rFonts w:ascii="宋体" w:hAnsi="宋体"/>
          <w:b/>
          <w:bCs/>
          <w:color w:val="auto"/>
        </w:rPr>
      </w:pPr>
    </w:p>
    <w:p>
      <w:pPr>
        <w:widowControl/>
        <w:spacing w:line="360" w:lineRule="auto"/>
        <w:jc w:val="left"/>
        <w:rPr>
          <w:rFonts w:ascii="宋体" w:hAnsi="宋体"/>
          <w:b/>
          <w:bCs/>
          <w:color w:val="auto"/>
        </w:rPr>
      </w:pPr>
    </w:p>
    <w:p>
      <w:pPr>
        <w:widowControl/>
        <w:spacing w:line="360" w:lineRule="auto"/>
        <w:jc w:val="left"/>
        <w:rPr>
          <w:rFonts w:ascii="宋体" w:hAnsi="宋体"/>
          <w:b/>
          <w:bCs/>
          <w:color w:val="auto"/>
        </w:rPr>
      </w:pPr>
    </w:p>
    <w:p>
      <w:pPr>
        <w:widowControl/>
        <w:spacing w:line="360" w:lineRule="auto"/>
        <w:jc w:val="left"/>
        <w:rPr>
          <w:rFonts w:ascii="宋体" w:hAnsi="宋体"/>
          <w:b/>
          <w:bCs/>
          <w:color w:val="auto"/>
        </w:rPr>
      </w:pPr>
    </w:p>
    <w:p>
      <w:pPr>
        <w:widowControl/>
        <w:spacing w:line="360" w:lineRule="auto"/>
        <w:jc w:val="left"/>
        <w:rPr>
          <w:rFonts w:ascii="宋体" w:hAnsi="宋体"/>
          <w:b/>
          <w:bCs/>
          <w:color w:val="auto"/>
        </w:rPr>
      </w:pPr>
    </w:p>
    <w:p>
      <w:pPr>
        <w:widowControl/>
        <w:spacing w:line="360" w:lineRule="auto"/>
        <w:jc w:val="left"/>
        <w:rPr>
          <w:rFonts w:ascii="宋体" w:hAnsi="宋体"/>
          <w:b/>
          <w:bCs/>
          <w:color w:val="auto"/>
        </w:rPr>
      </w:pPr>
    </w:p>
    <w:p>
      <w:pPr>
        <w:spacing w:line="360" w:lineRule="auto"/>
        <w:rPr>
          <w:rFonts w:ascii="宋体" w:hAnsi="宋体"/>
          <w:color w:val="auto"/>
          <w:sz w:val="22"/>
          <w:szCs w:val="22"/>
        </w:rPr>
      </w:pPr>
      <w:r>
        <w:rPr>
          <w:rFonts w:hint="eastAsia" w:ascii="宋体" w:hAnsi="宋体"/>
          <w:color w:val="auto"/>
          <w:sz w:val="22"/>
          <w:szCs w:val="22"/>
        </w:rPr>
        <w:t>说明：</w:t>
      </w:r>
    </w:p>
    <w:p>
      <w:pPr>
        <w:spacing w:line="360" w:lineRule="auto"/>
        <w:rPr>
          <w:rFonts w:ascii="宋体" w:hAnsi="宋体"/>
          <w:color w:val="auto"/>
          <w:sz w:val="22"/>
          <w:szCs w:val="22"/>
        </w:rPr>
      </w:pPr>
      <w:r>
        <w:rPr>
          <w:rFonts w:hint="eastAsia" w:ascii="宋体" w:hAnsi="宋体" w:cs="Courier New"/>
          <w:b/>
          <w:color w:val="auto"/>
          <w:sz w:val="22"/>
          <w:szCs w:val="22"/>
        </w:rPr>
        <w:t>1、</w:t>
      </w:r>
      <w:r>
        <w:rPr>
          <w:rFonts w:ascii="宋体" w:hAnsi="宋体" w:cs="Courier New"/>
          <w:b/>
          <w:color w:val="auto"/>
          <w:sz w:val="22"/>
          <w:szCs w:val="22"/>
        </w:rPr>
        <w:t>若投标人代表为</w:t>
      </w:r>
      <w:r>
        <w:rPr>
          <w:rFonts w:hint="eastAsia" w:ascii="宋体" w:hAnsi="宋体"/>
          <w:b/>
          <w:color w:val="auto"/>
          <w:sz w:val="22"/>
          <w:szCs w:val="22"/>
        </w:rPr>
        <w:t>法定代表人</w:t>
      </w:r>
      <w:r>
        <w:rPr>
          <w:rFonts w:ascii="宋体" w:hAnsi="宋体" w:cs="Courier New"/>
          <w:b/>
          <w:color w:val="auto"/>
          <w:sz w:val="22"/>
          <w:szCs w:val="22"/>
        </w:rPr>
        <w:t>，应提供</w:t>
      </w:r>
      <w:r>
        <w:rPr>
          <w:rFonts w:hint="eastAsia" w:ascii="宋体" w:hAnsi="宋体" w:cs="Courier New"/>
          <w:b/>
          <w:color w:val="auto"/>
          <w:sz w:val="22"/>
          <w:szCs w:val="22"/>
        </w:rPr>
        <w:t>声明</w:t>
      </w:r>
      <w:r>
        <w:rPr>
          <w:rFonts w:ascii="宋体" w:hAnsi="宋体" w:cs="Courier New"/>
          <w:b/>
          <w:color w:val="auto"/>
          <w:sz w:val="22"/>
          <w:szCs w:val="22"/>
        </w:rPr>
        <w:t>书（1-1）</w:t>
      </w:r>
      <w:r>
        <w:rPr>
          <w:rFonts w:hint="eastAsia" w:ascii="宋体" w:hAnsi="宋体" w:cs="Courier New"/>
          <w:b/>
          <w:color w:val="auto"/>
          <w:sz w:val="22"/>
          <w:szCs w:val="22"/>
        </w:rPr>
        <w:t>并提</w:t>
      </w:r>
      <w:r>
        <w:rPr>
          <w:rFonts w:ascii="宋体" w:hAnsi="宋体" w:cs="Courier New"/>
          <w:b/>
          <w:color w:val="auto"/>
          <w:sz w:val="22"/>
          <w:szCs w:val="22"/>
        </w:rPr>
        <w:t>交</w:t>
      </w:r>
      <w:r>
        <w:rPr>
          <w:rFonts w:hint="eastAsia" w:ascii="宋体" w:hAnsi="宋体"/>
          <w:b/>
          <w:color w:val="auto"/>
          <w:sz w:val="22"/>
          <w:szCs w:val="22"/>
        </w:rPr>
        <w:t>法定代表人</w:t>
      </w:r>
      <w:r>
        <w:rPr>
          <w:rFonts w:ascii="宋体" w:hAnsi="宋体" w:cs="Courier New"/>
          <w:b/>
          <w:color w:val="auto"/>
          <w:sz w:val="22"/>
          <w:szCs w:val="22"/>
        </w:rPr>
        <w:t>身份证正反面复印件</w:t>
      </w:r>
      <w:r>
        <w:rPr>
          <w:rFonts w:hint="eastAsia" w:ascii="宋体" w:hAnsi="宋体"/>
          <w:b/>
          <w:color w:val="auto"/>
          <w:sz w:val="22"/>
          <w:szCs w:val="22"/>
        </w:rPr>
        <w:t>；</w:t>
      </w:r>
    </w:p>
    <w:p>
      <w:pPr>
        <w:spacing w:line="360" w:lineRule="auto"/>
        <w:rPr>
          <w:rFonts w:ascii="宋体" w:hAnsi="宋体"/>
          <w:color w:val="auto"/>
          <w:sz w:val="22"/>
          <w:szCs w:val="22"/>
        </w:rPr>
      </w:pPr>
      <w:r>
        <w:rPr>
          <w:rFonts w:ascii="宋体" w:hAnsi="宋体" w:cs="Courier New"/>
          <w:b/>
          <w:color w:val="auto"/>
          <w:sz w:val="22"/>
          <w:szCs w:val="22"/>
        </w:rPr>
        <w:t>2</w:t>
      </w:r>
      <w:r>
        <w:rPr>
          <w:rFonts w:hint="eastAsia" w:ascii="宋体" w:hAnsi="宋体" w:cs="Courier New"/>
          <w:b/>
          <w:color w:val="auto"/>
          <w:sz w:val="22"/>
          <w:szCs w:val="22"/>
        </w:rPr>
        <w:t>、</w:t>
      </w:r>
      <w:r>
        <w:rPr>
          <w:rFonts w:ascii="宋体" w:hAnsi="宋体" w:cs="Courier New"/>
          <w:b/>
          <w:color w:val="auto"/>
          <w:sz w:val="22"/>
          <w:szCs w:val="22"/>
        </w:rPr>
        <w:t>若投标人代表为</w:t>
      </w:r>
      <w:r>
        <w:rPr>
          <w:rFonts w:hint="eastAsia" w:ascii="宋体" w:hAnsi="宋体"/>
          <w:b/>
          <w:color w:val="auto"/>
          <w:sz w:val="22"/>
          <w:szCs w:val="22"/>
        </w:rPr>
        <w:t>法定代表人</w:t>
      </w:r>
      <w:r>
        <w:rPr>
          <w:rFonts w:ascii="宋体" w:hAnsi="宋体" w:cs="Courier New"/>
          <w:b/>
          <w:color w:val="auto"/>
          <w:sz w:val="22"/>
          <w:szCs w:val="22"/>
        </w:rPr>
        <w:t>授权的委托代理人，应提供授权书（1-2）</w:t>
      </w:r>
      <w:r>
        <w:rPr>
          <w:rFonts w:hint="eastAsia" w:ascii="宋体" w:hAnsi="宋体" w:cs="Courier New"/>
          <w:b/>
          <w:color w:val="auto"/>
          <w:sz w:val="22"/>
          <w:szCs w:val="22"/>
        </w:rPr>
        <w:t>，并附</w:t>
      </w:r>
      <w:r>
        <w:rPr>
          <w:rFonts w:hint="eastAsia" w:ascii="宋体" w:hAnsi="宋体"/>
          <w:b/>
          <w:color w:val="auto"/>
          <w:sz w:val="22"/>
          <w:szCs w:val="22"/>
        </w:rPr>
        <w:t>法定代表人及授权代表的</w:t>
      </w:r>
      <w:r>
        <w:rPr>
          <w:rFonts w:ascii="宋体" w:hAnsi="宋体" w:cs="Courier New"/>
          <w:b/>
          <w:color w:val="auto"/>
          <w:sz w:val="22"/>
          <w:szCs w:val="22"/>
        </w:rPr>
        <w:t>身份证</w:t>
      </w:r>
      <w:r>
        <w:rPr>
          <w:rFonts w:hint="eastAsia" w:ascii="宋体" w:hAnsi="宋体"/>
          <w:b/>
          <w:color w:val="auto"/>
          <w:sz w:val="22"/>
          <w:szCs w:val="22"/>
        </w:rPr>
        <w:t>正反面复印件</w:t>
      </w:r>
      <w:r>
        <w:rPr>
          <w:rFonts w:hint="eastAsia" w:ascii="宋体" w:hAnsi="宋体" w:cs="Courier New"/>
          <w:b/>
          <w:color w:val="auto"/>
          <w:sz w:val="22"/>
          <w:szCs w:val="22"/>
        </w:rPr>
        <w:t>。</w:t>
      </w:r>
    </w:p>
    <w:p>
      <w:pPr>
        <w:spacing w:line="360" w:lineRule="auto"/>
        <w:rPr>
          <w:rFonts w:ascii="宋体" w:hAnsi="宋体"/>
          <w:color w:val="auto"/>
          <w:sz w:val="22"/>
          <w:szCs w:val="22"/>
        </w:rPr>
      </w:pPr>
    </w:p>
    <w:p>
      <w:pPr>
        <w:spacing w:line="360" w:lineRule="auto"/>
        <w:jc w:val="center"/>
        <w:rPr>
          <w:rFonts w:ascii="宋体" w:hAnsi="宋体"/>
          <w:b/>
          <w:bCs/>
          <w:color w:val="auto"/>
          <w:sz w:val="32"/>
        </w:rPr>
      </w:pPr>
      <w:r>
        <w:rPr>
          <w:rFonts w:hint="eastAsia" w:ascii="宋体" w:hAnsi="宋体"/>
          <w:b/>
          <w:bCs/>
          <w:color w:val="auto"/>
          <w:sz w:val="32"/>
        </w:rPr>
        <w:br w:type="page"/>
      </w:r>
    </w:p>
    <w:p>
      <w:pPr>
        <w:spacing w:line="360" w:lineRule="auto"/>
        <w:jc w:val="center"/>
        <w:rPr>
          <w:rFonts w:ascii="宋体" w:hAnsi="宋体"/>
          <w:b/>
          <w:bCs/>
          <w:color w:val="auto"/>
          <w:sz w:val="32"/>
        </w:rPr>
      </w:pPr>
    </w:p>
    <w:p>
      <w:pPr>
        <w:widowControl/>
        <w:adjustRightInd w:val="0"/>
        <w:snapToGrid w:val="0"/>
        <w:spacing w:line="360" w:lineRule="auto"/>
        <w:jc w:val="center"/>
        <w:rPr>
          <w:rFonts w:ascii="宋体" w:hAnsi="宋体"/>
          <w:b/>
          <w:color w:val="auto"/>
          <w:sz w:val="22"/>
          <w:szCs w:val="22"/>
        </w:rPr>
      </w:pPr>
      <w:r>
        <w:rPr>
          <w:rFonts w:hint="eastAsia" w:ascii="宋体" w:hAnsi="宋体"/>
          <w:b/>
          <w:color w:val="auto"/>
          <w:sz w:val="22"/>
          <w:szCs w:val="22"/>
        </w:rPr>
        <w:t>（</w:t>
      </w:r>
      <w:r>
        <w:rPr>
          <w:rFonts w:ascii="宋体" w:hAnsi="宋体"/>
          <w:b/>
          <w:color w:val="auto"/>
          <w:sz w:val="22"/>
          <w:szCs w:val="22"/>
        </w:rPr>
        <w:t>2</w:t>
      </w:r>
      <w:r>
        <w:rPr>
          <w:rFonts w:hint="eastAsia" w:ascii="宋体" w:hAnsi="宋体"/>
          <w:b/>
          <w:color w:val="auto"/>
          <w:sz w:val="22"/>
          <w:szCs w:val="22"/>
        </w:rPr>
        <w:t>）投标人参与政府采购活动投标资格声明函</w:t>
      </w:r>
    </w:p>
    <w:p>
      <w:pPr>
        <w:widowControl/>
        <w:adjustRightInd w:val="0"/>
        <w:snapToGrid w:val="0"/>
        <w:spacing w:line="360" w:lineRule="auto"/>
        <w:jc w:val="left"/>
        <w:rPr>
          <w:rFonts w:ascii="宋体" w:hAnsi="宋体" w:cs="新宋体"/>
          <w:color w:val="auto"/>
          <w:kern w:val="0"/>
          <w:sz w:val="22"/>
          <w:szCs w:val="22"/>
        </w:rPr>
      </w:pPr>
    </w:p>
    <w:p>
      <w:pPr>
        <w:widowControl/>
        <w:adjustRightInd w:val="0"/>
        <w:snapToGrid w:val="0"/>
        <w:spacing w:line="360" w:lineRule="auto"/>
        <w:jc w:val="left"/>
        <w:rPr>
          <w:rFonts w:ascii="宋体" w:hAnsi="宋体" w:cs="宋体"/>
          <w:color w:val="auto"/>
          <w:kern w:val="0"/>
          <w:sz w:val="22"/>
          <w:szCs w:val="22"/>
        </w:rPr>
      </w:pPr>
      <w:r>
        <w:rPr>
          <w:rFonts w:hint="eastAsia" w:ascii="宋体" w:hAnsi="宋体"/>
          <w:color w:val="auto"/>
          <w:sz w:val="22"/>
          <w:szCs w:val="22"/>
          <w:lang w:eastAsia="zh-CN"/>
        </w:rPr>
        <w:t>温州市洞头区综合行政执法局</w:t>
      </w:r>
      <w:r>
        <w:rPr>
          <w:rFonts w:hint="eastAsia" w:ascii="宋体" w:hAnsi="宋体" w:cs="宋体"/>
          <w:color w:val="auto"/>
          <w:kern w:val="0"/>
          <w:sz w:val="22"/>
          <w:szCs w:val="22"/>
        </w:rPr>
        <w:t>：</w:t>
      </w:r>
    </w:p>
    <w:p>
      <w:pPr>
        <w:widowControl/>
        <w:adjustRightInd w:val="0"/>
        <w:snapToGrid w:val="0"/>
        <w:spacing w:line="360" w:lineRule="auto"/>
        <w:jc w:val="left"/>
        <w:rPr>
          <w:rFonts w:ascii="宋体" w:hAnsi="宋体" w:cs="宋体"/>
          <w:color w:val="auto"/>
          <w:kern w:val="0"/>
          <w:sz w:val="22"/>
          <w:szCs w:val="22"/>
        </w:rPr>
      </w:pPr>
      <w:r>
        <w:rPr>
          <w:rFonts w:hint="eastAsia" w:ascii="宋体" w:hAnsi="宋体" w:cs="宋体"/>
          <w:color w:val="auto"/>
          <w:kern w:val="0"/>
          <w:sz w:val="22"/>
          <w:szCs w:val="22"/>
          <w:lang w:eastAsia="zh-CN"/>
        </w:rPr>
        <w:t>浙江恒杰工程管理有限公司</w:t>
      </w:r>
      <w:r>
        <w:rPr>
          <w:rFonts w:hint="eastAsia" w:ascii="宋体" w:hAnsi="宋体" w:cs="宋体"/>
          <w:color w:val="auto"/>
          <w:kern w:val="0"/>
          <w:sz w:val="22"/>
          <w:szCs w:val="22"/>
        </w:rPr>
        <w:t>：</w:t>
      </w:r>
    </w:p>
    <w:p>
      <w:pPr>
        <w:widowControl/>
        <w:adjustRightInd w:val="0"/>
        <w:snapToGrid w:val="0"/>
        <w:spacing w:line="360" w:lineRule="auto"/>
        <w:ind w:firstLine="0" w:firstLineChars="0"/>
        <w:jc w:val="left"/>
        <w:rPr>
          <w:rFonts w:ascii="宋体" w:hAnsi="宋体" w:cs="宋体"/>
          <w:color w:val="auto"/>
          <w:kern w:val="0"/>
          <w:sz w:val="22"/>
          <w:szCs w:val="22"/>
        </w:rPr>
      </w:pPr>
      <w:r>
        <w:rPr>
          <w:rFonts w:hint="eastAsia" w:ascii="宋体" w:hAnsi="宋体" w:cs="宋体"/>
          <w:color w:val="auto"/>
          <w:kern w:val="0"/>
          <w:sz w:val="22"/>
          <w:szCs w:val="22"/>
        </w:rPr>
        <w:t>我单位参与</w:t>
      </w:r>
      <w:r>
        <w:rPr>
          <w:rFonts w:hint="eastAsia" w:ascii="宋体" w:hAnsi="宋体"/>
          <w:color w:val="auto"/>
          <w:sz w:val="22"/>
          <w:szCs w:val="22"/>
          <w:u w:val="single"/>
        </w:rPr>
        <w:t xml:space="preserve">（项目名称） </w:t>
      </w:r>
      <w:r>
        <w:rPr>
          <w:rFonts w:hint="eastAsia" w:ascii="宋体" w:hAnsi="宋体" w:cs="宋体"/>
          <w:color w:val="auto"/>
          <w:kern w:val="0"/>
          <w:sz w:val="22"/>
          <w:szCs w:val="22"/>
        </w:rPr>
        <w:t>项目的采购活动，现声明如下：</w:t>
      </w:r>
    </w:p>
    <w:p>
      <w:pPr>
        <w:widowControl/>
        <w:adjustRightInd w:val="0"/>
        <w:snapToGrid w:val="0"/>
        <w:spacing w:line="360" w:lineRule="auto"/>
        <w:ind w:left="216" w:leftChars="103" w:firstLine="0" w:firstLineChars="0"/>
        <w:jc w:val="left"/>
        <w:rPr>
          <w:rFonts w:ascii="宋体" w:hAnsi="宋体" w:cs="宋体"/>
          <w:color w:val="auto"/>
          <w:kern w:val="0"/>
          <w:sz w:val="22"/>
          <w:szCs w:val="22"/>
        </w:rPr>
      </w:pPr>
      <w:r>
        <w:rPr>
          <w:rFonts w:hint="eastAsia" w:ascii="宋体" w:hAnsi="宋体" w:cs="宋体"/>
          <w:color w:val="auto"/>
          <w:kern w:val="0"/>
          <w:sz w:val="22"/>
          <w:szCs w:val="22"/>
        </w:rPr>
        <w:t>1、我单位具有独立承担民事责任的能力。</w:t>
      </w:r>
    </w:p>
    <w:p>
      <w:pPr>
        <w:widowControl/>
        <w:adjustRightInd w:val="0"/>
        <w:snapToGrid w:val="0"/>
        <w:spacing w:line="360" w:lineRule="auto"/>
        <w:ind w:left="216" w:leftChars="103" w:firstLine="0" w:firstLineChars="0"/>
        <w:jc w:val="left"/>
        <w:rPr>
          <w:rFonts w:ascii="宋体" w:hAnsi="宋体" w:cs="宋体"/>
          <w:color w:val="auto"/>
          <w:kern w:val="0"/>
          <w:sz w:val="22"/>
          <w:szCs w:val="22"/>
        </w:rPr>
      </w:pPr>
      <w:r>
        <w:rPr>
          <w:rFonts w:hint="eastAsia" w:ascii="宋体" w:hAnsi="宋体" w:cs="宋体"/>
          <w:color w:val="auto"/>
          <w:kern w:val="0"/>
          <w:sz w:val="22"/>
          <w:szCs w:val="22"/>
        </w:rPr>
        <w:t>2、我单位具有良好的商业信誉和健全的财务会计制度。</w:t>
      </w:r>
    </w:p>
    <w:p>
      <w:pPr>
        <w:widowControl/>
        <w:adjustRightInd w:val="0"/>
        <w:snapToGrid w:val="0"/>
        <w:spacing w:line="360" w:lineRule="auto"/>
        <w:ind w:left="216" w:leftChars="103" w:firstLine="0" w:firstLineChars="0"/>
        <w:jc w:val="left"/>
        <w:rPr>
          <w:rFonts w:ascii="宋体" w:hAnsi="宋体" w:cs="宋体"/>
          <w:color w:val="auto"/>
          <w:kern w:val="0"/>
          <w:sz w:val="22"/>
          <w:szCs w:val="22"/>
        </w:rPr>
      </w:pPr>
      <w:r>
        <w:rPr>
          <w:rFonts w:hint="eastAsia" w:ascii="宋体" w:hAnsi="宋体" w:cs="宋体"/>
          <w:color w:val="auto"/>
          <w:kern w:val="0"/>
          <w:sz w:val="22"/>
          <w:szCs w:val="22"/>
        </w:rPr>
        <w:t>3、我单位具有依法缴纳税收和社会保障资金的良好记录。</w:t>
      </w:r>
    </w:p>
    <w:p>
      <w:pPr>
        <w:widowControl/>
        <w:adjustRightInd w:val="0"/>
        <w:snapToGrid w:val="0"/>
        <w:spacing w:line="360" w:lineRule="auto"/>
        <w:ind w:left="216" w:leftChars="103" w:firstLine="0" w:firstLineChars="0"/>
        <w:jc w:val="left"/>
        <w:rPr>
          <w:rFonts w:ascii="宋体" w:hAnsi="宋体" w:cs="宋体"/>
          <w:color w:val="auto"/>
          <w:kern w:val="0"/>
          <w:sz w:val="22"/>
          <w:szCs w:val="22"/>
        </w:rPr>
      </w:pPr>
      <w:r>
        <w:rPr>
          <w:rFonts w:hint="eastAsia" w:ascii="宋体" w:hAnsi="宋体" w:cs="宋体"/>
          <w:color w:val="auto"/>
          <w:kern w:val="0"/>
          <w:sz w:val="22"/>
          <w:szCs w:val="22"/>
        </w:rPr>
        <w:t>4、我单位具有履行本项目政府采购合同所必需的设备和专业技术能力。</w:t>
      </w:r>
    </w:p>
    <w:p>
      <w:pPr>
        <w:widowControl/>
        <w:adjustRightInd w:val="0"/>
        <w:snapToGrid w:val="0"/>
        <w:spacing w:line="360" w:lineRule="auto"/>
        <w:ind w:left="216" w:leftChars="103" w:firstLine="0" w:firstLineChars="0"/>
        <w:jc w:val="left"/>
        <w:rPr>
          <w:rFonts w:ascii="宋体" w:hAnsi="宋体" w:cs="宋体"/>
          <w:color w:val="auto"/>
          <w:kern w:val="0"/>
          <w:sz w:val="22"/>
          <w:szCs w:val="22"/>
        </w:rPr>
      </w:pPr>
      <w:r>
        <w:rPr>
          <w:rFonts w:hint="eastAsia" w:ascii="宋体" w:hAnsi="宋体" w:cs="宋体"/>
          <w:color w:val="auto"/>
          <w:kern w:val="0"/>
          <w:sz w:val="22"/>
          <w:szCs w:val="22"/>
        </w:rPr>
        <w:t>5、我单位未被列入失信被执行人名单、重大税收违法案件当事人名单、政府采购严重违法失信行为记录名单，参加本次政府采购活动前3年内在经营活动中没有重大违法记录（没有因违法经营受到刑事处罚，没有被责令停产停业、被吊销许可证或者执照、被处以较大数额罚款等行政处罚，没有因违法经营被禁止参加政府采购活动的期限未满情形）。</w:t>
      </w:r>
    </w:p>
    <w:p>
      <w:pPr>
        <w:widowControl/>
        <w:adjustRightInd w:val="0"/>
        <w:snapToGrid w:val="0"/>
        <w:spacing w:line="360" w:lineRule="auto"/>
        <w:ind w:left="216" w:leftChars="103" w:firstLine="0" w:firstLineChars="0"/>
        <w:jc w:val="left"/>
        <w:rPr>
          <w:rFonts w:ascii="宋体" w:hAnsi="宋体" w:cs="宋体"/>
          <w:color w:val="auto"/>
          <w:kern w:val="0"/>
          <w:sz w:val="22"/>
          <w:szCs w:val="22"/>
        </w:rPr>
      </w:pPr>
      <w:r>
        <w:rPr>
          <w:rFonts w:hint="eastAsia" w:ascii="宋体" w:hAnsi="宋体" w:cs="宋体"/>
          <w:color w:val="auto"/>
          <w:kern w:val="0"/>
          <w:sz w:val="22"/>
          <w:szCs w:val="22"/>
        </w:rPr>
        <w:t>6、我单位未与单位负责人为同一人或者存在直接控股、管理关系的其他投标人，一起参加本项目的政府采购活动。</w:t>
      </w:r>
    </w:p>
    <w:p>
      <w:pPr>
        <w:widowControl/>
        <w:adjustRightInd w:val="0"/>
        <w:snapToGrid w:val="0"/>
        <w:spacing w:line="360" w:lineRule="auto"/>
        <w:ind w:left="216" w:leftChars="103" w:firstLine="0" w:firstLineChars="0"/>
        <w:jc w:val="left"/>
        <w:rPr>
          <w:rFonts w:ascii="宋体" w:hAnsi="宋体" w:cs="宋体"/>
          <w:color w:val="auto"/>
          <w:kern w:val="0"/>
          <w:sz w:val="22"/>
          <w:szCs w:val="22"/>
        </w:rPr>
      </w:pPr>
      <w:r>
        <w:rPr>
          <w:rFonts w:hint="eastAsia" w:ascii="宋体" w:hAnsi="宋体" w:cs="宋体"/>
          <w:color w:val="auto"/>
          <w:kern w:val="0"/>
          <w:sz w:val="22"/>
          <w:szCs w:val="22"/>
        </w:rPr>
        <w:t>7、我单位符合本项目特定资格条件： 的要求，并在谈判响应文件中提供了相应的证明材料（采购文件没有要求特定资格条件的，本条款空格处可以空白）</w:t>
      </w:r>
    </w:p>
    <w:p>
      <w:pPr>
        <w:widowControl/>
        <w:adjustRightInd w:val="0"/>
        <w:snapToGrid w:val="0"/>
        <w:spacing w:line="360" w:lineRule="auto"/>
        <w:ind w:firstLine="0" w:firstLineChars="0"/>
        <w:jc w:val="left"/>
        <w:rPr>
          <w:rFonts w:ascii="宋体" w:hAnsi="宋体" w:cs="宋体"/>
          <w:color w:val="auto"/>
          <w:kern w:val="0"/>
          <w:sz w:val="22"/>
          <w:szCs w:val="22"/>
        </w:rPr>
      </w:pPr>
      <w:r>
        <w:rPr>
          <w:rFonts w:hint="eastAsia" w:ascii="宋体" w:hAnsi="宋体" w:cs="宋体"/>
          <w:color w:val="auto"/>
          <w:kern w:val="0"/>
          <w:sz w:val="22"/>
          <w:szCs w:val="22"/>
        </w:rPr>
        <w:t>以上事项如有虚假，采购人可取消我方任何资格（投标/中标/签订合同），我方对此无任何异议。</w:t>
      </w:r>
    </w:p>
    <w:p>
      <w:pPr>
        <w:widowControl/>
        <w:adjustRightInd w:val="0"/>
        <w:snapToGrid w:val="0"/>
        <w:spacing w:line="360" w:lineRule="auto"/>
        <w:ind w:firstLine="0" w:firstLineChars="0"/>
        <w:jc w:val="left"/>
        <w:rPr>
          <w:rFonts w:ascii="宋体" w:hAnsi="宋体" w:cs="宋体"/>
          <w:color w:val="auto"/>
          <w:kern w:val="0"/>
          <w:sz w:val="22"/>
          <w:szCs w:val="22"/>
        </w:rPr>
      </w:pPr>
    </w:p>
    <w:p>
      <w:pPr>
        <w:widowControl/>
        <w:adjustRightInd w:val="0"/>
        <w:snapToGrid w:val="0"/>
        <w:spacing w:line="360" w:lineRule="auto"/>
        <w:ind w:firstLine="0" w:firstLineChars="0"/>
        <w:jc w:val="left"/>
        <w:rPr>
          <w:rFonts w:ascii="宋体" w:hAnsi="宋体" w:cs="宋体"/>
          <w:color w:val="auto"/>
          <w:kern w:val="0"/>
          <w:sz w:val="22"/>
          <w:szCs w:val="22"/>
        </w:rPr>
      </w:pPr>
      <w:r>
        <w:rPr>
          <w:rFonts w:hint="eastAsia" w:ascii="宋体" w:hAnsi="宋体" w:cs="宋体"/>
          <w:color w:val="auto"/>
          <w:kern w:val="0"/>
          <w:sz w:val="22"/>
          <w:szCs w:val="22"/>
        </w:rPr>
        <w:t>特此承诺！</w:t>
      </w:r>
    </w:p>
    <w:p>
      <w:pPr>
        <w:widowControl/>
        <w:adjustRightInd w:val="0"/>
        <w:snapToGrid w:val="0"/>
        <w:spacing w:line="360" w:lineRule="auto"/>
        <w:ind w:firstLine="0" w:firstLineChars="0"/>
        <w:jc w:val="left"/>
        <w:rPr>
          <w:rFonts w:ascii="宋体" w:hAnsi="宋体" w:cs="新宋体"/>
          <w:color w:val="auto"/>
          <w:kern w:val="0"/>
          <w:sz w:val="22"/>
          <w:szCs w:val="22"/>
        </w:rPr>
      </w:pPr>
    </w:p>
    <w:p>
      <w:pPr>
        <w:pStyle w:val="25"/>
        <w:spacing w:line="360" w:lineRule="auto"/>
        <w:rPr>
          <w:color w:val="auto"/>
        </w:rPr>
      </w:pPr>
    </w:p>
    <w:p>
      <w:pPr>
        <w:spacing w:line="360" w:lineRule="auto"/>
        <w:rPr>
          <w:rFonts w:ascii="宋体" w:hAnsi="宋体"/>
          <w:color w:val="auto"/>
          <w:sz w:val="22"/>
          <w:szCs w:val="22"/>
        </w:rPr>
      </w:pPr>
      <w:r>
        <w:rPr>
          <w:rFonts w:hint="eastAsia" w:ascii="宋体" w:hAnsi="宋体"/>
          <w:color w:val="auto"/>
          <w:sz w:val="22"/>
          <w:szCs w:val="22"/>
        </w:rPr>
        <w:t>投标人全称（</w:t>
      </w:r>
      <w:r>
        <w:rPr>
          <w:rFonts w:hint="eastAsia" w:ascii="宋体" w:hAnsi="宋体"/>
          <w:color w:val="auto"/>
          <w:sz w:val="22"/>
          <w:szCs w:val="22"/>
          <w:lang w:eastAsia="zh-CN"/>
        </w:rPr>
        <w:t>电子签名/公章</w:t>
      </w:r>
      <w:r>
        <w:rPr>
          <w:rFonts w:hint="eastAsia" w:ascii="宋体" w:hAnsi="宋体"/>
          <w:color w:val="auto"/>
          <w:sz w:val="22"/>
          <w:szCs w:val="22"/>
        </w:rPr>
        <w:t>）：</w:t>
      </w:r>
    </w:p>
    <w:p>
      <w:pPr>
        <w:widowControl/>
        <w:adjustRightInd w:val="0"/>
        <w:snapToGrid w:val="0"/>
        <w:spacing w:line="360" w:lineRule="auto"/>
        <w:ind w:firstLine="0" w:firstLineChars="0"/>
        <w:jc w:val="left"/>
        <w:rPr>
          <w:rFonts w:ascii="宋体" w:cs="Arial"/>
          <w:color w:val="auto"/>
          <w:kern w:val="0"/>
          <w:sz w:val="22"/>
          <w:szCs w:val="22"/>
        </w:rPr>
      </w:pPr>
      <w:r>
        <w:rPr>
          <w:rFonts w:hint="eastAsia" w:ascii="宋体" w:hAnsi="宋体" w:cs="Arial"/>
          <w:color w:val="auto"/>
          <w:kern w:val="0"/>
          <w:sz w:val="22"/>
          <w:szCs w:val="22"/>
        </w:rPr>
        <w:t>法定代表人（负责人）或其授权代表（签字或盖章）：</w:t>
      </w:r>
    </w:p>
    <w:p>
      <w:pPr>
        <w:widowControl/>
        <w:adjustRightInd w:val="0"/>
        <w:snapToGrid w:val="0"/>
        <w:spacing w:line="360" w:lineRule="auto"/>
        <w:ind w:firstLine="0" w:firstLineChars="0"/>
        <w:jc w:val="left"/>
        <w:rPr>
          <w:rFonts w:ascii="宋体" w:cs="Arial"/>
          <w:color w:val="auto"/>
          <w:kern w:val="0"/>
          <w:sz w:val="22"/>
          <w:szCs w:val="22"/>
        </w:rPr>
      </w:pPr>
      <w:r>
        <w:rPr>
          <w:rFonts w:hint="eastAsia" w:ascii="宋体" w:hAnsi="宋体" w:cs="Arial"/>
          <w:color w:val="auto"/>
          <w:kern w:val="0"/>
          <w:sz w:val="22"/>
          <w:szCs w:val="22"/>
        </w:rPr>
        <w:t>日期：年月日</w:t>
      </w:r>
    </w:p>
    <w:p>
      <w:pPr>
        <w:pStyle w:val="25"/>
        <w:spacing w:line="360" w:lineRule="auto"/>
        <w:rPr>
          <w:color w:val="auto"/>
        </w:rPr>
      </w:pPr>
    </w:p>
    <w:p>
      <w:pPr>
        <w:widowControl/>
        <w:adjustRightInd w:val="0"/>
        <w:snapToGrid w:val="0"/>
        <w:spacing w:line="360" w:lineRule="auto"/>
        <w:jc w:val="left"/>
        <w:rPr>
          <w:rFonts w:ascii="宋体" w:hAnsi="宋体"/>
          <w:color w:val="auto"/>
          <w:sz w:val="22"/>
          <w:szCs w:val="22"/>
        </w:rPr>
      </w:pPr>
      <w:r>
        <w:rPr>
          <w:rFonts w:ascii="宋体" w:hAnsi="宋体" w:cs="新宋体"/>
          <w:color w:val="auto"/>
          <w:kern w:val="0"/>
          <w:sz w:val="22"/>
          <w:szCs w:val="22"/>
        </w:rPr>
        <w:br w:type="page"/>
      </w:r>
    </w:p>
    <w:p>
      <w:pPr>
        <w:pStyle w:val="34"/>
        <w:snapToGrid w:val="0"/>
        <w:spacing w:line="360" w:lineRule="auto"/>
        <w:jc w:val="center"/>
        <w:rPr>
          <w:rFonts w:hAnsi="宋体"/>
          <w:b/>
          <w:bCs/>
          <w:color w:val="auto"/>
          <w:sz w:val="22"/>
          <w:szCs w:val="22"/>
        </w:rPr>
      </w:pPr>
      <w:r>
        <w:rPr>
          <w:rFonts w:hint="eastAsia" w:hAnsi="宋体"/>
          <w:b/>
          <w:bCs/>
          <w:color w:val="auto"/>
          <w:sz w:val="22"/>
          <w:szCs w:val="22"/>
        </w:rPr>
        <w:t>（3）诚信投标承诺书</w:t>
      </w:r>
    </w:p>
    <w:p>
      <w:pPr>
        <w:spacing w:line="360" w:lineRule="auto"/>
        <w:ind w:right="-153" w:rightChars="-73"/>
        <w:jc w:val="center"/>
        <w:rPr>
          <w:rFonts w:ascii="宋体" w:hAnsi="宋体"/>
          <w:color w:val="auto"/>
          <w:sz w:val="22"/>
          <w:szCs w:val="22"/>
        </w:rPr>
      </w:pPr>
    </w:p>
    <w:p>
      <w:pPr>
        <w:spacing w:line="360" w:lineRule="auto"/>
        <w:ind w:right="-153" w:rightChars="-73"/>
        <w:rPr>
          <w:rFonts w:ascii="宋体" w:hAnsi="宋体"/>
          <w:color w:val="auto"/>
          <w:sz w:val="22"/>
          <w:szCs w:val="22"/>
        </w:rPr>
      </w:pPr>
      <w:r>
        <w:rPr>
          <w:rFonts w:hint="eastAsia" w:ascii="宋体" w:hAnsi="宋体"/>
          <w:color w:val="auto"/>
          <w:sz w:val="22"/>
          <w:szCs w:val="22"/>
        </w:rPr>
        <w:t>本企业郑重承诺：</w:t>
      </w:r>
    </w:p>
    <w:p>
      <w:pPr>
        <w:spacing w:line="360" w:lineRule="auto"/>
        <w:ind w:firstLine="0" w:firstLineChars="0"/>
        <w:rPr>
          <w:rFonts w:ascii="宋体" w:hAnsi="宋体"/>
          <w:color w:val="auto"/>
          <w:sz w:val="22"/>
          <w:szCs w:val="22"/>
        </w:rPr>
      </w:pPr>
      <w:r>
        <w:rPr>
          <w:rFonts w:hint="eastAsia" w:ascii="宋体" w:hAnsi="宋体"/>
          <w:color w:val="auto"/>
          <w:sz w:val="22"/>
          <w:szCs w:val="22"/>
        </w:rPr>
        <w:t>为了积极配合贵公司组织的</w:t>
      </w:r>
      <w:r>
        <w:rPr>
          <w:rFonts w:hint="eastAsia" w:ascii="宋体" w:hAnsi="宋体"/>
          <w:color w:val="auto"/>
          <w:sz w:val="22"/>
          <w:szCs w:val="22"/>
          <w:u w:val="single"/>
        </w:rPr>
        <w:t xml:space="preserve"> （项目名称） </w:t>
      </w:r>
      <w:r>
        <w:rPr>
          <w:rFonts w:hint="eastAsia" w:ascii="宋体" w:hAnsi="宋体"/>
          <w:color w:val="auto"/>
          <w:sz w:val="22"/>
          <w:szCs w:val="22"/>
        </w:rPr>
        <w:t>招标工作，有效遏制不公平竞争和违规违纪问题的发生，确保招标工作的公平、公正、公开，我们保证认真贯彻</w:t>
      </w:r>
      <w:r>
        <w:rPr>
          <w:rFonts w:hint="eastAsia" w:ascii="宋体" w:hAnsi="宋体" w:cs="Century Gothic"/>
          <w:color w:val="auto"/>
          <w:sz w:val="22"/>
          <w:szCs w:val="22"/>
        </w:rPr>
        <w:t>《中华人民共和国政府采购法》、《中华人民共和国政府采购法实施条例》、《政府采购货物和服务招标投标管理办法》和《关于进一步规范政府采购活动的若干意见》等法律及有关法规</w:t>
      </w:r>
      <w:r>
        <w:rPr>
          <w:rFonts w:hint="eastAsia" w:ascii="宋体" w:hAnsi="宋体"/>
          <w:color w:val="auto"/>
          <w:sz w:val="22"/>
          <w:szCs w:val="22"/>
        </w:rPr>
        <w:t>相关规定以及有关廉洁要求，特承诺如下事项：</w:t>
      </w:r>
    </w:p>
    <w:p>
      <w:pPr>
        <w:numPr>
          <w:ilvl w:val="0"/>
          <w:numId w:val="64"/>
        </w:numPr>
        <w:snapToGrid w:val="0"/>
        <w:spacing w:line="360" w:lineRule="auto"/>
        <w:ind w:left="0" w:firstLine="0"/>
        <w:rPr>
          <w:rFonts w:ascii="宋体" w:hAnsi="宋体"/>
          <w:color w:val="auto"/>
          <w:sz w:val="22"/>
          <w:szCs w:val="22"/>
        </w:rPr>
      </w:pPr>
      <w:r>
        <w:rPr>
          <w:rFonts w:hint="eastAsia" w:ascii="宋体" w:hAnsi="宋体"/>
          <w:color w:val="auto"/>
          <w:sz w:val="22"/>
          <w:szCs w:val="22"/>
        </w:rPr>
        <w:t>自觉遵守国家法律法规及有关廉政建设制度。</w:t>
      </w:r>
    </w:p>
    <w:p>
      <w:pPr>
        <w:numPr>
          <w:ilvl w:val="0"/>
          <w:numId w:val="64"/>
        </w:numPr>
        <w:snapToGrid w:val="0"/>
        <w:spacing w:line="360" w:lineRule="auto"/>
        <w:ind w:left="0" w:firstLine="0"/>
        <w:rPr>
          <w:rFonts w:ascii="宋体" w:hAnsi="宋体"/>
          <w:color w:val="auto"/>
          <w:sz w:val="22"/>
          <w:szCs w:val="22"/>
        </w:rPr>
      </w:pPr>
      <w:r>
        <w:rPr>
          <w:rFonts w:hint="eastAsia" w:ascii="宋体" w:hAnsi="宋体"/>
          <w:color w:val="auto"/>
          <w:sz w:val="22"/>
          <w:szCs w:val="22"/>
        </w:rPr>
        <w:t>主动了解采购人招投标纪律，积极配合采购人执行招投标廉政建设的有关规定。</w:t>
      </w:r>
    </w:p>
    <w:p>
      <w:pPr>
        <w:numPr>
          <w:ilvl w:val="0"/>
          <w:numId w:val="64"/>
        </w:numPr>
        <w:snapToGrid w:val="0"/>
        <w:spacing w:line="360" w:lineRule="auto"/>
        <w:ind w:left="0" w:firstLine="0"/>
        <w:rPr>
          <w:rFonts w:ascii="宋体" w:hAnsi="宋体"/>
          <w:color w:val="auto"/>
          <w:sz w:val="22"/>
          <w:szCs w:val="22"/>
        </w:rPr>
      </w:pPr>
      <w:r>
        <w:rPr>
          <w:rFonts w:hint="eastAsia" w:ascii="宋体" w:hAnsi="宋体"/>
          <w:color w:val="auto"/>
          <w:sz w:val="22"/>
          <w:szCs w:val="22"/>
        </w:rPr>
        <w:t>不使用不正当手段妨碍、排挤其它投标人或串通投标。</w:t>
      </w:r>
    </w:p>
    <w:p>
      <w:pPr>
        <w:numPr>
          <w:ilvl w:val="0"/>
          <w:numId w:val="64"/>
        </w:numPr>
        <w:snapToGrid w:val="0"/>
        <w:spacing w:line="360" w:lineRule="auto"/>
        <w:ind w:left="0" w:firstLine="0"/>
        <w:rPr>
          <w:rFonts w:ascii="宋体" w:hAnsi="宋体"/>
          <w:color w:val="auto"/>
          <w:sz w:val="22"/>
          <w:szCs w:val="22"/>
        </w:rPr>
      </w:pPr>
      <w:r>
        <w:rPr>
          <w:rFonts w:hint="eastAsia" w:ascii="宋体" w:hAnsi="宋体"/>
          <w:color w:val="auto"/>
          <w:sz w:val="22"/>
          <w:szCs w:val="22"/>
        </w:rPr>
        <w:t>按照本招标文件规定的方式进行投标，不隐瞒本单位投标资质的真实情况，投标资质符合规定。</w:t>
      </w:r>
    </w:p>
    <w:p>
      <w:pPr>
        <w:numPr>
          <w:ilvl w:val="0"/>
          <w:numId w:val="64"/>
        </w:numPr>
        <w:snapToGrid w:val="0"/>
        <w:spacing w:line="360" w:lineRule="auto"/>
        <w:ind w:left="0" w:firstLine="0"/>
        <w:rPr>
          <w:rFonts w:ascii="宋体" w:hAnsi="宋体"/>
          <w:color w:val="auto"/>
          <w:sz w:val="22"/>
          <w:szCs w:val="22"/>
        </w:rPr>
      </w:pPr>
      <w:r>
        <w:rPr>
          <w:rFonts w:hint="eastAsia" w:ascii="宋体" w:hAnsi="宋体"/>
          <w:color w:val="auto"/>
          <w:sz w:val="22"/>
          <w:szCs w:val="22"/>
        </w:rPr>
        <w:t>不以任何方式向采购人员赠送礼品、礼金及有价证券；不宴请或邀请采购人的任何人参加高档娱乐消费、旅游、考察、参观等活动；不以任何形式报销采购人的任何人以及亲友的各种票据及费用；不进行可能影响招投标公平、公正的任何活动。</w:t>
      </w:r>
    </w:p>
    <w:p>
      <w:pPr>
        <w:numPr>
          <w:ilvl w:val="0"/>
          <w:numId w:val="64"/>
        </w:numPr>
        <w:snapToGrid w:val="0"/>
        <w:spacing w:line="360" w:lineRule="auto"/>
        <w:ind w:left="0" w:firstLine="0"/>
        <w:rPr>
          <w:rFonts w:ascii="宋体" w:hAnsi="宋体"/>
          <w:color w:val="auto"/>
          <w:sz w:val="22"/>
          <w:szCs w:val="22"/>
        </w:rPr>
      </w:pPr>
      <w:r>
        <w:rPr>
          <w:rFonts w:hint="eastAsia" w:ascii="宋体" w:hAnsi="宋体"/>
          <w:color w:val="auto"/>
          <w:sz w:val="22"/>
          <w:szCs w:val="22"/>
        </w:rPr>
        <w:t>不向采购人及个人购置或提供通讯工具、交通工具和高档办公用品等。</w:t>
      </w:r>
    </w:p>
    <w:p>
      <w:pPr>
        <w:numPr>
          <w:ilvl w:val="0"/>
          <w:numId w:val="64"/>
        </w:numPr>
        <w:snapToGrid w:val="0"/>
        <w:spacing w:line="360" w:lineRule="auto"/>
        <w:ind w:left="0" w:firstLine="0"/>
        <w:rPr>
          <w:rFonts w:ascii="宋体" w:hAnsi="宋体"/>
          <w:color w:val="auto"/>
          <w:sz w:val="22"/>
          <w:szCs w:val="22"/>
        </w:rPr>
      </w:pPr>
      <w:r>
        <w:rPr>
          <w:rFonts w:hint="eastAsia" w:ascii="宋体" w:hAnsi="宋体"/>
          <w:color w:val="auto"/>
          <w:sz w:val="22"/>
          <w:szCs w:val="22"/>
        </w:rPr>
        <w:t>不向采购人涉及招标的人员的配偶、子女分包此次招标项目。</w:t>
      </w:r>
    </w:p>
    <w:p>
      <w:pPr>
        <w:numPr>
          <w:ilvl w:val="0"/>
          <w:numId w:val="64"/>
        </w:numPr>
        <w:snapToGrid w:val="0"/>
        <w:spacing w:line="360" w:lineRule="auto"/>
        <w:ind w:left="0" w:firstLine="0"/>
        <w:rPr>
          <w:rFonts w:ascii="宋体" w:hAnsi="宋体"/>
          <w:color w:val="auto"/>
          <w:sz w:val="22"/>
          <w:szCs w:val="22"/>
        </w:rPr>
      </w:pPr>
      <w:r>
        <w:rPr>
          <w:rFonts w:hint="eastAsia" w:ascii="宋体" w:hAnsi="宋体"/>
          <w:color w:val="auto"/>
          <w:sz w:val="22"/>
          <w:szCs w:val="22"/>
        </w:rPr>
        <w:t>不向采购人及个人支付好处费、介绍费。</w:t>
      </w:r>
    </w:p>
    <w:p>
      <w:pPr>
        <w:numPr>
          <w:ilvl w:val="0"/>
          <w:numId w:val="64"/>
        </w:numPr>
        <w:snapToGrid w:val="0"/>
        <w:spacing w:line="360" w:lineRule="auto"/>
        <w:ind w:left="0" w:firstLine="0"/>
        <w:rPr>
          <w:rFonts w:ascii="宋体" w:hAnsi="宋体"/>
          <w:color w:val="auto"/>
          <w:sz w:val="22"/>
          <w:szCs w:val="22"/>
        </w:rPr>
      </w:pPr>
      <w:r>
        <w:rPr>
          <w:rFonts w:hint="eastAsia" w:ascii="宋体" w:hAnsi="宋体"/>
          <w:color w:val="auto"/>
          <w:sz w:val="22"/>
          <w:szCs w:val="22"/>
        </w:rPr>
        <w:t>一旦发现相关人员在招标过程中的索要财物等不廉洁行为，坚决予以抵制，并及时向有关纪检监察部门举报。</w:t>
      </w:r>
    </w:p>
    <w:p>
      <w:pPr>
        <w:numPr>
          <w:ilvl w:val="0"/>
          <w:numId w:val="64"/>
        </w:numPr>
        <w:snapToGrid w:val="0"/>
        <w:spacing w:line="360" w:lineRule="auto"/>
        <w:ind w:left="0" w:firstLine="0"/>
        <w:rPr>
          <w:rFonts w:ascii="宋体" w:hAnsi="宋体"/>
          <w:color w:val="auto"/>
          <w:sz w:val="22"/>
          <w:szCs w:val="22"/>
        </w:rPr>
      </w:pPr>
      <w:r>
        <w:rPr>
          <w:rFonts w:hint="eastAsia" w:ascii="宋体" w:hAnsi="宋体"/>
          <w:color w:val="auto"/>
          <w:sz w:val="22"/>
          <w:szCs w:val="22"/>
        </w:rPr>
        <w:t>我们若违反上述承诺，愿接受取消投标人资格及其他任何形式的处理。</w:t>
      </w:r>
    </w:p>
    <w:p>
      <w:pPr>
        <w:snapToGrid w:val="0"/>
        <w:spacing w:line="360" w:lineRule="auto"/>
        <w:ind w:firstLine="0" w:firstLineChars="0"/>
        <w:rPr>
          <w:rFonts w:ascii="宋体" w:hAnsi="宋体"/>
          <w:color w:val="auto"/>
          <w:sz w:val="22"/>
          <w:szCs w:val="22"/>
        </w:rPr>
      </w:pPr>
    </w:p>
    <w:p>
      <w:pPr>
        <w:spacing w:line="360" w:lineRule="auto"/>
        <w:rPr>
          <w:rFonts w:ascii="宋体" w:hAnsi="宋体"/>
          <w:color w:val="auto"/>
          <w:sz w:val="22"/>
          <w:szCs w:val="22"/>
        </w:rPr>
      </w:pPr>
      <w:r>
        <w:rPr>
          <w:rFonts w:hint="eastAsia" w:ascii="宋体" w:hAnsi="宋体"/>
          <w:color w:val="auto"/>
          <w:sz w:val="22"/>
          <w:szCs w:val="22"/>
        </w:rPr>
        <w:t>投标人全称（</w:t>
      </w:r>
      <w:r>
        <w:rPr>
          <w:rFonts w:hint="eastAsia" w:ascii="宋体" w:hAnsi="宋体"/>
          <w:color w:val="auto"/>
          <w:sz w:val="22"/>
          <w:szCs w:val="22"/>
          <w:lang w:eastAsia="zh-CN"/>
        </w:rPr>
        <w:t>电子签名/公章</w:t>
      </w:r>
      <w:r>
        <w:rPr>
          <w:rFonts w:hint="eastAsia" w:ascii="宋体" w:hAnsi="宋体"/>
          <w:color w:val="auto"/>
          <w:sz w:val="22"/>
          <w:szCs w:val="22"/>
        </w:rPr>
        <w:t>）：</w:t>
      </w:r>
    </w:p>
    <w:p>
      <w:pPr>
        <w:widowControl/>
        <w:adjustRightInd w:val="0"/>
        <w:snapToGrid w:val="0"/>
        <w:spacing w:line="360" w:lineRule="auto"/>
        <w:ind w:firstLine="0" w:firstLineChars="0"/>
        <w:jc w:val="left"/>
        <w:rPr>
          <w:rFonts w:ascii="宋体" w:cs="Arial"/>
          <w:color w:val="auto"/>
          <w:kern w:val="0"/>
          <w:sz w:val="22"/>
          <w:szCs w:val="22"/>
        </w:rPr>
      </w:pPr>
      <w:r>
        <w:rPr>
          <w:rFonts w:hint="eastAsia" w:ascii="宋体" w:hAnsi="宋体" w:cs="Arial"/>
          <w:color w:val="auto"/>
          <w:kern w:val="0"/>
          <w:sz w:val="22"/>
          <w:szCs w:val="22"/>
        </w:rPr>
        <w:t>法定代表人（负责人）或其授权代表（签字或盖章）：</w:t>
      </w:r>
    </w:p>
    <w:p>
      <w:pPr>
        <w:widowControl/>
        <w:adjustRightInd w:val="0"/>
        <w:snapToGrid w:val="0"/>
        <w:spacing w:line="360" w:lineRule="auto"/>
        <w:ind w:firstLine="0" w:firstLineChars="0"/>
        <w:jc w:val="left"/>
        <w:rPr>
          <w:rFonts w:ascii="宋体" w:cs="Arial"/>
          <w:color w:val="auto"/>
          <w:kern w:val="0"/>
          <w:sz w:val="22"/>
          <w:szCs w:val="22"/>
        </w:rPr>
      </w:pPr>
      <w:r>
        <w:rPr>
          <w:rFonts w:hint="eastAsia" w:ascii="宋体" w:hAnsi="宋体" w:cs="Arial"/>
          <w:color w:val="auto"/>
          <w:kern w:val="0"/>
          <w:sz w:val="22"/>
          <w:szCs w:val="22"/>
        </w:rPr>
        <w:t>日期：年月日</w:t>
      </w:r>
    </w:p>
    <w:p>
      <w:pPr>
        <w:spacing w:line="360" w:lineRule="auto"/>
        <w:rPr>
          <w:rFonts w:ascii="宋体"/>
          <w:b/>
          <w:bCs/>
          <w:color w:val="auto"/>
          <w:sz w:val="22"/>
          <w:szCs w:val="22"/>
        </w:rPr>
      </w:pPr>
      <w:r>
        <w:rPr>
          <w:rFonts w:ascii="宋体"/>
          <w:b/>
          <w:bCs/>
          <w:color w:val="auto"/>
          <w:sz w:val="22"/>
          <w:szCs w:val="22"/>
        </w:rPr>
        <w:br w:type="page"/>
      </w:r>
    </w:p>
    <w:p>
      <w:pPr>
        <w:pStyle w:val="34"/>
        <w:snapToGrid w:val="0"/>
        <w:spacing w:line="360" w:lineRule="auto"/>
        <w:jc w:val="center"/>
        <w:rPr>
          <w:rFonts w:hAnsi="宋体"/>
          <w:b/>
          <w:bCs/>
          <w:color w:val="auto"/>
          <w:sz w:val="22"/>
          <w:szCs w:val="22"/>
        </w:rPr>
      </w:pPr>
      <w:r>
        <w:rPr>
          <w:rFonts w:hint="eastAsia" w:hAnsi="宋体"/>
          <w:b/>
          <w:bCs/>
          <w:color w:val="auto"/>
          <w:sz w:val="22"/>
          <w:szCs w:val="22"/>
        </w:rPr>
        <w:t>（4）联合体协议书</w:t>
      </w:r>
    </w:p>
    <w:p>
      <w:pPr>
        <w:pStyle w:val="25"/>
        <w:spacing w:line="360" w:lineRule="auto"/>
        <w:jc w:val="center"/>
        <w:rPr>
          <w:rFonts w:ascii="宋体" w:hAnsi="宋体"/>
          <w:color w:val="auto"/>
          <w:szCs w:val="21"/>
        </w:rPr>
      </w:pPr>
      <w:r>
        <w:rPr>
          <w:rFonts w:hint="eastAsia" w:ascii="宋体" w:hAnsi="宋体"/>
          <w:color w:val="auto"/>
          <w:szCs w:val="21"/>
        </w:rPr>
        <w:t>（适用于联合体）</w:t>
      </w:r>
    </w:p>
    <w:p>
      <w:pPr>
        <w:pStyle w:val="61"/>
        <w:spacing w:line="360" w:lineRule="auto"/>
        <w:ind w:firstLine="0" w:firstLineChars="0"/>
        <w:rPr>
          <w:color w:val="auto"/>
          <w:sz w:val="22"/>
          <w:szCs w:val="22"/>
        </w:rPr>
      </w:pPr>
    </w:p>
    <w:p>
      <w:pPr>
        <w:widowControl/>
        <w:tabs>
          <w:tab w:val="left" w:pos="482"/>
          <w:tab w:val="left" w:pos="2183"/>
          <w:tab w:val="left" w:pos="3884"/>
          <w:tab w:val="left" w:pos="5585"/>
        </w:tabs>
        <w:adjustRightInd w:val="0"/>
        <w:spacing w:line="360" w:lineRule="auto"/>
        <w:ind w:firstLine="0" w:firstLineChars="0"/>
        <w:jc w:val="left"/>
        <w:textAlignment w:val="baseline"/>
        <w:rPr>
          <w:rFonts w:hint="eastAsia" w:ascii="宋体" w:hAnsi="宋体" w:eastAsia="宋体" w:cs="宋体"/>
          <w:color w:val="auto"/>
          <w:sz w:val="22"/>
          <w:szCs w:val="22"/>
          <w:lang w:eastAsia="zh-CN"/>
        </w:rPr>
      </w:pPr>
      <w:r>
        <w:rPr>
          <w:rFonts w:hint="eastAsia" w:ascii="宋体" w:hAnsi="宋体" w:cs="宋体"/>
          <w:color w:val="auto"/>
          <w:sz w:val="22"/>
          <w:szCs w:val="22"/>
          <w:u w:val="single"/>
        </w:rPr>
        <w:t xml:space="preserve">     （所有成员单位名称）    </w:t>
      </w:r>
      <w:r>
        <w:rPr>
          <w:rFonts w:hint="eastAsia" w:ascii="宋体" w:hAnsi="宋体" w:cs="宋体"/>
          <w:color w:val="auto"/>
          <w:sz w:val="22"/>
          <w:szCs w:val="22"/>
        </w:rPr>
        <w:t>自愿组成联合体，参加</w:t>
      </w:r>
      <w:r>
        <w:rPr>
          <w:rFonts w:hint="eastAsia" w:ascii="宋体" w:hAnsi="宋体" w:cs="宋体"/>
          <w:color w:val="auto"/>
          <w:sz w:val="22"/>
          <w:szCs w:val="22"/>
          <w:u w:val="single"/>
        </w:rPr>
        <w:t xml:space="preserve">      （项目名称）</w:t>
      </w:r>
      <w:r>
        <w:rPr>
          <w:rFonts w:hint="eastAsia" w:ascii="宋体" w:hAnsi="宋体" w:cs="宋体"/>
          <w:color w:val="auto"/>
          <w:sz w:val="22"/>
          <w:szCs w:val="22"/>
        </w:rPr>
        <w:t>投标。现就有关事宜订立协议如下：</w:t>
      </w:r>
    </w:p>
    <w:p>
      <w:pPr>
        <w:widowControl/>
        <w:tabs>
          <w:tab w:val="left" w:pos="482"/>
          <w:tab w:val="left" w:pos="2183"/>
          <w:tab w:val="left" w:pos="3884"/>
          <w:tab w:val="left" w:pos="5585"/>
        </w:tabs>
        <w:adjustRightInd w:val="0"/>
        <w:spacing w:line="360" w:lineRule="auto"/>
        <w:ind w:firstLine="0" w:firstLineChars="0"/>
        <w:jc w:val="left"/>
        <w:textAlignment w:val="baseline"/>
        <w:rPr>
          <w:rFonts w:ascii="宋体" w:hAnsi="宋体" w:cs="宋体"/>
          <w:color w:val="auto"/>
          <w:sz w:val="22"/>
          <w:szCs w:val="22"/>
          <w:u w:val="single"/>
        </w:rPr>
      </w:pPr>
      <w:r>
        <w:rPr>
          <w:rFonts w:hint="eastAsia" w:ascii="宋体" w:hAnsi="宋体" w:cs="宋体"/>
          <w:color w:val="auto"/>
          <w:sz w:val="22"/>
          <w:szCs w:val="22"/>
        </w:rPr>
        <w:t xml:space="preserve">    1．为联合体牵头人，</w:t>
      </w:r>
      <w:r>
        <w:rPr>
          <w:rFonts w:hint="eastAsia" w:ascii="宋体" w:hAnsi="宋体" w:cs="宋体"/>
          <w:color w:val="auto"/>
          <w:sz w:val="22"/>
          <w:szCs w:val="22"/>
          <w:lang w:val="zh-CN" w:bidi="zh-CN"/>
        </w:rPr>
        <w:t>属于</w:t>
      </w:r>
      <w:r>
        <w:rPr>
          <w:rFonts w:hint="eastAsia" w:ascii="宋体" w:hAnsi="宋体" w:cs="宋体"/>
          <w:color w:val="auto"/>
          <w:sz w:val="22"/>
          <w:szCs w:val="22"/>
          <w:u w:val="single"/>
          <w:lang w:val="zh-CN" w:bidi="zh-CN"/>
        </w:rPr>
        <w:t>（</w:t>
      </w:r>
      <w:r>
        <w:rPr>
          <w:rFonts w:hint="eastAsia" w:ascii="宋体" w:hAnsi="宋体" w:cs="宋体"/>
          <w:color w:val="auto"/>
          <w:sz w:val="22"/>
          <w:szCs w:val="22"/>
          <w:u w:val="single"/>
          <w:lang w:bidi="zh-CN"/>
        </w:rPr>
        <w:t>大</w:t>
      </w:r>
      <w:r>
        <w:rPr>
          <w:rFonts w:hint="eastAsia" w:ascii="宋体" w:hAnsi="宋体" w:cs="宋体"/>
          <w:color w:val="auto"/>
          <w:sz w:val="22"/>
          <w:szCs w:val="22"/>
          <w:u w:val="single"/>
          <w:lang w:val="zh-CN" w:bidi="zh-CN"/>
        </w:rPr>
        <w:t>型企业</w:t>
      </w:r>
      <w:r>
        <w:rPr>
          <w:rFonts w:hint="eastAsia" w:ascii="宋体" w:hAnsi="宋体" w:cs="宋体"/>
          <w:color w:val="auto"/>
          <w:sz w:val="22"/>
          <w:szCs w:val="22"/>
          <w:u w:val="single"/>
          <w:lang w:bidi="zh-CN"/>
        </w:rPr>
        <w:t>/</w:t>
      </w:r>
      <w:r>
        <w:rPr>
          <w:rFonts w:hint="eastAsia" w:ascii="宋体" w:hAnsi="宋体" w:cs="宋体"/>
          <w:color w:val="auto"/>
          <w:sz w:val="22"/>
          <w:szCs w:val="22"/>
          <w:u w:val="single"/>
          <w:lang w:val="zh-CN" w:bidi="zh-CN"/>
        </w:rPr>
        <w:t>中型企业</w:t>
      </w:r>
      <w:r>
        <w:rPr>
          <w:rFonts w:hint="eastAsia" w:ascii="宋体" w:hAnsi="宋体" w:cs="宋体"/>
          <w:color w:val="auto"/>
          <w:sz w:val="22"/>
          <w:szCs w:val="22"/>
          <w:u w:val="single"/>
          <w:lang w:bidi="zh-CN"/>
        </w:rPr>
        <w:t>/</w:t>
      </w:r>
      <w:r>
        <w:rPr>
          <w:rFonts w:hint="eastAsia" w:ascii="宋体" w:hAnsi="宋体" w:cs="宋体"/>
          <w:color w:val="auto"/>
          <w:sz w:val="22"/>
          <w:szCs w:val="22"/>
          <w:u w:val="single"/>
          <w:lang w:val="zh-CN" w:bidi="zh-CN"/>
        </w:rPr>
        <w:t>小型企业</w:t>
      </w:r>
      <w:r>
        <w:rPr>
          <w:rFonts w:hint="eastAsia" w:ascii="宋体" w:hAnsi="宋体" w:cs="宋体"/>
          <w:color w:val="auto"/>
          <w:sz w:val="22"/>
          <w:szCs w:val="22"/>
          <w:u w:val="single"/>
          <w:lang w:bidi="zh-CN"/>
        </w:rPr>
        <w:t>/</w:t>
      </w:r>
      <w:r>
        <w:rPr>
          <w:rFonts w:hint="eastAsia" w:ascii="宋体" w:hAnsi="宋体" w:cs="宋体"/>
          <w:color w:val="auto"/>
          <w:sz w:val="22"/>
          <w:szCs w:val="22"/>
          <w:u w:val="single"/>
          <w:lang w:val="zh-CN" w:bidi="zh-CN"/>
        </w:rPr>
        <w:t>微型企业）</w:t>
      </w:r>
      <w:r>
        <w:rPr>
          <w:rFonts w:hint="eastAsia" w:ascii="宋体" w:hAnsi="宋体" w:cs="宋体"/>
          <w:color w:val="auto"/>
          <w:sz w:val="22"/>
          <w:szCs w:val="22"/>
          <w:lang w:val="zh-CN" w:bidi="zh-CN"/>
        </w:rPr>
        <w:t>；</w:t>
      </w:r>
      <w:r>
        <w:rPr>
          <w:rFonts w:hint="eastAsia" w:ascii="宋体" w:hAnsi="宋体" w:cs="宋体"/>
          <w:color w:val="auto"/>
          <w:sz w:val="22"/>
          <w:szCs w:val="22"/>
        </w:rPr>
        <w:t>为联合体成员，</w:t>
      </w:r>
      <w:r>
        <w:rPr>
          <w:rFonts w:hint="eastAsia" w:ascii="宋体" w:hAnsi="宋体" w:cs="宋体"/>
          <w:color w:val="auto"/>
          <w:sz w:val="22"/>
          <w:szCs w:val="22"/>
          <w:lang w:val="zh-CN" w:bidi="zh-CN"/>
        </w:rPr>
        <w:t>属于</w:t>
      </w:r>
      <w:r>
        <w:rPr>
          <w:rFonts w:hint="eastAsia" w:ascii="宋体" w:hAnsi="宋体" w:cs="宋体"/>
          <w:color w:val="auto"/>
          <w:sz w:val="22"/>
          <w:szCs w:val="22"/>
          <w:u w:val="single"/>
          <w:lang w:val="zh-CN" w:bidi="zh-CN"/>
        </w:rPr>
        <w:t>（</w:t>
      </w:r>
      <w:r>
        <w:rPr>
          <w:rFonts w:hint="eastAsia" w:ascii="宋体" w:hAnsi="宋体" w:cs="宋体"/>
          <w:color w:val="auto"/>
          <w:sz w:val="22"/>
          <w:szCs w:val="22"/>
          <w:u w:val="single"/>
          <w:lang w:bidi="zh-CN"/>
        </w:rPr>
        <w:t>大</w:t>
      </w:r>
      <w:r>
        <w:rPr>
          <w:rFonts w:hint="eastAsia" w:ascii="宋体" w:hAnsi="宋体" w:cs="宋体"/>
          <w:color w:val="auto"/>
          <w:sz w:val="22"/>
          <w:szCs w:val="22"/>
          <w:u w:val="single"/>
          <w:lang w:val="zh-CN" w:bidi="zh-CN"/>
        </w:rPr>
        <w:t>型企业</w:t>
      </w:r>
      <w:r>
        <w:rPr>
          <w:rFonts w:hint="eastAsia" w:ascii="宋体" w:hAnsi="宋体" w:cs="宋体"/>
          <w:color w:val="auto"/>
          <w:sz w:val="22"/>
          <w:szCs w:val="22"/>
          <w:u w:val="single"/>
          <w:lang w:bidi="zh-CN"/>
        </w:rPr>
        <w:t>/</w:t>
      </w:r>
      <w:r>
        <w:rPr>
          <w:rFonts w:hint="eastAsia" w:ascii="宋体" w:hAnsi="宋体" w:cs="宋体"/>
          <w:color w:val="auto"/>
          <w:sz w:val="22"/>
          <w:szCs w:val="22"/>
          <w:u w:val="single"/>
          <w:lang w:val="zh-CN" w:bidi="zh-CN"/>
        </w:rPr>
        <w:t>中型企业</w:t>
      </w:r>
      <w:r>
        <w:rPr>
          <w:rFonts w:hint="eastAsia" w:ascii="宋体" w:hAnsi="宋体" w:cs="宋体"/>
          <w:color w:val="auto"/>
          <w:sz w:val="22"/>
          <w:szCs w:val="22"/>
          <w:u w:val="single"/>
          <w:lang w:bidi="zh-CN"/>
        </w:rPr>
        <w:t>/</w:t>
      </w:r>
      <w:r>
        <w:rPr>
          <w:rFonts w:hint="eastAsia" w:ascii="宋体" w:hAnsi="宋体" w:cs="宋体"/>
          <w:color w:val="auto"/>
          <w:sz w:val="22"/>
          <w:szCs w:val="22"/>
          <w:u w:val="single"/>
          <w:lang w:val="zh-CN" w:bidi="zh-CN"/>
        </w:rPr>
        <w:t>小型企业</w:t>
      </w:r>
      <w:r>
        <w:rPr>
          <w:rFonts w:hint="eastAsia" w:ascii="宋体" w:hAnsi="宋体" w:cs="宋体"/>
          <w:color w:val="auto"/>
          <w:sz w:val="22"/>
          <w:szCs w:val="22"/>
          <w:u w:val="single"/>
          <w:lang w:bidi="zh-CN"/>
        </w:rPr>
        <w:t>/</w:t>
      </w:r>
      <w:r>
        <w:rPr>
          <w:rFonts w:hint="eastAsia" w:ascii="宋体" w:hAnsi="宋体" w:cs="宋体"/>
          <w:color w:val="auto"/>
          <w:sz w:val="22"/>
          <w:szCs w:val="22"/>
          <w:u w:val="single"/>
          <w:lang w:val="zh-CN" w:bidi="zh-CN"/>
        </w:rPr>
        <w:t>微型企业）</w:t>
      </w:r>
      <w:r>
        <w:rPr>
          <w:rFonts w:hint="eastAsia" w:ascii="宋体" w:hAnsi="宋体" w:cs="宋体"/>
          <w:color w:val="auto"/>
          <w:sz w:val="22"/>
          <w:szCs w:val="22"/>
        </w:rPr>
        <w:t>；</w:t>
      </w:r>
    </w:p>
    <w:p>
      <w:pPr>
        <w:widowControl/>
        <w:tabs>
          <w:tab w:val="left" w:pos="482"/>
          <w:tab w:val="left" w:pos="2183"/>
          <w:tab w:val="left" w:pos="3884"/>
          <w:tab w:val="left" w:pos="5585"/>
        </w:tabs>
        <w:adjustRightInd w:val="0"/>
        <w:spacing w:line="360" w:lineRule="auto"/>
        <w:ind w:firstLine="0" w:firstLineChars="0"/>
        <w:jc w:val="left"/>
        <w:textAlignment w:val="baseline"/>
        <w:rPr>
          <w:rFonts w:ascii="宋体" w:hAnsi="宋体" w:cs="宋体"/>
          <w:color w:val="auto"/>
          <w:sz w:val="22"/>
          <w:szCs w:val="22"/>
        </w:rPr>
      </w:pPr>
      <w:r>
        <w:rPr>
          <w:rFonts w:hint="eastAsia" w:ascii="宋体" w:hAnsi="宋体" w:cs="宋体"/>
          <w:color w:val="auto"/>
          <w:sz w:val="22"/>
          <w:szCs w:val="22"/>
        </w:rPr>
        <w:t>2．联合体内部有关事项规定如下：</w:t>
      </w:r>
    </w:p>
    <w:p>
      <w:pPr>
        <w:widowControl/>
        <w:tabs>
          <w:tab w:val="left" w:pos="482"/>
          <w:tab w:val="left" w:pos="2183"/>
          <w:tab w:val="left" w:pos="3884"/>
          <w:tab w:val="left" w:pos="5585"/>
        </w:tabs>
        <w:adjustRightInd w:val="0"/>
        <w:spacing w:line="360" w:lineRule="auto"/>
        <w:ind w:firstLine="0" w:firstLineChars="0"/>
        <w:jc w:val="left"/>
        <w:textAlignment w:val="baseline"/>
        <w:rPr>
          <w:rFonts w:ascii="宋体" w:hAnsi="宋体" w:cs="宋体"/>
          <w:color w:val="auto"/>
          <w:sz w:val="22"/>
          <w:szCs w:val="22"/>
        </w:rPr>
      </w:pPr>
      <w:r>
        <w:rPr>
          <w:rFonts w:hint="eastAsia" w:ascii="宋体" w:hAnsi="宋体" w:cs="宋体"/>
          <w:color w:val="auto"/>
          <w:sz w:val="22"/>
          <w:szCs w:val="22"/>
        </w:rPr>
        <w:t>（1）联合体由牵头人负责与业主联系；</w:t>
      </w:r>
    </w:p>
    <w:p>
      <w:pPr>
        <w:widowControl/>
        <w:tabs>
          <w:tab w:val="left" w:pos="482"/>
          <w:tab w:val="left" w:pos="2183"/>
          <w:tab w:val="left" w:pos="3884"/>
          <w:tab w:val="left" w:pos="5585"/>
        </w:tabs>
        <w:adjustRightInd w:val="0"/>
        <w:spacing w:line="360" w:lineRule="auto"/>
        <w:ind w:firstLine="0" w:firstLineChars="0"/>
        <w:jc w:val="left"/>
        <w:textAlignment w:val="baseline"/>
        <w:rPr>
          <w:rFonts w:ascii="宋体" w:hAnsi="宋体" w:cs="宋体"/>
          <w:color w:val="auto"/>
          <w:sz w:val="22"/>
          <w:szCs w:val="22"/>
        </w:rPr>
      </w:pPr>
      <w:r>
        <w:rPr>
          <w:rFonts w:hint="eastAsia" w:ascii="宋体" w:hAnsi="宋体" w:cs="宋体"/>
          <w:color w:val="auto"/>
          <w:sz w:val="22"/>
          <w:szCs w:val="22"/>
        </w:rPr>
        <w:t>（2）投标工作由联合体牵头人负责，由双方组成的投标小组具体实施；联合体牵头人负责对投标文件进行签字或盖章；</w:t>
      </w:r>
    </w:p>
    <w:p>
      <w:pPr>
        <w:widowControl/>
        <w:tabs>
          <w:tab w:val="left" w:pos="482"/>
          <w:tab w:val="left" w:pos="2183"/>
          <w:tab w:val="left" w:pos="3884"/>
          <w:tab w:val="left" w:pos="5585"/>
        </w:tabs>
        <w:adjustRightInd w:val="0"/>
        <w:spacing w:line="360" w:lineRule="auto"/>
        <w:ind w:firstLine="0" w:firstLineChars="0"/>
        <w:jc w:val="left"/>
        <w:textAlignment w:val="baseline"/>
        <w:rPr>
          <w:rFonts w:ascii="宋体" w:hAnsi="宋体" w:cs="宋体"/>
          <w:color w:val="auto"/>
          <w:sz w:val="22"/>
          <w:szCs w:val="22"/>
        </w:rPr>
      </w:pPr>
      <w:r>
        <w:rPr>
          <w:rFonts w:hint="eastAsia" w:ascii="宋体" w:hAnsi="宋体" w:cs="宋体"/>
          <w:color w:val="auto"/>
          <w:sz w:val="22"/>
          <w:szCs w:val="22"/>
        </w:rPr>
        <w:t>（3）联合体将严格按照招标文件的各项要求，递交投标文件，切实执行一切合同文件，共同承担合同规定的一切义务和责任，同时按照内部职责的划分，承担自身所负的责任和风险；</w:t>
      </w:r>
    </w:p>
    <w:p>
      <w:pPr>
        <w:widowControl/>
        <w:tabs>
          <w:tab w:val="left" w:pos="482"/>
          <w:tab w:val="left" w:pos="2183"/>
          <w:tab w:val="left" w:pos="3884"/>
          <w:tab w:val="left" w:pos="5585"/>
        </w:tabs>
        <w:adjustRightInd w:val="0"/>
        <w:spacing w:line="360" w:lineRule="auto"/>
        <w:ind w:firstLine="0" w:firstLineChars="0"/>
        <w:jc w:val="left"/>
        <w:textAlignment w:val="baseline"/>
        <w:rPr>
          <w:rFonts w:ascii="宋体" w:hAnsi="宋体" w:cs="宋体"/>
          <w:color w:val="auto"/>
          <w:sz w:val="22"/>
          <w:szCs w:val="22"/>
          <w:u w:val="single"/>
        </w:rPr>
      </w:pPr>
      <w:r>
        <w:rPr>
          <w:rFonts w:hint="eastAsia" w:ascii="宋体" w:hAnsi="宋体" w:cs="宋体"/>
          <w:color w:val="auto"/>
          <w:sz w:val="22"/>
          <w:szCs w:val="22"/>
        </w:rPr>
        <w:t>（4）联合体各成员单位内部的职责分工如下：</w:t>
      </w:r>
    </w:p>
    <w:p>
      <w:pPr>
        <w:widowControl/>
        <w:tabs>
          <w:tab w:val="left" w:pos="482"/>
          <w:tab w:val="left" w:pos="2183"/>
          <w:tab w:val="left" w:pos="3884"/>
          <w:tab w:val="left" w:pos="5585"/>
        </w:tabs>
        <w:adjustRightInd w:val="0"/>
        <w:spacing w:line="360" w:lineRule="auto"/>
        <w:ind w:firstLine="0" w:firstLineChars="0"/>
        <w:jc w:val="left"/>
        <w:textAlignment w:val="baseline"/>
        <w:rPr>
          <w:rFonts w:ascii="宋体" w:hAnsi="宋体" w:cs="宋体"/>
          <w:color w:val="auto"/>
          <w:sz w:val="22"/>
          <w:szCs w:val="22"/>
        </w:rPr>
      </w:pPr>
      <w:r>
        <w:rPr>
          <w:rFonts w:hint="eastAsia" w:ascii="宋体" w:hAnsi="宋体" w:cs="宋体"/>
          <w:color w:val="auto"/>
          <w:sz w:val="22"/>
          <w:szCs w:val="22"/>
        </w:rPr>
        <w:t>（5）联合体各成员约定</w:t>
      </w:r>
      <w:r>
        <w:rPr>
          <w:rFonts w:hint="eastAsia" w:ascii="宋体" w:hAnsi="宋体" w:cs="宋体"/>
          <w:color w:val="auto"/>
          <w:sz w:val="22"/>
          <w:szCs w:val="22"/>
          <w:u w:val="single"/>
        </w:rPr>
        <w:t xml:space="preserve">     （联合体成员）      </w:t>
      </w:r>
      <w:r>
        <w:rPr>
          <w:rFonts w:hint="eastAsia" w:ascii="宋体" w:hAnsi="宋体" w:cs="宋体"/>
          <w:color w:val="auto"/>
          <w:sz w:val="22"/>
          <w:szCs w:val="22"/>
        </w:rPr>
        <w:t>的</w:t>
      </w:r>
      <w:r>
        <w:rPr>
          <w:rFonts w:hint="eastAsia"/>
          <w:color w:val="auto"/>
          <w:sz w:val="22"/>
          <w:szCs w:val="22"/>
          <w:lang w:val="zh-CN"/>
        </w:rPr>
        <w:t>合同份额占到合同总金额</w:t>
      </w:r>
      <w:r>
        <w:rPr>
          <w:rFonts w:hint="eastAsia"/>
          <w:color w:val="auto"/>
          <w:sz w:val="22"/>
          <w:szCs w:val="22"/>
        </w:rPr>
        <w:t>的</w:t>
      </w:r>
      <w:r>
        <w:rPr>
          <w:rFonts w:hint="eastAsia"/>
          <w:color w:val="auto"/>
          <w:sz w:val="22"/>
          <w:szCs w:val="22"/>
          <w:lang w:val="zh-CN"/>
        </w:rPr>
        <w:t>%；</w:t>
      </w:r>
    </w:p>
    <w:p>
      <w:pPr>
        <w:widowControl/>
        <w:tabs>
          <w:tab w:val="left" w:pos="482"/>
          <w:tab w:val="left" w:pos="2183"/>
          <w:tab w:val="left" w:pos="3884"/>
          <w:tab w:val="left" w:pos="5585"/>
        </w:tabs>
        <w:adjustRightInd w:val="0"/>
        <w:spacing w:line="360" w:lineRule="auto"/>
        <w:ind w:firstLine="0" w:firstLineChars="0"/>
        <w:jc w:val="left"/>
        <w:textAlignment w:val="baseline"/>
        <w:rPr>
          <w:rFonts w:ascii="宋体" w:hAnsi="宋体" w:cs="宋体"/>
          <w:color w:val="auto"/>
          <w:sz w:val="22"/>
          <w:szCs w:val="22"/>
          <w:u w:val="single"/>
        </w:rPr>
      </w:pPr>
      <w:r>
        <w:rPr>
          <w:rFonts w:hint="eastAsia" w:ascii="宋体" w:hAnsi="宋体" w:cs="宋体"/>
          <w:color w:val="auto"/>
          <w:sz w:val="22"/>
          <w:szCs w:val="22"/>
        </w:rPr>
        <w:t>（6）投标工作和联合体在中标后工程实施过程中的有关费用按各自承担的工作量分摊。</w:t>
      </w:r>
    </w:p>
    <w:p>
      <w:pPr>
        <w:widowControl/>
        <w:tabs>
          <w:tab w:val="left" w:pos="482"/>
          <w:tab w:val="left" w:pos="2183"/>
          <w:tab w:val="left" w:pos="3884"/>
          <w:tab w:val="left" w:pos="5585"/>
        </w:tabs>
        <w:adjustRightInd w:val="0"/>
        <w:spacing w:line="360" w:lineRule="auto"/>
        <w:ind w:firstLine="0" w:firstLineChars="0"/>
        <w:jc w:val="left"/>
        <w:textAlignment w:val="baseline"/>
        <w:rPr>
          <w:rFonts w:ascii="宋体" w:hAnsi="宋体" w:cs="宋体"/>
          <w:color w:val="auto"/>
          <w:sz w:val="22"/>
          <w:szCs w:val="22"/>
        </w:rPr>
      </w:pPr>
      <w:r>
        <w:rPr>
          <w:rFonts w:hint="eastAsia" w:ascii="宋体" w:hAnsi="宋体" w:cs="宋体"/>
          <w:color w:val="auto"/>
          <w:sz w:val="22"/>
          <w:szCs w:val="22"/>
        </w:rPr>
        <w:t>3．本协议书自签署之日起生效，合同履行完毕后自动失效。</w:t>
      </w:r>
    </w:p>
    <w:p>
      <w:pPr>
        <w:widowControl/>
        <w:tabs>
          <w:tab w:val="left" w:pos="482"/>
          <w:tab w:val="left" w:pos="2183"/>
          <w:tab w:val="left" w:pos="3884"/>
          <w:tab w:val="left" w:pos="5585"/>
        </w:tabs>
        <w:adjustRightInd w:val="0"/>
        <w:spacing w:line="360" w:lineRule="auto"/>
        <w:ind w:firstLine="0" w:firstLineChars="0"/>
        <w:jc w:val="left"/>
        <w:textAlignment w:val="baseline"/>
        <w:rPr>
          <w:rFonts w:ascii="宋体" w:hAnsi="宋体" w:cs="宋体"/>
          <w:color w:val="auto"/>
          <w:sz w:val="22"/>
          <w:szCs w:val="22"/>
        </w:rPr>
      </w:pPr>
    </w:p>
    <w:p>
      <w:pPr>
        <w:widowControl/>
        <w:tabs>
          <w:tab w:val="left" w:pos="482"/>
          <w:tab w:val="left" w:pos="2183"/>
          <w:tab w:val="left" w:pos="3884"/>
          <w:tab w:val="left" w:pos="5585"/>
        </w:tabs>
        <w:spacing w:before="100" w:beforeAutospacing="1" w:after="100" w:afterAutospacing="1" w:line="360" w:lineRule="auto"/>
        <w:ind w:firstLine="0" w:firstLineChars="0"/>
        <w:jc w:val="left"/>
        <w:rPr>
          <w:rFonts w:ascii="宋体" w:hAnsi="宋体" w:cs="宋体"/>
          <w:color w:val="auto"/>
          <w:sz w:val="22"/>
          <w:szCs w:val="22"/>
        </w:rPr>
      </w:pPr>
      <w:r>
        <w:rPr>
          <w:rFonts w:hint="eastAsia" w:ascii="宋体" w:hAnsi="宋体" w:cs="宋体"/>
          <w:color w:val="auto"/>
          <w:sz w:val="22"/>
          <w:szCs w:val="22"/>
        </w:rPr>
        <w:t xml:space="preserve">联合体牵头人名称（盖章）：       </w:t>
      </w:r>
    </w:p>
    <w:p>
      <w:pPr>
        <w:widowControl/>
        <w:tabs>
          <w:tab w:val="left" w:pos="482"/>
          <w:tab w:val="left" w:pos="2183"/>
          <w:tab w:val="left" w:pos="3884"/>
          <w:tab w:val="left" w:pos="5585"/>
        </w:tabs>
        <w:spacing w:before="100" w:beforeAutospacing="1" w:after="100" w:afterAutospacing="1" w:line="360" w:lineRule="auto"/>
        <w:ind w:firstLine="0" w:firstLineChars="0"/>
        <w:jc w:val="left"/>
        <w:rPr>
          <w:rFonts w:ascii="宋体" w:hAnsi="宋体" w:cs="宋体"/>
          <w:color w:val="auto"/>
          <w:sz w:val="22"/>
          <w:szCs w:val="22"/>
        </w:rPr>
      </w:pPr>
      <w:r>
        <w:rPr>
          <w:rFonts w:hint="eastAsia" w:ascii="宋体" w:hAnsi="宋体" w:cs="宋体"/>
          <w:color w:val="auto"/>
          <w:sz w:val="22"/>
          <w:szCs w:val="22"/>
        </w:rPr>
        <w:t>法定代表人（签字或盖章）</w:t>
      </w:r>
    </w:p>
    <w:p>
      <w:pPr>
        <w:widowControl/>
        <w:tabs>
          <w:tab w:val="left" w:pos="482"/>
          <w:tab w:val="left" w:pos="2183"/>
          <w:tab w:val="left" w:pos="3884"/>
          <w:tab w:val="left" w:pos="5585"/>
        </w:tabs>
        <w:spacing w:before="100" w:beforeAutospacing="1" w:after="100" w:afterAutospacing="1" w:line="360" w:lineRule="auto"/>
        <w:jc w:val="left"/>
        <w:rPr>
          <w:rFonts w:ascii="宋体" w:hAnsi="宋体" w:cs="宋体"/>
          <w:color w:val="auto"/>
          <w:sz w:val="22"/>
          <w:szCs w:val="22"/>
        </w:rPr>
      </w:pPr>
    </w:p>
    <w:p>
      <w:pPr>
        <w:tabs>
          <w:tab w:val="left" w:pos="482"/>
          <w:tab w:val="left" w:pos="2183"/>
          <w:tab w:val="left" w:pos="3884"/>
          <w:tab w:val="left" w:pos="5585"/>
        </w:tabs>
        <w:spacing w:line="360" w:lineRule="auto"/>
        <w:ind w:firstLine="0" w:firstLineChars="0"/>
        <w:jc w:val="left"/>
        <w:rPr>
          <w:rFonts w:ascii="宋体" w:hAnsi="宋体" w:cs="宋体"/>
          <w:color w:val="auto"/>
          <w:sz w:val="22"/>
          <w:szCs w:val="22"/>
        </w:rPr>
      </w:pPr>
      <w:r>
        <w:rPr>
          <w:rFonts w:hint="eastAsia" w:ascii="宋体" w:hAnsi="宋体" w:cs="宋体"/>
          <w:color w:val="auto"/>
          <w:sz w:val="22"/>
          <w:szCs w:val="22"/>
        </w:rPr>
        <w:t>联合体成员名称（盖章）：</w:t>
      </w:r>
    </w:p>
    <w:p>
      <w:pPr>
        <w:tabs>
          <w:tab w:val="left" w:pos="482"/>
          <w:tab w:val="left" w:pos="2183"/>
          <w:tab w:val="left" w:pos="3884"/>
          <w:tab w:val="left" w:pos="5585"/>
        </w:tabs>
        <w:spacing w:line="360" w:lineRule="auto"/>
        <w:ind w:firstLine="0" w:firstLineChars="0"/>
        <w:jc w:val="left"/>
        <w:rPr>
          <w:rFonts w:ascii="宋体" w:hAnsi="宋体" w:cs="宋体"/>
          <w:color w:val="auto"/>
          <w:sz w:val="22"/>
          <w:szCs w:val="22"/>
        </w:rPr>
      </w:pPr>
    </w:p>
    <w:p>
      <w:pPr>
        <w:tabs>
          <w:tab w:val="left" w:pos="482"/>
          <w:tab w:val="left" w:pos="2183"/>
          <w:tab w:val="left" w:pos="3884"/>
          <w:tab w:val="left" w:pos="5585"/>
        </w:tabs>
        <w:spacing w:line="360" w:lineRule="auto"/>
        <w:jc w:val="left"/>
        <w:rPr>
          <w:rFonts w:ascii="宋体" w:hAnsi="宋体" w:cs="宋体"/>
          <w:color w:val="auto"/>
          <w:sz w:val="22"/>
          <w:szCs w:val="22"/>
        </w:rPr>
      </w:pPr>
      <w:r>
        <w:rPr>
          <w:rFonts w:hint="eastAsia" w:ascii="宋体" w:hAnsi="宋体" w:cs="宋体"/>
          <w:color w:val="auto"/>
          <w:sz w:val="22"/>
          <w:szCs w:val="22"/>
        </w:rPr>
        <w:t>法定代表人（签字或盖章）</w:t>
      </w:r>
    </w:p>
    <w:p>
      <w:pPr>
        <w:tabs>
          <w:tab w:val="left" w:pos="482"/>
          <w:tab w:val="left" w:pos="2183"/>
          <w:tab w:val="left" w:pos="3884"/>
          <w:tab w:val="left" w:pos="5585"/>
        </w:tabs>
        <w:spacing w:line="360" w:lineRule="auto"/>
        <w:jc w:val="left"/>
        <w:rPr>
          <w:rFonts w:ascii="宋体" w:hAnsi="宋体" w:cs="宋体"/>
          <w:color w:val="auto"/>
          <w:sz w:val="22"/>
          <w:szCs w:val="22"/>
        </w:rPr>
      </w:pPr>
    </w:p>
    <w:p>
      <w:pPr>
        <w:widowControl/>
        <w:tabs>
          <w:tab w:val="left" w:pos="482"/>
          <w:tab w:val="left" w:pos="2183"/>
          <w:tab w:val="left" w:pos="3884"/>
          <w:tab w:val="left" w:pos="5585"/>
        </w:tabs>
        <w:wordWrap w:val="0"/>
        <w:autoSpaceDE w:val="0"/>
        <w:autoSpaceDN w:val="0"/>
        <w:spacing w:line="360" w:lineRule="auto"/>
        <w:ind w:left="262"/>
        <w:jc w:val="right"/>
        <w:rPr>
          <w:rFonts w:ascii="宋体" w:hAnsi="宋体" w:cs="宋体"/>
          <w:color w:val="auto"/>
          <w:sz w:val="22"/>
          <w:szCs w:val="22"/>
        </w:rPr>
      </w:pPr>
    </w:p>
    <w:p>
      <w:pPr>
        <w:widowControl/>
        <w:tabs>
          <w:tab w:val="left" w:pos="482"/>
          <w:tab w:val="left" w:pos="2183"/>
          <w:tab w:val="left" w:pos="3884"/>
          <w:tab w:val="left" w:pos="5585"/>
        </w:tabs>
        <w:wordWrap w:val="0"/>
        <w:autoSpaceDE w:val="0"/>
        <w:autoSpaceDN w:val="0"/>
        <w:spacing w:line="360" w:lineRule="auto"/>
        <w:ind w:left="262"/>
        <w:jc w:val="right"/>
        <w:rPr>
          <w:rFonts w:ascii="宋体" w:hAnsi="宋体"/>
          <w:color w:val="auto"/>
          <w:sz w:val="22"/>
          <w:szCs w:val="22"/>
        </w:rPr>
      </w:pPr>
      <w:r>
        <w:rPr>
          <w:rFonts w:hint="eastAsia" w:ascii="宋体" w:hAnsi="宋体" w:cs="宋体"/>
          <w:color w:val="auto"/>
          <w:sz w:val="22"/>
          <w:szCs w:val="22"/>
        </w:rPr>
        <w:t>年    月    日</w:t>
      </w:r>
    </w:p>
    <w:p>
      <w:pPr>
        <w:pStyle w:val="7"/>
        <w:spacing w:line="360" w:lineRule="auto"/>
        <w:rPr>
          <w:color w:val="auto"/>
          <w:sz w:val="22"/>
          <w:szCs w:val="22"/>
        </w:rPr>
      </w:pPr>
    </w:p>
    <w:p>
      <w:pPr>
        <w:spacing w:line="360" w:lineRule="auto"/>
        <w:rPr>
          <w:rFonts w:ascii="宋体"/>
          <w:b/>
          <w:bCs/>
          <w:color w:val="auto"/>
          <w:sz w:val="22"/>
          <w:szCs w:val="22"/>
        </w:rPr>
      </w:pPr>
    </w:p>
    <w:p>
      <w:pPr>
        <w:spacing w:line="360" w:lineRule="auto"/>
        <w:rPr>
          <w:rFonts w:ascii="宋体"/>
          <w:b/>
          <w:bCs/>
          <w:color w:val="auto"/>
          <w:sz w:val="22"/>
          <w:szCs w:val="22"/>
        </w:rPr>
      </w:pPr>
      <w:r>
        <w:rPr>
          <w:rFonts w:ascii="宋体"/>
          <w:b/>
          <w:bCs/>
          <w:color w:val="auto"/>
          <w:sz w:val="22"/>
          <w:szCs w:val="22"/>
        </w:rPr>
        <w:br w:type="page"/>
      </w:r>
    </w:p>
    <w:p>
      <w:pPr>
        <w:pStyle w:val="25"/>
        <w:spacing w:line="360" w:lineRule="auto"/>
        <w:rPr>
          <w:color w:val="auto"/>
        </w:rPr>
      </w:pPr>
    </w:p>
    <w:p>
      <w:pPr>
        <w:spacing w:line="360" w:lineRule="auto"/>
        <w:jc w:val="center"/>
        <w:rPr>
          <w:rFonts w:ascii="宋体" w:hAnsi="宋体"/>
          <w:b/>
          <w:bCs/>
          <w:color w:val="auto"/>
          <w:sz w:val="28"/>
          <w:szCs w:val="28"/>
        </w:rPr>
      </w:pPr>
    </w:p>
    <w:p>
      <w:pPr>
        <w:spacing w:line="360" w:lineRule="auto"/>
        <w:rPr>
          <w:rFonts w:ascii="宋体" w:hAnsi="宋体"/>
          <w:b/>
          <w:bCs/>
          <w:color w:val="auto"/>
          <w:sz w:val="22"/>
          <w:szCs w:val="22"/>
        </w:rPr>
      </w:pPr>
      <w:r>
        <w:rPr>
          <w:rFonts w:hint="eastAsia" w:ascii="宋体" w:hAnsi="宋体"/>
          <w:b/>
          <w:bCs/>
          <w:color w:val="auto"/>
          <w:sz w:val="22"/>
          <w:szCs w:val="22"/>
        </w:rPr>
        <w:t xml:space="preserve">附件二 </w:t>
      </w:r>
    </w:p>
    <w:p>
      <w:pPr>
        <w:spacing w:line="360" w:lineRule="auto"/>
        <w:jc w:val="center"/>
        <w:rPr>
          <w:rFonts w:ascii="宋体" w:hAnsi="宋体"/>
          <w:b/>
          <w:bCs/>
          <w:color w:val="auto"/>
          <w:sz w:val="28"/>
          <w:szCs w:val="28"/>
        </w:rPr>
      </w:pPr>
      <w:r>
        <w:rPr>
          <w:rFonts w:hint="eastAsia" w:ascii="宋体" w:hAnsi="宋体"/>
          <w:b/>
          <w:bCs/>
          <w:color w:val="auto"/>
          <w:sz w:val="28"/>
          <w:szCs w:val="28"/>
        </w:rPr>
        <w:t>（1）开标一览表</w:t>
      </w:r>
    </w:p>
    <w:p>
      <w:pPr>
        <w:spacing w:line="360" w:lineRule="auto"/>
        <w:jc w:val="center"/>
        <w:rPr>
          <w:rFonts w:ascii="宋体" w:hAnsi="宋体"/>
          <w:b/>
          <w:bCs/>
          <w:color w:val="auto"/>
          <w:sz w:val="28"/>
        </w:rPr>
      </w:pPr>
    </w:p>
    <w:p>
      <w:pPr>
        <w:spacing w:line="360" w:lineRule="auto"/>
        <w:ind w:right="349" w:rightChars="166"/>
        <w:rPr>
          <w:rFonts w:ascii="宋体" w:hAnsi="宋体"/>
          <w:b/>
          <w:color w:val="auto"/>
          <w:sz w:val="22"/>
        </w:rPr>
      </w:pPr>
      <w:r>
        <w:rPr>
          <w:rFonts w:hint="eastAsia" w:ascii="宋体" w:hAnsi="宋体"/>
          <w:b/>
          <w:color w:val="auto"/>
          <w:sz w:val="22"/>
        </w:rPr>
        <w:t xml:space="preserve">                                                             单位：人民币元</w:t>
      </w:r>
    </w:p>
    <w:tbl>
      <w:tblPr>
        <w:tblStyle w:val="63"/>
        <w:tblW w:w="9468"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10"/>
        <w:gridCol w:w="2298"/>
        <w:gridCol w:w="2017"/>
        <w:gridCol w:w="444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38" w:hRule="exact"/>
        </w:trPr>
        <w:tc>
          <w:tcPr>
            <w:tcW w:w="710" w:type="dxa"/>
            <w:vAlign w:val="center"/>
          </w:tcPr>
          <w:p>
            <w:pPr>
              <w:spacing w:line="360" w:lineRule="auto"/>
              <w:jc w:val="center"/>
              <w:rPr>
                <w:rFonts w:ascii="宋体" w:hAnsi="宋体" w:cs="Arial"/>
                <w:b/>
                <w:snapToGrid w:val="0"/>
                <w:color w:val="auto"/>
                <w:kern w:val="0"/>
                <w:sz w:val="22"/>
                <w:szCs w:val="22"/>
              </w:rPr>
            </w:pPr>
            <w:r>
              <w:rPr>
                <w:rFonts w:ascii="宋体" w:hAnsi="宋体" w:cs="Arial"/>
                <w:b/>
                <w:snapToGrid w:val="0"/>
                <w:color w:val="auto"/>
                <w:kern w:val="0"/>
                <w:sz w:val="22"/>
                <w:szCs w:val="22"/>
              </w:rPr>
              <w:t>序号</w:t>
            </w:r>
          </w:p>
        </w:tc>
        <w:tc>
          <w:tcPr>
            <w:tcW w:w="4315" w:type="dxa"/>
            <w:gridSpan w:val="2"/>
            <w:vAlign w:val="center"/>
          </w:tcPr>
          <w:p>
            <w:pPr>
              <w:spacing w:line="360" w:lineRule="auto"/>
              <w:jc w:val="center"/>
              <w:rPr>
                <w:rFonts w:ascii="宋体" w:hAnsi="宋体" w:cs="Arial"/>
                <w:b/>
                <w:snapToGrid w:val="0"/>
                <w:color w:val="auto"/>
                <w:kern w:val="0"/>
                <w:sz w:val="22"/>
                <w:szCs w:val="22"/>
              </w:rPr>
            </w:pPr>
            <w:r>
              <w:rPr>
                <w:rFonts w:hint="eastAsia" w:ascii="宋体" w:hAnsi="宋体" w:cs="Arial"/>
                <w:b/>
                <w:snapToGrid w:val="0"/>
                <w:color w:val="auto"/>
                <w:kern w:val="0"/>
                <w:sz w:val="22"/>
                <w:szCs w:val="22"/>
              </w:rPr>
              <w:t>项目</w:t>
            </w:r>
            <w:r>
              <w:rPr>
                <w:rFonts w:ascii="宋体" w:hAnsi="宋体" w:cs="Arial"/>
                <w:b/>
                <w:snapToGrid w:val="0"/>
                <w:color w:val="auto"/>
                <w:kern w:val="0"/>
                <w:sz w:val="22"/>
                <w:szCs w:val="22"/>
              </w:rPr>
              <w:t>名称</w:t>
            </w:r>
          </w:p>
        </w:tc>
        <w:tc>
          <w:tcPr>
            <w:tcW w:w="4443" w:type="dxa"/>
            <w:vAlign w:val="center"/>
          </w:tcPr>
          <w:p>
            <w:pPr>
              <w:spacing w:line="360" w:lineRule="auto"/>
              <w:jc w:val="center"/>
              <w:rPr>
                <w:rFonts w:ascii="宋体" w:hAnsi="宋体" w:cs="Arial"/>
                <w:b/>
                <w:snapToGrid w:val="0"/>
                <w:color w:val="auto"/>
                <w:kern w:val="0"/>
                <w:sz w:val="22"/>
                <w:szCs w:val="22"/>
              </w:rPr>
            </w:pPr>
            <w:r>
              <w:rPr>
                <w:rFonts w:hint="eastAsia" w:ascii="宋体" w:hAnsi="宋体" w:cs="Arial"/>
                <w:b/>
                <w:snapToGrid w:val="0"/>
                <w:color w:val="auto"/>
                <w:kern w:val="0"/>
                <w:sz w:val="22"/>
                <w:szCs w:val="22"/>
              </w:rPr>
              <w:t>项目负责人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10" w:type="dxa"/>
            <w:vAlign w:val="center"/>
          </w:tcPr>
          <w:p>
            <w:pPr>
              <w:spacing w:line="360" w:lineRule="auto"/>
              <w:jc w:val="center"/>
              <w:rPr>
                <w:rFonts w:ascii="宋体" w:hAnsi="宋体" w:cs="Arial"/>
                <w:b/>
                <w:snapToGrid w:val="0"/>
                <w:color w:val="auto"/>
                <w:kern w:val="0"/>
                <w:sz w:val="22"/>
                <w:szCs w:val="22"/>
              </w:rPr>
            </w:pPr>
            <w:r>
              <w:rPr>
                <w:rFonts w:ascii="宋体" w:hAnsi="宋体" w:cs="Arial"/>
                <w:b/>
                <w:snapToGrid w:val="0"/>
                <w:color w:val="auto"/>
                <w:kern w:val="0"/>
                <w:sz w:val="22"/>
                <w:szCs w:val="22"/>
              </w:rPr>
              <w:t>1</w:t>
            </w:r>
          </w:p>
        </w:tc>
        <w:tc>
          <w:tcPr>
            <w:tcW w:w="4315" w:type="dxa"/>
            <w:gridSpan w:val="2"/>
            <w:vAlign w:val="center"/>
          </w:tcPr>
          <w:p>
            <w:pPr>
              <w:spacing w:line="360" w:lineRule="auto"/>
              <w:jc w:val="center"/>
              <w:rPr>
                <w:rFonts w:ascii="宋体" w:hAnsi="宋体" w:cs="Arial"/>
                <w:snapToGrid w:val="0"/>
                <w:color w:val="auto"/>
                <w:kern w:val="0"/>
                <w:sz w:val="22"/>
                <w:szCs w:val="22"/>
              </w:rPr>
            </w:pPr>
          </w:p>
        </w:tc>
        <w:tc>
          <w:tcPr>
            <w:tcW w:w="4443" w:type="dxa"/>
            <w:vAlign w:val="center"/>
          </w:tcPr>
          <w:p>
            <w:pPr>
              <w:spacing w:line="360" w:lineRule="auto"/>
              <w:jc w:val="center"/>
              <w:rPr>
                <w:rFonts w:ascii="宋体" w:hAnsi="宋体" w:cs="Arial"/>
                <w:b/>
                <w:snapToGrid w:val="0"/>
                <w:color w:val="auto"/>
                <w:kern w:val="0"/>
                <w:sz w:val="22"/>
                <w:szCs w:val="2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02" w:hRule="atLeast"/>
        </w:trPr>
        <w:tc>
          <w:tcPr>
            <w:tcW w:w="3008" w:type="dxa"/>
            <w:gridSpan w:val="2"/>
            <w:vAlign w:val="center"/>
          </w:tcPr>
          <w:p>
            <w:pPr>
              <w:spacing w:line="360" w:lineRule="auto"/>
              <w:jc w:val="center"/>
              <w:rPr>
                <w:rFonts w:ascii="宋体" w:hAnsi="宋体" w:cs="Arial"/>
                <w:b/>
                <w:snapToGrid w:val="0"/>
                <w:color w:val="auto"/>
                <w:kern w:val="0"/>
                <w:sz w:val="22"/>
                <w:szCs w:val="22"/>
              </w:rPr>
            </w:pPr>
            <w:r>
              <w:rPr>
                <w:rFonts w:ascii="宋体" w:hAnsi="宋体" w:cs="Arial"/>
                <w:b/>
                <w:snapToGrid w:val="0"/>
                <w:color w:val="auto"/>
                <w:kern w:val="0"/>
                <w:sz w:val="22"/>
                <w:szCs w:val="22"/>
              </w:rPr>
              <w:t>投标</w:t>
            </w:r>
            <w:r>
              <w:rPr>
                <w:rFonts w:hint="eastAsia" w:ascii="宋体" w:hAnsi="宋体" w:cs="Arial"/>
                <w:b/>
                <w:snapToGrid w:val="0"/>
                <w:color w:val="auto"/>
                <w:kern w:val="0"/>
                <w:sz w:val="22"/>
                <w:szCs w:val="22"/>
              </w:rPr>
              <w:t>报价</w:t>
            </w:r>
          </w:p>
        </w:tc>
        <w:tc>
          <w:tcPr>
            <w:tcW w:w="6460" w:type="dxa"/>
            <w:gridSpan w:val="2"/>
            <w:vAlign w:val="center"/>
          </w:tcPr>
          <w:p>
            <w:pPr>
              <w:spacing w:line="360" w:lineRule="auto"/>
              <w:rPr>
                <w:rFonts w:ascii="宋体" w:hAnsi="宋体" w:cs="Arial"/>
                <w:b/>
                <w:snapToGrid w:val="0"/>
                <w:color w:val="auto"/>
                <w:kern w:val="0"/>
                <w:sz w:val="22"/>
                <w:szCs w:val="22"/>
              </w:rPr>
            </w:pPr>
            <w:r>
              <w:rPr>
                <w:rFonts w:ascii="宋体" w:hAnsi="宋体" w:cs="Arial"/>
                <w:b/>
                <w:snapToGrid w:val="0"/>
                <w:color w:val="auto"/>
                <w:kern w:val="0"/>
                <w:sz w:val="22"/>
                <w:szCs w:val="22"/>
              </w:rPr>
              <w:t xml:space="preserve">大写：    </w:t>
            </w:r>
          </w:p>
          <w:p>
            <w:pPr>
              <w:spacing w:line="360" w:lineRule="auto"/>
              <w:rPr>
                <w:rFonts w:ascii="宋体" w:hAnsi="宋体" w:cs="Arial"/>
                <w:b/>
                <w:snapToGrid w:val="0"/>
                <w:color w:val="auto"/>
                <w:kern w:val="0"/>
                <w:sz w:val="22"/>
                <w:szCs w:val="22"/>
              </w:rPr>
            </w:pPr>
            <w:r>
              <w:rPr>
                <w:rFonts w:ascii="宋体" w:hAnsi="宋体" w:cs="Arial"/>
                <w:b/>
                <w:snapToGrid w:val="0"/>
                <w:color w:val="auto"/>
                <w:kern w:val="0"/>
                <w:sz w:val="22"/>
                <w:szCs w:val="22"/>
              </w:rPr>
              <w:t xml:space="preserve">小写（￥）：      </w:t>
            </w:r>
          </w:p>
        </w:tc>
      </w:tr>
    </w:tbl>
    <w:p>
      <w:pPr>
        <w:spacing w:line="360" w:lineRule="auto"/>
        <w:rPr>
          <w:rFonts w:ascii="宋体" w:hAnsi="宋体"/>
          <w:color w:val="auto"/>
          <w:sz w:val="22"/>
          <w:szCs w:val="22"/>
        </w:rPr>
      </w:pPr>
    </w:p>
    <w:p>
      <w:pPr>
        <w:spacing w:line="360" w:lineRule="auto"/>
        <w:ind w:right="349" w:rightChars="166" w:firstLine="0" w:firstLineChars="0"/>
        <w:rPr>
          <w:rFonts w:ascii="宋体" w:hAnsi="宋体"/>
          <w:b/>
          <w:color w:val="auto"/>
          <w:sz w:val="22"/>
        </w:rPr>
      </w:pPr>
    </w:p>
    <w:p>
      <w:pPr>
        <w:spacing w:line="360" w:lineRule="auto"/>
        <w:ind w:left="-31" w:leftChars="-15" w:firstLine="0" w:firstLineChars="0"/>
        <w:rPr>
          <w:rFonts w:ascii="宋体" w:hAnsi="宋体"/>
          <w:b/>
          <w:color w:val="auto"/>
          <w:sz w:val="22"/>
        </w:rPr>
      </w:pPr>
      <w:r>
        <w:rPr>
          <w:rFonts w:hint="eastAsia" w:ascii="宋体" w:hAnsi="宋体"/>
          <w:b/>
          <w:color w:val="auto"/>
          <w:sz w:val="22"/>
        </w:rPr>
        <w:t>说明：</w:t>
      </w:r>
    </w:p>
    <w:p>
      <w:pPr>
        <w:spacing w:line="360" w:lineRule="auto"/>
        <w:ind w:left="-31" w:leftChars="-15" w:firstLine="0" w:firstLineChars="0"/>
        <w:rPr>
          <w:rFonts w:ascii="宋体" w:hAnsi="宋体" w:cs="Arial"/>
          <w:b/>
          <w:bCs/>
          <w:color w:val="auto"/>
          <w:sz w:val="22"/>
          <w:szCs w:val="22"/>
        </w:rPr>
      </w:pPr>
      <w:r>
        <w:rPr>
          <w:rFonts w:hint="eastAsia" w:ascii="宋体" w:hAnsi="宋体" w:cs="Arial"/>
          <w:b/>
          <w:bCs/>
          <w:color w:val="auto"/>
          <w:sz w:val="22"/>
          <w:szCs w:val="22"/>
        </w:rPr>
        <w:t>1、《开标一览表》中“投标报价”应与（2）</w:t>
      </w:r>
      <w:r>
        <w:rPr>
          <w:rFonts w:hint="eastAsia" w:ascii="宋体" w:hAnsi="宋体"/>
          <w:b/>
          <w:color w:val="auto"/>
          <w:sz w:val="22"/>
        </w:rPr>
        <w:t>《投标分项报价表》中“投标总价”相一致</w:t>
      </w:r>
      <w:r>
        <w:rPr>
          <w:rFonts w:hint="eastAsia" w:ascii="宋体" w:hAnsi="宋体" w:cs="Arial"/>
          <w:b/>
          <w:bCs/>
          <w:color w:val="auto"/>
          <w:sz w:val="22"/>
          <w:szCs w:val="22"/>
        </w:rPr>
        <w:t xml:space="preserve">。 </w:t>
      </w:r>
    </w:p>
    <w:p>
      <w:pPr>
        <w:spacing w:line="360" w:lineRule="auto"/>
        <w:ind w:left="-139" w:leftChars="-66" w:firstLine="0" w:firstLineChars="0"/>
        <w:rPr>
          <w:rFonts w:ascii="宋体" w:hAnsi="宋体"/>
          <w:b/>
          <w:color w:val="auto"/>
          <w:sz w:val="22"/>
        </w:rPr>
      </w:pPr>
      <w:r>
        <w:rPr>
          <w:rFonts w:hint="eastAsia" w:ascii="宋体" w:hAnsi="宋体" w:cs="Arial"/>
          <w:b/>
          <w:bCs/>
          <w:color w:val="auto"/>
          <w:sz w:val="22"/>
          <w:szCs w:val="22"/>
        </w:rPr>
        <w:t>2、▲</w:t>
      </w:r>
      <w:r>
        <w:rPr>
          <w:rFonts w:hint="eastAsia" w:ascii="宋体" w:hAnsi="宋体" w:cs="Arial"/>
          <w:b/>
          <w:color w:val="auto"/>
          <w:sz w:val="22"/>
          <w:szCs w:val="22"/>
          <w:u w:val="single"/>
        </w:rPr>
        <w:t>不按要求提供开标一览表的投标文件将被视为未实质性响应招标文件</w:t>
      </w:r>
      <w:r>
        <w:rPr>
          <w:rFonts w:hint="eastAsia" w:ascii="宋体" w:hAnsi="宋体"/>
          <w:b/>
          <w:color w:val="auto"/>
          <w:sz w:val="22"/>
          <w:u w:val="single"/>
        </w:rPr>
        <w:t>。</w:t>
      </w:r>
    </w:p>
    <w:p>
      <w:pPr>
        <w:spacing w:line="360" w:lineRule="auto"/>
        <w:ind w:firstLine="0" w:firstLineChars="0"/>
        <w:rPr>
          <w:rFonts w:ascii="宋体" w:hAnsi="宋体"/>
          <w:color w:val="auto"/>
          <w:sz w:val="22"/>
          <w:szCs w:val="22"/>
        </w:rPr>
      </w:pPr>
    </w:p>
    <w:p>
      <w:pPr>
        <w:spacing w:line="360" w:lineRule="auto"/>
        <w:rPr>
          <w:rFonts w:ascii="宋体" w:hAnsi="宋体"/>
          <w:color w:val="auto"/>
          <w:sz w:val="22"/>
          <w:szCs w:val="22"/>
        </w:rPr>
      </w:pPr>
      <w:bookmarkStart w:id="1047" w:name="OLE_LINK11"/>
      <w:r>
        <w:rPr>
          <w:rFonts w:hint="eastAsia" w:ascii="宋体" w:hAnsi="宋体"/>
          <w:color w:val="auto"/>
          <w:sz w:val="22"/>
          <w:szCs w:val="22"/>
        </w:rPr>
        <w:t>投标人全称（</w:t>
      </w:r>
      <w:r>
        <w:rPr>
          <w:rFonts w:hint="eastAsia" w:ascii="宋体" w:hAnsi="宋体"/>
          <w:color w:val="auto"/>
          <w:sz w:val="22"/>
          <w:szCs w:val="22"/>
          <w:lang w:eastAsia="zh-CN"/>
        </w:rPr>
        <w:t>电子签名/公章</w:t>
      </w:r>
      <w:r>
        <w:rPr>
          <w:rFonts w:hint="eastAsia" w:ascii="宋体" w:hAnsi="宋体"/>
          <w:color w:val="auto"/>
          <w:sz w:val="22"/>
          <w:szCs w:val="22"/>
        </w:rPr>
        <w:t>）：</w:t>
      </w:r>
    </w:p>
    <w:bookmarkEnd w:id="1047"/>
    <w:p>
      <w:pPr>
        <w:spacing w:line="360" w:lineRule="auto"/>
        <w:rPr>
          <w:rFonts w:ascii="宋体" w:hAnsi="宋体"/>
          <w:color w:val="auto"/>
          <w:sz w:val="22"/>
          <w:szCs w:val="22"/>
        </w:rPr>
      </w:pPr>
      <w:r>
        <w:rPr>
          <w:rFonts w:hint="eastAsia" w:ascii="宋体" w:hAnsi="宋体"/>
          <w:color w:val="auto"/>
          <w:sz w:val="22"/>
          <w:szCs w:val="22"/>
        </w:rPr>
        <w:t>法定代表人或授权代表（签字或盖章）：</w:t>
      </w:r>
    </w:p>
    <w:p>
      <w:pPr>
        <w:spacing w:line="360" w:lineRule="auto"/>
        <w:rPr>
          <w:rFonts w:ascii="宋体" w:hAnsi="宋体"/>
          <w:color w:val="auto"/>
          <w:sz w:val="22"/>
          <w:szCs w:val="22"/>
        </w:rPr>
      </w:pPr>
      <w:r>
        <w:rPr>
          <w:rFonts w:hint="eastAsia" w:ascii="宋体" w:hAnsi="宋体"/>
          <w:color w:val="auto"/>
          <w:sz w:val="22"/>
          <w:szCs w:val="22"/>
        </w:rPr>
        <w:t>日 期：  年  月  日</w:t>
      </w:r>
    </w:p>
    <w:p>
      <w:pPr>
        <w:spacing w:line="360" w:lineRule="auto"/>
        <w:rPr>
          <w:rFonts w:ascii="宋体" w:hAnsi="宋体"/>
          <w:b/>
          <w:bCs/>
          <w:color w:val="auto"/>
          <w:sz w:val="22"/>
          <w:szCs w:val="22"/>
        </w:rPr>
      </w:pPr>
      <w:r>
        <w:rPr>
          <w:rFonts w:hint="eastAsia" w:ascii="宋体" w:hAnsi="宋体"/>
          <w:color w:val="auto"/>
          <w:sz w:val="22"/>
          <w:szCs w:val="22"/>
        </w:rPr>
        <w:br w:type="page"/>
      </w:r>
    </w:p>
    <w:p>
      <w:pPr>
        <w:spacing w:line="360" w:lineRule="auto"/>
        <w:jc w:val="center"/>
        <w:rPr>
          <w:rFonts w:ascii="宋体" w:hAnsi="宋体"/>
          <w:b/>
          <w:bCs/>
          <w:color w:val="auto"/>
          <w:sz w:val="28"/>
          <w:szCs w:val="28"/>
        </w:rPr>
      </w:pPr>
      <w:r>
        <w:rPr>
          <w:rFonts w:hint="eastAsia" w:ascii="宋体" w:hAnsi="宋体"/>
          <w:b/>
          <w:bCs/>
          <w:color w:val="auto"/>
          <w:sz w:val="28"/>
          <w:szCs w:val="28"/>
        </w:rPr>
        <w:t>（2）</w:t>
      </w:r>
      <w:r>
        <w:rPr>
          <w:rFonts w:ascii="宋体" w:hAnsi="宋体"/>
          <w:b/>
          <w:bCs/>
          <w:color w:val="auto"/>
          <w:sz w:val="28"/>
          <w:szCs w:val="28"/>
        </w:rPr>
        <w:t>投标分项报价表</w:t>
      </w:r>
    </w:p>
    <w:p>
      <w:pPr>
        <w:spacing w:line="360" w:lineRule="auto"/>
        <w:jc w:val="left"/>
        <w:rPr>
          <w:rFonts w:ascii="宋体" w:hAnsi="宋体"/>
          <w:b/>
          <w:bCs/>
          <w:color w:val="auto"/>
          <w:sz w:val="28"/>
          <w:szCs w:val="28"/>
        </w:rPr>
      </w:pPr>
      <w:r>
        <w:rPr>
          <w:rFonts w:hint="eastAsia" w:ascii="宋体" w:hAnsi="宋体"/>
          <w:b/>
          <w:bCs/>
          <w:color w:val="auto"/>
          <w:sz w:val="22"/>
          <w:szCs w:val="22"/>
          <w:lang w:val="en-US" w:eastAsia="zh-CN"/>
        </w:rPr>
        <w:t>项目</w:t>
      </w:r>
      <w:r>
        <w:rPr>
          <w:rFonts w:hint="eastAsia" w:ascii="宋体" w:hAnsi="宋体"/>
          <w:b/>
          <w:bCs/>
          <w:color w:val="auto"/>
          <w:sz w:val="22"/>
          <w:szCs w:val="22"/>
        </w:rPr>
        <w:t xml:space="preserve">名称：                                          </w:t>
      </w:r>
      <w:r>
        <w:rPr>
          <w:rFonts w:hint="eastAsia" w:ascii="宋体" w:hAnsi="宋体"/>
          <w:b/>
          <w:bCs/>
          <w:color w:val="auto"/>
          <w:sz w:val="22"/>
          <w:szCs w:val="22"/>
          <w:lang w:val="en-US" w:eastAsia="zh-CN"/>
        </w:rPr>
        <w:t xml:space="preserve">   项目</w:t>
      </w:r>
      <w:r>
        <w:rPr>
          <w:rFonts w:hint="eastAsia" w:ascii="宋体" w:hAnsi="宋体"/>
          <w:b/>
          <w:bCs/>
          <w:color w:val="auto"/>
          <w:sz w:val="22"/>
          <w:szCs w:val="22"/>
        </w:rPr>
        <w:t>编号：</w:t>
      </w:r>
    </w:p>
    <w:tbl>
      <w:tblPr>
        <w:tblStyle w:val="63"/>
        <w:tblW w:w="5052" w:type="pct"/>
        <w:tblInd w:w="9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462"/>
        <w:gridCol w:w="944"/>
        <w:gridCol w:w="1072"/>
        <w:gridCol w:w="2987"/>
        <w:gridCol w:w="928"/>
        <w:gridCol w:w="761"/>
        <w:gridCol w:w="919"/>
        <w:gridCol w:w="18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36" w:hRule="atLeast"/>
        </w:trPr>
        <w:tc>
          <w:tcPr>
            <w:tcW w:w="402"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序号</w:t>
            </w:r>
          </w:p>
        </w:tc>
        <w:tc>
          <w:tcPr>
            <w:tcW w:w="822"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系统</w:t>
            </w:r>
          </w:p>
        </w:tc>
        <w:tc>
          <w:tcPr>
            <w:tcW w:w="933"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项目</w:t>
            </w:r>
          </w:p>
        </w:tc>
        <w:tc>
          <w:tcPr>
            <w:tcW w:w="2602"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说明</w:t>
            </w:r>
          </w:p>
        </w:tc>
        <w:tc>
          <w:tcPr>
            <w:tcW w:w="808"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单价（元）</w:t>
            </w:r>
          </w:p>
        </w:tc>
        <w:tc>
          <w:tcPr>
            <w:tcW w:w="663"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数量</w:t>
            </w:r>
          </w:p>
        </w:tc>
        <w:tc>
          <w:tcPr>
            <w:tcW w:w="800"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小计（元）</w:t>
            </w:r>
          </w:p>
        </w:tc>
        <w:tc>
          <w:tcPr>
            <w:tcW w:w="1640" w:type="dxa"/>
            <w:shd w:val="clear" w:color="auto" w:fill="auto"/>
            <w:vAlign w:val="center"/>
          </w:tcPr>
          <w:p>
            <w:pPr>
              <w:keepNext w:val="0"/>
              <w:keepLines w:val="0"/>
              <w:widowControl/>
              <w:suppressLineNumbers w:val="0"/>
              <w:jc w:val="center"/>
              <w:textAlignment w:val="center"/>
              <w:rPr>
                <w:rFonts w:hint="default" w:ascii="宋体" w:hAnsi="宋体" w:eastAsia="宋体" w:cs="宋体"/>
                <w:b/>
                <w:bCs/>
                <w:i w:val="0"/>
                <w:iCs w:val="0"/>
                <w:color w:val="auto"/>
                <w:kern w:val="0"/>
                <w:sz w:val="22"/>
                <w:szCs w:val="22"/>
                <w:u w:val="none"/>
                <w:lang w:val="en-US" w:eastAsia="zh-CN" w:bidi="ar"/>
              </w:rPr>
            </w:pPr>
            <w:r>
              <w:rPr>
                <w:rFonts w:hint="eastAsia" w:ascii="宋体" w:hAnsi="宋体" w:eastAsia="宋体" w:cs="宋体"/>
                <w:b/>
                <w:bCs/>
                <w:i w:val="0"/>
                <w:iCs w:val="0"/>
                <w:color w:val="auto"/>
                <w:kern w:val="0"/>
                <w:sz w:val="22"/>
                <w:szCs w:val="22"/>
                <w:u w:val="no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378" w:hRule="atLeast"/>
        </w:trPr>
        <w:tc>
          <w:tcPr>
            <w:tcW w:w="402" w:type="dxa"/>
            <w:vMerge w:val="restart"/>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822" w:type="dxa"/>
            <w:vMerge w:val="restart"/>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物联网设备</w:t>
            </w:r>
          </w:p>
        </w:tc>
        <w:tc>
          <w:tcPr>
            <w:tcW w:w="93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路面积水监测仪</w:t>
            </w:r>
          </w:p>
        </w:tc>
        <w:tc>
          <w:tcPr>
            <w:tcW w:w="26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在低洼、易涝区等重点防内涝区域，建立路面积水监测设备，实现实时预警报警。含安装调试及3年运维质保。</w:t>
            </w:r>
          </w:p>
        </w:tc>
        <w:tc>
          <w:tcPr>
            <w:tcW w:w="808"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66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5套</w:t>
            </w:r>
          </w:p>
        </w:tc>
        <w:tc>
          <w:tcPr>
            <w:tcW w:w="80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1640" w:type="dxa"/>
            <w:vMerge w:val="restart"/>
            <w:shd w:val="clear" w:color="auto" w:fill="auto"/>
            <w:vAlign w:val="center"/>
          </w:tcPr>
          <w:p>
            <w:pPr>
              <w:keepNext w:val="0"/>
              <w:keepLines w:val="0"/>
              <w:widowControl/>
              <w:suppressLineNumbers w:val="0"/>
              <w:tabs>
                <w:tab w:val="left" w:pos="320"/>
              </w:tabs>
              <w:jc w:val="center"/>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1、采购人温州市洞头区综合行政执法局作为牵头方，联合浙江省地矿建设有限公司，从全域污水管网其他片区市政标段工程项目的暂估价中提取出 90万元，这笔款项将专项用于物联网设备、系统功能架构分解。2、包括路面积水、海水河道液位监测设备为主，结合潮汐海水位和内河、道路积水等情况，结合防汛预警模型，防范内涝风险。搭建基础支撑平台，满足基础数据采集、存储、分析以及基于管网的地理信息二三维、AR应用等。</w:t>
            </w:r>
            <w:r>
              <w:rPr>
                <w:rFonts w:hint="eastAsia" w:ascii="宋体" w:hAnsi="宋体" w:eastAsia="宋体" w:cs="宋体"/>
                <w:b w:val="0"/>
                <w:bCs w:val="0"/>
                <w:color w:val="auto"/>
                <w:sz w:val="22"/>
                <w:szCs w:val="22"/>
                <w:highlight w:val="none"/>
                <w:lang w:val="en-US" w:eastAsia="zh-CN"/>
              </w:rPr>
              <w:t>（具体详见采购相关部分）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36" w:hRule="atLeast"/>
        </w:trPr>
        <w:tc>
          <w:tcPr>
            <w:tcW w:w="402"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822"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93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海水河道液位监测</w:t>
            </w:r>
          </w:p>
        </w:tc>
        <w:tc>
          <w:tcPr>
            <w:tcW w:w="26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补充河道水位监测，为防汛调度提供决策依据。含安装调试及3年运维质保。</w:t>
            </w:r>
          </w:p>
        </w:tc>
        <w:tc>
          <w:tcPr>
            <w:tcW w:w="808"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66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4套</w:t>
            </w:r>
          </w:p>
        </w:tc>
        <w:tc>
          <w:tcPr>
            <w:tcW w:w="80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1640"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6" w:hRule="atLeast"/>
        </w:trPr>
        <w:tc>
          <w:tcPr>
            <w:tcW w:w="402"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822"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93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雨量监测</w:t>
            </w:r>
          </w:p>
        </w:tc>
        <w:tc>
          <w:tcPr>
            <w:tcW w:w="26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按防汛防台气象降雨掌握需要开展雨量监测工作，含安装调试及3年运维质保。</w:t>
            </w:r>
          </w:p>
        </w:tc>
        <w:tc>
          <w:tcPr>
            <w:tcW w:w="808"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66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3套</w:t>
            </w:r>
          </w:p>
        </w:tc>
        <w:tc>
          <w:tcPr>
            <w:tcW w:w="80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1640"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62" w:hRule="atLeast"/>
        </w:trPr>
        <w:tc>
          <w:tcPr>
            <w:tcW w:w="402"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822"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93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单兵设备</w:t>
            </w:r>
          </w:p>
        </w:tc>
        <w:tc>
          <w:tcPr>
            <w:tcW w:w="26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本项目防汛可视化指挥涉及对应的单兵设备使用和接入，并按照智慧排水平台要求接入相关数据信息，以满足防汛 可视化指挥需要。含安装调试及3年质保。</w:t>
            </w:r>
          </w:p>
        </w:tc>
        <w:tc>
          <w:tcPr>
            <w:tcW w:w="808"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66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2台</w:t>
            </w:r>
          </w:p>
        </w:tc>
        <w:tc>
          <w:tcPr>
            <w:tcW w:w="80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1640"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8" w:hRule="atLeast"/>
        </w:trPr>
        <w:tc>
          <w:tcPr>
            <w:tcW w:w="402"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822"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93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车载定位设备</w:t>
            </w:r>
          </w:p>
        </w:tc>
        <w:tc>
          <w:tcPr>
            <w:tcW w:w="26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本项目防汛可视化指挥和维养监管涉及对应的车载GPS或北斗定位设备使用和接入。含安装调试及3年质保。</w:t>
            </w:r>
          </w:p>
        </w:tc>
        <w:tc>
          <w:tcPr>
            <w:tcW w:w="808"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66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4台</w:t>
            </w:r>
          </w:p>
        </w:tc>
        <w:tc>
          <w:tcPr>
            <w:tcW w:w="80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1640"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1" w:hRule="atLeast"/>
        </w:trPr>
        <w:tc>
          <w:tcPr>
            <w:tcW w:w="4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82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基础支撑平台</w:t>
            </w:r>
          </w:p>
        </w:tc>
        <w:tc>
          <w:tcPr>
            <w:tcW w:w="933" w:type="dxa"/>
            <w:shd w:val="clear" w:color="auto" w:fill="auto"/>
            <w:vAlign w:val="center"/>
          </w:tcPr>
          <w:p>
            <w:pPr>
              <w:jc w:val="center"/>
              <w:rPr>
                <w:rFonts w:hint="eastAsia" w:ascii="宋体" w:hAnsi="宋体" w:eastAsia="宋体" w:cs="宋体"/>
                <w:i w:val="0"/>
                <w:iCs w:val="0"/>
                <w:color w:val="auto"/>
                <w:sz w:val="22"/>
                <w:szCs w:val="22"/>
                <w:u w:val="none"/>
              </w:rPr>
            </w:pPr>
          </w:p>
        </w:tc>
        <w:tc>
          <w:tcPr>
            <w:tcW w:w="26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包括工业级实时数据库管理、数据处理、管网建模、二三维和移动端地理信息系统开发引擎等。</w:t>
            </w:r>
          </w:p>
        </w:tc>
        <w:tc>
          <w:tcPr>
            <w:tcW w:w="808"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66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1套</w:t>
            </w:r>
          </w:p>
        </w:tc>
        <w:tc>
          <w:tcPr>
            <w:tcW w:w="80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1640"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6230" w:type="dxa"/>
            <w:gridSpan w:val="6"/>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合计</w:t>
            </w:r>
            <w:r>
              <w:rPr>
                <w:rFonts w:hint="eastAsia" w:ascii="宋体" w:hAnsi="宋体" w:cs="宋体"/>
                <w:b/>
                <w:bCs/>
                <w:i w:val="0"/>
                <w:iCs w:val="0"/>
                <w:color w:val="auto"/>
                <w:kern w:val="0"/>
                <w:sz w:val="22"/>
                <w:szCs w:val="22"/>
                <w:u w:val="none"/>
                <w:lang w:val="en-US" w:eastAsia="zh-CN" w:bidi="ar"/>
              </w:rPr>
              <w:t>1</w:t>
            </w:r>
            <w:r>
              <w:rPr>
                <w:rFonts w:hint="eastAsia" w:ascii="宋体" w:hAnsi="宋体" w:eastAsia="宋体" w:cs="宋体"/>
                <w:b/>
                <w:bCs/>
                <w:i w:val="0"/>
                <w:iCs w:val="0"/>
                <w:color w:val="auto"/>
                <w:kern w:val="0"/>
                <w:sz w:val="22"/>
                <w:szCs w:val="22"/>
                <w:u w:val="none"/>
                <w:lang w:val="en-US" w:eastAsia="zh-CN" w:bidi="ar"/>
              </w:rPr>
              <w:t>（元）</w:t>
            </w:r>
          </w:p>
        </w:tc>
        <w:tc>
          <w:tcPr>
            <w:tcW w:w="2440" w:type="dxa"/>
            <w:gridSpan w:val="2"/>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36" w:hRule="atLeast"/>
        </w:trPr>
        <w:tc>
          <w:tcPr>
            <w:tcW w:w="402"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序号</w:t>
            </w:r>
          </w:p>
        </w:tc>
        <w:tc>
          <w:tcPr>
            <w:tcW w:w="822"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系统</w:t>
            </w:r>
          </w:p>
        </w:tc>
        <w:tc>
          <w:tcPr>
            <w:tcW w:w="933"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项目</w:t>
            </w:r>
          </w:p>
        </w:tc>
        <w:tc>
          <w:tcPr>
            <w:tcW w:w="2602"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说明</w:t>
            </w:r>
          </w:p>
        </w:tc>
        <w:tc>
          <w:tcPr>
            <w:tcW w:w="808"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单价（元）</w:t>
            </w:r>
          </w:p>
        </w:tc>
        <w:tc>
          <w:tcPr>
            <w:tcW w:w="663"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数量</w:t>
            </w:r>
          </w:p>
        </w:tc>
        <w:tc>
          <w:tcPr>
            <w:tcW w:w="800"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小计（元）</w:t>
            </w:r>
          </w:p>
        </w:tc>
        <w:tc>
          <w:tcPr>
            <w:tcW w:w="1640"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kern w:val="0"/>
                <w:sz w:val="22"/>
                <w:szCs w:val="22"/>
                <w:u w:val="none"/>
                <w:lang w:val="en-US" w:eastAsia="zh-CN" w:bidi="ar"/>
              </w:rPr>
            </w:pPr>
            <w:r>
              <w:rPr>
                <w:rFonts w:hint="eastAsia" w:ascii="宋体" w:hAnsi="宋体" w:eastAsia="宋体" w:cs="宋体"/>
                <w:b/>
                <w:bCs/>
                <w:i w:val="0"/>
                <w:iCs w:val="0"/>
                <w:color w:val="auto"/>
                <w:kern w:val="0"/>
                <w:sz w:val="22"/>
                <w:szCs w:val="22"/>
                <w:u w:val="no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8" w:hRule="atLeast"/>
        </w:trPr>
        <w:tc>
          <w:tcPr>
            <w:tcW w:w="402" w:type="dxa"/>
            <w:vMerge w:val="restart"/>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822" w:type="dxa"/>
            <w:vMerge w:val="restart"/>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物联网设备</w:t>
            </w:r>
          </w:p>
        </w:tc>
        <w:tc>
          <w:tcPr>
            <w:tcW w:w="93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井下液位计</w:t>
            </w:r>
          </w:p>
        </w:tc>
        <w:tc>
          <w:tcPr>
            <w:tcW w:w="26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补充井下液位计，为污水管网及部分雨水管网的防偷排监管提供实时监测监控。含安装调试及3年运维质保。</w:t>
            </w:r>
          </w:p>
        </w:tc>
        <w:tc>
          <w:tcPr>
            <w:tcW w:w="808"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66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10套</w:t>
            </w:r>
          </w:p>
        </w:tc>
        <w:tc>
          <w:tcPr>
            <w:tcW w:w="80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1640" w:type="dxa"/>
            <w:vMerge w:val="restart"/>
            <w:shd w:val="clear" w:color="auto" w:fill="auto"/>
            <w:vAlign w:val="center"/>
          </w:tcPr>
          <w:p>
            <w:pPr>
              <w:keepNext w:val="0"/>
              <w:keepLines w:val="0"/>
              <w:widowControl/>
              <w:numPr>
                <w:ilvl w:val="0"/>
                <w:numId w:val="46"/>
              </w:numPr>
              <w:suppressLineNumbers w:val="0"/>
              <w:jc w:val="center"/>
              <w:textAlignment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采购人温州市洞头区综合行政执法局作为牵头方，联合长沙市市政工程有限责任公司，从全域污水管网旧城片区工程项目的暂估价中提取出 110万元，这笔款项将专项用于物联网设备、系统功能架构分解。</w:t>
            </w:r>
          </w:p>
          <w:p>
            <w:pPr>
              <w:keepNext w:val="0"/>
              <w:keepLines w:val="0"/>
              <w:widowControl/>
              <w:numPr>
                <w:ilvl w:val="0"/>
                <w:numId w:val="46"/>
              </w:numPr>
              <w:suppressLineNumbers w:val="0"/>
              <w:jc w:val="center"/>
              <w:textAlignment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以排水设施管理以及智慧运维管理为主，针对排水管网地理信息系统的溯源排查、雨污混接改造项目设计、施工全过程管理，包括项目全过程（含CCTV机器人检测视频）资料的整理、录入与管理，督办单管理、问题整治点管理、项目检查移动端管理等功能，并结合移动端与排水管网信息管理系统实现数据共享互通，为排水管网溯源排查、雨污混接改造提供信息化、智慧化全过程监管，达到可实施动态更新，随时随地网上监管目的。并预留与温州市排水平台进行对接。（具体详见采购相关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62" w:hRule="atLeast"/>
        </w:trPr>
        <w:tc>
          <w:tcPr>
            <w:tcW w:w="402"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822"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93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管网流量监测</w:t>
            </w:r>
          </w:p>
        </w:tc>
        <w:tc>
          <w:tcPr>
            <w:tcW w:w="26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按管网流量监测需要开展管网流量监测工作，本项目计划采购管网流量 监测数据服务，用于监测管网内排水是否正常。含安装调试及3年运维质保。</w:t>
            </w:r>
          </w:p>
        </w:tc>
        <w:tc>
          <w:tcPr>
            <w:tcW w:w="808"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66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2套</w:t>
            </w:r>
          </w:p>
        </w:tc>
        <w:tc>
          <w:tcPr>
            <w:tcW w:w="80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1640"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52" w:hRule="atLeast"/>
        </w:trPr>
        <w:tc>
          <w:tcPr>
            <w:tcW w:w="402"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822"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93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管网水质监测</w:t>
            </w:r>
          </w:p>
        </w:tc>
        <w:tc>
          <w:tcPr>
            <w:tcW w:w="26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电导率水质监测，监测管网入渗情况，指导管网修复改造。含安装调试及3年运维质保。</w:t>
            </w:r>
          </w:p>
        </w:tc>
        <w:tc>
          <w:tcPr>
            <w:tcW w:w="808"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66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3套</w:t>
            </w:r>
          </w:p>
        </w:tc>
        <w:tc>
          <w:tcPr>
            <w:tcW w:w="80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1640"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36" w:hRule="atLeast"/>
        </w:trPr>
        <w:tc>
          <w:tcPr>
            <w:tcW w:w="402"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822"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93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管网COD监测</w:t>
            </w:r>
          </w:p>
        </w:tc>
        <w:tc>
          <w:tcPr>
            <w:tcW w:w="26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用于监测排水管网内COD 水质指标是否正常。含安装调试及3年运维质保。</w:t>
            </w:r>
          </w:p>
        </w:tc>
        <w:tc>
          <w:tcPr>
            <w:tcW w:w="808"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66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2套</w:t>
            </w:r>
          </w:p>
        </w:tc>
        <w:tc>
          <w:tcPr>
            <w:tcW w:w="80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1640"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36" w:hRule="atLeast"/>
        </w:trPr>
        <w:tc>
          <w:tcPr>
            <w:tcW w:w="402"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822"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93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智能井盖</w:t>
            </w:r>
          </w:p>
        </w:tc>
        <w:tc>
          <w:tcPr>
            <w:tcW w:w="26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用于监测井盖位置是否正常，用于污水外溢报警等。含安装调试及3年运维质保。</w:t>
            </w:r>
          </w:p>
        </w:tc>
        <w:tc>
          <w:tcPr>
            <w:tcW w:w="808"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66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5套</w:t>
            </w:r>
          </w:p>
        </w:tc>
        <w:tc>
          <w:tcPr>
            <w:tcW w:w="80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1640"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2" w:hRule="atLeast"/>
        </w:trPr>
        <w:tc>
          <w:tcPr>
            <w:tcW w:w="4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82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平台系统功能模块</w:t>
            </w:r>
          </w:p>
        </w:tc>
        <w:tc>
          <w:tcPr>
            <w:tcW w:w="933" w:type="dxa"/>
            <w:shd w:val="clear" w:color="auto" w:fill="auto"/>
            <w:vAlign w:val="center"/>
          </w:tcPr>
          <w:p>
            <w:pPr>
              <w:jc w:val="center"/>
              <w:rPr>
                <w:rFonts w:hint="eastAsia" w:ascii="宋体" w:hAnsi="宋体" w:eastAsia="宋体" w:cs="宋体"/>
                <w:i w:val="0"/>
                <w:iCs w:val="0"/>
                <w:color w:val="auto"/>
                <w:sz w:val="22"/>
                <w:szCs w:val="22"/>
                <w:u w:val="none"/>
              </w:rPr>
            </w:pPr>
          </w:p>
        </w:tc>
        <w:tc>
          <w:tcPr>
            <w:tcW w:w="26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包括数据建库、综合管网运行管理模块等构成。</w:t>
            </w:r>
          </w:p>
        </w:tc>
        <w:tc>
          <w:tcPr>
            <w:tcW w:w="808"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66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1套</w:t>
            </w:r>
          </w:p>
        </w:tc>
        <w:tc>
          <w:tcPr>
            <w:tcW w:w="80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1640"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w:t>
            </w:r>
          </w:p>
        </w:tc>
        <w:tc>
          <w:tcPr>
            <w:tcW w:w="82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排水智慧管理系统</w:t>
            </w:r>
          </w:p>
        </w:tc>
        <w:tc>
          <w:tcPr>
            <w:tcW w:w="933" w:type="dxa"/>
            <w:shd w:val="clear" w:color="auto" w:fill="auto"/>
            <w:vAlign w:val="center"/>
          </w:tcPr>
          <w:p>
            <w:pPr>
              <w:jc w:val="center"/>
              <w:rPr>
                <w:rFonts w:hint="eastAsia" w:ascii="宋体" w:hAnsi="宋体" w:eastAsia="宋体" w:cs="宋体"/>
                <w:i w:val="0"/>
                <w:iCs w:val="0"/>
                <w:color w:val="auto"/>
                <w:sz w:val="22"/>
                <w:szCs w:val="22"/>
                <w:u w:val="none"/>
              </w:rPr>
            </w:pPr>
          </w:p>
        </w:tc>
        <w:tc>
          <w:tcPr>
            <w:tcW w:w="26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包括排水管网信息模块、排水设施智慧运维系统、排水监管一张图升级、内涝防汛管理等。</w:t>
            </w:r>
          </w:p>
        </w:tc>
        <w:tc>
          <w:tcPr>
            <w:tcW w:w="808"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66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1套</w:t>
            </w:r>
          </w:p>
        </w:tc>
        <w:tc>
          <w:tcPr>
            <w:tcW w:w="80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1640"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6230" w:type="dxa"/>
            <w:gridSpan w:val="6"/>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合计</w:t>
            </w:r>
            <w:r>
              <w:rPr>
                <w:rFonts w:hint="eastAsia" w:ascii="宋体" w:hAnsi="宋体" w:cs="宋体"/>
                <w:b/>
                <w:bCs/>
                <w:i w:val="0"/>
                <w:iCs w:val="0"/>
                <w:color w:val="auto"/>
                <w:kern w:val="0"/>
                <w:sz w:val="22"/>
                <w:szCs w:val="22"/>
                <w:u w:val="none"/>
                <w:lang w:val="en-US" w:eastAsia="zh-CN" w:bidi="ar"/>
              </w:rPr>
              <w:t>2</w:t>
            </w:r>
            <w:r>
              <w:rPr>
                <w:rFonts w:hint="eastAsia" w:ascii="宋体" w:hAnsi="宋体" w:eastAsia="宋体" w:cs="宋体"/>
                <w:b/>
                <w:bCs/>
                <w:i w:val="0"/>
                <w:iCs w:val="0"/>
                <w:color w:val="auto"/>
                <w:kern w:val="0"/>
                <w:sz w:val="22"/>
                <w:szCs w:val="22"/>
                <w:u w:val="none"/>
                <w:lang w:val="en-US" w:eastAsia="zh-CN" w:bidi="ar"/>
              </w:rPr>
              <w:t>（元）</w:t>
            </w:r>
          </w:p>
        </w:tc>
        <w:tc>
          <w:tcPr>
            <w:tcW w:w="2440" w:type="dxa"/>
            <w:gridSpan w:val="2"/>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36" w:hRule="atLeast"/>
        </w:trPr>
        <w:tc>
          <w:tcPr>
            <w:tcW w:w="402"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序号</w:t>
            </w:r>
          </w:p>
        </w:tc>
        <w:tc>
          <w:tcPr>
            <w:tcW w:w="822"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系统</w:t>
            </w:r>
          </w:p>
        </w:tc>
        <w:tc>
          <w:tcPr>
            <w:tcW w:w="933"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项目</w:t>
            </w:r>
          </w:p>
        </w:tc>
        <w:tc>
          <w:tcPr>
            <w:tcW w:w="2602"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说明</w:t>
            </w:r>
          </w:p>
        </w:tc>
        <w:tc>
          <w:tcPr>
            <w:tcW w:w="808"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单价（元）</w:t>
            </w:r>
          </w:p>
        </w:tc>
        <w:tc>
          <w:tcPr>
            <w:tcW w:w="663"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数量</w:t>
            </w:r>
          </w:p>
        </w:tc>
        <w:tc>
          <w:tcPr>
            <w:tcW w:w="800" w:type="dxa"/>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小计（元）</w:t>
            </w:r>
          </w:p>
        </w:tc>
        <w:tc>
          <w:tcPr>
            <w:tcW w:w="1640" w:type="dxa"/>
            <w:shd w:val="clear" w:color="auto" w:fill="auto"/>
            <w:vAlign w:val="center"/>
          </w:tcPr>
          <w:p>
            <w:pPr>
              <w:keepNext w:val="0"/>
              <w:keepLines w:val="0"/>
              <w:widowControl/>
              <w:suppressLineNumbers w:val="0"/>
              <w:jc w:val="center"/>
              <w:textAlignment w:val="center"/>
              <w:rPr>
                <w:rFonts w:hint="default" w:ascii="宋体" w:hAnsi="宋体" w:eastAsia="宋体" w:cs="宋体"/>
                <w:b/>
                <w:bCs/>
                <w:i w:val="0"/>
                <w:iCs w:val="0"/>
                <w:color w:val="auto"/>
                <w:kern w:val="0"/>
                <w:sz w:val="22"/>
                <w:szCs w:val="22"/>
                <w:u w:val="none"/>
                <w:lang w:val="en-US" w:eastAsia="zh-CN" w:bidi="ar"/>
              </w:rPr>
            </w:pPr>
            <w:r>
              <w:rPr>
                <w:rFonts w:hint="eastAsia" w:ascii="宋体" w:hAnsi="宋体" w:eastAsia="宋体" w:cs="宋体"/>
                <w:b/>
                <w:bCs/>
                <w:i w:val="0"/>
                <w:iCs w:val="0"/>
                <w:color w:val="auto"/>
                <w:kern w:val="0"/>
                <w:sz w:val="22"/>
                <w:szCs w:val="22"/>
                <w:u w:val="no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36" w:hRule="atLeast"/>
        </w:trPr>
        <w:tc>
          <w:tcPr>
            <w:tcW w:w="402" w:type="dxa"/>
            <w:vMerge w:val="restart"/>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822" w:type="dxa"/>
            <w:vMerge w:val="restart"/>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物联网设备</w:t>
            </w:r>
          </w:p>
        </w:tc>
        <w:tc>
          <w:tcPr>
            <w:tcW w:w="93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移动端</w:t>
            </w:r>
          </w:p>
        </w:tc>
        <w:tc>
          <w:tcPr>
            <w:tcW w:w="26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对接移动端相关定位数据。含软件安装调试及3年运维质保。</w:t>
            </w:r>
          </w:p>
        </w:tc>
        <w:tc>
          <w:tcPr>
            <w:tcW w:w="808"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66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2台</w:t>
            </w:r>
          </w:p>
        </w:tc>
        <w:tc>
          <w:tcPr>
            <w:tcW w:w="80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1640" w:type="dxa"/>
            <w:vMerge w:val="restart"/>
            <w:shd w:val="clear" w:color="auto" w:fill="auto"/>
            <w:vAlign w:val="center"/>
          </w:tcPr>
          <w:p>
            <w:pPr>
              <w:numPr>
                <w:ilvl w:val="0"/>
                <w:numId w:val="47"/>
              </w:numPr>
              <w:bidi w:val="0"/>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采购人温州市洞头区综合行政执法局作为牵头方，联合浙江永联建设工程股份有限公司，从全域污水管网其他片农污标段工程项目的暂估价中提取出 100万元，这笔款项将专项用于物联网设备、系统功能架构分解。</w:t>
            </w:r>
          </w:p>
          <w:p>
            <w:pPr>
              <w:numPr>
                <w:ilvl w:val="0"/>
                <w:numId w:val="47"/>
              </w:numPr>
              <w:bidi w:val="0"/>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对洞头排水、供水、燃气、电力管网进行三维建模，建立管网三维立体可视化平台，提供基于浏览器的三维管网查看、查询定位、图层控制、管网断面分析、管网流动模拟等功能。研发防汛大数据预警模型，防范内涝、积水等风险。（具体详见采购相关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36" w:hRule="atLeast"/>
        </w:trPr>
        <w:tc>
          <w:tcPr>
            <w:tcW w:w="402"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822"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93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移动工作机</w:t>
            </w:r>
          </w:p>
        </w:tc>
        <w:tc>
          <w:tcPr>
            <w:tcW w:w="26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对接移动端相关定位数据。含软件安装调试及3年运维质保。</w:t>
            </w:r>
          </w:p>
        </w:tc>
        <w:tc>
          <w:tcPr>
            <w:tcW w:w="808"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66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15台</w:t>
            </w:r>
          </w:p>
        </w:tc>
        <w:tc>
          <w:tcPr>
            <w:tcW w:w="80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1640"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94" w:hRule="atLeast"/>
        </w:trPr>
        <w:tc>
          <w:tcPr>
            <w:tcW w:w="402"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822"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93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泵站网关</w:t>
            </w:r>
          </w:p>
        </w:tc>
        <w:tc>
          <w:tcPr>
            <w:tcW w:w="26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泵站运行监测数据。含安装调试及3年运维质保。</w:t>
            </w:r>
          </w:p>
        </w:tc>
        <w:tc>
          <w:tcPr>
            <w:tcW w:w="808"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66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3套</w:t>
            </w:r>
          </w:p>
        </w:tc>
        <w:tc>
          <w:tcPr>
            <w:tcW w:w="80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1640"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trPr>
        <w:tc>
          <w:tcPr>
            <w:tcW w:w="402"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822"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93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污水厂网关</w:t>
            </w:r>
          </w:p>
        </w:tc>
        <w:tc>
          <w:tcPr>
            <w:tcW w:w="26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污水厂运行监测数据。含安装调试及3年运维质保。</w:t>
            </w:r>
          </w:p>
        </w:tc>
        <w:tc>
          <w:tcPr>
            <w:tcW w:w="808"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66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2套</w:t>
            </w:r>
          </w:p>
        </w:tc>
        <w:tc>
          <w:tcPr>
            <w:tcW w:w="80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1640"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94" w:hRule="atLeast"/>
        </w:trPr>
        <w:tc>
          <w:tcPr>
            <w:tcW w:w="402"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822" w:type="dxa"/>
            <w:vMerge w:val="continue"/>
            <w:shd w:val="clear" w:color="auto" w:fill="auto"/>
            <w:vAlign w:val="center"/>
          </w:tcPr>
          <w:p>
            <w:pPr>
              <w:jc w:val="center"/>
              <w:rPr>
                <w:rFonts w:hint="eastAsia" w:ascii="宋体" w:hAnsi="宋体" w:eastAsia="宋体" w:cs="宋体"/>
                <w:i w:val="0"/>
                <w:iCs w:val="0"/>
                <w:color w:val="auto"/>
                <w:sz w:val="22"/>
                <w:szCs w:val="22"/>
                <w:u w:val="none"/>
              </w:rPr>
            </w:pPr>
          </w:p>
        </w:tc>
        <w:tc>
          <w:tcPr>
            <w:tcW w:w="93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视频监控</w:t>
            </w:r>
          </w:p>
        </w:tc>
        <w:tc>
          <w:tcPr>
            <w:tcW w:w="26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现有泵站、水厂、道路视频监控对接。</w:t>
            </w:r>
          </w:p>
        </w:tc>
        <w:tc>
          <w:tcPr>
            <w:tcW w:w="808"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66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1项</w:t>
            </w:r>
          </w:p>
        </w:tc>
        <w:tc>
          <w:tcPr>
            <w:tcW w:w="80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1640"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404" w:hRule="atLeast"/>
        </w:trPr>
        <w:tc>
          <w:tcPr>
            <w:tcW w:w="4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82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三维地理信息系统</w:t>
            </w:r>
          </w:p>
        </w:tc>
        <w:tc>
          <w:tcPr>
            <w:tcW w:w="933" w:type="dxa"/>
            <w:shd w:val="clear" w:color="auto" w:fill="auto"/>
            <w:vAlign w:val="center"/>
          </w:tcPr>
          <w:p>
            <w:pPr>
              <w:jc w:val="center"/>
              <w:rPr>
                <w:rFonts w:hint="eastAsia" w:ascii="宋体" w:hAnsi="宋体" w:eastAsia="宋体" w:cs="宋体"/>
                <w:i w:val="0"/>
                <w:iCs w:val="0"/>
                <w:color w:val="auto"/>
                <w:sz w:val="22"/>
                <w:szCs w:val="22"/>
                <w:u w:val="none"/>
              </w:rPr>
            </w:pPr>
          </w:p>
        </w:tc>
        <w:tc>
          <w:tcPr>
            <w:tcW w:w="26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对洞头排水、供水、燃气、电力管网进行三维建模，建立管网三维立体可视化平台，提供基于浏览器的三维管网查看、查询定位、图层控制、管网断面分析、管网流动模拟等功能。</w:t>
            </w:r>
          </w:p>
        </w:tc>
        <w:tc>
          <w:tcPr>
            <w:tcW w:w="808"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66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1套</w:t>
            </w:r>
          </w:p>
        </w:tc>
        <w:tc>
          <w:tcPr>
            <w:tcW w:w="80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1640"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2" w:hRule="atLeast"/>
        </w:trPr>
        <w:tc>
          <w:tcPr>
            <w:tcW w:w="4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w:t>
            </w:r>
          </w:p>
        </w:tc>
        <w:tc>
          <w:tcPr>
            <w:tcW w:w="82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内涝风险预警分析模型建设</w:t>
            </w:r>
          </w:p>
        </w:tc>
        <w:tc>
          <w:tcPr>
            <w:tcW w:w="933" w:type="dxa"/>
            <w:shd w:val="clear" w:color="auto" w:fill="auto"/>
            <w:vAlign w:val="center"/>
          </w:tcPr>
          <w:p>
            <w:pPr>
              <w:jc w:val="center"/>
              <w:rPr>
                <w:rFonts w:hint="eastAsia" w:ascii="宋体" w:hAnsi="宋体" w:eastAsia="宋体" w:cs="宋体"/>
                <w:i w:val="0"/>
                <w:iCs w:val="0"/>
                <w:color w:val="auto"/>
                <w:sz w:val="22"/>
                <w:szCs w:val="22"/>
                <w:u w:val="none"/>
              </w:rPr>
            </w:pPr>
          </w:p>
        </w:tc>
        <w:tc>
          <w:tcPr>
            <w:tcW w:w="26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基于地面、排水管网等多源数据和地理信息，结合潮汐海水位和内河、道路积水、历史内涝数据等情况，研发防汛大数据预警模型，防范内涝、积水等风险。</w:t>
            </w:r>
          </w:p>
        </w:tc>
        <w:tc>
          <w:tcPr>
            <w:tcW w:w="808"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66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1套</w:t>
            </w:r>
          </w:p>
        </w:tc>
        <w:tc>
          <w:tcPr>
            <w:tcW w:w="80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1640"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4" w:hRule="atLeast"/>
        </w:trPr>
        <w:tc>
          <w:tcPr>
            <w:tcW w:w="4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w:t>
            </w:r>
          </w:p>
        </w:tc>
        <w:tc>
          <w:tcPr>
            <w:tcW w:w="82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等保测评</w:t>
            </w:r>
          </w:p>
        </w:tc>
        <w:tc>
          <w:tcPr>
            <w:tcW w:w="933" w:type="dxa"/>
            <w:shd w:val="clear" w:color="auto" w:fill="auto"/>
            <w:vAlign w:val="center"/>
          </w:tcPr>
          <w:p>
            <w:pPr>
              <w:jc w:val="center"/>
              <w:rPr>
                <w:rFonts w:hint="eastAsia" w:ascii="宋体" w:hAnsi="宋体" w:eastAsia="宋体" w:cs="宋体"/>
                <w:i w:val="0"/>
                <w:iCs w:val="0"/>
                <w:color w:val="auto"/>
                <w:sz w:val="22"/>
                <w:szCs w:val="22"/>
                <w:u w:val="none"/>
              </w:rPr>
            </w:pPr>
          </w:p>
        </w:tc>
        <w:tc>
          <w:tcPr>
            <w:tcW w:w="2602"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等保二级测评费用。</w:t>
            </w:r>
          </w:p>
        </w:tc>
        <w:tc>
          <w:tcPr>
            <w:tcW w:w="808"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663"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1项</w:t>
            </w:r>
          </w:p>
        </w:tc>
        <w:tc>
          <w:tcPr>
            <w:tcW w:w="80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p>
        </w:tc>
        <w:tc>
          <w:tcPr>
            <w:tcW w:w="1640" w:type="dxa"/>
            <w:vMerge w:val="continue"/>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82" w:hRule="atLeast"/>
        </w:trPr>
        <w:tc>
          <w:tcPr>
            <w:tcW w:w="6230" w:type="dxa"/>
            <w:gridSpan w:val="6"/>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合计</w:t>
            </w:r>
            <w:r>
              <w:rPr>
                <w:rFonts w:hint="eastAsia" w:ascii="宋体" w:hAnsi="宋体" w:cs="宋体"/>
                <w:b/>
                <w:bCs/>
                <w:i w:val="0"/>
                <w:iCs w:val="0"/>
                <w:color w:val="auto"/>
                <w:kern w:val="0"/>
                <w:sz w:val="22"/>
                <w:szCs w:val="22"/>
                <w:u w:val="none"/>
                <w:lang w:val="en-US" w:eastAsia="zh-CN" w:bidi="ar"/>
              </w:rPr>
              <w:t>3</w:t>
            </w:r>
            <w:r>
              <w:rPr>
                <w:rFonts w:hint="eastAsia" w:ascii="宋体" w:hAnsi="宋体" w:eastAsia="宋体" w:cs="宋体"/>
                <w:b/>
                <w:bCs/>
                <w:i w:val="0"/>
                <w:iCs w:val="0"/>
                <w:color w:val="auto"/>
                <w:kern w:val="0"/>
                <w:sz w:val="22"/>
                <w:szCs w:val="22"/>
                <w:u w:val="none"/>
                <w:lang w:val="en-US" w:eastAsia="zh-CN" w:bidi="ar"/>
              </w:rPr>
              <w:t>（元）</w:t>
            </w:r>
          </w:p>
        </w:tc>
        <w:tc>
          <w:tcPr>
            <w:tcW w:w="2440" w:type="dxa"/>
            <w:gridSpan w:val="2"/>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kern w:val="0"/>
                <w:sz w:val="22"/>
                <w:szCs w:val="22"/>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20" w:hRule="atLeast"/>
        </w:trPr>
        <w:tc>
          <w:tcPr>
            <w:tcW w:w="6230" w:type="dxa"/>
            <w:gridSpan w:val="6"/>
            <w:shd w:val="clear" w:color="auto" w:fill="auto"/>
            <w:vAlign w:val="center"/>
          </w:tcPr>
          <w:p>
            <w:pPr>
              <w:keepNext w:val="0"/>
              <w:keepLines w:val="0"/>
              <w:widowControl/>
              <w:suppressLineNumbers w:val="0"/>
              <w:jc w:val="center"/>
              <w:textAlignment w:val="center"/>
              <w:rPr>
                <w:rFonts w:hint="default" w:ascii="宋体" w:hAnsi="宋体" w:eastAsia="宋体" w:cs="宋体"/>
                <w:b/>
                <w:bCs/>
                <w:i w:val="0"/>
                <w:iCs w:val="0"/>
                <w:color w:val="auto"/>
                <w:kern w:val="0"/>
                <w:sz w:val="22"/>
                <w:szCs w:val="22"/>
                <w:u w:val="none"/>
                <w:lang w:val="en-US" w:eastAsia="zh-CN" w:bidi="ar"/>
              </w:rPr>
            </w:pPr>
            <w:r>
              <w:rPr>
                <w:rFonts w:hint="eastAsia" w:ascii="宋体" w:hAnsi="宋体" w:cs="宋体"/>
                <w:b/>
                <w:bCs/>
                <w:i w:val="0"/>
                <w:iCs w:val="0"/>
                <w:color w:val="auto"/>
                <w:kern w:val="0"/>
                <w:sz w:val="22"/>
                <w:szCs w:val="22"/>
                <w:u w:val="none"/>
                <w:lang w:val="en-US" w:eastAsia="zh-CN" w:bidi="ar"/>
              </w:rPr>
              <w:t>合计（1+2+3总和）</w:t>
            </w:r>
          </w:p>
        </w:tc>
        <w:tc>
          <w:tcPr>
            <w:tcW w:w="2440" w:type="dxa"/>
            <w:gridSpan w:val="2"/>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auto"/>
                <w:kern w:val="0"/>
                <w:sz w:val="22"/>
                <w:szCs w:val="22"/>
                <w:u w:val="none"/>
                <w:lang w:val="en-US" w:eastAsia="zh-CN" w:bidi="ar"/>
              </w:rPr>
            </w:pPr>
          </w:p>
        </w:tc>
      </w:tr>
    </w:tbl>
    <w:p>
      <w:pPr>
        <w:spacing w:line="360" w:lineRule="auto"/>
        <w:rPr>
          <w:rFonts w:hint="eastAsia" w:ascii="宋体" w:hAnsi="宋体"/>
          <w:b/>
          <w:color w:val="auto"/>
          <w:sz w:val="22"/>
          <w:szCs w:val="22"/>
        </w:rPr>
      </w:pPr>
      <w:r>
        <w:rPr>
          <w:rFonts w:hint="eastAsia" w:ascii="宋体" w:hAnsi="宋体"/>
          <w:b/>
          <w:bCs/>
          <w:color w:val="auto"/>
          <w:sz w:val="22"/>
          <w:szCs w:val="22"/>
        </w:rPr>
        <w:t>说明：</w:t>
      </w:r>
      <w:r>
        <w:rPr>
          <w:rFonts w:hint="eastAsia" w:ascii="宋体" w:hAnsi="宋体"/>
          <w:b/>
          <w:color w:val="auto"/>
          <w:sz w:val="22"/>
          <w:szCs w:val="22"/>
        </w:rPr>
        <w:t>1、此表内投标总价应与（1）“开标一览表”投标报价相一致。</w:t>
      </w:r>
    </w:p>
    <w:p>
      <w:pPr>
        <w:numPr>
          <w:ilvl w:val="0"/>
          <w:numId w:val="57"/>
        </w:numPr>
        <w:spacing w:line="360" w:lineRule="auto"/>
        <w:ind w:firstLine="0" w:firstLineChars="0"/>
        <w:rPr>
          <w:rFonts w:hint="eastAsia" w:hAnsi="宋体" w:cs="宋体"/>
          <w:b w:val="0"/>
          <w:bCs w:val="0"/>
          <w:color w:val="000000"/>
          <w:sz w:val="24"/>
          <w:szCs w:val="24"/>
          <w:lang w:eastAsia="zh-CN"/>
        </w:rPr>
      </w:pPr>
      <w:r>
        <w:rPr>
          <w:rFonts w:hint="eastAsia" w:ascii="宋体" w:hAnsi="宋体" w:cs="Arial"/>
          <w:b/>
          <w:bCs/>
          <w:color w:val="auto"/>
          <w:sz w:val="22"/>
          <w:szCs w:val="22"/>
          <w:u w:val="single"/>
        </w:rPr>
        <w:t>▲</w:t>
      </w:r>
      <w:bookmarkStart w:id="1048" w:name="OLE_LINK12"/>
      <w:r>
        <w:rPr>
          <w:rFonts w:hint="eastAsia" w:hAnsi="宋体" w:cs="宋体"/>
          <w:b w:val="0"/>
          <w:bCs w:val="0"/>
          <w:color w:val="000000"/>
          <w:sz w:val="24"/>
          <w:szCs w:val="24"/>
          <w:lang w:eastAsia="zh-CN"/>
        </w:rPr>
        <w:t>投标</w:t>
      </w:r>
      <w:r>
        <w:rPr>
          <w:rFonts w:hint="eastAsia" w:hAnsi="宋体" w:cs="宋体"/>
          <w:b w:val="0"/>
          <w:bCs w:val="0"/>
          <w:color w:val="000000"/>
          <w:sz w:val="24"/>
          <w:szCs w:val="24"/>
          <w:lang w:val="en-US" w:eastAsia="zh-CN"/>
        </w:rPr>
        <w:t>单价、小计、合计</w:t>
      </w:r>
      <w:r>
        <w:rPr>
          <w:rFonts w:hint="eastAsia" w:hAnsi="宋体" w:cs="宋体"/>
          <w:b w:val="0"/>
          <w:bCs w:val="0"/>
          <w:color w:val="000000"/>
          <w:sz w:val="24"/>
          <w:szCs w:val="24"/>
          <w:lang w:eastAsia="zh-CN"/>
        </w:rPr>
        <w:t>不得超出采购</w:t>
      </w:r>
      <w:r>
        <w:rPr>
          <w:rFonts w:hint="eastAsia" w:hAnsi="宋体" w:cs="宋体"/>
          <w:b w:val="0"/>
          <w:bCs w:val="0"/>
          <w:color w:val="000000"/>
          <w:sz w:val="24"/>
          <w:szCs w:val="24"/>
          <w:lang w:val="en-US" w:eastAsia="zh-CN"/>
        </w:rPr>
        <w:t>清单中的最高限价</w:t>
      </w:r>
      <w:r>
        <w:rPr>
          <w:rFonts w:hint="eastAsia" w:hAnsi="宋体" w:cs="宋体"/>
          <w:b w:val="0"/>
          <w:bCs w:val="0"/>
          <w:color w:val="000000"/>
          <w:sz w:val="24"/>
          <w:szCs w:val="24"/>
          <w:lang w:eastAsia="zh-CN"/>
        </w:rPr>
        <w:t>，如超出将做无效投标处理。</w:t>
      </w:r>
    </w:p>
    <w:bookmarkEnd w:id="1048"/>
    <w:p>
      <w:pPr>
        <w:spacing w:line="360" w:lineRule="auto"/>
        <w:ind w:firstLine="0" w:firstLineChars="0"/>
        <w:rPr>
          <w:rFonts w:ascii="宋体" w:hAnsi="宋体" w:cs="宋体"/>
          <w:color w:val="auto"/>
          <w:sz w:val="22"/>
          <w:szCs w:val="22"/>
        </w:rPr>
      </w:pPr>
      <w:r>
        <w:rPr>
          <w:rFonts w:ascii="宋体" w:hAnsi="宋体" w:cs="宋体"/>
          <w:b/>
          <w:color w:val="auto"/>
          <w:sz w:val="22"/>
          <w:szCs w:val="22"/>
        </w:rPr>
        <w:t>3</w:t>
      </w:r>
      <w:r>
        <w:rPr>
          <w:rFonts w:hint="eastAsia" w:ascii="宋体" w:hAnsi="宋体" w:cs="宋体"/>
          <w:b/>
          <w:color w:val="auto"/>
          <w:sz w:val="22"/>
          <w:szCs w:val="22"/>
        </w:rPr>
        <w:t xml:space="preserve">. </w:t>
      </w:r>
      <w:r>
        <w:rPr>
          <w:rFonts w:hint="eastAsia" w:ascii="宋体" w:hAnsi="宋体" w:cs="宋体"/>
          <w:color w:val="auto"/>
          <w:sz w:val="22"/>
          <w:szCs w:val="22"/>
        </w:rPr>
        <w:t>本表可在不改变格式的情况下根据具体需要自行增减。</w:t>
      </w:r>
    </w:p>
    <w:p>
      <w:pPr>
        <w:spacing w:line="360" w:lineRule="auto"/>
        <w:rPr>
          <w:color w:val="auto"/>
        </w:rPr>
      </w:pPr>
    </w:p>
    <w:p>
      <w:pPr>
        <w:spacing w:line="360" w:lineRule="auto"/>
        <w:rPr>
          <w:rFonts w:ascii="宋体" w:hAnsi="宋体"/>
          <w:color w:val="auto"/>
          <w:sz w:val="22"/>
          <w:szCs w:val="22"/>
        </w:rPr>
      </w:pPr>
      <w:r>
        <w:rPr>
          <w:rFonts w:hint="eastAsia" w:ascii="宋体" w:hAnsi="宋体"/>
          <w:color w:val="auto"/>
          <w:sz w:val="22"/>
          <w:szCs w:val="22"/>
        </w:rPr>
        <w:t>投标人全称（</w:t>
      </w:r>
      <w:r>
        <w:rPr>
          <w:rFonts w:hint="eastAsia" w:ascii="宋体" w:hAnsi="宋体"/>
          <w:color w:val="auto"/>
          <w:sz w:val="22"/>
          <w:szCs w:val="22"/>
          <w:lang w:eastAsia="zh-CN"/>
        </w:rPr>
        <w:t>电子签名/公章</w:t>
      </w:r>
      <w:r>
        <w:rPr>
          <w:rFonts w:hint="eastAsia" w:ascii="宋体" w:hAnsi="宋体"/>
          <w:color w:val="auto"/>
          <w:sz w:val="22"/>
          <w:szCs w:val="22"/>
        </w:rPr>
        <w:t>）：</w:t>
      </w:r>
    </w:p>
    <w:p>
      <w:pPr>
        <w:spacing w:line="360" w:lineRule="auto"/>
        <w:rPr>
          <w:rFonts w:ascii="宋体" w:hAnsi="宋体"/>
          <w:color w:val="auto"/>
          <w:sz w:val="22"/>
          <w:szCs w:val="22"/>
        </w:rPr>
      </w:pPr>
      <w:r>
        <w:rPr>
          <w:rFonts w:hint="eastAsia" w:ascii="宋体" w:hAnsi="宋体"/>
          <w:color w:val="auto"/>
          <w:sz w:val="22"/>
          <w:szCs w:val="22"/>
        </w:rPr>
        <w:t>法定代表人或授权代表（签字或盖章）：</w:t>
      </w:r>
    </w:p>
    <w:p>
      <w:pPr>
        <w:spacing w:line="360" w:lineRule="auto"/>
        <w:jc w:val="left"/>
        <w:rPr>
          <w:rFonts w:ascii="宋体" w:hAnsi="宋体" w:cs="Arial"/>
          <w:b/>
          <w:bCs/>
          <w:color w:val="auto"/>
          <w:sz w:val="22"/>
          <w:szCs w:val="22"/>
        </w:rPr>
      </w:pPr>
      <w:r>
        <w:rPr>
          <w:rFonts w:hint="eastAsia" w:ascii="宋体" w:hAnsi="宋体"/>
          <w:color w:val="auto"/>
          <w:sz w:val="22"/>
          <w:szCs w:val="22"/>
        </w:rPr>
        <w:t>日期：</w:t>
      </w:r>
    </w:p>
    <w:p>
      <w:pPr>
        <w:spacing w:line="240" w:lineRule="auto"/>
        <w:rPr>
          <w:rFonts w:hint="eastAsia" w:ascii="宋体" w:hAnsi="宋体"/>
          <w:b/>
          <w:bCs/>
          <w:color w:val="auto"/>
          <w:sz w:val="22"/>
          <w:szCs w:val="22"/>
        </w:rPr>
      </w:pPr>
      <w:r>
        <w:rPr>
          <w:rFonts w:hint="eastAsia" w:ascii="宋体" w:hAnsi="宋体"/>
          <w:b/>
          <w:bCs/>
          <w:color w:val="auto"/>
          <w:sz w:val="22"/>
          <w:szCs w:val="22"/>
        </w:rPr>
        <w:br w:type="page"/>
      </w:r>
    </w:p>
    <w:p>
      <w:pPr>
        <w:spacing w:line="360" w:lineRule="auto"/>
        <w:rPr>
          <w:rFonts w:ascii="宋体" w:hAnsi="宋体"/>
          <w:b/>
          <w:bCs/>
          <w:color w:val="auto"/>
          <w:sz w:val="22"/>
          <w:szCs w:val="22"/>
        </w:rPr>
      </w:pPr>
      <w:r>
        <w:rPr>
          <w:rFonts w:hint="eastAsia" w:ascii="宋体" w:hAnsi="宋体"/>
          <w:b/>
          <w:bCs/>
          <w:color w:val="auto"/>
          <w:sz w:val="22"/>
          <w:szCs w:val="22"/>
        </w:rPr>
        <w:t>附件三</w:t>
      </w:r>
    </w:p>
    <w:p>
      <w:pPr>
        <w:spacing w:line="360" w:lineRule="auto"/>
        <w:rPr>
          <w:rFonts w:ascii="宋体" w:hAnsi="宋体"/>
          <w:b/>
          <w:bCs/>
          <w:color w:val="auto"/>
        </w:rPr>
      </w:pPr>
    </w:p>
    <w:p>
      <w:pPr>
        <w:spacing w:line="360" w:lineRule="auto"/>
        <w:jc w:val="center"/>
        <w:rPr>
          <w:rFonts w:ascii="宋体" w:hAnsi="宋体"/>
          <w:b/>
          <w:bCs/>
          <w:color w:val="auto"/>
          <w:sz w:val="28"/>
          <w:szCs w:val="28"/>
        </w:rPr>
      </w:pPr>
      <w:r>
        <w:rPr>
          <w:rFonts w:hint="eastAsia" w:ascii="宋体" w:hAnsi="宋体"/>
          <w:b/>
          <w:bCs/>
          <w:color w:val="auto"/>
          <w:sz w:val="28"/>
          <w:szCs w:val="28"/>
        </w:rPr>
        <w:t>投 标 函</w:t>
      </w:r>
    </w:p>
    <w:p>
      <w:pPr>
        <w:spacing w:line="360" w:lineRule="auto"/>
        <w:rPr>
          <w:rFonts w:ascii="宋体" w:hAnsi="宋体"/>
          <w:color w:val="auto"/>
          <w:sz w:val="22"/>
          <w:szCs w:val="22"/>
        </w:rPr>
      </w:pPr>
      <w:r>
        <w:rPr>
          <w:rFonts w:hint="eastAsia" w:ascii="宋体" w:hAnsi="宋体"/>
          <w:bCs/>
          <w:color w:val="auto"/>
          <w:sz w:val="22"/>
          <w:szCs w:val="22"/>
          <w:lang w:eastAsia="zh-CN"/>
        </w:rPr>
        <w:t>温州市洞头区综合行政执法局</w:t>
      </w:r>
      <w:r>
        <w:rPr>
          <w:rFonts w:hint="eastAsia" w:ascii="宋体" w:hAnsi="宋体"/>
          <w:color w:val="auto"/>
          <w:sz w:val="22"/>
          <w:szCs w:val="22"/>
        </w:rPr>
        <w:t>：</w:t>
      </w:r>
    </w:p>
    <w:p>
      <w:pPr>
        <w:spacing w:line="360" w:lineRule="auto"/>
        <w:rPr>
          <w:rFonts w:ascii="宋体" w:hAnsi="宋体"/>
          <w:color w:val="auto"/>
          <w:sz w:val="22"/>
          <w:szCs w:val="22"/>
        </w:rPr>
      </w:pPr>
      <w:r>
        <w:rPr>
          <w:rFonts w:hint="eastAsia" w:ascii="宋体" w:hAnsi="宋体"/>
          <w:color w:val="auto"/>
          <w:sz w:val="22"/>
          <w:szCs w:val="22"/>
          <w:lang w:eastAsia="zh-CN"/>
        </w:rPr>
        <w:t>浙江恒杰工程管理有限公司</w:t>
      </w:r>
      <w:r>
        <w:rPr>
          <w:rFonts w:hint="eastAsia" w:ascii="宋体" w:hAnsi="宋体"/>
          <w:color w:val="auto"/>
          <w:sz w:val="22"/>
          <w:szCs w:val="22"/>
        </w:rPr>
        <w:t>：</w:t>
      </w:r>
    </w:p>
    <w:p>
      <w:pPr>
        <w:spacing w:line="360" w:lineRule="auto"/>
        <w:ind w:firstLine="0" w:firstLineChars="0"/>
        <w:rPr>
          <w:rFonts w:ascii="宋体" w:hAnsi="宋体"/>
          <w:color w:val="auto"/>
          <w:sz w:val="22"/>
          <w:szCs w:val="22"/>
        </w:rPr>
      </w:pPr>
      <w:r>
        <w:rPr>
          <w:rFonts w:hint="eastAsia" w:ascii="宋体" w:hAnsi="宋体"/>
          <w:color w:val="auto"/>
          <w:sz w:val="22"/>
          <w:szCs w:val="22"/>
        </w:rPr>
        <w:t>根据贵方为项目（招标编号：）的投标邀请，我方</w:t>
      </w:r>
      <w:r>
        <w:rPr>
          <w:rFonts w:hint="eastAsia" w:ascii="宋体" w:hAnsi="宋体"/>
          <w:color w:val="auto"/>
          <w:sz w:val="22"/>
          <w:szCs w:val="22"/>
          <w:u w:val="single"/>
        </w:rPr>
        <w:t xml:space="preserve">           　　</w:t>
      </w:r>
      <w:r>
        <w:rPr>
          <w:rFonts w:hint="eastAsia" w:ascii="宋体" w:hAnsi="宋体"/>
          <w:color w:val="auto"/>
          <w:sz w:val="22"/>
          <w:szCs w:val="22"/>
        </w:rPr>
        <w:t>（投标人名称）作为投标人正式授权</w:t>
      </w:r>
      <w:r>
        <w:rPr>
          <w:rFonts w:hint="eastAsia" w:ascii="宋体" w:hAnsi="宋体"/>
          <w:color w:val="auto"/>
          <w:sz w:val="22"/>
          <w:szCs w:val="22"/>
          <w:u w:val="single"/>
        </w:rPr>
        <w:t xml:space="preserve">　           </w:t>
      </w:r>
      <w:r>
        <w:rPr>
          <w:rFonts w:hint="eastAsia" w:ascii="宋体" w:hAnsi="宋体"/>
          <w:color w:val="auto"/>
          <w:sz w:val="22"/>
          <w:szCs w:val="22"/>
        </w:rPr>
        <w:t>（授权代表全名，职务）代表我方处理有关本投标的一切事宜。</w:t>
      </w:r>
    </w:p>
    <w:p>
      <w:pPr>
        <w:pStyle w:val="16"/>
        <w:spacing w:line="360" w:lineRule="auto"/>
        <w:ind w:firstLine="0" w:firstLineChars="0"/>
        <w:rPr>
          <w:rFonts w:ascii="宋体" w:hAnsi="宋体" w:cs="hakuyoxingshu7000"/>
          <w:color w:val="auto"/>
          <w:sz w:val="22"/>
        </w:rPr>
      </w:pPr>
      <w:r>
        <w:rPr>
          <w:rFonts w:hint="eastAsia" w:ascii="宋体" w:hAnsi="宋体" w:cs="hakuyoxingshu7000"/>
          <w:color w:val="auto"/>
          <w:sz w:val="22"/>
          <w:szCs w:val="22"/>
        </w:rPr>
        <w:t>在此提交的投标文件中，包括如下内</w:t>
      </w:r>
      <w:r>
        <w:rPr>
          <w:rFonts w:hint="eastAsia" w:ascii="宋体" w:hAnsi="宋体" w:cs="hakuyoxingshu7000"/>
          <w:color w:val="auto"/>
          <w:sz w:val="22"/>
        </w:rPr>
        <w:t>容：</w:t>
      </w:r>
    </w:p>
    <w:p>
      <w:pPr>
        <w:spacing w:line="360" w:lineRule="auto"/>
        <w:ind w:firstLine="0" w:firstLineChars="0"/>
        <w:rPr>
          <w:rFonts w:ascii="宋体" w:hAnsi="宋体" w:cs="hakuyoxingshu7000"/>
          <w:color w:val="auto"/>
          <w:sz w:val="22"/>
        </w:rPr>
      </w:pPr>
      <w:r>
        <w:rPr>
          <w:rFonts w:hint="eastAsia" w:ascii="宋体" w:hAnsi="宋体" w:cs="hakuyoxingshu7000"/>
          <w:color w:val="auto"/>
          <w:sz w:val="22"/>
        </w:rPr>
        <w:t>1、</w:t>
      </w:r>
      <w:r>
        <w:rPr>
          <w:rFonts w:hint="eastAsia" w:ascii="宋体" w:hAnsi="宋体" w:cs="新宋体"/>
          <w:color w:val="auto"/>
          <w:sz w:val="22"/>
        </w:rPr>
        <w:t>按“投标人须知”要求编制的投标文件资格文件；</w:t>
      </w:r>
    </w:p>
    <w:p>
      <w:pPr>
        <w:spacing w:line="360" w:lineRule="auto"/>
        <w:ind w:firstLine="0" w:firstLineChars="0"/>
        <w:rPr>
          <w:rFonts w:ascii="宋体" w:hAnsi="宋体" w:cs="hakuyoxingshu7000"/>
          <w:color w:val="auto"/>
          <w:sz w:val="22"/>
        </w:rPr>
      </w:pPr>
      <w:r>
        <w:rPr>
          <w:rFonts w:hint="eastAsia" w:ascii="宋体" w:hAnsi="宋体" w:cs="hakuyoxingshu7000"/>
          <w:color w:val="auto"/>
          <w:sz w:val="22"/>
        </w:rPr>
        <w:t>2、按“投标人须知”要求编制的投标文件商务技术文件；</w:t>
      </w:r>
    </w:p>
    <w:p>
      <w:pPr>
        <w:spacing w:line="360" w:lineRule="auto"/>
        <w:ind w:firstLine="0" w:firstLineChars="0"/>
        <w:rPr>
          <w:rFonts w:ascii="宋体" w:hAnsi="宋体" w:cs="hakuyoxingshu7000"/>
          <w:color w:val="auto"/>
          <w:sz w:val="22"/>
        </w:rPr>
      </w:pPr>
      <w:r>
        <w:rPr>
          <w:rFonts w:hint="eastAsia" w:ascii="宋体" w:hAnsi="宋体" w:cs="hakuyoxingshu7000"/>
          <w:color w:val="auto"/>
          <w:sz w:val="22"/>
        </w:rPr>
        <w:t>3、按“投标人须知”要求编制的投标文件报价文件；</w:t>
      </w:r>
    </w:p>
    <w:p>
      <w:pPr>
        <w:spacing w:line="360" w:lineRule="auto"/>
        <w:ind w:firstLine="0" w:firstLineChars="0"/>
        <w:rPr>
          <w:rFonts w:ascii="宋体" w:hAnsi="宋体" w:cs="hakuyoxingshu7000"/>
          <w:color w:val="auto"/>
          <w:sz w:val="22"/>
        </w:rPr>
      </w:pPr>
      <w:r>
        <w:rPr>
          <w:rFonts w:hint="eastAsia" w:ascii="宋体" w:hAnsi="宋体" w:cs="hakuyoxingshu7000"/>
          <w:color w:val="auto"/>
          <w:sz w:val="22"/>
        </w:rPr>
        <w:t>我方己完全明白招标文件的所有条款要求，并重申以下几点：</w:t>
      </w:r>
    </w:p>
    <w:p>
      <w:pPr>
        <w:pStyle w:val="124"/>
        <w:numPr>
          <w:ilvl w:val="1"/>
          <w:numId w:val="65"/>
        </w:numPr>
        <w:spacing w:line="360" w:lineRule="auto"/>
        <w:ind w:left="567" w:firstLine="0" w:firstLineChars="0"/>
        <w:rPr>
          <w:rFonts w:ascii="宋体" w:hAnsi="宋体" w:cs="hakuyoxingshu7000"/>
          <w:color w:val="auto"/>
          <w:sz w:val="22"/>
        </w:rPr>
      </w:pPr>
      <w:r>
        <w:rPr>
          <w:rFonts w:hint="eastAsia" w:ascii="宋体" w:hAnsi="宋体" w:cs="hakuyoxingshu7000"/>
          <w:color w:val="auto"/>
          <w:sz w:val="22"/>
        </w:rPr>
        <w:t>本投标文件的有效期自投标截止日起  90 天内有效，如中标，有效期将延至合同终止日为止；</w:t>
      </w:r>
    </w:p>
    <w:p>
      <w:pPr>
        <w:pStyle w:val="124"/>
        <w:numPr>
          <w:ilvl w:val="1"/>
          <w:numId w:val="65"/>
        </w:numPr>
        <w:spacing w:line="360" w:lineRule="auto"/>
        <w:ind w:left="567" w:firstLine="0" w:firstLineChars="0"/>
        <w:rPr>
          <w:rFonts w:ascii="宋体" w:hAnsi="宋体" w:cs="hakuyoxingshu7000"/>
          <w:color w:val="auto"/>
          <w:sz w:val="22"/>
        </w:rPr>
      </w:pPr>
      <w:r>
        <w:rPr>
          <w:rFonts w:hint="eastAsia" w:ascii="宋体" w:hAnsi="宋体" w:cs="hakuyoxingshu7000"/>
          <w:color w:val="auto"/>
          <w:sz w:val="22"/>
        </w:rPr>
        <w:t>我方已详细研究了招标文件的所有内容包括修改书（如有）和所有已提供的参考资料以及有关附件，我方完全理解并同意放弃在此方面提出含糊意见或误解的一切权力；</w:t>
      </w:r>
    </w:p>
    <w:p>
      <w:pPr>
        <w:pStyle w:val="124"/>
        <w:numPr>
          <w:ilvl w:val="1"/>
          <w:numId w:val="65"/>
        </w:numPr>
        <w:spacing w:line="360" w:lineRule="auto"/>
        <w:ind w:left="567" w:firstLine="0" w:firstLineChars="0"/>
        <w:rPr>
          <w:rFonts w:ascii="宋体" w:hAnsi="宋体" w:cs="hakuyoxingshu7000"/>
          <w:color w:val="auto"/>
          <w:sz w:val="22"/>
        </w:rPr>
      </w:pPr>
      <w:r>
        <w:rPr>
          <w:rFonts w:hint="eastAsia" w:ascii="宋体" w:hAnsi="宋体" w:cs="hakuyoxingshu7000"/>
          <w:color w:val="auto"/>
          <w:sz w:val="22"/>
        </w:rPr>
        <w:t>我方郑重承诺所提供的“信用中国网站”、“中国政府采购网”信用查询证明文件真实有效；</w:t>
      </w:r>
    </w:p>
    <w:p>
      <w:pPr>
        <w:pStyle w:val="124"/>
        <w:numPr>
          <w:ilvl w:val="1"/>
          <w:numId w:val="65"/>
        </w:numPr>
        <w:spacing w:line="360" w:lineRule="auto"/>
        <w:ind w:left="567" w:firstLine="0" w:firstLineChars="0"/>
        <w:rPr>
          <w:rFonts w:ascii="宋体" w:hAnsi="宋体" w:cs="hakuyoxingshu7000"/>
          <w:color w:val="auto"/>
          <w:sz w:val="22"/>
        </w:rPr>
      </w:pPr>
      <w:r>
        <w:rPr>
          <w:rFonts w:hint="eastAsia" w:ascii="宋体" w:hAnsi="宋体" w:cs="hakuyoxingshu7000"/>
          <w:color w:val="auto"/>
          <w:sz w:val="22"/>
        </w:rPr>
        <w:t>我方在参加本项目前三年内</w:t>
      </w:r>
      <w:r>
        <w:rPr>
          <w:rFonts w:hint="eastAsia" w:ascii="宋体" w:hAnsi="宋体" w:cs="hakuyoxingshu7000"/>
          <w:color w:val="auto"/>
          <w:sz w:val="22"/>
          <w:u w:val="single"/>
        </w:rPr>
        <w:t>（被通报或者处罚的违法行为有：               ）</w:t>
      </w:r>
      <w:r>
        <w:rPr>
          <w:rFonts w:hint="eastAsia" w:ascii="宋体" w:hAnsi="宋体" w:cs="hakuyoxingshu7000"/>
          <w:color w:val="auto"/>
          <w:sz w:val="22"/>
        </w:rPr>
        <w:t>或（</w:t>
      </w:r>
      <w:r>
        <w:rPr>
          <w:rFonts w:hint="eastAsia" w:ascii="宋体" w:hAnsi="宋体" w:cs="hakuyoxingshu7000"/>
          <w:color w:val="auto"/>
          <w:sz w:val="22"/>
          <w:u w:val="single"/>
        </w:rPr>
        <w:t>没有因违法经营受到刑事处罚或者责令停产停业、吊销许可证或者执照、较大数额罚款等行政处罚或处罚）</w:t>
      </w:r>
      <w:r>
        <w:rPr>
          <w:rFonts w:hint="eastAsia" w:ascii="宋体" w:hAnsi="宋体" w:cs="hakuyoxingshu7000"/>
          <w:color w:val="auto"/>
          <w:sz w:val="22"/>
        </w:rPr>
        <w:t>或</w:t>
      </w:r>
      <w:r>
        <w:rPr>
          <w:rFonts w:hint="eastAsia" w:ascii="宋体" w:hAnsi="宋体" w:cs="hakuyoxingshu7000"/>
          <w:color w:val="auto"/>
          <w:sz w:val="22"/>
          <w:u w:val="single"/>
        </w:rPr>
        <w:t>（在  至  期间禁止参加政府采购活动但是期限届满，须附相关证明文件）</w:t>
      </w:r>
      <w:r>
        <w:rPr>
          <w:rFonts w:hint="eastAsia" w:ascii="宋体" w:hAnsi="宋体" w:cs="hakuyoxingshu7000"/>
          <w:color w:val="auto"/>
          <w:sz w:val="22"/>
        </w:rPr>
        <w:t>；</w:t>
      </w:r>
    </w:p>
    <w:p>
      <w:pPr>
        <w:pStyle w:val="124"/>
        <w:numPr>
          <w:ilvl w:val="1"/>
          <w:numId w:val="65"/>
        </w:numPr>
        <w:spacing w:line="360" w:lineRule="auto"/>
        <w:ind w:left="567" w:firstLine="0" w:firstLineChars="0"/>
        <w:rPr>
          <w:rFonts w:ascii="宋体" w:hAnsi="宋体" w:cs="hakuyoxingshu7000"/>
          <w:color w:val="auto"/>
          <w:sz w:val="22"/>
        </w:rPr>
      </w:pPr>
      <w:r>
        <w:rPr>
          <w:rFonts w:hint="eastAsia" w:ascii="宋体" w:hAnsi="宋体" w:cs="hakuyoxingshu7000"/>
          <w:color w:val="auto"/>
          <w:sz w:val="22"/>
        </w:rPr>
        <w:t>我方同意提供按照贵方可能要求的与投标有关的一切数据或资料；</w:t>
      </w:r>
    </w:p>
    <w:p>
      <w:pPr>
        <w:pStyle w:val="124"/>
        <w:numPr>
          <w:ilvl w:val="1"/>
          <w:numId w:val="65"/>
        </w:numPr>
        <w:spacing w:line="360" w:lineRule="auto"/>
        <w:ind w:left="567" w:firstLine="0" w:firstLineChars="0"/>
        <w:rPr>
          <w:rFonts w:ascii="宋体" w:hAnsi="宋体" w:cs="hakuyoxingshu7000"/>
          <w:color w:val="auto"/>
          <w:sz w:val="22"/>
        </w:rPr>
      </w:pPr>
      <w:r>
        <w:rPr>
          <w:rFonts w:hint="eastAsia" w:ascii="宋体" w:hAnsi="宋体" w:cs="hakuyoxingshu7000"/>
          <w:color w:val="auto"/>
          <w:sz w:val="22"/>
        </w:rPr>
        <w:t>我方理解贵方不一定接受最低报价。</w:t>
      </w:r>
      <w:r>
        <w:rPr>
          <w:rFonts w:ascii="宋体" w:hAnsi="宋体" w:cs="hakuyoxingshu7000"/>
          <w:color w:val="auto"/>
          <w:sz w:val="22"/>
        </w:rPr>
        <w:tab/>
      </w:r>
    </w:p>
    <w:p>
      <w:pPr>
        <w:pStyle w:val="124"/>
        <w:numPr>
          <w:ilvl w:val="1"/>
          <w:numId w:val="65"/>
        </w:numPr>
        <w:spacing w:line="360" w:lineRule="auto"/>
        <w:ind w:left="567" w:firstLine="0" w:firstLineChars="0"/>
        <w:rPr>
          <w:rFonts w:ascii="宋体" w:hAnsi="宋体" w:cs="hakuyoxingshu7000"/>
          <w:color w:val="auto"/>
          <w:sz w:val="22"/>
        </w:rPr>
      </w:pPr>
      <w:r>
        <w:rPr>
          <w:rFonts w:hint="eastAsia" w:ascii="宋体" w:hAnsi="宋体" w:cs="hakuyoxingshu7000"/>
          <w:color w:val="auto"/>
          <w:sz w:val="22"/>
        </w:rPr>
        <w:t>我方如果中标，将保证履行招标文件以及招标文件修改书（如有）中的全部责任和义务，按质、按量、按期完成《合同书》中的全部任务。</w:t>
      </w:r>
    </w:p>
    <w:p>
      <w:pPr>
        <w:pStyle w:val="124"/>
        <w:numPr>
          <w:ilvl w:val="1"/>
          <w:numId w:val="65"/>
        </w:numPr>
        <w:spacing w:line="360" w:lineRule="auto"/>
        <w:ind w:left="567" w:firstLine="0" w:firstLineChars="0"/>
        <w:rPr>
          <w:rFonts w:ascii="宋体" w:hAnsi="宋体" w:cs="hakuyoxingshu7000"/>
          <w:color w:val="auto"/>
          <w:sz w:val="22"/>
        </w:rPr>
      </w:pPr>
      <w:r>
        <w:rPr>
          <w:rFonts w:hint="eastAsia" w:ascii="宋体" w:hAnsi="宋体" w:cs="hakuyoxingshu7000"/>
          <w:color w:val="auto"/>
          <w:sz w:val="22"/>
        </w:rPr>
        <w:t>所有与本投标有关的函件请发往下列地址：</w:t>
      </w:r>
    </w:p>
    <w:p>
      <w:pPr>
        <w:spacing w:line="360" w:lineRule="auto"/>
        <w:ind w:firstLine="0"/>
        <w:rPr>
          <w:rFonts w:ascii="宋体" w:hAnsi="宋体" w:cs="hakuyoxingshu7000"/>
          <w:color w:val="auto"/>
          <w:sz w:val="22"/>
          <w:szCs w:val="22"/>
        </w:rPr>
      </w:pPr>
      <w:r>
        <w:rPr>
          <w:rFonts w:hint="eastAsia" w:ascii="宋体" w:hAnsi="宋体" w:cs="hakuyoxingshu7000"/>
          <w:color w:val="auto"/>
          <w:sz w:val="22"/>
          <w:szCs w:val="22"/>
        </w:rPr>
        <w:t xml:space="preserve">   地址</w:t>
      </w:r>
    </w:p>
    <w:p>
      <w:pPr>
        <w:spacing w:line="360" w:lineRule="auto"/>
        <w:ind w:firstLine="0"/>
        <w:rPr>
          <w:rFonts w:ascii="宋体" w:hAnsi="宋体" w:cs="hakuyoxingshu7000"/>
          <w:color w:val="auto"/>
          <w:sz w:val="22"/>
          <w:szCs w:val="22"/>
        </w:rPr>
      </w:pPr>
      <w:r>
        <w:rPr>
          <w:rFonts w:hint="eastAsia" w:ascii="宋体" w:hAnsi="宋体" w:cs="hakuyoxingshu7000"/>
          <w:color w:val="auto"/>
          <w:sz w:val="22"/>
          <w:szCs w:val="22"/>
        </w:rPr>
        <w:t xml:space="preserve">   电话</w:t>
      </w:r>
    </w:p>
    <w:p>
      <w:pPr>
        <w:spacing w:line="360" w:lineRule="auto"/>
        <w:ind w:firstLine="0"/>
        <w:rPr>
          <w:rFonts w:ascii="宋体" w:hAnsi="宋体" w:cs="hakuyoxingshu7000"/>
          <w:color w:val="auto"/>
          <w:sz w:val="22"/>
          <w:szCs w:val="22"/>
          <w:u w:val="single"/>
        </w:rPr>
      </w:pPr>
      <w:r>
        <w:rPr>
          <w:rFonts w:hint="eastAsia" w:ascii="宋体" w:hAnsi="宋体" w:cs="hakuyoxingshu7000"/>
          <w:color w:val="auto"/>
          <w:sz w:val="22"/>
          <w:szCs w:val="22"/>
        </w:rPr>
        <w:t xml:space="preserve">   传真</w:t>
      </w:r>
    </w:p>
    <w:p>
      <w:pPr>
        <w:spacing w:line="360" w:lineRule="auto"/>
        <w:ind w:firstLine="0" w:firstLineChars="0"/>
        <w:rPr>
          <w:rFonts w:ascii="宋体" w:hAnsi="宋体" w:cs="hakuyoxingshu7000"/>
          <w:color w:val="auto"/>
          <w:sz w:val="22"/>
          <w:szCs w:val="22"/>
          <w:u w:val="single"/>
        </w:rPr>
      </w:pPr>
      <w:r>
        <w:rPr>
          <w:rFonts w:hint="eastAsia" w:ascii="宋体" w:hAnsi="宋体" w:cs="hakuyoxingshu7000"/>
          <w:color w:val="auto"/>
          <w:sz w:val="22"/>
          <w:szCs w:val="22"/>
        </w:rPr>
        <w:t>电子邮件</w:t>
      </w:r>
    </w:p>
    <w:p>
      <w:pPr>
        <w:spacing w:line="360" w:lineRule="auto"/>
        <w:ind w:firstLine="0"/>
        <w:rPr>
          <w:rFonts w:ascii="宋体" w:hAnsi="宋体"/>
          <w:color w:val="auto"/>
          <w:sz w:val="22"/>
          <w:szCs w:val="22"/>
        </w:rPr>
      </w:pPr>
    </w:p>
    <w:p>
      <w:pPr>
        <w:spacing w:line="360" w:lineRule="auto"/>
        <w:ind w:firstLine="0"/>
        <w:rPr>
          <w:rFonts w:ascii="宋体" w:hAnsi="宋体"/>
          <w:color w:val="auto"/>
          <w:sz w:val="22"/>
          <w:szCs w:val="22"/>
        </w:rPr>
      </w:pPr>
      <w:r>
        <w:rPr>
          <w:rFonts w:hint="eastAsia" w:ascii="宋体" w:hAnsi="宋体"/>
          <w:color w:val="auto"/>
          <w:sz w:val="22"/>
          <w:szCs w:val="22"/>
        </w:rPr>
        <w:t xml:space="preserve">                                   投标人名称（</w:t>
      </w:r>
      <w:r>
        <w:rPr>
          <w:rFonts w:hint="eastAsia" w:ascii="宋体" w:hAnsi="宋体"/>
          <w:color w:val="auto"/>
          <w:sz w:val="22"/>
          <w:szCs w:val="22"/>
          <w:lang w:eastAsia="zh-CN"/>
        </w:rPr>
        <w:t>电子签名/公章</w:t>
      </w:r>
      <w:r>
        <w:rPr>
          <w:rFonts w:hint="eastAsia" w:ascii="宋体" w:hAnsi="宋体"/>
          <w:color w:val="auto"/>
          <w:sz w:val="22"/>
          <w:szCs w:val="22"/>
        </w:rPr>
        <w:t>）</w:t>
      </w:r>
    </w:p>
    <w:p>
      <w:pPr>
        <w:spacing w:line="360" w:lineRule="auto"/>
        <w:ind w:firstLine="0"/>
        <w:rPr>
          <w:rFonts w:ascii="宋体" w:hAnsi="宋体"/>
          <w:color w:val="auto"/>
          <w:sz w:val="22"/>
          <w:szCs w:val="22"/>
        </w:rPr>
      </w:pPr>
      <w:r>
        <w:rPr>
          <w:rFonts w:hint="eastAsia" w:ascii="宋体" w:hAnsi="宋体"/>
          <w:color w:val="auto"/>
          <w:sz w:val="22"/>
          <w:szCs w:val="22"/>
        </w:rPr>
        <w:t xml:space="preserve">                                   投标人代表（签字或盖章）</w:t>
      </w:r>
    </w:p>
    <w:p>
      <w:pPr>
        <w:spacing w:line="360" w:lineRule="auto"/>
        <w:ind w:firstLine="0"/>
        <w:rPr>
          <w:rFonts w:ascii="宋体" w:hAnsi="宋体"/>
          <w:color w:val="auto"/>
          <w:sz w:val="22"/>
          <w:szCs w:val="22"/>
          <w:u w:val="single"/>
        </w:rPr>
        <w:sectPr>
          <w:footerReference r:id="rId9" w:type="first"/>
          <w:footerReference r:id="rId8" w:type="default"/>
          <w:pgSz w:w="11906" w:h="16838"/>
          <w:pgMar w:top="1134" w:right="1134" w:bottom="1134" w:left="1134" w:header="851" w:footer="851" w:gutter="0"/>
          <w:pgNumType w:fmt="decimal" w:start="1"/>
          <w:cols w:space="720" w:num="1"/>
          <w:titlePg/>
          <w:docGrid w:linePitch="312" w:charSpace="0"/>
        </w:sectPr>
      </w:pPr>
      <w:r>
        <w:rPr>
          <w:rFonts w:hint="eastAsia" w:ascii="宋体" w:hAnsi="宋体"/>
          <w:color w:val="auto"/>
          <w:sz w:val="22"/>
          <w:szCs w:val="22"/>
        </w:rPr>
        <w:t xml:space="preserve">                                   日    期</w:t>
      </w:r>
    </w:p>
    <w:p>
      <w:pPr>
        <w:spacing w:line="360" w:lineRule="auto"/>
        <w:rPr>
          <w:rFonts w:ascii="宋体" w:hAnsi="宋体"/>
          <w:color w:val="auto"/>
        </w:rPr>
      </w:pPr>
      <w:r>
        <w:rPr>
          <w:rFonts w:hint="eastAsia" w:ascii="宋体" w:hAnsi="宋体"/>
          <w:b/>
          <w:bCs/>
          <w:color w:val="auto"/>
          <w:sz w:val="22"/>
          <w:szCs w:val="22"/>
        </w:rPr>
        <w:t>附件四</w:t>
      </w:r>
    </w:p>
    <w:p>
      <w:pPr>
        <w:spacing w:line="360" w:lineRule="auto"/>
        <w:rPr>
          <w:rFonts w:ascii="宋体" w:hAnsi="宋体"/>
          <w:b/>
          <w:color w:val="auto"/>
          <w:sz w:val="22"/>
          <w:szCs w:val="22"/>
        </w:rPr>
      </w:pPr>
    </w:p>
    <w:p>
      <w:pPr>
        <w:spacing w:line="360" w:lineRule="auto"/>
        <w:ind w:firstLine="0"/>
        <w:jc w:val="center"/>
        <w:rPr>
          <w:rFonts w:ascii="宋体" w:hAnsi="宋体"/>
          <w:b/>
          <w:bCs/>
          <w:color w:val="auto"/>
          <w:sz w:val="28"/>
          <w:szCs w:val="28"/>
        </w:rPr>
      </w:pPr>
      <w:r>
        <w:rPr>
          <w:rFonts w:hint="eastAsia" w:ascii="宋体" w:hAnsi="宋体"/>
          <w:b/>
          <w:bCs/>
          <w:color w:val="auto"/>
          <w:sz w:val="28"/>
          <w:szCs w:val="28"/>
        </w:rPr>
        <w:t>技术规格、商务条款偏离表</w:t>
      </w:r>
    </w:p>
    <w:p>
      <w:pPr>
        <w:spacing w:line="360" w:lineRule="auto"/>
        <w:rPr>
          <w:rFonts w:ascii="宋体" w:hAnsi="宋体"/>
          <w:b/>
          <w:bCs/>
          <w:color w:val="auto"/>
          <w:sz w:val="22"/>
          <w:szCs w:val="22"/>
        </w:rPr>
      </w:pPr>
      <w:r>
        <w:rPr>
          <w:rFonts w:hint="eastAsia" w:ascii="宋体" w:hAnsi="宋体"/>
          <w:b/>
          <w:bCs/>
          <w:color w:val="auto"/>
          <w:sz w:val="22"/>
          <w:szCs w:val="22"/>
          <w:lang w:val="en-US" w:eastAsia="zh-CN"/>
        </w:rPr>
        <w:t>项目</w:t>
      </w:r>
      <w:r>
        <w:rPr>
          <w:rFonts w:hint="eastAsia" w:ascii="宋体" w:hAnsi="宋体"/>
          <w:b/>
          <w:bCs/>
          <w:color w:val="auto"/>
          <w:sz w:val="22"/>
          <w:szCs w:val="22"/>
        </w:rPr>
        <w:t xml:space="preserve">名称：                                          </w:t>
      </w:r>
      <w:r>
        <w:rPr>
          <w:rFonts w:hint="eastAsia" w:ascii="宋体" w:hAnsi="宋体"/>
          <w:b/>
          <w:bCs/>
          <w:color w:val="auto"/>
          <w:sz w:val="22"/>
          <w:szCs w:val="22"/>
          <w:lang w:val="en-US" w:eastAsia="zh-CN"/>
        </w:rPr>
        <w:t>项目</w:t>
      </w:r>
      <w:r>
        <w:rPr>
          <w:rFonts w:hint="eastAsia" w:ascii="宋体" w:hAnsi="宋体"/>
          <w:b/>
          <w:bCs/>
          <w:color w:val="auto"/>
          <w:sz w:val="22"/>
          <w:szCs w:val="22"/>
        </w:rPr>
        <w:t>编号：</w:t>
      </w:r>
    </w:p>
    <w:tbl>
      <w:tblPr>
        <w:tblStyle w:val="63"/>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3"/>
        <w:gridCol w:w="1364"/>
        <w:gridCol w:w="2097"/>
        <w:gridCol w:w="1992"/>
        <w:gridCol w:w="1866"/>
        <w:gridCol w:w="15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jc w:val="center"/>
        </w:trPr>
        <w:tc>
          <w:tcPr>
            <w:tcW w:w="943" w:type="dxa"/>
          </w:tcPr>
          <w:p>
            <w:pPr>
              <w:spacing w:line="360" w:lineRule="auto"/>
              <w:jc w:val="center"/>
              <w:rPr>
                <w:rFonts w:ascii="宋体" w:hAnsi="宋体"/>
                <w:color w:val="auto"/>
                <w:sz w:val="22"/>
                <w:szCs w:val="22"/>
              </w:rPr>
            </w:pPr>
          </w:p>
        </w:tc>
        <w:tc>
          <w:tcPr>
            <w:tcW w:w="1364" w:type="dxa"/>
            <w:vAlign w:val="center"/>
          </w:tcPr>
          <w:p>
            <w:pPr>
              <w:spacing w:line="360" w:lineRule="auto"/>
              <w:jc w:val="center"/>
              <w:rPr>
                <w:rFonts w:ascii="宋体" w:hAnsi="宋体"/>
                <w:color w:val="auto"/>
                <w:sz w:val="22"/>
                <w:szCs w:val="22"/>
              </w:rPr>
            </w:pPr>
            <w:r>
              <w:rPr>
                <w:rFonts w:hint="eastAsia" w:ascii="宋体" w:hAnsi="宋体"/>
                <w:color w:val="auto"/>
                <w:sz w:val="22"/>
                <w:szCs w:val="22"/>
              </w:rPr>
              <w:t>序号</w:t>
            </w:r>
          </w:p>
        </w:tc>
        <w:tc>
          <w:tcPr>
            <w:tcW w:w="2097" w:type="dxa"/>
            <w:vAlign w:val="center"/>
          </w:tcPr>
          <w:p>
            <w:pPr>
              <w:spacing w:line="360" w:lineRule="auto"/>
              <w:jc w:val="center"/>
              <w:rPr>
                <w:rFonts w:ascii="宋体" w:hAnsi="宋体"/>
                <w:color w:val="auto"/>
                <w:sz w:val="22"/>
                <w:szCs w:val="22"/>
              </w:rPr>
            </w:pPr>
            <w:r>
              <w:rPr>
                <w:rFonts w:hint="eastAsia" w:ascii="宋体" w:hAnsi="宋体"/>
                <w:color w:val="auto"/>
                <w:sz w:val="22"/>
                <w:szCs w:val="22"/>
              </w:rPr>
              <w:t>招标文件</w:t>
            </w:r>
          </w:p>
          <w:p>
            <w:pPr>
              <w:spacing w:line="360" w:lineRule="auto"/>
              <w:jc w:val="center"/>
              <w:rPr>
                <w:rFonts w:ascii="宋体" w:hAnsi="宋体"/>
                <w:color w:val="auto"/>
                <w:sz w:val="22"/>
                <w:szCs w:val="22"/>
              </w:rPr>
            </w:pPr>
            <w:r>
              <w:rPr>
                <w:rFonts w:hint="eastAsia" w:ascii="宋体" w:hAnsi="宋体"/>
                <w:color w:val="auto"/>
                <w:sz w:val="22"/>
                <w:szCs w:val="22"/>
              </w:rPr>
              <w:t>条目号</w:t>
            </w:r>
          </w:p>
        </w:tc>
        <w:tc>
          <w:tcPr>
            <w:tcW w:w="1992" w:type="dxa"/>
            <w:vAlign w:val="center"/>
          </w:tcPr>
          <w:p>
            <w:pPr>
              <w:spacing w:line="360" w:lineRule="auto"/>
              <w:jc w:val="center"/>
              <w:rPr>
                <w:rFonts w:ascii="宋体" w:hAnsi="宋体"/>
                <w:color w:val="auto"/>
                <w:sz w:val="22"/>
                <w:szCs w:val="22"/>
              </w:rPr>
            </w:pPr>
            <w:r>
              <w:rPr>
                <w:rFonts w:hint="eastAsia" w:ascii="宋体" w:hAnsi="宋体"/>
                <w:color w:val="auto"/>
                <w:sz w:val="22"/>
                <w:szCs w:val="22"/>
              </w:rPr>
              <w:t>招标文件</w:t>
            </w:r>
          </w:p>
          <w:p>
            <w:pPr>
              <w:spacing w:line="360" w:lineRule="auto"/>
              <w:jc w:val="center"/>
              <w:rPr>
                <w:rFonts w:ascii="宋体" w:hAnsi="宋体"/>
                <w:color w:val="auto"/>
                <w:sz w:val="22"/>
                <w:szCs w:val="22"/>
              </w:rPr>
            </w:pPr>
            <w:r>
              <w:rPr>
                <w:rFonts w:hint="eastAsia" w:ascii="宋体" w:hAnsi="宋体"/>
                <w:color w:val="auto"/>
                <w:sz w:val="22"/>
                <w:szCs w:val="22"/>
              </w:rPr>
              <w:t>规范要求</w:t>
            </w:r>
          </w:p>
        </w:tc>
        <w:tc>
          <w:tcPr>
            <w:tcW w:w="1866" w:type="dxa"/>
            <w:vAlign w:val="center"/>
          </w:tcPr>
          <w:p>
            <w:pPr>
              <w:spacing w:line="360" w:lineRule="auto"/>
              <w:jc w:val="center"/>
              <w:rPr>
                <w:rFonts w:ascii="宋体" w:hAnsi="宋体"/>
                <w:color w:val="auto"/>
                <w:sz w:val="22"/>
                <w:szCs w:val="22"/>
              </w:rPr>
            </w:pPr>
            <w:r>
              <w:rPr>
                <w:rFonts w:hint="eastAsia" w:ascii="宋体" w:hAnsi="宋体"/>
                <w:color w:val="auto"/>
                <w:sz w:val="22"/>
                <w:szCs w:val="22"/>
              </w:rPr>
              <w:t>投标文件</w:t>
            </w:r>
          </w:p>
          <w:p>
            <w:pPr>
              <w:spacing w:line="360" w:lineRule="auto"/>
              <w:jc w:val="center"/>
              <w:rPr>
                <w:rFonts w:ascii="宋体" w:hAnsi="宋体"/>
                <w:color w:val="auto"/>
                <w:sz w:val="22"/>
                <w:szCs w:val="22"/>
              </w:rPr>
            </w:pPr>
            <w:r>
              <w:rPr>
                <w:rFonts w:hint="eastAsia" w:ascii="宋体" w:hAnsi="宋体"/>
                <w:color w:val="auto"/>
                <w:sz w:val="22"/>
                <w:szCs w:val="22"/>
              </w:rPr>
              <w:t>对应规范</w:t>
            </w:r>
          </w:p>
        </w:tc>
        <w:tc>
          <w:tcPr>
            <w:tcW w:w="1592" w:type="dxa"/>
            <w:vAlign w:val="center"/>
          </w:tcPr>
          <w:p>
            <w:pPr>
              <w:spacing w:line="360" w:lineRule="auto"/>
              <w:jc w:val="center"/>
              <w:rPr>
                <w:rFonts w:ascii="宋体" w:hAnsi="宋体"/>
                <w:color w:val="auto"/>
                <w:sz w:val="22"/>
                <w:szCs w:val="22"/>
              </w:rPr>
            </w:pPr>
            <w:r>
              <w:rPr>
                <w:rFonts w:hint="eastAsia" w:ascii="宋体" w:hAnsi="宋体"/>
                <w:color w:val="auto"/>
                <w:sz w:val="22"/>
                <w:szCs w:val="22"/>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jc w:val="center"/>
        </w:trPr>
        <w:tc>
          <w:tcPr>
            <w:tcW w:w="943" w:type="dxa"/>
            <w:vMerge w:val="restart"/>
            <w:vAlign w:val="center"/>
          </w:tcPr>
          <w:p>
            <w:pPr>
              <w:spacing w:line="360" w:lineRule="auto"/>
              <w:jc w:val="center"/>
              <w:rPr>
                <w:rFonts w:ascii="宋体" w:hAnsi="宋体"/>
                <w:color w:val="auto"/>
                <w:sz w:val="22"/>
                <w:szCs w:val="22"/>
              </w:rPr>
            </w:pPr>
            <w:r>
              <w:rPr>
                <w:rFonts w:hint="eastAsia" w:ascii="宋体" w:hAnsi="宋体"/>
                <w:color w:val="auto"/>
                <w:sz w:val="22"/>
                <w:szCs w:val="22"/>
              </w:rPr>
              <w:t>技</w:t>
            </w:r>
          </w:p>
          <w:p>
            <w:pPr>
              <w:spacing w:line="360" w:lineRule="auto"/>
              <w:jc w:val="center"/>
              <w:rPr>
                <w:rFonts w:ascii="宋体" w:hAnsi="宋体"/>
                <w:color w:val="auto"/>
                <w:sz w:val="22"/>
                <w:szCs w:val="22"/>
              </w:rPr>
            </w:pPr>
            <w:r>
              <w:rPr>
                <w:rFonts w:hint="eastAsia" w:ascii="宋体" w:hAnsi="宋体"/>
                <w:color w:val="auto"/>
                <w:sz w:val="22"/>
                <w:szCs w:val="22"/>
              </w:rPr>
              <w:t>术</w:t>
            </w:r>
          </w:p>
          <w:p>
            <w:pPr>
              <w:spacing w:line="360" w:lineRule="auto"/>
              <w:jc w:val="center"/>
              <w:rPr>
                <w:rFonts w:ascii="宋体" w:hAnsi="宋体"/>
                <w:color w:val="auto"/>
                <w:sz w:val="22"/>
                <w:szCs w:val="22"/>
              </w:rPr>
            </w:pPr>
            <w:r>
              <w:rPr>
                <w:rFonts w:hint="eastAsia" w:ascii="宋体" w:hAnsi="宋体"/>
                <w:color w:val="auto"/>
                <w:sz w:val="22"/>
                <w:szCs w:val="22"/>
              </w:rPr>
              <w:t>规</w:t>
            </w:r>
          </w:p>
          <w:p>
            <w:pPr>
              <w:spacing w:line="360" w:lineRule="auto"/>
              <w:jc w:val="center"/>
              <w:rPr>
                <w:rFonts w:ascii="宋体" w:hAnsi="宋体"/>
                <w:color w:val="auto"/>
                <w:sz w:val="22"/>
                <w:szCs w:val="22"/>
              </w:rPr>
            </w:pPr>
            <w:r>
              <w:rPr>
                <w:rFonts w:hint="eastAsia" w:ascii="宋体" w:hAnsi="宋体"/>
                <w:color w:val="auto"/>
                <w:sz w:val="22"/>
                <w:szCs w:val="22"/>
              </w:rPr>
              <w:t>格</w:t>
            </w:r>
          </w:p>
        </w:tc>
        <w:tc>
          <w:tcPr>
            <w:tcW w:w="1364" w:type="dxa"/>
            <w:vAlign w:val="center"/>
          </w:tcPr>
          <w:p>
            <w:pPr>
              <w:spacing w:line="360" w:lineRule="auto"/>
              <w:jc w:val="center"/>
              <w:rPr>
                <w:rFonts w:ascii="宋体" w:hAnsi="宋体"/>
                <w:color w:val="auto"/>
                <w:sz w:val="22"/>
                <w:szCs w:val="22"/>
              </w:rPr>
            </w:pPr>
          </w:p>
        </w:tc>
        <w:tc>
          <w:tcPr>
            <w:tcW w:w="2097" w:type="dxa"/>
            <w:vAlign w:val="center"/>
          </w:tcPr>
          <w:p>
            <w:pPr>
              <w:spacing w:line="360" w:lineRule="auto"/>
              <w:jc w:val="center"/>
              <w:rPr>
                <w:rFonts w:ascii="宋体" w:hAnsi="宋体"/>
                <w:color w:val="auto"/>
                <w:sz w:val="22"/>
                <w:szCs w:val="22"/>
              </w:rPr>
            </w:pPr>
          </w:p>
        </w:tc>
        <w:tc>
          <w:tcPr>
            <w:tcW w:w="1992" w:type="dxa"/>
            <w:vAlign w:val="center"/>
          </w:tcPr>
          <w:p>
            <w:pPr>
              <w:spacing w:line="360" w:lineRule="auto"/>
              <w:jc w:val="center"/>
              <w:rPr>
                <w:rFonts w:ascii="宋体" w:hAnsi="宋体"/>
                <w:color w:val="auto"/>
                <w:sz w:val="22"/>
                <w:szCs w:val="22"/>
              </w:rPr>
            </w:pPr>
          </w:p>
        </w:tc>
        <w:tc>
          <w:tcPr>
            <w:tcW w:w="1866" w:type="dxa"/>
            <w:vAlign w:val="center"/>
          </w:tcPr>
          <w:p>
            <w:pPr>
              <w:spacing w:line="360" w:lineRule="auto"/>
              <w:jc w:val="center"/>
              <w:rPr>
                <w:rFonts w:ascii="宋体" w:hAnsi="宋体"/>
                <w:color w:val="auto"/>
                <w:sz w:val="22"/>
                <w:szCs w:val="22"/>
              </w:rPr>
            </w:pPr>
          </w:p>
        </w:tc>
        <w:tc>
          <w:tcPr>
            <w:tcW w:w="1592" w:type="dxa"/>
            <w:vAlign w:val="center"/>
          </w:tcPr>
          <w:p>
            <w:pPr>
              <w:spacing w:line="360" w:lineRule="auto"/>
              <w:jc w:val="center"/>
              <w:rPr>
                <w:rFonts w:ascii="宋体" w:hAnsi="宋体"/>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pPr>
              <w:spacing w:line="360" w:lineRule="auto"/>
              <w:ind w:firstLine="0" w:firstLineChars="0"/>
              <w:rPr>
                <w:rFonts w:ascii="宋体" w:hAnsi="宋体"/>
                <w:color w:val="auto"/>
                <w:sz w:val="22"/>
                <w:szCs w:val="22"/>
              </w:rPr>
            </w:pPr>
          </w:p>
        </w:tc>
        <w:tc>
          <w:tcPr>
            <w:tcW w:w="1364" w:type="dxa"/>
            <w:vAlign w:val="center"/>
          </w:tcPr>
          <w:p>
            <w:pPr>
              <w:spacing w:line="360" w:lineRule="auto"/>
              <w:jc w:val="center"/>
              <w:rPr>
                <w:rFonts w:ascii="宋体" w:hAnsi="宋体"/>
                <w:color w:val="auto"/>
                <w:sz w:val="22"/>
                <w:szCs w:val="22"/>
              </w:rPr>
            </w:pPr>
          </w:p>
        </w:tc>
        <w:tc>
          <w:tcPr>
            <w:tcW w:w="2097" w:type="dxa"/>
            <w:vAlign w:val="center"/>
          </w:tcPr>
          <w:p>
            <w:pPr>
              <w:spacing w:line="360" w:lineRule="auto"/>
              <w:jc w:val="center"/>
              <w:rPr>
                <w:rFonts w:ascii="宋体" w:hAnsi="宋体"/>
                <w:color w:val="auto"/>
                <w:sz w:val="22"/>
                <w:szCs w:val="22"/>
              </w:rPr>
            </w:pPr>
          </w:p>
        </w:tc>
        <w:tc>
          <w:tcPr>
            <w:tcW w:w="1992" w:type="dxa"/>
            <w:vAlign w:val="center"/>
          </w:tcPr>
          <w:p>
            <w:pPr>
              <w:spacing w:line="360" w:lineRule="auto"/>
              <w:jc w:val="center"/>
              <w:rPr>
                <w:rFonts w:ascii="宋体" w:hAnsi="宋体"/>
                <w:color w:val="auto"/>
                <w:sz w:val="22"/>
                <w:szCs w:val="22"/>
              </w:rPr>
            </w:pPr>
          </w:p>
        </w:tc>
        <w:tc>
          <w:tcPr>
            <w:tcW w:w="1866" w:type="dxa"/>
            <w:vAlign w:val="center"/>
          </w:tcPr>
          <w:p>
            <w:pPr>
              <w:spacing w:line="360" w:lineRule="auto"/>
              <w:jc w:val="center"/>
              <w:rPr>
                <w:rFonts w:ascii="宋体" w:hAnsi="宋体"/>
                <w:color w:val="auto"/>
                <w:sz w:val="22"/>
                <w:szCs w:val="22"/>
              </w:rPr>
            </w:pPr>
          </w:p>
        </w:tc>
        <w:tc>
          <w:tcPr>
            <w:tcW w:w="1592" w:type="dxa"/>
            <w:vAlign w:val="center"/>
          </w:tcPr>
          <w:p>
            <w:pPr>
              <w:spacing w:line="360" w:lineRule="auto"/>
              <w:jc w:val="center"/>
              <w:rPr>
                <w:rFonts w:ascii="宋体" w:hAnsi="宋体"/>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pPr>
              <w:spacing w:line="360" w:lineRule="auto"/>
              <w:jc w:val="center"/>
              <w:rPr>
                <w:rFonts w:ascii="宋体" w:hAnsi="宋体"/>
                <w:color w:val="auto"/>
                <w:sz w:val="22"/>
                <w:szCs w:val="22"/>
              </w:rPr>
            </w:pPr>
          </w:p>
        </w:tc>
        <w:tc>
          <w:tcPr>
            <w:tcW w:w="1364" w:type="dxa"/>
            <w:vAlign w:val="center"/>
          </w:tcPr>
          <w:p>
            <w:pPr>
              <w:spacing w:line="360" w:lineRule="auto"/>
              <w:jc w:val="center"/>
              <w:rPr>
                <w:rFonts w:ascii="宋体" w:hAnsi="宋体"/>
                <w:color w:val="auto"/>
                <w:sz w:val="22"/>
                <w:szCs w:val="22"/>
              </w:rPr>
            </w:pPr>
          </w:p>
        </w:tc>
        <w:tc>
          <w:tcPr>
            <w:tcW w:w="2097" w:type="dxa"/>
            <w:vAlign w:val="center"/>
          </w:tcPr>
          <w:p>
            <w:pPr>
              <w:spacing w:line="360" w:lineRule="auto"/>
              <w:jc w:val="center"/>
              <w:rPr>
                <w:rFonts w:ascii="宋体" w:hAnsi="宋体"/>
                <w:color w:val="auto"/>
                <w:sz w:val="22"/>
                <w:szCs w:val="22"/>
              </w:rPr>
            </w:pPr>
          </w:p>
        </w:tc>
        <w:tc>
          <w:tcPr>
            <w:tcW w:w="1992" w:type="dxa"/>
            <w:vAlign w:val="center"/>
          </w:tcPr>
          <w:p>
            <w:pPr>
              <w:spacing w:line="360" w:lineRule="auto"/>
              <w:jc w:val="center"/>
              <w:rPr>
                <w:rFonts w:ascii="宋体" w:hAnsi="宋体"/>
                <w:color w:val="auto"/>
                <w:sz w:val="22"/>
                <w:szCs w:val="22"/>
              </w:rPr>
            </w:pPr>
          </w:p>
        </w:tc>
        <w:tc>
          <w:tcPr>
            <w:tcW w:w="1866" w:type="dxa"/>
            <w:vAlign w:val="center"/>
          </w:tcPr>
          <w:p>
            <w:pPr>
              <w:spacing w:line="360" w:lineRule="auto"/>
              <w:jc w:val="center"/>
              <w:rPr>
                <w:rFonts w:ascii="宋体" w:hAnsi="宋体"/>
                <w:color w:val="auto"/>
                <w:sz w:val="22"/>
                <w:szCs w:val="22"/>
              </w:rPr>
            </w:pPr>
          </w:p>
        </w:tc>
        <w:tc>
          <w:tcPr>
            <w:tcW w:w="1592" w:type="dxa"/>
            <w:vAlign w:val="center"/>
          </w:tcPr>
          <w:p>
            <w:pPr>
              <w:spacing w:line="360" w:lineRule="auto"/>
              <w:jc w:val="center"/>
              <w:rPr>
                <w:rFonts w:ascii="宋体" w:hAnsi="宋体"/>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pPr>
              <w:spacing w:line="360" w:lineRule="auto"/>
              <w:jc w:val="center"/>
              <w:rPr>
                <w:rFonts w:ascii="宋体" w:hAnsi="宋体"/>
                <w:color w:val="auto"/>
                <w:sz w:val="22"/>
                <w:szCs w:val="22"/>
              </w:rPr>
            </w:pPr>
          </w:p>
        </w:tc>
        <w:tc>
          <w:tcPr>
            <w:tcW w:w="1364" w:type="dxa"/>
            <w:vAlign w:val="center"/>
          </w:tcPr>
          <w:p>
            <w:pPr>
              <w:spacing w:line="360" w:lineRule="auto"/>
              <w:jc w:val="center"/>
              <w:rPr>
                <w:rFonts w:ascii="宋体" w:hAnsi="宋体"/>
                <w:color w:val="auto"/>
                <w:sz w:val="22"/>
                <w:szCs w:val="22"/>
              </w:rPr>
            </w:pPr>
          </w:p>
        </w:tc>
        <w:tc>
          <w:tcPr>
            <w:tcW w:w="2097" w:type="dxa"/>
            <w:vAlign w:val="center"/>
          </w:tcPr>
          <w:p>
            <w:pPr>
              <w:spacing w:line="360" w:lineRule="auto"/>
              <w:jc w:val="center"/>
              <w:rPr>
                <w:rFonts w:ascii="宋体" w:hAnsi="宋体"/>
                <w:color w:val="auto"/>
                <w:sz w:val="22"/>
                <w:szCs w:val="22"/>
              </w:rPr>
            </w:pPr>
          </w:p>
        </w:tc>
        <w:tc>
          <w:tcPr>
            <w:tcW w:w="1992" w:type="dxa"/>
            <w:vAlign w:val="center"/>
          </w:tcPr>
          <w:p>
            <w:pPr>
              <w:spacing w:line="360" w:lineRule="auto"/>
              <w:jc w:val="center"/>
              <w:rPr>
                <w:rFonts w:ascii="宋体" w:hAnsi="宋体"/>
                <w:color w:val="auto"/>
                <w:sz w:val="22"/>
                <w:szCs w:val="22"/>
              </w:rPr>
            </w:pPr>
          </w:p>
        </w:tc>
        <w:tc>
          <w:tcPr>
            <w:tcW w:w="1866" w:type="dxa"/>
            <w:vAlign w:val="center"/>
          </w:tcPr>
          <w:p>
            <w:pPr>
              <w:spacing w:line="360" w:lineRule="auto"/>
              <w:jc w:val="center"/>
              <w:rPr>
                <w:rFonts w:ascii="宋体" w:hAnsi="宋体"/>
                <w:color w:val="auto"/>
                <w:sz w:val="22"/>
                <w:szCs w:val="22"/>
              </w:rPr>
            </w:pPr>
          </w:p>
        </w:tc>
        <w:tc>
          <w:tcPr>
            <w:tcW w:w="1592" w:type="dxa"/>
            <w:vAlign w:val="center"/>
          </w:tcPr>
          <w:p>
            <w:pPr>
              <w:spacing w:line="360" w:lineRule="auto"/>
              <w:jc w:val="center"/>
              <w:rPr>
                <w:rFonts w:ascii="宋体" w:hAnsi="宋体"/>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pPr>
              <w:spacing w:line="360" w:lineRule="auto"/>
              <w:jc w:val="center"/>
              <w:rPr>
                <w:rFonts w:ascii="宋体" w:hAnsi="宋体"/>
                <w:color w:val="auto"/>
                <w:sz w:val="22"/>
                <w:szCs w:val="22"/>
              </w:rPr>
            </w:pPr>
          </w:p>
        </w:tc>
        <w:tc>
          <w:tcPr>
            <w:tcW w:w="1364" w:type="dxa"/>
            <w:vAlign w:val="center"/>
          </w:tcPr>
          <w:p>
            <w:pPr>
              <w:spacing w:line="360" w:lineRule="auto"/>
              <w:jc w:val="center"/>
              <w:rPr>
                <w:rFonts w:ascii="宋体" w:hAnsi="宋体"/>
                <w:color w:val="auto"/>
                <w:sz w:val="22"/>
                <w:szCs w:val="22"/>
              </w:rPr>
            </w:pPr>
          </w:p>
        </w:tc>
        <w:tc>
          <w:tcPr>
            <w:tcW w:w="2097" w:type="dxa"/>
            <w:vAlign w:val="center"/>
          </w:tcPr>
          <w:p>
            <w:pPr>
              <w:spacing w:line="360" w:lineRule="auto"/>
              <w:jc w:val="center"/>
              <w:rPr>
                <w:rFonts w:ascii="宋体" w:hAnsi="宋体"/>
                <w:color w:val="auto"/>
                <w:sz w:val="22"/>
                <w:szCs w:val="22"/>
              </w:rPr>
            </w:pPr>
          </w:p>
        </w:tc>
        <w:tc>
          <w:tcPr>
            <w:tcW w:w="1992" w:type="dxa"/>
            <w:vAlign w:val="center"/>
          </w:tcPr>
          <w:p>
            <w:pPr>
              <w:spacing w:line="360" w:lineRule="auto"/>
              <w:jc w:val="center"/>
              <w:rPr>
                <w:rFonts w:ascii="宋体" w:hAnsi="宋体"/>
                <w:color w:val="auto"/>
                <w:sz w:val="22"/>
                <w:szCs w:val="22"/>
              </w:rPr>
            </w:pPr>
          </w:p>
        </w:tc>
        <w:tc>
          <w:tcPr>
            <w:tcW w:w="1866" w:type="dxa"/>
            <w:vAlign w:val="center"/>
          </w:tcPr>
          <w:p>
            <w:pPr>
              <w:spacing w:line="360" w:lineRule="auto"/>
              <w:jc w:val="center"/>
              <w:rPr>
                <w:rFonts w:ascii="宋体" w:hAnsi="宋体"/>
                <w:color w:val="auto"/>
                <w:sz w:val="22"/>
                <w:szCs w:val="22"/>
              </w:rPr>
            </w:pPr>
          </w:p>
        </w:tc>
        <w:tc>
          <w:tcPr>
            <w:tcW w:w="1592" w:type="dxa"/>
            <w:vAlign w:val="center"/>
          </w:tcPr>
          <w:p>
            <w:pPr>
              <w:spacing w:line="360" w:lineRule="auto"/>
              <w:jc w:val="center"/>
              <w:rPr>
                <w:rFonts w:ascii="宋体" w:hAnsi="宋体"/>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943" w:type="dxa"/>
            <w:vMerge w:val="restart"/>
            <w:vAlign w:val="center"/>
          </w:tcPr>
          <w:p>
            <w:pPr>
              <w:spacing w:line="360" w:lineRule="auto"/>
              <w:jc w:val="center"/>
              <w:rPr>
                <w:rFonts w:ascii="宋体" w:hAnsi="宋体"/>
                <w:color w:val="auto"/>
                <w:sz w:val="22"/>
                <w:szCs w:val="22"/>
              </w:rPr>
            </w:pPr>
            <w:r>
              <w:rPr>
                <w:rFonts w:hint="eastAsia" w:ascii="宋体" w:hAnsi="宋体"/>
                <w:color w:val="auto"/>
                <w:sz w:val="22"/>
                <w:szCs w:val="22"/>
              </w:rPr>
              <w:t>商</w:t>
            </w:r>
          </w:p>
          <w:p>
            <w:pPr>
              <w:spacing w:line="360" w:lineRule="auto"/>
              <w:jc w:val="center"/>
              <w:rPr>
                <w:rFonts w:ascii="宋体" w:hAnsi="宋体"/>
                <w:color w:val="auto"/>
                <w:sz w:val="22"/>
                <w:szCs w:val="22"/>
              </w:rPr>
            </w:pPr>
            <w:r>
              <w:rPr>
                <w:rFonts w:hint="eastAsia" w:ascii="宋体" w:hAnsi="宋体"/>
                <w:color w:val="auto"/>
                <w:sz w:val="22"/>
                <w:szCs w:val="22"/>
              </w:rPr>
              <w:t>务</w:t>
            </w:r>
          </w:p>
          <w:p>
            <w:pPr>
              <w:spacing w:line="360" w:lineRule="auto"/>
              <w:jc w:val="center"/>
              <w:rPr>
                <w:rFonts w:ascii="宋体" w:hAnsi="宋体"/>
                <w:color w:val="auto"/>
                <w:sz w:val="22"/>
                <w:szCs w:val="22"/>
              </w:rPr>
            </w:pPr>
            <w:r>
              <w:rPr>
                <w:rFonts w:hint="eastAsia" w:ascii="宋体" w:hAnsi="宋体"/>
                <w:color w:val="auto"/>
                <w:sz w:val="22"/>
                <w:szCs w:val="22"/>
              </w:rPr>
              <w:t>条</w:t>
            </w:r>
          </w:p>
          <w:p>
            <w:pPr>
              <w:spacing w:line="360" w:lineRule="auto"/>
              <w:jc w:val="center"/>
              <w:rPr>
                <w:rFonts w:ascii="宋体" w:hAnsi="宋体"/>
                <w:color w:val="auto"/>
                <w:sz w:val="22"/>
                <w:szCs w:val="22"/>
              </w:rPr>
            </w:pPr>
            <w:r>
              <w:rPr>
                <w:rFonts w:hint="eastAsia" w:ascii="宋体" w:hAnsi="宋体"/>
                <w:color w:val="auto"/>
                <w:sz w:val="22"/>
                <w:szCs w:val="22"/>
              </w:rPr>
              <w:t>款</w:t>
            </w:r>
          </w:p>
        </w:tc>
        <w:tc>
          <w:tcPr>
            <w:tcW w:w="1364" w:type="dxa"/>
            <w:vAlign w:val="center"/>
          </w:tcPr>
          <w:p>
            <w:pPr>
              <w:spacing w:line="360" w:lineRule="auto"/>
              <w:jc w:val="center"/>
              <w:rPr>
                <w:rFonts w:ascii="宋体" w:hAnsi="宋体"/>
                <w:color w:val="auto"/>
                <w:sz w:val="22"/>
                <w:szCs w:val="22"/>
              </w:rPr>
            </w:pPr>
          </w:p>
        </w:tc>
        <w:tc>
          <w:tcPr>
            <w:tcW w:w="2097" w:type="dxa"/>
            <w:vAlign w:val="center"/>
          </w:tcPr>
          <w:p>
            <w:pPr>
              <w:spacing w:line="360" w:lineRule="auto"/>
              <w:jc w:val="center"/>
              <w:rPr>
                <w:rFonts w:ascii="宋体" w:hAnsi="宋体"/>
                <w:color w:val="auto"/>
                <w:sz w:val="22"/>
                <w:szCs w:val="22"/>
              </w:rPr>
            </w:pPr>
          </w:p>
        </w:tc>
        <w:tc>
          <w:tcPr>
            <w:tcW w:w="1992" w:type="dxa"/>
            <w:vAlign w:val="center"/>
          </w:tcPr>
          <w:p>
            <w:pPr>
              <w:spacing w:line="360" w:lineRule="auto"/>
              <w:jc w:val="center"/>
              <w:rPr>
                <w:rFonts w:ascii="宋体" w:hAnsi="宋体"/>
                <w:color w:val="auto"/>
                <w:sz w:val="22"/>
                <w:szCs w:val="22"/>
              </w:rPr>
            </w:pPr>
          </w:p>
        </w:tc>
        <w:tc>
          <w:tcPr>
            <w:tcW w:w="1866" w:type="dxa"/>
            <w:vAlign w:val="center"/>
          </w:tcPr>
          <w:p>
            <w:pPr>
              <w:spacing w:line="360" w:lineRule="auto"/>
              <w:jc w:val="center"/>
              <w:rPr>
                <w:rFonts w:ascii="宋体" w:hAnsi="宋体"/>
                <w:color w:val="auto"/>
                <w:sz w:val="22"/>
                <w:szCs w:val="22"/>
              </w:rPr>
            </w:pPr>
          </w:p>
        </w:tc>
        <w:tc>
          <w:tcPr>
            <w:tcW w:w="1592" w:type="dxa"/>
            <w:vAlign w:val="center"/>
          </w:tcPr>
          <w:p>
            <w:pPr>
              <w:spacing w:line="360" w:lineRule="auto"/>
              <w:jc w:val="center"/>
              <w:rPr>
                <w:rFonts w:ascii="宋体" w:hAnsi="宋体"/>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pPr>
              <w:spacing w:line="360" w:lineRule="auto"/>
              <w:jc w:val="center"/>
              <w:rPr>
                <w:rFonts w:ascii="宋体" w:hAnsi="宋体"/>
                <w:color w:val="auto"/>
                <w:sz w:val="22"/>
                <w:szCs w:val="22"/>
              </w:rPr>
            </w:pPr>
          </w:p>
        </w:tc>
        <w:tc>
          <w:tcPr>
            <w:tcW w:w="1364" w:type="dxa"/>
            <w:vAlign w:val="center"/>
          </w:tcPr>
          <w:p>
            <w:pPr>
              <w:spacing w:line="360" w:lineRule="auto"/>
              <w:jc w:val="center"/>
              <w:rPr>
                <w:rFonts w:ascii="宋体" w:hAnsi="宋体"/>
                <w:color w:val="auto"/>
                <w:sz w:val="22"/>
                <w:szCs w:val="22"/>
              </w:rPr>
            </w:pPr>
          </w:p>
        </w:tc>
        <w:tc>
          <w:tcPr>
            <w:tcW w:w="2097" w:type="dxa"/>
            <w:vAlign w:val="center"/>
          </w:tcPr>
          <w:p>
            <w:pPr>
              <w:spacing w:line="360" w:lineRule="auto"/>
              <w:jc w:val="center"/>
              <w:rPr>
                <w:rFonts w:ascii="宋体" w:hAnsi="宋体"/>
                <w:color w:val="auto"/>
                <w:sz w:val="22"/>
                <w:szCs w:val="22"/>
              </w:rPr>
            </w:pPr>
          </w:p>
        </w:tc>
        <w:tc>
          <w:tcPr>
            <w:tcW w:w="1992" w:type="dxa"/>
            <w:vAlign w:val="center"/>
          </w:tcPr>
          <w:p>
            <w:pPr>
              <w:spacing w:line="360" w:lineRule="auto"/>
              <w:jc w:val="center"/>
              <w:rPr>
                <w:rFonts w:ascii="宋体" w:hAnsi="宋体"/>
                <w:color w:val="auto"/>
                <w:sz w:val="22"/>
                <w:szCs w:val="22"/>
              </w:rPr>
            </w:pPr>
          </w:p>
        </w:tc>
        <w:tc>
          <w:tcPr>
            <w:tcW w:w="1866" w:type="dxa"/>
            <w:vAlign w:val="center"/>
          </w:tcPr>
          <w:p>
            <w:pPr>
              <w:spacing w:line="360" w:lineRule="auto"/>
              <w:jc w:val="center"/>
              <w:rPr>
                <w:rFonts w:ascii="宋体" w:hAnsi="宋体"/>
                <w:color w:val="auto"/>
                <w:sz w:val="22"/>
                <w:szCs w:val="22"/>
              </w:rPr>
            </w:pPr>
          </w:p>
        </w:tc>
        <w:tc>
          <w:tcPr>
            <w:tcW w:w="1592" w:type="dxa"/>
            <w:vAlign w:val="center"/>
          </w:tcPr>
          <w:p>
            <w:pPr>
              <w:spacing w:line="360" w:lineRule="auto"/>
              <w:jc w:val="center"/>
              <w:rPr>
                <w:rFonts w:ascii="宋体" w:hAnsi="宋体"/>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pPr>
              <w:spacing w:line="360" w:lineRule="auto"/>
              <w:jc w:val="center"/>
              <w:rPr>
                <w:rFonts w:ascii="宋体" w:hAnsi="宋体"/>
                <w:color w:val="auto"/>
                <w:sz w:val="22"/>
                <w:szCs w:val="22"/>
              </w:rPr>
            </w:pPr>
          </w:p>
        </w:tc>
        <w:tc>
          <w:tcPr>
            <w:tcW w:w="1364" w:type="dxa"/>
            <w:vAlign w:val="center"/>
          </w:tcPr>
          <w:p>
            <w:pPr>
              <w:spacing w:line="360" w:lineRule="auto"/>
              <w:jc w:val="center"/>
              <w:rPr>
                <w:rFonts w:ascii="宋体" w:hAnsi="宋体"/>
                <w:color w:val="auto"/>
                <w:sz w:val="22"/>
                <w:szCs w:val="22"/>
              </w:rPr>
            </w:pPr>
          </w:p>
        </w:tc>
        <w:tc>
          <w:tcPr>
            <w:tcW w:w="2097" w:type="dxa"/>
            <w:vAlign w:val="center"/>
          </w:tcPr>
          <w:p>
            <w:pPr>
              <w:spacing w:line="360" w:lineRule="auto"/>
              <w:jc w:val="center"/>
              <w:rPr>
                <w:rFonts w:ascii="宋体" w:hAnsi="宋体"/>
                <w:color w:val="auto"/>
                <w:sz w:val="22"/>
                <w:szCs w:val="22"/>
              </w:rPr>
            </w:pPr>
          </w:p>
        </w:tc>
        <w:tc>
          <w:tcPr>
            <w:tcW w:w="1992" w:type="dxa"/>
            <w:vAlign w:val="center"/>
          </w:tcPr>
          <w:p>
            <w:pPr>
              <w:spacing w:line="360" w:lineRule="auto"/>
              <w:jc w:val="center"/>
              <w:rPr>
                <w:rFonts w:ascii="宋体" w:hAnsi="宋体"/>
                <w:color w:val="auto"/>
                <w:sz w:val="22"/>
                <w:szCs w:val="22"/>
              </w:rPr>
            </w:pPr>
          </w:p>
        </w:tc>
        <w:tc>
          <w:tcPr>
            <w:tcW w:w="1866" w:type="dxa"/>
            <w:vAlign w:val="center"/>
          </w:tcPr>
          <w:p>
            <w:pPr>
              <w:spacing w:line="360" w:lineRule="auto"/>
              <w:jc w:val="center"/>
              <w:rPr>
                <w:rFonts w:ascii="宋体" w:hAnsi="宋体"/>
                <w:color w:val="auto"/>
                <w:sz w:val="22"/>
                <w:szCs w:val="22"/>
              </w:rPr>
            </w:pPr>
          </w:p>
        </w:tc>
        <w:tc>
          <w:tcPr>
            <w:tcW w:w="1592" w:type="dxa"/>
            <w:vAlign w:val="center"/>
          </w:tcPr>
          <w:p>
            <w:pPr>
              <w:spacing w:line="360" w:lineRule="auto"/>
              <w:jc w:val="center"/>
              <w:rPr>
                <w:rFonts w:ascii="宋体" w:hAnsi="宋体"/>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pPr>
              <w:spacing w:line="360" w:lineRule="auto"/>
              <w:jc w:val="center"/>
              <w:rPr>
                <w:rFonts w:ascii="宋体" w:hAnsi="宋体"/>
                <w:color w:val="auto"/>
                <w:sz w:val="22"/>
                <w:szCs w:val="22"/>
              </w:rPr>
            </w:pPr>
          </w:p>
        </w:tc>
        <w:tc>
          <w:tcPr>
            <w:tcW w:w="1364" w:type="dxa"/>
            <w:vAlign w:val="center"/>
          </w:tcPr>
          <w:p>
            <w:pPr>
              <w:spacing w:line="360" w:lineRule="auto"/>
              <w:jc w:val="center"/>
              <w:rPr>
                <w:rFonts w:ascii="宋体" w:hAnsi="宋体"/>
                <w:color w:val="auto"/>
                <w:sz w:val="22"/>
                <w:szCs w:val="22"/>
              </w:rPr>
            </w:pPr>
          </w:p>
        </w:tc>
        <w:tc>
          <w:tcPr>
            <w:tcW w:w="2097" w:type="dxa"/>
            <w:vAlign w:val="center"/>
          </w:tcPr>
          <w:p>
            <w:pPr>
              <w:spacing w:line="360" w:lineRule="auto"/>
              <w:jc w:val="center"/>
              <w:rPr>
                <w:rFonts w:ascii="宋体" w:hAnsi="宋体"/>
                <w:color w:val="auto"/>
                <w:sz w:val="22"/>
                <w:szCs w:val="22"/>
              </w:rPr>
            </w:pPr>
          </w:p>
        </w:tc>
        <w:tc>
          <w:tcPr>
            <w:tcW w:w="1992" w:type="dxa"/>
            <w:vAlign w:val="center"/>
          </w:tcPr>
          <w:p>
            <w:pPr>
              <w:spacing w:line="360" w:lineRule="auto"/>
              <w:jc w:val="center"/>
              <w:rPr>
                <w:rFonts w:ascii="宋体" w:hAnsi="宋体"/>
                <w:color w:val="auto"/>
                <w:sz w:val="22"/>
                <w:szCs w:val="22"/>
              </w:rPr>
            </w:pPr>
          </w:p>
        </w:tc>
        <w:tc>
          <w:tcPr>
            <w:tcW w:w="1866" w:type="dxa"/>
            <w:vAlign w:val="center"/>
          </w:tcPr>
          <w:p>
            <w:pPr>
              <w:spacing w:line="360" w:lineRule="auto"/>
              <w:jc w:val="center"/>
              <w:rPr>
                <w:rFonts w:ascii="宋体" w:hAnsi="宋体"/>
                <w:color w:val="auto"/>
                <w:sz w:val="22"/>
                <w:szCs w:val="22"/>
              </w:rPr>
            </w:pPr>
          </w:p>
        </w:tc>
        <w:tc>
          <w:tcPr>
            <w:tcW w:w="1592" w:type="dxa"/>
            <w:vAlign w:val="center"/>
          </w:tcPr>
          <w:p>
            <w:pPr>
              <w:spacing w:line="360" w:lineRule="auto"/>
              <w:jc w:val="center"/>
              <w:rPr>
                <w:rFonts w:ascii="宋体" w:hAnsi="宋体"/>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pPr>
              <w:spacing w:line="360" w:lineRule="auto"/>
              <w:jc w:val="center"/>
              <w:rPr>
                <w:rFonts w:ascii="宋体" w:hAnsi="宋体"/>
                <w:color w:val="auto"/>
                <w:sz w:val="22"/>
                <w:szCs w:val="22"/>
              </w:rPr>
            </w:pPr>
          </w:p>
        </w:tc>
        <w:tc>
          <w:tcPr>
            <w:tcW w:w="1364" w:type="dxa"/>
            <w:vAlign w:val="center"/>
          </w:tcPr>
          <w:p>
            <w:pPr>
              <w:spacing w:line="360" w:lineRule="auto"/>
              <w:jc w:val="center"/>
              <w:rPr>
                <w:rFonts w:ascii="宋体" w:hAnsi="宋体"/>
                <w:color w:val="auto"/>
                <w:sz w:val="22"/>
                <w:szCs w:val="22"/>
              </w:rPr>
            </w:pPr>
          </w:p>
        </w:tc>
        <w:tc>
          <w:tcPr>
            <w:tcW w:w="2097" w:type="dxa"/>
            <w:vAlign w:val="center"/>
          </w:tcPr>
          <w:p>
            <w:pPr>
              <w:spacing w:line="360" w:lineRule="auto"/>
              <w:jc w:val="center"/>
              <w:rPr>
                <w:rFonts w:ascii="宋体" w:hAnsi="宋体"/>
                <w:color w:val="auto"/>
                <w:sz w:val="22"/>
                <w:szCs w:val="22"/>
              </w:rPr>
            </w:pPr>
          </w:p>
        </w:tc>
        <w:tc>
          <w:tcPr>
            <w:tcW w:w="1992" w:type="dxa"/>
            <w:vAlign w:val="center"/>
          </w:tcPr>
          <w:p>
            <w:pPr>
              <w:spacing w:line="360" w:lineRule="auto"/>
              <w:jc w:val="center"/>
              <w:rPr>
                <w:rFonts w:ascii="宋体" w:hAnsi="宋体"/>
                <w:color w:val="auto"/>
                <w:sz w:val="22"/>
                <w:szCs w:val="22"/>
              </w:rPr>
            </w:pPr>
          </w:p>
        </w:tc>
        <w:tc>
          <w:tcPr>
            <w:tcW w:w="1866" w:type="dxa"/>
            <w:vAlign w:val="center"/>
          </w:tcPr>
          <w:p>
            <w:pPr>
              <w:spacing w:line="360" w:lineRule="auto"/>
              <w:jc w:val="center"/>
              <w:rPr>
                <w:rFonts w:ascii="宋体" w:hAnsi="宋体"/>
                <w:color w:val="auto"/>
                <w:sz w:val="22"/>
                <w:szCs w:val="22"/>
              </w:rPr>
            </w:pPr>
          </w:p>
        </w:tc>
        <w:tc>
          <w:tcPr>
            <w:tcW w:w="1592" w:type="dxa"/>
            <w:vAlign w:val="center"/>
          </w:tcPr>
          <w:p>
            <w:pPr>
              <w:spacing w:line="360" w:lineRule="auto"/>
              <w:jc w:val="center"/>
              <w:rPr>
                <w:rFonts w:ascii="宋体" w:hAnsi="宋体"/>
                <w:color w:val="auto"/>
                <w:sz w:val="22"/>
                <w:szCs w:val="22"/>
              </w:rPr>
            </w:pPr>
          </w:p>
        </w:tc>
      </w:tr>
    </w:tbl>
    <w:p>
      <w:pPr>
        <w:spacing w:line="360" w:lineRule="auto"/>
        <w:rPr>
          <w:rFonts w:ascii="宋体" w:hAnsi="宋体"/>
          <w:b/>
          <w:color w:val="auto"/>
          <w:sz w:val="22"/>
          <w:szCs w:val="22"/>
        </w:rPr>
      </w:pPr>
      <w:r>
        <w:rPr>
          <w:rFonts w:hint="eastAsia" w:ascii="宋体" w:hAnsi="宋体"/>
          <w:b/>
          <w:color w:val="auto"/>
          <w:sz w:val="22"/>
          <w:szCs w:val="22"/>
        </w:rPr>
        <w:t>注：</w:t>
      </w:r>
      <w:r>
        <w:rPr>
          <w:rFonts w:hint="eastAsia" w:ascii="宋体" w:hAnsi="宋体"/>
          <w:b/>
          <w:color w:val="auto"/>
        </w:rPr>
        <w:t>不填写此表视为完全响应招标文件内容。</w:t>
      </w:r>
    </w:p>
    <w:p>
      <w:pPr>
        <w:spacing w:line="360" w:lineRule="auto"/>
        <w:ind w:firstLine="0" w:firstLineChars="0"/>
        <w:rPr>
          <w:rFonts w:ascii="宋体" w:hAnsi="宋体"/>
          <w:b/>
          <w:color w:val="auto"/>
          <w:sz w:val="22"/>
          <w:szCs w:val="22"/>
        </w:rPr>
      </w:pPr>
    </w:p>
    <w:p>
      <w:pPr>
        <w:spacing w:line="360" w:lineRule="auto"/>
        <w:ind w:firstLine="0" w:firstLineChars="0"/>
        <w:rPr>
          <w:rFonts w:ascii="宋体" w:hAnsi="宋体"/>
          <w:color w:val="auto"/>
          <w:sz w:val="22"/>
          <w:szCs w:val="22"/>
        </w:rPr>
      </w:pPr>
      <w:r>
        <w:rPr>
          <w:rFonts w:hint="eastAsia" w:ascii="宋体" w:hAnsi="宋体"/>
          <w:color w:val="auto"/>
          <w:sz w:val="22"/>
          <w:szCs w:val="22"/>
        </w:rPr>
        <w:t>投标人全称（</w:t>
      </w:r>
      <w:r>
        <w:rPr>
          <w:rFonts w:hint="eastAsia" w:ascii="宋体" w:hAnsi="宋体"/>
          <w:color w:val="auto"/>
          <w:sz w:val="22"/>
          <w:szCs w:val="22"/>
          <w:lang w:eastAsia="zh-CN"/>
        </w:rPr>
        <w:t>电子签名/公章</w:t>
      </w:r>
      <w:r>
        <w:rPr>
          <w:rFonts w:hint="eastAsia" w:ascii="宋体" w:hAnsi="宋体"/>
          <w:color w:val="auto"/>
          <w:sz w:val="22"/>
          <w:szCs w:val="22"/>
        </w:rPr>
        <w:t>）：</w:t>
      </w:r>
    </w:p>
    <w:p>
      <w:pPr>
        <w:spacing w:line="360" w:lineRule="auto"/>
        <w:ind w:firstLine="0" w:firstLineChars="0"/>
        <w:rPr>
          <w:rFonts w:ascii="宋体" w:hAnsi="宋体"/>
          <w:color w:val="auto"/>
          <w:sz w:val="22"/>
          <w:szCs w:val="22"/>
        </w:rPr>
      </w:pPr>
      <w:r>
        <w:rPr>
          <w:rFonts w:hint="eastAsia" w:ascii="宋体" w:hAnsi="宋体"/>
          <w:color w:val="auto"/>
          <w:sz w:val="22"/>
          <w:szCs w:val="22"/>
        </w:rPr>
        <w:t>法定代表人或授权代表（签字或盖章）：</w:t>
      </w:r>
    </w:p>
    <w:p>
      <w:pPr>
        <w:spacing w:line="360" w:lineRule="auto"/>
        <w:ind w:firstLine="0" w:firstLineChars="0"/>
        <w:rPr>
          <w:rFonts w:ascii="宋体" w:hAnsi="宋体"/>
          <w:color w:val="auto"/>
          <w:sz w:val="22"/>
          <w:szCs w:val="22"/>
        </w:rPr>
      </w:pPr>
      <w:r>
        <w:rPr>
          <w:rFonts w:hint="eastAsia" w:ascii="宋体" w:hAnsi="宋体"/>
          <w:color w:val="auto"/>
          <w:sz w:val="22"/>
          <w:szCs w:val="22"/>
        </w:rPr>
        <w:t>日期：  年   月  日</w:t>
      </w:r>
    </w:p>
    <w:p>
      <w:pPr>
        <w:spacing w:line="360" w:lineRule="auto"/>
        <w:rPr>
          <w:rFonts w:ascii="宋体" w:hAnsi="宋体"/>
          <w:color w:val="auto"/>
          <w:sz w:val="22"/>
          <w:szCs w:val="22"/>
        </w:rPr>
      </w:pPr>
    </w:p>
    <w:p>
      <w:pPr>
        <w:spacing w:line="360" w:lineRule="auto"/>
        <w:rPr>
          <w:rFonts w:ascii="宋体" w:hAnsi="宋体"/>
          <w:b/>
          <w:color w:val="auto"/>
          <w:sz w:val="22"/>
          <w:szCs w:val="22"/>
        </w:rPr>
      </w:pPr>
      <w:r>
        <w:rPr>
          <w:rFonts w:hint="eastAsia" w:ascii="宋体" w:hAnsi="宋体"/>
          <w:color w:val="auto"/>
        </w:rPr>
        <w:br w:type="page"/>
      </w:r>
    </w:p>
    <w:p>
      <w:pPr>
        <w:spacing w:line="360" w:lineRule="auto"/>
        <w:rPr>
          <w:rFonts w:hAnsi="宋体"/>
          <w:b/>
          <w:bCs/>
          <w:color w:val="auto"/>
        </w:rPr>
      </w:pPr>
      <w:r>
        <w:rPr>
          <w:rFonts w:hint="eastAsia" w:ascii="宋体" w:hAnsi="宋体"/>
          <w:b/>
          <w:color w:val="auto"/>
          <w:sz w:val="22"/>
          <w:szCs w:val="22"/>
        </w:rPr>
        <w:t>附件五</w:t>
      </w:r>
    </w:p>
    <w:p>
      <w:pPr>
        <w:spacing w:line="360" w:lineRule="auto"/>
        <w:jc w:val="center"/>
        <w:rPr>
          <w:rFonts w:ascii="宋体"/>
          <w:b/>
          <w:color w:val="auto"/>
          <w:sz w:val="22"/>
          <w:szCs w:val="22"/>
        </w:rPr>
      </w:pPr>
      <w:r>
        <w:rPr>
          <w:rFonts w:hint="eastAsia" w:ascii="宋体" w:hAnsi="宋体"/>
          <w:b/>
          <w:color w:val="auto"/>
          <w:sz w:val="22"/>
          <w:szCs w:val="22"/>
        </w:rPr>
        <w:t>（1）中小企业声明函</w:t>
      </w:r>
    </w:p>
    <w:p>
      <w:pPr>
        <w:widowControl/>
        <w:adjustRightInd w:val="0"/>
        <w:snapToGrid w:val="0"/>
        <w:spacing w:line="360" w:lineRule="auto"/>
        <w:jc w:val="center"/>
        <w:rPr>
          <w:rFonts w:ascii="宋体" w:hAnsi="宋体" w:cs="宋体"/>
          <w:b/>
          <w:color w:val="auto"/>
          <w:kern w:val="0"/>
          <w:sz w:val="22"/>
          <w:szCs w:val="22"/>
        </w:rPr>
      </w:pPr>
    </w:p>
    <w:p>
      <w:pPr>
        <w:spacing w:line="312" w:lineRule="auto"/>
        <w:jc w:val="center"/>
        <w:rPr>
          <w:rFonts w:hint="eastAsia" w:ascii="宋体" w:eastAsia="宋体"/>
          <w:b w:val="0"/>
          <w:color w:val="000000"/>
          <w:sz w:val="22"/>
          <w:szCs w:val="22"/>
          <w:highlight w:val="none"/>
        </w:rPr>
      </w:pPr>
      <w:r>
        <w:rPr>
          <w:rFonts w:hint="eastAsia" w:ascii="宋体" w:eastAsia="宋体"/>
          <w:b w:val="0"/>
          <w:color w:val="000000"/>
          <w:sz w:val="22"/>
          <w:szCs w:val="22"/>
          <w:highlight w:val="none"/>
        </w:rPr>
        <w:t>中小企业声明函（货物）</w:t>
      </w:r>
    </w:p>
    <w:p>
      <w:pPr>
        <w:spacing w:line="312" w:lineRule="auto"/>
        <w:ind w:firstLine="660" w:firstLineChars="300"/>
        <w:rPr>
          <w:rFonts w:hint="eastAsia" w:ascii="宋体" w:eastAsia="宋体"/>
          <w:b w:val="0"/>
          <w:color w:val="000000"/>
          <w:sz w:val="22"/>
          <w:szCs w:val="22"/>
          <w:highlight w:val="none"/>
        </w:rPr>
      </w:pPr>
      <w:r>
        <w:rPr>
          <w:rFonts w:hint="eastAsia" w:ascii="宋体" w:eastAsia="宋体"/>
          <w:b w:val="0"/>
          <w:color w:val="000000"/>
          <w:sz w:val="22"/>
          <w:szCs w:val="22"/>
          <w:highlight w:val="none"/>
        </w:rPr>
        <w:t>本公司（联合体）郑重声明，根据《政府采购促进中小企业发展管理办法》（财库﹝2020﹞46 号）的规定，本公司（联合体）参加（单位名称）的（项目名称）采购活动，提供的货物全部由符合政策要求的中小企业制造。相关企业（含联合体中的中小企业、签订分包意向协议的中小企业）的具体情况如下：</w:t>
      </w:r>
    </w:p>
    <w:p>
      <w:pPr>
        <w:spacing w:line="312" w:lineRule="auto"/>
        <w:ind w:firstLine="660" w:firstLineChars="300"/>
        <w:rPr>
          <w:rFonts w:hint="eastAsia" w:ascii="宋体" w:eastAsia="宋体"/>
          <w:b w:val="0"/>
          <w:color w:val="000000"/>
          <w:sz w:val="22"/>
          <w:szCs w:val="22"/>
          <w:highlight w:val="none"/>
        </w:rPr>
      </w:pPr>
      <w:r>
        <w:rPr>
          <w:rFonts w:hint="eastAsia" w:ascii="宋体" w:eastAsia="宋体"/>
          <w:b w:val="0"/>
          <w:color w:val="000000"/>
          <w:sz w:val="22"/>
          <w:szCs w:val="22"/>
          <w:highlight w:val="none"/>
        </w:rPr>
        <w:t>1.</w:t>
      </w:r>
      <w:r>
        <w:rPr>
          <w:rFonts w:hint="eastAsia" w:ascii="宋体" w:eastAsia="宋体"/>
          <w:b w:val="0"/>
          <w:color w:val="000000"/>
          <w:sz w:val="22"/>
          <w:szCs w:val="22"/>
          <w:highlight w:val="none"/>
          <w:u w:val="single"/>
        </w:rPr>
        <w:t>（标的名称）</w:t>
      </w:r>
      <w:r>
        <w:rPr>
          <w:rFonts w:hint="eastAsia" w:ascii="宋体" w:eastAsia="宋体"/>
          <w:b w:val="0"/>
          <w:color w:val="000000"/>
          <w:sz w:val="22"/>
          <w:szCs w:val="22"/>
          <w:highlight w:val="none"/>
        </w:rPr>
        <w:t xml:space="preserve"> ，属于</w:t>
      </w:r>
      <w:r>
        <w:rPr>
          <w:rFonts w:hint="eastAsia" w:ascii="宋体" w:eastAsia="宋体"/>
          <w:b w:val="0"/>
          <w:color w:val="000000"/>
          <w:sz w:val="22"/>
          <w:szCs w:val="22"/>
          <w:highlight w:val="none"/>
          <w:u w:val="single"/>
        </w:rPr>
        <w:t>（采购文件中明确的所属行业）</w:t>
      </w:r>
      <w:r>
        <w:rPr>
          <w:rFonts w:hint="eastAsia" w:ascii="宋体" w:eastAsia="宋体"/>
          <w:b w:val="0"/>
          <w:color w:val="000000"/>
          <w:sz w:val="22"/>
          <w:szCs w:val="22"/>
          <w:highlight w:val="none"/>
        </w:rPr>
        <w:t>行业；制造商为</w:t>
      </w:r>
      <w:r>
        <w:rPr>
          <w:rFonts w:hint="eastAsia" w:ascii="宋体" w:eastAsia="宋体"/>
          <w:b w:val="0"/>
          <w:color w:val="000000"/>
          <w:sz w:val="22"/>
          <w:szCs w:val="22"/>
          <w:highlight w:val="none"/>
          <w:u w:val="single"/>
        </w:rPr>
        <w:t>（企业名称）</w:t>
      </w:r>
      <w:r>
        <w:rPr>
          <w:rFonts w:hint="eastAsia" w:ascii="宋体" w:eastAsia="宋体"/>
          <w:b w:val="0"/>
          <w:color w:val="000000"/>
          <w:sz w:val="22"/>
          <w:szCs w:val="22"/>
          <w:highlight w:val="none"/>
        </w:rPr>
        <w:t>，从业人员</w:t>
      </w:r>
      <w:r>
        <w:rPr>
          <w:rFonts w:hint="eastAsia" w:ascii="宋体" w:eastAsia="宋体"/>
          <w:b w:val="0"/>
          <w:color w:val="000000"/>
          <w:sz w:val="22"/>
          <w:szCs w:val="22"/>
          <w:highlight w:val="none"/>
          <w:u w:val="single"/>
        </w:rPr>
        <w:t xml:space="preserve">       </w:t>
      </w:r>
      <w:r>
        <w:rPr>
          <w:rFonts w:hint="eastAsia" w:ascii="宋体" w:eastAsia="宋体"/>
          <w:b w:val="0"/>
          <w:color w:val="000000"/>
          <w:sz w:val="22"/>
          <w:szCs w:val="22"/>
          <w:highlight w:val="none"/>
        </w:rPr>
        <w:t>人，营业收入为</w:t>
      </w:r>
      <w:r>
        <w:rPr>
          <w:rFonts w:hint="eastAsia" w:ascii="宋体" w:eastAsia="宋体"/>
          <w:b w:val="0"/>
          <w:color w:val="000000"/>
          <w:sz w:val="22"/>
          <w:szCs w:val="22"/>
          <w:highlight w:val="none"/>
          <w:u w:val="single"/>
        </w:rPr>
        <w:t xml:space="preserve">   </w:t>
      </w:r>
      <w:r>
        <w:rPr>
          <w:rFonts w:hint="eastAsia" w:ascii="宋体" w:eastAsia="宋体"/>
          <w:b w:val="0"/>
          <w:color w:val="000000"/>
          <w:sz w:val="22"/>
          <w:szCs w:val="22"/>
          <w:highlight w:val="none"/>
        </w:rPr>
        <w:t>万元，资产总额为</w:t>
      </w:r>
      <w:r>
        <w:rPr>
          <w:rFonts w:hint="eastAsia" w:ascii="宋体" w:eastAsia="宋体"/>
          <w:b w:val="0"/>
          <w:color w:val="000000"/>
          <w:sz w:val="22"/>
          <w:szCs w:val="22"/>
          <w:highlight w:val="none"/>
          <w:u w:val="single"/>
        </w:rPr>
        <w:t xml:space="preserve">     </w:t>
      </w:r>
      <w:r>
        <w:rPr>
          <w:rFonts w:hint="eastAsia" w:ascii="宋体" w:eastAsia="宋体"/>
          <w:b w:val="0"/>
          <w:color w:val="000000"/>
          <w:sz w:val="22"/>
          <w:szCs w:val="22"/>
          <w:highlight w:val="none"/>
        </w:rPr>
        <w:t>万元</w:t>
      </w:r>
      <w:r>
        <w:rPr>
          <w:rFonts w:hint="eastAsia" w:ascii="宋体" w:eastAsia="宋体"/>
          <w:b w:val="0"/>
          <w:color w:val="000000"/>
          <w:sz w:val="22"/>
          <w:szCs w:val="22"/>
          <w:highlight w:val="none"/>
          <w:vertAlign w:val="superscript"/>
        </w:rPr>
        <w:t>1</w:t>
      </w:r>
      <w:r>
        <w:rPr>
          <w:rFonts w:hint="eastAsia" w:ascii="宋体" w:eastAsia="宋体"/>
          <w:b w:val="0"/>
          <w:color w:val="000000"/>
          <w:sz w:val="22"/>
          <w:szCs w:val="22"/>
          <w:highlight w:val="none"/>
        </w:rPr>
        <w:t>，属于</w:t>
      </w:r>
      <w:r>
        <w:rPr>
          <w:rFonts w:hint="eastAsia" w:ascii="宋体" w:eastAsia="宋体"/>
          <w:b w:val="0"/>
          <w:color w:val="000000"/>
          <w:sz w:val="22"/>
          <w:szCs w:val="22"/>
          <w:highlight w:val="none"/>
          <w:u w:val="single"/>
        </w:rPr>
        <w:t xml:space="preserve">     （中型企业、小型企业、微型企业）</w:t>
      </w:r>
      <w:r>
        <w:rPr>
          <w:rFonts w:hint="eastAsia" w:ascii="宋体" w:eastAsia="宋体"/>
          <w:b w:val="0"/>
          <w:color w:val="000000"/>
          <w:sz w:val="22"/>
          <w:szCs w:val="22"/>
          <w:highlight w:val="none"/>
        </w:rPr>
        <w:t>；</w:t>
      </w:r>
    </w:p>
    <w:p>
      <w:pPr>
        <w:spacing w:line="312" w:lineRule="auto"/>
        <w:ind w:firstLine="660" w:firstLineChars="300"/>
        <w:rPr>
          <w:rFonts w:hint="eastAsia" w:ascii="宋体" w:eastAsia="宋体"/>
          <w:b w:val="0"/>
          <w:color w:val="000000"/>
          <w:sz w:val="22"/>
          <w:szCs w:val="22"/>
          <w:highlight w:val="none"/>
        </w:rPr>
      </w:pPr>
      <w:r>
        <w:rPr>
          <w:rFonts w:hint="eastAsia" w:ascii="宋体" w:eastAsia="宋体"/>
          <w:b w:val="0"/>
          <w:color w:val="000000"/>
          <w:sz w:val="22"/>
          <w:szCs w:val="22"/>
          <w:highlight w:val="none"/>
        </w:rPr>
        <w:t>2.</w:t>
      </w:r>
      <w:r>
        <w:rPr>
          <w:rFonts w:hint="eastAsia" w:ascii="宋体" w:eastAsia="宋体"/>
          <w:b w:val="0"/>
          <w:color w:val="000000"/>
          <w:sz w:val="22"/>
          <w:szCs w:val="22"/>
          <w:highlight w:val="none"/>
          <w:u w:val="single"/>
        </w:rPr>
        <w:t xml:space="preserve">（标的名称） </w:t>
      </w:r>
      <w:r>
        <w:rPr>
          <w:rFonts w:hint="eastAsia" w:ascii="宋体" w:eastAsia="宋体"/>
          <w:b w:val="0"/>
          <w:color w:val="000000"/>
          <w:sz w:val="22"/>
          <w:szCs w:val="22"/>
          <w:highlight w:val="none"/>
        </w:rPr>
        <w:t>，属于</w:t>
      </w:r>
      <w:r>
        <w:rPr>
          <w:rFonts w:hint="eastAsia" w:ascii="宋体" w:eastAsia="宋体"/>
          <w:b w:val="0"/>
          <w:color w:val="000000"/>
          <w:sz w:val="22"/>
          <w:szCs w:val="22"/>
          <w:highlight w:val="none"/>
          <w:u w:val="single"/>
        </w:rPr>
        <w:t>（采购文件中明确的所属行业）</w:t>
      </w:r>
      <w:r>
        <w:rPr>
          <w:rFonts w:hint="eastAsia" w:ascii="宋体" w:eastAsia="宋体"/>
          <w:b w:val="0"/>
          <w:color w:val="000000"/>
          <w:sz w:val="22"/>
          <w:szCs w:val="22"/>
          <w:highlight w:val="none"/>
        </w:rPr>
        <w:t>行业；制造商为</w:t>
      </w:r>
      <w:r>
        <w:rPr>
          <w:rFonts w:hint="eastAsia" w:ascii="宋体" w:eastAsia="宋体"/>
          <w:b w:val="0"/>
          <w:color w:val="000000"/>
          <w:sz w:val="22"/>
          <w:szCs w:val="22"/>
          <w:highlight w:val="none"/>
          <w:u w:val="single"/>
        </w:rPr>
        <w:t>（企业名称）</w:t>
      </w:r>
      <w:r>
        <w:rPr>
          <w:rFonts w:hint="eastAsia" w:ascii="宋体" w:eastAsia="宋体"/>
          <w:b w:val="0"/>
          <w:color w:val="000000"/>
          <w:sz w:val="22"/>
          <w:szCs w:val="22"/>
          <w:highlight w:val="none"/>
        </w:rPr>
        <w:t>，从业人员</w:t>
      </w:r>
      <w:r>
        <w:rPr>
          <w:rFonts w:hint="eastAsia" w:ascii="宋体" w:eastAsia="宋体"/>
          <w:b w:val="0"/>
          <w:color w:val="000000"/>
          <w:sz w:val="22"/>
          <w:szCs w:val="22"/>
          <w:highlight w:val="none"/>
          <w:u w:val="single"/>
        </w:rPr>
        <w:t xml:space="preserve">       </w:t>
      </w:r>
      <w:r>
        <w:rPr>
          <w:rFonts w:hint="eastAsia" w:ascii="宋体" w:eastAsia="宋体"/>
          <w:b w:val="0"/>
          <w:color w:val="000000"/>
          <w:sz w:val="22"/>
          <w:szCs w:val="22"/>
          <w:highlight w:val="none"/>
        </w:rPr>
        <w:t>人，营业收入为</w:t>
      </w:r>
      <w:r>
        <w:rPr>
          <w:rFonts w:hint="eastAsia" w:ascii="宋体" w:eastAsia="宋体"/>
          <w:b w:val="0"/>
          <w:color w:val="000000"/>
          <w:sz w:val="22"/>
          <w:szCs w:val="22"/>
          <w:highlight w:val="none"/>
          <w:u w:val="single"/>
        </w:rPr>
        <w:t xml:space="preserve">     </w:t>
      </w:r>
      <w:r>
        <w:rPr>
          <w:rFonts w:hint="eastAsia" w:ascii="宋体" w:eastAsia="宋体"/>
          <w:b w:val="0"/>
          <w:color w:val="000000"/>
          <w:sz w:val="22"/>
          <w:szCs w:val="22"/>
          <w:highlight w:val="none"/>
        </w:rPr>
        <w:t>万元，资产总额为</w:t>
      </w:r>
      <w:r>
        <w:rPr>
          <w:rFonts w:hint="eastAsia" w:ascii="宋体" w:eastAsia="宋体"/>
          <w:b w:val="0"/>
          <w:color w:val="000000"/>
          <w:sz w:val="22"/>
          <w:szCs w:val="22"/>
          <w:highlight w:val="none"/>
          <w:u w:val="single"/>
        </w:rPr>
        <w:t xml:space="preserve">       </w:t>
      </w:r>
      <w:r>
        <w:rPr>
          <w:rFonts w:hint="eastAsia" w:ascii="宋体" w:eastAsia="宋体"/>
          <w:b w:val="0"/>
          <w:color w:val="000000"/>
          <w:sz w:val="22"/>
          <w:szCs w:val="22"/>
          <w:highlight w:val="none"/>
        </w:rPr>
        <w:t>万元，属于</w:t>
      </w:r>
      <w:r>
        <w:rPr>
          <w:rFonts w:hint="eastAsia" w:ascii="宋体" w:eastAsia="宋体"/>
          <w:b w:val="0"/>
          <w:color w:val="000000"/>
          <w:sz w:val="22"/>
          <w:szCs w:val="22"/>
          <w:highlight w:val="none"/>
          <w:u w:val="single"/>
        </w:rPr>
        <w:t xml:space="preserve">     （中型企业、小型企业、微型企业）</w:t>
      </w:r>
      <w:r>
        <w:rPr>
          <w:rFonts w:hint="eastAsia" w:ascii="宋体" w:eastAsia="宋体"/>
          <w:b w:val="0"/>
          <w:color w:val="000000"/>
          <w:sz w:val="22"/>
          <w:szCs w:val="22"/>
          <w:highlight w:val="none"/>
        </w:rPr>
        <w:t>；</w:t>
      </w:r>
    </w:p>
    <w:p>
      <w:pPr>
        <w:spacing w:line="312" w:lineRule="auto"/>
        <w:ind w:firstLine="660" w:firstLineChars="300"/>
        <w:rPr>
          <w:rFonts w:ascii="宋体" w:eastAsia="宋体"/>
          <w:b w:val="0"/>
          <w:color w:val="000000"/>
          <w:sz w:val="22"/>
          <w:szCs w:val="22"/>
          <w:highlight w:val="none"/>
        </w:rPr>
      </w:pPr>
      <w:r>
        <w:rPr>
          <w:rFonts w:hint="eastAsia" w:ascii="宋体" w:eastAsia="宋体"/>
          <w:b w:val="0"/>
          <w:color w:val="000000"/>
          <w:sz w:val="22"/>
          <w:szCs w:val="22"/>
          <w:highlight w:val="none"/>
        </w:rPr>
        <w:t>……</w:t>
      </w:r>
    </w:p>
    <w:p>
      <w:pPr>
        <w:spacing w:line="312" w:lineRule="auto"/>
        <w:ind w:firstLine="660" w:firstLineChars="300"/>
        <w:rPr>
          <w:rFonts w:hint="eastAsia" w:ascii="宋体" w:eastAsia="宋体"/>
          <w:b w:val="0"/>
          <w:color w:val="000000"/>
          <w:sz w:val="22"/>
          <w:szCs w:val="22"/>
          <w:highlight w:val="none"/>
        </w:rPr>
      </w:pPr>
      <w:r>
        <w:rPr>
          <w:rFonts w:hint="eastAsia" w:ascii="宋体" w:eastAsia="宋体"/>
          <w:b w:val="0"/>
          <w:color w:val="000000"/>
          <w:sz w:val="22"/>
          <w:szCs w:val="22"/>
          <w:highlight w:val="none"/>
        </w:rPr>
        <w:t>以上企业，不属于大企业的分支机构，不存在控股股东为大企业的情形，也不存在与大企业的负责人为同一人的情形。</w:t>
      </w:r>
    </w:p>
    <w:p>
      <w:pPr>
        <w:spacing w:line="312" w:lineRule="auto"/>
        <w:ind w:firstLine="660" w:firstLineChars="300"/>
        <w:rPr>
          <w:rFonts w:hint="eastAsia" w:ascii="宋体" w:eastAsia="宋体"/>
          <w:b w:val="0"/>
          <w:color w:val="000000"/>
          <w:sz w:val="22"/>
          <w:szCs w:val="22"/>
          <w:highlight w:val="none"/>
        </w:rPr>
      </w:pPr>
      <w:r>
        <w:rPr>
          <w:rFonts w:hint="eastAsia" w:ascii="宋体" w:eastAsia="宋体"/>
          <w:b w:val="0"/>
          <w:color w:val="000000"/>
          <w:sz w:val="22"/>
          <w:szCs w:val="22"/>
          <w:highlight w:val="none"/>
        </w:rPr>
        <w:t>本企业对上述声明内容的真实性负责。如有虚假，将依法承担相应责任。</w:t>
      </w:r>
    </w:p>
    <w:p>
      <w:pPr>
        <w:spacing w:line="312" w:lineRule="auto"/>
        <w:ind w:firstLine="5280" w:firstLineChars="2400"/>
        <w:rPr>
          <w:rFonts w:hint="eastAsia" w:ascii="宋体" w:eastAsia="宋体"/>
          <w:b w:val="0"/>
          <w:color w:val="000000"/>
          <w:sz w:val="22"/>
          <w:szCs w:val="22"/>
          <w:highlight w:val="none"/>
        </w:rPr>
      </w:pPr>
      <w:r>
        <w:rPr>
          <w:rFonts w:hint="eastAsia" w:ascii="宋体" w:eastAsia="宋体"/>
          <w:b w:val="0"/>
          <w:color w:val="000000"/>
          <w:sz w:val="22"/>
          <w:szCs w:val="22"/>
          <w:highlight w:val="none"/>
        </w:rPr>
        <w:t>企业名称（盖章）：</w:t>
      </w:r>
    </w:p>
    <w:p>
      <w:pPr>
        <w:spacing w:line="312" w:lineRule="auto"/>
        <w:ind w:firstLine="5500" w:firstLineChars="2500"/>
        <w:rPr>
          <w:rFonts w:hint="eastAsia" w:ascii="宋体" w:eastAsia="宋体"/>
          <w:b w:val="0"/>
          <w:color w:val="000000"/>
          <w:sz w:val="22"/>
          <w:szCs w:val="22"/>
          <w:highlight w:val="none"/>
        </w:rPr>
      </w:pPr>
      <w:r>
        <w:rPr>
          <w:rFonts w:hint="eastAsia" w:ascii="宋体" w:eastAsia="宋体"/>
          <w:b w:val="0"/>
          <w:color w:val="000000"/>
          <w:sz w:val="22"/>
          <w:szCs w:val="22"/>
          <w:highlight w:val="none"/>
        </w:rPr>
        <w:t>日期：</w:t>
      </w:r>
    </w:p>
    <w:p>
      <w:pPr>
        <w:spacing w:line="312" w:lineRule="auto"/>
        <w:rPr>
          <w:rFonts w:hint="eastAsia" w:ascii="宋体" w:eastAsia="宋体"/>
          <w:b w:val="0"/>
          <w:color w:val="000000"/>
          <w:sz w:val="22"/>
          <w:szCs w:val="22"/>
          <w:highlight w:val="none"/>
        </w:rPr>
      </w:pPr>
      <w:r>
        <w:rPr>
          <w:rFonts w:hint="eastAsia" w:ascii="宋体" w:eastAsia="宋体"/>
          <w:b w:val="0"/>
          <w:color w:val="000000"/>
          <w:sz w:val="22"/>
          <w:szCs w:val="22"/>
          <w:highlight w:val="none"/>
        </w:rPr>
        <w:t>说明：</w:t>
      </w:r>
    </w:p>
    <w:p>
      <w:pPr>
        <w:spacing w:line="312" w:lineRule="auto"/>
        <w:ind w:firstLine="440" w:firstLineChars="200"/>
        <w:rPr>
          <w:rFonts w:ascii="宋体" w:eastAsia="宋体" w:cs="宋体"/>
          <w:color w:val="000000"/>
          <w:sz w:val="22"/>
          <w:szCs w:val="22"/>
          <w:highlight w:val="none"/>
        </w:rPr>
      </w:pPr>
      <w:r>
        <w:rPr>
          <w:rFonts w:hint="eastAsia" w:ascii="宋体" w:eastAsia="宋体"/>
          <w:b w:val="0"/>
          <w:color w:val="000000"/>
          <w:sz w:val="22"/>
          <w:szCs w:val="22"/>
          <w:highlight w:val="none"/>
        </w:rPr>
        <w:t>1、从业人员、营业收入、资产总额填报上一年度数据，无上一年度数据的新成立企业可不填报。</w:t>
      </w:r>
      <w:r>
        <w:rPr>
          <w:rFonts w:hint="eastAsia" w:ascii="宋体" w:eastAsia="宋体" w:cs="宋体"/>
          <w:b w:val="0"/>
          <w:color w:val="000000"/>
          <w:sz w:val="22"/>
          <w:szCs w:val="22"/>
          <w:highlight w:val="none"/>
        </w:rPr>
        <w:t>                   </w:t>
      </w:r>
      <w:r>
        <w:rPr>
          <w:rFonts w:hint="eastAsia" w:ascii="宋体" w:eastAsia="宋体" w:cs="宋体"/>
          <w:color w:val="000000"/>
          <w:sz w:val="22"/>
          <w:szCs w:val="22"/>
          <w:highlight w:val="none"/>
        </w:rPr>
        <w:t>        　　　　　</w:t>
      </w:r>
    </w:p>
    <w:p>
      <w:pPr>
        <w:spacing w:line="312" w:lineRule="auto"/>
        <w:ind w:firstLine="440" w:firstLineChars="200"/>
        <w:rPr>
          <w:rFonts w:hint="eastAsia" w:ascii="宋体" w:eastAsia="宋体"/>
          <w:b w:val="0"/>
          <w:color w:val="000000"/>
          <w:sz w:val="22"/>
          <w:szCs w:val="22"/>
          <w:highlight w:val="none"/>
        </w:rPr>
      </w:pPr>
      <w:r>
        <w:rPr>
          <w:rFonts w:hint="eastAsia" w:ascii="宋体" w:eastAsia="宋体"/>
          <w:b w:val="0"/>
          <w:color w:val="000000"/>
          <w:sz w:val="22"/>
          <w:szCs w:val="22"/>
          <w:highlight w:val="none"/>
        </w:rPr>
        <w:t>2、如中标，将在中标公告中将此中小企业声明函予以公示，接受社会监督。</w:t>
      </w:r>
    </w:p>
    <w:p>
      <w:pPr>
        <w:spacing w:line="312" w:lineRule="auto"/>
        <w:ind w:firstLine="440" w:firstLineChars="200"/>
        <w:rPr>
          <w:rFonts w:hint="eastAsia" w:ascii="宋体" w:eastAsia="宋体"/>
          <w:b w:val="0"/>
          <w:bCs w:val="0"/>
          <w:color w:val="000000"/>
          <w:sz w:val="22"/>
          <w:szCs w:val="22"/>
          <w:highlight w:val="none"/>
        </w:rPr>
      </w:pPr>
      <w:r>
        <w:rPr>
          <w:rFonts w:hint="eastAsia" w:ascii="宋体" w:eastAsia="宋体"/>
          <w:b w:val="0"/>
          <w:bCs w:val="0"/>
          <w:color w:val="000000"/>
          <w:sz w:val="22"/>
          <w:szCs w:val="22"/>
          <w:highlight w:val="none"/>
        </w:rPr>
        <w:t>3、按采购标的逐项列明。</w:t>
      </w:r>
    </w:p>
    <w:p>
      <w:pPr>
        <w:numPr>
          <w:ilvl w:val="-1"/>
          <w:numId w:val="0"/>
        </w:numPr>
        <w:spacing w:line="312" w:lineRule="auto"/>
        <w:ind w:left="0" w:firstLine="440" w:firstLineChars="200"/>
        <w:rPr>
          <w:rFonts w:hint="eastAsia" w:ascii="宋体" w:hAnsi="Times New Roman" w:cs="Times New Roman"/>
          <w:b w:val="0"/>
          <w:color w:val="000000"/>
          <w:sz w:val="22"/>
          <w:szCs w:val="22"/>
          <w:highlight w:val="none"/>
        </w:rPr>
      </w:pPr>
      <w:r>
        <w:rPr>
          <w:rFonts w:hint="eastAsia" w:ascii="宋体" w:hAnsi="Times New Roman" w:eastAsia="宋体" w:cs="Times New Roman"/>
          <w:b w:val="0"/>
          <w:bCs w:val="0"/>
          <w:color w:val="000000"/>
          <w:sz w:val="22"/>
          <w:szCs w:val="22"/>
          <w:highlight w:val="none"/>
        </w:rPr>
        <w:t>4、根据《工业和信息化部、国家统计局、国家发展和改革委员会、财政部关于印发中小企业划型标准规定的通知》（工信部联企业[2011]300号），本项目采购</w:t>
      </w:r>
      <w:r>
        <w:rPr>
          <w:rFonts w:hint="eastAsia" w:ascii="宋体" w:hAnsi="Times New Roman" w:eastAsia="宋体" w:cs="Times New Roman"/>
          <w:b w:val="0"/>
          <w:bCs w:val="0"/>
          <w:color w:val="000000"/>
          <w:sz w:val="22"/>
          <w:szCs w:val="22"/>
          <w:highlight w:val="none"/>
          <w:lang w:val="en-US" w:eastAsia="zh-CN"/>
        </w:rPr>
        <w:t>设备部分的产品</w:t>
      </w:r>
      <w:r>
        <w:rPr>
          <w:rFonts w:hint="eastAsia" w:ascii="宋体" w:hAnsi="Times New Roman" w:eastAsia="宋体" w:cs="Times New Roman"/>
          <w:b w:val="0"/>
          <w:bCs w:val="0"/>
          <w:color w:val="000000"/>
          <w:sz w:val="22"/>
          <w:szCs w:val="22"/>
          <w:highlight w:val="none"/>
        </w:rPr>
        <w:t>制造商所属行业为工业（包括采矿业，制造业，电力、热力、燃气及水生产和供应业）</w:t>
      </w:r>
      <w:r>
        <w:rPr>
          <w:rFonts w:hint="eastAsia" w:ascii="宋体" w:hAnsi="Times New Roman" w:eastAsia="宋体" w:cs="Times New Roman"/>
          <w:b w:val="0"/>
          <w:bCs w:val="0"/>
          <w:color w:val="000000"/>
          <w:sz w:val="22"/>
          <w:szCs w:val="22"/>
          <w:highlight w:val="none"/>
          <w:lang w:eastAsia="zh-CN"/>
        </w:rPr>
        <w:t>。</w:t>
      </w:r>
    </w:p>
    <w:p>
      <w:pPr>
        <w:pStyle w:val="750"/>
        <w:spacing w:before="60" w:after="60" w:line="360" w:lineRule="auto"/>
        <w:rPr>
          <w:rFonts w:ascii="宋体" w:hAnsi="宋体" w:cs="宋体"/>
          <w:color w:val="auto"/>
          <w:sz w:val="22"/>
          <w:szCs w:val="22"/>
        </w:rPr>
        <w:sectPr>
          <w:headerReference r:id="rId10" w:type="default"/>
          <w:footerReference r:id="rId11" w:type="default"/>
          <w:type w:val="nextColumn"/>
          <w:pgSz w:w="11906" w:h="16838"/>
          <w:pgMar w:top="1134" w:right="1134" w:bottom="1134" w:left="1134" w:header="851" w:footer="992" w:gutter="0"/>
          <w:pgNumType w:fmt="decimal"/>
          <w:cols w:space="720" w:num="1"/>
          <w:docGrid w:linePitch="312" w:charSpace="0"/>
        </w:sectPr>
      </w:pPr>
    </w:p>
    <w:p>
      <w:pPr>
        <w:spacing w:after="120" w:line="360" w:lineRule="auto"/>
        <w:jc w:val="center"/>
        <w:rPr>
          <w:rFonts w:ascii="宋体" w:hAnsi="宋体" w:cs="宋体"/>
          <w:b/>
          <w:bCs/>
          <w:color w:val="auto"/>
          <w:sz w:val="22"/>
          <w:szCs w:val="22"/>
        </w:rPr>
      </w:pPr>
    </w:p>
    <w:p>
      <w:pPr>
        <w:spacing w:before="240" w:beforeLines="100" w:line="360" w:lineRule="auto"/>
        <w:ind w:firstLine="0" w:firstLineChars="0"/>
        <w:jc w:val="right"/>
        <w:rPr>
          <w:rFonts w:ascii="宋体"/>
          <w:color w:val="auto"/>
          <w:sz w:val="22"/>
          <w:szCs w:val="22"/>
        </w:rPr>
      </w:pPr>
      <w:r>
        <w:rPr>
          <w:rFonts w:ascii="宋体"/>
          <w:color w:val="auto"/>
          <w:sz w:val="22"/>
          <w:szCs w:val="22"/>
        </w:rPr>
        <w:t>              </w:t>
      </w:r>
      <w:r>
        <w:rPr>
          <w:rFonts w:hint="eastAsia" w:ascii="宋体" w:hAnsi="宋体"/>
          <w:color w:val="auto"/>
          <w:sz w:val="22"/>
          <w:szCs w:val="22"/>
        </w:rPr>
        <w:t>　　　　　</w:t>
      </w:r>
    </w:p>
    <w:p>
      <w:pPr>
        <w:spacing w:line="360" w:lineRule="auto"/>
        <w:rPr>
          <w:rFonts w:ascii="宋体"/>
          <w:color w:val="auto"/>
          <w:sz w:val="22"/>
          <w:szCs w:val="22"/>
        </w:rPr>
      </w:pPr>
    </w:p>
    <w:p>
      <w:pPr>
        <w:spacing w:line="360" w:lineRule="auto"/>
        <w:jc w:val="center"/>
        <w:rPr>
          <w:rFonts w:ascii="宋体"/>
          <w:color w:val="auto"/>
          <w:spacing w:val="6"/>
          <w:sz w:val="22"/>
          <w:szCs w:val="22"/>
        </w:rPr>
      </w:pPr>
      <w:r>
        <w:rPr>
          <w:rFonts w:hint="eastAsia" w:ascii="宋体" w:hAnsi="宋体"/>
          <w:b/>
          <w:color w:val="auto"/>
          <w:sz w:val="22"/>
          <w:szCs w:val="22"/>
        </w:rPr>
        <w:t>（2）</w:t>
      </w:r>
      <w:r>
        <w:rPr>
          <w:rFonts w:hint="eastAsia" w:ascii="宋体" w:hAnsi="宋体"/>
          <w:b/>
          <w:color w:val="auto"/>
          <w:spacing w:val="6"/>
          <w:sz w:val="22"/>
          <w:szCs w:val="22"/>
        </w:rPr>
        <w:t>残疾人福利性单位声明函</w:t>
      </w:r>
    </w:p>
    <w:p>
      <w:pPr>
        <w:widowControl/>
        <w:adjustRightInd w:val="0"/>
        <w:snapToGrid w:val="0"/>
        <w:spacing w:line="360" w:lineRule="auto"/>
        <w:ind w:firstLine="0" w:firstLineChars="0"/>
        <w:jc w:val="center"/>
        <w:rPr>
          <w:rFonts w:ascii="宋体" w:cs="Arial"/>
          <w:color w:val="auto"/>
          <w:kern w:val="0"/>
          <w:sz w:val="22"/>
          <w:szCs w:val="22"/>
        </w:rPr>
      </w:pPr>
      <w:r>
        <w:rPr>
          <w:rFonts w:hint="eastAsia" w:ascii="宋体" w:hAnsi="宋体" w:cs="Arial"/>
          <w:color w:val="auto"/>
          <w:kern w:val="0"/>
          <w:sz w:val="22"/>
          <w:szCs w:val="22"/>
        </w:rPr>
        <w:t>【不属于残疾人福利性单位的无需填写、递交】</w:t>
      </w:r>
    </w:p>
    <w:p>
      <w:pPr>
        <w:snapToGrid w:val="0"/>
        <w:spacing w:line="360" w:lineRule="auto"/>
        <w:jc w:val="center"/>
        <w:rPr>
          <w:rFonts w:ascii="宋体" w:cs="Arial"/>
          <w:b/>
          <w:bCs/>
          <w:color w:val="auto"/>
          <w:sz w:val="22"/>
          <w:szCs w:val="22"/>
        </w:rPr>
      </w:pPr>
    </w:p>
    <w:p>
      <w:pPr>
        <w:snapToGrid w:val="0"/>
        <w:spacing w:line="360" w:lineRule="auto"/>
        <w:ind w:firstLine="0" w:firstLineChars="0"/>
        <w:rPr>
          <w:rFonts w:ascii="宋体" w:cs="Arial"/>
          <w:color w:val="auto"/>
          <w:spacing w:val="6"/>
          <w:sz w:val="22"/>
          <w:szCs w:val="22"/>
        </w:rPr>
      </w:pPr>
      <w:r>
        <w:rPr>
          <w:rFonts w:hint="eastAsia" w:ascii="宋体" w:hAnsi="宋体" w:cs="Arial"/>
          <w:color w:val="auto"/>
          <w:spacing w:val="6"/>
          <w:sz w:val="22"/>
          <w:szCs w:val="22"/>
        </w:rPr>
        <w:t>本单位郑重声明，根据《财政部民政部中国残疾人联合会关于促进残疾人就业政府采购政策的通知》（财库</w:t>
      </w:r>
      <w:r>
        <w:rPr>
          <w:rFonts w:hint="eastAsia" w:ascii="宋体" w:hAnsi="宋体" w:cs="Arial"/>
          <w:color w:val="auto"/>
          <w:sz w:val="22"/>
          <w:szCs w:val="22"/>
        </w:rPr>
        <w:t>〔</w:t>
      </w:r>
      <w:r>
        <w:rPr>
          <w:rFonts w:ascii="宋体" w:hAnsi="宋体" w:cs="Arial"/>
          <w:color w:val="auto"/>
          <w:sz w:val="22"/>
          <w:szCs w:val="22"/>
        </w:rPr>
        <w:t>2017</w:t>
      </w:r>
      <w:r>
        <w:rPr>
          <w:rFonts w:hint="eastAsia" w:ascii="宋体" w:hAnsi="宋体" w:cs="Arial"/>
          <w:color w:val="auto"/>
          <w:sz w:val="22"/>
          <w:szCs w:val="22"/>
        </w:rPr>
        <w:t>〕</w:t>
      </w:r>
      <w:r>
        <w:rPr>
          <w:rFonts w:ascii="宋体" w:hAnsi="宋体" w:cs="Arial"/>
          <w:color w:val="auto"/>
          <w:sz w:val="22"/>
          <w:szCs w:val="22"/>
        </w:rPr>
        <w:t>141</w:t>
      </w:r>
      <w:r>
        <w:rPr>
          <w:rFonts w:hint="eastAsia" w:ascii="宋体" w:hAnsi="宋体" w:cs="Arial"/>
          <w:color w:val="auto"/>
          <w:spacing w:val="6"/>
          <w:sz w:val="22"/>
          <w:szCs w:val="22"/>
        </w:rPr>
        <w:t>号）的规定，本单位为符合条件的残疾人福利性单位，且本单位参加</w:t>
      </w:r>
      <w:r>
        <w:rPr>
          <w:rFonts w:hint="eastAsia" w:ascii="宋体" w:hAnsi="宋体" w:cs="Arial"/>
          <w:color w:val="auto"/>
          <w:spacing w:val="6"/>
          <w:sz w:val="22"/>
          <w:szCs w:val="22"/>
          <w:u w:val="single"/>
        </w:rPr>
        <w:t>（采购人名称）</w:t>
      </w:r>
      <w:r>
        <w:rPr>
          <w:rFonts w:hint="eastAsia" w:ascii="宋体" w:hAnsi="宋体" w:cs="Arial"/>
          <w:color w:val="auto"/>
          <w:spacing w:val="6"/>
          <w:sz w:val="22"/>
          <w:szCs w:val="22"/>
        </w:rPr>
        <w:t>单位的</w:t>
      </w:r>
      <w:r>
        <w:rPr>
          <w:rFonts w:hint="eastAsia" w:ascii="宋体" w:hAnsi="宋体" w:cs="Arial"/>
          <w:color w:val="auto"/>
          <w:spacing w:val="6"/>
          <w:sz w:val="22"/>
          <w:szCs w:val="22"/>
          <w:u w:val="single"/>
        </w:rPr>
        <w:t>（项目名称）</w:t>
      </w:r>
      <w:r>
        <w:rPr>
          <w:rFonts w:hint="eastAsia" w:ascii="宋体" w:hAnsi="宋体" w:cs="Arial"/>
          <w:color w:val="auto"/>
          <w:spacing w:val="6"/>
          <w:sz w:val="22"/>
          <w:szCs w:val="22"/>
        </w:rPr>
        <w:t>项目采购活动提供本单位制造的货物（由本单位承担工程</w:t>
      </w:r>
      <w:r>
        <w:rPr>
          <w:rFonts w:ascii="宋体" w:hAnsi="宋体" w:cs="Arial"/>
          <w:color w:val="auto"/>
          <w:spacing w:val="6"/>
          <w:sz w:val="22"/>
          <w:szCs w:val="22"/>
        </w:rPr>
        <w:t>/</w:t>
      </w:r>
      <w:r>
        <w:rPr>
          <w:rFonts w:hint="eastAsia" w:ascii="宋体" w:hAnsi="宋体" w:cs="Arial"/>
          <w:color w:val="auto"/>
          <w:spacing w:val="6"/>
          <w:sz w:val="22"/>
          <w:szCs w:val="22"/>
        </w:rPr>
        <w:t>提供服务），或者提供其他残疾人福利性单位制造的货物（不包括使用非残疾人福利性单位注册商标的货物）。</w:t>
      </w:r>
    </w:p>
    <w:p>
      <w:pPr>
        <w:snapToGrid w:val="0"/>
        <w:spacing w:line="360" w:lineRule="auto"/>
        <w:ind w:firstLine="0" w:firstLineChars="0"/>
        <w:rPr>
          <w:rFonts w:ascii="宋体" w:cs="Arial"/>
          <w:color w:val="auto"/>
          <w:spacing w:val="6"/>
          <w:sz w:val="22"/>
          <w:szCs w:val="22"/>
        </w:rPr>
      </w:pPr>
      <w:r>
        <w:rPr>
          <w:rFonts w:hint="eastAsia" w:ascii="宋体" w:hAnsi="宋体" w:cs="Arial"/>
          <w:color w:val="auto"/>
          <w:spacing w:val="6"/>
          <w:sz w:val="22"/>
          <w:szCs w:val="22"/>
        </w:rPr>
        <w:t>本单位对上述声明的真实性负责。如有虚假，将依法承担相应责任。</w:t>
      </w:r>
    </w:p>
    <w:p>
      <w:pPr>
        <w:snapToGrid w:val="0"/>
        <w:spacing w:line="360" w:lineRule="auto"/>
        <w:ind w:firstLine="0" w:firstLineChars="0"/>
        <w:rPr>
          <w:rFonts w:ascii="宋体" w:cs="Arial"/>
          <w:color w:val="auto"/>
          <w:spacing w:val="6"/>
          <w:sz w:val="22"/>
          <w:szCs w:val="22"/>
        </w:rPr>
      </w:pPr>
    </w:p>
    <w:p>
      <w:pPr>
        <w:snapToGrid w:val="0"/>
        <w:spacing w:line="360" w:lineRule="auto"/>
        <w:ind w:firstLine="0" w:firstLineChars="0"/>
        <w:rPr>
          <w:rFonts w:ascii="宋体" w:cs="Arial"/>
          <w:color w:val="auto"/>
          <w:spacing w:val="6"/>
          <w:sz w:val="22"/>
          <w:szCs w:val="22"/>
        </w:rPr>
      </w:pPr>
    </w:p>
    <w:p>
      <w:pPr>
        <w:widowControl/>
        <w:adjustRightInd w:val="0"/>
        <w:snapToGrid w:val="0"/>
        <w:spacing w:line="360" w:lineRule="auto"/>
        <w:ind w:firstLine="0" w:firstLineChars="0"/>
        <w:jc w:val="left"/>
        <w:rPr>
          <w:rFonts w:ascii="宋体" w:hAnsi="宋体" w:cs="宋体"/>
          <w:color w:val="auto"/>
          <w:sz w:val="22"/>
          <w:szCs w:val="22"/>
        </w:rPr>
      </w:pPr>
      <w:r>
        <w:rPr>
          <w:rFonts w:hint="eastAsia" w:ascii="宋体" w:hAnsi="宋体" w:cs="宋体"/>
          <w:color w:val="auto"/>
          <w:sz w:val="22"/>
          <w:szCs w:val="22"/>
        </w:rPr>
        <w:t>投标人名称（盖章）：</w:t>
      </w:r>
    </w:p>
    <w:p>
      <w:pPr>
        <w:widowControl/>
        <w:adjustRightInd w:val="0"/>
        <w:snapToGrid w:val="0"/>
        <w:spacing w:line="360" w:lineRule="auto"/>
        <w:ind w:firstLine="0" w:firstLineChars="0"/>
        <w:jc w:val="left"/>
        <w:rPr>
          <w:rFonts w:ascii="宋体" w:hAnsi="宋体" w:cs="宋体"/>
          <w:color w:val="auto"/>
          <w:sz w:val="22"/>
          <w:szCs w:val="22"/>
        </w:rPr>
      </w:pPr>
      <w:r>
        <w:rPr>
          <w:rFonts w:hint="eastAsia" w:ascii="宋体" w:hAnsi="宋体" w:cs="宋体"/>
          <w:color w:val="auto"/>
          <w:sz w:val="22"/>
          <w:szCs w:val="22"/>
        </w:rPr>
        <w:t>日期：      年    月     日</w:t>
      </w:r>
    </w:p>
    <w:p>
      <w:pPr>
        <w:adjustRightInd w:val="0"/>
        <w:snapToGrid w:val="0"/>
        <w:spacing w:line="360" w:lineRule="auto"/>
        <w:ind w:firstLine="0" w:firstLineChars="0"/>
        <w:rPr>
          <w:rFonts w:ascii="宋体" w:cs="Arial"/>
          <w:color w:val="auto"/>
          <w:kern w:val="0"/>
          <w:sz w:val="22"/>
          <w:szCs w:val="22"/>
        </w:rPr>
      </w:pPr>
    </w:p>
    <w:p>
      <w:pPr>
        <w:pStyle w:val="41"/>
        <w:spacing w:line="360" w:lineRule="auto"/>
        <w:rPr>
          <w:color w:val="auto"/>
        </w:rPr>
      </w:pPr>
    </w:p>
    <w:p>
      <w:pPr>
        <w:adjustRightInd w:val="0"/>
        <w:snapToGrid w:val="0"/>
        <w:spacing w:line="360" w:lineRule="auto"/>
        <w:ind w:firstLine="0" w:firstLineChars="0"/>
        <w:rPr>
          <w:rFonts w:ascii="宋体" w:cs="Arial"/>
          <w:color w:val="auto"/>
          <w:kern w:val="0"/>
          <w:sz w:val="22"/>
          <w:szCs w:val="22"/>
        </w:rPr>
      </w:pPr>
    </w:p>
    <w:p>
      <w:pPr>
        <w:spacing w:line="360" w:lineRule="auto"/>
        <w:rPr>
          <w:rFonts w:ascii="宋体"/>
          <w:color w:val="auto"/>
          <w:sz w:val="22"/>
          <w:szCs w:val="22"/>
        </w:rPr>
      </w:pPr>
    </w:p>
    <w:p>
      <w:pPr>
        <w:adjustRightInd w:val="0"/>
        <w:snapToGrid w:val="0"/>
        <w:spacing w:line="360" w:lineRule="auto"/>
        <w:jc w:val="center"/>
        <w:rPr>
          <w:rFonts w:ascii="宋体" w:cs="Arial"/>
          <w:color w:val="auto"/>
          <w:kern w:val="0"/>
          <w:sz w:val="22"/>
          <w:szCs w:val="22"/>
        </w:rPr>
      </w:pPr>
      <w:r>
        <w:rPr>
          <w:rFonts w:hint="eastAsia" w:ascii="宋体" w:hAnsi="宋体"/>
          <w:b/>
          <w:color w:val="auto"/>
          <w:sz w:val="22"/>
          <w:szCs w:val="22"/>
        </w:rPr>
        <w:t>（3）</w:t>
      </w:r>
      <w:r>
        <w:rPr>
          <w:rFonts w:hint="eastAsia" w:ascii="宋体" w:hAnsi="宋体"/>
          <w:b/>
          <w:color w:val="auto"/>
          <w:spacing w:val="6"/>
          <w:sz w:val="22"/>
          <w:szCs w:val="22"/>
        </w:rPr>
        <w:t>监狱企业声明函</w:t>
      </w:r>
    </w:p>
    <w:p>
      <w:pPr>
        <w:snapToGrid w:val="0"/>
        <w:spacing w:line="360" w:lineRule="auto"/>
        <w:ind w:firstLine="0" w:firstLineChars="0"/>
        <w:jc w:val="center"/>
        <w:rPr>
          <w:rFonts w:ascii="宋体" w:cs="Arial"/>
          <w:color w:val="auto"/>
          <w:spacing w:val="6"/>
          <w:sz w:val="22"/>
          <w:szCs w:val="22"/>
        </w:rPr>
      </w:pPr>
      <w:r>
        <w:rPr>
          <w:rFonts w:hint="eastAsia" w:ascii="宋体" w:hAnsi="宋体"/>
          <w:color w:val="auto"/>
          <w:spacing w:val="6"/>
          <w:sz w:val="22"/>
          <w:szCs w:val="22"/>
        </w:rPr>
        <w:t>【</w:t>
      </w:r>
      <w:r>
        <w:rPr>
          <w:rFonts w:hint="eastAsia" w:ascii="宋体" w:hAnsi="宋体" w:cs="Arial"/>
          <w:color w:val="auto"/>
          <w:spacing w:val="6"/>
          <w:sz w:val="22"/>
          <w:szCs w:val="22"/>
        </w:rPr>
        <w:t>非监狱企业不用提供】</w:t>
      </w:r>
    </w:p>
    <w:p>
      <w:pPr>
        <w:snapToGrid w:val="0"/>
        <w:spacing w:line="360" w:lineRule="auto"/>
        <w:ind w:firstLine="0" w:firstLineChars="0"/>
        <w:rPr>
          <w:rFonts w:ascii="宋体" w:cs="Arial"/>
          <w:color w:val="auto"/>
          <w:spacing w:val="6"/>
          <w:sz w:val="22"/>
          <w:szCs w:val="22"/>
        </w:rPr>
      </w:pPr>
      <w:r>
        <w:rPr>
          <w:rFonts w:hint="eastAsia" w:ascii="宋体" w:hAnsi="宋体" w:cs="Arial"/>
          <w:color w:val="auto"/>
          <w:spacing w:val="6"/>
          <w:sz w:val="22"/>
          <w:szCs w:val="22"/>
        </w:rPr>
        <w:t>本企业郑重声明，根据《关于政府采购支持监狱企业发展有关问题的通知》（财库</w:t>
      </w:r>
      <w:r>
        <w:rPr>
          <w:rFonts w:ascii="宋体" w:hAnsi="宋体" w:cs="Arial"/>
          <w:color w:val="auto"/>
          <w:spacing w:val="6"/>
          <w:sz w:val="22"/>
          <w:szCs w:val="22"/>
        </w:rPr>
        <w:t>[2014]68</w:t>
      </w:r>
      <w:r>
        <w:rPr>
          <w:rFonts w:hint="eastAsia" w:ascii="宋体" w:hAnsi="宋体" w:cs="Arial"/>
          <w:color w:val="auto"/>
          <w:spacing w:val="6"/>
          <w:sz w:val="22"/>
          <w:szCs w:val="22"/>
        </w:rPr>
        <w:t>号）的规定，本企业为监狱企业。</w:t>
      </w:r>
    </w:p>
    <w:p>
      <w:pPr>
        <w:snapToGrid w:val="0"/>
        <w:spacing w:line="360" w:lineRule="auto"/>
        <w:ind w:firstLine="0" w:firstLineChars="0"/>
        <w:rPr>
          <w:rFonts w:ascii="宋体" w:cs="Arial"/>
          <w:color w:val="auto"/>
          <w:spacing w:val="6"/>
          <w:sz w:val="22"/>
          <w:szCs w:val="22"/>
        </w:rPr>
      </w:pPr>
      <w:r>
        <w:rPr>
          <w:rFonts w:hint="eastAsia" w:ascii="宋体" w:hAnsi="宋体" w:cs="Arial"/>
          <w:color w:val="auto"/>
          <w:spacing w:val="6"/>
          <w:sz w:val="22"/>
          <w:szCs w:val="22"/>
        </w:rPr>
        <w:t>根据上述标准，我企业属于监狱企业的理由为：  。</w:t>
      </w:r>
    </w:p>
    <w:p>
      <w:pPr>
        <w:snapToGrid w:val="0"/>
        <w:spacing w:line="360" w:lineRule="auto"/>
        <w:ind w:firstLine="0" w:firstLineChars="0"/>
        <w:rPr>
          <w:rFonts w:ascii="宋体" w:cs="Arial"/>
          <w:color w:val="auto"/>
          <w:spacing w:val="6"/>
          <w:sz w:val="22"/>
          <w:szCs w:val="22"/>
        </w:rPr>
      </w:pPr>
      <w:r>
        <w:rPr>
          <w:rFonts w:hint="eastAsia" w:ascii="宋体" w:hAnsi="宋体" w:cs="Arial"/>
          <w:color w:val="auto"/>
          <w:spacing w:val="6"/>
          <w:sz w:val="22"/>
          <w:szCs w:val="22"/>
        </w:rPr>
        <w:t>本企业为参加（项目名称</w:t>
      </w:r>
      <w:r>
        <w:rPr>
          <w:rFonts w:hint="eastAsia" w:ascii="宋体" w:hAnsi="宋体" w:cs="Arial"/>
          <w:color w:val="auto"/>
          <w:spacing w:val="6"/>
          <w:sz w:val="22"/>
          <w:szCs w:val="22"/>
          <w:u w:val="single"/>
        </w:rPr>
        <w:t>：</w:t>
      </w:r>
      <w:r>
        <w:rPr>
          <w:rFonts w:hint="eastAsia" w:ascii="宋体" w:hAnsi="宋体" w:cs="Arial"/>
          <w:color w:val="auto"/>
          <w:spacing w:val="6"/>
          <w:sz w:val="22"/>
          <w:szCs w:val="22"/>
        </w:rPr>
        <w:t>）（项目编号</w:t>
      </w:r>
      <w:r>
        <w:rPr>
          <w:rFonts w:hint="eastAsia" w:ascii="宋体" w:hAnsi="宋体" w:cs="Arial"/>
          <w:color w:val="auto"/>
          <w:spacing w:val="6"/>
          <w:sz w:val="22"/>
          <w:szCs w:val="22"/>
          <w:u w:val="single"/>
        </w:rPr>
        <w:t>：</w:t>
      </w:r>
      <w:r>
        <w:rPr>
          <w:rFonts w:hint="eastAsia" w:ascii="宋体" w:hAnsi="宋体" w:cs="Arial"/>
          <w:color w:val="auto"/>
          <w:spacing w:val="6"/>
          <w:sz w:val="22"/>
          <w:szCs w:val="22"/>
        </w:rPr>
        <w:t>）采购活动并承担本工程。</w:t>
      </w:r>
    </w:p>
    <w:p>
      <w:pPr>
        <w:snapToGrid w:val="0"/>
        <w:spacing w:line="360" w:lineRule="auto"/>
        <w:ind w:firstLine="0" w:firstLineChars="0"/>
        <w:rPr>
          <w:rFonts w:ascii="宋体" w:cs="Arial"/>
          <w:color w:val="auto"/>
          <w:spacing w:val="6"/>
          <w:sz w:val="22"/>
          <w:szCs w:val="22"/>
        </w:rPr>
      </w:pPr>
      <w:r>
        <w:rPr>
          <w:rFonts w:hint="eastAsia" w:ascii="宋体" w:hAnsi="宋体" w:cs="Arial"/>
          <w:color w:val="auto"/>
          <w:spacing w:val="6"/>
          <w:sz w:val="22"/>
          <w:szCs w:val="22"/>
        </w:rPr>
        <w:t>本企业对上述声明的真实性负责。如有虚假，将依法承担相应责任。</w:t>
      </w:r>
    </w:p>
    <w:p>
      <w:pPr>
        <w:tabs>
          <w:tab w:val="left" w:pos="4860"/>
        </w:tabs>
        <w:spacing w:line="360" w:lineRule="auto"/>
        <w:ind w:right="1560" w:firstLine="0" w:firstLineChars="0"/>
        <w:jc w:val="center"/>
        <w:rPr>
          <w:rFonts w:ascii="宋体"/>
          <w:color w:val="auto"/>
          <w:spacing w:val="6"/>
          <w:sz w:val="22"/>
          <w:szCs w:val="22"/>
        </w:rPr>
      </w:pPr>
    </w:p>
    <w:p>
      <w:pPr>
        <w:widowControl/>
        <w:adjustRightInd w:val="0"/>
        <w:snapToGrid w:val="0"/>
        <w:spacing w:line="360" w:lineRule="auto"/>
        <w:ind w:firstLine="0" w:firstLineChars="0"/>
        <w:jc w:val="left"/>
        <w:rPr>
          <w:rFonts w:ascii="宋体" w:hAnsi="宋体" w:cs="宋体"/>
          <w:color w:val="auto"/>
          <w:sz w:val="22"/>
          <w:szCs w:val="22"/>
        </w:rPr>
      </w:pPr>
      <w:r>
        <w:rPr>
          <w:rFonts w:hint="eastAsia" w:ascii="宋体" w:hAnsi="宋体" w:cs="宋体"/>
          <w:color w:val="auto"/>
          <w:sz w:val="22"/>
          <w:szCs w:val="22"/>
        </w:rPr>
        <w:t>投标人名称（盖章）：</w:t>
      </w:r>
    </w:p>
    <w:p>
      <w:pPr>
        <w:widowControl/>
        <w:adjustRightInd w:val="0"/>
        <w:snapToGrid w:val="0"/>
        <w:spacing w:line="360" w:lineRule="auto"/>
        <w:ind w:firstLine="0" w:firstLineChars="0"/>
        <w:jc w:val="left"/>
        <w:rPr>
          <w:rFonts w:ascii="宋体" w:hAnsi="宋体" w:cs="宋体"/>
          <w:color w:val="auto"/>
          <w:sz w:val="22"/>
          <w:szCs w:val="22"/>
        </w:rPr>
      </w:pPr>
      <w:r>
        <w:rPr>
          <w:rFonts w:hint="eastAsia" w:ascii="宋体" w:hAnsi="宋体" w:cs="宋体"/>
          <w:color w:val="auto"/>
          <w:sz w:val="22"/>
          <w:szCs w:val="22"/>
        </w:rPr>
        <w:t>日期：      年    月     日</w:t>
      </w:r>
    </w:p>
    <w:p>
      <w:pPr>
        <w:tabs>
          <w:tab w:val="left" w:pos="1995"/>
        </w:tabs>
        <w:spacing w:line="360" w:lineRule="auto"/>
        <w:rPr>
          <w:rFonts w:ascii="宋体" w:hAnsi="宋体"/>
          <w:color w:val="auto"/>
          <w:sz w:val="22"/>
          <w:szCs w:val="22"/>
        </w:rPr>
      </w:pPr>
    </w:p>
    <w:p>
      <w:pPr>
        <w:spacing w:line="360" w:lineRule="auto"/>
        <w:jc w:val="left"/>
        <w:rPr>
          <w:rFonts w:ascii="宋体" w:hAnsi="宋体" w:cs="hakuyoxingshu7000"/>
          <w:color w:val="auto"/>
          <w:sz w:val="36"/>
          <w:szCs w:val="36"/>
        </w:rPr>
      </w:pPr>
      <w:r>
        <w:rPr>
          <w:rFonts w:ascii="宋体" w:hAnsi="宋体"/>
          <w:color w:val="auto"/>
          <w:sz w:val="22"/>
          <w:szCs w:val="22"/>
        </w:rPr>
        <w:br w:type="page"/>
      </w:r>
    </w:p>
    <w:p>
      <w:pPr>
        <w:pStyle w:val="4"/>
        <w:spacing w:line="240" w:lineRule="auto"/>
        <w:rPr>
          <w:rFonts w:hint="eastAsia" w:ascii="宋体" w:hAnsi="宋体" w:eastAsia="宋体" w:cs="宋体"/>
          <w:sz w:val="24"/>
          <w:szCs w:val="24"/>
        </w:rPr>
      </w:pPr>
      <w:bookmarkStart w:id="1049" w:name="_Toc32203"/>
      <w:bookmarkStart w:id="1050" w:name="_Toc10325"/>
      <w:bookmarkStart w:id="1051" w:name="_Toc460707936"/>
      <w:bookmarkStart w:id="1052" w:name="_Toc29940"/>
      <w:r>
        <w:rPr>
          <w:rFonts w:hint="eastAsia" w:ascii="宋体" w:hAnsi="宋体" w:eastAsia="宋体" w:cs="宋体"/>
          <w:sz w:val="24"/>
          <w:szCs w:val="24"/>
        </w:rPr>
        <w:t>附件</w:t>
      </w:r>
      <w:r>
        <w:rPr>
          <w:rFonts w:hint="eastAsia" w:ascii="宋体" w:hAnsi="宋体" w:eastAsia="宋体" w:cs="宋体"/>
          <w:sz w:val="24"/>
          <w:szCs w:val="24"/>
          <w:lang w:val="en-US" w:eastAsia="zh-CN"/>
        </w:rPr>
        <w:t>六</w:t>
      </w:r>
      <w:r>
        <w:rPr>
          <w:rFonts w:hint="eastAsia" w:ascii="宋体" w:hAnsi="宋体" w:eastAsia="宋体" w:cs="宋体"/>
          <w:sz w:val="24"/>
          <w:szCs w:val="24"/>
        </w:rPr>
        <w:t xml:space="preserve"> 同类项目业绩一览表</w:t>
      </w:r>
      <w:bookmarkEnd w:id="1049"/>
      <w:bookmarkEnd w:id="1050"/>
      <w:bookmarkEnd w:id="1051"/>
      <w:bookmarkEnd w:id="1052"/>
    </w:p>
    <w:p>
      <w:pPr>
        <w:spacing w:line="440" w:lineRule="exact"/>
        <w:rPr>
          <w:rFonts w:hint="eastAsia" w:ascii="宋体" w:hAnsi="宋体"/>
          <w:b/>
          <w:bCs/>
          <w:sz w:val="24"/>
        </w:rPr>
      </w:pPr>
    </w:p>
    <w:p>
      <w:pPr>
        <w:spacing w:line="440" w:lineRule="exact"/>
        <w:jc w:val="center"/>
        <w:rPr>
          <w:rFonts w:hint="eastAsia" w:ascii="宋体" w:hAnsi="宋体" w:cs="宋体"/>
          <w:b/>
          <w:bCs/>
          <w:sz w:val="28"/>
          <w:szCs w:val="28"/>
        </w:rPr>
      </w:pPr>
      <w:r>
        <w:rPr>
          <w:rFonts w:hint="eastAsia" w:ascii="宋体" w:hAnsi="宋体" w:cs="宋体"/>
          <w:b/>
          <w:bCs/>
          <w:sz w:val="28"/>
          <w:szCs w:val="28"/>
        </w:rPr>
        <w:t>同类项目业绩一览表</w:t>
      </w:r>
    </w:p>
    <w:p>
      <w:pPr>
        <w:spacing w:line="380" w:lineRule="exact"/>
        <w:ind w:left="-357" w:leftChars="-170" w:firstLine="216" w:firstLineChars="98"/>
        <w:rPr>
          <w:rFonts w:hint="eastAsia" w:ascii="宋体" w:hAnsi="宋体" w:cs="宋体"/>
          <w:b/>
          <w:bCs/>
          <w:sz w:val="22"/>
          <w:szCs w:val="22"/>
        </w:rPr>
      </w:pPr>
    </w:p>
    <w:p>
      <w:pPr>
        <w:spacing w:line="380" w:lineRule="exact"/>
        <w:ind w:left="-357" w:leftChars="-170" w:firstLine="216" w:firstLineChars="98"/>
        <w:rPr>
          <w:rFonts w:hint="eastAsia" w:ascii="宋体" w:hAnsi="宋体" w:cs="宋体"/>
          <w:b/>
          <w:bCs/>
          <w:sz w:val="22"/>
          <w:szCs w:val="22"/>
        </w:rPr>
      </w:pPr>
      <w:r>
        <w:rPr>
          <w:rFonts w:hint="eastAsia" w:ascii="宋体" w:hAnsi="宋体" w:cs="宋体"/>
          <w:b/>
          <w:bCs/>
          <w:sz w:val="22"/>
          <w:szCs w:val="22"/>
        </w:rPr>
        <w:t>项目名称：                                              项目编号：</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0"/>
        <w:gridCol w:w="2192"/>
        <w:gridCol w:w="1636"/>
        <w:gridCol w:w="1260"/>
        <w:gridCol w:w="1345"/>
        <w:gridCol w:w="26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shd w:val="clear" w:color="auto" w:fill="D9D9D9"/>
            <w:noWrap w:val="0"/>
            <w:vAlign w:val="center"/>
          </w:tcPr>
          <w:p>
            <w:pPr>
              <w:spacing w:line="380" w:lineRule="exact"/>
              <w:jc w:val="center"/>
              <w:rPr>
                <w:rFonts w:hint="eastAsia" w:ascii="宋体" w:hAnsi="宋体" w:cs="宋体"/>
                <w:b/>
                <w:bCs/>
                <w:sz w:val="22"/>
                <w:szCs w:val="22"/>
              </w:rPr>
            </w:pPr>
            <w:r>
              <w:rPr>
                <w:rFonts w:hint="eastAsia" w:ascii="宋体" w:hAnsi="宋体" w:cs="宋体"/>
                <w:b/>
                <w:bCs/>
                <w:sz w:val="22"/>
                <w:szCs w:val="22"/>
              </w:rPr>
              <w:t>序号</w:t>
            </w:r>
          </w:p>
        </w:tc>
        <w:tc>
          <w:tcPr>
            <w:tcW w:w="2192" w:type="dxa"/>
            <w:shd w:val="clear" w:color="auto" w:fill="D9D9D9"/>
            <w:noWrap w:val="0"/>
            <w:vAlign w:val="center"/>
          </w:tcPr>
          <w:p>
            <w:pPr>
              <w:spacing w:line="380" w:lineRule="exact"/>
              <w:jc w:val="center"/>
              <w:rPr>
                <w:rFonts w:hint="eastAsia" w:ascii="宋体" w:hAnsi="宋体" w:cs="宋体"/>
                <w:b/>
                <w:bCs/>
                <w:sz w:val="22"/>
                <w:szCs w:val="22"/>
              </w:rPr>
            </w:pPr>
            <w:r>
              <w:rPr>
                <w:rFonts w:hint="eastAsia" w:ascii="宋体" w:hAnsi="宋体" w:cs="宋体"/>
                <w:b/>
                <w:bCs/>
                <w:sz w:val="22"/>
                <w:szCs w:val="22"/>
              </w:rPr>
              <w:t>用户名称</w:t>
            </w:r>
          </w:p>
        </w:tc>
        <w:tc>
          <w:tcPr>
            <w:tcW w:w="1636" w:type="dxa"/>
            <w:shd w:val="clear" w:color="auto" w:fill="D9D9D9"/>
            <w:noWrap w:val="0"/>
            <w:vAlign w:val="center"/>
          </w:tcPr>
          <w:p>
            <w:pPr>
              <w:spacing w:line="380" w:lineRule="exact"/>
              <w:jc w:val="center"/>
              <w:rPr>
                <w:rFonts w:hint="eastAsia" w:ascii="宋体" w:hAnsi="宋体" w:cs="宋体"/>
                <w:b/>
                <w:bCs/>
                <w:sz w:val="22"/>
                <w:szCs w:val="22"/>
              </w:rPr>
            </w:pPr>
            <w:r>
              <w:rPr>
                <w:rFonts w:hint="eastAsia" w:ascii="宋体" w:hAnsi="宋体" w:cs="宋体"/>
                <w:b/>
                <w:bCs/>
                <w:sz w:val="22"/>
                <w:szCs w:val="22"/>
              </w:rPr>
              <w:t>项目名称</w:t>
            </w:r>
          </w:p>
        </w:tc>
        <w:tc>
          <w:tcPr>
            <w:tcW w:w="1260" w:type="dxa"/>
            <w:shd w:val="clear" w:color="auto" w:fill="D9D9D9"/>
            <w:noWrap w:val="0"/>
            <w:vAlign w:val="center"/>
          </w:tcPr>
          <w:p>
            <w:pPr>
              <w:spacing w:line="380" w:lineRule="exact"/>
              <w:jc w:val="center"/>
              <w:rPr>
                <w:rFonts w:hint="eastAsia" w:ascii="宋体" w:hAnsi="宋体" w:cs="宋体"/>
                <w:b/>
                <w:bCs/>
                <w:sz w:val="22"/>
                <w:szCs w:val="22"/>
              </w:rPr>
            </w:pPr>
            <w:r>
              <w:rPr>
                <w:rFonts w:hint="eastAsia" w:ascii="宋体" w:hAnsi="宋体" w:cs="宋体"/>
                <w:b/>
                <w:bCs/>
                <w:sz w:val="22"/>
                <w:szCs w:val="22"/>
              </w:rPr>
              <w:t>合同金额</w:t>
            </w:r>
          </w:p>
        </w:tc>
        <w:tc>
          <w:tcPr>
            <w:tcW w:w="1345" w:type="dxa"/>
            <w:shd w:val="clear" w:color="auto" w:fill="D9D9D9"/>
            <w:noWrap w:val="0"/>
            <w:vAlign w:val="center"/>
          </w:tcPr>
          <w:p>
            <w:pPr>
              <w:spacing w:line="380" w:lineRule="exact"/>
              <w:jc w:val="center"/>
              <w:rPr>
                <w:rFonts w:hint="eastAsia" w:ascii="宋体" w:hAnsi="宋体" w:cs="宋体"/>
                <w:b/>
                <w:bCs/>
                <w:sz w:val="22"/>
                <w:szCs w:val="22"/>
              </w:rPr>
            </w:pPr>
            <w:r>
              <w:rPr>
                <w:rFonts w:hint="eastAsia" w:ascii="宋体" w:hAnsi="宋体" w:cs="宋体"/>
                <w:b/>
                <w:bCs/>
                <w:sz w:val="22"/>
                <w:szCs w:val="22"/>
              </w:rPr>
              <w:t>签订时间</w:t>
            </w:r>
          </w:p>
        </w:tc>
        <w:tc>
          <w:tcPr>
            <w:tcW w:w="2615" w:type="dxa"/>
            <w:shd w:val="clear" w:color="auto" w:fill="D9D9D9"/>
            <w:noWrap w:val="0"/>
            <w:vAlign w:val="center"/>
          </w:tcPr>
          <w:p>
            <w:pPr>
              <w:spacing w:line="380" w:lineRule="exact"/>
              <w:jc w:val="center"/>
              <w:rPr>
                <w:rFonts w:hint="eastAsia" w:ascii="宋体" w:hAnsi="宋体" w:cs="宋体"/>
                <w:b/>
                <w:bCs/>
                <w:sz w:val="22"/>
                <w:szCs w:val="22"/>
              </w:rPr>
            </w:pPr>
            <w:r>
              <w:rPr>
                <w:rFonts w:hint="eastAsia" w:ascii="宋体" w:hAnsi="宋体" w:cs="宋体"/>
                <w:b/>
                <w:bCs/>
                <w:sz w:val="22"/>
                <w:szCs w:val="22"/>
              </w:rPr>
              <w:t>用户联系人/联系方式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noWrap w:val="0"/>
            <w:vAlign w:val="center"/>
          </w:tcPr>
          <w:p>
            <w:pPr>
              <w:spacing w:line="380" w:lineRule="exact"/>
              <w:jc w:val="center"/>
              <w:rPr>
                <w:rFonts w:hint="eastAsia" w:ascii="宋体" w:hAnsi="宋体" w:cs="宋体"/>
                <w:b/>
                <w:bCs/>
                <w:sz w:val="22"/>
                <w:szCs w:val="22"/>
              </w:rPr>
            </w:pPr>
          </w:p>
        </w:tc>
        <w:tc>
          <w:tcPr>
            <w:tcW w:w="2192" w:type="dxa"/>
            <w:noWrap w:val="0"/>
            <w:vAlign w:val="center"/>
          </w:tcPr>
          <w:p>
            <w:pPr>
              <w:spacing w:line="380" w:lineRule="exact"/>
              <w:jc w:val="center"/>
              <w:rPr>
                <w:rFonts w:hint="eastAsia" w:ascii="宋体" w:hAnsi="宋体" w:cs="宋体"/>
                <w:b/>
                <w:bCs/>
                <w:sz w:val="22"/>
                <w:szCs w:val="22"/>
              </w:rPr>
            </w:pPr>
          </w:p>
        </w:tc>
        <w:tc>
          <w:tcPr>
            <w:tcW w:w="1636" w:type="dxa"/>
            <w:noWrap w:val="0"/>
            <w:vAlign w:val="center"/>
          </w:tcPr>
          <w:p>
            <w:pPr>
              <w:spacing w:line="380" w:lineRule="exact"/>
              <w:jc w:val="center"/>
              <w:rPr>
                <w:rFonts w:hint="eastAsia" w:ascii="宋体" w:hAnsi="宋体" w:cs="宋体"/>
                <w:b/>
                <w:bCs/>
                <w:sz w:val="22"/>
                <w:szCs w:val="22"/>
              </w:rPr>
            </w:pPr>
          </w:p>
        </w:tc>
        <w:tc>
          <w:tcPr>
            <w:tcW w:w="1260" w:type="dxa"/>
            <w:noWrap w:val="0"/>
            <w:vAlign w:val="center"/>
          </w:tcPr>
          <w:p>
            <w:pPr>
              <w:spacing w:line="380" w:lineRule="exact"/>
              <w:jc w:val="center"/>
              <w:rPr>
                <w:rFonts w:hint="eastAsia" w:ascii="宋体" w:hAnsi="宋体" w:cs="宋体"/>
                <w:b/>
                <w:bCs/>
                <w:sz w:val="22"/>
                <w:szCs w:val="22"/>
              </w:rPr>
            </w:pPr>
          </w:p>
        </w:tc>
        <w:tc>
          <w:tcPr>
            <w:tcW w:w="1345" w:type="dxa"/>
            <w:noWrap w:val="0"/>
            <w:vAlign w:val="center"/>
          </w:tcPr>
          <w:p>
            <w:pPr>
              <w:spacing w:line="380" w:lineRule="exact"/>
              <w:jc w:val="center"/>
              <w:rPr>
                <w:rFonts w:hint="eastAsia" w:ascii="宋体" w:hAnsi="宋体" w:cs="宋体"/>
                <w:b/>
                <w:bCs/>
                <w:sz w:val="22"/>
                <w:szCs w:val="22"/>
              </w:rPr>
            </w:pPr>
          </w:p>
        </w:tc>
        <w:tc>
          <w:tcPr>
            <w:tcW w:w="2615" w:type="dxa"/>
            <w:noWrap w:val="0"/>
            <w:vAlign w:val="center"/>
          </w:tcPr>
          <w:p>
            <w:pPr>
              <w:spacing w:line="380" w:lineRule="exact"/>
              <w:jc w:val="center"/>
              <w:rPr>
                <w:rFonts w:hint="eastAsia" w:ascii="宋体" w:hAnsi="宋体" w:cs="宋体"/>
                <w:b/>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noWrap w:val="0"/>
            <w:vAlign w:val="center"/>
          </w:tcPr>
          <w:p>
            <w:pPr>
              <w:spacing w:line="380" w:lineRule="exact"/>
              <w:jc w:val="center"/>
              <w:rPr>
                <w:rFonts w:hint="eastAsia" w:ascii="宋体" w:hAnsi="宋体" w:cs="宋体"/>
                <w:b/>
                <w:bCs/>
                <w:sz w:val="22"/>
                <w:szCs w:val="22"/>
              </w:rPr>
            </w:pPr>
          </w:p>
        </w:tc>
        <w:tc>
          <w:tcPr>
            <w:tcW w:w="2192" w:type="dxa"/>
            <w:noWrap w:val="0"/>
            <w:vAlign w:val="center"/>
          </w:tcPr>
          <w:p>
            <w:pPr>
              <w:spacing w:line="380" w:lineRule="exact"/>
              <w:jc w:val="center"/>
              <w:rPr>
                <w:rFonts w:hint="eastAsia" w:ascii="宋体" w:hAnsi="宋体" w:cs="宋体"/>
                <w:b/>
                <w:bCs/>
                <w:sz w:val="22"/>
                <w:szCs w:val="22"/>
              </w:rPr>
            </w:pPr>
          </w:p>
        </w:tc>
        <w:tc>
          <w:tcPr>
            <w:tcW w:w="1636" w:type="dxa"/>
            <w:noWrap w:val="0"/>
            <w:vAlign w:val="center"/>
          </w:tcPr>
          <w:p>
            <w:pPr>
              <w:spacing w:line="380" w:lineRule="exact"/>
              <w:jc w:val="center"/>
              <w:rPr>
                <w:rFonts w:hint="eastAsia" w:ascii="宋体" w:hAnsi="宋体" w:cs="宋体"/>
                <w:b/>
                <w:bCs/>
                <w:sz w:val="22"/>
                <w:szCs w:val="22"/>
              </w:rPr>
            </w:pPr>
          </w:p>
        </w:tc>
        <w:tc>
          <w:tcPr>
            <w:tcW w:w="1260" w:type="dxa"/>
            <w:noWrap w:val="0"/>
            <w:vAlign w:val="center"/>
          </w:tcPr>
          <w:p>
            <w:pPr>
              <w:spacing w:line="380" w:lineRule="exact"/>
              <w:jc w:val="center"/>
              <w:rPr>
                <w:rFonts w:hint="eastAsia" w:ascii="宋体" w:hAnsi="宋体" w:cs="宋体"/>
                <w:b/>
                <w:bCs/>
                <w:sz w:val="22"/>
                <w:szCs w:val="22"/>
              </w:rPr>
            </w:pPr>
          </w:p>
        </w:tc>
        <w:tc>
          <w:tcPr>
            <w:tcW w:w="1345" w:type="dxa"/>
            <w:noWrap w:val="0"/>
            <w:vAlign w:val="center"/>
          </w:tcPr>
          <w:p>
            <w:pPr>
              <w:spacing w:line="380" w:lineRule="exact"/>
              <w:jc w:val="center"/>
              <w:rPr>
                <w:rFonts w:hint="eastAsia" w:ascii="宋体" w:hAnsi="宋体" w:cs="宋体"/>
                <w:b/>
                <w:bCs/>
                <w:sz w:val="22"/>
                <w:szCs w:val="22"/>
              </w:rPr>
            </w:pPr>
          </w:p>
        </w:tc>
        <w:tc>
          <w:tcPr>
            <w:tcW w:w="2615" w:type="dxa"/>
            <w:noWrap w:val="0"/>
            <w:vAlign w:val="center"/>
          </w:tcPr>
          <w:p>
            <w:pPr>
              <w:spacing w:line="380" w:lineRule="exact"/>
              <w:jc w:val="center"/>
              <w:rPr>
                <w:rFonts w:hint="eastAsia" w:ascii="宋体" w:hAnsi="宋体" w:cs="宋体"/>
                <w:b/>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noWrap w:val="0"/>
            <w:vAlign w:val="center"/>
          </w:tcPr>
          <w:p>
            <w:pPr>
              <w:spacing w:line="380" w:lineRule="exact"/>
              <w:jc w:val="center"/>
              <w:rPr>
                <w:rFonts w:hint="eastAsia" w:ascii="宋体" w:hAnsi="宋体" w:cs="宋体"/>
                <w:b/>
                <w:bCs/>
                <w:sz w:val="22"/>
                <w:szCs w:val="22"/>
              </w:rPr>
            </w:pPr>
          </w:p>
        </w:tc>
        <w:tc>
          <w:tcPr>
            <w:tcW w:w="2192" w:type="dxa"/>
            <w:noWrap w:val="0"/>
            <w:vAlign w:val="center"/>
          </w:tcPr>
          <w:p>
            <w:pPr>
              <w:spacing w:line="380" w:lineRule="exact"/>
              <w:jc w:val="center"/>
              <w:rPr>
                <w:rFonts w:hint="eastAsia" w:ascii="宋体" w:hAnsi="宋体" w:cs="宋体"/>
                <w:b/>
                <w:bCs/>
                <w:sz w:val="22"/>
                <w:szCs w:val="22"/>
              </w:rPr>
            </w:pPr>
          </w:p>
        </w:tc>
        <w:tc>
          <w:tcPr>
            <w:tcW w:w="1636" w:type="dxa"/>
            <w:noWrap w:val="0"/>
            <w:vAlign w:val="center"/>
          </w:tcPr>
          <w:p>
            <w:pPr>
              <w:spacing w:line="380" w:lineRule="exact"/>
              <w:jc w:val="center"/>
              <w:rPr>
                <w:rFonts w:hint="eastAsia" w:ascii="宋体" w:hAnsi="宋体" w:cs="宋体"/>
                <w:b/>
                <w:bCs/>
                <w:sz w:val="22"/>
                <w:szCs w:val="22"/>
              </w:rPr>
            </w:pPr>
          </w:p>
        </w:tc>
        <w:tc>
          <w:tcPr>
            <w:tcW w:w="1260" w:type="dxa"/>
            <w:noWrap w:val="0"/>
            <w:vAlign w:val="center"/>
          </w:tcPr>
          <w:p>
            <w:pPr>
              <w:spacing w:line="380" w:lineRule="exact"/>
              <w:jc w:val="center"/>
              <w:rPr>
                <w:rFonts w:hint="eastAsia" w:ascii="宋体" w:hAnsi="宋体" w:cs="宋体"/>
                <w:b/>
                <w:bCs/>
                <w:sz w:val="22"/>
                <w:szCs w:val="22"/>
              </w:rPr>
            </w:pPr>
          </w:p>
        </w:tc>
        <w:tc>
          <w:tcPr>
            <w:tcW w:w="1345" w:type="dxa"/>
            <w:noWrap w:val="0"/>
            <w:vAlign w:val="center"/>
          </w:tcPr>
          <w:p>
            <w:pPr>
              <w:spacing w:line="380" w:lineRule="exact"/>
              <w:jc w:val="center"/>
              <w:rPr>
                <w:rFonts w:hint="eastAsia" w:ascii="宋体" w:hAnsi="宋体" w:cs="宋体"/>
                <w:b/>
                <w:bCs/>
                <w:sz w:val="22"/>
                <w:szCs w:val="22"/>
              </w:rPr>
            </w:pPr>
          </w:p>
        </w:tc>
        <w:tc>
          <w:tcPr>
            <w:tcW w:w="2615" w:type="dxa"/>
            <w:noWrap w:val="0"/>
            <w:vAlign w:val="center"/>
          </w:tcPr>
          <w:p>
            <w:pPr>
              <w:spacing w:line="380" w:lineRule="exact"/>
              <w:jc w:val="center"/>
              <w:rPr>
                <w:rFonts w:hint="eastAsia" w:ascii="宋体" w:hAnsi="宋体" w:cs="宋体"/>
                <w:b/>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noWrap w:val="0"/>
            <w:vAlign w:val="center"/>
          </w:tcPr>
          <w:p>
            <w:pPr>
              <w:spacing w:line="380" w:lineRule="exact"/>
              <w:jc w:val="center"/>
              <w:rPr>
                <w:rFonts w:hint="eastAsia" w:ascii="宋体" w:hAnsi="宋体" w:cs="宋体"/>
                <w:b/>
                <w:bCs/>
                <w:sz w:val="22"/>
                <w:szCs w:val="22"/>
              </w:rPr>
            </w:pPr>
          </w:p>
        </w:tc>
        <w:tc>
          <w:tcPr>
            <w:tcW w:w="2192" w:type="dxa"/>
            <w:noWrap w:val="0"/>
            <w:vAlign w:val="center"/>
          </w:tcPr>
          <w:p>
            <w:pPr>
              <w:spacing w:line="380" w:lineRule="exact"/>
              <w:jc w:val="center"/>
              <w:rPr>
                <w:rFonts w:hint="eastAsia" w:ascii="宋体" w:hAnsi="宋体" w:cs="宋体"/>
                <w:b/>
                <w:bCs/>
                <w:sz w:val="22"/>
                <w:szCs w:val="22"/>
              </w:rPr>
            </w:pPr>
          </w:p>
        </w:tc>
        <w:tc>
          <w:tcPr>
            <w:tcW w:w="1636" w:type="dxa"/>
            <w:noWrap w:val="0"/>
            <w:vAlign w:val="center"/>
          </w:tcPr>
          <w:p>
            <w:pPr>
              <w:spacing w:line="380" w:lineRule="exact"/>
              <w:jc w:val="center"/>
              <w:rPr>
                <w:rFonts w:hint="eastAsia" w:ascii="宋体" w:hAnsi="宋体" w:cs="宋体"/>
                <w:b/>
                <w:bCs/>
                <w:sz w:val="22"/>
                <w:szCs w:val="22"/>
              </w:rPr>
            </w:pPr>
          </w:p>
        </w:tc>
        <w:tc>
          <w:tcPr>
            <w:tcW w:w="1260" w:type="dxa"/>
            <w:noWrap w:val="0"/>
            <w:vAlign w:val="center"/>
          </w:tcPr>
          <w:p>
            <w:pPr>
              <w:spacing w:line="380" w:lineRule="exact"/>
              <w:jc w:val="center"/>
              <w:rPr>
                <w:rFonts w:hint="eastAsia" w:ascii="宋体" w:hAnsi="宋体" w:cs="宋体"/>
                <w:b/>
                <w:bCs/>
                <w:sz w:val="22"/>
                <w:szCs w:val="22"/>
              </w:rPr>
            </w:pPr>
          </w:p>
        </w:tc>
        <w:tc>
          <w:tcPr>
            <w:tcW w:w="1345" w:type="dxa"/>
            <w:noWrap w:val="0"/>
            <w:vAlign w:val="center"/>
          </w:tcPr>
          <w:p>
            <w:pPr>
              <w:spacing w:line="380" w:lineRule="exact"/>
              <w:jc w:val="center"/>
              <w:rPr>
                <w:rFonts w:hint="eastAsia" w:ascii="宋体" w:hAnsi="宋体" w:cs="宋体"/>
                <w:b/>
                <w:bCs/>
                <w:sz w:val="22"/>
                <w:szCs w:val="22"/>
              </w:rPr>
            </w:pPr>
          </w:p>
        </w:tc>
        <w:tc>
          <w:tcPr>
            <w:tcW w:w="2615" w:type="dxa"/>
            <w:noWrap w:val="0"/>
            <w:vAlign w:val="center"/>
          </w:tcPr>
          <w:p>
            <w:pPr>
              <w:spacing w:line="380" w:lineRule="exact"/>
              <w:jc w:val="center"/>
              <w:rPr>
                <w:rFonts w:hint="eastAsia" w:ascii="宋体" w:hAnsi="宋体" w:cs="宋体"/>
                <w:b/>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noWrap w:val="0"/>
            <w:vAlign w:val="center"/>
          </w:tcPr>
          <w:p>
            <w:pPr>
              <w:spacing w:line="380" w:lineRule="exact"/>
              <w:jc w:val="center"/>
              <w:rPr>
                <w:rFonts w:hint="eastAsia" w:ascii="宋体" w:hAnsi="宋体" w:cs="宋体"/>
                <w:b/>
                <w:bCs/>
                <w:sz w:val="22"/>
                <w:szCs w:val="22"/>
              </w:rPr>
            </w:pPr>
          </w:p>
        </w:tc>
        <w:tc>
          <w:tcPr>
            <w:tcW w:w="2192" w:type="dxa"/>
            <w:noWrap w:val="0"/>
            <w:vAlign w:val="center"/>
          </w:tcPr>
          <w:p>
            <w:pPr>
              <w:spacing w:line="380" w:lineRule="exact"/>
              <w:jc w:val="center"/>
              <w:rPr>
                <w:rFonts w:hint="eastAsia" w:ascii="宋体" w:hAnsi="宋体" w:cs="宋体"/>
                <w:b/>
                <w:bCs/>
                <w:sz w:val="22"/>
                <w:szCs w:val="22"/>
              </w:rPr>
            </w:pPr>
          </w:p>
        </w:tc>
        <w:tc>
          <w:tcPr>
            <w:tcW w:w="1636" w:type="dxa"/>
            <w:noWrap w:val="0"/>
            <w:vAlign w:val="center"/>
          </w:tcPr>
          <w:p>
            <w:pPr>
              <w:spacing w:line="380" w:lineRule="exact"/>
              <w:jc w:val="center"/>
              <w:rPr>
                <w:rFonts w:hint="eastAsia" w:ascii="宋体" w:hAnsi="宋体" w:cs="宋体"/>
                <w:b/>
                <w:bCs/>
                <w:sz w:val="22"/>
                <w:szCs w:val="22"/>
              </w:rPr>
            </w:pPr>
          </w:p>
        </w:tc>
        <w:tc>
          <w:tcPr>
            <w:tcW w:w="1260" w:type="dxa"/>
            <w:noWrap w:val="0"/>
            <w:vAlign w:val="center"/>
          </w:tcPr>
          <w:p>
            <w:pPr>
              <w:spacing w:line="380" w:lineRule="exact"/>
              <w:jc w:val="center"/>
              <w:rPr>
                <w:rFonts w:hint="eastAsia" w:ascii="宋体" w:hAnsi="宋体" w:cs="宋体"/>
                <w:b/>
                <w:bCs/>
                <w:sz w:val="22"/>
                <w:szCs w:val="22"/>
              </w:rPr>
            </w:pPr>
          </w:p>
        </w:tc>
        <w:tc>
          <w:tcPr>
            <w:tcW w:w="1345" w:type="dxa"/>
            <w:noWrap w:val="0"/>
            <w:vAlign w:val="center"/>
          </w:tcPr>
          <w:p>
            <w:pPr>
              <w:spacing w:line="380" w:lineRule="exact"/>
              <w:jc w:val="center"/>
              <w:rPr>
                <w:rFonts w:hint="eastAsia" w:ascii="宋体" w:hAnsi="宋体" w:cs="宋体"/>
                <w:b/>
                <w:bCs/>
                <w:sz w:val="22"/>
                <w:szCs w:val="22"/>
              </w:rPr>
            </w:pPr>
          </w:p>
        </w:tc>
        <w:tc>
          <w:tcPr>
            <w:tcW w:w="2615" w:type="dxa"/>
            <w:noWrap w:val="0"/>
            <w:vAlign w:val="center"/>
          </w:tcPr>
          <w:p>
            <w:pPr>
              <w:spacing w:line="380" w:lineRule="exact"/>
              <w:jc w:val="center"/>
              <w:rPr>
                <w:rFonts w:hint="eastAsia" w:ascii="宋体" w:hAnsi="宋体" w:cs="宋体"/>
                <w:b/>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noWrap w:val="0"/>
            <w:vAlign w:val="center"/>
          </w:tcPr>
          <w:p>
            <w:pPr>
              <w:spacing w:line="380" w:lineRule="exact"/>
              <w:jc w:val="center"/>
              <w:rPr>
                <w:rFonts w:hint="eastAsia" w:ascii="宋体" w:hAnsi="宋体" w:cs="宋体"/>
                <w:b/>
                <w:bCs/>
                <w:sz w:val="22"/>
                <w:szCs w:val="22"/>
              </w:rPr>
            </w:pPr>
          </w:p>
        </w:tc>
        <w:tc>
          <w:tcPr>
            <w:tcW w:w="2192" w:type="dxa"/>
            <w:noWrap w:val="0"/>
            <w:vAlign w:val="center"/>
          </w:tcPr>
          <w:p>
            <w:pPr>
              <w:spacing w:line="380" w:lineRule="exact"/>
              <w:jc w:val="center"/>
              <w:rPr>
                <w:rFonts w:hint="eastAsia" w:ascii="宋体" w:hAnsi="宋体" w:cs="宋体"/>
                <w:b/>
                <w:bCs/>
                <w:sz w:val="22"/>
                <w:szCs w:val="22"/>
              </w:rPr>
            </w:pPr>
          </w:p>
        </w:tc>
        <w:tc>
          <w:tcPr>
            <w:tcW w:w="1636" w:type="dxa"/>
            <w:noWrap w:val="0"/>
            <w:vAlign w:val="center"/>
          </w:tcPr>
          <w:p>
            <w:pPr>
              <w:spacing w:line="380" w:lineRule="exact"/>
              <w:jc w:val="center"/>
              <w:rPr>
                <w:rFonts w:hint="eastAsia" w:ascii="宋体" w:hAnsi="宋体" w:cs="宋体"/>
                <w:b/>
                <w:bCs/>
                <w:sz w:val="22"/>
                <w:szCs w:val="22"/>
              </w:rPr>
            </w:pPr>
          </w:p>
        </w:tc>
        <w:tc>
          <w:tcPr>
            <w:tcW w:w="1260" w:type="dxa"/>
            <w:noWrap w:val="0"/>
            <w:vAlign w:val="center"/>
          </w:tcPr>
          <w:p>
            <w:pPr>
              <w:spacing w:line="380" w:lineRule="exact"/>
              <w:jc w:val="center"/>
              <w:rPr>
                <w:rFonts w:hint="eastAsia" w:ascii="宋体" w:hAnsi="宋体" w:cs="宋体"/>
                <w:b/>
                <w:bCs/>
                <w:sz w:val="22"/>
                <w:szCs w:val="22"/>
              </w:rPr>
            </w:pPr>
          </w:p>
        </w:tc>
        <w:tc>
          <w:tcPr>
            <w:tcW w:w="1345" w:type="dxa"/>
            <w:noWrap w:val="0"/>
            <w:vAlign w:val="center"/>
          </w:tcPr>
          <w:p>
            <w:pPr>
              <w:spacing w:line="380" w:lineRule="exact"/>
              <w:jc w:val="center"/>
              <w:rPr>
                <w:rFonts w:hint="eastAsia" w:ascii="宋体" w:hAnsi="宋体" w:cs="宋体"/>
                <w:b/>
                <w:bCs/>
                <w:sz w:val="22"/>
                <w:szCs w:val="22"/>
              </w:rPr>
            </w:pPr>
          </w:p>
        </w:tc>
        <w:tc>
          <w:tcPr>
            <w:tcW w:w="2615" w:type="dxa"/>
            <w:noWrap w:val="0"/>
            <w:vAlign w:val="center"/>
          </w:tcPr>
          <w:p>
            <w:pPr>
              <w:spacing w:line="380" w:lineRule="exact"/>
              <w:jc w:val="center"/>
              <w:rPr>
                <w:rFonts w:hint="eastAsia" w:ascii="宋体" w:hAnsi="宋体" w:cs="宋体"/>
                <w:b/>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noWrap w:val="0"/>
            <w:vAlign w:val="center"/>
          </w:tcPr>
          <w:p>
            <w:pPr>
              <w:spacing w:line="380" w:lineRule="exact"/>
              <w:jc w:val="center"/>
              <w:rPr>
                <w:rFonts w:hint="eastAsia" w:ascii="宋体" w:hAnsi="宋体" w:cs="宋体"/>
                <w:b/>
                <w:bCs/>
                <w:sz w:val="22"/>
                <w:szCs w:val="22"/>
              </w:rPr>
            </w:pPr>
          </w:p>
        </w:tc>
        <w:tc>
          <w:tcPr>
            <w:tcW w:w="2192" w:type="dxa"/>
            <w:noWrap w:val="0"/>
            <w:vAlign w:val="center"/>
          </w:tcPr>
          <w:p>
            <w:pPr>
              <w:spacing w:line="380" w:lineRule="exact"/>
              <w:jc w:val="center"/>
              <w:rPr>
                <w:rFonts w:hint="eastAsia" w:ascii="宋体" w:hAnsi="宋体" w:cs="宋体"/>
                <w:b/>
                <w:bCs/>
                <w:sz w:val="22"/>
                <w:szCs w:val="22"/>
              </w:rPr>
            </w:pPr>
          </w:p>
        </w:tc>
        <w:tc>
          <w:tcPr>
            <w:tcW w:w="1636" w:type="dxa"/>
            <w:noWrap w:val="0"/>
            <w:vAlign w:val="center"/>
          </w:tcPr>
          <w:p>
            <w:pPr>
              <w:spacing w:line="380" w:lineRule="exact"/>
              <w:jc w:val="center"/>
              <w:rPr>
                <w:rFonts w:hint="eastAsia" w:ascii="宋体" w:hAnsi="宋体" w:cs="宋体"/>
                <w:b/>
                <w:bCs/>
                <w:sz w:val="22"/>
                <w:szCs w:val="22"/>
              </w:rPr>
            </w:pPr>
          </w:p>
        </w:tc>
        <w:tc>
          <w:tcPr>
            <w:tcW w:w="1260" w:type="dxa"/>
            <w:noWrap w:val="0"/>
            <w:vAlign w:val="center"/>
          </w:tcPr>
          <w:p>
            <w:pPr>
              <w:spacing w:line="380" w:lineRule="exact"/>
              <w:jc w:val="center"/>
              <w:rPr>
                <w:rFonts w:hint="eastAsia" w:ascii="宋体" w:hAnsi="宋体" w:cs="宋体"/>
                <w:b/>
                <w:bCs/>
                <w:sz w:val="22"/>
                <w:szCs w:val="22"/>
              </w:rPr>
            </w:pPr>
          </w:p>
        </w:tc>
        <w:tc>
          <w:tcPr>
            <w:tcW w:w="1345" w:type="dxa"/>
            <w:noWrap w:val="0"/>
            <w:vAlign w:val="center"/>
          </w:tcPr>
          <w:p>
            <w:pPr>
              <w:spacing w:line="380" w:lineRule="exact"/>
              <w:jc w:val="center"/>
              <w:rPr>
                <w:rFonts w:hint="eastAsia" w:ascii="宋体" w:hAnsi="宋体" w:cs="宋体"/>
                <w:b/>
                <w:bCs/>
                <w:sz w:val="22"/>
                <w:szCs w:val="22"/>
              </w:rPr>
            </w:pPr>
          </w:p>
        </w:tc>
        <w:tc>
          <w:tcPr>
            <w:tcW w:w="2615" w:type="dxa"/>
            <w:noWrap w:val="0"/>
            <w:vAlign w:val="center"/>
          </w:tcPr>
          <w:p>
            <w:pPr>
              <w:spacing w:line="380" w:lineRule="exact"/>
              <w:jc w:val="center"/>
              <w:rPr>
                <w:rFonts w:hint="eastAsia" w:ascii="宋体" w:hAnsi="宋体" w:cs="宋体"/>
                <w:b/>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noWrap w:val="0"/>
            <w:vAlign w:val="center"/>
          </w:tcPr>
          <w:p>
            <w:pPr>
              <w:spacing w:line="380" w:lineRule="exact"/>
              <w:jc w:val="center"/>
              <w:rPr>
                <w:rFonts w:hint="eastAsia" w:ascii="宋体" w:hAnsi="宋体" w:cs="宋体"/>
                <w:b/>
                <w:bCs/>
                <w:sz w:val="22"/>
                <w:szCs w:val="22"/>
              </w:rPr>
            </w:pPr>
          </w:p>
        </w:tc>
        <w:tc>
          <w:tcPr>
            <w:tcW w:w="2192" w:type="dxa"/>
            <w:noWrap w:val="0"/>
            <w:vAlign w:val="center"/>
          </w:tcPr>
          <w:p>
            <w:pPr>
              <w:spacing w:line="380" w:lineRule="exact"/>
              <w:jc w:val="center"/>
              <w:rPr>
                <w:rFonts w:hint="eastAsia" w:ascii="宋体" w:hAnsi="宋体" w:cs="宋体"/>
                <w:b/>
                <w:bCs/>
                <w:sz w:val="22"/>
                <w:szCs w:val="22"/>
              </w:rPr>
            </w:pPr>
          </w:p>
        </w:tc>
        <w:tc>
          <w:tcPr>
            <w:tcW w:w="1636" w:type="dxa"/>
            <w:noWrap w:val="0"/>
            <w:vAlign w:val="center"/>
          </w:tcPr>
          <w:p>
            <w:pPr>
              <w:spacing w:line="380" w:lineRule="exact"/>
              <w:jc w:val="center"/>
              <w:rPr>
                <w:rFonts w:hint="eastAsia" w:ascii="宋体" w:hAnsi="宋体" w:cs="宋体"/>
                <w:b/>
                <w:bCs/>
                <w:sz w:val="22"/>
                <w:szCs w:val="22"/>
              </w:rPr>
            </w:pPr>
          </w:p>
        </w:tc>
        <w:tc>
          <w:tcPr>
            <w:tcW w:w="1260" w:type="dxa"/>
            <w:noWrap w:val="0"/>
            <w:vAlign w:val="center"/>
          </w:tcPr>
          <w:p>
            <w:pPr>
              <w:spacing w:line="380" w:lineRule="exact"/>
              <w:jc w:val="center"/>
              <w:rPr>
                <w:rFonts w:hint="eastAsia" w:ascii="宋体" w:hAnsi="宋体" w:cs="宋体"/>
                <w:b/>
                <w:bCs/>
                <w:sz w:val="22"/>
                <w:szCs w:val="22"/>
              </w:rPr>
            </w:pPr>
          </w:p>
        </w:tc>
        <w:tc>
          <w:tcPr>
            <w:tcW w:w="1345" w:type="dxa"/>
            <w:noWrap w:val="0"/>
            <w:vAlign w:val="center"/>
          </w:tcPr>
          <w:p>
            <w:pPr>
              <w:spacing w:line="380" w:lineRule="exact"/>
              <w:jc w:val="center"/>
              <w:rPr>
                <w:rFonts w:hint="eastAsia" w:ascii="宋体" w:hAnsi="宋体" w:cs="宋体"/>
                <w:b/>
                <w:bCs/>
                <w:sz w:val="22"/>
                <w:szCs w:val="22"/>
              </w:rPr>
            </w:pPr>
          </w:p>
        </w:tc>
        <w:tc>
          <w:tcPr>
            <w:tcW w:w="2615" w:type="dxa"/>
            <w:noWrap w:val="0"/>
            <w:vAlign w:val="center"/>
          </w:tcPr>
          <w:p>
            <w:pPr>
              <w:spacing w:line="380" w:lineRule="exact"/>
              <w:jc w:val="center"/>
              <w:rPr>
                <w:rFonts w:hint="eastAsia" w:ascii="宋体" w:hAnsi="宋体" w:cs="宋体"/>
                <w:b/>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noWrap w:val="0"/>
            <w:vAlign w:val="center"/>
          </w:tcPr>
          <w:p>
            <w:pPr>
              <w:spacing w:line="380" w:lineRule="exact"/>
              <w:jc w:val="center"/>
              <w:rPr>
                <w:rFonts w:hint="eastAsia" w:ascii="宋体" w:hAnsi="宋体" w:cs="宋体"/>
                <w:b/>
                <w:bCs/>
                <w:sz w:val="22"/>
                <w:szCs w:val="22"/>
              </w:rPr>
            </w:pPr>
          </w:p>
        </w:tc>
        <w:tc>
          <w:tcPr>
            <w:tcW w:w="2192" w:type="dxa"/>
            <w:noWrap w:val="0"/>
            <w:vAlign w:val="center"/>
          </w:tcPr>
          <w:p>
            <w:pPr>
              <w:spacing w:line="380" w:lineRule="exact"/>
              <w:jc w:val="center"/>
              <w:rPr>
                <w:rFonts w:hint="eastAsia" w:ascii="宋体" w:hAnsi="宋体" w:cs="宋体"/>
                <w:b/>
                <w:bCs/>
                <w:sz w:val="22"/>
                <w:szCs w:val="22"/>
              </w:rPr>
            </w:pPr>
          </w:p>
        </w:tc>
        <w:tc>
          <w:tcPr>
            <w:tcW w:w="1636" w:type="dxa"/>
            <w:noWrap w:val="0"/>
            <w:vAlign w:val="center"/>
          </w:tcPr>
          <w:p>
            <w:pPr>
              <w:spacing w:line="380" w:lineRule="exact"/>
              <w:jc w:val="center"/>
              <w:rPr>
                <w:rFonts w:hint="eastAsia" w:ascii="宋体" w:hAnsi="宋体" w:cs="宋体"/>
                <w:b/>
                <w:bCs/>
                <w:sz w:val="22"/>
                <w:szCs w:val="22"/>
              </w:rPr>
            </w:pPr>
          </w:p>
        </w:tc>
        <w:tc>
          <w:tcPr>
            <w:tcW w:w="1260" w:type="dxa"/>
            <w:noWrap w:val="0"/>
            <w:vAlign w:val="center"/>
          </w:tcPr>
          <w:p>
            <w:pPr>
              <w:spacing w:line="380" w:lineRule="exact"/>
              <w:jc w:val="center"/>
              <w:rPr>
                <w:rFonts w:hint="eastAsia" w:ascii="宋体" w:hAnsi="宋体" w:cs="宋体"/>
                <w:b/>
                <w:bCs/>
                <w:sz w:val="22"/>
                <w:szCs w:val="22"/>
              </w:rPr>
            </w:pPr>
          </w:p>
        </w:tc>
        <w:tc>
          <w:tcPr>
            <w:tcW w:w="1345" w:type="dxa"/>
            <w:noWrap w:val="0"/>
            <w:vAlign w:val="center"/>
          </w:tcPr>
          <w:p>
            <w:pPr>
              <w:spacing w:line="380" w:lineRule="exact"/>
              <w:jc w:val="center"/>
              <w:rPr>
                <w:rFonts w:hint="eastAsia" w:ascii="宋体" w:hAnsi="宋体" w:cs="宋体"/>
                <w:b/>
                <w:bCs/>
                <w:sz w:val="22"/>
                <w:szCs w:val="22"/>
              </w:rPr>
            </w:pPr>
          </w:p>
        </w:tc>
        <w:tc>
          <w:tcPr>
            <w:tcW w:w="2615" w:type="dxa"/>
            <w:noWrap w:val="0"/>
            <w:vAlign w:val="center"/>
          </w:tcPr>
          <w:p>
            <w:pPr>
              <w:spacing w:line="380" w:lineRule="exact"/>
              <w:jc w:val="center"/>
              <w:rPr>
                <w:rFonts w:hint="eastAsia" w:ascii="宋体" w:hAnsi="宋体" w:cs="宋体"/>
                <w:b/>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noWrap w:val="0"/>
            <w:vAlign w:val="center"/>
          </w:tcPr>
          <w:p>
            <w:pPr>
              <w:spacing w:line="380" w:lineRule="exact"/>
              <w:jc w:val="center"/>
              <w:rPr>
                <w:rFonts w:hint="eastAsia" w:ascii="宋体" w:hAnsi="宋体" w:cs="宋体"/>
                <w:b/>
                <w:bCs/>
                <w:sz w:val="22"/>
                <w:szCs w:val="22"/>
              </w:rPr>
            </w:pPr>
          </w:p>
        </w:tc>
        <w:tc>
          <w:tcPr>
            <w:tcW w:w="2192" w:type="dxa"/>
            <w:noWrap w:val="0"/>
            <w:vAlign w:val="center"/>
          </w:tcPr>
          <w:p>
            <w:pPr>
              <w:spacing w:line="380" w:lineRule="exact"/>
              <w:jc w:val="center"/>
              <w:rPr>
                <w:rFonts w:hint="eastAsia" w:ascii="宋体" w:hAnsi="宋体" w:cs="宋体"/>
                <w:b/>
                <w:bCs/>
                <w:sz w:val="22"/>
                <w:szCs w:val="22"/>
              </w:rPr>
            </w:pPr>
          </w:p>
        </w:tc>
        <w:tc>
          <w:tcPr>
            <w:tcW w:w="1636" w:type="dxa"/>
            <w:noWrap w:val="0"/>
            <w:vAlign w:val="center"/>
          </w:tcPr>
          <w:p>
            <w:pPr>
              <w:spacing w:line="380" w:lineRule="exact"/>
              <w:jc w:val="center"/>
              <w:rPr>
                <w:rFonts w:hint="eastAsia" w:ascii="宋体" w:hAnsi="宋体" w:cs="宋体"/>
                <w:b/>
                <w:bCs/>
                <w:sz w:val="22"/>
                <w:szCs w:val="22"/>
              </w:rPr>
            </w:pPr>
          </w:p>
        </w:tc>
        <w:tc>
          <w:tcPr>
            <w:tcW w:w="1260" w:type="dxa"/>
            <w:noWrap w:val="0"/>
            <w:vAlign w:val="center"/>
          </w:tcPr>
          <w:p>
            <w:pPr>
              <w:spacing w:line="380" w:lineRule="exact"/>
              <w:jc w:val="center"/>
              <w:rPr>
                <w:rFonts w:hint="eastAsia" w:ascii="宋体" w:hAnsi="宋体" w:cs="宋体"/>
                <w:b/>
                <w:bCs/>
                <w:sz w:val="22"/>
                <w:szCs w:val="22"/>
              </w:rPr>
            </w:pPr>
          </w:p>
        </w:tc>
        <w:tc>
          <w:tcPr>
            <w:tcW w:w="1345" w:type="dxa"/>
            <w:noWrap w:val="0"/>
            <w:vAlign w:val="center"/>
          </w:tcPr>
          <w:p>
            <w:pPr>
              <w:spacing w:line="380" w:lineRule="exact"/>
              <w:jc w:val="center"/>
              <w:rPr>
                <w:rFonts w:hint="eastAsia" w:ascii="宋体" w:hAnsi="宋体" w:cs="宋体"/>
                <w:b/>
                <w:bCs/>
                <w:sz w:val="22"/>
                <w:szCs w:val="22"/>
              </w:rPr>
            </w:pPr>
          </w:p>
        </w:tc>
        <w:tc>
          <w:tcPr>
            <w:tcW w:w="2615" w:type="dxa"/>
            <w:noWrap w:val="0"/>
            <w:vAlign w:val="center"/>
          </w:tcPr>
          <w:p>
            <w:pPr>
              <w:spacing w:line="380" w:lineRule="exact"/>
              <w:jc w:val="center"/>
              <w:rPr>
                <w:rFonts w:hint="eastAsia" w:ascii="宋体" w:hAnsi="宋体" w:cs="宋体"/>
                <w:b/>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noWrap w:val="0"/>
            <w:vAlign w:val="center"/>
          </w:tcPr>
          <w:p>
            <w:pPr>
              <w:spacing w:line="380" w:lineRule="exact"/>
              <w:jc w:val="center"/>
              <w:rPr>
                <w:rFonts w:hint="eastAsia" w:ascii="宋体" w:hAnsi="宋体" w:cs="宋体"/>
                <w:b/>
                <w:bCs/>
                <w:sz w:val="22"/>
                <w:szCs w:val="22"/>
              </w:rPr>
            </w:pPr>
          </w:p>
        </w:tc>
        <w:tc>
          <w:tcPr>
            <w:tcW w:w="2192" w:type="dxa"/>
            <w:noWrap w:val="0"/>
            <w:vAlign w:val="center"/>
          </w:tcPr>
          <w:p>
            <w:pPr>
              <w:spacing w:line="380" w:lineRule="exact"/>
              <w:jc w:val="center"/>
              <w:rPr>
                <w:rFonts w:hint="eastAsia" w:ascii="宋体" w:hAnsi="宋体" w:cs="宋体"/>
                <w:b/>
                <w:bCs/>
                <w:sz w:val="22"/>
                <w:szCs w:val="22"/>
              </w:rPr>
            </w:pPr>
          </w:p>
        </w:tc>
        <w:tc>
          <w:tcPr>
            <w:tcW w:w="1636" w:type="dxa"/>
            <w:noWrap w:val="0"/>
            <w:vAlign w:val="center"/>
          </w:tcPr>
          <w:p>
            <w:pPr>
              <w:spacing w:line="380" w:lineRule="exact"/>
              <w:jc w:val="center"/>
              <w:rPr>
                <w:rFonts w:hint="eastAsia" w:ascii="宋体" w:hAnsi="宋体" w:cs="宋体"/>
                <w:b/>
                <w:bCs/>
                <w:sz w:val="22"/>
                <w:szCs w:val="22"/>
              </w:rPr>
            </w:pPr>
          </w:p>
        </w:tc>
        <w:tc>
          <w:tcPr>
            <w:tcW w:w="1260" w:type="dxa"/>
            <w:noWrap w:val="0"/>
            <w:vAlign w:val="center"/>
          </w:tcPr>
          <w:p>
            <w:pPr>
              <w:spacing w:line="380" w:lineRule="exact"/>
              <w:jc w:val="center"/>
              <w:rPr>
                <w:rFonts w:hint="eastAsia" w:ascii="宋体" w:hAnsi="宋体" w:cs="宋体"/>
                <w:b/>
                <w:bCs/>
                <w:sz w:val="22"/>
                <w:szCs w:val="22"/>
              </w:rPr>
            </w:pPr>
          </w:p>
        </w:tc>
        <w:tc>
          <w:tcPr>
            <w:tcW w:w="1345" w:type="dxa"/>
            <w:noWrap w:val="0"/>
            <w:vAlign w:val="center"/>
          </w:tcPr>
          <w:p>
            <w:pPr>
              <w:spacing w:line="380" w:lineRule="exact"/>
              <w:jc w:val="center"/>
              <w:rPr>
                <w:rFonts w:hint="eastAsia" w:ascii="宋体" w:hAnsi="宋体" w:cs="宋体"/>
                <w:b/>
                <w:bCs/>
                <w:sz w:val="22"/>
                <w:szCs w:val="22"/>
              </w:rPr>
            </w:pPr>
          </w:p>
        </w:tc>
        <w:tc>
          <w:tcPr>
            <w:tcW w:w="2615" w:type="dxa"/>
            <w:noWrap w:val="0"/>
            <w:vAlign w:val="center"/>
          </w:tcPr>
          <w:p>
            <w:pPr>
              <w:spacing w:line="380" w:lineRule="exact"/>
              <w:jc w:val="center"/>
              <w:rPr>
                <w:rFonts w:hint="eastAsia" w:ascii="宋体" w:hAnsi="宋体" w:cs="宋体"/>
                <w:b/>
                <w:bCs/>
                <w:sz w:val="22"/>
                <w:szCs w:val="22"/>
              </w:rPr>
            </w:pPr>
          </w:p>
        </w:tc>
      </w:tr>
    </w:tbl>
    <w:p>
      <w:pPr>
        <w:spacing w:line="440" w:lineRule="exact"/>
        <w:rPr>
          <w:rFonts w:hint="eastAsia" w:ascii="宋体" w:hAnsi="宋体" w:cs="宋体"/>
          <w:b/>
          <w:sz w:val="22"/>
          <w:szCs w:val="22"/>
        </w:rPr>
      </w:pPr>
      <w:bookmarkStart w:id="1053" w:name="_Toc480204650"/>
      <w:bookmarkStart w:id="1054" w:name="_Toc82417917"/>
      <w:bookmarkStart w:id="1055" w:name="_Toc469730741"/>
      <w:bookmarkStart w:id="1056" w:name="_Toc13603237"/>
      <w:bookmarkStart w:id="1057" w:name="_Toc54034498"/>
      <w:r>
        <w:rPr>
          <w:rFonts w:hint="eastAsia" w:ascii="宋体" w:hAnsi="宋体" w:cs="宋体"/>
          <w:b/>
          <w:sz w:val="22"/>
          <w:szCs w:val="22"/>
        </w:rPr>
        <w:t>注：根据技术资信评分要求提供证明材料。</w:t>
      </w:r>
    </w:p>
    <w:p>
      <w:pPr>
        <w:tabs>
          <w:tab w:val="left" w:pos="720"/>
          <w:tab w:val="left" w:pos="1260"/>
          <w:tab w:val="left" w:pos="5355"/>
        </w:tabs>
        <w:spacing w:line="430" w:lineRule="exact"/>
        <w:rPr>
          <w:rFonts w:hint="eastAsia" w:ascii="宋体" w:hAnsi="宋体" w:cs="宋体"/>
          <w:bCs/>
          <w:sz w:val="22"/>
          <w:szCs w:val="22"/>
        </w:rPr>
      </w:pPr>
    </w:p>
    <w:p>
      <w:pPr>
        <w:spacing w:line="440" w:lineRule="exact"/>
        <w:ind w:firstLine="4400" w:firstLineChars="2000"/>
        <w:rPr>
          <w:rFonts w:hint="eastAsia" w:ascii="宋体" w:hAnsi="宋体" w:cs="宋体"/>
          <w:sz w:val="22"/>
          <w:szCs w:val="22"/>
        </w:rPr>
      </w:pPr>
    </w:p>
    <w:p>
      <w:pPr>
        <w:spacing w:line="440" w:lineRule="exact"/>
        <w:rPr>
          <w:rFonts w:hint="eastAsia" w:ascii="宋体" w:hAnsi="宋体" w:cs="宋体"/>
          <w:sz w:val="22"/>
          <w:szCs w:val="22"/>
        </w:rPr>
      </w:pPr>
    </w:p>
    <w:p>
      <w:pPr>
        <w:spacing w:line="440" w:lineRule="exact"/>
        <w:ind w:firstLine="4400" w:firstLineChars="2000"/>
        <w:rPr>
          <w:rFonts w:hint="eastAsia" w:ascii="宋体" w:hAnsi="宋体" w:cs="宋体"/>
          <w:sz w:val="22"/>
          <w:szCs w:val="22"/>
        </w:rPr>
      </w:pPr>
    </w:p>
    <w:p>
      <w:pPr>
        <w:spacing w:line="440" w:lineRule="exact"/>
        <w:jc w:val="center"/>
        <w:rPr>
          <w:rFonts w:hint="eastAsia" w:ascii="宋体" w:hAnsi="宋体" w:cs="宋体"/>
          <w:sz w:val="22"/>
          <w:szCs w:val="22"/>
        </w:rPr>
      </w:pPr>
      <w:r>
        <w:rPr>
          <w:rFonts w:hint="eastAsia" w:ascii="宋体" w:hAnsi="宋体" w:cs="宋体"/>
          <w:sz w:val="22"/>
          <w:szCs w:val="22"/>
        </w:rPr>
        <w:t xml:space="preserve"> </w:t>
      </w:r>
      <w:r>
        <w:rPr>
          <w:rFonts w:ascii="宋体" w:hAnsi="宋体" w:cs="宋体"/>
          <w:sz w:val="22"/>
          <w:szCs w:val="22"/>
        </w:rPr>
        <w:t xml:space="preserve">                 </w:t>
      </w:r>
      <w:r>
        <w:rPr>
          <w:rFonts w:hint="eastAsia" w:ascii="宋体" w:hAnsi="宋体" w:cs="宋体"/>
          <w:sz w:val="22"/>
          <w:szCs w:val="22"/>
        </w:rPr>
        <w:t>投标人全称（电子签名/公章）：</w:t>
      </w:r>
    </w:p>
    <w:p>
      <w:pPr>
        <w:spacing w:line="440" w:lineRule="exact"/>
        <w:ind w:firstLine="4180" w:firstLineChars="1900"/>
        <w:rPr>
          <w:rFonts w:ascii="宋体" w:hAnsi="宋体" w:cs="宋体"/>
          <w:sz w:val="22"/>
          <w:szCs w:val="22"/>
        </w:rPr>
      </w:pPr>
      <w:r>
        <w:rPr>
          <w:rFonts w:hint="eastAsia" w:ascii="宋体" w:hAnsi="宋体" w:cs="宋体"/>
          <w:sz w:val="22"/>
          <w:szCs w:val="22"/>
        </w:rPr>
        <w:t>日期：     年    月    日</w:t>
      </w:r>
    </w:p>
    <w:bookmarkEnd w:id="1053"/>
    <w:bookmarkEnd w:id="1054"/>
    <w:bookmarkEnd w:id="1055"/>
    <w:bookmarkEnd w:id="1056"/>
    <w:bookmarkEnd w:id="1057"/>
    <w:p>
      <w:pPr>
        <w:pStyle w:val="138"/>
        <w:rPr>
          <w:rFonts w:hint="eastAsia"/>
          <w:color w:val="auto"/>
        </w:rPr>
      </w:pPr>
    </w:p>
    <w:p>
      <w:pPr>
        <w:spacing w:line="440" w:lineRule="exact"/>
        <w:jc w:val="both"/>
        <w:rPr>
          <w:rFonts w:hint="default" w:ascii="宋体" w:hAnsi="宋体" w:cs="宋体"/>
          <w:sz w:val="22"/>
          <w:szCs w:val="22"/>
          <w:lang w:val="en-US" w:eastAsia="zh-CN"/>
        </w:rPr>
      </w:pPr>
      <w:r>
        <w:rPr>
          <w:rFonts w:hint="eastAsia" w:ascii="宋体" w:hAnsi="宋体" w:cs="宋体"/>
          <w:sz w:val="22"/>
          <w:szCs w:val="22"/>
        </w:rPr>
        <w:br w:type="page"/>
      </w:r>
      <w:r>
        <w:rPr>
          <w:rFonts w:hint="eastAsia" w:ascii="宋体" w:hAnsi="宋体" w:cs="宋体"/>
          <w:b/>
          <w:bCs/>
          <w:sz w:val="24"/>
          <w:szCs w:val="24"/>
          <w:lang w:val="en-US" w:eastAsia="zh-CN"/>
        </w:rPr>
        <w:t>附件七 项目实施团队</w:t>
      </w:r>
    </w:p>
    <w:p>
      <w:pPr>
        <w:spacing w:line="3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项目</w:t>
      </w:r>
      <w:r>
        <w:rPr>
          <w:rFonts w:hint="eastAsia" w:ascii="宋体" w:hAnsi="宋体" w:eastAsia="宋体" w:cs="宋体"/>
          <w:b/>
          <w:bCs/>
          <w:sz w:val="24"/>
          <w:szCs w:val="24"/>
          <w:highlight w:val="none"/>
          <w:lang w:val="en-US" w:eastAsia="zh-CN"/>
        </w:rPr>
        <w:t>负责人</w:t>
      </w:r>
      <w:r>
        <w:rPr>
          <w:rFonts w:hint="eastAsia" w:ascii="宋体" w:hAnsi="宋体" w:eastAsia="宋体" w:cs="宋体"/>
          <w:b/>
          <w:bCs/>
          <w:sz w:val="24"/>
          <w:szCs w:val="24"/>
          <w:highlight w:val="none"/>
        </w:rPr>
        <w:t>资历表</w:t>
      </w:r>
    </w:p>
    <w:tbl>
      <w:tblPr>
        <w:tblStyle w:val="63"/>
        <w:tblW w:w="0" w:type="auto"/>
        <w:jc w:val="center"/>
        <w:tblLayout w:type="fixed"/>
        <w:tblCellMar>
          <w:top w:w="0" w:type="dxa"/>
          <w:left w:w="108" w:type="dxa"/>
          <w:bottom w:w="0" w:type="dxa"/>
          <w:right w:w="108" w:type="dxa"/>
        </w:tblCellMar>
      </w:tblPr>
      <w:tblGrid>
        <w:gridCol w:w="779"/>
        <w:gridCol w:w="873"/>
        <w:gridCol w:w="893"/>
        <w:gridCol w:w="820"/>
        <w:gridCol w:w="993"/>
        <w:gridCol w:w="883"/>
        <w:gridCol w:w="371"/>
        <w:gridCol w:w="337"/>
        <w:gridCol w:w="773"/>
        <w:gridCol w:w="542"/>
        <w:gridCol w:w="903"/>
        <w:gridCol w:w="1687"/>
      </w:tblGrid>
      <w:tr>
        <w:tblPrEx>
          <w:tblCellMar>
            <w:top w:w="0" w:type="dxa"/>
            <w:left w:w="108" w:type="dxa"/>
            <w:bottom w:w="0" w:type="dxa"/>
            <w:right w:w="108" w:type="dxa"/>
          </w:tblCellMar>
        </w:tblPrEx>
        <w:trPr>
          <w:trHeight w:val="680" w:hRule="atLeast"/>
          <w:jc w:val="center"/>
        </w:trPr>
        <w:tc>
          <w:tcPr>
            <w:tcW w:w="9854" w:type="dxa"/>
            <w:gridSpan w:val="12"/>
            <w:tcBorders>
              <w:top w:val="single" w:color="000000" w:sz="12" w:space="0"/>
              <w:left w:val="single" w:color="000000" w:sz="12" w:space="0"/>
              <w:bottom w:val="single" w:color="000000" w:sz="6" w:space="0"/>
              <w:right w:val="single" w:color="000000" w:sz="12" w:space="0"/>
            </w:tcBorders>
            <w:noWrap w:val="0"/>
            <w:vAlign w:val="center"/>
          </w:tcPr>
          <w:p>
            <w:pPr>
              <w:pStyle w:val="138"/>
              <w:jc w:val="center"/>
              <w:rPr>
                <w:rFonts w:hint="eastAsia" w:ascii="宋体" w:hAnsi="宋体" w:eastAsia="宋体" w:cs="宋体"/>
                <w:color w:val="auto"/>
                <w:sz w:val="22"/>
                <w:szCs w:val="22"/>
                <w:highlight w:val="none"/>
              </w:rPr>
            </w:pPr>
            <w:bookmarkStart w:id="1058" w:name="_Toc309048448"/>
            <w:bookmarkStart w:id="1059" w:name="_Toc309996259"/>
            <w:r>
              <w:rPr>
                <w:rFonts w:hint="eastAsia" w:ascii="宋体" w:hAnsi="宋体" w:eastAsia="宋体" w:cs="宋体"/>
                <w:color w:val="auto"/>
                <w:sz w:val="22"/>
                <w:szCs w:val="22"/>
                <w:highlight w:val="none"/>
              </w:rPr>
              <w:t>1．一般情况</w:t>
            </w:r>
            <w:bookmarkEnd w:id="1058"/>
            <w:bookmarkEnd w:id="1059"/>
          </w:p>
        </w:tc>
      </w:tr>
      <w:tr>
        <w:tblPrEx>
          <w:tblCellMar>
            <w:top w:w="0" w:type="dxa"/>
            <w:left w:w="108" w:type="dxa"/>
            <w:bottom w:w="0" w:type="dxa"/>
            <w:right w:w="108" w:type="dxa"/>
          </w:tblCellMar>
        </w:tblPrEx>
        <w:trPr>
          <w:trHeight w:val="694" w:hRule="atLeast"/>
          <w:jc w:val="center"/>
        </w:trPr>
        <w:tc>
          <w:tcPr>
            <w:tcW w:w="779" w:type="dxa"/>
            <w:tcBorders>
              <w:top w:val="single" w:color="000000" w:sz="6" w:space="0"/>
              <w:left w:val="single" w:color="000000" w:sz="12" w:space="0"/>
              <w:bottom w:val="single" w:color="000000" w:sz="6" w:space="0"/>
              <w:right w:val="single" w:color="000000" w:sz="4" w:space="0"/>
            </w:tcBorders>
            <w:noWrap w:val="0"/>
            <w:vAlign w:val="center"/>
          </w:tcPr>
          <w:p>
            <w:pPr>
              <w:pStyle w:val="138"/>
              <w:jc w:val="center"/>
              <w:rPr>
                <w:rFonts w:hint="eastAsia" w:ascii="宋体" w:hAnsi="宋体" w:eastAsia="宋体" w:cs="宋体"/>
                <w:color w:val="auto"/>
                <w:sz w:val="22"/>
                <w:szCs w:val="22"/>
                <w:highlight w:val="none"/>
              </w:rPr>
            </w:pPr>
            <w:bookmarkStart w:id="1060" w:name="_Toc309996260"/>
            <w:bookmarkStart w:id="1061" w:name="_Toc309048449"/>
            <w:r>
              <w:rPr>
                <w:rFonts w:hint="eastAsia" w:ascii="宋体" w:hAnsi="宋体" w:eastAsia="宋体" w:cs="宋体"/>
                <w:color w:val="auto"/>
                <w:sz w:val="22"/>
                <w:szCs w:val="22"/>
                <w:highlight w:val="none"/>
              </w:rPr>
              <w:t>姓名</w:t>
            </w:r>
            <w:bookmarkEnd w:id="1060"/>
            <w:bookmarkEnd w:id="1061"/>
          </w:p>
        </w:tc>
        <w:tc>
          <w:tcPr>
            <w:tcW w:w="873" w:type="dxa"/>
            <w:tcBorders>
              <w:top w:val="single" w:color="000000" w:sz="6" w:space="0"/>
              <w:left w:val="single" w:color="000000" w:sz="4" w:space="0"/>
              <w:bottom w:val="single" w:color="000000" w:sz="6" w:space="0"/>
              <w:right w:val="single" w:color="000000" w:sz="4" w:space="0"/>
            </w:tcBorders>
            <w:noWrap w:val="0"/>
            <w:vAlign w:val="center"/>
          </w:tcPr>
          <w:p>
            <w:pPr>
              <w:pStyle w:val="138"/>
              <w:jc w:val="center"/>
              <w:rPr>
                <w:rFonts w:hint="eastAsia" w:ascii="宋体" w:hAnsi="宋体" w:eastAsia="宋体" w:cs="宋体"/>
                <w:color w:val="auto"/>
                <w:sz w:val="22"/>
                <w:szCs w:val="22"/>
                <w:highlight w:val="none"/>
              </w:rPr>
            </w:pPr>
          </w:p>
        </w:tc>
        <w:tc>
          <w:tcPr>
            <w:tcW w:w="893" w:type="dxa"/>
            <w:tcBorders>
              <w:top w:val="single" w:color="000000" w:sz="6" w:space="0"/>
              <w:left w:val="single" w:color="000000" w:sz="4" w:space="0"/>
              <w:bottom w:val="single" w:color="000000" w:sz="6" w:space="0"/>
              <w:right w:val="single" w:color="000000" w:sz="4" w:space="0"/>
            </w:tcBorders>
            <w:noWrap w:val="0"/>
            <w:vAlign w:val="center"/>
          </w:tcPr>
          <w:p>
            <w:pPr>
              <w:pStyle w:val="138"/>
              <w:jc w:val="center"/>
              <w:rPr>
                <w:rFonts w:hint="eastAsia" w:ascii="宋体" w:hAnsi="宋体" w:eastAsia="宋体" w:cs="宋体"/>
                <w:color w:val="auto"/>
                <w:sz w:val="22"/>
                <w:szCs w:val="22"/>
                <w:highlight w:val="none"/>
              </w:rPr>
            </w:pPr>
            <w:bookmarkStart w:id="1062" w:name="_Toc309996261"/>
            <w:bookmarkStart w:id="1063" w:name="_Toc309048450"/>
            <w:r>
              <w:rPr>
                <w:rFonts w:hint="eastAsia" w:ascii="宋体" w:hAnsi="宋体" w:eastAsia="宋体" w:cs="宋体"/>
                <w:color w:val="auto"/>
                <w:sz w:val="22"/>
                <w:szCs w:val="22"/>
                <w:highlight w:val="none"/>
              </w:rPr>
              <w:t>性别</w:t>
            </w:r>
            <w:bookmarkEnd w:id="1062"/>
            <w:bookmarkEnd w:id="1063"/>
          </w:p>
        </w:tc>
        <w:tc>
          <w:tcPr>
            <w:tcW w:w="820" w:type="dxa"/>
            <w:tcBorders>
              <w:top w:val="single" w:color="000000" w:sz="6" w:space="0"/>
              <w:left w:val="single" w:color="000000" w:sz="4" w:space="0"/>
              <w:bottom w:val="single" w:color="000000" w:sz="6" w:space="0"/>
              <w:right w:val="single" w:color="000000" w:sz="4" w:space="0"/>
            </w:tcBorders>
            <w:noWrap w:val="0"/>
            <w:vAlign w:val="center"/>
          </w:tcPr>
          <w:p>
            <w:pPr>
              <w:pStyle w:val="138"/>
              <w:jc w:val="center"/>
              <w:rPr>
                <w:rFonts w:hint="eastAsia" w:ascii="宋体" w:hAnsi="宋体" w:eastAsia="宋体" w:cs="宋体"/>
                <w:color w:val="auto"/>
                <w:sz w:val="22"/>
                <w:szCs w:val="22"/>
                <w:highlight w:val="none"/>
              </w:rPr>
            </w:pPr>
          </w:p>
        </w:tc>
        <w:tc>
          <w:tcPr>
            <w:tcW w:w="993" w:type="dxa"/>
            <w:tcBorders>
              <w:top w:val="single" w:color="000000" w:sz="6" w:space="0"/>
              <w:left w:val="single" w:color="000000" w:sz="4" w:space="0"/>
              <w:bottom w:val="single" w:color="000000" w:sz="6" w:space="0"/>
              <w:right w:val="single" w:color="000000" w:sz="4" w:space="0"/>
            </w:tcBorders>
            <w:noWrap w:val="0"/>
            <w:vAlign w:val="center"/>
          </w:tcPr>
          <w:p>
            <w:pPr>
              <w:pStyle w:val="138"/>
              <w:jc w:val="center"/>
              <w:rPr>
                <w:rFonts w:hint="eastAsia" w:ascii="宋体" w:hAnsi="宋体" w:eastAsia="宋体" w:cs="宋体"/>
                <w:color w:val="auto"/>
                <w:sz w:val="22"/>
                <w:szCs w:val="22"/>
                <w:highlight w:val="none"/>
              </w:rPr>
            </w:pPr>
            <w:bookmarkStart w:id="1064" w:name="_Toc309048451"/>
            <w:bookmarkStart w:id="1065" w:name="_Toc309996262"/>
            <w:r>
              <w:rPr>
                <w:rFonts w:hint="eastAsia" w:ascii="宋体" w:hAnsi="宋体" w:eastAsia="宋体" w:cs="宋体"/>
                <w:color w:val="auto"/>
                <w:sz w:val="22"/>
                <w:szCs w:val="22"/>
                <w:highlight w:val="none"/>
              </w:rPr>
              <w:t>年龄</w:t>
            </w:r>
            <w:bookmarkEnd w:id="1064"/>
            <w:bookmarkEnd w:id="1065"/>
          </w:p>
        </w:tc>
        <w:tc>
          <w:tcPr>
            <w:tcW w:w="883" w:type="dxa"/>
            <w:tcBorders>
              <w:top w:val="single" w:color="000000" w:sz="6" w:space="0"/>
              <w:left w:val="single" w:color="000000" w:sz="4" w:space="0"/>
              <w:bottom w:val="single" w:color="000000" w:sz="6" w:space="0"/>
              <w:right w:val="single" w:color="000000" w:sz="4" w:space="0"/>
            </w:tcBorders>
            <w:noWrap w:val="0"/>
            <w:vAlign w:val="center"/>
          </w:tcPr>
          <w:p>
            <w:pPr>
              <w:pStyle w:val="138"/>
              <w:jc w:val="center"/>
              <w:rPr>
                <w:rFonts w:hint="eastAsia" w:ascii="宋体" w:hAnsi="宋体" w:eastAsia="宋体" w:cs="宋体"/>
                <w:color w:val="auto"/>
                <w:sz w:val="22"/>
                <w:szCs w:val="22"/>
                <w:highlight w:val="none"/>
              </w:rPr>
            </w:pPr>
          </w:p>
        </w:tc>
        <w:tc>
          <w:tcPr>
            <w:tcW w:w="708" w:type="dxa"/>
            <w:gridSpan w:val="2"/>
            <w:tcBorders>
              <w:top w:val="single" w:color="000000" w:sz="6" w:space="0"/>
              <w:left w:val="single" w:color="000000" w:sz="4" w:space="0"/>
              <w:bottom w:val="single" w:color="000000" w:sz="6" w:space="0"/>
              <w:right w:val="single" w:color="000000" w:sz="4" w:space="0"/>
            </w:tcBorders>
            <w:noWrap w:val="0"/>
            <w:vAlign w:val="center"/>
          </w:tcPr>
          <w:p>
            <w:pPr>
              <w:pStyle w:val="138"/>
              <w:jc w:val="center"/>
              <w:rPr>
                <w:rFonts w:hint="eastAsia" w:ascii="宋体" w:hAnsi="宋体" w:eastAsia="宋体" w:cs="宋体"/>
                <w:color w:val="auto"/>
                <w:sz w:val="22"/>
                <w:szCs w:val="22"/>
                <w:highlight w:val="none"/>
              </w:rPr>
            </w:pPr>
            <w:bookmarkStart w:id="1066" w:name="_Toc309048452"/>
            <w:bookmarkStart w:id="1067" w:name="_Toc309996263"/>
            <w:r>
              <w:rPr>
                <w:rFonts w:hint="eastAsia" w:ascii="宋体" w:hAnsi="宋体" w:eastAsia="宋体" w:cs="宋体"/>
                <w:color w:val="auto"/>
                <w:sz w:val="22"/>
                <w:szCs w:val="22"/>
                <w:highlight w:val="none"/>
              </w:rPr>
              <w:t>学位</w:t>
            </w:r>
            <w:bookmarkEnd w:id="1066"/>
            <w:bookmarkEnd w:id="1067"/>
          </w:p>
        </w:tc>
        <w:tc>
          <w:tcPr>
            <w:tcW w:w="773" w:type="dxa"/>
            <w:tcBorders>
              <w:top w:val="single" w:color="000000" w:sz="6" w:space="0"/>
              <w:left w:val="single" w:color="000000" w:sz="4" w:space="0"/>
              <w:bottom w:val="single" w:color="000000" w:sz="6" w:space="0"/>
              <w:right w:val="single" w:color="000000" w:sz="4" w:space="0"/>
            </w:tcBorders>
            <w:noWrap w:val="0"/>
            <w:vAlign w:val="center"/>
          </w:tcPr>
          <w:p>
            <w:pPr>
              <w:pStyle w:val="138"/>
              <w:jc w:val="center"/>
              <w:rPr>
                <w:rFonts w:hint="eastAsia" w:ascii="宋体" w:hAnsi="宋体" w:eastAsia="宋体" w:cs="宋体"/>
                <w:color w:val="auto"/>
                <w:sz w:val="22"/>
                <w:szCs w:val="22"/>
                <w:highlight w:val="none"/>
              </w:rPr>
            </w:pPr>
          </w:p>
        </w:tc>
        <w:tc>
          <w:tcPr>
            <w:tcW w:w="1445" w:type="dxa"/>
            <w:gridSpan w:val="2"/>
            <w:tcBorders>
              <w:top w:val="single" w:color="000000" w:sz="6" w:space="0"/>
              <w:left w:val="single" w:color="000000" w:sz="4" w:space="0"/>
              <w:bottom w:val="single" w:color="000000" w:sz="6" w:space="0"/>
              <w:right w:val="single" w:color="000000" w:sz="4" w:space="0"/>
            </w:tcBorders>
            <w:noWrap w:val="0"/>
            <w:vAlign w:val="center"/>
          </w:tcPr>
          <w:p>
            <w:pPr>
              <w:pStyle w:val="138"/>
              <w:jc w:val="center"/>
              <w:rPr>
                <w:rFonts w:hint="eastAsia" w:ascii="宋体" w:hAnsi="宋体" w:eastAsia="宋体" w:cs="宋体"/>
                <w:color w:val="auto"/>
                <w:sz w:val="22"/>
                <w:szCs w:val="22"/>
                <w:highlight w:val="none"/>
              </w:rPr>
            </w:pPr>
            <w:bookmarkStart w:id="1068" w:name="_Toc309996264"/>
            <w:bookmarkStart w:id="1069" w:name="_Toc309048453"/>
            <w:r>
              <w:rPr>
                <w:rFonts w:hint="eastAsia" w:ascii="宋体" w:hAnsi="宋体" w:eastAsia="宋体" w:cs="宋体"/>
                <w:color w:val="auto"/>
                <w:sz w:val="22"/>
                <w:szCs w:val="22"/>
                <w:highlight w:val="none"/>
              </w:rPr>
              <w:t>身份证号码</w:t>
            </w:r>
            <w:bookmarkEnd w:id="1068"/>
            <w:bookmarkEnd w:id="1069"/>
          </w:p>
        </w:tc>
        <w:tc>
          <w:tcPr>
            <w:tcW w:w="1687" w:type="dxa"/>
            <w:tcBorders>
              <w:top w:val="single" w:color="000000" w:sz="6" w:space="0"/>
              <w:left w:val="single" w:color="000000" w:sz="4" w:space="0"/>
              <w:bottom w:val="single" w:color="000000" w:sz="6" w:space="0"/>
              <w:right w:val="single" w:color="000000" w:sz="12" w:space="0"/>
            </w:tcBorders>
            <w:noWrap w:val="0"/>
            <w:vAlign w:val="center"/>
          </w:tcPr>
          <w:p>
            <w:pPr>
              <w:pStyle w:val="138"/>
              <w:jc w:val="center"/>
              <w:rPr>
                <w:rFonts w:hint="eastAsia" w:ascii="宋体" w:hAnsi="宋体" w:eastAsia="宋体" w:cs="宋体"/>
                <w:color w:val="auto"/>
                <w:sz w:val="22"/>
                <w:szCs w:val="22"/>
                <w:highlight w:val="none"/>
              </w:rPr>
            </w:pPr>
          </w:p>
        </w:tc>
      </w:tr>
      <w:tr>
        <w:tblPrEx>
          <w:tblCellMar>
            <w:top w:w="0" w:type="dxa"/>
            <w:left w:w="108" w:type="dxa"/>
            <w:bottom w:w="0" w:type="dxa"/>
            <w:right w:w="108" w:type="dxa"/>
          </w:tblCellMar>
        </w:tblPrEx>
        <w:trPr>
          <w:trHeight w:val="694" w:hRule="atLeast"/>
          <w:jc w:val="center"/>
        </w:trPr>
        <w:tc>
          <w:tcPr>
            <w:tcW w:w="1652" w:type="dxa"/>
            <w:gridSpan w:val="2"/>
            <w:tcBorders>
              <w:top w:val="single" w:color="000000" w:sz="6" w:space="0"/>
              <w:left w:val="single" w:color="000000" w:sz="12" w:space="0"/>
              <w:bottom w:val="single" w:color="000000" w:sz="6" w:space="0"/>
              <w:right w:val="single" w:color="000000" w:sz="4" w:space="0"/>
            </w:tcBorders>
            <w:noWrap w:val="0"/>
            <w:vAlign w:val="center"/>
          </w:tcPr>
          <w:p>
            <w:pPr>
              <w:pStyle w:val="138"/>
              <w:jc w:val="center"/>
              <w:rPr>
                <w:rFonts w:hint="eastAsia" w:ascii="宋体" w:hAnsi="宋体" w:eastAsia="宋体" w:cs="宋体"/>
                <w:color w:val="auto"/>
                <w:sz w:val="22"/>
                <w:szCs w:val="22"/>
                <w:highlight w:val="none"/>
              </w:rPr>
            </w:pPr>
            <w:bookmarkStart w:id="1070" w:name="_Toc309048454"/>
            <w:bookmarkStart w:id="1071" w:name="_Toc309996265"/>
            <w:r>
              <w:rPr>
                <w:rFonts w:hint="eastAsia" w:ascii="宋体" w:hAnsi="宋体" w:eastAsia="宋体" w:cs="宋体"/>
                <w:color w:val="auto"/>
                <w:sz w:val="22"/>
                <w:szCs w:val="22"/>
                <w:highlight w:val="none"/>
              </w:rPr>
              <w:t>职称</w:t>
            </w:r>
            <w:bookmarkEnd w:id="1070"/>
            <w:bookmarkEnd w:id="1071"/>
          </w:p>
        </w:tc>
        <w:tc>
          <w:tcPr>
            <w:tcW w:w="2706" w:type="dxa"/>
            <w:gridSpan w:val="3"/>
            <w:tcBorders>
              <w:top w:val="single" w:color="000000" w:sz="6" w:space="0"/>
              <w:left w:val="single" w:color="000000" w:sz="4" w:space="0"/>
              <w:bottom w:val="single" w:color="000000" w:sz="6" w:space="0"/>
              <w:right w:val="single" w:color="000000" w:sz="4" w:space="0"/>
            </w:tcBorders>
            <w:noWrap w:val="0"/>
            <w:vAlign w:val="center"/>
          </w:tcPr>
          <w:p>
            <w:pPr>
              <w:pStyle w:val="138"/>
              <w:jc w:val="center"/>
              <w:rPr>
                <w:rFonts w:hint="eastAsia" w:ascii="宋体" w:hAnsi="宋体" w:eastAsia="宋体" w:cs="宋体"/>
                <w:color w:val="auto"/>
                <w:sz w:val="22"/>
                <w:szCs w:val="22"/>
                <w:highlight w:val="none"/>
              </w:rPr>
            </w:pPr>
          </w:p>
        </w:tc>
        <w:tc>
          <w:tcPr>
            <w:tcW w:w="3809" w:type="dxa"/>
            <w:gridSpan w:val="6"/>
            <w:tcBorders>
              <w:top w:val="single" w:color="000000" w:sz="6" w:space="0"/>
              <w:left w:val="single" w:color="000000" w:sz="4" w:space="0"/>
              <w:bottom w:val="single" w:color="000000" w:sz="6" w:space="0"/>
              <w:right w:val="single" w:color="auto" w:sz="4" w:space="0"/>
            </w:tcBorders>
            <w:noWrap w:val="0"/>
            <w:vAlign w:val="center"/>
          </w:tcPr>
          <w:p>
            <w:pPr>
              <w:pStyle w:val="138"/>
              <w:jc w:val="center"/>
              <w:rPr>
                <w:rFonts w:hint="eastAsia" w:ascii="宋体" w:hAnsi="宋体" w:eastAsia="宋体" w:cs="宋体"/>
                <w:color w:val="auto"/>
                <w:sz w:val="22"/>
                <w:szCs w:val="22"/>
                <w:highlight w:val="none"/>
              </w:rPr>
            </w:pPr>
            <w:bookmarkStart w:id="1072" w:name="_Toc309048456"/>
            <w:bookmarkStart w:id="1073" w:name="_Toc309996267"/>
            <w:r>
              <w:rPr>
                <w:rFonts w:hint="eastAsia" w:ascii="宋体" w:hAnsi="宋体" w:eastAsia="宋体" w:cs="宋体"/>
                <w:color w:val="auto"/>
                <w:sz w:val="22"/>
                <w:szCs w:val="22"/>
                <w:highlight w:val="none"/>
              </w:rPr>
              <w:t>在本合同中拟任职</w:t>
            </w:r>
            <w:bookmarkEnd w:id="1072"/>
            <w:bookmarkEnd w:id="1073"/>
          </w:p>
        </w:tc>
        <w:tc>
          <w:tcPr>
            <w:tcW w:w="1687" w:type="dxa"/>
            <w:tcBorders>
              <w:top w:val="single" w:color="000000" w:sz="6" w:space="0"/>
              <w:left w:val="single" w:color="auto" w:sz="4" w:space="0"/>
              <w:bottom w:val="single" w:color="000000" w:sz="6" w:space="0"/>
              <w:right w:val="single" w:color="000000" w:sz="12" w:space="0"/>
            </w:tcBorders>
            <w:noWrap w:val="0"/>
            <w:vAlign w:val="center"/>
          </w:tcPr>
          <w:p>
            <w:pPr>
              <w:pStyle w:val="138"/>
              <w:jc w:val="center"/>
              <w:rPr>
                <w:rFonts w:hint="eastAsia" w:ascii="宋体" w:hAnsi="宋体" w:eastAsia="宋体" w:cs="宋体"/>
                <w:color w:val="auto"/>
                <w:sz w:val="22"/>
                <w:szCs w:val="22"/>
                <w:highlight w:val="none"/>
              </w:rPr>
            </w:pPr>
          </w:p>
        </w:tc>
      </w:tr>
      <w:tr>
        <w:tblPrEx>
          <w:tblCellMar>
            <w:top w:w="0" w:type="dxa"/>
            <w:left w:w="108" w:type="dxa"/>
            <w:bottom w:w="0" w:type="dxa"/>
            <w:right w:w="108" w:type="dxa"/>
          </w:tblCellMar>
        </w:tblPrEx>
        <w:trPr>
          <w:trHeight w:val="698" w:hRule="atLeast"/>
          <w:jc w:val="center"/>
        </w:trPr>
        <w:tc>
          <w:tcPr>
            <w:tcW w:w="779" w:type="dxa"/>
            <w:tcBorders>
              <w:top w:val="single" w:color="000000" w:sz="6" w:space="0"/>
              <w:left w:val="single" w:color="000000" w:sz="12" w:space="0"/>
              <w:bottom w:val="single" w:color="000000" w:sz="6" w:space="0"/>
              <w:right w:val="single" w:color="000000" w:sz="4" w:space="0"/>
            </w:tcBorders>
            <w:noWrap w:val="0"/>
            <w:vAlign w:val="center"/>
          </w:tcPr>
          <w:p>
            <w:pPr>
              <w:pStyle w:val="138"/>
              <w:jc w:val="center"/>
              <w:rPr>
                <w:rFonts w:hint="eastAsia" w:ascii="宋体" w:hAnsi="宋体" w:eastAsia="宋体" w:cs="宋体"/>
                <w:color w:val="auto"/>
                <w:sz w:val="22"/>
                <w:szCs w:val="22"/>
                <w:highlight w:val="none"/>
              </w:rPr>
            </w:pPr>
            <w:bookmarkStart w:id="1074" w:name="_Toc309048457"/>
            <w:bookmarkStart w:id="1075" w:name="_Toc309996268"/>
            <w:r>
              <w:rPr>
                <w:rFonts w:hint="eastAsia" w:ascii="宋体" w:hAnsi="宋体" w:eastAsia="宋体" w:cs="宋体"/>
                <w:color w:val="auto"/>
                <w:sz w:val="22"/>
                <w:szCs w:val="22"/>
                <w:highlight w:val="none"/>
              </w:rPr>
              <w:t>学历</w:t>
            </w:r>
            <w:bookmarkEnd w:id="1074"/>
            <w:bookmarkEnd w:id="1075"/>
          </w:p>
        </w:tc>
        <w:tc>
          <w:tcPr>
            <w:tcW w:w="9075" w:type="dxa"/>
            <w:gridSpan w:val="11"/>
            <w:tcBorders>
              <w:top w:val="single" w:color="000000" w:sz="6" w:space="0"/>
              <w:left w:val="single" w:color="000000" w:sz="4" w:space="0"/>
              <w:bottom w:val="single" w:color="000000" w:sz="6" w:space="0"/>
              <w:right w:val="single" w:color="000000" w:sz="12" w:space="0"/>
            </w:tcBorders>
            <w:noWrap w:val="0"/>
            <w:vAlign w:val="center"/>
          </w:tcPr>
          <w:p>
            <w:pPr>
              <w:pStyle w:val="138"/>
              <w:jc w:val="center"/>
              <w:rPr>
                <w:rFonts w:hint="eastAsia" w:ascii="宋体" w:hAnsi="宋体" w:eastAsia="宋体" w:cs="宋体"/>
                <w:color w:val="auto"/>
                <w:sz w:val="22"/>
                <w:szCs w:val="22"/>
                <w:highlight w:val="none"/>
              </w:rPr>
            </w:pPr>
            <w:bookmarkStart w:id="1076" w:name="_Toc309996269"/>
            <w:bookmarkStart w:id="1077" w:name="_Toc309048458"/>
            <w:r>
              <w:rPr>
                <w:rFonts w:hint="eastAsia" w:ascii="宋体" w:hAnsi="宋体" w:eastAsia="宋体" w:cs="宋体"/>
                <w:color w:val="auto"/>
                <w:sz w:val="22"/>
                <w:szCs w:val="22"/>
                <w:highlight w:val="none"/>
              </w:rPr>
              <w:t>年毕业于            （学校）                 （专业）</w:t>
            </w:r>
            <w:bookmarkEnd w:id="1076"/>
            <w:bookmarkEnd w:id="1077"/>
          </w:p>
        </w:tc>
      </w:tr>
      <w:tr>
        <w:tblPrEx>
          <w:tblCellMar>
            <w:top w:w="0" w:type="dxa"/>
            <w:left w:w="108" w:type="dxa"/>
            <w:bottom w:w="0" w:type="dxa"/>
            <w:right w:w="108" w:type="dxa"/>
          </w:tblCellMar>
        </w:tblPrEx>
        <w:trPr>
          <w:trHeight w:val="694" w:hRule="atLeast"/>
          <w:jc w:val="center"/>
        </w:trPr>
        <w:tc>
          <w:tcPr>
            <w:tcW w:w="9854" w:type="dxa"/>
            <w:gridSpan w:val="12"/>
            <w:tcBorders>
              <w:top w:val="single" w:color="000000" w:sz="6" w:space="0"/>
              <w:left w:val="single" w:color="000000" w:sz="12" w:space="0"/>
              <w:bottom w:val="single" w:color="000000" w:sz="6" w:space="0"/>
              <w:right w:val="single" w:color="000000" w:sz="12" w:space="0"/>
            </w:tcBorders>
            <w:noWrap w:val="0"/>
            <w:vAlign w:val="center"/>
          </w:tcPr>
          <w:p>
            <w:pPr>
              <w:pStyle w:val="138"/>
              <w:jc w:val="center"/>
              <w:rPr>
                <w:rFonts w:hint="eastAsia" w:ascii="宋体" w:hAnsi="宋体" w:eastAsia="宋体" w:cs="宋体"/>
                <w:color w:val="auto"/>
                <w:sz w:val="22"/>
                <w:szCs w:val="22"/>
                <w:highlight w:val="none"/>
              </w:rPr>
            </w:pPr>
            <w:bookmarkStart w:id="1078" w:name="_Toc309996270"/>
            <w:bookmarkStart w:id="1079" w:name="_Toc309048459"/>
            <w:r>
              <w:rPr>
                <w:rFonts w:hint="eastAsia" w:ascii="宋体" w:hAnsi="宋体" w:eastAsia="宋体" w:cs="宋体"/>
                <w:color w:val="auto"/>
                <w:sz w:val="22"/>
                <w:szCs w:val="22"/>
                <w:highlight w:val="none"/>
              </w:rPr>
              <w:t>2．经历</w:t>
            </w:r>
            <w:bookmarkEnd w:id="1078"/>
            <w:bookmarkEnd w:id="1079"/>
          </w:p>
        </w:tc>
      </w:tr>
      <w:tr>
        <w:tblPrEx>
          <w:tblCellMar>
            <w:top w:w="0" w:type="dxa"/>
            <w:left w:w="108" w:type="dxa"/>
            <w:bottom w:w="0" w:type="dxa"/>
            <w:right w:w="108" w:type="dxa"/>
          </w:tblCellMar>
        </w:tblPrEx>
        <w:trPr>
          <w:trHeight w:val="698" w:hRule="atLeast"/>
          <w:jc w:val="center"/>
        </w:trPr>
        <w:tc>
          <w:tcPr>
            <w:tcW w:w="779" w:type="dxa"/>
            <w:tcBorders>
              <w:top w:val="single" w:color="000000" w:sz="6" w:space="0"/>
              <w:left w:val="single" w:color="000000" w:sz="12" w:space="0"/>
              <w:bottom w:val="single" w:color="000000" w:sz="6" w:space="0"/>
              <w:right w:val="single" w:color="000000" w:sz="4" w:space="0"/>
            </w:tcBorders>
            <w:noWrap w:val="0"/>
            <w:vAlign w:val="center"/>
          </w:tcPr>
          <w:p>
            <w:pPr>
              <w:pStyle w:val="138"/>
              <w:jc w:val="center"/>
              <w:rPr>
                <w:rFonts w:hint="eastAsia" w:ascii="宋体" w:hAnsi="宋体" w:eastAsia="宋体" w:cs="宋体"/>
                <w:color w:val="auto"/>
                <w:sz w:val="22"/>
                <w:szCs w:val="22"/>
                <w:highlight w:val="none"/>
              </w:rPr>
            </w:pPr>
            <w:bookmarkStart w:id="1080" w:name="_Toc309996271"/>
            <w:bookmarkStart w:id="1081" w:name="_Toc309048460"/>
            <w:r>
              <w:rPr>
                <w:rFonts w:hint="eastAsia" w:ascii="宋体" w:hAnsi="宋体" w:eastAsia="宋体" w:cs="宋体"/>
                <w:color w:val="auto"/>
                <w:sz w:val="22"/>
                <w:szCs w:val="22"/>
                <w:highlight w:val="none"/>
              </w:rPr>
              <w:t>时间</w:t>
            </w:r>
            <w:bookmarkEnd w:id="1080"/>
            <w:bookmarkEnd w:id="1081"/>
          </w:p>
        </w:tc>
        <w:tc>
          <w:tcPr>
            <w:tcW w:w="4833" w:type="dxa"/>
            <w:gridSpan w:val="6"/>
            <w:tcBorders>
              <w:top w:val="single" w:color="000000" w:sz="6" w:space="0"/>
              <w:left w:val="single" w:color="000000" w:sz="4" w:space="0"/>
              <w:bottom w:val="single" w:color="000000" w:sz="6" w:space="0"/>
              <w:right w:val="single" w:color="000000" w:sz="4" w:space="0"/>
            </w:tcBorders>
            <w:noWrap w:val="0"/>
            <w:vAlign w:val="center"/>
          </w:tcPr>
          <w:p>
            <w:pPr>
              <w:pStyle w:val="138"/>
              <w:jc w:val="center"/>
              <w:rPr>
                <w:rFonts w:hint="eastAsia" w:ascii="宋体" w:hAnsi="宋体" w:eastAsia="宋体" w:cs="宋体"/>
                <w:color w:val="auto"/>
                <w:sz w:val="22"/>
                <w:szCs w:val="22"/>
                <w:highlight w:val="none"/>
              </w:rPr>
            </w:pPr>
            <w:bookmarkStart w:id="1082" w:name="_Toc309048461"/>
            <w:bookmarkStart w:id="1083" w:name="_Toc309996272"/>
            <w:r>
              <w:rPr>
                <w:rFonts w:hint="eastAsia" w:ascii="宋体" w:hAnsi="宋体" w:eastAsia="宋体" w:cs="宋体"/>
                <w:color w:val="auto"/>
                <w:sz w:val="22"/>
                <w:szCs w:val="22"/>
                <w:highlight w:val="none"/>
              </w:rPr>
              <w:t>负责过的主要项目（类型和金额）</w:t>
            </w:r>
            <w:bookmarkEnd w:id="1082"/>
            <w:bookmarkEnd w:id="1083"/>
          </w:p>
        </w:tc>
        <w:tc>
          <w:tcPr>
            <w:tcW w:w="1652" w:type="dxa"/>
            <w:gridSpan w:val="3"/>
            <w:tcBorders>
              <w:top w:val="single" w:color="000000" w:sz="6" w:space="0"/>
              <w:left w:val="single" w:color="000000" w:sz="4" w:space="0"/>
              <w:bottom w:val="single" w:color="000000" w:sz="6" w:space="0"/>
              <w:right w:val="single" w:color="000000" w:sz="4" w:space="0"/>
            </w:tcBorders>
            <w:noWrap w:val="0"/>
            <w:vAlign w:val="center"/>
          </w:tcPr>
          <w:p>
            <w:pPr>
              <w:pStyle w:val="138"/>
              <w:jc w:val="center"/>
              <w:rPr>
                <w:rFonts w:hint="eastAsia" w:ascii="宋体" w:hAnsi="宋体" w:eastAsia="宋体" w:cs="宋体"/>
                <w:color w:val="auto"/>
                <w:sz w:val="22"/>
                <w:szCs w:val="22"/>
                <w:highlight w:val="none"/>
              </w:rPr>
            </w:pPr>
            <w:bookmarkStart w:id="1084" w:name="_Toc309996273"/>
            <w:bookmarkStart w:id="1085" w:name="_Toc309048462"/>
            <w:r>
              <w:rPr>
                <w:rFonts w:hint="eastAsia" w:ascii="宋体" w:hAnsi="宋体" w:eastAsia="宋体" w:cs="宋体"/>
                <w:color w:val="auto"/>
                <w:sz w:val="22"/>
                <w:szCs w:val="22"/>
                <w:highlight w:val="none"/>
              </w:rPr>
              <w:t>该项目中任职</w:t>
            </w:r>
            <w:bookmarkEnd w:id="1084"/>
            <w:bookmarkEnd w:id="1085"/>
          </w:p>
        </w:tc>
        <w:tc>
          <w:tcPr>
            <w:tcW w:w="2590" w:type="dxa"/>
            <w:gridSpan w:val="2"/>
            <w:tcBorders>
              <w:top w:val="single" w:color="000000" w:sz="6" w:space="0"/>
              <w:left w:val="single" w:color="000000" w:sz="4" w:space="0"/>
              <w:bottom w:val="single" w:color="000000" w:sz="6" w:space="0"/>
              <w:right w:val="single" w:color="000000" w:sz="12" w:space="0"/>
            </w:tcBorders>
            <w:noWrap w:val="0"/>
            <w:vAlign w:val="center"/>
          </w:tcPr>
          <w:p>
            <w:pPr>
              <w:pStyle w:val="138"/>
              <w:jc w:val="center"/>
              <w:rPr>
                <w:rFonts w:hint="eastAsia" w:ascii="宋体" w:hAnsi="宋体" w:eastAsia="宋体" w:cs="宋体"/>
                <w:color w:val="auto"/>
                <w:sz w:val="22"/>
                <w:szCs w:val="22"/>
                <w:highlight w:val="none"/>
              </w:rPr>
            </w:pPr>
            <w:bookmarkStart w:id="1086" w:name="_Toc309996274"/>
            <w:bookmarkStart w:id="1087" w:name="_Toc309048463"/>
            <w:r>
              <w:rPr>
                <w:rFonts w:hint="eastAsia" w:ascii="宋体" w:hAnsi="宋体" w:eastAsia="宋体" w:cs="宋体"/>
                <w:color w:val="auto"/>
                <w:sz w:val="22"/>
                <w:szCs w:val="22"/>
                <w:highlight w:val="none"/>
              </w:rPr>
              <w:t>业主单位及联系电话</w:t>
            </w:r>
            <w:bookmarkEnd w:id="1086"/>
            <w:bookmarkEnd w:id="1087"/>
          </w:p>
        </w:tc>
      </w:tr>
      <w:tr>
        <w:tblPrEx>
          <w:tblCellMar>
            <w:top w:w="0" w:type="dxa"/>
            <w:left w:w="108" w:type="dxa"/>
            <w:bottom w:w="0" w:type="dxa"/>
            <w:right w:w="108" w:type="dxa"/>
          </w:tblCellMar>
        </w:tblPrEx>
        <w:trPr>
          <w:trHeight w:val="1349" w:hRule="atLeast"/>
          <w:jc w:val="center"/>
        </w:trPr>
        <w:tc>
          <w:tcPr>
            <w:tcW w:w="779" w:type="dxa"/>
            <w:tcBorders>
              <w:top w:val="single" w:color="000000" w:sz="6" w:space="0"/>
              <w:left w:val="single" w:color="000000" w:sz="12" w:space="0"/>
              <w:bottom w:val="single" w:color="000000" w:sz="6" w:space="0"/>
              <w:right w:val="single" w:color="000000" w:sz="4" w:space="0"/>
            </w:tcBorders>
            <w:noWrap w:val="0"/>
            <w:vAlign w:val="center"/>
          </w:tcPr>
          <w:p>
            <w:pPr>
              <w:pStyle w:val="138"/>
              <w:jc w:val="center"/>
              <w:rPr>
                <w:rFonts w:hint="eastAsia" w:ascii="宋体" w:hAnsi="宋体" w:eastAsia="宋体" w:cs="宋体"/>
                <w:color w:val="auto"/>
                <w:sz w:val="22"/>
                <w:szCs w:val="22"/>
                <w:highlight w:val="none"/>
              </w:rPr>
            </w:pPr>
          </w:p>
        </w:tc>
        <w:tc>
          <w:tcPr>
            <w:tcW w:w="4833" w:type="dxa"/>
            <w:gridSpan w:val="6"/>
            <w:tcBorders>
              <w:top w:val="single" w:color="000000" w:sz="6" w:space="0"/>
              <w:left w:val="single" w:color="000000" w:sz="4" w:space="0"/>
              <w:bottom w:val="single" w:color="000000" w:sz="6" w:space="0"/>
              <w:right w:val="single" w:color="000000" w:sz="4" w:space="0"/>
            </w:tcBorders>
            <w:noWrap w:val="0"/>
            <w:vAlign w:val="center"/>
          </w:tcPr>
          <w:p>
            <w:pPr>
              <w:pStyle w:val="138"/>
              <w:jc w:val="center"/>
              <w:rPr>
                <w:rFonts w:hint="eastAsia" w:ascii="宋体" w:hAnsi="宋体" w:eastAsia="宋体" w:cs="宋体"/>
                <w:color w:val="auto"/>
                <w:sz w:val="22"/>
                <w:szCs w:val="22"/>
                <w:highlight w:val="none"/>
              </w:rPr>
            </w:pPr>
          </w:p>
        </w:tc>
        <w:tc>
          <w:tcPr>
            <w:tcW w:w="1652" w:type="dxa"/>
            <w:gridSpan w:val="3"/>
            <w:tcBorders>
              <w:top w:val="single" w:color="000000" w:sz="6" w:space="0"/>
              <w:left w:val="single" w:color="000000" w:sz="4" w:space="0"/>
              <w:bottom w:val="single" w:color="000000" w:sz="6" w:space="0"/>
              <w:right w:val="single" w:color="000000" w:sz="4" w:space="0"/>
            </w:tcBorders>
            <w:noWrap w:val="0"/>
            <w:vAlign w:val="center"/>
          </w:tcPr>
          <w:p>
            <w:pPr>
              <w:pStyle w:val="138"/>
              <w:jc w:val="center"/>
              <w:rPr>
                <w:rFonts w:hint="eastAsia" w:ascii="宋体" w:hAnsi="宋体" w:eastAsia="宋体" w:cs="宋体"/>
                <w:color w:val="auto"/>
                <w:sz w:val="22"/>
                <w:szCs w:val="22"/>
                <w:highlight w:val="none"/>
              </w:rPr>
            </w:pPr>
          </w:p>
        </w:tc>
        <w:tc>
          <w:tcPr>
            <w:tcW w:w="2590" w:type="dxa"/>
            <w:gridSpan w:val="2"/>
            <w:tcBorders>
              <w:top w:val="single" w:color="000000" w:sz="6" w:space="0"/>
              <w:left w:val="single" w:color="000000" w:sz="4" w:space="0"/>
              <w:bottom w:val="single" w:color="000000" w:sz="6" w:space="0"/>
              <w:right w:val="single" w:color="000000" w:sz="12" w:space="0"/>
            </w:tcBorders>
            <w:noWrap w:val="0"/>
            <w:vAlign w:val="center"/>
          </w:tcPr>
          <w:p>
            <w:pPr>
              <w:pStyle w:val="138"/>
              <w:jc w:val="center"/>
              <w:rPr>
                <w:rFonts w:hint="eastAsia" w:ascii="宋体" w:hAnsi="宋体" w:eastAsia="宋体" w:cs="宋体"/>
                <w:color w:val="auto"/>
                <w:sz w:val="22"/>
                <w:szCs w:val="22"/>
                <w:highlight w:val="none"/>
              </w:rPr>
            </w:pPr>
          </w:p>
        </w:tc>
      </w:tr>
      <w:tr>
        <w:tblPrEx>
          <w:tblCellMar>
            <w:top w:w="0" w:type="dxa"/>
            <w:left w:w="108" w:type="dxa"/>
            <w:bottom w:w="0" w:type="dxa"/>
            <w:right w:w="108" w:type="dxa"/>
          </w:tblCellMar>
        </w:tblPrEx>
        <w:trPr>
          <w:trHeight w:val="513" w:hRule="atLeast"/>
          <w:jc w:val="center"/>
        </w:trPr>
        <w:tc>
          <w:tcPr>
            <w:tcW w:w="9854" w:type="dxa"/>
            <w:gridSpan w:val="12"/>
            <w:tcBorders>
              <w:top w:val="single" w:color="000000" w:sz="6" w:space="0"/>
              <w:left w:val="single" w:color="000000" w:sz="12" w:space="0"/>
              <w:bottom w:val="single" w:color="000000" w:sz="6" w:space="0"/>
              <w:right w:val="single" w:color="000000" w:sz="12" w:space="0"/>
            </w:tcBorders>
            <w:noWrap w:val="0"/>
            <w:vAlign w:val="center"/>
          </w:tcPr>
          <w:p>
            <w:pPr>
              <w:pStyle w:val="138"/>
              <w:jc w:val="center"/>
              <w:rPr>
                <w:rFonts w:hint="eastAsia" w:ascii="宋体" w:hAnsi="宋体" w:eastAsia="宋体" w:cs="宋体"/>
                <w:color w:val="auto"/>
                <w:sz w:val="22"/>
                <w:szCs w:val="22"/>
                <w:highlight w:val="none"/>
              </w:rPr>
            </w:pPr>
            <w:bookmarkStart w:id="1088" w:name="_Toc309048464"/>
            <w:bookmarkStart w:id="1089" w:name="_Toc309996275"/>
            <w:r>
              <w:rPr>
                <w:rFonts w:hint="eastAsia" w:ascii="宋体" w:hAnsi="宋体" w:eastAsia="宋体" w:cs="宋体"/>
                <w:color w:val="auto"/>
                <w:sz w:val="22"/>
                <w:szCs w:val="22"/>
                <w:highlight w:val="none"/>
              </w:rPr>
              <w:t>3．获奖情况</w:t>
            </w:r>
            <w:bookmarkEnd w:id="1088"/>
            <w:bookmarkEnd w:id="1089"/>
          </w:p>
        </w:tc>
      </w:tr>
      <w:tr>
        <w:tblPrEx>
          <w:tblCellMar>
            <w:top w:w="0" w:type="dxa"/>
            <w:left w:w="108" w:type="dxa"/>
            <w:bottom w:w="0" w:type="dxa"/>
            <w:right w:w="108" w:type="dxa"/>
          </w:tblCellMar>
        </w:tblPrEx>
        <w:trPr>
          <w:trHeight w:val="1397" w:hRule="atLeast"/>
          <w:jc w:val="center"/>
        </w:trPr>
        <w:tc>
          <w:tcPr>
            <w:tcW w:w="9854" w:type="dxa"/>
            <w:gridSpan w:val="12"/>
            <w:tcBorders>
              <w:top w:val="single" w:color="000000" w:sz="6" w:space="0"/>
              <w:left w:val="single" w:color="000000" w:sz="12" w:space="0"/>
              <w:bottom w:val="single" w:color="000000" w:sz="6" w:space="0"/>
              <w:right w:val="single" w:color="000000" w:sz="12" w:space="0"/>
            </w:tcBorders>
            <w:noWrap w:val="0"/>
            <w:vAlign w:val="center"/>
          </w:tcPr>
          <w:p>
            <w:pPr>
              <w:pStyle w:val="138"/>
              <w:jc w:val="center"/>
              <w:rPr>
                <w:rFonts w:hint="eastAsia" w:ascii="宋体" w:hAnsi="宋体" w:eastAsia="宋体" w:cs="宋体"/>
                <w:color w:val="auto"/>
                <w:sz w:val="22"/>
                <w:szCs w:val="22"/>
                <w:highlight w:val="none"/>
              </w:rPr>
            </w:pPr>
          </w:p>
        </w:tc>
      </w:tr>
      <w:tr>
        <w:tblPrEx>
          <w:tblCellMar>
            <w:top w:w="0" w:type="dxa"/>
            <w:left w:w="108" w:type="dxa"/>
            <w:bottom w:w="0" w:type="dxa"/>
            <w:right w:w="108" w:type="dxa"/>
          </w:tblCellMar>
        </w:tblPrEx>
        <w:trPr>
          <w:trHeight w:val="694" w:hRule="atLeast"/>
          <w:jc w:val="center"/>
        </w:trPr>
        <w:tc>
          <w:tcPr>
            <w:tcW w:w="9854" w:type="dxa"/>
            <w:gridSpan w:val="12"/>
            <w:tcBorders>
              <w:top w:val="single" w:color="000000" w:sz="6" w:space="0"/>
              <w:left w:val="single" w:color="000000" w:sz="12" w:space="0"/>
              <w:bottom w:val="single" w:color="000000" w:sz="6" w:space="0"/>
              <w:right w:val="single" w:color="000000" w:sz="12" w:space="0"/>
            </w:tcBorders>
            <w:noWrap w:val="0"/>
            <w:vAlign w:val="center"/>
          </w:tcPr>
          <w:p>
            <w:pPr>
              <w:pStyle w:val="138"/>
              <w:jc w:val="center"/>
              <w:rPr>
                <w:rFonts w:hint="eastAsia" w:ascii="宋体" w:hAnsi="宋体" w:eastAsia="宋体" w:cs="宋体"/>
                <w:color w:val="auto"/>
                <w:sz w:val="22"/>
                <w:szCs w:val="22"/>
                <w:highlight w:val="none"/>
              </w:rPr>
            </w:pPr>
            <w:bookmarkStart w:id="1090" w:name="_Toc309048465"/>
            <w:bookmarkStart w:id="1091" w:name="_Toc309996276"/>
            <w:r>
              <w:rPr>
                <w:rFonts w:hint="eastAsia" w:ascii="宋体" w:hAnsi="宋体" w:eastAsia="宋体" w:cs="宋体"/>
                <w:color w:val="auto"/>
                <w:sz w:val="22"/>
                <w:szCs w:val="22"/>
                <w:highlight w:val="none"/>
              </w:rPr>
              <w:t>4．目前承担的</w:t>
            </w:r>
            <w:bookmarkEnd w:id="1090"/>
            <w:bookmarkEnd w:id="1091"/>
            <w:r>
              <w:rPr>
                <w:rFonts w:hint="eastAsia" w:ascii="宋体" w:hAnsi="宋体" w:eastAsia="宋体" w:cs="宋体"/>
                <w:color w:val="auto"/>
                <w:sz w:val="22"/>
                <w:szCs w:val="22"/>
                <w:highlight w:val="none"/>
              </w:rPr>
              <w:t>项目</w:t>
            </w:r>
          </w:p>
        </w:tc>
      </w:tr>
      <w:tr>
        <w:tblPrEx>
          <w:tblCellMar>
            <w:top w:w="0" w:type="dxa"/>
            <w:left w:w="108" w:type="dxa"/>
            <w:bottom w:w="0" w:type="dxa"/>
            <w:right w:w="108" w:type="dxa"/>
          </w:tblCellMar>
        </w:tblPrEx>
        <w:trPr>
          <w:trHeight w:val="1459" w:hRule="atLeast"/>
          <w:jc w:val="center"/>
        </w:trPr>
        <w:tc>
          <w:tcPr>
            <w:tcW w:w="9854" w:type="dxa"/>
            <w:gridSpan w:val="12"/>
            <w:tcBorders>
              <w:top w:val="single" w:color="000000" w:sz="6" w:space="0"/>
              <w:left w:val="single" w:color="000000" w:sz="12" w:space="0"/>
              <w:bottom w:val="single" w:color="000000" w:sz="12" w:space="0"/>
              <w:right w:val="single" w:color="000000" w:sz="12" w:space="0"/>
            </w:tcBorders>
            <w:noWrap w:val="0"/>
            <w:vAlign w:val="center"/>
          </w:tcPr>
          <w:p>
            <w:pPr>
              <w:pStyle w:val="138"/>
              <w:jc w:val="center"/>
              <w:rPr>
                <w:rFonts w:hint="eastAsia" w:ascii="宋体" w:hAnsi="宋体" w:eastAsia="宋体" w:cs="宋体"/>
                <w:color w:val="auto"/>
                <w:sz w:val="22"/>
                <w:szCs w:val="22"/>
                <w:highlight w:val="none"/>
              </w:rPr>
            </w:pPr>
          </w:p>
        </w:tc>
      </w:tr>
    </w:tbl>
    <w:p>
      <w:pPr>
        <w:spacing w:line="380" w:lineRule="exact"/>
        <w:ind w:firstLine="4400" w:firstLineChars="2000"/>
        <w:rPr>
          <w:rFonts w:hint="eastAsia" w:ascii="宋体" w:hAnsi="宋体" w:eastAsia="宋体" w:cs="宋体"/>
          <w:sz w:val="22"/>
          <w:szCs w:val="22"/>
          <w:highlight w:val="none"/>
        </w:rPr>
      </w:pPr>
    </w:p>
    <w:p>
      <w:pPr>
        <w:spacing w:line="380" w:lineRule="exact"/>
        <w:ind w:firstLine="4400" w:firstLineChars="2000"/>
        <w:rPr>
          <w:rFonts w:hint="eastAsia" w:ascii="宋体" w:hAnsi="宋体" w:eastAsia="宋体" w:cs="宋体"/>
          <w:sz w:val="22"/>
          <w:szCs w:val="22"/>
          <w:highlight w:val="none"/>
        </w:rPr>
      </w:pPr>
    </w:p>
    <w:p>
      <w:pPr>
        <w:spacing w:line="380" w:lineRule="exact"/>
        <w:ind w:firstLine="4400" w:firstLineChars="2000"/>
        <w:rPr>
          <w:rFonts w:hint="eastAsia" w:ascii="宋体" w:hAnsi="宋体" w:eastAsia="宋体" w:cs="宋体"/>
          <w:sz w:val="22"/>
          <w:szCs w:val="22"/>
          <w:highlight w:val="none"/>
        </w:rPr>
      </w:pPr>
      <w:r>
        <w:rPr>
          <w:rFonts w:hint="eastAsia" w:ascii="宋体" w:hAnsi="宋体" w:cs="宋体"/>
          <w:sz w:val="22"/>
          <w:szCs w:val="22"/>
        </w:rPr>
        <w:t>投标人全称（电子签名/公章）</w:t>
      </w:r>
      <w:r>
        <w:rPr>
          <w:rFonts w:hint="eastAsia" w:ascii="宋体" w:hAnsi="宋体" w:eastAsia="宋体" w:cs="宋体"/>
          <w:sz w:val="22"/>
          <w:szCs w:val="22"/>
          <w:highlight w:val="none"/>
        </w:rPr>
        <w:t>：</w:t>
      </w:r>
    </w:p>
    <w:p>
      <w:pPr>
        <w:spacing w:line="380" w:lineRule="exact"/>
        <w:ind w:firstLine="4400" w:firstLineChars="2000"/>
        <w:rPr>
          <w:rFonts w:hint="eastAsia" w:ascii="宋体" w:hAnsi="宋体" w:eastAsia="宋体" w:cs="宋体"/>
          <w:sz w:val="22"/>
          <w:szCs w:val="22"/>
          <w:highlight w:val="none"/>
        </w:rPr>
      </w:pPr>
    </w:p>
    <w:p>
      <w:pPr>
        <w:spacing w:line="380" w:lineRule="exact"/>
        <w:ind w:firstLine="4400" w:firstLineChars="2000"/>
        <w:rPr>
          <w:rFonts w:hint="eastAsia" w:ascii="宋体" w:hAnsi="宋体" w:eastAsia="宋体" w:cs="宋体"/>
          <w:sz w:val="22"/>
          <w:szCs w:val="22"/>
          <w:highlight w:val="none"/>
        </w:rPr>
      </w:pPr>
      <w:r>
        <w:rPr>
          <w:rFonts w:hint="eastAsia" w:ascii="宋体" w:hAnsi="宋体" w:eastAsia="宋体" w:cs="宋体"/>
          <w:sz w:val="22"/>
          <w:szCs w:val="22"/>
          <w:highlight w:val="none"/>
        </w:rPr>
        <w:t>日期：  年   月  日</w:t>
      </w:r>
    </w:p>
    <w:p>
      <w:pPr>
        <w:spacing w:line="380" w:lineRule="exact"/>
        <w:ind w:firstLine="0" w:firstLineChars="0"/>
        <w:jc w:val="center"/>
        <w:rPr>
          <w:rFonts w:hint="eastAsia" w:ascii="宋体" w:hAnsi="宋体" w:eastAsia="宋体" w:cs="宋体"/>
          <w:b/>
          <w:sz w:val="28"/>
          <w:szCs w:val="28"/>
          <w:highlight w:val="none"/>
        </w:rPr>
      </w:pPr>
      <w:r>
        <w:rPr>
          <w:rFonts w:hint="eastAsia" w:ascii="宋体" w:hAnsi="宋体" w:eastAsia="宋体" w:cs="宋体"/>
          <w:b/>
          <w:sz w:val="22"/>
          <w:szCs w:val="22"/>
          <w:highlight w:val="none"/>
        </w:rPr>
        <w:br w:type="page"/>
      </w:r>
      <w:r>
        <w:rPr>
          <w:rFonts w:hint="eastAsia" w:ascii="宋体" w:hAnsi="宋体" w:eastAsia="宋体" w:cs="宋体"/>
          <w:b/>
          <w:sz w:val="24"/>
          <w:szCs w:val="24"/>
          <w:highlight w:val="none"/>
        </w:rPr>
        <w:t>项目技术团队配置一览表</w:t>
      </w:r>
    </w:p>
    <w:p>
      <w:pPr>
        <w:pStyle w:val="78"/>
        <w:rPr>
          <w:rFonts w:hint="eastAsia" w:ascii="宋体" w:hAnsi="宋体" w:eastAsia="宋体" w:cs="宋体"/>
          <w:highlight w:val="none"/>
        </w:rPr>
      </w:pPr>
      <w:r>
        <w:rPr>
          <w:rFonts w:hint="eastAsia" w:ascii="宋体" w:hAnsi="宋体" w:eastAsia="宋体" w:cs="宋体"/>
          <w:b/>
          <w:bCs/>
          <w:sz w:val="22"/>
          <w:szCs w:val="22"/>
          <w:highlight w:val="none"/>
        </w:rPr>
        <w:t>项目名称：                                          项目编号：</w:t>
      </w:r>
    </w:p>
    <w:tbl>
      <w:tblPr>
        <w:tblStyle w:val="63"/>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66"/>
        <w:gridCol w:w="958"/>
        <w:gridCol w:w="958"/>
        <w:gridCol w:w="767"/>
        <w:gridCol w:w="767"/>
        <w:gridCol w:w="1340"/>
        <w:gridCol w:w="1326"/>
        <w:gridCol w:w="1825"/>
        <w:gridCol w:w="114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5" w:hRule="atLeast"/>
          <w:jc w:val="center"/>
        </w:trPr>
        <w:tc>
          <w:tcPr>
            <w:tcW w:w="766" w:type="dxa"/>
            <w:tcBorders>
              <w:top w:val="single" w:color="auto" w:sz="12" w:space="0"/>
            </w:tcBorders>
            <w:noWrap w:val="0"/>
            <w:vAlign w:val="center"/>
          </w:tcPr>
          <w:p>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序号</w:t>
            </w:r>
          </w:p>
        </w:tc>
        <w:tc>
          <w:tcPr>
            <w:tcW w:w="958" w:type="dxa"/>
            <w:tcBorders>
              <w:top w:val="single" w:color="auto" w:sz="12" w:space="0"/>
            </w:tcBorders>
            <w:noWrap w:val="0"/>
            <w:vAlign w:val="center"/>
          </w:tcPr>
          <w:p>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姓名</w:t>
            </w:r>
          </w:p>
        </w:tc>
        <w:tc>
          <w:tcPr>
            <w:tcW w:w="958" w:type="dxa"/>
            <w:tcBorders>
              <w:top w:val="single" w:color="auto" w:sz="12" w:space="0"/>
            </w:tcBorders>
            <w:noWrap w:val="0"/>
            <w:vAlign w:val="center"/>
          </w:tcPr>
          <w:p>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性别</w:t>
            </w:r>
          </w:p>
        </w:tc>
        <w:tc>
          <w:tcPr>
            <w:tcW w:w="767" w:type="dxa"/>
            <w:tcBorders>
              <w:top w:val="single" w:color="auto" w:sz="12" w:space="0"/>
            </w:tcBorders>
            <w:noWrap w:val="0"/>
            <w:vAlign w:val="center"/>
          </w:tcPr>
          <w:p>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年龄</w:t>
            </w:r>
          </w:p>
        </w:tc>
        <w:tc>
          <w:tcPr>
            <w:tcW w:w="767" w:type="dxa"/>
            <w:tcBorders>
              <w:top w:val="single" w:color="auto" w:sz="12" w:space="0"/>
            </w:tcBorders>
            <w:noWrap w:val="0"/>
            <w:vAlign w:val="center"/>
          </w:tcPr>
          <w:p>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学历</w:t>
            </w:r>
          </w:p>
        </w:tc>
        <w:tc>
          <w:tcPr>
            <w:tcW w:w="1340" w:type="dxa"/>
            <w:tcBorders>
              <w:top w:val="single" w:color="auto" w:sz="12" w:space="0"/>
            </w:tcBorders>
            <w:noWrap w:val="0"/>
            <w:vAlign w:val="center"/>
          </w:tcPr>
          <w:p>
            <w:pPr>
              <w:spacing w:line="28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职称/职务</w:t>
            </w:r>
          </w:p>
        </w:tc>
        <w:tc>
          <w:tcPr>
            <w:tcW w:w="1326" w:type="dxa"/>
            <w:tcBorders>
              <w:top w:val="single" w:color="auto" w:sz="12" w:space="0"/>
            </w:tcBorders>
            <w:noWrap w:val="0"/>
            <w:vAlign w:val="center"/>
          </w:tcPr>
          <w:p>
            <w:pPr>
              <w:spacing w:line="28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本项目中的岗位</w:t>
            </w:r>
          </w:p>
        </w:tc>
        <w:tc>
          <w:tcPr>
            <w:tcW w:w="1825" w:type="dxa"/>
            <w:tcBorders>
              <w:top w:val="single" w:color="auto" w:sz="12" w:space="0"/>
            </w:tcBorders>
            <w:noWrap w:val="0"/>
            <w:vAlign w:val="center"/>
          </w:tcPr>
          <w:p>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从事专业年限</w:t>
            </w:r>
          </w:p>
        </w:tc>
        <w:tc>
          <w:tcPr>
            <w:tcW w:w="1147" w:type="dxa"/>
            <w:tcBorders>
              <w:top w:val="single" w:color="auto" w:sz="12" w:space="0"/>
            </w:tcBorders>
            <w:noWrap w:val="0"/>
            <w:vAlign w:val="center"/>
          </w:tcPr>
          <w:p>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1340" w:type="dxa"/>
            <w:noWrap w:val="0"/>
            <w:vAlign w:val="center"/>
          </w:tcPr>
          <w:p>
            <w:pPr>
              <w:spacing w:line="360" w:lineRule="auto"/>
              <w:jc w:val="center"/>
              <w:rPr>
                <w:rFonts w:hint="eastAsia" w:ascii="宋体" w:hAnsi="宋体" w:eastAsia="宋体" w:cs="宋体"/>
                <w:sz w:val="22"/>
                <w:szCs w:val="22"/>
                <w:highlight w:val="none"/>
              </w:rPr>
            </w:pPr>
          </w:p>
        </w:tc>
        <w:tc>
          <w:tcPr>
            <w:tcW w:w="1326" w:type="dxa"/>
            <w:noWrap w:val="0"/>
            <w:vAlign w:val="center"/>
          </w:tcPr>
          <w:p>
            <w:pPr>
              <w:spacing w:line="360" w:lineRule="auto"/>
              <w:jc w:val="center"/>
              <w:rPr>
                <w:rFonts w:hint="eastAsia" w:ascii="宋体" w:hAnsi="宋体" w:eastAsia="宋体" w:cs="宋体"/>
                <w:sz w:val="22"/>
                <w:szCs w:val="22"/>
                <w:highlight w:val="none"/>
              </w:rPr>
            </w:pPr>
          </w:p>
        </w:tc>
        <w:tc>
          <w:tcPr>
            <w:tcW w:w="1825" w:type="dxa"/>
            <w:noWrap w:val="0"/>
            <w:vAlign w:val="top"/>
          </w:tcPr>
          <w:p>
            <w:pPr>
              <w:spacing w:line="360" w:lineRule="auto"/>
              <w:jc w:val="center"/>
              <w:rPr>
                <w:rFonts w:hint="eastAsia" w:ascii="宋体" w:hAnsi="宋体" w:eastAsia="宋体" w:cs="宋体"/>
                <w:sz w:val="22"/>
                <w:szCs w:val="22"/>
                <w:highlight w:val="none"/>
              </w:rPr>
            </w:pPr>
          </w:p>
        </w:tc>
        <w:tc>
          <w:tcPr>
            <w:tcW w:w="1147" w:type="dxa"/>
            <w:noWrap w:val="0"/>
            <w:vAlign w:val="center"/>
          </w:tcPr>
          <w:p>
            <w:pPr>
              <w:spacing w:line="360" w:lineRule="auto"/>
              <w:jc w:val="center"/>
              <w:rPr>
                <w:rFonts w:hint="eastAsia" w:ascii="宋体" w:hAnsi="宋体" w:eastAsia="宋体" w:cs="宋体"/>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1340" w:type="dxa"/>
            <w:noWrap w:val="0"/>
            <w:vAlign w:val="center"/>
          </w:tcPr>
          <w:p>
            <w:pPr>
              <w:spacing w:line="360" w:lineRule="auto"/>
              <w:jc w:val="center"/>
              <w:rPr>
                <w:rFonts w:hint="eastAsia" w:ascii="宋体" w:hAnsi="宋体" w:eastAsia="宋体" w:cs="宋体"/>
                <w:sz w:val="22"/>
                <w:szCs w:val="22"/>
                <w:highlight w:val="none"/>
              </w:rPr>
            </w:pPr>
          </w:p>
        </w:tc>
        <w:tc>
          <w:tcPr>
            <w:tcW w:w="1326" w:type="dxa"/>
            <w:noWrap w:val="0"/>
            <w:vAlign w:val="center"/>
          </w:tcPr>
          <w:p>
            <w:pPr>
              <w:spacing w:line="360" w:lineRule="auto"/>
              <w:jc w:val="center"/>
              <w:rPr>
                <w:rFonts w:hint="eastAsia" w:ascii="宋体" w:hAnsi="宋体" w:eastAsia="宋体" w:cs="宋体"/>
                <w:sz w:val="22"/>
                <w:szCs w:val="22"/>
                <w:highlight w:val="none"/>
              </w:rPr>
            </w:pPr>
          </w:p>
        </w:tc>
        <w:tc>
          <w:tcPr>
            <w:tcW w:w="1825" w:type="dxa"/>
            <w:noWrap w:val="0"/>
            <w:vAlign w:val="top"/>
          </w:tcPr>
          <w:p>
            <w:pPr>
              <w:spacing w:line="360" w:lineRule="auto"/>
              <w:jc w:val="center"/>
              <w:rPr>
                <w:rFonts w:hint="eastAsia" w:ascii="宋体" w:hAnsi="宋体" w:eastAsia="宋体" w:cs="宋体"/>
                <w:sz w:val="22"/>
                <w:szCs w:val="22"/>
                <w:highlight w:val="none"/>
              </w:rPr>
            </w:pPr>
          </w:p>
        </w:tc>
        <w:tc>
          <w:tcPr>
            <w:tcW w:w="1147" w:type="dxa"/>
            <w:noWrap w:val="0"/>
            <w:vAlign w:val="center"/>
          </w:tcPr>
          <w:p>
            <w:pPr>
              <w:spacing w:line="360" w:lineRule="auto"/>
              <w:jc w:val="center"/>
              <w:rPr>
                <w:rFonts w:hint="eastAsia" w:ascii="宋体" w:hAnsi="宋体" w:eastAsia="宋体" w:cs="宋体"/>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1340" w:type="dxa"/>
            <w:noWrap w:val="0"/>
            <w:vAlign w:val="center"/>
          </w:tcPr>
          <w:p>
            <w:pPr>
              <w:spacing w:line="360" w:lineRule="auto"/>
              <w:jc w:val="center"/>
              <w:rPr>
                <w:rFonts w:hint="eastAsia" w:ascii="宋体" w:hAnsi="宋体" w:eastAsia="宋体" w:cs="宋体"/>
                <w:sz w:val="22"/>
                <w:szCs w:val="22"/>
                <w:highlight w:val="none"/>
              </w:rPr>
            </w:pPr>
          </w:p>
        </w:tc>
        <w:tc>
          <w:tcPr>
            <w:tcW w:w="1326" w:type="dxa"/>
            <w:noWrap w:val="0"/>
            <w:vAlign w:val="center"/>
          </w:tcPr>
          <w:p>
            <w:pPr>
              <w:spacing w:line="360" w:lineRule="auto"/>
              <w:jc w:val="center"/>
              <w:rPr>
                <w:rFonts w:hint="eastAsia" w:ascii="宋体" w:hAnsi="宋体" w:eastAsia="宋体" w:cs="宋体"/>
                <w:sz w:val="22"/>
                <w:szCs w:val="22"/>
                <w:highlight w:val="none"/>
              </w:rPr>
            </w:pPr>
          </w:p>
        </w:tc>
        <w:tc>
          <w:tcPr>
            <w:tcW w:w="1825" w:type="dxa"/>
            <w:noWrap w:val="0"/>
            <w:vAlign w:val="top"/>
          </w:tcPr>
          <w:p>
            <w:pPr>
              <w:spacing w:line="360" w:lineRule="auto"/>
              <w:jc w:val="center"/>
              <w:rPr>
                <w:rFonts w:hint="eastAsia" w:ascii="宋体" w:hAnsi="宋体" w:eastAsia="宋体" w:cs="宋体"/>
                <w:sz w:val="22"/>
                <w:szCs w:val="22"/>
                <w:highlight w:val="none"/>
              </w:rPr>
            </w:pPr>
          </w:p>
        </w:tc>
        <w:tc>
          <w:tcPr>
            <w:tcW w:w="1147" w:type="dxa"/>
            <w:noWrap w:val="0"/>
            <w:vAlign w:val="center"/>
          </w:tcPr>
          <w:p>
            <w:pPr>
              <w:spacing w:line="360" w:lineRule="auto"/>
              <w:jc w:val="center"/>
              <w:rPr>
                <w:rFonts w:hint="eastAsia" w:ascii="宋体" w:hAnsi="宋体" w:eastAsia="宋体" w:cs="宋体"/>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1340" w:type="dxa"/>
            <w:noWrap w:val="0"/>
            <w:vAlign w:val="center"/>
          </w:tcPr>
          <w:p>
            <w:pPr>
              <w:spacing w:line="360" w:lineRule="auto"/>
              <w:jc w:val="center"/>
              <w:rPr>
                <w:rFonts w:hint="eastAsia" w:ascii="宋体" w:hAnsi="宋体" w:eastAsia="宋体" w:cs="宋体"/>
                <w:sz w:val="22"/>
                <w:szCs w:val="22"/>
                <w:highlight w:val="none"/>
              </w:rPr>
            </w:pPr>
          </w:p>
        </w:tc>
        <w:tc>
          <w:tcPr>
            <w:tcW w:w="1326" w:type="dxa"/>
            <w:noWrap w:val="0"/>
            <w:vAlign w:val="center"/>
          </w:tcPr>
          <w:p>
            <w:pPr>
              <w:spacing w:line="360" w:lineRule="auto"/>
              <w:jc w:val="center"/>
              <w:rPr>
                <w:rFonts w:hint="eastAsia" w:ascii="宋体" w:hAnsi="宋体" w:eastAsia="宋体" w:cs="宋体"/>
                <w:sz w:val="22"/>
                <w:szCs w:val="22"/>
                <w:highlight w:val="none"/>
              </w:rPr>
            </w:pPr>
          </w:p>
        </w:tc>
        <w:tc>
          <w:tcPr>
            <w:tcW w:w="1825" w:type="dxa"/>
            <w:noWrap w:val="0"/>
            <w:vAlign w:val="top"/>
          </w:tcPr>
          <w:p>
            <w:pPr>
              <w:spacing w:line="360" w:lineRule="auto"/>
              <w:jc w:val="center"/>
              <w:rPr>
                <w:rFonts w:hint="eastAsia" w:ascii="宋体" w:hAnsi="宋体" w:eastAsia="宋体" w:cs="宋体"/>
                <w:sz w:val="22"/>
                <w:szCs w:val="22"/>
                <w:highlight w:val="none"/>
              </w:rPr>
            </w:pPr>
          </w:p>
        </w:tc>
        <w:tc>
          <w:tcPr>
            <w:tcW w:w="1147" w:type="dxa"/>
            <w:noWrap w:val="0"/>
            <w:vAlign w:val="center"/>
          </w:tcPr>
          <w:p>
            <w:pPr>
              <w:spacing w:line="360" w:lineRule="auto"/>
              <w:jc w:val="center"/>
              <w:rPr>
                <w:rFonts w:hint="eastAsia" w:ascii="宋体" w:hAnsi="宋体" w:eastAsia="宋体" w:cs="宋体"/>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1340" w:type="dxa"/>
            <w:noWrap w:val="0"/>
            <w:vAlign w:val="center"/>
          </w:tcPr>
          <w:p>
            <w:pPr>
              <w:spacing w:line="360" w:lineRule="auto"/>
              <w:jc w:val="center"/>
              <w:rPr>
                <w:rFonts w:hint="eastAsia" w:ascii="宋体" w:hAnsi="宋体" w:eastAsia="宋体" w:cs="宋体"/>
                <w:sz w:val="22"/>
                <w:szCs w:val="22"/>
                <w:highlight w:val="none"/>
              </w:rPr>
            </w:pPr>
          </w:p>
        </w:tc>
        <w:tc>
          <w:tcPr>
            <w:tcW w:w="1326" w:type="dxa"/>
            <w:noWrap w:val="0"/>
            <w:vAlign w:val="center"/>
          </w:tcPr>
          <w:p>
            <w:pPr>
              <w:spacing w:line="360" w:lineRule="auto"/>
              <w:jc w:val="center"/>
              <w:rPr>
                <w:rFonts w:hint="eastAsia" w:ascii="宋体" w:hAnsi="宋体" w:eastAsia="宋体" w:cs="宋体"/>
                <w:sz w:val="22"/>
                <w:szCs w:val="22"/>
                <w:highlight w:val="none"/>
              </w:rPr>
            </w:pPr>
          </w:p>
        </w:tc>
        <w:tc>
          <w:tcPr>
            <w:tcW w:w="1825" w:type="dxa"/>
            <w:noWrap w:val="0"/>
            <w:vAlign w:val="top"/>
          </w:tcPr>
          <w:p>
            <w:pPr>
              <w:spacing w:line="360" w:lineRule="auto"/>
              <w:jc w:val="center"/>
              <w:rPr>
                <w:rFonts w:hint="eastAsia" w:ascii="宋体" w:hAnsi="宋体" w:eastAsia="宋体" w:cs="宋体"/>
                <w:sz w:val="22"/>
                <w:szCs w:val="22"/>
                <w:highlight w:val="none"/>
              </w:rPr>
            </w:pPr>
          </w:p>
        </w:tc>
        <w:tc>
          <w:tcPr>
            <w:tcW w:w="1147" w:type="dxa"/>
            <w:noWrap w:val="0"/>
            <w:vAlign w:val="center"/>
          </w:tcPr>
          <w:p>
            <w:pPr>
              <w:spacing w:line="360" w:lineRule="auto"/>
              <w:jc w:val="center"/>
              <w:rPr>
                <w:rFonts w:hint="eastAsia" w:ascii="宋体" w:hAnsi="宋体" w:eastAsia="宋体" w:cs="宋体"/>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1340" w:type="dxa"/>
            <w:noWrap w:val="0"/>
            <w:vAlign w:val="center"/>
          </w:tcPr>
          <w:p>
            <w:pPr>
              <w:spacing w:line="360" w:lineRule="auto"/>
              <w:jc w:val="center"/>
              <w:rPr>
                <w:rFonts w:hint="eastAsia" w:ascii="宋体" w:hAnsi="宋体" w:eastAsia="宋体" w:cs="宋体"/>
                <w:sz w:val="22"/>
                <w:szCs w:val="22"/>
                <w:highlight w:val="none"/>
              </w:rPr>
            </w:pPr>
          </w:p>
        </w:tc>
        <w:tc>
          <w:tcPr>
            <w:tcW w:w="1326" w:type="dxa"/>
            <w:noWrap w:val="0"/>
            <w:vAlign w:val="center"/>
          </w:tcPr>
          <w:p>
            <w:pPr>
              <w:spacing w:line="360" w:lineRule="auto"/>
              <w:jc w:val="center"/>
              <w:rPr>
                <w:rFonts w:hint="eastAsia" w:ascii="宋体" w:hAnsi="宋体" w:eastAsia="宋体" w:cs="宋体"/>
                <w:sz w:val="22"/>
                <w:szCs w:val="22"/>
                <w:highlight w:val="none"/>
              </w:rPr>
            </w:pPr>
          </w:p>
        </w:tc>
        <w:tc>
          <w:tcPr>
            <w:tcW w:w="1825" w:type="dxa"/>
            <w:noWrap w:val="0"/>
            <w:vAlign w:val="top"/>
          </w:tcPr>
          <w:p>
            <w:pPr>
              <w:spacing w:line="360" w:lineRule="auto"/>
              <w:jc w:val="center"/>
              <w:rPr>
                <w:rFonts w:hint="eastAsia" w:ascii="宋体" w:hAnsi="宋体" w:eastAsia="宋体" w:cs="宋体"/>
                <w:sz w:val="22"/>
                <w:szCs w:val="22"/>
                <w:highlight w:val="none"/>
              </w:rPr>
            </w:pPr>
          </w:p>
        </w:tc>
        <w:tc>
          <w:tcPr>
            <w:tcW w:w="1147" w:type="dxa"/>
            <w:noWrap w:val="0"/>
            <w:vAlign w:val="center"/>
          </w:tcPr>
          <w:p>
            <w:pPr>
              <w:spacing w:line="360" w:lineRule="auto"/>
              <w:jc w:val="center"/>
              <w:rPr>
                <w:rFonts w:hint="eastAsia" w:ascii="宋体" w:hAnsi="宋体" w:eastAsia="宋体" w:cs="宋体"/>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1340" w:type="dxa"/>
            <w:noWrap w:val="0"/>
            <w:vAlign w:val="center"/>
          </w:tcPr>
          <w:p>
            <w:pPr>
              <w:spacing w:line="360" w:lineRule="auto"/>
              <w:jc w:val="center"/>
              <w:rPr>
                <w:rFonts w:hint="eastAsia" w:ascii="宋体" w:hAnsi="宋体" w:eastAsia="宋体" w:cs="宋体"/>
                <w:sz w:val="22"/>
                <w:szCs w:val="22"/>
                <w:highlight w:val="none"/>
              </w:rPr>
            </w:pPr>
          </w:p>
        </w:tc>
        <w:tc>
          <w:tcPr>
            <w:tcW w:w="1326" w:type="dxa"/>
            <w:noWrap w:val="0"/>
            <w:vAlign w:val="center"/>
          </w:tcPr>
          <w:p>
            <w:pPr>
              <w:spacing w:line="360" w:lineRule="auto"/>
              <w:jc w:val="center"/>
              <w:rPr>
                <w:rFonts w:hint="eastAsia" w:ascii="宋体" w:hAnsi="宋体" w:eastAsia="宋体" w:cs="宋体"/>
                <w:sz w:val="22"/>
                <w:szCs w:val="22"/>
                <w:highlight w:val="none"/>
              </w:rPr>
            </w:pPr>
          </w:p>
        </w:tc>
        <w:tc>
          <w:tcPr>
            <w:tcW w:w="1825" w:type="dxa"/>
            <w:noWrap w:val="0"/>
            <w:vAlign w:val="top"/>
          </w:tcPr>
          <w:p>
            <w:pPr>
              <w:spacing w:line="360" w:lineRule="auto"/>
              <w:jc w:val="center"/>
              <w:rPr>
                <w:rFonts w:hint="eastAsia" w:ascii="宋体" w:hAnsi="宋体" w:eastAsia="宋体" w:cs="宋体"/>
                <w:sz w:val="22"/>
                <w:szCs w:val="22"/>
                <w:highlight w:val="none"/>
              </w:rPr>
            </w:pPr>
          </w:p>
        </w:tc>
        <w:tc>
          <w:tcPr>
            <w:tcW w:w="1147" w:type="dxa"/>
            <w:noWrap w:val="0"/>
            <w:vAlign w:val="center"/>
          </w:tcPr>
          <w:p>
            <w:pPr>
              <w:spacing w:line="360" w:lineRule="auto"/>
              <w:jc w:val="center"/>
              <w:rPr>
                <w:rFonts w:hint="eastAsia" w:ascii="宋体" w:hAnsi="宋体" w:eastAsia="宋体" w:cs="宋体"/>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1340" w:type="dxa"/>
            <w:noWrap w:val="0"/>
            <w:vAlign w:val="center"/>
          </w:tcPr>
          <w:p>
            <w:pPr>
              <w:spacing w:line="360" w:lineRule="auto"/>
              <w:jc w:val="center"/>
              <w:rPr>
                <w:rFonts w:hint="eastAsia" w:ascii="宋体" w:hAnsi="宋体" w:eastAsia="宋体" w:cs="宋体"/>
                <w:sz w:val="22"/>
                <w:szCs w:val="22"/>
                <w:highlight w:val="none"/>
              </w:rPr>
            </w:pPr>
          </w:p>
        </w:tc>
        <w:tc>
          <w:tcPr>
            <w:tcW w:w="1326" w:type="dxa"/>
            <w:noWrap w:val="0"/>
            <w:vAlign w:val="center"/>
          </w:tcPr>
          <w:p>
            <w:pPr>
              <w:spacing w:line="360" w:lineRule="auto"/>
              <w:jc w:val="center"/>
              <w:rPr>
                <w:rFonts w:hint="eastAsia" w:ascii="宋体" w:hAnsi="宋体" w:eastAsia="宋体" w:cs="宋体"/>
                <w:sz w:val="22"/>
                <w:szCs w:val="22"/>
                <w:highlight w:val="none"/>
              </w:rPr>
            </w:pPr>
          </w:p>
        </w:tc>
        <w:tc>
          <w:tcPr>
            <w:tcW w:w="1825" w:type="dxa"/>
            <w:noWrap w:val="0"/>
            <w:vAlign w:val="top"/>
          </w:tcPr>
          <w:p>
            <w:pPr>
              <w:spacing w:line="360" w:lineRule="auto"/>
              <w:jc w:val="center"/>
              <w:rPr>
                <w:rFonts w:hint="eastAsia" w:ascii="宋体" w:hAnsi="宋体" w:eastAsia="宋体" w:cs="宋体"/>
                <w:sz w:val="22"/>
                <w:szCs w:val="22"/>
                <w:highlight w:val="none"/>
              </w:rPr>
            </w:pPr>
          </w:p>
        </w:tc>
        <w:tc>
          <w:tcPr>
            <w:tcW w:w="1147" w:type="dxa"/>
            <w:noWrap w:val="0"/>
            <w:vAlign w:val="center"/>
          </w:tcPr>
          <w:p>
            <w:pPr>
              <w:spacing w:line="360" w:lineRule="auto"/>
              <w:jc w:val="center"/>
              <w:rPr>
                <w:rFonts w:hint="eastAsia" w:ascii="宋体" w:hAnsi="宋体" w:eastAsia="宋体" w:cs="宋体"/>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1340" w:type="dxa"/>
            <w:noWrap w:val="0"/>
            <w:vAlign w:val="center"/>
          </w:tcPr>
          <w:p>
            <w:pPr>
              <w:spacing w:line="360" w:lineRule="auto"/>
              <w:jc w:val="center"/>
              <w:rPr>
                <w:rFonts w:hint="eastAsia" w:ascii="宋体" w:hAnsi="宋体" w:eastAsia="宋体" w:cs="宋体"/>
                <w:sz w:val="22"/>
                <w:szCs w:val="22"/>
                <w:highlight w:val="none"/>
              </w:rPr>
            </w:pPr>
          </w:p>
        </w:tc>
        <w:tc>
          <w:tcPr>
            <w:tcW w:w="1326" w:type="dxa"/>
            <w:noWrap w:val="0"/>
            <w:vAlign w:val="center"/>
          </w:tcPr>
          <w:p>
            <w:pPr>
              <w:spacing w:line="360" w:lineRule="auto"/>
              <w:jc w:val="center"/>
              <w:rPr>
                <w:rFonts w:hint="eastAsia" w:ascii="宋体" w:hAnsi="宋体" w:eastAsia="宋体" w:cs="宋体"/>
                <w:sz w:val="22"/>
                <w:szCs w:val="22"/>
                <w:highlight w:val="none"/>
              </w:rPr>
            </w:pPr>
          </w:p>
        </w:tc>
        <w:tc>
          <w:tcPr>
            <w:tcW w:w="1825" w:type="dxa"/>
            <w:noWrap w:val="0"/>
            <w:vAlign w:val="top"/>
          </w:tcPr>
          <w:p>
            <w:pPr>
              <w:spacing w:line="360" w:lineRule="auto"/>
              <w:jc w:val="center"/>
              <w:rPr>
                <w:rFonts w:hint="eastAsia" w:ascii="宋体" w:hAnsi="宋体" w:eastAsia="宋体" w:cs="宋体"/>
                <w:sz w:val="22"/>
                <w:szCs w:val="22"/>
                <w:highlight w:val="none"/>
              </w:rPr>
            </w:pPr>
          </w:p>
        </w:tc>
        <w:tc>
          <w:tcPr>
            <w:tcW w:w="1147" w:type="dxa"/>
            <w:noWrap w:val="0"/>
            <w:vAlign w:val="center"/>
          </w:tcPr>
          <w:p>
            <w:pPr>
              <w:spacing w:line="360" w:lineRule="auto"/>
              <w:jc w:val="center"/>
              <w:rPr>
                <w:rFonts w:hint="eastAsia" w:ascii="宋体" w:hAnsi="宋体" w:eastAsia="宋体" w:cs="宋体"/>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1340" w:type="dxa"/>
            <w:noWrap w:val="0"/>
            <w:vAlign w:val="center"/>
          </w:tcPr>
          <w:p>
            <w:pPr>
              <w:spacing w:line="360" w:lineRule="auto"/>
              <w:jc w:val="center"/>
              <w:rPr>
                <w:rFonts w:hint="eastAsia" w:ascii="宋体" w:hAnsi="宋体" w:eastAsia="宋体" w:cs="宋体"/>
                <w:sz w:val="22"/>
                <w:szCs w:val="22"/>
                <w:highlight w:val="none"/>
              </w:rPr>
            </w:pPr>
          </w:p>
        </w:tc>
        <w:tc>
          <w:tcPr>
            <w:tcW w:w="1326" w:type="dxa"/>
            <w:noWrap w:val="0"/>
            <w:vAlign w:val="center"/>
          </w:tcPr>
          <w:p>
            <w:pPr>
              <w:spacing w:line="360" w:lineRule="auto"/>
              <w:jc w:val="center"/>
              <w:rPr>
                <w:rFonts w:hint="eastAsia" w:ascii="宋体" w:hAnsi="宋体" w:eastAsia="宋体" w:cs="宋体"/>
                <w:sz w:val="22"/>
                <w:szCs w:val="22"/>
                <w:highlight w:val="none"/>
              </w:rPr>
            </w:pPr>
          </w:p>
        </w:tc>
        <w:tc>
          <w:tcPr>
            <w:tcW w:w="1825" w:type="dxa"/>
            <w:noWrap w:val="0"/>
            <w:vAlign w:val="top"/>
          </w:tcPr>
          <w:p>
            <w:pPr>
              <w:spacing w:line="360" w:lineRule="auto"/>
              <w:jc w:val="center"/>
              <w:rPr>
                <w:rFonts w:hint="eastAsia" w:ascii="宋体" w:hAnsi="宋体" w:eastAsia="宋体" w:cs="宋体"/>
                <w:sz w:val="22"/>
                <w:szCs w:val="22"/>
                <w:highlight w:val="none"/>
              </w:rPr>
            </w:pPr>
          </w:p>
        </w:tc>
        <w:tc>
          <w:tcPr>
            <w:tcW w:w="1147" w:type="dxa"/>
            <w:noWrap w:val="0"/>
            <w:vAlign w:val="center"/>
          </w:tcPr>
          <w:p>
            <w:pPr>
              <w:spacing w:line="360" w:lineRule="auto"/>
              <w:jc w:val="center"/>
              <w:rPr>
                <w:rFonts w:hint="eastAsia" w:ascii="宋体" w:hAnsi="宋体" w:eastAsia="宋体" w:cs="宋体"/>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1340" w:type="dxa"/>
            <w:noWrap w:val="0"/>
            <w:vAlign w:val="center"/>
          </w:tcPr>
          <w:p>
            <w:pPr>
              <w:spacing w:line="360" w:lineRule="auto"/>
              <w:jc w:val="center"/>
              <w:rPr>
                <w:rFonts w:hint="eastAsia" w:ascii="宋体" w:hAnsi="宋体" w:eastAsia="宋体" w:cs="宋体"/>
                <w:sz w:val="22"/>
                <w:szCs w:val="22"/>
                <w:highlight w:val="none"/>
              </w:rPr>
            </w:pPr>
          </w:p>
        </w:tc>
        <w:tc>
          <w:tcPr>
            <w:tcW w:w="1326" w:type="dxa"/>
            <w:noWrap w:val="0"/>
            <w:vAlign w:val="center"/>
          </w:tcPr>
          <w:p>
            <w:pPr>
              <w:spacing w:line="360" w:lineRule="auto"/>
              <w:jc w:val="center"/>
              <w:rPr>
                <w:rFonts w:hint="eastAsia" w:ascii="宋体" w:hAnsi="宋体" w:eastAsia="宋体" w:cs="宋体"/>
                <w:sz w:val="22"/>
                <w:szCs w:val="22"/>
                <w:highlight w:val="none"/>
              </w:rPr>
            </w:pPr>
          </w:p>
        </w:tc>
        <w:tc>
          <w:tcPr>
            <w:tcW w:w="1825" w:type="dxa"/>
            <w:noWrap w:val="0"/>
            <w:vAlign w:val="top"/>
          </w:tcPr>
          <w:p>
            <w:pPr>
              <w:spacing w:line="360" w:lineRule="auto"/>
              <w:jc w:val="center"/>
              <w:rPr>
                <w:rFonts w:hint="eastAsia" w:ascii="宋体" w:hAnsi="宋体" w:eastAsia="宋体" w:cs="宋体"/>
                <w:sz w:val="22"/>
                <w:szCs w:val="22"/>
                <w:highlight w:val="none"/>
              </w:rPr>
            </w:pPr>
          </w:p>
        </w:tc>
        <w:tc>
          <w:tcPr>
            <w:tcW w:w="1147" w:type="dxa"/>
            <w:noWrap w:val="0"/>
            <w:vAlign w:val="center"/>
          </w:tcPr>
          <w:p>
            <w:pPr>
              <w:spacing w:line="360" w:lineRule="auto"/>
              <w:jc w:val="center"/>
              <w:rPr>
                <w:rFonts w:hint="eastAsia" w:ascii="宋体" w:hAnsi="宋体" w:eastAsia="宋体" w:cs="宋体"/>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1340" w:type="dxa"/>
            <w:noWrap w:val="0"/>
            <w:vAlign w:val="center"/>
          </w:tcPr>
          <w:p>
            <w:pPr>
              <w:spacing w:line="360" w:lineRule="auto"/>
              <w:jc w:val="center"/>
              <w:rPr>
                <w:rFonts w:hint="eastAsia" w:ascii="宋体" w:hAnsi="宋体" w:eastAsia="宋体" w:cs="宋体"/>
                <w:sz w:val="22"/>
                <w:szCs w:val="22"/>
                <w:highlight w:val="none"/>
              </w:rPr>
            </w:pPr>
          </w:p>
        </w:tc>
        <w:tc>
          <w:tcPr>
            <w:tcW w:w="1326" w:type="dxa"/>
            <w:noWrap w:val="0"/>
            <w:vAlign w:val="center"/>
          </w:tcPr>
          <w:p>
            <w:pPr>
              <w:spacing w:line="360" w:lineRule="auto"/>
              <w:jc w:val="center"/>
              <w:rPr>
                <w:rFonts w:hint="eastAsia" w:ascii="宋体" w:hAnsi="宋体" w:eastAsia="宋体" w:cs="宋体"/>
                <w:sz w:val="22"/>
                <w:szCs w:val="22"/>
                <w:highlight w:val="none"/>
              </w:rPr>
            </w:pPr>
          </w:p>
        </w:tc>
        <w:tc>
          <w:tcPr>
            <w:tcW w:w="1825" w:type="dxa"/>
            <w:noWrap w:val="0"/>
            <w:vAlign w:val="top"/>
          </w:tcPr>
          <w:p>
            <w:pPr>
              <w:spacing w:line="360" w:lineRule="auto"/>
              <w:jc w:val="center"/>
              <w:rPr>
                <w:rFonts w:hint="eastAsia" w:ascii="宋体" w:hAnsi="宋体" w:eastAsia="宋体" w:cs="宋体"/>
                <w:sz w:val="22"/>
                <w:szCs w:val="22"/>
                <w:highlight w:val="none"/>
              </w:rPr>
            </w:pPr>
          </w:p>
        </w:tc>
        <w:tc>
          <w:tcPr>
            <w:tcW w:w="1147" w:type="dxa"/>
            <w:noWrap w:val="0"/>
            <w:vAlign w:val="center"/>
          </w:tcPr>
          <w:p>
            <w:pPr>
              <w:spacing w:line="360" w:lineRule="auto"/>
              <w:jc w:val="center"/>
              <w:rPr>
                <w:rFonts w:hint="eastAsia" w:ascii="宋体" w:hAnsi="宋体" w:eastAsia="宋体" w:cs="宋体"/>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958"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767" w:type="dxa"/>
            <w:noWrap w:val="0"/>
            <w:vAlign w:val="center"/>
          </w:tcPr>
          <w:p>
            <w:pPr>
              <w:spacing w:line="360" w:lineRule="auto"/>
              <w:jc w:val="center"/>
              <w:rPr>
                <w:rFonts w:hint="eastAsia" w:ascii="宋体" w:hAnsi="宋体" w:eastAsia="宋体" w:cs="宋体"/>
                <w:sz w:val="22"/>
                <w:szCs w:val="22"/>
                <w:highlight w:val="none"/>
              </w:rPr>
            </w:pPr>
          </w:p>
        </w:tc>
        <w:tc>
          <w:tcPr>
            <w:tcW w:w="1340" w:type="dxa"/>
            <w:noWrap w:val="0"/>
            <w:vAlign w:val="center"/>
          </w:tcPr>
          <w:p>
            <w:pPr>
              <w:spacing w:line="360" w:lineRule="auto"/>
              <w:jc w:val="center"/>
              <w:rPr>
                <w:rFonts w:hint="eastAsia" w:ascii="宋体" w:hAnsi="宋体" w:eastAsia="宋体" w:cs="宋体"/>
                <w:sz w:val="22"/>
                <w:szCs w:val="22"/>
                <w:highlight w:val="none"/>
              </w:rPr>
            </w:pPr>
          </w:p>
        </w:tc>
        <w:tc>
          <w:tcPr>
            <w:tcW w:w="1326" w:type="dxa"/>
            <w:noWrap w:val="0"/>
            <w:vAlign w:val="center"/>
          </w:tcPr>
          <w:p>
            <w:pPr>
              <w:spacing w:line="360" w:lineRule="auto"/>
              <w:jc w:val="center"/>
              <w:rPr>
                <w:rFonts w:hint="eastAsia" w:ascii="宋体" w:hAnsi="宋体" w:eastAsia="宋体" w:cs="宋体"/>
                <w:sz w:val="22"/>
                <w:szCs w:val="22"/>
                <w:highlight w:val="none"/>
              </w:rPr>
            </w:pPr>
          </w:p>
        </w:tc>
        <w:tc>
          <w:tcPr>
            <w:tcW w:w="1825" w:type="dxa"/>
            <w:noWrap w:val="0"/>
            <w:vAlign w:val="top"/>
          </w:tcPr>
          <w:p>
            <w:pPr>
              <w:spacing w:line="360" w:lineRule="auto"/>
              <w:jc w:val="center"/>
              <w:rPr>
                <w:rFonts w:hint="eastAsia" w:ascii="宋体" w:hAnsi="宋体" w:eastAsia="宋体" w:cs="宋体"/>
                <w:sz w:val="22"/>
                <w:szCs w:val="22"/>
                <w:highlight w:val="none"/>
              </w:rPr>
            </w:pPr>
          </w:p>
        </w:tc>
        <w:tc>
          <w:tcPr>
            <w:tcW w:w="1147" w:type="dxa"/>
            <w:noWrap w:val="0"/>
            <w:vAlign w:val="center"/>
          </w:tcPr>
          <w:p>
            <w:pPr>
              <w:spacing w:line="360" w:lineRule="auto"/>
              <w:jc w:val="center"/>
              <w:rPr>
                <w:rFonts w:hint="eastAsia" w:ascii="宋体" w:hAnsi="宋体" w:eastAsia="宋体" w:cs="宋体"/>
                <w:sz w:val="22"/>
                <w:szCs w:val="22"/>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tcBorders>
              <w:bottom w:val="single" w:color="auto" w:sz="12" w:space="0"/>
            </w:tcBorders>
            <w:noWrap w:val="0"/>
            <w:vAlign w:val="center"/>
          </w:tcPr>
          <w:p>
            <w:pPr>
              <w:spacing w:line="360" w:lineRule="auto"/>
              <w:jc w:val="center"/>
              <w:rPr>
                <w:rFonts w:hint="eastAsia" w:ascii="宋体" w:hAnsi="宋体" w:eastAsia="宋体" w:cs="宋体"/>
                <w:sz w:val="22"/>
                <w:szCs w:val="22"/>
                <w:highlight w:val="none"/>
              </w:rPr>
            </w:pPr>
          </w:p>
        </w:tc>
        <w:tc>
          <w:tcPr>
            <w:tcW w:w="958" w:type="dxa"/>
            <w:tcBorders>
              <w:bottom w:val="single" w:color="auto" w:sz="12" w:space="0"/>
            </w:tcBorders>
            <w:noWrap w:val="0"/>
            <w:vAlign w:val="center"/>
          </w:tcPr>
          <w:p>
            <w:pPr>
              <w:spacing w:line="360" w:lineRule="auto"/>
              <w:jc w:val="center"/>
              <w:rPr>
                <w:rFonts w:hint="eastAsia" w:ascii="宋体" w:hAnsi="宋体" w:eastAsia="宋体" w:cs="宋体"/>
                <w:sz w:val="22"/>
                <w:szCs w:val="22"/>
                <w:highlight w:val="none"/>
              </w:rPr>
            </w:pPr>
          </w:p>
        </w:tc>
        <w:tc>
          <w:tcPr>
            <w:tcW w:w="958" w:type="dxa"/>
            <w:tcBorders>
              <w:bottom w:val="single" w:color="auto" w:sz="12" w:space="0"/>
            </w:tcBorders>
            <w:noWrap w:val="0"/>
            <w:vAlign w:val="center"/>
          </w:tcPr>
          <w:p>
            <w:pPr>
              <w:spacing w:line="360" w:lineRule="auto"/>
              <w:jc w:val="center"/>
              <w:rPr>
                <w:rFonts w:hint="eastAsia" w:ascii="宋体" w:hAnsi="宋体" w:eastAsia="宋体" w:cs="宋体"/>
                <w:sz w:val="22"/>
                <w:szCs w:val="22"/>
                <w:highlight w:val="none"/>
              </w:rPr>
            </w:pPr>
          </w:p>
        </w:tc>
        <w:tc>
          <w:tcPr>
            <w:tcW w:w="767" w:type="dxa"/>
            <w:tcBorders>
              <w:bottom w:val="single" w:color="auto" w:sz="12" w:space="0"/>
            </w:tcBorders>
            <w:noWrap w:val="0"/>
            <w:vAlign w:val="center"/>
          </w:tcPr>
          <w:p>
            <w:pPr>
              <w:spacing w:line="360" w:lineRule="auto"/>
              <w:jc w:val="center"/>
              <w:rPr>
                <w:rFonts w:hint="eastAsia" w:ascii="宋体" w:hAnsi="宋体" w:eastAsia="宋体" w:cs="宋体"/>
                <w:sz w:val="22"/>
                <w:szCs w:val="22"/>
                <w:highlight w:val="none"/>
              </w:rPr>
            </w:pPr>
          </w:p>
        </w:tc>
        <w:tc>
          <w:tcPr>
            <w:tcW w:w="767" w:type="dxa"/>
            <w:tcBorders>
              <w:bottom w:val="single" w:color="auto" w:sz="12" w:space="0"/>
            </w:tcBorders>
            <w:noWrap w:val="0"/>
            <w:vAlign w:val="center"/>
          </w:tcPr>
          <w:p>
            <w:pPr>
              <w:spacing w:line="360" w:lineRule="auto"/>
              <w:jc w:val="center"/>
              <w:rPr>
                <w:rFonts w:hint="eastAsia" w:ascii="宋体" w:hAnsi="宋体" w:eastAsia="宋体" w:cs="宋体"/>
                <w:sz w:val="22"/>
                <w:szCs w:val="22"/>
                <w:highlight w:val="none"/>
              </w:rPr>
            </w:pPr>
          </w:p>
        </w:tc>
        <w:tc>
          <w:tcPr>
            <w:tcW w:w="1340" w:type="dxa"/>
            <w:tcBorders>
              <w:bottom w:val="single" w:color="auto" w:sz="12" w:space="0"/>
            </w:tcBorders>
            <w:noWrap w:val="0"/>
            <w:vAlign w:val="center"/>
          </w:tcPr>
          <w:p>
            <w:pPr>
              <w:spacing w:line="360" w:lineRule="auto"/>
              <w:jc w:val="center"/>
              <w:rPr>
                <w:rFonts w:hint="eastAsia" w:ascii="宋体" w:hAnsi="宋体" w:eastAsia="宋体" w:cs="宋体"/>
                <w:sz w:val="22"/>
                <w:szCs w:val="22"/>
                <w:highlight w:val="none"/>
              </w:rPr>
            </w:pPr>
          </w:p>
        </w:tc>
        <w:tc>
          <w:tcPr>
            <w:tcW w:w="1326" w:type="dxa"/>
            <w:tcBorders>
              <w:bottom w:val="single" w:color="auto" w:sz="12" w:space="0"/>
            </w:tcBorders>
            <w:noWrap w:val="0"/>
            <w:vAlign w:val="center"/>
          </w:tcPr>
          <w:p>
            <w:pPr>
              <w:spacing w:line="360" w:lineRule="auto"/>
              <w:jc w:val="center"/>
              <w:rPr>
                <w:rFonts w:hint="eastAsia" w:ascii="宋体" w:hAnsi="宋体" w:eastAsia="宋体" w:cs="宋体"/>
                <w:sz w:val="22"/>
                <w:szCs w:val="22"/>
                <w:highlight w:val="none"/>
              </w:rPr>
            </w:pPr>
          </w:p>
        </w:tc>
        <w:tc>
          <w:tcPr>
            <w:tcW w:w="1825" w:type="dxa"/>
            <w:tcBorders>
              <w:bottom w:val="single" w:color="auto" w:sz="12" w:space="0"/>
            </w:tcBorders>
            <w:noWrap w:val="0"/>
            <w:vAlign w:val="top"/>
          </w:tcPr>
          <w:p>
            <w:pPr>
              <w:spacing w:line="360" w:lineRule="auto"/>
              <w:jc w:val="center"/>
              <w:rPr>
                <w:rFonts w:hint="eastAsia" w:ascii="宋体" w:hAnsi="宋体" w:eastAsia="宋体" w:cs="宋体"/>
                <w:sz w:val="22"/>
                <w:szCs w:val="22"/>
                <w:highlight w:val="none"/>
              </w:rPr>
            </w:pPr>
          </w:p>
        </w:tc>
        <w:tc>
          <w:tcPr>
            <w:tcW w:w="1147" w:type="dxa"/>
            <w:tcBorders>
              <w:bottom w:val="single" w:color="auto" w:sz="12" w:space="0"/>
            </w:tcBorders>
            <w:noWrap w:val="0"/>
            <w:vAlign w:val="center"/>
          </w:tcPr>
          <w:p>
            <w:pPr>
              <w:spacing w:line="360" w:lineRule="auto"/>
              <w:jc w:val="center"/>
              <w:rPr>
                <w:rFonts w:hint="eastAsia" w:ascii="宋体" w:hAnsi="宋体" w:eastAsia="宋体" w:cs="宋体"/>
                <w:sz w:val="22"/>
                <w:szCs w:val="22"/>
                <w:highlight w:val="none"/>
              </w:rPr>
            </w:pPr>
          </w:p>
        </w:tc>
      </w:tr>
    </w:tbl>
    <w:p>
      <w:pPr>
        <w:spacing w:line="380" w:lineRule="exact"/>
        <w:ind w:firstLine="442" w:firstLineChars="200"/>
        <w:rPr>
          <w:rFonts w:hint="eastAsia" w:ascii="宋体" w:hAnsi="宋体" w:eastAsia="宋体" w:cs="宋体"/>
          <w:sz w:val="22"/>
          <w:szCs w:val="22"/>
          <w:highlight w:val="none"/>
        </w:rPr>
      </w:pPr>
      <w:r>
        <w:rPr>
          <w:rFonts w:hint="eastAsia" w:ascii="宋体" w:hAnsi="宋体" w:eastAsia="宋体" w:cs="宋体"/>
          <w:b/>
          <w:sz w:val="22"/>
          <w:szCs w:val="22"/>
          <w:highlight w:val="none"/>
        </w:rPr>
        <w:t>注：</w:t>
      </w:r>
      <w:r>
        <w:rPr>
          <w:rFonts w:hint="eastAsia" w:ascii="宋体" w:hAnsi="宋体" w:eastAsia="宋体" w:cs="宋体"/>
          <w:bCs/>
          <w:sz w:val="22"/>
          <w:szCs w:val="22"/>
          <w:highlight w:val="none"/>
        </w:rPr>
        <w:t>1.</w:t>
      </w:r>
      <w:r>
        <w:rPr>
          <w:rFonts w:hint="eastAsia" w:ascii="宋体" w:hAnsi="宋体" w:eastAsia="宋体" w:cs="宋体"/>
          <w:sz w:val="22"/>
          <w:szCs w:val="22"/>
          <w:highlight w:val="none"/>
        </w:rPr>
        <w:t>本表中提供的人员名单应与实际投入项目的人员一致，如有变更应事先与采购人沟通，经采购人同意后才可变更人员，投标人不可擅自变更人员。</w:t>
      </w:r>
    </w:p>
    <w:p>
      <w:pPr>
        <w:spacing w:line="380" w:lineRule="exact"/>
        <w:ind w:firstLine="4400" w:firstLineChars="2000"/>
        <w:rPr>
          <w:rFonts w:hint="eastAsia" w:ascii="宋体" w:hAnsi="宋体" w:eastAsia="宋体" w:cs="宋体"/>
          <w:sz w:val="22"/>
          <w:szCs w:val="22"/>
          <w:highlight w:val="none"/>
        </w:rPr>
      </w:pPr>
    </w:p>
    <w:p>
      <w:pPr>
        <w:spacing w:line="380" w:lineRule="exact"/>
        <w:ind w:firstLine="4417" w:firstLineChars="2000"/>
        <w:rPr>
          <w:rFonts w:hint="eastAsia" w:ascii="宋体" w:hAnsi="宋体" w:eastAsia="宋体" w:cs="宋体"/>
          <w:b/>
          <w:bCs/>
          <w:sz w:val="22"/>
          <w:szCs w:val="22"/>
          <w:highlight w:val="none"/>
        </w:rPr>
      </w:pPr>
    </w:p>
    <w:p>
      <w:pPr>
        <w:spacing w:line="380" w:lineRule="exact"/>
        <w:ind w:firstLine="4400" w:firstLineChars="2000"/>
        <w:rPr>
          <w:rFonts w:hint="eastAsia" w:ascii="宋体" w:hAnsi="宋体" w:eastAsia="宋体" w:cs="宋体"/>
          <w:sz w:val="22"/>
          <w:szCs w:val="22"/>
          <w:highlight w:val="none"/>
        </w:rPr>
      </w:pPr>
      <w:r>
        <w:rPr>
          <w:rFonts w:hint="eastAsia" w:ascii="宋体" w:hAnsi="宋体" w:cs="宋体"/>
          <w:sz w:val="22"/>
          <w:szCs w:val="22"/>
        </w:rPr>
        <w:t>投标人全称（电子签名/公章）</w:t>
      </w:r>
      <w:r>
        <w:rPr>
          <w:rFonts w:hint="eastAsia" w:ascii="宋体" w:hAnsi="宋体" w:eastAsia="宋体" w:cs="宋体"/>
          <w:sz w:val="22"/>
          <w:szCs w:val="22"/>
          <w:highlight w:val="none"/>
        </w:rPr>
        <w:t>：</w:t>
      </w:r>
    </w:p>
    <w:p>
      <w:pPr>
        <w:spacing w:line="380" w:lineRule="exact"/>
        <w:ind w:firstLine="4400" w:firstLineChars="2000"/>
        <w:rPr>
          <w:rFonts w:hint="eastAsia" w:ascii="宋体" w:hAnsi="宋体" w:eastAsia="宋体" w:cs="宋体"/>
          <w:sz w:val="22"/>
          <w:szCs w:val="22"/>
          <w:highlight w:val="none"/>
        </w:rPr>
      </w:pPr>
    </w:p>
    <w:p>
      <w:pPr>
        <w:spacing w:line="380" w:lineRule="exact"/>
        <w:ind w:firstLine="4400" w:firstLineChars="2000"/>
        <w:rPr>
          <w:rFonts w:hint="eastAsia" w:ascii="宋体" w:hAnsi="宋体" w:eastAsia="宋体" w:cs="宋体"/>
          <w:sz w:val="22"/>
          <w:szCs w:val="22"/>
          <w:highlight w:val="none"/>
        </w:rPr>
      </w:pPr>
      <w:r>
        <w:rPr>
          <w:rFonts w:hint="eastAsia" w:ascii="宋体" w:hAnsi="宋体" w:eastAsia="宋体" w:cs="宋体"/>
          <w:sz w:val="22"/>
          <w:szCs w:val="22"/>
          <w:highlight w:val="none"/>
        </w:rPr>
        <w:t>日期：  年   月  日</w:t>
      </w:r>
    </w:p>
    <w:p>
      <w:pPr>
        <w:widowControl/>
        <w:spacing w:line="360" w:lineRule="auto"/>
        <w:jc w:val="left"/>
        <w:rPr>
          <w:rFonts w:ascii="宋体" w:hAnsi="宋体" w:cs="Arial"/>
          <w:b/>
          <w:bCs/>
          <w:color w:val="auto"/>
          <w:sz w:val="24"/>
        </w:rPr>
      </w:pPr>
    </w:p>
    <w:p>
      <w:pPr>
        <w:overflowPunct/>
        <w:spacing w:line="240" w:lineRule="auto"/>
        <w:ind w:firstLine="0" w:firstLineChars="0"/>
        <w:jc w:val="left"/>
        <w:rPr>
          <w:rFonts w:hint="eastAsia" w:ascii="宋体" w:hAnsi="宋体"/>
          <w:b/>
          <w:color w:val="auto"/>
          <w:sz w:val="22"/>
          <w:szCs w:val="22"/>
        </w:rPr>
      </w:pPr>
      <w:r>
        <w:rPr>
          <w:rFonts w:hint="eastAsia" w:ascii="宋体" w:hAnsi="宋体"/>
          <w:b/>
          <w:color w:val="auto"/>
          <w:sz w:val="22"/>
          <w:szCs w:val="22"/>
        </w:rPr>
        <w:br w:type="page"/>
      </w:r>
    </w:p>
    <w:p>
      <w:pPr>
        <w:numPr>
          <w:ilvl w:val="0"/>
          <w:numId w:val="0"/>
        </w:numPr>
        <w:spacing w:line="380" w:lineRule="exact"/>
        <w:ind w:left="420" w:leftChars="0"/>
        <w:jc w:val="both"/>
        <w:rPr>
          <w:rFonts w:hint="default" w:ascii="宋体" w:hAnsi="宋体" w:eastAsia="宋体" w:cs="宋体"/>
          <w:b/>
          <w:color w:val="auto"/>
          <w:sz w:val="24"/>
          <w:szCs w:val="24"/>
          <w:highlight w:val="none"/>
          <w:lang w:val="en-US" w:eastAsia="zh-CN"/>
        </w:rPr>
      </w:pPr>
      <w:r>
        <w:rPr>
          <w:rFonts w:hint="eastAsia" w:ascii="宋体" w:hAnsi="宋体" w:cs="宋体"/>
          <w:b/>
          <w:color w:val="auto"/>
          <w:sz w:val="24"/>
          <w:szCs w:val="24"/>
          <w:highlight w:val="none"/>
          <w:lang w:val="en-US" w:eastAsia="zh-CN"/>
        </w:rPr>
        <w:t>附</w:t>
      </w:r>
      <w:r>
        <w:rPr>
          <w:rFonts w:hint="eastAsia" w:ascii="宋体" w:hAnsi="宋体" w:cs="宋体"/>
          <w:b/>
          <w:bCs/>
          <w:sz w:val="24"/>
          <w:szCs w:val="24"/>
          <w:lang w:val="en-US" w:eastAsia="zh-CN"/>
        </w:rPr>
        <w:t>件八 平台对接</w:t>
      </w:r>
      <w:r>
        <w:rPr>
          <w:rFonts w:hint="eastAsia" w:ascii="宋体" w:hAnsi="宋体" w:eastAsia="宋体" w:cs="宋体"/>
          <w:b/>
          <w:bCs/>
          <w:sz w:val="24"/>
          <w:szCs w:val="24"/>
        </w:rPr>
        <w:t>承诺函</w:t>
      </w:r>
    </w:p>
    <w:p>
      <w:pPr>
        <w:pStyle w:val="34"/>
        <w:adjustRightInd w:val="0"/>
        <w:spacing w:line="600" w:lineRule="auto"/>
        <w:ind w:firstLine="420" w:firstLineChars="200"/>
        <w:rPr>
          <w:rFonts w:hint="eastAsia" w:ascii="Arial" w:hAnsi="Arial" w:cs="Arial"/>
          <w:szCs w:val="21"/>
          <w:highlight w:val="yellow"/>
        </w:rPr>
      </w:pPr>
    </w:p>
    <w:p>
      <w:pPr>
        <w:pStyle w:val="34"/>
        <w:adjustRightInd w:val="0"/>
        <w:spacing w:line="600" w:lineRule="auto"/>
        <w:ind w:firstLine="420" w:firstLineChars="200"/>
        <w:rPr>
          <w:rFonts w:hint="eastAsia" w:ascii="Arial" w:hAnsi="Arial" w:cs="Arial"/>
          <w:szCs w:val="21"/>
          <w:highlight w:val="yellow"/>
        </w:rPr>
      </w:pPr>
    </w:p>
    <w:p>
      <w:pPr>
        <w:pStyle w:val="34"/>
        <w:adjustRightInd w:val="0"/>
        <w:spacing w:line="600" w:lineRule="auto"/>
        <w:ind w:firstLine="420" w:firstLineChars="200"/>
        <w:rPr>
          <w:rFonts w:hint="eastAsia" w:ascii="Arial" w:hAnsi="Arial" w:cs="Arial"/>
          <w:szCs w:val="21"/>
          <w:highlight w:val="yellow"/>
        </w:rPr>
      </w:pPr>
    </w:p>
    <w:p>
      <w:pPr>
        <w:pStyle w:val="34"/>
        <w:adjustRightInd w:val="0"/>
        <w:spacing w:line="600" w:lineRule="auto"/>
        <w:ind w:firstLine="420" w:firstLineChars="200"/>
        <w:rPr>
          <w:rFonts w:hint="eastAsia" w:ascii="Arial" w:hAnsi="Arial" w:cs="Arial"/>
          <w:szCs w:val="21"/>
          <w:highlight w:val="yellow"/>
        </w:rPr>
      </w:pPr>
    </w:p>
    <w:p>
      <w:pPr>
        <w:numPr>
          <w:ilvl w:val="0"/>
          <w:numId w:val="0"/>
        </w:numPr>
        <w:spacing w:line="380" w:lineRule="exact"/>
        <w:ind w:left="420" w:leftChars="0"/>
        <w:jc w:val="center"/>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格式自拟</w:t>
      </w:r>
    </w:p>
    <w:p>
      <w:pPr>
        <w:numPr>
          <w:ilvl w:val="0"/>
          <w:numId w:val="0"/>
        </w:numPr>
        <w:spacing w:line="380" w:lineRule="exact"/>
        <w:ind w:left="420" w:leftChars="0"/>
        <w:jc w:val="center"/>
        <w:rPr>
          <w:rFonts w:hint="eastAsia" w:ascii="宋体" w:hAnsi="宋体" w:eastAsia="宋体" w:cs="宋体"/>
          <w:b/>
          <w:bCs/>
          <w:sz w:val="28"/>
          <w:szCs w:val="28"/>
          <w:highlight w:val="none"/>
          <w:lang w:val="en-US" w:eastAsia="zh-CN"/>
        </w:rPr>
      </w:pPr>
    </w:p>
    <w:p>
      <w:pPr>
        <w:numPr>
          <w:ilvl w:val="0"/>
          <w:numId w:val="0"/>
        </w:numPr>
        <w:spacing w:line="380" w:lineRule="exact"/>
        <w:ind w:left="420" w:leftChars="0"/>
        <w:jc w:val="center"/>
        <w:rPr>
          <w:rFonts w:hint="eastAsia" w:ascii="宋体" w:hAnsi="宋体" w:eastAsia="宋体" w:cs="宋体"/>
          <w:b/>
          <w:bCs/>
          <w:sz w:val="28"/>
          <w:szCs w:val="28"/>
          <w:highlight w:val="none"/>
          <w:lang w:val="en-US" w:eastAsia="zh-CN"/>
        </w:rPr>
      </w:pPr>
    </w:p>
    <w:p>
      <w:pPr>
        <w:numPr>
          <w:ilvl w:val="0"/>
          <w:numId w:val="0"/>
        </w:numPr>
        <w:spacing w:line="380" w:lineRule="exact"/>
        <w:ind w:left="420" w:leftChars="0"/>
        <w:jc w:val="center"/>
        <w:rPr>
          <w:rFonts w:hint="eastAsia" w:ascii="宋体" w:hAnsi="宋体" w:eastAsia="宋体" w:cs="宋体"/>
          <w:b/>
          <w:bCs/>
          <w:sz w:val="28"/>
          <w:szCs w:val="28"/>
          <w:highlight w:val="none"/>
          <w:lang w:val="en-US" w:eastAsia="zh-CN"/>
        </w:rPr>
      </w:pPr>
    </w:p>
    <w:p>
      <w:pPr>
        <w:numPr>
          <w:ilvl w:val="0"/>
          <w:numId w:val="0"/>
        </w:numPr>
        <w:spacing w:line="380" w:lineRule="exact"/>
        <w:ind w:left="420" w:leftChars="0"/>
        <w:jc w:val="center"/>
        <w:rPr>
          <w:rFonts w:hint="eastAsia" w:ascii="宋体" w:hAnsi="宋体" w:eastAsia="宋体" w:cs="宋体"/>
          <w:b/>
          <w:bCs/>
          <w:sz w:val="28"/>
          <w:szCs w:val="28"/>
          <w:highlight w:val="none"/>
          <w:lang w:val="en-US" w:eastAsia="zh-CN"/>
        </w:rPr>
      </w:pPr>
    </w:p>
    <w:p>
      <w:pPr>
        <w:spacing w:line="380" w:lineRule="exact"/>
        <w:ind w:firstLine="442" w:firstLineChars="200"/>
        <w:rPr>
          <w:rFonts w:hint="eastAsia" w:ascii="宋体" w:hAnsi="宋体" w:eastAsia="宋体" w:cs="宋体"/>
          <w:b/>
          <w:sz w:val="22"/>
          <w:highlight w:val="none"/>
        </w:rPr>
      </w:pPr>
      <w:r>
        <w:rPr>
          <w:rFonts w:hint="eastAsia" w:ascii="宋体" w:hAnsi="宋体" w:eastAsia="宋体" w:cs="宋体"/>
          <w:b/>
          <w:bCs/>
          <w:sz w:val="22"/>
          <w:szCs w:val="22"/>
          <w:highlight w:val="none"/>
        </w:rPr>
        <w:t>▲</w:t>
      </w:r>
      <w:r>
        <w:rPr>
          <w:rFonts w:hint="eastAsia" w:ascii="宋体" w:hAnsi="宋体" w:eastAsia="宋体" w:cs="宋体"/>
          <w:b/>
          <w:sz w:val="22"/>
          <w:szCs w:val="22"/>
          <w:highlight w:val="none"/>
          <w:u w:val="single"/>
        </w:rPr>
        <w:t>不按要求提供</w:t>
      </w:r>
      <w:r>
        <w:rPr>
          <w:rFonts w:hint="eastAsia" w:ascii="宋体" w:hAnsi="宋体" w:eastAsia="宋体" w:cs="宋体"/>
          <w:b/>
          <w:sz w:val="22"/>
          <w:szCs w:val="22"/>
          <w:highlight w:val="none"/>
          <w:u w:val="single"/>
          <w:lang w:val="en-US" w:eastAsia="zh-CN"/>
        </w:rPr>
        <w:t>承诺函</w:t>
      </w:r>
      <w:r>
        <w:rPr>
          <w:rFonts w:hint="eastAsia" w:ascii="宋体" w:hAnsi="宋体" w:eastAsia="宋体" w:cs="宋体"/>
          <w:b/>
          <w:sz w:val="22"/>
          <w:szCs w:val="22"/>
          <w:highlight w:val="none"/>
          <w:u w:val="single"/>
        </w:rPr>
        <w:t>的投标文件将被视为未实质性响应招标文件</w:t>
      </w:r>
      <w:r>
        <w:rPr>
          <w:rFonts w:hint="eastAsia" w:ascii="宋体" w:hAnsi="宋体" w:eastAsia="宋体" w:cs="宋体"/>
          <w:b/>
          <w:sz w:val="22"/>
          <w:highlight w:val="none"/>
          <w:u w:val="single"/>
        </w:rPr>
        <w:t>。</w:t>
      </w:r>
    </w:p>
    <w:p>
      <w:pPr>
        <w:rPr>
          <w:rFonts w:hint="eastAsia" w:hAnsi="宋体" w:cs="宋体"/>
          <w:b/>
          <w:sz w:val="20"/>
          <w:szCs w:val="20"/>
          <w:highlight w:val="none"/>
          <w:lang w:val="en-US" w:eastAsia="zh-CN"/>
        </w:rPr>
      </w:pPr>
      <w:r>
        <w:rPr>
          <w:rFonts w:hint="eastAsia" w:hAnsi="宋体" w:cs="宋体"/>
          <w:b/>
          <w:sz w:val="20"/>
          <w:szCs w:val="20"/>
          <w:highlight w:val="none"/>
          <w:lang w:val="en-US" w:eastAsia="zh-CN"/>
        </w:rPr>
        <w:br w:type="page"/>
      </w:r>
    </w:p>
    <w:p>
      <w:pPr>
        <w:pStyle w:val="812"/>
        <w:spacing w:line="500" w:lineRule="exact"/>
        <w:ind w:firstLine="482"/>
        <w:jc w:val="both"/>
        <w:rPr>
          <w:rFonts w:hint="eastAsia" w:ascii="宋体" w:hAnsi="宋体" w:eastAsia="宋体" w:cs="宋体"/>
          <w:b/>
          <w:sz w:val="24"/>
          <w:highlight w:val="none"/>
        </w:rPr>
      </w:pPr>
      <w:r>
        <w:rPr>
          <w:rFonts w:hint="eastAsia" w:hAnsi="宋体" w:cs="宋体"/>
          <w:b/>
          <w:sz w:val="20"/>
          <w:szCs w:val="20"/>
          <w:highlight w:val="none"/>
          <w:lang w:val="en-US" w:eastAsia="zh-CN"/>
        </w:rPr>
        <w:t>（</w:t>
      </w:r>
      <w:r>
        <w:rPr>
          <w:rFonts w:hint="eastAsia" w:ascii="宋体" w:hAnsi="宋体" w:eastAsia="宋体" w:cs="宋体"/>
          <w:b/>
          <w:sz w:val="20"/>
          <w:szCs w:val="20"/>
          <w:highlight w:val="none"/>
        </w:rPr>
        <w:t>投标文件解密结束，各投标人签署《政府采购活动现场确认声明书》后将扫描件发送至采购代理机构邮箱：</w:t>
      </w:r>
      <w:r>
        <w:rPr>
          <w:rFonts w:hint="eastAsia" w:ascii="宋体" w:hAnsi="宋体" w:eastAsia="宋体" w:cs="宋体"/>
          <w:b/>
          <w:sz w:val="20"/>
          <w:szCs w:val="20"/>
          <w:highlight w:val="none"/>
          <w:lang w:eastAsia="zh-CN"/>
        </w:rPr>
        <w:t>1829751086@qq.com</w:t>
      </w:r>
      <w:r>
        <w:rPr>
          <w:rFonts w:hint="eastAsia" w:hAnsi="宋体" w:cs="宋体"/>
          <w:b/>
          <w:sz w:val="20"/>
          <w:szCs w:val="20"/>
          <w:highlight w:val="none"/>
          <w:lang w:val="en-US" w:eastAsia="zh-CN"/>
        </w:rPr>
        <w:t>）</w:t>
      </w:r>
    </w:p>
    <w:p>
      <w:pPr>
        <w:spacing w:line="360" w:lineRule="auto"/>
        <w:jc w:val="center"/>
        <w:rPr>
          <w:rFonts w:ascii="宋体" w:hAnsi="宋体"/>
          <w:b/>
          <w:color w:val="auto"/>
          <w:spacing w:val="6"/>
          <w:sz w:val="22"/>
          <w:szCs w:val="22"/>
        </w:rPr>
      </w:pPr>
      <w:r>
        <w:rPr>
          <w:rFonts w:hint="eastAsia" w:ascii="宋体" w:hAnsi="宋体"/>
          <w:b/>
          <w:color w:val="auto"/>
          <w:spacing w:val="6"/>
          <w:sz w:val="22"/>
          <w:szCs w:val="22"/>
        </w:rPr>
        <w:t>政府采购活动现场确认声明书</w:t>
      </w:r>
    </w:p>
    <w:p>
      <w:pPr>
        <w:tabs>
          <w:tab w:val="left" w:pos="795"/>
          <w:tab w:val="center" w:pos="4873"/>
        </w:tabs>
        <w:overflowPunct w:val="0"/>
        <w:spacing w:line="360" w:lineRule="auto"/>
        <w:ind w:firstLine="0" w:firstLineChars="0"/>
        <w:jc w:val="left"/>
        <w:rPr>
          <w:rFonts w:ascii="宋体" w:hAnsi="宋体" w:cs="Arial"/>
          <w:b/>
          <w:bCs/>
          <w:color w:val="auto"/>
          <w:sz w:val="24"/>
        </w:rPr>
      </w:pPr>
    </w:p>
    <w:p>
      <w:pPr>
        <w:pStyle w:val="812"/>
        <w:widowControl w:val="0"/>
        <w:snapToGrid w:val="0"/>
        <w:spacing w:line="360" w:lineRule="auto"/>
        <w:jc w:val="both"/>
        <w:rPr>
          <w:rFonts w:hint="default" w:hAnsi="宋体"/>
          <w:b/>
          <w:color w:val="auto"/>
          <w:spacing w:val="6"/>
          <w:sz w:val="22"/>
          <w:szCs w:val="22"/>
          <w:u w:val="single"/>
        </w:rPr>
      </w:pPr>
      <w:r>
        <w:rPr>
          <w:rFonts w:hint="eastAsia" w:hAnsi="宋体"/>
          <w:b/>
          <w:bCs/>
          <w:color w:val="auto"/>
          <w:spacing w:val="6"/>
          <w:sz w:val="22"/>
          <w:szCs w:val="22"/>
          <w:u w:val="single"/>
          <w:lang w:eastAsia="zh-CN"/>
        </w:rPr>
        <w:t>温州市洞头区综合行政执法局</w:t>
      </w:r>
      <w:r>
        <w:rPr>
          <w:rFonts w:hAnsi="宋体"/>
          <w:b/>
          <w:color w:val="auto"/>
          <w:spacing w:val="6"/>
          <w:sz w:val="22"/>
          <w:szCs w:val="22"/>
        </w:rPr>
        <w:t>：</w:t>
      </w:r>
    </w:p>
    <w:p>
      <w:pPr>
        <w:pStyle w:val="812"/>
        <w:widowControl w:val="0"/>
        <w:snapToGrid w:val="0"/>
        <w:spacing w:line="360" w:lineRule="auto"/>
        <w:jc w:val="both"/>
        <w:rPr>
          <w:rFonts w:hint="default" w:hAnsi="宋体"/>
          <w:b/>
          <w:color w:val="auto"/>
          <w:spacing w:val="6"/>
          <w:sz w:val="22"/>
          <w:szCs w:val="22"/>
          <w:u w:val="single"/>
        </w:rPr>
      </w:pPr>
      <w:r>
        <w:rPr>
          <w:rFonts w:hint="eastAsia" w:hAnsi="宋体"/>
          <w:b/>
          <w:color w:val="auto"/>
          <w:spacing w:val="6"/>
          <w:sz w:val="22"/>
          <w:szCs w:val="22"/>
          <w:u w:val="single"/>
          <w:lang w:eastAsia="zh-CN"/>
        </w:rPr>
        <w:t>浙江恒杰工程管理有限公司</w:t>
      </w:r>
      <w:r>
        <w:rPr>
          <w:rFonts w:hAnsi="宋体"/>
          <w:b/>
          <w:color w:val="auto"/>
          <w:kern w:val="0"/>
          <w:sz w:val="22"/>
          <w:szCs w:val="22"/>
        </w:rPr>
        <w:t>：</w:t>
      </w:r>
    </w:p>
    <w:p>
      <w:pPr>
        <w:pStyle w:val="812"/>
        <w:widowControl w:val="0"/>
        <w:snapToGrid w:val="0"/>
        <w:spacing w:line="360" w:lineRule="auto"/>
        <w:ind w:firstLine="0" w:firstLineChars="0"/>
        <w:jc w:val="both"/>
        <w:rPr>
          <w:rFonts w:hint="default" w:hAnsi="宋体"/>
          <w:color w:val="auto"/>
          <w:spacing w:val="6"/>
          <w:sz w:val="22"/>
          <w:szCs w:val="22"/>
        </w:rPr>
      </w:pPr>
      <w:r>
        <w:rPr>
          <w:rFonts w:hAnsi="宋体"/>
          <w:color w:val="auto"/>
          <w:spacing w:val="6"/>
          <w:sz w:val="22"/>
          <w:szCs w:val="22"/>
        </w:rPr>
        <w:t>本人经由</w:t>
      </w:r>
      <w:r>
        <w:rPr>
          <w:rFonts w:hAnsi="宋体"/>
          <w:color w:val="auto"/>
          <w:spacing w:val="6"/>
          <w:sz w:val="22"/>
          <w:szCs w:val="22"/>
          <w:u w:val="single"/>
        </w:rPr>
        <w:t xml:space="preserve">                       （单位）</w:t>
      </w:r>
      <w:r>
        <w:rPr>
          <w:rFonts w:hAnsi="宋体"/>
          <w:color w:val="auto"/>
          <w:spacing w:val="6"/>
          <w:sz w:val="22"/>
          <w:szCs w:val="22"/>
        </w:rPr>
        <w:t>负责人</w:t>
      </w:r>
      <w:r>
        <w:rPr>
          <w:rFonts w:hAnsi="宋体"/>
          <w:color w:val="auto"/>
          <w:spacing w:val="6"/>
          <w:sz w:val="22"/>
          <w:szCs w:val="22"/>
          <w:u w:val="single"/>
        </w:rPr>
        <w:t xml:space="preserve">          （姓名）</w:t>
      </w:r>
      <w:r>
        <w:rPr>
          <w:rFonts w:hAnsi="宋体"/>
          <w:color w:val="auto"/>
          <w:spacing w:val="6"/>
          <w:sz w:val="22"/>
          <w:szCs w:val="22"/>
        </w:rPr>
        <w:t>合法授权</w:t>
      </w:r>
      <w:r>
        <w:rPr>
          <w:rFonts w:hint="eastAsia" w:hAnsi="宋体"/>
          <w:color w:val="auto"/>
          <w:spacing w:val="6"/>
          <w:sz w:val="22"/>
          <w:szCs w:val="22"/>
          <w:u w:val="single"/>
          <w:lang w:eastAsia="zh-CN"/>
        </w:rPr>
        <w:t>洞头区智慧排水系统建设项目</w:t>
      </w:r>
      <w:r>
        <w:rPr>
          <w:rFonts w:hAnsi="宋体"/>
          <w:color w:val="auto"/>
          <w:spacing w:val="6"/>
          <w:sz w:val="22"/>
          <w:szCs w:val="22"/>
        </w:rPr>
        <w:t>（编号：</w:t>
      </w:r>
      <w:r>
        <w:rPr>
          <w:rFonts w:hint="eastAsia" w:hAnsi="宋体"/>
          <w:color w:val="auto"/>
          <w:spacing w:val="6"/>
          <w:sz w:val="22"/>
          <w:szCs w:val="22"/>
          <w:u w:val="single"/>
          <w:lang w:eastAsia="zh-CN"/>
        </w:rPr>
        <w:t>DTCG20250401020</w:t>
      </w:r>
      <w:r>
        <w:rPr>
          <w:rFonts w:hAnsi="宋体"/>
          <w:color w:val="auto"/>
          <w:spacing w:val="6"/>
          <w:sz w:val="22"/>
          <w:szCs w:val="22"/>
        </w:rPr>
        <w:t xml:space="preserve">）政府采购活动，经与本单位法人代表（负责人）联系确认，现就有关公平竞争事项郑重声明如下： </w:t>
      </w:r>
    </w:p>
    <w:p>
      <w:pPr>
        <w:pStyle w:val="811"/>
        <w:widowControl/>
        <w:numPr>
          <w:ilvl w:val="0"/>
          <w:numId w:val="66"/>
        </w:numPr>
        <w:snapToGrid w:val="0"/>
        <w:spacing w:line="360" w:lineRule="auto"/>
        <w:ind w:firstLine="0" w:firstLineChars="0"/>
        <w:rPr>
          <w:rFonts w:hint="default" w:ascii="宋体" w:hAnsi="宋体"/>
          <w:color w:val="auto"/>
          <w:kern w:val="0"/>
          <w:sz w:val="22"/>
          <w:szCs w:val="22"/>
        </w:rPr>
      </w:pPr>
      <w:r>
        <w:rPr>
          <w:rFonts w:ascii="宋体" w:hAnsi="宋体"/>
          <w:color w:val="auto"/>
          <w:kern w:val="0"/>
          <w:sz w:val="22"/>
          <w:szCs w:val="22"/>
        </w:rPr>
        <w:t xml:space="preserve">本单位与采购人之间 </w:t>
      </w:r>
      <w:r>
        <w:rPr>
          <w:rFonts w:ascii="宋体" w:hAnsi="宋体" w:cs="宋体"/>
          <w:color w:val="auto"/>
          <w:kern w:val="0"/>
          <w:sz w:val="22"/>
          <w:szCs w:val="22"/>
        </w:rPr>
        <w:t>□</w:t>
      </w:r>
      <w:r>
        <w:rPr>
          <w:rFonts w:ascii="宋体" w:hAnsi="宋体"/>
          <w:color w:val="auto"/>
          <w:kern w:val="0"/>
          <w:sz w:val="22"/>
          <w:szCs w:val="22"/>
        </w:rPr>
        <w:t xml:space="preserve">不存在利害关系 </w:t>
      </w:r>
      <w:r>
        <w:rPr>
          <w:rFonts w:ascii="宋体" w:hAnsi="宋体" w:cs="宋体"/>
          <w:color w:val="auto"/>
          <w:kern w:val="0"/>
          <w:sz w:val="22"/>
          <w:szCs w:val="22"/>
        </w:rPr>
        <w:t>□</w:t>
      </w:r>
      <w:r>
        <w:rPr>
          <w:rFonts w:ascii="宋体" w:hAnsi="宋体"/>
          <w:color w:val="auto"/>
          <w:kern w:val="0"/>
          <w:sz w:val="22"/>
          <w:szCs w:val="22"/>
        </w:rPr>
        <w:t>存在下列利害关系：</w:t>
      </w:r>
    </w:p>
    <w:p>
      <w:pPr>
        <w:pStyle w:val="811"/>
        <w:widowControl/>
        <w:snapToGrid w:val="0"/>
        <w:spacing w:line="360" w:lineRule="auto"/>
        <w:rPr>
          <w:rFonts w:hint="default" w:ascii="宋体" w:hAnsi="宋体"/>
          <w:color w:val="auto"/>
          <w:kern w:val="0"/>
          <w:sz w:val="22"/>
          <w:szCs w:val="22"/>
        </w:rPr>
      </w:pPr>
      <w:r>
        <w:rPr>
          <w:rFonts w:ascii="宋体" w:hAnsi="宋体"/>
          <w:color w:val="auto"/>
          <w:kern w:val="0"/>
          <w:sz w:val="22"/>
          <w:szCs w:val="22"/>
        </w:rPr>
        <w:t xml:space="preserve">  A.投资关系    B.行政隶属关系    C.业务指导关系</w:t>
      </w:r>
    </w:p>
    <w:p>
      <w:pPr>
        <w:pStyle w:val="811"/>
        <w:widowControl/>
        <w:snapToGrid w:val="0"/>
        <w:spacing w:line="360" w:lineRule="auto"/>
        <w:rPr>
          <w:rFonts w:hint="default" w:ascii="宋体" w:hAnsi="宋体"/>
          <w:color w:val="auto"/>
          <w:kern w:val="0"/>
          <w:sz w:val="22"/>
          <w:szCs w:val="22"/>
        </w:rPr>
      </w:pPr>
      <w:r>
        <w:rPr>
          <w:rFonts w:ascii="宋体" w:hAnsi="宋体"/>
          <w:color w:val="auto"/>
          <w:kern w:val="0"/>
          <w:sz w:val="22"/>
          <w:szCs w:val="22"/>
        </w:rPr>
        <w:t xml:space="preserve">  D.其他可能</w:t>
      </w:r>
      <w:r>
        <w:rPr>
          <w:rFonts w:ascii="宋体" w:hAnsi="宋体"/>
          <w:color w:val="auto"/>
          <w:sz w:val="22"/>
          <w:szCs w:val="22"/>
        </w:rPr>
        <w:t>影响采购公正的</w:t>
      </w:r>
      <w:r>
        <w:rPr>
          <w:rFonts w:ascii="宋体" w:hAnsi="宋体"/>
          <w:color w:val="auto"/>
          <w:kern w:val="0"/>
          <w:sz w:val="22"/>
          <w:szCs w:val="22"/>
        </w:rPr>
        <w:t>利害关系</w:t>
      </w:r>
      <w:r>
        <w:rPr>
          <w:rFonts w:ascii="宋体" w:hAnsi="宋体"/>
          <w:color w:val="auto"/>
          <w:kern w:val="0"/>
          <w:sz w:val="22"/>
          <w:szCs w:val="22"/>
          <w:u w:val="single"/>
        </w:rPr>
        <w:t xml:space="preserve">（如有，请如实说明）                 </w:t>
      </w:r>
      <w:r>
        <w:rPr>
          <w:rFonts w:ascii="宋体" w:hAnsi="宋体"/>
          <w:color w:val="auto"/>
          <w:kern w:val="0"/>
          <w:sz w:val="22"/>
          <w:szCs w:val="22"/>
        </w:rPr>
        <w:t>。</w:t>
      </w:r>
    </w:p>
    <w:p>
      <w:pPr>
        <w:pStyle w:val="811"/>
        <w:widowControl/>
        <w:snapToGrid w:val="0"/>
        <w:spacing w:line="360" w:lineRule="auto"/>
        <w:rPr>
          <w:rFonts w:hint="default" w:ascii="宋体" w:hAnsi="宋体"/>
          <w:color w:val="auto"/>
          <w:kern w:val="0"/>
          <w:sz w:val="22"/>
          <w:szCs w:val="22"/>
        </w:rPr>
      </w:pPr>
      <w:r>
        <w:rPr>
          <w:rFonts w:ascii="宋体" w:hAnsi="宋体"/>
          <w:color w:val="auto"/>
          <w:spacing w:val="6"/>
          <w:sz w:val="22"/>
          <w:szCs w:val="22"/>
        </w:rPr>
        <w:t xml:space="preserve">  二、</w:t>
      </w:r>
      <w:r>
        <w:rPr>
          <w:rFonts w:ascii="宋体" w:hAnsi="宋体"/>
          <w:color w:val="auto"/>
          <w:kern w:val="0"/>
          <w:sz w:val="22"/>
          <w:szCs w:val="22"/>
        </w:rPr>
        <w:t xml:space="preserve">现已清楚知道参加本项目采购活动的其他所有投标人名称，本单位 </w:t>
      </w:r>
      <w:r>
        <w:rPr>
          <w:rFonts w:ascii="宋体" w:hAnsi="宋体" w:cs="宋体"/>
          <w:color w:val="auto"/>
          <w:kern w:val="0"/>
          <w:sz w:val="22"/>
          <w:szCs w:val="22"/>
        </w:rPr>
        <w:t>□与其他所有投标人之间均</w:t>
      </w:r>
      <w:r>
        <w:rPr>
          <w:rFonts w:ascii="宋体" w:hAnsi="宋体"/>
          <w:color w:val="auto"/>
          <w:kern w:val="0"/>
          <w:sz w:val="22"/>
          <w:szCs w:val="22"/>
        </w:rPr>
        <w:t xml:space="preserve">不存在利害关系 </w:t>
      </w:r>
      <w:r>
        <w:rPr>
          <w:rFonts w:ascii="宋体" w:hAnsi="宋体" w:cs="宋体"/>
          <w:color w:val="auto"/>
          <w:kern w:val="0"/>
          <w:sz w:val="22"/>
          <w:szCs w:val="22"/>
        </w:rPr>
        <w:t>□与</w:t>
      </w:r>
      <w:r>
        <w:rPr>
          <w:rFonts w:ascii="宋体" w:hAnsi="宋体" w:cs="宋体"/>
          <w:color w:val="auto"/>
          <w:kern w:val="0"/>
          <w:sz w:val="22"/>
          <w:szCs w:val="22"/>
          <w:u w:val="single"/>
        </w:rPr>
        <w:t xml:space="preserve">           （投标人名称）</w:t>
      </w:r>
      <w:r>
        <w:rPr>
          <w:rFonts w:ascii="宋体" w:hAnsi="宋体" w:cs="宋体"/>
          <w:color w:val="auto"/>
          <w:kern w:val="0"/>
          <w:sz w:val="22"/>
          <w:szCs w:val="22"/>
        </w:rPr>
        <w:t>之间</w:t>
      </w:r>
      <w:r>
        <w:rPr>
          <w:rFonts w:ascii="宋体" w:hAnsi="宋体"/>
          <w:color w:val="auto"/>
          <w:kern w:val="0"/>
          <w:sz w:val="22"/>
          <w:szCs w:val="22"/>
        </w:rPr>
        <w:t>存在下列利害关系：</w:t>
      </w:r>
    </w:p>
    <w:p>
      <w:pPr>
        <w:pStyle w:val="812"/>
        <w:widowControl w:val="0"/>
        <w:snapToGrid w:val="0"/>
        <w:spacing w:line="360" w:lineRule="auto"/>
        <w:jc w:val="both"/>
        <w:rPr>
          <w:rFonts w:hint="default" w:hAnsi="宋体"/>
          <w:color w:val="auto"/>
          <w:kern w:val="0"/>
          <w:sz w:val="22"/>
          <w:szCs w:val="22"/>
        </w:rPr>
      </w:pPr>
      <w:r>
        <w:rPr>
          <w:rFonts w:hAnsi="宋体"/>
          <w:color w:val="auto"/>
          <w:kern w:val="0"/>
          <w:sz w:val="22"/>
          <w:szCs w:val="22"/>
        </w:rPr>
        <w:t xml:space="preserve">  A.法定代表人或负责人或实际控制人是同一人</w:t>
      </w:r>
    </w:p>
    <w:p>
      <w:pPr>
        <w:pStyle w:val="812"/>
        <w:widowControl w:val="0"/>
        <w:snapToGrid w:val="0"/>
        <w:spacing w:line="360" w:lineRule="auto"/>
        <w:jc w:val="both"/>
        <w:rPr>
          <w:rFonts w:hint="default" w:hAnsi="宋体"/>
          <w:color w:val="auto"/>
          <w:spacing w:val="6"/>
          <w:sz w:val="22"/>
          <w:szCs w:val="22"/>
        </w:rPr>
      </w:pPr>
      <w:r>
        <w:rPr>
          <w:rFonts w:hAnsi="宋体"/>
          <w:color w:val="auto"/>
          <w:kern w:val="0"/>
          <w:sz w:val="22"/>
          <w:szCs w:val="22"/>
        </w:rPr>
        <w:t xml:space="preserve">  B.法定代表人或负责人或实际控制人是夫妻关系</w:t>
      </w:r>
    </w:p>
    <w:p>
      <w:pPr>
        <w:pStyle w:val="812"/>
        <w:widowControl w:val="0"/>
        <w:snapToGrid w:val="0"/>
        <w:spacing w:line="360" w:lineRule="auto"/>
        <w:jc w:val="both"/>
        <w:rPr>
          <w:rFonts w:hint="default" w:hAnsi="宋体"/>
          <w:color w:val="auto"/>
          <w:spacing w:val="6"/>
          <w:sz w:val="22"/>
          <w:szCs w:val="22"/>
        </w:rPr>
      </w:pPr>
      <w:r>
        <w:rPr>
          <w:rFonts w:hAnsi="宋体"/>
          <w:color w:val="auto"/>
          <w:kern w:val="0"/>
          <w:sz w:val="22"/>
          <w:szCs w:val="22"/>
        </w:rPr>
        <w:t xml:space="preserve">  C.法定代表人或负责人或实际控制人是直系血亲关系</w:t>
      </w:r>
    </w:p>
    <w:p>
      <w:pPr>
        <w:pStyle w:val="812"/>
        <w:widowControl w:val="0"/>
        <w:snapToGrid w:val="0"/>
        <w:spacing w:line="360" w:lineRule="auto"/>
        <w:jc w:val="both"/>
        <w:rPr>
          <w:rFonts w:hint="default" w:hAnsi="宋体"/>
          <w:color w:val="auto"/>
          <w:spacing w:val="6"/>
          <w:sz w:val="22"/>
          <w:szCs w:val="22"/>
        </w:rPr>
      </w:pPr>
      <w:r>
        <w:rPr>
          <w:rFonts w:hAnsi="宋体"/>
          <w:color w:val="auto"/>
          <w:kern w:val="0"/>
          <w:sz w:val="22"/>
          <w:szCs w:val="22"/>
        </w:rPr>
        <w:t xml:space="preserve">  D.法定代表人或负责人或实际控制人存在三代以内旁系血亲关系</w:t>
      </w:r>
    </w:p>
    <w:p>
      <w:pPr>
        <w:pStyle w:val="812"/>
        <w:widowControl w:val="0"/>
        <w:snapToGrid w:val="0"/>
        <w:spacing w:line="360" w:lineRule="auto"/>
        <w:jc w:val="both"/>
        <w:rPr>
          <w:rFonts w:hint="default" w:hAnsi="宋体"/>
          <w:color w:val="auto"/>
          <w:kern w:val="0"/>
          <w:sz w:val="22"/>
          <w:szCs w:val="22"/>
        </w:rPr>
      </w:pPr>
      <w:r>
        <w:rPr>
          <w:rFonts w:hAnsi="宋体"/>
          <w:color w:val="auto"/>
          <w:kern w:val="0"/>
          <w:sz w:val="22"/>
          <w:szCs w:val="22"/>
        </w:rPr>
        <w:t xml:space="preserve">  E.法定代表人或负责人或实际控制人存在近姻亲关系</w:t>
      </w:r>
    </w:p>
    <w:p>
      <w:pPr>
        <w:pStyle w:val="812"/>
        <w:widowControl w:val="0"/>
        <w:snapToGrid w:val="0"/>
        <w:spacing w:line="360" w:lineRule="auto"/>
        <w:jc w:val="both"/>
        <w:rPr>
          <w:rFonts w:hint="default" w:hAnsi="宋体"/>
          <w:color w:val="auto"/>
          <w:kern w:val="0"/>
          <w:sz w:val="22"/>
          <w:szCs w:val="22"/>
        </w:rPr>
      </w:pPr>
      <w:r>
        <w:rPr>
          <w:rFonts w:hAnsi="宋体"/>
          <w:color w:val="auto"/>
          <w:kern w:val="0"/>
          <w:sz w:val="22"/>
          <w:szCs w:val="22"/>
        </w:rPr>
        <w:t xml:space="preserve">  F.法定代表人或负责人或实际控制人存在股份控制或实际控制关系</w:t>
      </w:r>
    </w:p>
    <w:p>
      <w:pPr>
        <w:pStyle w:val="812"/>
        <w:widowControl w:val="0"/>
        <w:snapToGrid w:val="0"/>
        <w:spacing w:line="360" w:lineRule="auto"/>
        <w:jc w:val="both"/>
        <w:outlineLvl w:val="0"/>
        <w:rPr>
          <w:rFonts w:hint="default" w:hAnsi="宋体"/>
          <w:color w:val="auto"/>
          <w:kern w:val="0"/>
          <w:sz w:val="22"/>
          <w:szCs w:val="22"/>
        </w:rPr>
      </w:pPr>
      <w:bookmarkStart w:id="1092" w:name="_Toc5336"/>
      <w:bookmarkStart w:id="1093" w:name="_Toc26171"/>
      <w:bookmarkStart w:id="1094" w:name="_Toc22986"/>
      <w:r>
        <w:rPr>
          <w:rFonts w:hAnsi="宋体"/>
          <w:color w:val="auto"/>
          <w:kern w:val="0"/>
          <w:sz w:val="22"/>
          <w:szCs w:val="22"/>
        </w:rPr>
        <w:t>G.存在共同直接或间接投资设立子公司、联营企业和合营企业情况</w:t>
      </w:r>
      <w:bookmarkEnd w:id="1092"/>
      <w:bookmarkEnd w:id="1093"/>
      <w:bookmarkEnd w:id="1094"/>
    </w:p>
    <w:p>
      <w:pPr>
        <w:pStyle w:val="812"/>
        <w:widowControl w:val="0"/>
        <w:snapToGrid w:val="0"/>
        <w:spacing w:line="360" w:lineRule="auto"/>
        <w:jc w:val="both"/>
        <w:rPr>
          <w:rFonts w:hint="default" w:hAnsi="宋体"/>
          <w:color w:val="auto"/>
          <w:sz w:val="22"/>
          <w:szCs w:val="22"/>
        </w:rPr>
      </w:pPr>
      <w:r>
        <w:rPr>
          <w:rFonts w:hAnsi="宋体"/>
          <w:color w:val="auto"/>
          <w:kern w:val="0"/>
          <w:sz w:val="22"/>
          <w:szCs w:val="22"/>
        </w:rPr>
        <w:t xml:space="preserve">  H.存在分级代理或代销关系、同一生产制造商关系、</w:t>
      </w:r>
      <w:r>
        <w:rPr>
          <w:rFonts w:hAnsi="宋体"/>
          <w:color w:val="auto"/>
          <w:sz w:val="22"/>
          <w:szCs w:val="22"/>
        </w:rPr>
        <w:t>管理关系、重要业务（占主营业务收入50%以上）或重要财务往来关系（如融资）等其他实质性控制关系</w:t>
      </w:r>
    </w:p>
    <w:p>
      <w:pPr>
        <w:pStyle w:val="812"/>
        <w:widowControl w:val="0"/>
        <w:snapToGrid w:val="0"/>
        <w:spacing w:line="360" w:lineRule="auto"/>
        <w:jc w:val="both"/>
        <w:rPr>
          <w:rFonts w:hint="default" w:hAnsi="宋体"/>
          <w:color w:val="auto"/>
          <w:spacing w:val="6"/>
          <w:sz w:val="22"/>
          <w:szCs w:val="22"/>
        </w:rPr>
      </w:pPr>
      <w:r>
        <w:rPr>
          <w:rFonts w:hAnsi="宋体"/>
          <w:color w:val="auto"/>
          <w:sz w:val="22"/>
          <w:szCs w:val="22"/>
        </w:rPr>
        <w:t xml:space="preserve">  I</w:t>
      </w:r>
      <w:r>
        <w:rPr>
          <w:rFonts w:hAnsi="宋体"/>
          <w:color w:val="auto"/>
          <w:kern w:val="0"/>
          <w:sz w:val="22"/>
          <w:szCs w:val="22"/>
        </w:rPr>
        <w:t>.</w:t>
      </w:r>
      <w:r>
        <w:rPr>
          <w:rFonts w:hAnsi="宋体"/>
          <w:color w:val="auto"/>
          <w:sz w:val="22"/>
          <w:szCs w:val="22"/>
        </w:rPr>
        <w:t>其他利害关系情况</w:t>
      </w:r>
      <w:r>
        <w:rPr>
          <w:rFonts w:hAnsi="宋体"/>
          <w:color w:val="auto"/>
          <w:kern w:val="0"/>
          <w:sz w:val="22"/>
          <w:szCs w:val="22"/>
        </w:rPr>
        <w:t>。</w:t>
      </w:r>
    </w:p>
    <w:p>
      <w:pPr>
        <w:pStyle w:val="811"/>
        <w:widowControl/>
        <w:numPr>
          <w:ilvl w:val="0"/>
          <w:numId w:val="67"/>
        </w:numPr>
        <w:snapToGrid w:val="0"/>
        <w:spacing w:line="360" w:lineRule="auto"/>
        <w:ind w:firstLine="0" w:firstLineChars="0"/>
        <w:rPr>
          <w:rFonts w:hint="default" w:ascii="宋体" w:hAnsi="宋体"/>
          <w:color w:val="auto"/>
          <w:kern w:val="0"/>
          <w:sz w:val="22"/>
          <w:szCs w:val="22"/>
        </w:rPr>
      </w:pPr>
      <w:r>
        <w:rPr>
          <w:rFonts w:ascii="宋体" w:hAnsi="宋体"/>
          <w:color w:val="auto"/>
          <w:sz w:val="22"/>
          <w:szCs w:val="22"/>
        </w:rPr>
        <w:t>现已清楚知道并</w:t>
      </w:r>
      <w:r>
        <w:rPr>
          <w:rFonts w:ascii="宋体" w:hAnsi="宋体"/>
          <w:color w:val="auto"/>
          <w:kern w:val="0"/>
          <w:sz w:val="22"/>
          <w:szCs w:val="22"/>
        </w:rPr>
        <w:t>严格遵守政府采购法律法规和现场纪律。</w:t>
      </w:r>
    </w:p>
    <w:p>
      <w:pPr>
        <w:pStyle w:val="811"/>
        <w:widowControl/>
        <w:numPr>
          <w:ilvl w:val="0"/>
          <w:numId w:val="67"/>
        </w:numPr>
        <w:snapToGrid w:val="0"/>
        <w:spacing w:line="360" w:lineRule="auto"/>
        <w:ind w:firstLine="0" w:firstLineChars="0"/>
        <w:rPr>
          <w:rFonts w:hint="default" w:ascii="宋体" w:hAnsi="宋体"/>
          <w:color w:val="auto"/>
          <w:kern w:val="0"/>
          <w:sz w:val="22"/>
          <w:szCs w:val="22"/>
        </w:rPr>
      </w:pPr>
      <w:r>
        <w:rPr>
          <w:rFonts w:ascii="宋体" w:hAnsi="宋体"/>
          <w:color w:val="auto"/>
          <w:kern w:val="0"/>
          <w:sz w:val="22"/>
          <w:szCs w:val="22"/>
        </w:rPr>
        <w:t>我发现投标人之间存在或可能存在上述第二条第项利害关系。</w:t>
      </w:r>
    </w:p>
    <w:p>
      <w:pPr>
        <w:pStyle w:val="812"/>
        <w:widowControl w:val="0"/>
        <w:snapToGrid w:val="0"/>
        <w:spacing w:line="360" w:lineRule="auto"/>
        <w:ind w:firstLine="0" w:firstLineChars="0"/>
        <w:jc w:val="both"/>
        <w:rPr>
          <w:rFonts w:hint="default" w:hAnsi="宋体"/>
          <w:color w:val="auto"/>
          <w:sz w:val="22"/>
          <w:szCs w:val="22"/>
        </w:rPr>
      </w:pPr>
    </w:p>
    <w:p>
      <w:pPr>
        <w:pStyle w:val="812"/>
        <w:widowControl w:val="0"/>
        <w:snapToGrid w:val="0"/>
        <w:spacing w:line="360" w:lineRule="auto"/>
        <w:ind w:firstLine="0" w:firstLineChars="0"/>
        <w:jc w:val="both"/>
        <w:rPr>
          <w:rFonts w:hint="default" w:hAnsi="宋体"/>
          <w:color w:val="auto"/>
          <w:sz w:val="22"/>
          <w:szCs w:val="22"/>
        </w:rPr>
      </w:pPr>
      <w:r>
        <w:rPr>
          <w:rFonts w:hAnsi="宋体"/>
          <w:color w:val="auto"/>
          <w:sz w:val="22"/>
          <w:szCs w:val="22"/>
        </w:rPr>
        <w:t xml:space="preserve">                                投标人代表签名：</w:t>
      </w:r>
    </w:p>
    <w:p>
      <w:pPr>
        <w:pStyle w:val="812"/>
        <w:widowControl w:val="0"/>
        <w:snapToGrid w:val="0"/>
        <w:spacing w:line="360" w:lineRule="auto"/>
        <w:ind w:firstLine="0" w:firstLineChars="0"/>
        <w:jc w:val="both"/>
        <w:rPr>
          <w:rFonts w:hint="default" w:hAnsi="宋体"/>
          <w:color w:val="auto"/>
          <w:sz w:val="22"/>
          <w:szCs w:val="22"/>
        </w:rPr>
      </w:pPr>
      <w:r>
        <w:rPr>
          <w:rFonts w:hAnsi="宋体"/>
          <w:color w:val="auto"/>
          <w:sz w:val="22"/>
          <w:szCs w:val="22"/>
        </w:rPr>
        <w:t xml:space="preserve">                                    年   月   日</w:t>
      </w:r>
    </w:p>
    <w:p>
      <w:pPr>
        <w:tabs>
          <w:tab w:val="left" w:pos="795"/>
          <w:tab w:val="center" w:pos="4873"/>
        </w:tabs>
        <w:overflowPunct w:val="0"/>
        <w:spacing w:line="360" w:lineRule="auto"/>
        <w:ind w:firstLine="0" w:firstLineChars="0"/>
        <w:jc w:val="left"/>
        <w:rPr>
          <w:rFonts w:ascii="宋体" w:hAnsi="宋体" w:cs="Arial"/>
          <w:b/>
          <w:bCs/>
          <w:color w:val="auto"/>
          <w:sz w:val="24"/>
        </w:rPr>
      </w:pPr>
    </w:p>
    <w:p>
      <w:pPr>
        <w:spacing w:line="360" w:lineRule="auto"/>
        <w:ind w:left="439" w:leftChars="209"/>
        <w:rPr>
          <w:rFonts w:ascii="宋体" w:hAnsi="宋体" w:cs="Arial"/>
          <w:color w:val="auto"/>
          <w:sz w:val="22"/>
          <w:szCs w:val="22"/>
        </w:rPr>
      </w:pPr>
    </w:p>
    <w:p>
      <w:pPr>
        <w:spacing w:line="360" w:lineRule="auto"/>
        <w:rPr>
          <w:color w:val="auto"/>
        </w:rPr>
      </w:pPr>
    </w:p>
    <w:sectPr>
      <w:footerReference r:id="rId14" w:type="first"/>
      <w:headerReference r:id="rId12" w:type="default"/>
      <w:footerReference r:id="rId13" w:type="default"/>
      <w:type w:val="nextColumn"/>
      <w:pgSz w:w="11906" w:h="16838"/>
      <w:pgMar w:top="1134" w:right="1134" w:bottom="1134" w:left="1134" w:header="851" w:footer="851"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DFKai-SB">
    <w:altName w:val="Microsoft JhengHei Light"/>
    <w:panose1 w:val="03000509000000000000"/>
    <w:charset w:val="88"/>
    <w:family w:val="script"/>
    <w:pitch w:val="default"/>
    <w:sig w:usb0="00000000" w:usb1="00000000" w:usb2="00000016" w:usb3="00000000" w:csb0="00100001" w:csb1="00000000"/>
  </w:font>
  <w:font w:name="Century Gothic">
    <w:panose1 w:val="020B0502020202020204"/>
    <w:charset w:val="00"/>
    <w:family w:val="swiss"/>
    <w:pitch w:val="default"/>
    <w:sig w:usb0="00000287" w:usb1="00000000" w:usb2="00000000" w:usb3="00000000" w:csb0="2000009F" w:csb1="DFD70000"/>
  </w:font>
  <w:font w:name="PMingLiU">
    <w:altName w:val="PMingLiU-ExtB"/>
    <w:panose1 w:val="02020500000000000000"/>
    <w:charset w:val="88"/>
    <w:family w:val="auto"/>
    <w:pitch w:val="default"/>
    <w:sig w:usb0="00000000" w:usb1="00000000" w:usb2="00000016" w:usb3="00000000" w:csb0="00100001" w:csb1="00000000"/>
  </w:font>
  <w:font w:name="新宋体">
    <w:panose1 w:val="02010609030101010101"/>
    <w:charset w:val="86"/>
    <w:family w:val="modern"/>
    <w:pitch w:val="default"/>
    <w:sig w:usb0="00000203" w:usb1="288F0000" w:usb2="00000006" w:usb3="00000000" w:csb0="00040001" w:csb1="00000000"/>
  </w:font>
  <w:font w:name="Verdana">
    <w:panose1 w:val="020B0604030504040204"/>
    <w:charset w:val="00"/>
    <w:family w:val="swiss"/>
    <w:pitch w:val="default"/>
    <w:sig w:usb0="A00006FF" w:usb1="4000205B" w:usb2="0000001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楷体">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Arial Unicode MS">
    <w:altName w:val="Arial"/>
    <w:panose1 w:val="020B0604020202020204"/>
    <w:charset w:val="00"/>
    <w:family w:val="roman"/>
    <w:pitch w:val="default"/>
    <w:sig w:usb0="00000000" w:usb1="00000000" w:usb2="00000000" w:usb3="00000000" w:csb0="00000001" w:csb1="00000000"/>
  </w:font>
  <w:font w:name="仿宋">
    <w:panose1 w:val="02010609060101010101"/>
    <w:charset w:val="86"/>
    <w:family w:val="modern"/>
    <w:pitch w:val="default"/>
    <w:sig w:usb0="800002BF" w:usb1="38CF7CFA" w:usb2="00000016" w:usb3="00000000" w:csb0="00040001" w:csb1="00000000"/>
  </w:font>
  <w:font w:name="华文细黑">
    <w:panose1 w:val="02010600040101010101"/>
    <w:charset w:val="86"/>
    <w:family w:val="auto"/>
    <w:pitch w:val="default"/>
    <w:sig w:usb0="00000287" w:usb1="080F0000" w:usb2="00000000" w:usb3="00000000" w:csb0="0004009F" w:csb1="DFD70000"/>
  </w:font>
  <w:font w:name="Helvetica">
    <w:altName w:val="Arial"/>
    <w:panose1 w:val="020B0504020202020204"/>
    <w:charset w:val="00"/>
    <w:family w:val="swiss"/>
    <w:pitch w:val="default"/>
    <w:sig w:usb0="00000000" w:usb1="00000000" w:usb2="00000000" w:usb3="00000000" w:csb0="00000001" w:csb1="00000000"/>
  </w:font>
  <w:font w:name="宋体,Verdana,Arial">
    <w:altName w:val="宋体"/>
    <w:panose1 w:val="00000000000000000000"/>
    <w:charset w:val="00"/>
    <w:family w:val="auto"/>
    <w:pitch w:val="default"/>
    <w:sig w:usb0="00000000" w:usb1="00000000" w:usb2="00000000" w:usb3="00000000" w:csb0="00040001" w:csb1="00000000"/>
  </w:font>
  <w:font w:name="MingLiU">
    <w:altName w:val="PMingLiU-ExtB"/>
    <w:panose1 w:val="02020509000000000000"/>
    <w:charset w:val="88"/>
    <w:family w:val="modern"/>
    <w:pitch w:val="default"/>
    <w:sig w:usb0="00000000" w:usb1="00000000" w:usb2="00000016" w:usb3="00000000" w:csb0="00100001" w:csb1="00000000"/>
  </w:font>
  <w:font w:name="ˎ̥">
    <w:altName w:val="微软雅黑"/>
    <w:panose1 w:val="00000000000000000000"/>
    <w:charset w:val="00"/>
    <w:family w:val="roman"/>
    <w:pitch w:val="default"/>
    <w:sig w:usb0="00000000" w:usb1="00000000" w:usb2="00000000" w:usb3="00000000" w:csb0="00040001" w:csb1="00000000"/>
  </w:font>
  <w:font w:name="Arial Black">
    <w:panose1 w:val="020B0A04020102020204"/>
    <w:charset w:val="00"/>
    <w:family w:val="swiss"/>
    <w:pitch w:val="default"/>
    <w:sig w:usb0="A00002AF" w:usb1="400078FB" w:usb2="00000000" w:usb3="00000000" w:csb0="6000009F" w:csb1="DFD70000"/>
  </w:font>
  <w:font w:name="Times">
    <w:altName w:val="Times New Roman"/>
    <w:panose1 w:val="02020603050405020304"/>
    <w:charset w:val="00"/>
    <w:family w:val="roman"/>
    <w:pitch w:val="default"/>
    <w:sig w:usb0="00000000" w:usb1="00000000" w:usb2="00000000" w:usb3="00000000" w:csb0="00000093" w:csb1="00000000"/>
  </w:font>
  <w:font w:name="全真楷書">
    <w:altName w:val="宋体"/>
    <w:panose1 w:val="00000000000000000000"/>
    <w:charset w:val="86"/>
    <w:family w:val="roman"/>
    <w:pitch w:val="default"/>
    <w:sig w:usb0="00000000" w:usb1="00000000" w:usb2="00000000" w:usb3="00000000" w:csb0="00040001" w:csb1="00000000"/>
  </w:font>
  <w:font w:name="Trebuchet MS">
    <w:panose1 w:val="020B0603020202020204"/>
    <w:charset w:val="00"/>
    <w:family w:val="swiss"/>
    <w:pitch w:val="default"/>
    <w:sig w:usb0="00000687" w:usb1="00000000" w:usb2="00000000" w:usb3="00000000" w:csb0="2000009F" w:csb1="00000000"/>
  </w:font>
  <w:font w:name="Calibri Light">
    <w:panose1 w:val="020F0302020204030204"/>
    <w:charset w:val="00"/>
    <w:family w:val="swiss"/>
    <w:pitch w:val="default"/>
    <w:sig w:usb0="E4002EFF" w:usb1="C000247B" w:usb2="00000009" w:usb3="00000000" w:csb0="200001FF" w:csb1="00000000"/>
  </w:font>
  <w:font w:name="TimesNewRomanPSMT">
    <w:altName w:val="Times New Roman"/>
    <w:panose1 w:val="00000000000000000000"/>
    <w:charset w:val="00"/>
    <w:family w:val="auto"/>
    <w:pitch w:val="default"/>
    <w:sig w:usb0="00000000" w:usb1="00000000" w:usb2="00000000" w:usb3="00000000" w:csb0="00040001" w:csb1="00000000"/>
  </w:font>
  <w:font w:name="hakuyoxingshu7000">
    <w:altName w:val="宋体"/>
    <w:panose1 w:val="00000000000000000000"/>
    <w:charset w:val="86"/>
    <w:family w:val="auto"/>
    <w:pitch w:val="default"/>
    <w:sig w:usb0="00000000" w:usb1="00000000" w:usb2="0000003F" w:usb3="00000000" w:csb0="003F00FF"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ACF3C50" w:usb2="00000016" w:usb3="00000000" w:csb0="0004001F" w:csb1="00000000"/>
  </w:font>
  <w:font w:name="Microsoft JhengHei Light">
    <w:panose1 w:val="020B0304030504040204"/>
    <w:charset w:val="88"/>
    <w:family w:val="auto"/>
    <w:pitch w:val="default"/>
    <w:sig w:usb0="800002A7" w:usb1="28CF4400" w:usb2="00000016" w:usb3="00000000" w:csb0="00100009"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center" w:y="1"/>
      <w:pBdr>
        <w:bottom w:val="single" w:color="auto" w:sz="6" w:space="3"/>
      </w:pBdr>
      <w:rPr>
        <w:rStyle w:val="69"/>
      </w:rPr>
    </w:pPr>
    <w:r>
      <w:fldChar w:fldCharType="begin"/>
    </w:r>
    <w:r>
      <w:rPr>
        <w:rStyle w:val="69"/>
      </w:rPr>
      <w:instrText xml:space="preserve">PAGE  </w:instrText>
    </w:r>
    <w:r>
      <w:fldChar w:fldCharType="end"/>
    </w:r>
  </w:p>
  <w:p>
    <w:pPr>
      <w:pStyle w:val="41"/>
      <w:pBdr>
        <w:bottom w:val="single" w:color="auto" w:sz="6" w:space="3"/>
      </w:pBd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tabs>
        <w:tab w:val="clear" w:pos="4153"/>
      </w:tabs>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tabs>
        <w:tab w:val="clear" w:pos="4153"/>
      </w:tabs>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41"/>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tabs>
        <w:tab w:val="clear" w:pos="4153"/>
      </w:tabs>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4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tabs>
        <w:tab w:val="center" w:pos="4819"/>
        <w:tab w:val="clear" w:pos="4153"/>
      </w:tabs>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bxmbQ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hMmzLGz1&#10;zvIIHeXxdnUMkDOpHEXplEB34gGzl/rU70kc7j/PKerx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G8Zm0MQIAAGMEAAAOAAAAAAAAAAEAIAAAAB8BAABkcnMvZTJvRG9jLnhtbFBLBQYA&#10;AAAABgAGAFkBAADCBQAAAAA=&#10;">
              <v:fill on="f" focussize="0,0"/>
              <v:stroke on="f" weight="0.5pt"/>
              <v:imagedata o:title=""/>
              <o:lock v:ext="edit" aspectratio="f"/>
              <v:textbox inset="0mm,0mm,0mm,0mm" style="mso-fit-shape-to-text:t;">
                <w:txbxContent>
                  <w:p>
                    <w:pPr>
                      <w:pStyle w:val="4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4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tabs>
        <w:tab w:val="clear" w:pos="4153"/>
      </w:tabs>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fill on="f" focussize="0,0"/>
              <v:stroke on="f" weight="0.5pt"/>
              <v:imagedata o:title=""/>
              <o:lock v:ext="edit" aspectratio="f"/>
              <v:textbox inset="0mm,0mm,0mm,0mm" style="mso-fit-shape-to-text:t;">
                <w:txbxContent>
                  <w:p>
                    <w:pPr>
                      <w:pStyle w:val="41"/>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tab/>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tab/>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821EFA"/>
    <w:multiLevelType w:val="singleLevel"/>
    <w:tmpl w:val="86821EFA"/>
    <w:lvl w:ilvl="0" w:tentative="0">
      <w:start w:val="1"/>
      <w:numFmt w:val="decimal"/>
      <w:lvlText w:val="%1."/>
      <w:lvlJc w:val="left"/>
      <w:pPr>
        <w:tabs>
          <w:tab w:val="left" w:pos="312"/>
        </w:tabs>
      </w:pPr>
    </w:lvl>
  </w:abstractNum>
  <w:abstractNum w:abstractNumId="1">
    <w:nsid w:val="8AA10351"/>
    <w:multiLevelType w:val="multilevel"/>
    <w:tmpl w:val="8AA10351"/>
    <w:lvl w:ilvl="0" w:tentative="0">
      <w:start w:val="1"/>
      <w:numFmt w:val="none"/>
      <w:lvlText w:val="2"/>
      <w:lvlJc w:val="left"/>
      <w:pPr>
        <w:tabs>
          <w:tab w:val="left" w:pos="425"/>
        </w:tabs>
        <w:ind w:left="425" w:hanging="425"/>
      </w:pPr>
      <w:rPr>
        <w:rFonts w:hint="eastAsia"/>
      </w:rPr>
    </w:lvl>
    <w:lvl w:ilvl="1" w:tentative="0">
      <w:start w:val="1"/>
      <w:numFmt w:val="decimal"/>
      <w:lvlText w:val="%13.%2"/>
      <w:lvlJc w:val="left"/>
      <w:pPr>
        <w:tabs>
          <w:tab w:val="left" w:pos="567"/>
        </w:tabs>
        <w:ind w:left="567" w:leftChars="0" w:hanging="510" w:firstLineChars="0"/>
      </w:pPr>
      <w:rPr>
        <w:rFonts w:hint="eastAsia" w:ascii="楷体_GB2312" w:hAnsi="Arial" w:eastAsia="楷体_GB2312" w:cs="Arial"/>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2">
    <w:nsid w:val="8E6810CA"/>
    <w:multiLevelType w:val="multilevel"/>
    <w:tmpl w:val="8E6810CA"/>
    <w:lvl w:ilvl="0" w:tentative="0">
      <w:start w:val="1"/>
      <w:numFmt w:val="none"/>
      <w:lvlText w:val="2"/>
      <w:lvlJc w:val="left"/>
      <w:pPr>
        <w:tabs>
          <w:tab w:val="left" w:pos="425"/>
        </w:tabs>
        <w:ind w:left="425" w:hanging="425"/>
      </w:pPr>
      <w:rPr>
        <w:rFonts w:hint="eastAsia"/>
      </w:rPr>
    </w:lvl>
    <w:lvl w:ilvl="1" w:tentative="0">
      <w:start w:val="1"/>
      <w:numFmt w:val="decimal"/>
      <w:lvlText w:val="%15.%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3">
    <w:nsid w:val="9AE18137"/>
    <w:multiLevelType w:val="multilevel"/>
    <w:tmpl w:val="9AE18137"/>
    <w:lvl w:ilvl="0" w:tentative="0">
      <w:start w:val="1"/>
      <w:numFmt w:val="none"/>
      <w:lvlText w:val="2"/>
      <w:lvlJc w:val="left"/>
      <w:pPr>
        <w:tabs>
          <w:tab w:val="left" w:pos="425"/>
        </w:tabs>
        <w:ind w:left="425" w:hanging="425"/>
      </w:pPr>
      <w:rPr>
        <w:rFonts w:hint="eastAsia"/>
      </w:rPr>
    </w:lvl>
    <w:lvl w:ilvl="1" w:tentative="0">
      <w:start w:val="1"/>
      <w:numFmt w:val="decimal"/>
      <w:lvlText w:val="%13.%2"/>
      <w:lvlJc w:val="left"/>
      <w:pPr>
        <w:tabs>
          <w:tab w:val="left" w:pos="567"/>
        </w:tabs>
        <w:ind w:left="567" w:leftChars="0" w:hanging="510" w:firstLineChars="0"/>
      </w:pPr>
      <w:rPr>
        <w:rFonts w:hint="eastAsia" w:ascii="楷体_GB2312" w:hAnsi="Arial" w:eastAsia="楷体_GB2312" w:cs="Arial"/>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4">
    <w:nsid w:val="9D57F03B"/>
    <w:multiLevelType w:val="multilevel"/>
    <w:tmpl w:val="9D57F03B"/>
    <w:lvl w:ilvl="0" w:tentative="0">
      <w:start w:val="1"/>
      <w:numFmt w:val="none"/>
      <w:lvlText w:val="2"/>
      <w:lvlJc w:val="left"/>
      <w:pPr>
        <w:tabs>
          <w:tab w:val="left" w:pos="425"/>
        </w:tabs>
        <w:ind w:left="425" w:hanging="425"/>
      </w:pPr>
      <w:rPr>
        <w:rFonts w:hint="eastAsia"/>
      </w:rPr>
    </w:lvl>
    <w:lvl w:ilvl="1" w:tentative="0">
      <w:start w:val="1"/>
      <w:numFmt w:val="decimal"/>
      <w:lvlText w:val="%16.%2"/>
      <w:lvlJc w:val="left"/>
      <w:pPr>
        <w:tabs>
          <w:tab w:val="left" w:pos="567"/>
        </w:tabs>
        <w:ind w:left="567" w:leftChars="0" w:hanging="510" w:firstLineChars="0"/>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5">
    <w:nsid w:val="9E46C32E"/>
    <w:multiLevelType w:val="singleLevel"/>
    <w:tmpl w:val="9E46C32E"/>
    <w:lvl w:ilvl="0" w:tentative="0">
      <w:start w:val="1"/>
      <w:numFmt w:val="decimal"/>
      <w:lvlText w:val="%1)"/>
      <w:lvlJc w:val="left"/>
      <w:pPr>
        <w:ind w:left="425" w:hanging="425"/>
      </w:pPr>
      <w:rPr>
        <w:rFonts w:hint="default"/>
      </w:rPr>
    </w:lvl>
  </w:abstractNum>
  <w:abstractNum w:abstractNumId="6">
    <w:nsid w:val="A990AB8E"/>
    <w:multiLevelType w:val="multilevel"/>
    <w:tmpl w:val="A990AB8E"/>
    <w:lvl w:ilvl="0" w:tentative="0">
      <w:start w:val="1"/>
      <w:numFmt w:val="none"/>
      <w:lvlText w:val="2"/>
      <w:lvlJc w:val="left"/>
      <w:pPr>
        <w:tabs>
          <w:tab w:val="left" w:pos="425"/>
        </w:tabs>
        <w:ind w:left="425" w:hanging="425"/>
      </w:pPr>
      <w:rPr>
        <w:rFonts w:hint="eastAsia"/>
      </w:rPr>
    </w:lvl>
    <w:lvl w:ilvl="1" w:tentative="0">
      <w:start w:val="1"/>
      <w:numFmt w:val="decimal"/>
      <w:lvlText w:val="%14.%2"/>
      <w:lvlJc w:val="left"/>
      <w:pPr>
        <w:tabs>
          <w:tab w:val="left" w:pos="567"/>
        </w:tabs>
        <w:ind w:left="567" w:leftChars="0" w:hanging="510" w:firstLineChars="0"/>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7">
    <w:nsid w:val="AB888ADC"/>
    <w:multiLevelType w:val="multilevel"/>
    <w:tmpl w:val="AB888ADC"/>
    <w:lvl w:ilvl="0" w:tentative="0">
      <w:start w:val="1"/>
      <w:numFmt w:val="decimal"/>
      <w:lvlText w:val="（%1）"/>
      <w:lvlJc w:val="left"/>
      <w:pPr>
        <w:tabs>
          <w:tab w:val="left" w:pos="567"/>
        </w:tabs>
        <w:ind w:left="567" w:leftChars="0" w:hanging="510" w:firstLineChars="0"/>
      </w:pPr>
      <w:rPr>
        <w:rFonts w:hint="eastAsia" w:ascii="楷体_GB2312" w:hAnsi="Times New Roman" w:eastAsia="楷体_GB2312"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ABDC8C97"/>
    <w:multiLevelType w:val="multilevel"/>
    <w:tmpl w:val="ABDC8C97"/>
    <w:lvl w:ilvl="0" w:tentative="0">
      <w:start w:val="1"/>
      <w:numFmt w:val="decimal"/>
      <w:lvlText w:val="%1."/>
      <w:lvlJc w:val="left"/>
      <w:pPr>
        <w:tabs>
          <w:tab w:val="left" w:pos="567"/>
        </w:tabs>
        <w:ind w:left="567" w:leftChars="0" w:hanging="567" w:firstLineChars="0"/>
      </w:pPr>
      <w:rPr>
        <w:rFonts w:hint="eastAsia" w:ascii="楷体_GB2312" w:hAnsi="Arial" w:eastAsia="楷体_GB2312" w:cs="Arial"/>
      </w:rPr>
    </w:lvl>
    <w:lvl w:ilvl="1" w:tentative="0">
      <w:start w:val="0"/>
      <w:numFmt w:val="none"/>
      <w:lvlText w:val=""/>
      <w:lvlJc w:val="left"/>
      <w:pPr>
        <w:tabs>
          <w:tab w:val="left" w:pos="360"/>
        </w:tabs>
        <w:ind w:left="0" w:firstLine="0"/>
      </w:pPr>
    </w:lvl>
    <w:lvl w:ilvl="2" w:tentative="0">
      <w:start w:val="0"/>
      <w:numFmt w:val="none"/>
      <w:lvlText w:val=""/>
      <w:lvlJc w:val="left"/>
      <w:pPr>
        <w:tabs>
          <w:tab w:val="left" w:pos="360"/>
        </w:tabs>
        <w:ind w:left="0" w:firstLine="0"/>
      </w:pPr>
    </w:lvl>
    <w:lvl w:ilvl="3" w:tentative="0">
      <w:start w:val="0"/>
      <w:numFmt w:val="none"/>
      <w:lvlText w:val=""/>
      <w:lvlJc w:val="left"/>
      <w:pPr>
        <w:tabs>
          <w:tab w:val="left" w:pos="360"/>
        </w:tabs>
        <w:ind w:left="0" w:firstLine="0"/>
      </w:pPr>
    </w:lvl>
    <w:lvl w:ilvl="4" w:tentative="0">
      <w:start w:val="0"/>
      <w:numFmt w:val="none"/>
      <w:lvlText w:val=""/>
      <w:lvlJc w:val="left"/>
      <w:pPr>
        <w:tabs>
          <w:tab w:val="left" w:pos="360"/>
        </w:tabs>
        <w:ind w:left="0" w:firstLine="0"/>
      </w:pPr>
    </w:lvl>
    <w:lvl w:ilvl="5" w:tentative="0">
      <w:start w:val="0"/>
      <w:numFmt w:val="none"/>
      <w:lvlText w:val=""/>
      <w:lvlJc w:val="left"/>
      <w:pPr>
        <w:tabs>
          <w:tab w:val="left" w:pos="360"/>
        </w:tabs>
        <w:ind w:left="0" w:firstLine="0"/>
      </w:pPr>
    </w:lvl>
    <w:lvl w:ilvl="6" w:tentative="0">
      <w:start w:val="0"/>
      <w:numFmt w:val="none"/>
      <w:lvlText w:val=""/>
      <w:lvlJc w:val="left"/>
      <w:pPr>
        <w:tabs>
          <w:tab w:val="left" w:pos="360"/>
        </w:tabs>
        <w:ind w:left="0" w:firstLine="0"/>
      </w:pPr>
    </w:lvl>
    <w:lvl w:ilvl="7" w:tentative="0">
      <w:start w:val="0"/>
      <w:numFmt w:val="none"/>
      <w:lvlText w:val=""/>
      <w:lvlJc w:val="left"/>
      <w:pPr>
        <w:tabs>
          <w:tab w:val="left" w:pos="360"/>
        </w:tabs>
        <w:ind w:left="0" w:firstLine="0"/>
      </w:pPr>
    </w:lvl>
    <w:lvl w:ilvl="8" w:tentative="0">
      <w:start w:val="0"/>
      <w:numFmt w:val="none"/>
      <w:lvlText w:val=""/>
      <w:lvlJc w:val="left"/>
      <w:pPr>
        <w:tabs>
          <w:tab w:val="left" w:pos="360"/>
        </w:tabs>
        <w:ind w:left="0" w:firstLine="0"/>
      </w:pPr>
    </w:lvl>
  </w:abstractNum>
  <w:abstractNum w:abstractNumId="9">
    <w:nsid w:val="AE6819DE"/>
    <w:multiLevelType w:val="multilevel"/>
    <w:tmpl w:val="AE6819DE"/>
    <w:lvl w:ilvl="0" w:tentative="0">
      <w:start w:val="1"/>
      <w:numFmt w:val="none"/>
      <w:lvlText w:val="2"/>
      <w:lvlJc w:val="left"/>
      <w:pPr>
        <w:tabs>
          <w:tab w:val="left" w:pos="425"/>
        </w:tabs>
        <w:ind w:left="425" w:hanging="425"/>
      </w:pPr>
      <w:rPr>
        <w:rFonts w:hint="eastAsia"/>
      </w:rPr>
    </w:lvl>
    <w:lvl w:ilvl="1" w:tentative="0">
      <w:start w:val="1"/>
      <w:numFmt w:val="decimal"/>
      <w:lvlText w:val="%14.%2"/>
      <w:lvlJc w:val="left"/>
      <w:pPr>
        <w:tabs>
          <w:tab w:val="left" w:pos="567"/>
        </w:tabs>
        <w:ind w:left="567" w:leftChars="0" w:hanging="510" w:firstLineChars="0"/>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10">
    <w:nsid w:val="B101DE90"/>
    <w:multiLevelType w:val="singleLevel"/>
    <w:tmpl w:val="B101DE90"/>
    <w:lvl w:ilvl="0" w:tentative="0">
      <w:start w:val="1"/>
      <w:numFmt w:val="bullet"/>
      <w:pStyle w:val="14"/>
      <w:lvlText w:val=""/>
      <w:lvlJc w:val="left"/>
      <w:pPr>
        <w:tabs>
          <w:tab w:val="left" w:pos="1620"/>
        </w:tabs>
        <w:ind w:left="1620" w:hanging="360"/>
      </w:pPr>
      <w:rPr>
        <w:rFonts w:hint="default" w:ascii="Wingdings" w:hAnsi="Wingdings"/>
      </w:rPr>
    </w:lvl>
  </w:abstractNum>
  <w:abstractNum w:abstractNumId="11">
    <w:nsid w:val="B2F1A808"/>
    <w:multiLevelType w:val="singleLevel"/>
    <w:tmpl w:val="B2F1A808"/>
    <w:lvl w:ilvl="0" w:tentative="0">
      <w:start w:val="1"/>
      <w:numFmt w:val="decimal"/>
      <w:suff w:val="nothing"/>
      <w:lvlText w:val="%1．"/>
      <w:lvlJc w:val="left"/>
    </w:lvl>
  </w:abstractNum>
  <w:abstractNum w:abstractNumId="12">
    <w:nsid w:val="B5668651"/>
    <w:multiLevelType w:val="singleLevel"/>
    <w:tmpl w:val="B5668651"/>
    <w:lvl w:ilvl="0" w:tentative="0">
      <w:start w:val="1"/>
      <w:numFmt w:val="decimal"/>
      <w:suff w:val="nothing"/>
      <w:lvlText w:val="%1、"/>
      <w:lvlJc w:val="left"/>
    </w:lvl>
  </w:abstractNum>
  <w:abstractNum w:abstractNumId="13">
    <w:nsid w:val="B57F03E2"/>
    <w:multiLevelType w:val="singleLevel"/>
    <w:tmpl w:val="B57F03E2"/>
    <w:lvl w:ilvl="0" w:tentative="0">
      <w:start w:val="2"/>
      <w:numFmt w:val="decimal"/>
      <w:suff w:val="nothing"/>
      <w:lvlText w:val="%1、"/>
      <w:lvlJc w:val="left"/>
    </w:lvl>
  </w:abstractNum>
  <w:abstractNum w:abstractNumId="14">
    <w:nsid w:val="B5DA5880"/>
    <w:multiLevelType w:val="singleLevel"/>
    <w:tmpl w:val="B5DA5880"/>
    <w:lvl w:ilvl="0" w:tentative="0">
      <w:start w:val="1"/>
      <w:numFmt w:val="decimal"/>
      <w:suff w:val="nothing"/>
      <w:lvlText w:val="%1、"/>
      <w:lvlJc w:val="left"/>
    </w:lvl>
  </w:abstractNum>
  <w:abstractNum w:abstractNumId="15">
    <w:nsid w:val="B78CD9D9"/>
    <w:multiLevelType w:val="singleLevel"/>
    <w:tmpl w:val="B78CD9D9"/>
    <w:lvl w:ilvl="0" w:tentative="0">
      <w:start w:val="1"/>
      <w:numFmt w:val="decimal"/>
      <w:lvlText w:val="%1."/>
      <w:lvlJc w:val="left"/>
      <w:pPr>
        <w:tabs>
          <w:tab w:val="left" w:pos="312"/>
        </w:tabs>
      </w:pPr>
    </w:lvl>
  </w:abstractNum>
  <w:abstractNum w:abstractNumId="16">
    <w:nsid w:val="BCA6BA7C"/>
    <w:multiLevelType w:val="multilevel"/>
    <w:tmpl w:val="BCA6BA7C"/>
    <w:lvl w:ilvl="0" w:tentative="0">
      <w:start w:val="1"/>
      <w:numFmt w:val="none"/>
      <w:lvlText w:val="2"/>
      <w:lvlJc w:val="left"/>
      <w:pPr>
        <w:tabs>
          <w:tab w:val="left" w:pos="425"/>
        </w:tabs>
        <w:ind w:left="425" w:hanging="425"/>
      </w:pPr>
      <w:rPr>
        <w:rFonts w:hint="eastAsia"/>
      </w:rPr>
    </w:lvl>
    <w:lvl w:ilvl="1" w:tentative="0">
      <w:start w:val="1"/>
      <w:numFmt w:val="decimal"/>
      <w:lvlText w:val="%16.%2"/>
      <w:lvlJc w:val="left"/>
      <w:pPr>
        <w:tabs>
          <w:tab w:val="left" w:pos="567"/>
        </w:tabs>
        <w:ind w:left="567" w:leftChars="0" w:hanging="510" w:firstLineChars="0"/>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17">
    <w:nsid w:val="BF8105E8"/>
    <w:multiLevelType w:val="multilevel"/>
    <w:tmpl w:val="BF8105E8"/>
    <w:lvl w:ilvl="0" w:tentative="0">
      <w:start w:val="1"/>
      <w:numFmt w:val="none"/>
      <w:lvlText w:val="2"/>
      <w:lvlJc w:val="left"/>
      <w:pPr>
        <w:tabs>
          <w:tab w:val="left" w:pos="425"/>
        </w:tabs>
        <w:ind w:left="425" w:hanging="425"/>
      </w:pPr>
      <w:rPr>
        <w:rFonts w:hint="eastAsia"/>
      </w:rPr>
    </w:lvl>
    <w:lvl w:ilvl="1" w:tentative="0">
      <w:start w:val="1"/>
      <w:numFmt w:val="decimal"/>
      <w:lvlText w:val="%15.%2"/>
      <w:lvlJc w:val="left"/>
      <w:pPr>
        <w:tabs>
          <w:tab w:val="left" w:pos="567"/>
        </w:tabs>
        <w:ind w:left="567" w:leftChars="0" w:hanging="510" w:firstLineChars="0"/>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18">
    <w:nsid w:val="C39ACC6A"/>
    <w:multiLevelType w:val="multilevel"/>
    <w:tmpl w:val="C39ACC6A"/>
    <w:lvl w:ilvl="0" w:tentative="0">
      <w:start w:val="1"/>
      <w:numFmt w:val="decimal"/>
      <w:lvlText w:val="%1."/>
      <w:lvlJc w:val="left"/>
      <w:pPr>
        <w:tabs>
          <w:tab w:val="left" w:pos="567"/>
        </w:tabs>
        <w:ind w:left="567" w:leftChars="0" w:hanging="510" w:firstLineChars="0"/>
      </w:pPr>
      <w:rPr>
        <w:rFonts w:hint="eastAsia" w:ascii="楷体_GB2312" w:hAnsi="Arial" w:eastAsia="楷体_GB2312" w:cs="Arial"/>
        <w:b w:val="0"/>
      </w:rPr>
    </w:lvl>
    <w:lvl w:ilvl="1" w:tentative="0">
      <w:start w:val="0"/>
      <w:numFmt w:val="none"/>
      <w:lvlText w:val=""/>
      <w:lvlJc w:val="left"/>
      <w:pPr>
        <w:tabs>
          <w:tab w:val="left" w:pos="360"/>
        </w:tabs>
        <w:ind w:left="0" w:firstLine="0"/>
      </w:pPr>
    </w:lvl>
    <w:lvl w:ilvl="2" w:tentative="0">
      <w:start w:val="0"/>
      <w:numFmt w:val="none"/>
      <w:lvlText w:val=""/>
      <w:lvlJc w:val="left"/>
      <w:pPr>
        <w:tabs>
          <w:tab w:val="left" w:pos="360"/>
        </w:tabs>
        <w:ind w:left="0" w:firstLine="0"/>
      </w:pPr>
    </w:lvl>
    <w:lvl w:ilvl="3" w:tentative="0">
      <w:start w:val="0"/>
      <w:numFmt w:val="none"/>
      <w:lvlText w:val=""/>
      <w:lvlJc w:val="left"/>
      <w:pPr>
        <w:tabs>
          <w:tab w:val="left" w:pos="360"/>
        </w:tabs>
        <w:ind w:left="0" w:firstLine="0"/>
      </w:pPr>
    </w:lvl>
    <w:lvl w:ilvl="4" w:tentative="0">
      <w:start w:val="0"/>
      <w:numFmt w:val="none"/>
      <w:lvlText w:val=""/>
      <w:lvlJc w:val="left"/>
      <w:pPr>
        <w:tabs>
          <w:tab w:val="left" w:pos="360"/>
        </w:tabs>
        <w:ind w:left="0" w:firstLine="0"/>
      </w:pPr>
    </w:lvl>
    <w:lvl w:ilvl="5" w:tentative="0">
      <w:start w:val="0"/>
      <w:numFmt w:val="none"/>
      <w:lvlText w:val=""/>
      <w:lvlJc w:val="left"/>
      <w:pPr>
        <w:tabs>
          <w:tab w:val="left" w:pos="360"/>
        </w:tabs>
        <w:ind w:left="0" w:firstLine="0"/>
      </w:pPr>
    </w:lvl>
    <w:lvl w:ilvl="6" w:tentative="0">
      <w:start w:val="0"/>
      <w:numFmt w:val="none"/>
      <w:lvlText w:val=""/>
      <w:lvlJc w:val="left"/>
      <w:pPr>
        <w:tabs>
          <w:tab w:val="left" w:pos="360"/>
        </w:tabs>
        <w:ind w:left="0" w:firstLine="0"/>
      </w:pPr>
    </w:lvl>
    <w:lvl w:ilvl="7" w:tentative="0">
      <w:start w:val="0"/>
      <w:numFmt w:val="none"/>
      <w:lvlText w:val=""/>
      <w:lvlJc w:val="left"/>
      <w:pPr>
        <w:tabs>
          <w:tab w:val="left" w:pos="360"/>
        </w:tabs>
        <w:ind w:left="0" w:firstLine="0"/>
      </w:pPr>
    </w:lvl>
    <w:lvl w:ilvl="8" w:tentative="0">
      <w:start w:val="0"/>
      <w:numFmt w:val="none"/>
      <w:lvlText w:val=""/>
      <w:lvlJc w:val="left"/>
      <w:pPr>
        <w:tabs>
          <w:tab w:val="left" w:pos="360"/>
        </w:tabs>
        <w:ind w:left="0" w:firstLine="0"/>
      </w:pPr>
    </w:lvl>
  </w:abstractNum>
  <w:abstractNum w:abstractNumId="19">
    <w:nsid w:val="C4A85661"/>
    <w:multiLevelType w:val="singleLevel"/>
    <w:tmpl w:val="C4A85661"/>
    <w:lvl w:ilvl="0" w:tentative="0">
      <w:start w:val="1"/>
      <w:numFmt w:val="decimal"/>
      <w:suff w:val="nothing"/>
      <w:lvlText w:val="%1、"/>
      <w:lvlJc w:val="left"/>
    </w:lvl>
  </w:abstractNum>
  <w:abstractNum w:abstractNumId="20">
    <w:nsid w:val="C8091AB9"/>
    <w:multiLevelType w:val="multilevel"/>
    <w:tmpl w:val="C8091AB9"/>
    <w:lvl w:ilvl="0" w:tentative="0">
      <w:start w:val="1"/>
      <w:numFmt w:val="none"/>
      <w:lvlText w:val="2"/>
      <w:lvlJc w:val="left"/>
      <w:pPr>
        <w:tabs>
          <w:tab w:val="left" w:pos="425"/>
        </w:tabs>
        <w:ind w:left="425" w:hanging="425"/>
      </w:pPr>
      <w:rPr>
        <w:rFonts w:hint="eastAsia"/>
      </w:rPr>
    </w:lvl>
    <w:lvl w:ilvl="1" w:tentative="0">
      <w:start w:val="1"/>
      <w:numFmt w:val="decimal"/>
      <w:lvlText w:val="%16.%2"/>
      <w:lvlJc w:val="left"/>
      <w:pPr>
        <w:tabs>
          <w:tab w:val="left" w:pos="567"/>
        </w:tabs>
        <w:ind w:left="567" w:leftChars="0" w:hanging="510" w:firstLineChars="0"/>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21">
    <w:nsid w:val="CA86E063"/>
    <w:multiLevelType w:val="multilevel"/>
    <w:tmpl w:val="CA86E063"/>
    <w:lvl w:ilvl="0" w:tentative="0">
      <w:start w:val="1"/>
      <w:numFmt w:val="decimalEnclosedCircleChinese"/>
      <w:lvlText w:val="%1　"/>
      <w:lvlJc w:val="left"/>
      <w:pPr>
        <w:ind w:left="420" w:hanging="420"/>
      </w:pPr>
      <w:rPr>
        <w:rFonts w:hint="eastAsia"/>
      </w:rPr>
    </w:lvl>
    <w:lvl w:ilvl="1" w:tentative="0">
      <w:start w:val="1"/>
      <w:numFmt w:val="lowerLetter"/>
      <w:lvlText w:val="%2)"/>
      <w:lvlJc w:val="left"/>
      <w:pPr>
        <w:ind w:left="840" w:hanging="420"/>
      </w:pPr>
    </w:lvl>
    <w:lvl w:ilvl="2" w:tentative="0">
      <w:start w:val="1"/>
      <w:numFmt w:val="decimalEnclosedCircleChinese"/>
      <w:lvlText w:val="%3　"/>
      <w:lvlJc w:val="left"/>
      <w:pPr>
        <w:tabs>
          <w:tab w:val="left" w:pos="567"/>
        </w:tabs>
        <w:ind w:left="567" w:leftChars="0" w:firstLine="0" w:firstLineChars="0"/>
      </w:pPr>
      <w:rPr>
        <w:rFonts w:hint="eastAsia"/>
      </w:r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2">
    <w:nsid w:val="CB9C6CA0"/>
    <w:multiLevelType w:val="multilevel"/>
    <w:tmpl w:val="CB9C6CA0"/>
    <w:lvl w:ilvl="0" w:tentative="0">
      <w:start w:val="1"/>
      <w:numFmt w:val="decimal"/>
      <w:lvlText w:val="%1."/>
      <w:lvlJc w:val="left"/>
      <w:pPr>
        <w:tabs>
          <w:tab w:val="left" w:pos="567"/>
        </w:tabs>
        <w:ind w:left="567" w:leftChars="0" w:hanging="510" w:firstLineChars="0"/>
      </w:pPr>
      <w:rPr>
        <w:rFonts w:hint="eastAsia" w:ascii="楷体_GB2312" w:hAnsi="Arial" w:eastAsia="楷体_GB2312" w:cs="Arial"/>
        <w:b w:val="0"/>
      </w:rPr>
    </w:lvl>
    <w:lvl w:ilvl="1" w:tentative="0">
      <w:start w:val="0"/>
      <w:numFmt w:val="none"/>
      <w:lvlText w:val=""/>
      <w:lvlJc w:val="left"/>
      <w:pPr>
        <w:tabs>
          <w:tab w:val="left" w:pos="360"/>
        </w:tabs>
        <w:ind w:left="0" w:firstLine="0"/>
      </w:pPr>
    </w:lvl>
    <w:lvl w:ilvl="2" w:tentative="0">
      <w:start w:val="0"/>
      <w:numFmt w:val="none"/>
      <w:lvlText w:val=""/>
      <w:lvlJc w:val="left"/>
      <w:pPr>
        <w:tabs>
          <w:tab w:val="left" w:pos="360"/>
        </w:tabs>
        <w:ind w:left="0" w:firstLine="0"/>
      </w:pPr>
    </w:lvl>
    <w:lvl w:ilvl="3" w:tentative="0">
      <w:start w:val="0"/>
      <w:numFmt w:val="none"/>
      <w:lvlText w:val=""/>
      <w:lvlJc w:val="left"/>
      <w:pPr>
        <w:tabs>
          <w:tab w:val="left" w:pos="360"/>
        </w:tabs>
        <w:ind w:left="0" w:firstLine="0"/>
      </w:pPr>
    </w:lvl>
    <w:lvl w:ilvl="4" w:tentative="0">
      <w:start w:val="0"/>
      <w:numFmt w:val="none"/>
      <w:lvlText w:val=""/>
      <w:lvlJc w:val="left"/>
      <w:pPr>
        <w:tabs>
          <w:tab w:val="left" w:pos="360"/>
        </w:tabs>
        <w:ind w:left="0" w:firstLine="0"/>
      </w:pPr>
    </w:lvl>
    <w:lvl w:ilvl="5" w:tentative="0">
      <w:start w:val="0"/>
      <w:numFmt w:val="none"/>
      <w:lvlText w:val=""/>
      <w:lvlJc w:val="left"/>
      <w:pPr>
        <w:tabs>
          <w:tab w:val="left" w:pos="360"/>
        </w:tabs>
        <w:ind w:left="0" w:firstLine="0"/>
      </w:pPr>
    </w:lvl>
    <w:lvl w:ilvl="6" w:tentative="0">
      <w:start w:val="0"/>
      <w:numFmt w:val="none"/>
      <w:lvlText w:val=""/>
      <w:lvlJc w:val="left"/>
      <w:pPr>
        <w:tabs>
          <w:tab w:val="left" w:pos="360"/>
        </w:tabs>
        <w:ind w:left="0" w:firstLine="0"/>
      </w:pPr>
    </w:lvl>
    <w:lvl w:ilvl="7" w:tentative="0">
      <w:start w:val="0"/>
      <w:numFmt w:val="none"/>
      <w:lvlText w:val=""/>
      <w:lvlJc w:val="left"/>
      <w:pPr>
        <w:tabs>
          <w:tab w:val="left" w:pos="360"/>
        </w:tabs>
        <w:ind w:left="0" w:firstLine="0"/>
      </w:pPr>
    </w:lvl>
    <w:lvl w:ilvl="8" w:tentative="0">
      <w:start w:val="0"/>
      <w:numFmt w:val="none"/>
      <w:lvlText w:val=""/>
      <w:lvlJc w:val="left"/>
      <w:pPr>
        <w:tabs>
          <w:tab w:val="left" w:pos="360"/>
        </w:tabs>
        <w:ind w:left="0" w:firstLine="0"/>
      </w:pPr>
    </w:lvl>
  </w:abstractNum>
  <w:abstractNum w:abstractNumId="23">
    <w:nsid w:val="CFF3C5E6"/>
    <w:multiLevelType w:val="singleLevel"/>
    <w:tmpl w:val="CFF3C5E6"/>
    <w:lvl w:ilvl="0" w:tentative="0">
      <w:start w:val="1"/>
      <w:numFmt w:val="decimal"/>
      <w:lvlText w:val="%1."/>
      <w:lvlJc w:val="left"/>
      <w:pPr>
        <w:tabs>
          <w:tab w:val="left" w:pos="312"/>
        </w:tabs>
      </w:pPr>
    </w:lvl>
  </w:abstractNum>
  <w:abstractNum w:abstractNumId="24">
    <w:nsid w:val="D62D2189"/>
    <w:multiLevelType w:val="singleLevel"/>
    <w:tmpl w:val="D62D2189"/>
    <w:lvl w:ilvl="0" w:tentative="0">
      <w:start w:val="1"/>
      <w:numFmt w:val="decimal"/>
      <w:suff w:val="nothing"/>
      <w:lvlText w:val="%1、"/>
      <w:lvlJc w:val="left"/>
    </w:lvl>
  </w:abstractNum>
  <w:abstractNum w:abstractNumId="25">
    <w:nsid w:val="DABF38CA"/>
    <w:multiLevelType w:val="singleLevel"/>
    <w:tmpl w:val="DABF38CA"/>
    <w:lvl w:ilvl="0" w:tentative="0">
      <w:start w:val="1"/>
      <w:numFmt w:val="decimal"/>
      <w:suff w:val="nothing"/>
      <w:lvlText w:val="%1、"/>
      <w:lvlJc w:val="left"/>
    </w:lvl>
  </w:abstractNum>
  <w:abstractNum w:abstractNumId="26">
    <w:nsid w:val="E21EC8CC"/>
    <w:multiLevelType w:val="singleLevel"/>
    <w:tmpl w:val="E21EC8CC"/>
    <w:lvl w:ilvl="0" w:tentative="0">
      <w:start w:val="1"/>
      <w:numFmt w:val="chineseCounting"/>
      <w:suff w:val="nothing"/>
      <w:lvlText w:val="%1、"/>
      <w:lvlJc w:val="left"/>
      <w:rPr>
        <w:rFonts w:hint="eastAsia"/>
      </w:rPr>
    </w:lvl>
  </w:abstractNum>
  <w:abstractNum w:abstractNumId="27">
    <w:nsid w:val="E3F36EF4"/>
    <w:multiLevelType w:val="singleLevel"/>
    <w:tmpl w:val="E3F36EF4"/>
    <w:lvl w:ilvl="0" w:tentative="0">
      <w:start w:val="1"/>
      <w:numFmt w:val="decimal"/>
      <w:lvlText w:val="%1."/>
      <w:lvlJc w:val="left"/>
      <w:pPr>
        <w:tabs>
          <w:tab w:val="left" w:pos="312"/>
        </w:tabs>
      </w:pPr>
    </w:lvl>
  </w:abstractNum>
  <w:abstractNum w:abstractNumId="28">
    <w:nsid w:val="F2692931"/>
    <w:multiLevelType w:val="multilevel"/>
    <w:tmpl w:val="F2692931"/>
    <w:lvl w:ilvl="0" w:tentative="0">
      <w:start w:val="1"/>
      <w:numFmt w:val="none"/>
      <w:lvlText w:val="2"/>
      <w:lvlJc w:val="left"/>
      <w:pPr>
        <w:tabs>
          <w:tab w:val="left" w:pos="425"/>
        </w:tabs>
        <w:ind w:left="425" w:hanging="425"/>
      </w:pPr>
      <w:rPr>
        <w:rFonts w:hint="eastAsia"/>
      </w:rPr>
    </w:lvl>
    <w:lvl w:ilvl="1" w:tentative="0">
      <w:start w:val="1"/>
      <w:numFmt w:val="decimal"/>
      <w:lvlText w:val="%12.%2"/>
      <w:lvlJc w:val="left"/>
      <w:pPr>
        <w:tabs>
          <w:tab w:val="left" w:pos="567"/>
        </w:tabs>
        <w:ind w:left="567" w:leftChars="0" w:hanging="510" w:firstLineChars="0"/>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29">
    <w:nsid w:val="F68C0094"/>
    <w:multiLevelType w:val="singleLevel"/>
    <w:tmpl w:val="F68C0094"/>
    <w:lvl w:ilvl="0" w:tentative="0">
      <w:start w:val="1"/>
      <w:numFmt w:val="decimal"/>
      <w:suff w:val="nothing"/>
      <w:lvlText w:val="%1．"/>
      <w:lvlJc w:val="left"/>
    </w:lvl>
  </w:abstractNum>
  <w:abstractNum w:abstractNumId="30">
    <w:nsid w:val="FDA2BA50"/>
    <w:multiLevelType w:val="singleLevel"/>
    <w:tmpl w:val="FDA2BA50"/>
    <w:lvl w:ilvl="0" w:tentative="0">
      <w:start w:val="1"/>
      <w:numFmt w:val="decimal"/>
      <w:suff w:val="nothing"/>
      <w:lvlText w:val="%1、"/>
      <w:lvlJc w:val="left"/>
    </w:lvl>
  </w:abstractNum>
  <w:abstractNum w:abstractNumId="31">
    <w:nsid w:val="007F1F61"/>
    <w:multiLevelType w:val="multilevel"/>
    <w:tmpl w:val="007F1F61"/>
    <w:lvl w:ilvl="0" w:tentative="0">
      <w:start w:val="1"/>
      <w:numFmt w:val="none"/>
      <w:lvlText w:val="2"/>
      <w:lvlJc w:val="left"/>
      <w:pPr>
        <w:tabs>
          <w:tab w:val="left" w:pos="425"/>
        </w:tabs>
        <w:ind w:left="425" w:hanging="425"/>
      </w:pPr>
      <w:rPr>
        <w:rFonts w:hint="eastAsia"/>
      </w:rPr>
    </w:lvl>
    <w:lvl w:ilvl="1" w:tentative="0">
      <w:start w:val="1"/>
      <w:numFmt w:val="decimal"/>
      <w:lvlText w:val="%14.%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32">
    <w:nsid w:val="05A79FB8"/>
    <w:multiLevelType w:val="singleLevel"/>
    <w:tmpl w:val="05A79FB8"/>
    <w:lvl w:ilvl="0" w:tentative="0">
      <w:start w:val="1"/>
      <w:numFmt w:val="decimal"/>
      <w:suff w:val="nothing"/>
      <w:lvlText w:val="%1、"/>
      <w:lvlJc w:val="left"/>
    </w:lvl>
  </w:abstractNum>
  <w:abstractNum w:abstractNumId="33">
    <w:nsid w:val="0DA62AE9"/>
    <w:multiLevelType w:val="multilevel"/>
    <w:tmpl w:val="0DA62AE9"/>
    <w:lvl w:ilvl="0" w:tentative="0">
      <w:start w:val="1"/>
      <w:numFmt w:val="none"/>
      <w:lvlText w:val="2"/>
      <w:lvlJc w:val="left"/>
      <w:pPr>
        <w:tabs>
          <w:tab w:val="left" w:pos="425"/>
        </w:tabs>
        <w:ind w:left="425" w:hanging="425"/>
      </w:pPr>
      <w:rPr>
        <w:rFonts w:hint="eastAsia"/>
      </w:rPr>
    </w:lvl>
    <w:lvl w:ilvl="1" w:tentative="0">
      <w:start w:val="1"/>
      <w:numFmt w:val="decimal"/>
      <w:lvlText w:val="%11.%2"/>
      <w:lvlJc w:val="left"/>
      <w:pPr>
        <w:tabs>
          <w:tab w:val="left" w:pos="567"/>
        </w:tabs>
        <w:ind w:left="567" w:leftChars="0" w:hanging="510" w:firstLineChars="0"/>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34">
    <w:nsid w:val="1429B31E"/>
    <w:multiLevelType w:val="singleLevel"/>
    <w:tmpl w:val="1429B31E"/>
    <w:lvl w:ilvl="0" w:tentative="0">
      <w:start w:val="1"/>
      <w:numFmt w:val="decimalEnclosedCircleChinese"/>
      <w:lvlText w:val="%1　"/>
      <w:lvlJc w:val="left"/>
      <w:pPr>
        <w:tabs>
          <w:tab w:val="left" w:pos="567"/>
        </w:tabs>
        <w:ind w:left="567" w:leftChars="0" w:hanging="510" w:firstLineChars="0"/>
      </w:pPr>
      <w:rPr>
        <w:rFonts w:hint="eastAsia"/>
      </w:rPr>
    </w:lvl>
  </w:abstractNum>
  <w:abstractNum w:abstractNumId="35">
    <w:nsid w:val="176A773A"/>
    <w:multiLevelType w:val="multilevel"/>
    <w:tmpl w:val="176A773A"/>
    <w:lvl w:ilvl="0" w:tentative="0">
      <w:start w:val="1"/>
      <w:numFmt w:val="decimalEnclosedCircleChinese"/>
      <w:lvlText w:val="%1　"/>
      <w:lvlJc w:val="left"/>
      <w:pPr>
        <w:tabs>
          <w:tab w:val="left" w:pos="567"/>
        </w:tabs>
        <w:ind w:left="567" w:leftChars="0" w:hanging="510" w:firstLineChars="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6">
    <w:nsid w:val="1CE7F7A9"/>
    <w:multiLevelType w:val="multilevel"/>
    <w:tmpl w:val="1CE7F7A9"/>
    <w:lvl w:ilvl="0" w:tentative="0">
      <w:start w:val="1"/>
      <w:numFmt w:val="decimal"/>
      <w:lvlText w:val="（%1）"/>
      <w:lvlJc w:val="left"/>
      <w:pPr>
        <w:tabs>
          <w:tab w:val="left" w:pos="567"/>
        </w:tabs>
        <w:ind w:left="567" w:leftChars="0" w:hanging="510" w:firstLineChars="0"/>
      </w:pPr>
      <w:rPr>
        <w:rFonts w:hint="eastAsia" w:ascii="楷体_GB2312" w:eastAsia="楷体_GB2312"/>
      </w:rPr>
    </w:lvl>
    <w:lvl w:ilvl="1" w:tentative="0">
      <w:start w:val="1"/>
      <w:numFmt w:val="lowerLetter"/>
      <w:lvlText w:val="%2)"/>
      <w:lvlJc w:val="left"/>
      <w:pPr>
        <w:tabs>
          <w:tab w:val="left" w:pos="840"/>
        </w:tabs>
        <w:ind w:left="840" w:hanging="420"/>
      </w:pPr>
    </w:lvl>
    <w:lvl w:ilvl="2" w:tentative="0">
      <w:start w:val="1"/>
      <w:numFmt w:val="decimal"/>
      <w:lvlText w:val="%3."/>
      <w:lvlJc w:val="left"/>
      <w:pPr>
        <w:tabs>
          <w:tab w:val="left" w:pos="1260"/>
        </w:tabs>
        <w:ind w:left="1260" w:hanging="420"/>
      </w:pPr>
      <w:rPr>
        <w:rFonts w:hint="eastAsia"/>
        <w:b w:val="0"/>
        <w:i w:val="0"/>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7">
    <w:nsid w:val="1E4F348E"/>
    <w:multiLevelType w:val="multilevel"/>
    <w:tmpl w:val="1E4F348E"/>
    <w:lvl w:ilvl="0" w:tentative="0">
      <w:start w:val="1"/>
      <w:numFmt w:val="decimal"/>
      <w:lvlText w:val="%1."/>
      <w:lvlJc w:val="left"/>
      <w:pPr>
        <w:tabs>
          <w:tab w:val="left" w:pos="420"/>
        </w:tabs>
        <w:ind w:left="57" w:leftChars="0" w:hanging="57" w:firstLineChars="0"/>
      </w:pPr>
      <w:rPr>
        <w:rFonts w:hint="eastAsia" w:ascii="楷体_GB2312" w:hAnsi="Arial" w:eastAsia="楷体_GB2312" w:cs="Arial"/>
        <w:b w:val="0"/>
      </w:rPr>
    </w:lvl>
    <w:lvl w:ilvl="1" w:tentative="0">
      <w:start w:val="0"/>
      <w:numFmt w:val="none"/>
      <w:lvlText w:val=""/>
      <w:lvlJc w:val="left"/>
      <w:pPr>
        <w:tabs>
          <w:tab w:val="left" w:pos="360"/>
        </w:tabs>
        <w:ind w:left="0" w:firstLine="0"/>
      </w:pPr>
    </w:lvl>
    <w:lvl w:ilvl="2" w:tentative="0">
      <w:start w:val="0"/>
      <w:numFmt w:val="none"/>
      <w:lvlText w:val=""/>
      <w:lvlJc w:val="left"/>
      <w:pPr>
        <w:tabs>
          <w:tab w:val="left" w:pos="360"/>
        </w:tabs>
        <w:ind w:left="0" w:firstLine="0"/>
      </w:pPr>
    </w:lvl>
    <w:lvl w:ilvl="3" w:tentative="0">
      <w:start w:val="0"/>
      <w:numFmt w:val="none"/>
      <w:lvlText w:val=""/>
      <w:lvlJc w:val="left"/>
      <w:pPr>
        <w:tabs>
          <w:tab w:val="left" w:pos="360"/>
        </w:tabs>
        <w:ind w:left="0" w:firstLine="0"/>
      </w:pPr>
    </w:lvl>
    <w:lvl w:ilvl="4" w:tentative="0">
      <w:start w:val="0"/>
      <w:numFmt w:val="none"/>
      <w:lvlText w:val=""/>
      <w:lvlJc w:val="left"/>
      <w:pPr>
        <w:tabs>
          <w:tab w:val="left" w:pos="360"/>
        </w:tabs>
        <w:ind w:left="0" w:firstLine="0"/>
      </w:pPr>
    </w:lvl>
    <w:lvl w:ilvl="5" w:tentative="0">
      <w:start w:val="0"/>
      <w:numFmt w:val="none"/>
      <w:lvlText w:val=""/>
      <w:lvlJc w:val="left"/>
      <w:pPr>
        <w:tabs>
          <w:tab w:val="left" w:pos="360"/>
        </w:tabs>
        <w:ind w:left="0" w:firstLine="0"/>
      </w:pPr>
    </w:lvl>
    <w:lvl w:ilvl="6" w:tentative="0">
      <w:start w:val="0"/>
      <w:numFmt w:val="none"/>
      <w:lvlText w:val=""/>
      <w:lvlJc w:val="left"/>
      <w:pPr>
        <w:tabs>
          <w:tab w:val="left" w:pos="360"/>
        </w:tabs>
        <w:ind w:left="0" w:firstLine="0"/>
      </w:pPr>
    </w:lvl>
    <w:lvl w:ilvl="7" w:tentative="0">
      <w:start w:val="0"/>
      <w:numFmt w:val="none"/>
      <w:lvlText w:val=""/>
      <w:lvlJc w:val="left"/>
      <w:pPr>
        <w:tabs>
          <w:tab w:val="left" w:pos="360"/>
        </w:tabs>
        <w:ind w:left="0" w:firstLine="0"/>
      </w:pPr>
    </w:lvl>
    <w:lvl w:ilvl="8" w:tentative="0">
      <w:start w:val="0"/>
      <w:numFmt w:val="none"/>
      <w:lvlText w:val=""/>
      <w:lvlJc w:val="left"/>
      <w:pPr>
        <w:tabs>
          <w:tab w:val="left" w:pos="360"/>
        </w:tabs>
        <w:ind w:left="0" w:firstLine="0"/>
      </w:pPr>
    </w:lvl>
  </w:abstractNum>
  <w:abstractNum w:abstractNumId="38">
    <w:nsid w:val="1E507798"/>
    <w:multiLevelType w:val="multilevel"/>
    <w:tmpl w:val="1E507798"/>
    <w:lvl w:ilvl="0" w:tentative="0">
      <w:start w:val="1"/>
      <w:numFmt w:val="none"/>
      <w:lvlText w:val="2"/>
      <w:lvlJc w:val="left"/>
      <w:pPr>
        <w:tabs>
          <w:tab w:val="left" w:pos="425"/>
        </w:tabs>
        <w:ind w:left="425" w:hanging="425"/>
      </w:pPr>
      <w:rPr>
        <w:rFonts w:hint="eastAsia"/>
      </w:rPr>
    </w:lvl>
    <w:lvl w:ilvl="1" w:tentative="0">
      <w:start w:val="1"/>
      <w:numFmt w:val="decimal"/>
      <w:lvlText w:val="%14.%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39">
    <w:nsid w:val="1E5DE1D8"/>
    <w:multiLevelType w:val="multilevel"/>
    <w:tmpl w:val="1E5DE1D8"/>
    <w:lvl w:ilvl="0" w:tentative="0">
      <w:start w:val="1"/>
      <w:numFmt w:val="decimal"/>
      <w:lvlText w:val="%1."/>
      <w:lvlJc w:val="left"/>
      <w:pPr>
        <w:tabs>
          <w:tab w:val="left" w:pos="567"/>
        </w:tabs>
        <w:ind w:left="567" w:leftChars="0" w:hanging="510" w:firstLineChars="0"/>
      </w:pPr>
      <w:rPr>
        <w:rFonts w:hint="eastAsia" w:ascii="楷体_GB2312" w:hAnsi="Arial" w:eastAsia="楷体_GB2312" w:cs="Arial"/>
        <w:b w:val="0"/>
      </w:rPr>
    </w:lvl>
    <w:lvl w:ilvl="1" w:tentative="0">
      <w:start w:val="0"/>
      <w:numFmt w:val="none"/>
      <w:lvlText w:val=""/>
      <w:lvlJc w:val="left"/>
      <w:pPr>
        <w:tabs>
          <w:tab w:val="left" w:pos="360"/>
        </w:tabs>
        <w:ind w:left="0" w:firstLine="0"/>
      </w:pPr>
    </w:lvl>
    <w:lvl w:ilvl="2" w:tentative="0">
      <w:start w:val="0"/>
      <w:numFmt w:val="none"/>
      <w:lvlText w:val=""/>
      <w:lvlJc w:val="left"/>
      <w:pPr>
        <w:tabs>
          <w:tab w:val="left" w:pos="360"/>
        </w:tabs>
        <w:ind w:left="0" w:firstLine="0"/>
      </w:pPr>
    </w:lvl>
    <w:lvl w:ilvl="3" w:tentative="0">
      <w:start w:val="0"/>
      <w:numFmt w:val="none"/>
      <w:lvlText w:val=""/>
      <w:lvlJc w:val="left"/>
      <w:pPr>
        <w:tabs>
          <w:tab w:val="left" w:pos="360"/>
        </w:tabs>
        <w:ind w:left="0" w:firstLine="0"/>
      </w:pPr>
    </w:lvl>
    <w:lvl w:ilvl="4" w:tentative="0">
      <w:start w:val="0"/>
      <w:numFmt w:val="none"/>
      <w:lvlText w:val=""/>
      <w:lvlJc w:val="left"/>
      <w:pPr>
        <w:tabs>
          <w:tab w:val="left" w:pos="360"/>
        </w:tabs>
        <w:ind w:left="0" w:firstLine="0"/>
      </w:pPr>
    </w:lvl>
    <w:lvl w:ilvl="5" w:tentative="0">
      <w:start w:val="0"/>
      <w:numFmt w:val="none"/>
      <w:lvlText w:val=""/>
      <w:lvlJc w:val="left"/>
      <w:pPr>
        <w:tabs>
          <w:tab w:val="left" w:pos="360"/>
        </w:tabs>
        <w:ind w:left="0" w:firstLine="0"/>
      </w:pPr>
    </w:lvl>
    <w:lvl w:ilvl="6" w:tentative="0">
      <w:start w:val="0"/>
      <w:numFmt w:val="none"/>
      <w:lvlText w:val=""/>
      <w:lvlJc w:val="left"/>
      <w:pPr>
        <w:tabs>
          <w:tab w:val="left" w:pos="360"/>
        </w:tabs>
        <w:ind w:left="0" w:firstLine="0"/>
      </w:pPr>
    </w:lvl>
    <w:lvl w:ilvl="7" w:tentative="0">
      <w:start w:val="0"/>
      <w:numFmt w:val="none"/>
      <w:lvlText w:val=""/>
      <w:lvlJc w:val="left"/>
      <w:pPr>
        <w:tabs>
          <w:tab w:val="left" w:pos="360"/>
        </w:tabs>
        <w:ind w:left="0" w:firstLine="0"/>
      </w:pPr>
    </w:lvl>
    <w:lvl w:ilvl="8" w:tentative="0">
      <w:start w:val="0"/>
      <w:numFmt w:val="none"/>
      <w:lvlText w:val=""/>
      <w:lvlJc w:val="left"/>
      <w:pPr>
        <w:tabs>
          <w:tab w:val="left" w:pos="360"/>
        </w:tabs>
        <w:ind w:left="0" w:firstLine="0"/>
      </w:pPr>
    </w:lvl>
  </w:abstractNum>
  <w:abstractNum w:abstractNumId="40">
    <w:nsid w:val="2643B0F5"/>
    <w:multiLevelType w:val="singleLevel"/>
    <w:tmpl w:val="2643B0F5"/>
    <w:lvl w:ilvl="0" w:tentative="0">
      <w:start w:val="1"/>
      <w:numFmt w:val="decimal"/>
      <w:suff w:val="nothing"/>
      <w:lvlText w:val="%1、"/>
      <w:lvlJc w:val="left"/>
    </w:lvl>
  </w:abstractNum>
  <w:abstractNum w:abstractNumId="41">
    <w:nsid w:val="2A914689"/>
    <w:multiLevelType w:val="multilevel"/>
    <w:tmpl w:val="2A914689"/>
    <w:lvl w:ilvl="0" w:tentative="0">
      <w:start w:val="1"/>
      <w:numFmt w:val="none"/>
      <w:lvlText w:val="2"/>
      <w:lvlJc w:val="left"/>
      <w:pPr>
        <w:tabs>
          <w:tab w:val="left" w:pos="425"/>
        </w:tabs>
        <w:ind w:left="425" w:hanging="425"/>
      </w:pPr>
      <w:rPr>
        <w:rFonts w:hint="eastAsia"/>
      </w:rPr>
    </w:lvl>
    <w:lvl w:ilvl="1" w:tentative="0">
      <w:start w:val="1"/>
      <w:numFmt w:val="decimal"/>
      <w:lvlText w:val="%18.%2"/>
      <w:lvlJc w:val="left"/>
      <w:pPr>
        <w:tabs>
          <w:tab w:val="left" w:pos="567"/>
        </w:tabs>
        <w:ind w:left="567" w:leftChars="0" w:hanging="510" w:firstLineChars="0"/>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42">
    <w:nsid w:val="2DD00AA2"/>
    <w:multiLevelType w:val="multilevel"/>
    <w:tmpl w:val="2DD00AA2"/>
    <w:lvl w:ilvl="0" w:tentative="0">
      <w:start w:val="1"/>
      <w:numFmt w:val="none"/>
      <w:lvlText w:val="2"/>
      <w:lvlJc w:val="left"/>
      <w:pPr>
        <w:tabs>
          <w:tab w:val="left" w:pos="425"/>
        </w:tabs>
        <w:ind w:left="425" w:hanging="425"/>
      </w:pPr>
      <w:rPr>
        <w:rFonts w:hint="eastAsia"/>
      </w:rPr>
    </w:lvl>
    <w:lvl w:ilvl="1" w:tentative="0">
      <w:start w:val="1"/>
      <w:numFmt w:val="decimal"/>
      <w:lvlText w:val="%12.%2"/>
      <w:lvlJc w:val="left"/>
      <w:pPr>
        <w:tabs>
          <w:tab w:val="left" w:pos="567"/>
        </w:tabs>
        <w:ind w:left="567" w:leftChars="0" w:hanging="510" w:firstLineChars="0"/>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43">
    <w:nsid w:val="345592DB"/>
    <w:multiLevelType w:val="multilevel"/>
    <w:tmpl w:val="345592DB"/>
    <w:lvl w:ilvl="0" w:tentative="0">
      <w:start w:val="1"/>
      <w:numFmt w:val="none"/>
      <w:lvlText w:val="2"/>
      <w:lvlJc w:val="left"/>
      <w:pPr>
        <w:tabs>
          <w:tab w:val="left" w:pos="425"/>
        </w:tabs>
        <w:ind w:left="425" w:hanging="425"/>
      </w:pPr>
      <w:rPr>
        <w:rFonts w:hint="eastAsia"/>
      </w:rPr>
    </w:lvl>
    <w:lvl w:ilvl="1" w:tentative="0">
      <w:start w:val="1"/>
      <w:numFmt w:val="decimal"/>
      <w:lvlText w:val="%13.%2"/>
      <w:lvlJc w:val="left"/>
      <w:pPr>
        <w:tabs>
          <w:tab w:val="left" w:pos="567"/>
        </w:tabs>
        <w:ind w:left="567" w:leftChars="0" w:hanging="510" w:firstLineChars="0"/>
      </w:pPr>
      <w:rPr>
        <w:rFonts w:hint="eastAsia" w:ascii="楷体_GB2312" w:hAnsi="Arial" w:eastAsia="楷体_GB2312" w:cs="Arial"/>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44">
    <w:nsid w:val="37F81C83"/>
    <w:multiLevelType w:val="singleLevel"/>
    <w:tmpl w:val="37F81C83"/>
    <w:lvl w:ilvl="0" w:tentative="0">
      <w:start w:val="1"/>
      <w:numFmt w:val="decimal"/>
      <w:suff w:val="nothing"/>
      <w:lvlText w:val="%1、"/>
      <w:lvlJc w:val="left"/>
    </w:lvl>
  </w:abstractNum>
  <w:abstractNum w:abstractNumId="45">
    <w:nsid w:val="3860AC0F"/>
    <w:multiLevelType w:val="multilevel"/>
    <w:tmpl w:val="3860AC0F"/>
    <w:lvl w:ilvl="0" w:tentative="0">
      <w:start w:val="1"/>
      <w:numFmt w:val="decimal"/>
      <w:lvlText w:val="%1."/>
      <w:lvlJc w:val="left"/>
      <w:pPr>
        <w:tabs>
          <w:tab w:val="left" w:pos="567"/>
        </w:tabs>
        <w:ind w:left="567" w:leftChars="0" w:hanging="510" w:firstLineChars="0"/>
      </w:pPr>
      <w:rPr>
        <w:rFonts w:hint="eastAsia" w:ascii="楷体_GB2312" w:hAnsi="Arial" w:eastAsia="楷体_GB2312" w:cs="Arial"/>
        <w:b w:val="0"/>
      </w:rPr>
    </w:lvl>
    <w:lvl w:ilvl="1" w:tentative="0">
      <w:start w:val="0"/>
      <w:numFmt w:val="none"/>
      <w:lvlText w:val=""/>
      <w:lvlJc w:val="left"/>
      <w:pPr>
        <w:tabs>
          <w:tab w:val="left" w:pos="360"/>
        </w:tabs>
        <w:ind w:left="0" w:firstLine="0"/>
      </w:pPr>
    </w:lvl>
    <w:lvl w:ilvl="2" w:tentative="0">
      <w:start w:val="0"/>
      <w:numFmt w:val="none"/>
      <w:lvlText w:val=""/>
      <w:lvlJc w:val="left"/>
      <w:pPr>
        <w:tabs>
          <w:tab w:val="left" w:pos="360"/>
        </w:tabs>
        <w:ind w:left="0" w:firstLine="0"/>
      </w:pPr>
    </w:lvl>
    <w:lvl w:ilvl="3" w:tentative="0">
      <w:start w:val="0"/>
      <w:numFmt w:val="none"/>
      <w:lvlText w:val=""/>
      <w:lvlJc w:val="left"/>
      <w:pPr>
        <w:tabs>
          <w:tab w:val="left" w:pos="360"/>
        </w:tabs>
        <w:ind w:left="0" w:firstLine="0"/>
      </w:pPr>
    </w:lvl>
    <w:lvl w:ilvl="4" w:tentative="0">
      <w:start w:val="0"/>
      <w:numFmt w:val="none"/>
      <w:lvlText w:val=""/>
      <w:lvlJc w:val="left"/>
      <w:pPr>
        <w:tabs>
          <w:tab w:val="left" w:pos="360"/>
        </w:tabs>
        <w:ind w:left="0" w:firstLine="0"/>
      </w:pPr>
    </w:lvl>
    <w:lvl w:ilvl="5" w:tentative="0">
      <w:start w:val="0"/>
      <w:numFmt w:val="none"/>
      <w:lvlText w:val=""/>
      <w:lvlJc w:val="left"/>
      <w:pPr>
        <w:tabs>
          <w:tab w:val="left" w:pos="360"/>
        </w:tabs>
        <w:ind w:left="0" w:firstLine="0"/>
      </w:pPr>
    </w:lvl>
    <w:lvl w:ilvl="6" w:tentative="0">
      <w:start w:val="0"/>
      <w:numFmt w:val="none"/>
      <w:lvlText w:val=""/>
      <w:lvlJc w:val="left"/>
      <w:pPr>
        <w:tabs>
          <w:tab w:val="left" w:pos="360"/>
        </w:tabs>
        <w:ind w:left="0" w:firstLine="0"/>
      </w:pPr>
    </w:lvl>
    <w:lvl w:ilvl="7" w:tentative="0">
      <w:start w:val="0"/>
      <w:numFmt w:val="none"/>
      <w:lvlText w:val=""/>
      <w:lvlJc w:val="left"/>
      <w:pPr>
        <w:tabs>
          <w:tab w:val="left" w:pos="360"/>
        </w:tabs>
        <w:ind w:left="0" w:firstLine="0"/>
      </w:pPr>
    </w:lvl>
    <w:lvl w:ilvl="8" w:tentative="0">
      <w:start w:val="0"/>
      <w:numFmt w:val="none"/>
      <w:lvlText w:val=""/>
      <w:lvlJc w:val="left"/>
      <w:pPr>
        <w:tabs>
          <w:tab w:val="left" w:pos="360"/>
        </w:tabs>
        <w:ind w:left="0" w:firstLine="0"/>
      </w:pPr>
    </w:lvl>
  </w:abstractNum>
  <w:abstractNum w:abstractNumId="46">
    <w:nsid w:val="39225E32"/>
    <w:multiLevelType w:val="multilevel"/>
    <w:tmpl w:val="39225E32"/>
    <w:lvl w:ilvl="0" w:tentative="0">
      <w:start w:val="1"/>
      <w:numFmt w:val="decimal"/>
      <w:lvlText w:val="%1."/>
      <w:lvlJc w:val="left"/>
      <w:pPr>
        <w:tabs>
          <w:tab w:val="left" w:pos="567"/>
        </w:tabs>
        <w:ind w:left="567" w:leftChars="0" w:hanging="510" w:firstLineChars="0"/>
      </w:pPr>
      <w:rPr>
        <w:rFonts w:hint="eastAsia" w:ascii="楷体_GB2312" w:hAnsi="Times New Roman" w:eastAsia="楷体_GB2312" w:cs="Times New Roman"/>
        <w:b w:val="0"/>
      </w:rPr>
    </w:lvl>
    <w:lvl w:ilvl="1" w:tentative="0">
      <w:start w:val="0"/>
      <w:numFmt w:val="none"/>
      <w:lvlText w:val=""/>
      <w:lvlJc w:val="left"/>
      <w:pPr>
        <w:tabs>
          <w:tab w:val="left" w:pos="360"/>
        </w:tabs>
        <w:ind w:left="0" w:firstLine="0"/>
      </w:pPr>
    </w:lvl>
    <w:lvl w:ilvl="2" w:tentative="0">
      <w:start w:val="0"/>
      <w:numFmt w:val="none"/>
      <w:lvlText w:val=""/>
      <w:lvlJc w:val="left"/>
      <w:pPr>
        <w:tabs>
          <w:tab w:val="left" w:pos="360"/>
        </w:tabs>
        <w:ind w:left="0" w:firstLine="0"/>
      </w:pPr>
    </w:lvl>
    <w:lvl w:ilvl="3" w:tentative="0">
      <w:start w:val="0"/>
      <w:numFmt w:val="none"/>
      <w:lvlText w:val=""/>
      <w:lvlJc w:val="left"/>
      <w:pPr>
        <w:tabs>
          <w:tab w:val="left" w:pos="360"/>
        </w:tabs>
        <w:ind w:left="0" w:firstLine="0"/>
      </w:pPr>
    </w:lvl>
    <w:lvl w:ilvl="4" w:tentative="0">
      <w:start w:val="0"/>
      <w:numFmt w:val="none"/>
      <w:lvlText w:val=""/>
      <w:lvlJc w:val="left"/>
      <w:pPr>
        <w:tabs>
          <w:tab w:val="left" w:pos="360"/>
        </w:tabs>
        <w:ind w:left="0" w:firstLine="0"/>
      </w:pPr>
    </w:lvl>
    <w:lvl w:ilvl="5" w:tentative="0">
      <w:start w:val="0"/>
      <w:numFmt w:val="none"/>
      <w:lvlText w:val=""/>
      <w:lvlJc w:val="left"/>
      <w:pPr>
        <w:tabs>
          <w:tab w:val="left" w:pos="360"/>
        </w:tabs>
        <w:ind w:left="0" w:firstLine="0"/>
      </w:pPr>
    </w:lvl>
    <w:lvl w:ilvl="6" w:tentative="0">
      <w:start w:val="0"/>
      <w:numFmt w:val="none"/>
      <w:lvlText w:val=""/>
      <w:lvlJc w:val="left"/>
      <w:pPr>
        <w:tabs>
          <w:tab w:val="left" w:pos="360"/>
        </w:tabs>
        <w:ind w:left="0" w:firstLine="0"/>
      </w:pPr>
    </w:lvl>
    <w:lvl w:ilvl="7" w:tentative="0">
      <w:start w:val="0"/>
      <w:numFmt w:val="none"/>
      <w:lvlText w:val=""/>
      <w:lvlJc w:val="left"/>
      <w:pPr>
        <w:tabs>
          <w:tab w:val="left" w:pos="360"/>
        </w:tabs>
        <w:ind w:left="0" w:firstLine="0"/>
      </w:pPr>
    </w:lvl>
    <w:lvl w:ilvl="8" w:tentative="0">
      <w:start w:val="0"/>
      <w:numFmt w:val="none"/>
      <w:lvlText w:val=""/>
      <w:lvlJc w:val="left"/>
      <w:pPr>
        <w:tabs>
          <w:tab w:val="left" w:pos="360"/>
        </w:tabs>
        <w:ind w:left="0" w:firstLine="0"/>
      </w:pPr>
    </w:lvl>
  </w:abstractNum>
  <w:abstractNum w:abstractNumId="47">
    <w:nsid w:val="3B945883"/>
    <w:multiLevelType w:val="multilevel"/>
    <w:tmpl w:val="3B945883"/>
    <w:lvl w:ilvl="0" w:tentative="0">
      <w:start w:val="1"/>
      <w:numFmt w:val="none"/>
      <w:lvlText w:val="2"/>
      <w:lvlJc w:val="left"/>
      <w:pPr>
        <w:tabs>
          <w:tab w:val="left" w:pos="425"/>
        </w:tabs>
        <w:ind w:left="425" w:hanging="425"/>
      </w:pPr>
      <w:rPr>
        <w:rFonts w:hint="eastAsia"/>
      </w:rPr>
    </w:lvl>
    <w:lvl w:ilvl="1" w:tentative="0">
      <w:start w:val="1"/>
      <w:numFmt w:val="decimal"/>
      <w:lvlText w:val="%17.%2"/>
      <w:lvlJc w:val="left"/>
      <w:pPr>
        <w:tabs>
          <w:tab w:val="left" w:pos="567"/>
        </w:tabs>
        <w:ind w:left="567" w:leftChars="0" w:hanging="510" w:firstLineChars="0"/>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48">
    <w:nsid w:val="3C7BDE54"/>
    <w:multiLevelType w:val="multilevel"/>
    <w:tmpl w:val="3C7BDE54"/>
    <w:lvl w:ilvl="0" w:tentative="0">
      <w:start w:val="1"/>
      <w:numFmt w:val="none"/>
      <w:lvlText w:val="2"/>
      <w:lvlJc w:val="left"/>
      <w:pPr>
        <w:tabs>
          <w:tab w:val="left" w:pos="425"/>
        </w:tabs>
        <w:ind w:left="425" w:hanging="425"/>
      </w:pPr>
      <w:rPr>
        <w:rFonts w:hint="eastAsia"/>
      </w:rPr>
    </w:lvl>
    <w:lvl w:ilvl="1" w:tentative="0">
      <w:start w:val="1"/>
      <w:numFmt w:val="decimal"/>
      <w:lvlText w:val="%17.%2"/>
      <w:lvlJc w:val="left"/>
      <w:pPr>
        <w:tabs>
          <w:tab w:val="left" w:pos="567"/>
        </w:tabs>
        <w:ind w:left="567" w:leftChars="0" w:hanging="510" w:firstLineChars="0"/>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49">
    <w:nsid w:val="3F31A2EA"/>
    <w:multiLevelType w:val="singleLevel"/>
    <w:tmpl w:val="3F31A2EA"/>
    <w:lvl w:ilvl="0" w:tentative="0">
      <w:start w:val="1"/>
      <w:numFmt w:val="decimal"/>
      <w:lvlText w:val="%1."/>
      <w:lvlJc w:val="left"/>
      <w:pPr>
        <w:ind w:left="425" w:hanging="425"/>
      </w:pPr>
      <w:rPr>
        <w:rFonts w:hint="default"/>
      </w:rPr>
    </w:lvl>
  </w:abstractNum>
  <w:abstractNum w:abstractNumId="50">
    <w:nsid w:val="422FDF99"/>
    <w:multiLevelType w:val="singleLevel"/>
    <w:tmpl w:val="422FDF99"/>
    <w:lvl w:ilvl="0" w:tentative="0">
      <w:start w:val="1"/>
      <w:numFmt w:val="decimalEnclosedCircleChinese"/>
      <w:suff w:val="nothing"/>
      <w:lvlText w:val="%1　"/>
      <w:lvlJc w:val="left"/>
      <w:pPr>
        <w:ind w:firstLine="400"/>
      </w:pPr>
      <w:rPr>
        <w:rFonts w:hint="eastAsia" w:cs="Times New Roman"/>
      </w:rPr>
    </w:lvl>
  </w:abstractNum>
  <w:abstractNum w:abstractNumId="51">
    <w:nsid w:val="426FC712"/>
    <w:multiLevelType w:val="singleLevel"/>
    <w:tmpl w:val="426FC712"/>
    <w:lvl w:ilvl="0" w:tentative="0">
      <w:start w:val="9"/>
      <w:numFmt w:val="decimal"/>
      <w:suff w:val="nothing"/>
      <w:lvlText w:val="%1）"/>
      <w:lvlJc w:val="left"/>
    </w:lvl>
  </w:abstractNum>
  <w:abstractNum w:abstractNumId="52">
    <w:nsid w:val="45DC5E2A"/>
    <w:multiLevelType w:val="multilevel"/>
    <w:tmpl w:val="45DC5E2A"/>
    <w:lvl w:ilvl="0" w:tentative="0">
      <w:start w:val="1"/>
      <w:numFmt w:val="decimal"/>
      <w:lvlText w:val="%1."/>
      <w:lvlJc w:val="left"/>
      <w:pPr>
        <w:ind w:left="805" w:hanging="420"/>
      </w:pPr>
    </w:lvl>
    <w:lvl w:ilvl="1" w:tentative="0">
      <w:start w:val="1"/>
      <w:numFmt w:val="lowerLetter"/>
      <w:lvlText w:val="%2)"/>
      <w:lvlJc w:val="left"/>
      <w:pPr>
        <w:ind w:left="1225" w:hanging="420"/>
      </w:pPr>
    </w:lvl>
    <w:lvl w:ilvl="2" w:tentative="0">
      <w:start w:val="1"/>
      <w:numFmt w:val="lowerRoman"/>
      <w:lvlText w:val="%3."/>
      <w:lvlJc w:val="right"/>
      <w:pPr>
        <w:ind w:left="1645" w:hanging="420"/>
      </w:pPr>
    </w:lvl>
    <w:lvl w:ilvl="3" w:tentative="0">
      <w:start w:val="1"/>
      <w:numFmt w:val="decimal"/>
      <w:lvlText w:val="%4."/>
      <w:lvlJc w:val="left"/>
      <w:pPr>
        <w:ind w:left="2065" w:hanging="420"/>
      </w:pPr>
    </w:lvl>
    <w:lvl w:ilvl="4" w:tentative="0">
      <w:start w:val="1"/>
      <w:numFmt w:val="lowerLetter"/>
      <w:lvlText w:val="%5)"/>
      <w:lvlJc w:val="left"/>
      <w:pPr>
        <w:ind w:left="2485" w:hanging="420"/>
      </w:pPr>
    </w:lvl>
    <w:lvl w:ilvl="5" w:tentative="0">
      <w:start w:val="1"/>
      <w:numFmt w:val="lowerRoman"/>
      <w:lvlText w:val="%6."/>
      <w:lvlJc w:val="right"/>
      <w:pPr>
        <w:ind w:left="2905" w:hanging="420"/>
      </w:pPr>
    </w:lvl>
    <w:lvl w:ilvl="6" w:tentative="0">
      <w:start w:val="1"/>
      <w:numFmt w:val="decimal"/>
      <w:lvlText w:val="%7."/>
      <w:lvlJc w:val="left"/>
      <w:pPr>
        <w:ind w:left="3325" w:hanging="420"/>
      </w:pPr>
    </w:lvl>
    <w:lvl w:ilvl="7" w:tentative="0">
      <w:start w:val="1"/>
      <w:numFmt w:val="lowerLetter"/>
      <w:lvlText w:val="%8)"/>
      <w:lvlJc w:val="left"/>
      <w:pPr>
        <w:ind w:left="3745" w:hanging="420"/>
      </w:pPr>
    </w:lvl>
    <w:lvl w:ilvl="8" w:tentative="0">
      <w:start w:val="1"/>
      <w:numFmt w:val="lowerRoman"/>
      <w:lvlText w:val="%9."/>
      <w:lvlJc w:val="right"/>
      <w:pPr>
        <w:ind w:left="4165" w:hanging="420"/>
      </w:pPr>
    </w:lvl>
  </w:abstractNum>
  <w:abstractNum w:abstractNumId="53">
    <w:nsid w:val="49A3B3A2"/>
    <w:multiLevelType w:val="singleLevel"/>
    <w:tmpl w:val="49A3B3A2"/>
    <w:lvl w:ilvl="0" w:tentative="0">
      <w:start w:val="1"/>
      <w:numFmt w:val="decimal"/>
      <w:lvlText w:val="%1."/>
      <w:lvlJc w:val="left"/>
      <w:pPr>
        <w:tabs>
          <w:tab w:val="left" w:pos="312"/>
        </w:tabs>
      </w:pPr>
    </w:lvl>
  </w:abstractNum>
  <w:abstractNum w:abstractNumId="54">
    <w:nsid w:val="4B8E5DBA"/>
    <w:multiLevelType w:val="multilevel"/>
    <w:tmpl w:val="4B8E5DBA"/>
    <w:lvl w:ilvl="0" w:tentative="0">
      <w:start w:val="1"/>
      <w:numFmt w:val="chineseCountingThousand"/>
      <w:lvlText w:val="(%1)"/>
      <w:lvlJc w:val="left"/>
      <w:pPr>
        <w:ind w:left="420" w:hanging="420"/>
      </w:pPr>
    </w:lvl>
    <w:lvl w:ilvl="1" w:tentative="0">
      <w:start w:val="1"/>
      <w:numFmt w:val="chineseCountingThousand"/>
      <w:lvlText w:val="(%2)"/>
      <w:lvlJc w:val="left"/>
      <w:pPr>
        <w:ind w:left="272" w:firstLine="148"/>
      </w:pPr>
      <w:rPr>
        <w:rFonts w:hint="eastAsia"/>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5">
    <w:nsid w:val="4EC63F7B"/>
    <w:multiLevelType w:val="multilevel"/>
    <w:tmpl w:val="4EC63F7B"/>
    <w:lvl w:ilvl="0" w:tentative="0">
      <w:start w:val="1"/>
      <w:numFmt w:val="none"/>
      <w:lvlText w:val="2"/>
      <w:lvlJc w:val="left"/>
      <w:pPr>
        <w:tabs>
          <w:tab w:val="left" w:pos="425"/>
        </w:tabs>
        <w:ind w:left="425" w:hanging="425"/>
      </w:pPr>
      <w:rPr>
        <w:rFonts w:hint="eastAsia"/>
      </w:rPr>
    </w:lvl>
    <w:lvl w:ilvl="1" w:tentative="0">
      <w:start w:val="1"/>
      <w:numFmt w:val="decimal"/>
      <w:lvlText w:val="%19.%2"/>
      <w:lvlJc w:val="left"/>
      <w:pPr>
        <w:tabs>
          <w:tab w:val="left" w:pos="567"/>
        </w:tabs>
        <w:ind w:left="567" w:leftChars="0" w:hanging="510" w:firstLineChars="0"/>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56">
    <w:nsid w:val="5201ACEF"/>
    <w:multiLevelType w:val="multilevel"/>
    <w:tmpl w:val="5201ACEF"/>
    <w:lvl w:ilvl="0" w:tentative="0">
      <w:start w:val="1"/>
      <w:numFmt w:val="none"/>
      <w:lvlText w:val="2"/>
      <w:lvlJc w:val="left"/>
      <w:pPr>
        <w:tabs>
          <w:tab w:val="left" w:pos="425"/>
        </w:tabs>
        <w:ind w:left="425" w:hanging="425"/>
      </w:pPr>
      <w:rPr>
        <w:rFonts w:hint="eastAsia"/>
      </w:rPr>
    </w:lvl>
    <w:lvl w:ilvl="1" w:tentative="0">
      <w:start w:val="1"/>
      <w:numFmt w:val="decimal"/>
      <w:lvlText w:val="%12.%2"/>
      <w:lvlJc w:val="left"/>
      <w:pPr>
        <w:tabs>
          <w:tab w:val="left" w:pos="567"/>
        </w:tabs>
        <w:ind w:left="567" w:leftChars="0" w:hanging="510" w:firstLineChars="0"/>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57">
    <w:nsid w:val="54F403B5"/>
    <w:multiLevelType w:val="singleLevel"/>
    <w:tmpl w:val="54F403B5"/>
    <w:lvl w:ilvl="0" w:tentative="0">
      <w:start w:val="1"/>
      <w:numFmt w:val="chineseCounting"/>
      <w:suff w:val="nothing"/>
      <w:lvlText w:val="%1、"/>
      <w:lvlJc w:val="left"/>
      <w:pPr>
        <w:ind w:left="0" w:firstLine="0"/>
      </w:pPr>
    </w:lvl>
  </w:abstractNum>
  <w:abstractNum w:abstractNumId="58">
    <w:nsid w:val="554BC7AC"/>
    <w:multiLevelType w:val="multilevel"/>
    <w:tmpl w:val="554BC7AC"/>
    <w:lvl w:ilvl="0" w:tentative="0">
      <w:start w:val="1"/>
      <w:numFmt w:val="none"/>
      <w:lvlText w:val="2"/>
      <w:lvlJc w:val="left"/>
      <w:pPr>
        <w:tabs>
          <w:tab w:val="left" w:pos="425"/>
        </w:tabs>
        <w:ind w:left="425" w:hanging="425"/>
      </w:pPr>
      <w:rPr>
        <w:rFonts w:hint="eastAsia"/>
      </w:rPr>
    </w:lvl>
    <w:lvl w:ilvl="1" w:tentative="0">
      <w:start w:val="1"/>
      <w:numFmt w:val="decimal"/>
      <w:lvlText w:val="%12.%2"/>
      <w:lvlJc w:val="left"/>
      <w:pPr>
        <w:tabs>
          <w:tab w:val="left" w:pos="567"/>
        </w:tabs>
        <w:ind w:left="567" w:leftChars="0" w:hanging="510" w:firstLineChars="0"/>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59">
    <w:nsid w:val="557FD3DA"/>
    <w:multiLevelType w:val="singleLevel"/>
    <w:tmpl w:val="557FD3DA"/>
    <w:lvl w:ilvl="0" w:tentative="0">
      <w:start w:val="3"/>
      <w:numFmt w:val="chineseCounting"/>
      <w:suff w:val="nothing"/>
      <w:lvlText w:val="%1、"/>
      <w:lvlJc w:val="left"/>
      <w:pPr>
        <w:ind w:left="0" w:firstLine="0"/>
      </w:pPr>
    </w:lvl>
  </w:abstractNum>
  <w:abstractNum w:abstractNumId="60">
    <w:nsid w:val="5D09876A"/>
    <w:multiLevelType w:val="multilevel"/>
    <w:tmpl w:val="5D09876A"/>
    <w:lvl w:ilvl="0" w:tentative="0">
      <w:start w:val="1"/>
      <w:numFmt w:val="none"/>
      <w:lvlText w:val="2"/>
      <w:lvlJc w:val="left"/>
      <w:pPr>
        <w:tabs>
          <w:tab w:val="left" w:pos="425"/>
        </w:tabs>
        <w:ind w:left="425" w:hanging="425"/>
      </w:pPr>
      <w:rPr>
        <w:rFonts w:hint="eastAsia"/>
      </w:rPr>
    </w:lvl>
    <w:lvl w:ilvl="1" w:tentative="0">
      <w:start w:val="1"/>
      <w:numFmt w:val="decimal"/>
      <w:lvlText w:val="%11.%2"/>
      <w:lvlJc w:val="left"/>
      <w:pPr>
        <w:tabs>
          <w:tab w:val="left" w:pos="567"/>
        </w:tabs>
        <w:ind w:left="567" w:leftChars="0" w:hanging="510" w:firstLineChars="0"/>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61">
    <w:nsid w:val="5FDF2B85"/>
    <w:multiLevelType w:val="multilevel"/>
    <w:tmpl w:val="5FDF2B85"/>
    <w:lvl w:ilvl="0" w:tentative="0">
      <w:start w:val="1"/>
      <w:numFmt w:val="none"/>
      <w:lvlText w:val="2"/>
      <w:lvlJc w:val="left"/>
      <w:pPr>
        <w:tabs>
          <w:tab w:val="left" w:pos="425"/>
        </w:tabs>
        <w:ind w:left="425" w:hanging="425"/>
      </w:pPr>
      <w:rPr>
        <w:rFonts w:hint="eastAsia"/>
      </w:rPr>
    </w:lvl>
    <w:lvl w:ilvl="1" w:tentative="0">
      <w:start w:val="1"/>
      <w:numFmt w:val="decimal"/>
      <w:lvlText w:val="%13.%2"/>
      <w:lvlJc w:val="left"/>
      <w:pPr>
        <w:tabs>
          <w:tab w:val="left" w:pos="567"/>
        </w:tabs>
        <w:ind w:left="567" w:leftChars="0" w:hanging="510" w:firstLineChars="0"/>
      </w:pPr>
      <w:rPr>
        <w:rFonts w:hint="eastAsia" w:ascii="楷体_GB2312" w:hAnsi="Arial" w:eastAsia="楷体_GB2312" w:cs="Arial"/>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62">
    <w:nsid w:val="65832174"/>
    <w:multiLevelType w:val="multilevel"/>
    <w:tmpl w:val="65832174"/>
    <w:lvl w:ilvl="0" w:tentative="0">
      <w:start w:val="1"/>
      <w:numFmt w:val="decimal"/>
      <w:lvlText w:val="%1)"/>
      <w:lvlJc w:val="left"/>
      <w:pPr>
        <w:ind w:left="530" w:hanging="420"/>
      </w:p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63">
    <w:nsid w:val="674716E4"/>
    <w:multiLevelType w:val="singleLevel"/>
    <w:tmpl w:val="674716E4"/>
    <w:lvl w:ilvl="0" w:tentative="0">
      <w:start w:val="1"/>
      <w:numFmt w:val="decimalEnclosedCircleChinese"/>
      <w:suff w:val="nothing"/>
      <w:lvlText w:val="%1　"/>
      <w:lvlJc w:val="left"/>
      <w:pPr>
        <w:ind w:firstLine="400"/>
      </w:pPr>
      <w:rPr>
        <w:rFonts w:hint="eastAsia" w:cs="Times New Roman"/>
      </w:rPr>
    </w:lvl>
  </w:abstractNum>
  <w:abstractNum w:abstractNumId="64">
    <w:nsid w:val="72FF3869"/>
    <w:multiLevelType w:val="multilevel"/>
    <w:tmpl w:val="72FF3869"/>
    <w:lvl w:ilvl="0" w:tentative="0">
      <w:start w:val="1"/>
      <w:numFmt w:val="decimal"/>
      <w:lvlText w:val="%1."/>
      <w:lvlJc w:val="left"/>
      <w:pPr>
        <w:tabs>
          <w:tab w:val="left" w:pos="567"/>
        </w:tabs>
        <w:ind w:left="567" w:leftChars="0" w:hanging="510" w:firstLineChars="0"/>
      </w:pPr>
      <w:rPr>
        <w:rFonts w:hint="eastAsia" w:ascii="楷体_GB2312" w:hAnsi="Arial" w:eastAsia="楷体_GB2312" w:cs="Arial"/>
        <w:b w:val="0"/>
      </w:rPr>
    </w:lvl>
    <w:lvl w:ilvl="1" w:tentative="0">
      <w:start w:val="0"/>
      <w:numFmt w:val="none"/>
      <w:lvlText w:val=""/>
      <w:lvlJc w:val="left"/>
      <w:pPr>
        <w:tabs>
          <w:tab w:val="left" w:pos="360"/>
        </w:tabs>
        <w:ind w:left="0" w:firstLine="0"/>
      </w:pPr>
    </w:lvl>
    <w:lvl w:ilvl="2" w:tentative="0">
      <w:start w:val="0"/>
      <w:numFmt w:val="none"/>
      <w:lvlText w:val=""/>
      <w:lvlJc w:val="left"/>
      <w:pPr>
        <w:tabs>
          <w:tab w:val="left" w:pos="360"/>
        </w:tabs>
        <w:ind w:left="0" w:firstLine="0"/>
      </w:pPr>
    </w:lvl>
    <w:lvl w:ilvl="3" w:tentative="0">
      <w:start w:val="0"/>
      <w:numFmt w:val="none"/>
      <w:lvlText w:val=""/>
      <w:lvlJc w:val="left"/>
      <w:pPr>
        <w:tabs>
          <w:tab w:val="left" w:pos="360"/>
        </w:tabs>
        <w:ind w:left="0" w:firstLine="0"/>
      </w:pPr>
    </w:lvl>
    <w:lvl w:ilvl="4" w:tentative="0">
      <w:start w:val="0"/>
      <w:numFmt w:val="none"/>
      <w:lvlText w:val=""/>
      <w:lvlJc w:val="left"/>
      <w:pPr>
        <w:tabs>
          <w:tab w:val="left" w:pos="360"/>
        </w:tabs>
        <w:ind w:left="0" w:firstLine="0"/>
      </w:pPr>
    </w:lvl>
    <w:lvl w:ilvl="5" w:tentative="0">
      <w:start w:val="0"/>
      <w:numFmt w:val="none"/>
      <w:lvlText w:val=""/>
      <w:lvlJc w:val="left"/>
      <w:pPr>
        <w:tabs>
          <w:tab w:val="left" w:pos="360"/>
        </w:tabs>
        <w:ind w:left="0" w:firstLine="0"/>
      </w:pPr>
    </w:lvl>
    <w:lvl w:ilvl="6" w:tentative="0">
      <w:start w:val="0"/>
      <w:numFmt w:val="none"/>
      <w:lvlText w:val=""/>
      <w:lvlJc w:val="left"/>
      <w:pPr>
        <w:tabs>
          <w:tab w:val="left" w:pos="360"/>
        </w:tabs>
        <w:ind w:left="0" w:firstLine="0"/>
      </w:pPr>
    </w:lvl>
    <w:lvl w:ilvl="7" w:tentative="0">
      <w:start w:val="0"/>
      <w:numFmt w:val="none"/>
      <w:lvlText w:val=""/>
      <w:lvlJc w:val="left"/>
      <w:pPr>
        <w:tabs>
          <w:tab w:val="left" w:pos="360"/>
        </w:tabs>
        <w:ind w:left="0" w:firstLine="0"/>
      </w:pPr>
    </w:lvl>
    <w:lvl w:ilvl="8" w:tentative="0">
      <w:start w:val="0"/>
      <w:numFmt w:val="none"/>
      <w:lvlText w:val=""/>
      <w:lvlJc w:val="left"/>
      <w:pPr>
        <w:tabs>
          <w:tab w:val="left" w:pos="360"/>
        </w:tabs>
        <w:ind w:left="0" w:firstLine="0"/>
      </w:pPr>
    </w:lvl>
  </w:abstractNum>
  <w:abstractNum w:abstractNumId="65">
    <w:nsid w:val="78B66B86"/>
    <w:multiLevelType w:val="multilevel"/>
    <w:tmpl w:val="78B66B86"/>
    <w:lvl w:ilvl="0" w:tentative="0">
      <w:start w:val="1"/>
      <w:numFmt w:val="decimal"/>
      <w:lvlText w:val="%1)"/>
      <w:lvlJc w:val="left"/>
      <w:pPr>
        <w:tabs>
          <w:tab w:val="left" w:pos="567"/>
        </w:tabs>
        <w:ind w:left="567" w:leftChars="0" w:hanging="510" w:firstLineChars="0"/>
      </w:pPr>
    </w:lvl>
    <w:lvl w:ilvl="1" w:tentative="0">
      <w:start w:val="1"/>
      <w:numFmt w:val="lowerLetter"/>
      <w:lvlText w:val="%2)"/>
      <w:lvlJc w:val="left"/>
      <w:pPr>
        <w:ind w:left="1282" w:hanging="420"/>
      </w:pPr>
    </w:lvl>
    <w:lvl w:ilvl="2" w:tentative="0">
      <w:start w:val="1"/>
      <w:numFmt w:val="lowerRoman"/>
      <w:lvlText w:val="%3."/>
      <w:lvlJc w:val="right"/>
      <w:pPr>
        <w:ind w:left="1702" w:hanging="420"/>
      </w:pPr>
    </w:lvl>
    <w:lvl w:ilvl="3" w:tentative="0">
      <w:start w:val="1"/>
      <w:numFmt w:val="decimal"/>
      <w:lvlText w:val="%4."/>
      <w:lvlJc w:val="left"/>
      <w:pPr>
        <w:ind w:left="2122" w:hanging="420"/>
      </w:pPr>
    </w:lvl>
    <w:lvl w:ilvl="4" w:tentative="0">
      <w:start w:val="1"/>
      <w:numFmt w:val="lowerLetter"/>
      <w:lvlText w:val="%5)"/>
      <w:lvlJc w:val="left"/>
      <w:pPr>
        <w:ind w:left="2542" w:hanging="420"/>
      </w:pPr>
    </w:lvl>
    <w:lvl w:ilvl="5" w:tentative="0">
      <w:start w:val="1"/>
      <w:numFmt w:val="lowerRoman"/>
      <w:lvlText w:val="%6."/>
      <w:lvlJc w:val="right"/>
      <w:pPr>
        <w:ind w:left="2962" w:hanging="420"/>
      </w:pPr>
    </w:lvl>
    <w:lvl w:ilvl="6" w:tentative="0">
      <w:start w:val="1"/>
      <w:numFmt w:val="decimal"/>
      <w:lvlText w:val="%7."/>
      <w:lvlJc w:val="left"/>
      <w:pPr>
        <w:ind w:left="3382" w:hanging="420"/>
      </w:pPr>
    </w:lvl>
    <w:lvl w:ilvl="7" w:tentative="0">
      <w:start w:val="1"/>
      <w:numFmt w:val="lowerLetter"/>
      <w:lvlText w:val="%8)"/>
      <w:lvlJc w:val="left"/>
      <w:pPr>
        <w:ind w:left="3802" w:hanging="420"/>
      </w:pPr>
    </w:lvl>
    <w:lvl w:ilvl="8" w:tentative="0">
      <w:start w:val="1"/>
      <w:numFmt w:val="lowerRoman"/>
      <w:lvlText w:val="%9."/>
      <w:lvlJc w:val="right"/>
      <w:pPr>
        <w:ind w:left="4222" w:hanging="420"/>
      </w:pPr>
    </w:lvl>
  </w:abstractNum>
  <w:abstractNum w:abstractNumId="66">
    <w:nsid w:val="7E579AB0"/>
    <w:multiLevelType w:val="singleLevel"/>
    <w:tmpl w:val="7E579AB0"/>
    <w:lvl w:ilvl="0" w:tentative="0">
      <w:start w:val="1"/>
      <w:numFmt w:val="decimalEnclosedCircleChinese"/>
      <w:lvlText w:val="%1　"/>
      <w:lvlJc w:val="left"/>
      <w:pPr>
        <w:tabs>
          <w:tab w:val="left" w:pos="567"/>
        </w:tabs>
        <w:ind w:left="567" w:leftChars="0" w:hanging="510" w:firstLineChars="0"/>
      </w:pPr>
      <w:rPr>
        <w:rFonts w:hint="eastAsia"/>
      </w:rPr>
    </w:lvl>
  </w:abstractNum>
  <w:num w:numId="1">
    <w:abstractNumId w:val="10"/>
  </w:num>
  <w:num w:numId="2">
    <w:abstractNumId w:val="49"/>
  </w:num>
  <w:num w:numId="3">
    <w:abstractNumId w:val="5"/>
  </w:num>
  <w:num w:numId="4">
    <w:abstractNumId w:val="37"/>
  </w:num>
  <w:num w:numId="5">
    <w:abstractNumId w:val="4"/>
  </w:num>
  <w:num w:numId="6">
    <w:abstractNumId w:val="8"/>
  </w:num>
  <w:num w:numId="7">
    <w:abstractNumId w:val="28"/>
  </w:num>
  <w:num w:numId="8">
    <w:abstractNumId w:val="9"/>
  </w:num>
  <w:num w:numId="9">
    <w:abstractNumId w:val="46"/>
  </w:num>
  <w:num w:numId="10">
    <w:abstractNumId w:val="34"/>
  </w:num>
  <w:num w:numId="11">
    <w:abstractNumId w:val="66"/>
  </w:num>
  <w:num w:numId="12">
    <w:abstractNumId w:val="61"/>
  </w:num>
  <w:num w:numId="13">
    <w:abstractNumId w:val="31"/>
  </w:num>
  <w:num w:numId="14">
    <w:abstractNumId w:val="2"/>
  </w:num>
  <w:num w:numId="15">
    <w:abstractNumId w:val="16"/>
  </w:num>
  <w:num w:numId="16">
    <w:abstractNumId w:val="47"/>
  </w:num>
  <w:num w:numId="17">
    <w:abstractNumId w:val="36"/>
  </w:num>
  <w:num w:numId="18">
    <w:abstractNumId w:val="55"/>
  </w:num>
  <w:num w:numId="19">
    <w:abstractNumId w:val="45"/>
  </w:num>
  <w:num w:numId="20">
    <w:abstractNumId w:val="33"/>
  </w:num>
  <w:num w:numId="21">
    <w:abstractNumId w:val="63"/>
  </w:num>
  <w:num w:numId="22">
    <w:abstractNumId w:val="50"/>
  </w:num>
  <w:num w:numId="23">
    <w:abstractNumId w:val="56"/>
  </w:num>
  <w:num w:numId="24">
    <w:abstractNumId w:val="1"/>
  </w:num>
  <w:num w:numId="25">
    <w:abstractNumId w:val="38"/>
  </w:num>
  <w:num w:numId="26">
    <w:abstractNumId w:val="39"/>
  </w:num>
  <w:num w:numId="27">
    <w:abstractNumId w:val="42"/>
  </w:num>
  <w:num w:numId="28">
    <w:abstractNumId w:val="43"/>
  </w:num>
  <w:num w:numId="29">
    <w:abstractNumId w:val="62"/>
  </w:num>
  <w:num w:numId="30">
    <w:abstractNumId w:val="22"/>
  </w:num>
  <w:num w:numId="31">
    <w:abstractNumId w:val="3"/>
  </w:num>
  <w:num w:numId="32">
    <w:abstractNumId w:val="35"/>
  </w:num>
  <w:num w:numId="33">
    <w:abstractNumId w:val="6"/>
  </w:num>
  <w:num w:numId="34">
    <w:abstractNumId w:val="7"/>
  </w:num>
  <w:num w:numId="35">
    <w:abstractNumId w:val="65"/>
  </w:num>
  <w:num w:numId="36">
    <w:abstractNumId w:val="17"/>
  </w:num>
  <w:num w:numId="37">
    <w:abstractNumId w:val="20"/>
  </w:num>
  <w:num w:numId="38">
    <w:abstractNumId w:val="48"/>
  </w:num>
  <w:num w:numId="39">
    <w:abstractNumId w:val="41"/>
  </w:num>
  <w:num w:numId="40">
    <w:abstractNumId w:val="21"/>
  </w:num>
  <w:num w:numId="41">
    <w:abstractNumId w:val="18"/>
  </w:num>
  <w:num w:numId="42">
    <w:abstractNumId w:val="60"/>
  </w:num>
  <w:num w:numId="43">
    <w:abstractNumId w:val="58"/>
  </w:num>
  <w:num w:numId="44">
    <w:abstractNumId w:val="64"/>
  </w:num>
  <w:num w:numId="45">
    <w:abstractNumId w:val="26"/>
  </w:num>
  <w:num w:numId="46">
    <w:abstractNumId w:val="32"/>
  </w:num>
  <w:num w:numId="47">
    <w:abstractNumId w:val="19"/>
  </w:num>
  <w:num w:numId="48">
    <w:abstractNumId w:val="14"/>
  </w:num>
  <w:num w:numId="49">
    <w:abstractNumId w:val="11"/>
  </w:num>
  <w:num w:numId="50">
    <w:abstractNumId w:val="29"/>
  </w:num>
  <w:num w:numId="51">
    <w:abstractNumId w:val="24"/>
  </w:num>
  <w:num w:numId="52">
    <w:abstractNumId w:val="30"/>
  </w:num>
  <w:num w:numId="53">
    <w:abstractNumId w:val="12"/>
  </w:num>
  <w:num w:numId="54">
    <w:abstractNumId w:val="25"/>
  </w:num>
  <w:num w:numId="55">
    <w:abstractNumId w:val="40"/>
  </w:num>
  <w:num w:numId="56">
    <w:abstractNumId w:val="44"/>
  </w:num>
  <w:num w:numId="57">
    <w:abstractNumId w:val="13"/>
  </w:num>
  <w:num w:numId="58">
    <w:abstractNumId w:val="53"/>
  </w:num>
  <w:num w:numId="59">
    <w:abstractNumId w:val="15"/>
  </w:num>
  <w:num w:numId="60">
    <w:abstractNumId w:val="23"/>
  </w:num>
  <w:num w:numId="61">
    <w:abstractNumId w:val="27"/>
  </w:num>
  <w:num w:numId="62">
    <w:abstractNumId w:val="0"/>
  </w:num>
  <w:num w:numId="63">
    <w:abstractNumId w:val="51"/>
  </w:num>
  <w:num w:numId="64">
    <w:abstractNumId w:val="52"/>
  </w:num>
  <w:num w:numId="65">
    <w:abstractNumId w:val="54"/>
  </w:num>
  <w:num w:numId="66">
    <w:abstractNumId w:val="57"/>
  </w:num>
  <w:num w:numId="67">
    <w:abstractNumId w:val="5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0"/>
  <w:bordersDoNotSurroundFooter w:val="0"/>
  <w:hideSpellingErrors/>
  <w:trackRevisions w:val="1"/>
  <w:documentProtection w:enforcement="0"/>
  <w:defaultTabStop w:val="420"/>
  <w:drawingGridHorizontalSpacing w:val="105"/>
  <w:drawingGridVerticalSpacing w:val="381"/>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U1NGY3NmViZTg5YmI1YTE1NWEyNzNjZDY1YzQ3YzMifQ=="/>
  </w:docVars>
  <w:rsids>
    <w:rsidRoot w:val="00C0263E"/>
    <w:rsid w:val="000009F5"/>
    <w:rsid w:val="0000118C"/>
    <w:rsid w:val="00001380"/>
    <w:rsid w:val="00002CB1"/>
    <w:rsid w:val="0000340D"/>
    <w:rsid w:val="00003A66"/>
    <w:rsid w:val="000053C0"/>
    <w:rsid w:val="000066EF"/>
    <w:rsid w:val="00007C55"/>
    <w:rsid w:val="00007D33"/>
    <w:rsid w:val="00011067"/>
    <w:rsid w:val="000115A8"/>
    <w:rsid w:val="00014395"/>
    <w:rsid w:val="00014590"/>
    <w:rsid w:val="00014C8E"/>
    <w:rsid w:val="00015251"/>
    <w:rsid w:val="000157E0"/>
    <w:rsid w:val="0001618C"/>
    <w:rsid w:val="00016208"/>
    <w:rsid w:val="0001692C"/>
    <w:rsid w:val="00016969"/>
    <w:rsid w:val="000229EB"/>
    <w:rsid w:val="000237A7"/>
    <w:rsid w:val="000238E0"/>
    <w:rsid w:val="00023A93"/>
    <w:rsid w:val="00023BA5"/>
    <w:rsid w:val="0002481A"/>
    <w:rsid w:val="00025CDD"/>
    <w:rsid w:val="00026C3B"/>
    <w:rsid w:val="000301C4"/>
    <w:rsid w:val="0003039C"/>
    <w:rsid w:val="00030937"/>
    <w:rsid w:val="00033B38"/>
    <w:rsid w:val="00034BF8"/>
    <w:rsid w:val="00034E38"/>
    <w:rsid w:val="00035750"/>
    <w:rsid w:val="00035CCB"/>
    <w:rsid w:val="00036E25"/>
    <w:rsid w:val="00040402"/>
    <w:rsid w:val="0004164F"/>
    <w:rsid w:val="00042E2F"/>
    <w:rsid w:val="00043009"/>
    <w:rsid w:val="000444E6"/>
    <w:rsid w:val="0004573A"/>
    <w:rsid w:val="0005052D"/>
    <w:rsid w:val="000506B4"/>
    <w:rsid w:val="000515F3"/>
    <w:rsid w:val="00052EC4"/>
    <w:rsid w:val="000548DE"/>
    <w:rsid w:val="00054D5C"/>
    <w:rsid w:val="00054FC6"/>
    <w:rsid w:val="000560AE"/>
    <w:rsid w:val="00060505"/>
    <w:rsid w:val="000611E3"/>
    <w:rsid w:val="000622C1"/>
    <w:rsid w:val="0006286C"/>
    <w:rsid w:val="00063E50"/>
    <w:rsid w:val="0006448F"/>
    <w:rsid w:val="000649D3"/>
    <w:rsid w:val="000665E3"/>
    <w:rsid w:val="000671DC"/>
    <w:rsid w:val="0007024A"/>
    <w:rsid w:val="00070481"/>
    <w:rsid w:val="0007050C"/>
    <w:rsid w:val="000722C5"/>
    <w:rsid w:val="00072310"/>
    <w:rsid w:val="0007247B"/>
    <w:rsid w:val="00073304"/>
    <w:rsid w:val="00074B78"/>
    <w:rsid w:val="00075C22"/>
    <w:rsid w:val="00076686"/>
    <w:rsid w:val="0008019F"/>
    <w:rsid w:val="000803DE"/>
    <w:rsid w:val="000811D4"/>
    <w:rsid w:val="00081E28"/>
    <w:rsid w:val="0008207A"/>
    <w:rsid w:val="000832C8"/>
    <w:rsid w:val="00083799"/>
    <w:rsid w:val="000861D1"/>
    <w:rsid w:val="0008646C"/>
    <w:rsid w:val="000873E1"/>
    <w:rsid w:val="00087F08"/>
    <w:rsid w:val="00090259"/>
    <w:rsid w:val="00092D6D"/>
    <w:rsid w:val="000930EA"/>
    <w:rsid w:val="00094254"/>
    <w:rsid w:val="00095884"/>
    <w:rsid w:val="000966E8"/>
    <w:rsid w:val="00096ABD"/>
    <w:rsid w:val="000A0528"/>
    <w:rsid w:val="000A144D"/>
    <w:rsid w:val="000A328D"/>
    <w:rsid w:val="000A390D"/>
    <w:rsid w:val="000A3F6F"/>
    <w:rsid w:val="000A4DF8"/>
    <w:rsid w:val="000A5466"/>
    <w:rsid w:val="000A5ADF"/>
    <w:rsid w:val="000A63F5"/>
    <w:rsid w:val="000A7842"/>
    <w:rsid w:val="000B09D6"/>
    <w:rsid w:val="000B09F3"/>
    <w:rsid w:val="000B1182"/>
    <w:rsid w:val="000B1199"/>
    <w:rsid w:val="000B1688"/>
    <w:rsid w:val="000B36A7"/>
    <w:rsid w:val="000B5427"/>
    <w:rsid w:val="000B5DD6"/>
    <w:rsid w:val="000B5FCA"/>
    <w:rsid w:val="000B6132"/>
    <w:rsid w:val="000C2262"/>
    <w:rsid w:val="000C27EC"/>
    <w:rsid w:val="000C3D0E"/>
    <w:rsid w:val="000C5FB8"/>
    <w:rsid w:val="000C7809"/>
    <w:rsid w:val="000C7CBF"/>
    <w:rsid w:val="000D3013"/>
    <w:rsid w:val="000D3236"/>
    <w:rsid w:val="000D73D9"/>
    <w:rsid w:val="000D7C89"/>
    <w:rsid w:val="000E2193"/>
    <w:rsid w:val="000E2A62"/>
    <w:rsid w:val="000E4534"/>
    <w:rsid w:val="000E6B70"/>
    <w:rsid w:val="000E75FB"/>
    <w:rsid w:val="000F0294"/>
    <w:rsid w:val="000F1CB3"/>
    <w:rsid w:val="000F2728"/>
    <w:rsid w:val="000F33BB"/>
    <w:rsid w:val="000F3619"/>
    <w:rsid w:val="000F5693"/>
    <w:rsid w:val="000F64BF"/>
    <w:rsid w:val="000F79A4"/>
    <w:rsid w:val="000F7AE5"/>
    <w:rsid w:val="000F7C73"/>
    <w:rsid w:val="00101644"/>
    <w:rsid w:val="00101A77"/>
    <w:rsid w:val="00101AC0"/>
    <w:rsid w:val="001020F4"/>
    <w:rsid w:val="00103097"/>
    <w:rsid w:val="001030C3"/>
    <w:rsid w:val="001030C6"/>
    <w:rsid w:val="0010568D"/>
    <w:rsid w:val="001064A6"/>
    <w:rsid w:val="0010684A"/>
    <w:rsid w:val="00107EF0"/>
    <w:rsid w:val="00112030"/>
    <w:rsid w:val="00114920"/>
    <w:rsid w:val="001156FE"/>
    <w:rsid w:val="001238DD"/>
    <w:rsid w:val="00123BAD"/>
    <w:rsid w:val="00124127"/>
    <w:rsid w:val="00126280"/>
    <w:rsid w:val="001263CA"/>
    <w:rsid w:val="001266BF"/>
    <w:rsid w:val="00130AF0"/>
    <w:rsid w:val="00131E83"/>
    <w:rsid w:val="0013221F"/>
    <w:rsid w:val="001325EF"/>
    <w:rsid w:val="00132C17"/>
    <w:rsid w:val="00133211"/>
    <w:rsid w:val="00134351"/>
    <w:rsid w:val="00134F4E"/>
    <w:rsid w:val="00136160"/>
    <w:rsid w:val="0013760C"/>
    <w:rsid w:val="001377FC"/>
    <w:rsid w:val="00137F40"/>
    <w:rsid w:val="00140223"/>
    <w:rsid w:val="001424BC"/>
    <w:rsid w:val="00142EB9"/>
    <w:rsid w:val="00143117"/>
    <w:rsid w:val="0014546D"/>
    <w:rsid w:val="00146114"/>
    <w:rsid w:val="0014791A"/>
    <w:rsid w:val="001508A1"/>
    <w:rsid w:val="00150AA7"/>
    <w:rsid w:val="001528B3"/>
    <w:rsid w:val="001528EB"/>
    <w:rsid w:val="00152A36"/>
    <w:rsid w:val="001547EB"/>
    <w:rsid w:val="0015505B"/>
    <w:rsid w:val="00155310"/>
    <w:rsid w:val="00155C3B"/>
    <w:rsid w:val="00156F66"/>
    <w:rsid w:val="00157F77"/>
    <w:rsid w:val="0016030B"/>
    <w:rsid w:val="00160445"/>
    <w:rsid w:val="00161CFC"/>
    <w:rsid w:val="00161EA2"/>
    <w:rsid w:val="00161ECC"/>
    <w:rsid w:val="00162A58"/>
    <w:rsid w:val="00162E8F"/>
    <w:rsid w:val="00163C20"/>
    <w:rsid w:val="00165188"/>
    <w:rsid w:val="00165F5B"/>
    <w:rsid w:val="001671DC"/>
    <w:rsid w:val="0016795B"/>
    <w:rsid w:val="00167ACA"/>
    <w:rsid w:val="00170B47"/>
    <w:rsid w:val="00170C20"/>
    <w:rsid w:val="00170E49"/>
    <w:rsid w:val="0017187B"/>
    <w:rsid w:val="00174EB3"/>
    <w:rsid w:val="001754BF"/>
    <w:rsid w:val="00175520"/>
    <w:rsid w:val="00175E74"/>
    <w:rsid w:val="00177526"/>
    <w:rsid w:val="00180634"/>
    <w:rsid w:val="00180C7B"/>
    <w:rsid w:val="00181085"/>
    <w:rsid w:val="0018186B"/>
    <w:rsid w:val="00182129"/>
    <w:rsid w:val="00183F0E"/>
    <w:rsid w:val="00184846"/>
    <w:rsid w:val="00186674"/>
    <w:rsid w:val="001866ED"/>
    <w:rsid w:val="00186E54"/>
    <w:rsid w:val="00187CAD"/>
    <w:rsid w:val="0019131A"/>
    <w:rsid w:val="00193B17"/>
    <w:rsid w:val="0019491C"/>
    <w:rsid w:val="0019588E"/>
    <w:rsid w:val="00195C4F"/>
    <w:rsid w:val="0019610B"/>
    <w:rsid w:val="001966EF"/>
    <w:rsid w:val="00197748"/>
    <w:rsid w:val="00197786"/>
    <w:rsid w:val="00197CB8"/>
    <w:rsid w:val="001A2414"/>
    <w:rsid w:val="001A370B"/>
    <w:rsid w:val="001A441F"/>
    <w:rsid w:val="001A4BA7"/>
    <w:rsid w:val="001A57FC"/>
    <w:rsid w:val="001A687D"/>
    <w:rsid w:val="001A6C5A"/>
    <w:rsid w:val="001B0BAA"/>
    <w:rsid w:val="001B1B9B"/>
    <w:rsid w:val="001B2696"/>
    <w:rsid w:val="001B28CB"/>
    <w:rsid w:val="001B45D2"/>
    <w:rsid w:val="001B5B34"/>
    <w:rsid w:val="001C0431"/>
    <w:rsid w:val="001C0FC5"/>
    <w:rsid w:val="001C1820"/>
    <w:rsid w:val="001C239E"/>
    <w:rsid w:val="001C4F6D"/>
    <w:rsid w:val="001C5219"/>
    <w:rsid w:val="001C5EFC"/>
    <w:rsid w:val="001D11DE"/>
    <w:rsid w:val="001D2CF5"/>
    <w:rsid w:val="001D401E"/>
    <w:rsid w:val="001D4025"/>
    <w:rsid w:val="001D542B"/>
    <w:rsid w:val="001D5DDD"/>
    <w:rsid w:val="001D63C0"/>
    <w:rsid w:val="001D6B9A"/>
    <w:rsid w:val="001D6CA6"/>
    <w:rsid w:val="001D7241"/>
    <w:rsid w:val="001D7551"/>
    <w:rsid w:val="001D76AB"/>
    <w:rsid w:val="001E013B"/>
    <w:rsid w:val="001E376F"/>
    <w:rsid w:val="001E5262"/>
    <w:rsid w:val="001E66DD"/>
    <w:rsid w:val="001E7237"/>
    <w:rsid w:val="001E726C"/>
    <w:rsid w:val="001F24A5"/>
    <w:rsid w:val="001F362D"/>
    <w:rsid w:val="001F3B6E"/>
    <w:rsid w:val="001F430D"/>
    <w:rsid w:val="001F5880"/>
    <w:rsid w:val="001F69BE"/>
    <w:rsid w:val="00201E84"/>
    <w:rsid w:val="00201FC4"/>
    <w:rsid w:val="00205213"/>
    <w:rsid w:val="0020571F"/>
    <w:rsid w:val="00211497"/>
    <w:rsid w:val="002114C3"/>
    <w:rsid w:val="00212117"/>
    <w:rsid w:val="00213222"/>
    <w:rsid w:val="00214475"/>
    <w:rsid w:val="00214568"/>
    <w:rsid w:val="00216E04"/>
    <w:rsid w:val="00217341"/>
    <w:rsid w:val="00217721"/>
    <w:rsid w:val="00217E51"/>
    <w:rsid w:val="00220A8C"/>
    <w:rsid w:val="00221867"/>
    <w:rsid w:val="002225DC"/>
    <w:rsid w:val="002241B4"/>
    <w:rsid w:val="00224B8F"/>
    <w:rsid w:val="00225F76"/>
    <w:rsid w:val="00226492"/>
    <w:rsid w:val="0022687E"/>
    <w:rsid w:val="00231563"/>
    <w:rsid w:val="00233E84"/>
    <w:rsid w:val="002352A0"/>
    <w:rsid w:val="002356C2"/>
    <w:rsid w:val="002357FB"/>
    <w:rsid w:val="002358F4"/>
    <w:rsid w:val="0023642E"/>
    <w:rsid w:val="00240C65"/>
    <w:rsid w:val="00241F03"/>
    <w:rsid w:val="00242271"/>
    <w:rsid w:val="00242B3E"/>
    <w:rsid w:val="00243AC5"/>
    <w:rsid w:val="00243B0E"/>
    <w:rsid w:val="00244F16"/>
    <w:rsid w:val="00245B20"/>
    <w:rsid w:val="00246320"/>
    <w:rsid w:val="0024772A"/>
    <w:rsid w:val="00250036"/>
    <w:rsid w:val="00251A22"/>
    <w:rsid w:val="0025244C"/>
    <w:rsid w:val="00254330"/>
    <w:rsid w:val="00254A99"/>
    <w:rsid w:val="00256997"/>
    <w:rsid w:val="002602F6"/>
    <w:rsid w:val="00260378"/>
    <w:rsid w:val="00264B34"/>
    <w:rsid w:val="002652D9"/>
    <w:rsid w:val="002659A6"/>
    <w:rsid w:val="0026651F"/>
    <w:rsid w:val="0026686D"/>
    <w:rsid w:val="002712BB"/>
    <w:rsid w:val="00271B69"/>
    <w:rsid w:val="00272CB0"/>
    <w:rsid w:val="00275C95"/>
    <w:rsid w:val="002768CF"/>
    <w:rsid w:val="002770B7"/>
    <w:rsid w:val="00277460"/>
    <w:rsid w:val="00280A65"/>
    <w:rsid w:val="00280FEF"/>
    <w:rsid w:val="0028109A"/>
    <w:rsid w:val="00281DDC"/>
    <w:rsid w:val="00282FD5"/>
    <w:rsid w:val="00283B1E"/>
    <w:rsid w:val="00285AAF"/>
    <w:rsid w:val="00286DD8"/>
    <w:rsid w:val="00286F17"/>
    <w:rsid w:val="00287A2E"/>
    <w:rsid w:val="0029043C"/>
    <w:rsid w:val="00290CB4"/>
    <w:rsid w:val="00291B72"/>
    <w:rsid w:val="00291D32"/>
    <w:rsid w:val="0029218D"/>
    <w:rsid w:val="00292455"/>
    <w:rsid w:val="00292814"/>
    <w:rsid w:val="002928CA"/>
    <w:rsid w:val="00294454"/>
    <w:rsid w:val="00295525"/>
    <w:rsid w:val="00295F60"/>
    <w:rsid w:val="002A02F3"/>
    <w:rsid w:val="002A051B"/>
    <w:rsid w:val="002A28B3"/>
    <w:rsid w:val="002A6B85"/>
    <w:rsid w:val="002A6BD5"/>
    <w:rsid w:val="002B038E"/>
    <w:rsid w:val="002B0545"/>
    <w:rsid w:val="002B066A"/>
    <w:rsid w:val="002B0A1B"/>
    <w:rsid w:val="002B1B8F"/>
    <w:rsid w:val="002B1C31"/>
    <w:rsid w:val="002B2154"/>
    <w:rsid w:val="002B41F4"/>
    <w:rsid w:val="002B4A6A"/>
    <w:rsid w:val="002B4D23"/>
    <w:rsid w:val="002B7F08"/>
    <w:rsid w:val="002C2E5B"/>
    <w:rsid w:val="002C3295"/>
    <w:rsid w:val="002C58AB"/>
    <w:rsid w:val="002C64A3"/>
    <w:rsid w:val="002C6AE5"/>
    <w:rsid w:val="002D0A09"/>
    <w:rsid w:val="002D2571"/>
    <w:rsid w:val="002D3563"/>
    <w:rsid w:val="002D6CCA"/>
    <w:rsid w:val="002D7C9E"/>
    <w:rsid w:val="002E09BA"/>
    <w:rsid w:val="002E0B9B"/>
    <w:rsid w:val="002E1874"/>
    <w:rsid w:val="002E1F1D"/>
    <w:rsid w:val="002E3588"/>
    <w:rsid w:val="002E369D"/>
    <w:rsid w:val="002E414F"/>
    <w:rsid w:val="002E4D98"/>
    <w:rsid w:val="002E4FC2"/>
    <w:rsid w:val="002E621E"/>
    <w:rsid w:val="002E7FC6"/>
    <w:rsid w:val="002F1A8C"/>
    <w:rsid w:val="002F205E"/>
    <w:rsid w:val="002F2128"/>
    <w:rsid w:val="002F4EE5"/>
    <w:rsid w:val="002F6F42"/>
    <w:rsid w:val="002F74AD"/>
    <w:rsid w:val="0030357F"/>
    <w:rsid w:val="003049BB"/>
    <w:rsid w:val="003051A4"/>
    <w:rsid w:val="00306C91"/>
    <w:rsid w:val="00307EEB"/>
    <w:rsid w:val="00307F4F"/>
    <w:rsid w:val="00310B99"/>
    <w:rsid w:val="00311763"/>
    <w:rsid w:val="00311CAC"/>
    <w:rsid w:val="00311E34"/>
    <w:rsid w:val="0031250D"/>
    <w:rsid w:val="00313693"/>
    <w:rsid w:val="003149C7"/>
    <w:rsid w:val="00314D0E"/>
    <w:rsid w:val="00314DC2"/>
    <w:rsid w:val="00315B4A"/>
    <w:rsid w:val="00315C51"/>
    <w:rsid w:val="00315EDD"/>
    <w:rsid w:val="00316A41"/>
    <w:rsid w:val="0032241D"/>
    <w:rsid w:val="003227D9"/>
    <w:rsid w:val="00325D8E"/>
    <w:rsid w:val="00326910"/>
    <w:rsid w:val="00330173"/>
    <w:rsid w:val="003306ED"/>
    <w:rsid w:val="003316FD"/>
    <w:rsid w:val="00331756"/>
    <w:rsid w:val="00331834"/>
    <w:rsid w:val="003337FC"/>
    <w:rsid w:val="00333B48"/>
    <w:rsid w:val="0033453F"/>
    <w:rsid w:val="00335FD1"/>
    <w:rsid w:val="0033603E"/>
    <w:rsid w:val="003367B8"/>
    <w:rsid w:val="0033694B"/>
    <w:rsid w:val="00336994"/>
    <w:rsid w:val="0033791E"/>
    <w:rsid w:val="00337E75"/>
    <w:rsid w:val="00341BF5"/>
    <w:rsid w:val="00342785"/>
    <w:rsid w:val="0034347F"/>
    <w:rsid w:val="003445DC"/>
    <w:rsid w:val="0034506F"/>
    <w:rsid w:val="0034675A"/>
    <w:rsid w:val="00346D10"/>
    <w:rsid w:val="003475ED"/>
    <w:rsid w:val="003478BA"/>
    <w:rsid w:val="00347A0A"/>
    <w:rsid w:val="00350E2E"/>
    <w:rsid w:val="003527E3"/>
    <w:rsid w:val="00352E06"/>
    <w:rsid w:val="003564E1"/>
    <w:rsid w:val="00356990"/>
    <w:rsid w:val="00356D20"/>
    <w:rsid w:val="00360BC0"/>
    <w:rsid w:val="00360D09"/>
    <w:rsid w:val="003612EF"/>
    <w:rsid w:val="00361E7B"/>
    <w:rsid w:val="00362A3D"/>
    <w:rsid w:val="003676A9"/>
    <w:rsid w:val="00370352"/>
    <w:rsid w:val="003706F7"/>
    <w:rsid w:val="00371F2C"/>
    <w:rsid w:val="0037242E"/>
    <w:rsid w:val="00372732"/>
    <w:rsid w:val="00372A07"/>
    <w:rsid w:val="00372CDC"/>
    <w:rsid w:val="00372D8B"/>
    <w:rsid w:val="00372E07"/>
    <w:rsid w:val="0037534C"/>
    <w:rsid w:val="00375AEB"/>
    <w:rsid w:val="0037609C"/>
    <w:rsid w:val="00377834"/>
    <w:rsid w:val="003802B8"/>
    <w:rsid w:val="00380F44"/>
    <w:rsid w:val="00382420"/>
    <w:rsid w:val="00382AE9"/>
    <w:rsid w:val="00383814"/>
    <w:rsid w:val="00383844"/>
    <w:rsid w:val="003839ED"/>
    <w:rsid w:val="00384395"/>
    <w:rsid w:val="00384768"/>
    <w:rsid w:val="00384FE1"/>
    <w:rsid w:val="0038509B"/>
    <w:rsid w:val="00385F49"/>
    <w:rsid w:val="00390522"/>
    <w:rsid w:val="00391BB8"/>
    <w:rsid w:val="00393AB0"/>
    <w:rsid w:val="00394A83"/>
    <w:rsid w:val="00394DE2"/>
    <w:rsid w:val="003973EC"/>
    <w:rsid w:val="003A0DB0"/>
    <w:rsid w:val="003A18AB"/>
    <w:rsid w:val="003A1B28"/>
    <w:rsid w:val="003A3092"/>
    <w:rsid w:val="003A445D"/>
    <w:rsid w:val="003A5399"/>
    <w:rsid w:val="003A5A52"/>
    <w:rsid w:val="003A5B10"/>
    <w:rsid w:val="003A600E"/>
    <w:rsid w:val="003A6762"/>
    <w:rsid w:val="003A6AC6"/>
    <w:rsid w:val="003A6F84"/>
    <w:rsid w:val="003B0436"/>
    <w:rsid w:val="003B0B28"/>
    <w:rsid w:val="003B134F"/>
    <w:rsid w:val="003B19DA"/>
    <w:rsid w:val="003B2058"/>
    <w:rsid w:val="003B2DEF"/>
    <w:rsid w:val="003B4F56"/>
    <w:rsid w:val="003B5C88"/>
    <w:rsid w:val="003B6F69"/>
    <w:rsid w:val="003B7911"/>
    <w:rsid w:val="003C062B"/>
    <w:rsid w:val="003C1C86"/>
    <w:rsid w:val="003C22CE"/>
    <w:rsid w:val="003C2C1C"/>
    <w:rsid w:val="003C5248"/>
    <w:rsid w:val="003C527B"/>
    <w:rsid w:val="003C5441"/>
    <w:rsid w:val="003C5F9D"/>
    <w:rsid w:val="003C6940"/>
    <w:rsid w:val="003C7017"/>
    <w:rsid w:val="003C7F0C"/>
    <w:rsid w:val="003D06B1"/>
    <w:rsid w:val="003D0900"/>
    <w:rsid w:val="003D0D18"/>
    <w:rsid w:val="003D1EC8"/>
    <w:rsid w:val="003D360E"/>
    <w:rsid w:val="003D382E"/>
    <w:rsid w:val="003D5126"/>
    <w:rsid w:val="003D689D"/>
    <w:rsid w:val="003D6E91"/>
    <w:rsid w:val="003D7CE8"/>
    <w:rsid w:val="003E1388"/>
    <w:rsid w:val="003E1B3A"/>
    <w:rsid w:val="003E31FB"/>
    <w:rsid w:val="003E3905"/>
    <w:rsid w:val="003E3CFF"/>
    <w:rsid w:val="003E4F3E"/>
    <w:rsid w:val="003E50DF"/>
    <w:rsid w:val="003E5932"/>
    <w:rsid w:val="003E66DE"/>
    <w:rsid w:val="003E7E19"/>
    <w:rsid w:val="003F1618"/>
    <w:rsid w:val="003F1DEC"/>
    <w:rsid w:val="003F21CF"/>
    <w:rsid w:val="003F279A"/>
    <w:rsid w:val="003F29BD"/>
    <w:rsid w:val="003F3104"/>
    <w:rsid w:val="003F46CF"/>
    <w:rsid w:val="003F4CA7"/>
    <w:rsid w:val="003F5868"/>
    <w:rsid w:val="003F6C73"/>
    <w:rsid w:val="003F7552"/>
    <w:rsid w:val="00401278"/>
    <w:rsid w:val="0040174F"/>
    <w:rsid w:val="0040240A"/>
    <w:rsid w:val="00402BF2"/>
    <w:rsid w:val="00403D22"/>
    <w:rsid w:val="00405E4E"/>
    <w:rsid w:val="00406893"/>
    <w:rsid w:val="00410A3B"/>
    <w:rsid w:val="00410D1B"/>
    <w:rsid w:val="004115FE"/>
    <w:rsid w:val="00413595"/>
    <w:rsid w:val="00413B2D"/>
    <w:rsid w:val="00413F45"/>
    <w:rsid w:val="00415266"/>
    <w:rsid w:val="00415935"/>
    <w:rsid w:val="00415D57"/>
    <w:rsid w:val="004179AC"/>
    <w:rsid w:val="00420438"/>
    <w:rsid w:val="00420A03"/>
    <w:rsid w:val="0042103B"/>
    <w:rsid w:val="00421DA6"/>
    <w:rsid w:val="00423A55"/>
    <w:rsid w:val="00424BCF"/>
    <w:rsid w:val="00425EA7"/>
    <w:rsid w:val="00425FF5"/>
    <w:rsid w:val="00426345"/>
    <w:rsid w:val="00426A16"/>
    <w:rsid w:val="00426C0F"/>
    <w:rsid w:val="00426CD8"/>
    <w:rsid w:val="00426F87"/>
    <w:rsid w:val="0042780F"/>
    <w:rsid w:val="00427BC7"/>
    <w:rsid w:val="00431753"/>
    <w:rsid w:val="0043374D"/>
    <w:rsid w:val="00433AEE"/>
    <w:rsid w:val="00434D28"/>
    <w:rsid w:val="00434D51"/>
    <w:rsid w:val="0043715C"/>
    <w:rsid w:val="00437627"/>
    <w:rsid w:val="00440128"/>
    <w:rsid w:val="00440CB1"/>
    <w:rsid w:val="004415C4"/>
    <w:rsid w:val="0044172D"/>
    <w:rsid w:val="00441E1D"/>
    <w:rsid w:val="00442574"/>
    <w:rsid w:val="004435FD"/>
    <w:rsid w:val="00443743"/>
    <w:rsid w:val="00443A57"/>
    <w:rsid w:val="00444956"/>
    <w:rsid w:val="00444E15"/>
    <w:rsid w:val="00446142"/>
    <w:rsid w:val="00446780"/>
    <w:rsid w:val="00446A8C"/>
    <w:rsid w:val="00447DCA"/>
    <w:rsid w:val="0045017E"/>
    <w:rsid w:val="00450328"/>
    <w:rsid w:val="00451F48"/>
    <w:rsid w:val="00452478"/>
    <w:rsid w:val="00453521"/>
    <w:rsid w:val="00454978"/>
    <w:rsid w:val="00454D15"/>
    <w:rsid w:val="004552D9"/>
    <w:rsid w:val="00456127"/>
    <w:rsid w:val="00457069"/>
    <w:rsid w:val="00457C6C"/>
    <w:rsid w:val="0046048E"/>
    <w:rsid w:val="00460743"/>
    <w:rsid w:val="004652EE"/>
    <w:rsid w:val="00465E8E"/>
    <w:rsid w:val="00467509"/>
    <w:rsid w:val="004718DC"/>
    <w:rsid w:val="00472C88"/>
    <w:rsid w:val="00475851"/>
    <w:rsid w:val="004761D2"/>
    <w:rsid w:val="00476775"/>
    <w:rsid w:val="00476E26"/>
    <w:rsid w:val="004819A1"/>
    <w:rsid w:val="004819E1"/>
    <w:rsid w:val="00481A01"/>
    <w:rsid w:val="00485076"/>
    <w:rsid w:val="00485212"/>
    <w:rsid w:val="0048774A"/>
    <w:rsid w:val="00487C5F"/>
    <w:rsid w:val="00487FE2"/>
    <w:rsid w:val="00496FF4"/>
    <w:rsid w:val="00497DD5"/>
    <w:rsid w:val="004A0195"/>
    <w:rsid w:val="004A081D"/>
    <w:rsid w:val="004A1424"/>
    <w:rsid w:val="004A1DBF"/>
    <w:rsid w:val="004A2722"/>
    <w:rsid w:val="004A47C8"/>
    <w:rsid w:val="004A4BB3"/>
    <w:rsid w:val="004A5B46"/>
    <w:rsid w:val="004A622C"/>
    <w:rsid w:val="004A7735"/>
    <w:rsid w:val="004A7F41"/>
    <w:rsid w:val="004B0DA9"/>
    <w:rsid w:val="004B1CFB"/>
    <w:rsid w:val="004B2188"/>
    <w:rsid w:val="004B2353"/>
    <w:rsid w:val="004B2461"/>
    <w:rsid w:val="004B27CE"/>
    <w:rsid w:val="004B481A"/>
    <w:rsid w:val="004C120E"/>
    <w:rsid w:val="004C1BB5"/>
    <w:rsid w:val="004C30FF"/>
    <w:rsid w:val="004C320B"/>
    <w:rsid w:val="004C40CD"/>
    <w:rsid w:val="004C4CF2"/>
    <w:rsid w:val="004C5FD5"/>
    <w:rsid w:val="004C6222"/>
    <w:rsid w:val="004C6CB1"/>
    <w:rsid w:val="004D27C2"/>
    <w:rsid w:val="004D2C24"/>
    <w:rsid w:val="004D3753"/>
    <w:rsid w:val="004D50DA"/>
    <w:rsid w:val="004D58A7"/>
    <w:rsid w:val="004D61B2"/>
    <w:rsid w:val="004D67B5"/>
    <w:rsid w:val="004D6E68"/>
    <w:rsid w:val="004D7426"/>
    <w:rsid w:val="004D762F"/>
    <w:rsid w:val="004E1C43"/>
    <w:rsid w:val="004E1DF9"/>
    <w:rsid w:val="004E2883"/>
    <w:rsid w:val="004E2A89"/>
    <w:rsid w:val="004E662E"/>
    <w:rsid w:val="004E7A7B"/>
    <w:rsid w:val="004E7E25"/>
    <w:rsid w:val="004F0A29"/>
    <w:rsid w:val="004F266F"/>
    <w:rsid w:val="004F2956"/>
    <w:rsid w:val="004F2B35"/>
    <w:rsid w:val="004F2EF1"/>
    <w:rsid w:val="004F31EF"/>
    <w:rsid w:val="004F3BAC"/>
    <w:rsid w:val="004F413C"/>
    <w:rsid w:val="004F4CB1"/>
    <w:rsid w:val="004F4F3B"/>
    <w:rsid w:val="004F5B81"/>
    <w:rsid w:val="004F6902"/>
    <w:rsid w:val="004F6D20"/>
    <w:rsid w:val="004F70F5"/>
    <w:rsid w:val="004F7551"/>
    <w:rsid w:val="00501542"/>
    <w:rsid w:val="00501E25"/>
    <w:rsid w:val="005022C1"/>
    <w:rsid w:val="00504C8A"/>
    <w:rsid w:val="00507C38"/>
    <w:rsid w:val="00507DE6"/>
    <w:rsid w:val="005120A7"/>
    <w:rsid w:val="00513AB9"/>
    <w:rsid w:val="00513E50"/>
    <w:rsid w:val="0051489B"/>
    <w:rsid w:val="005155A9"/>
    <w:rsid w:val="00515FE8"/>
    <w:rsid w:val="00517287"/>
    <w:rsid w:val="0052226E"/>
    <w:rsid w:val="00523418"/>
    <w:rsid w:val="005236FC"/>
    <w:rsid w:val="0052498F"/>
    <w:rsid w:val="00526AE5"/>
    <w:rsid w:val="00531F18"/>
    <w:rsid w:val="00532116"/>
    <w:rsid w:val="005331D1"/>
    <w:rsid w:val="00533354"/>
    <w:rsid w:val="00533A01"/>
    <w:rsid w:val="0053581D"/>
    <w:rsid w:val="005361A6"/>
    <w:rsid w:val="005365A4"/>
    <w:rsid w:val="00537641"/>
    <w:rsid w:val="00537895"/>
    <w:rsid w:val="00540439"/>
    <w:rsid w:val="00541069"/>
    <w:rsid w:val="00541CCF"/>
    <w:rsid w:val="00541FA4"/>
    <w:rsid w:val="00542A9F"/>
    <w:rsid w:val="0054464F"/>
    <w:rsid w:val="00544A0F"/>
    <w:rsid w:val="00544C78"/>
    <w:rsid w:val="00544D67"/>
    <w:rsid w:val="00545454"/>
    <w:rsid w:val="00545D1F"/>
    <w:rsid w:val="00550294"/>
    <w:rsid w:val="0055074D"/>
    <w:rsid w:val="00550A9D"/>
    <w:rsid w:val="0055146E"/>
    <w:rsid w:val="00552790"/>
    <w:rsid w:val="00553B65"/>
    <w:rsid w:val="00554FA5"/>
    <w:rsid w:val="0055630A"/>
    <w:rsid w:val="00562458"/>
    <w:rsid w:val="00563E31"/>
    <w:rsid w:val="005649F0"/>
    <w:rsid w:val="00565774"/>
    <w:rsid w:val="00567288"/>
    <w:rsid w:val="00567387"/>
    <w:rsid w:val="0057403F"/>
    <w:rsid w:val="005764A8"/>
    <w:rsid w:val="00581B85"/>
    <w:rsid w:val="00581C75"/>
    <w:rsid w:val="0058232E"/>
    <w:rsid w:val="0058391D"/>
    <w:rsid w:val="00583CC1"/>
    <w:rsid w:val="00585AE0"/>
    <w:rsid w:val="00585FF4"/>
    <w:rsid w:val="00587089"/>
    <w:rsid w:val="00590404"/>
    <w:rsid w:val="00590BED"/>
    <w:rsid w:val="00592D16"/>
    <w:rsid w:val="0059433D"/>
    <w:rsid w:val="005944D7"/>
    <w:rsid w:val="00594608"/>
    <w:rsid w:val="00594766"/>
    <w:rsid w:val="00595997"/>
    <w:rsid w:val="00595FB2"/>
    <w:rsid w:val="0059698F"/>
    <w:rsid w:val="00597270"/>
    <w:rsid w:val="005977E7"/>
    <w:rsid w:val="005A0668"/>
    <w:rsid w:val="005A0979"/>
    <w:rsid w:val="005A0C07"/>
    <w:rsid w:val="005A112D"/>
    <w:rsid w:val="005A2579"/>
    <w:rsid w:val="005A2B1B"/>
    <w:rsid w:val="005A50CF"/>
    <w:rsid w:val="005A5577"/>
    <w:rsid w:val="005A583B"/>
    <w:rsid w:val="005A59E2"/>
    <w:rsid w:val="005A5BF6"/>
    <w:rsid w:val="005B0109"/>
    <w:rsid w:val="005B3421"/>
    <w:rsid w:val="005B590E"/>
    <w:rsid w:val="005B645C"/>
    <w:rsid w:val="005C0E93"/>
    <w:rsid w:val="005C0FB1"/>
    <w:rsid w:val="005C11D2"/>
    <w:rsid w:val="005C309B"/>
    <w:rsid w:val="005C38A1"/>
    <w:rsid w:val="005C3E22"/>
    <w:rsid w:val="005C5217"/>
    <w:rsid w:val="005C7E35"/>
    <w:rsid w:val="005D1AE8"/>
    <w:rsid w:val="005D2FE3"/>
    <w:rsid w:val="005D3C90"/>
    <w:rsid w:val="005D4120"/>
    <w:rsid w:val="005D4F28"/>
    <w:rsid w:val="005D616F"/>
    <w:rsid w:val="005E0760"/>
    <w:rsid w:val="005E2264"/>
    <w:rsid w:val="005E2743"/>
    <w:rsid w:val="005E3D2F"/>
    <w:rsid w:val="005E639D"/>
    <w:rsid w:val="005E7B5F"/>
    <w:rsid w:val="005E7D70"/>
    <w:rsid w:val="005F11D1"/>
    <w:rsid w:val="005F3359"/>
    <w:rsid w:val="005F3416"/>
    <w:rsid w:val="005F3A7B"/>
    <w:rsid w:val="005F6C3A"/>
    <w:rsid w:val="005F70DA"/>
    <w:rsid w:val="00603948"/>
    <w:rsid w:val="00603D90"/>
    <w:rsid w:val="00603EA3"/>
    <w:rsid w:val="0060545D"/>
    <w:rsid w:val="00605A96"/>
    <w:rsid w:val="00605AB0"/>
    <w:rsid w:val="00606128"/>
    <w:rsid w:val="00606BB7"/>
    <w:rsid w:val="006100AD"/>
    <w:rsid w:val="00611A12"/>
    <w:rsid w:val="00615E1D"/>
    <w:rsid w:val="00616EFD"/>
    <w:rsid w:val="00617B4C"/>
    <w:rsid w:val="00620037"/>
    <w:rsid w:val="00620580"/>
    <w:rsid w:val="00621A4A"/>
    <w:rsid w:val="00621B40"/>
    <w:rsid w:val="00623496"/>
    <w:rsid w:val="00623903"/>
    <w:rsid w:val="00623F48"/>
    <w:rsid w:val="00624E26"/>
    <w:rsid w:val="00625C32"/>
    <w:rsid w:val="006278C8"/>
    <w:rsid w:val="00630166"/>
    <w:rsid w:val="00633E3A"/>
    <w:rsid w:val="00633F70"/>
    <w:rsid w:val="006342DE"/>
    <w:rsid w:val="0063588F"/>
    <w:rsid w:val="00636660"/>
    <w:rsid w:val="00636DB2"/>
    <w:rsid w:val="00637038"/>
    <w:rsid w:val="00637722"/>
    <w:rsid w:val="0064203B"/>
    <w:rsid w:val="006420FC"/>
    <w:rsid w:val="00645BF8"/>
    <w:rsid w:val="00650C87"/>
    <w:rsid w:val="00651281"/>
    <w:rsid w:val="006512AE"/>
    <w:rsid w:val="00651CB9"/>
    <w:rsid w:val="00651E27"/>
    <w:rsid w:val="006525CF"/>
    <w:rsid w:val="006532ED"/>
    <w:rsid w:val="00654262"/>
    <w:rsid w:val="00655C5B"/>
    <w:rsid w:val="00655DC1"/>
    <w:rsid w:val="00657198"/>
    <w:rsid w:val="006571C6"/>
    <w:rsid w:val="0066128A"/>
    <w:rsid w:val="0066150B"/>
    <w:rsid w:val="0066320E"/>
    <w:rsid w:val="00663BF2"/>
    <w:rsid w:val="0066474E"/>
    <w:rsid w:val="00665ED7"/>
    <w:rsid w:val="0066606C"/>
    <w:rsid w:val="006676C2"/>
    <w:rsid w:val="00667822"/>
    <w:rsid w:val="006705A8"/>
    <w:rsid w:val="00671E40"/>
    <w:rsid w:val="00671EC6"/>
    <w:rsid w:val="0067294F"/>
    <w:rsid w:val="00674324"/>
    <w:rsid w:val="00674354"/>
    <w:rsid w:val="00674A0F"/>
    <w:rsid w:val="00675089"/>
    <w:rsid w:val="00675441"/>
    <w:rsid w:val="0068029B"/>
    <w:rsid w:val="00682B94"/>
    <w:rsid w:val="00687717"/>
    <w:rsid w:val="006878B5"/>
    <w:rsid w:val="00690075"/>
    <w:rsid w:val="006913FE"/>
    <w:rsid w:val="00691719"/>
    <w:rsid w:val="006921C7"/>
    <w:rsid w:val="00693987"/>
    <w:rsid w:val="006963B7"/>
    <w:rsid w:val="00696B42"/>
    <w:rsid w:val="006A03ED"/>
    <w:rsid w:val="006A2A5D"/>
    <w:rsid w:val="006A2F2D"/>
    <w:rsid w:val="006A4A7F"/>
    <w:rsid w:val="006A4E5B"/>
    <w:rsid w:val="006A4E7A"/>
    <w:rsid w:val="006A6CCF"/>
    <w:rsid w:val="006A74B4"/>
    <w:rsid w:val="006B0997"/>
    <w:rsid w:val="006B0EB7"/>
    <w:rsid w:val="006B1C92"/>
    <w:rsid w:val="006B21D3"/>
    <w:rsid w:val="006B2787"/>
    <w:rsid w:val="006B295C"/>
    <w:rsid w:val="006B4738"/>
    <w:rsid w:val="006B59C9"/>
    <w:rsid w:val="006B6194"/>
    <w:rsid w:val="006B6F55"/>
    <w:rsid w:val="006B7598"/>
    <w:rsid w:val="006B79FA"/>
    <w:rsid w:val="006C0444"/>
    <w:rsid w:val="006C044C"/>
    <w:rsid w:val="006C1BFA"/>
    <w:rsid w:val="006C3B14"/>
    <w:rsid w:val="006C4503"/>
    <w:rsid w:val="006C4BD0"/>
    <w:rsid w:val="006C722E"/>
    <w:rsid w:val="006D1796"/>
    <w:rsid w:val="006D1A31"/>
    <w:rsid w:val="006D2661"/>
    <w:rsid w:val="006D2C17"/>
    <w:rsid w:val="006D4862"/>
    <w:rsid w:val="006D51E6"/>
    <w:rsid w:val="006D551F"/>
    <w:rsid w:val="006D5E5C"/>
    <w:rsid w:val="006D7209"/>
    <w:rsid w:val="006D75B2"/>
    <w:rsid w:val="006D765E"/>
    <w:rsid w:val="006E03E4"/>
    <w:rsid w:val="006E278D"/>
    <w:rsid w:val="006E3218"/>
    <w:rsid w:val="006E33B6"/>
    <w:rsid w:val="006E5386"/>
    <w:rsid w:val="006E646E"/>
    <w:rsid w:val="006E649A"/>
    <w:rsid w:val="006E6BF1"/>
    <w:rsid w:val="006E6BF2"/>
    <w:rsid w:val="006E7AA4"/>
    <w:rsid w:val="006F005C"/>
    <w:rsid w:val="006F130A"/>
    <w:rsid w:val="006F1FB3"/>
    <w:rsid w:val="006F2541"/>
    <w:rsid w:val="006F26B0"/>
    <w:rsid w:val="006F2CB1"/>
    <w:rsid w:val="006F30BD"/>
    <w:rsid w:val="006F3C5B"/>
    <w:rsid w:val="006F3F07"/>
    <w:rsid w:val="006F4F33"/>
    <w:rsid w:val="006F6520"/>
    <w:rsid w:val="007006BA"/>
    <w:rsid w:val="007007BA"/>
    <w:rsid w:val="00702E89"/>
    <w:rsid w:val="007039A3"/>
    <w:rsid w:val="00707244"/>
    <w:rsid w:val="0070725E"/>
    <w:rsid w:val="007102F3"/>
    <w:rsid w:val="007103F1"/>
    <w:rsid w:val="00711044"/>
    <w:rsid w:val="007123DF"/>
    <w:rsid w:val="00713D91"/>
    <w:rsid w:val="00714281"/>
    <w:rsid w:val="007147A2"/>
    <w:rsid w:val="00714C48"/>
    <w:rsid w:val="00714FCC"/>
    <w:rsid w:val="00715178"/>
    <w:rsid w:val="007160A3"/>
    <w:rsid w:val="00716A87"/>
    <w:rsid w:val="00716CDB"/>
    <w:rsid w:val="00716F9F"/>
    <w:rsid w:val="00720B17"/>
    <w:rsid w:val="00721D66"/>
    <w:rsid w:val="0072307C"/>
    <w:rsid w:val="00724991"/>
    <w:rsid w:val="0072560B"/>
    <w:rsid w:val="00725DFA"/>
    <w:rsid w:val="00725ED2"/>
    <w:rsid w:val="00727B6C"/>
    <w:rsid w:val="007313BA"/>
    <w:rsid w:val="007313DE"/>
    <w:rsid w:val="00731D53"/>
    <w:rsid w:val="007321E9"/>
    <w:rsid w:val="007366B7"/>
    <w:rsid w:val="00736D97"/>
    <w:rsid w:val="007370D4"/>
    <w:rsid w:val="0073740C"/>
    <w:rsid w:val="007402F1"/>
    <w:rsid w:val="00740570"/>
    <w:rsid w:val="0074195D"/>
    <w:rsid w:val="00742446"/>
    <w:rsid w:val="00742BF7"/>
    <w:rsid w:val="00743CA6"/>
    <w:rsid w:val="007448E7"/>
    <w:rsid w:val="007450B0"/>
    <w:rsid w:val="0074526C"/>
    <w:rsid w:val="007455EA"/>
    <w:rsid w:val="00747C42"/>
    <w:rsid w:val="0075515B"/>
    <w:rsid w:val="00755444"/>
    <w:rsid w:val="007566A9"/>
    <w:rsid w:val="007569A0"/>
    <w:rsid w:val="00756EA9"/>
    <w:rsid w:val="007605D6"/>
    <w:rsid w:val="00760AFF"/>
    <w:rsid w:val="00761452"/>
    <w:rsid w:val="0076155E"/>
    <w:rsid w:val="00761CBE"/>
    <w:rsid w:val="00764D0E"/>
    <w:rsid w:val="00766A77"/>
    <w:rsid w:val="00766E81"/>
    <w:rsid w:val="00767EFD"/>
    <w:rsid w:val="00767FA3"/>
    <w:rsid w:val="00770097"/>
    <w:rsid w:val="007703BB"/>
    <w:rsid w:val="007708C4"/>
    <w:rsid w:val="00770C0B"/>
    <w:rsid w:val="00771061"/>
    <w:rsid w:val="0077145F"/>
    <w:rsid w:val="00771FCA"/>
    <w:rsid w:val="00772E70"/>
    <w:rsid w:val="00773166"/>
    <w:rsid w:val="00773570"/>
    <w:rsid w:val="0077433A"/>
    <w:rsid w:val="007754E0"/>
    <w:rsid w:val="00776672"/>
    <w:rsid w:val="007770C9"/>
    <w:rsid w:val="00777CCA"/>
    <w:rsid w:val="00777F87"/>
    <w:rsid w:val="00780D98"/>
    <w:rsid w:val="00781412"/>
    <w:rsid w:val="007832F6"/>
    <w:rsid w:val="00783D5D"/>
    <w:rsid w:val="007847D8"/>
    <w:rsid w:val="00786543"/>
    <w:rsid w:val="00787D93"/>
    <w:rsid w:val="00787EB1"/>
    <w:rsid w:val="007901F5"/>
    <w:rsid w:val="007904E1"/>
    <w:rsid w:val="00791213"/>
    <w:rsid w:val="00791F8A"/>
    <w:rsid w:val="00797610"/>
    <w:rsid w:val="007A03DF"/>
    <w:rsid w:val="007A040D"/>
    <w:rsid w:val="007A0DB8"/>
    <w:rsid w:val="007A0E99"/>
    <w:rsid w:val="007A17D9"/>
    <w:rsid w:val="007A23BF"/>
    <w:rsid w:val="007A73AD"/>
    <w:rsid w:val="007B0FA6"/>
    <w:rsid w:val="007B14EC"/>
    <w:rsid w:val="007B377B"/>
    <w:rsid w:val="007B3E74"/>
    <w:rsid w:val="007B5044"/>
    <w:rsid w:val="007B5D4E"/>
    <w:rsid w:val="007B723F"/>
    <w:rsid w:val="007C002A"/>
    <w:rsid w:val="007C0A17"/>
    <w:rsid w:val="007C15D9"/>
    <w:rsid w:val="007C3732"/>
    <w:rsid w:val="007C4EE3"/>
    <w:rsid w:val="007C5399"/>
    <w:rsid w:val="007C684B"/>
    <w:rsid w:val="007C6978"/>
    <w:rsid w:val="007C6E05"/>
    <w:rsid w:val="007D0F36"/>
    <w:rsid w:val="007D101C"/>
    <w:rsid w:val="007D23C5"/>
    <w:rsid w:val="007D3C48"/>
    <w:rsid w:val="007D48C7"/>
    <w:rsid w:val="007D4B28"/>
    <w:rsid w:val="007D5615"/>
    <w:rsid w:val="007D5ADA"/>
    <w:rsid w:val="007D63E7"/>
    <w:rsid w:val="007D6543"/>
    <w:rsid w:val="007E005D"/>
    <w:rsid w:val="007E02CB"/>
    <w:rsid w:val="007E0F83"/>
    <w:rsid w:val="007E1474"/>
    <w:rsid w:val="007E2036"/>
    <w:rsid w:val="007E296F"/>
    <w:rsid w:val="007E4CB4"/>
    <w:rsid w:val="007E70B0"/>
    <w:rsid w:val="007F0893"/>
    <w:rsid w:val="007F2EC6"/>
    <w:rsid w:val="007F4180"/>
    <w:rsid w:val="007F45EC"/>
    <w:rsid w:val="007F4D32"/>
    <w:rsid w:val="007F51D0"/>
    <w:rsid w:val="007F65D1"/>
    <w:rsid w:val="007F6CB7"/>
    <w:rsid w:val="007F6E1C"/>
    <w:rsid w:val="00801560"/>
    <w:rsid w:val="0080164C"/>
    <w:rsid w:val="008019F0"/>
    <w:rsid w:val="00803FC2"/>
    <w:rsid w:val="00806022"/>
    <w:rsid w:val="008072A8"/>
    <w:rsid w:val="008077F2"/>
    <w:rsid w:val="00807A3F"/>
    <w:rsid w:val="00810520"/>
    <w:rsid w:val="00810639"/>
    <w:rsid w:val="00810BD8"/>
    <w:rsid w:val="00812CE9"/>
    <w:rsid w:val="00813781"/>
    <w:rsid w:val="008140F9"/>
    <w:rsid w:val="0081469C"/>
    <w:rsid w:val="008147FC"/>
    <w:rsid w:val="00814ACF"/>
    <w:rsid w:val="00817A45"/>
    <w:rsid w:val="008204F3"/>
    <w:rsid w:val="00821DFC"/>
    <w:rsid w:val="008224CE"/>
    <w:rsid w:val="00827B6B"/>
    <w:rsid w:val="00827FE3"/>
    <w:rsid w:val="00830014"/>
    <w:rsid w:val="00831A23"/>
    <w:rsid w:val="008344A5"/>
    <w:rsid w:val="00835031"/>
    <w:rsid w:val="00836AA0"/>
    <w:rsid w:val="00836FF1"/>
    <w:rsid w:val="00837372"/>
    <w:rsid w:val="0084002A"/>
    <w:rsid w:val="00840092"/>
    <w:rsid w:val="008413BD"/>
    <w:rsid w:val="00843920"/>
    <w:rsid w:val="0084552A"/>
    <w:rsid w:val="00845A92"/>
    <w:rsid w:val="00847BF2"/>
    <w:rsid w:val="008503D8"/>
    <w:rsid w:val="00851920"/>
    <w:rsid w:val="00852D8E"/>
    <w:rsid w:val="008539AD"/>
    <w:rsid w:val="0085482F"/>
    <w:rsid w:val="00854CFC"/>
    <w:rsid w:val="00855C37"/>
    <w:rsid w:val="00860E99"/>
    <w:rsid w:val="00861C05"/>
    <w:rsid w:val="00861E96"/>
    <w:rsid w:val="00862F7F"/>
    <w:rsid w:val="00863657"/>
    <w:rsid w:val="008656B7"/>
    <w:rsid w:val="008658A7"/>
    <w:rsid w:val="008671DB"/>
    <w:rsid w:val="00870BA9"/>
    <w:rsid w:val="008712EE"/>
    <w:rsid w:val="008718F2"/>
    <w:rsid w:val="008729B8"/>
    <w:rsid w:val="00872CB4"/>
    <w:rsid w:val="00873BC0"/>
    <w:rsid w:val="00874C5B"/>
    <w:rsid w:val="0087616A"/>
    <w:rsid w:val="00876196"/>
    <w:rsid w:val="00876DAA"/>
    <w:rsid w:val="00877EC3"/>
    <w:rsid w:val="00877F9C"/>
    <w:rsid w:val="00880D9F"/>
    <w:rsid w:val="00881279"/>
    <w:rsid w:val="00882982"/>
    <w:rsid w:val="00882AB9"/>
    <w:rsid w:val="00882D02"/>
    <w:rsid w:val="0088325F"/>
    <w:rsid w:val="00883BE3"/>
    <w:rsid w:val="008847B7"/>
    <w:rsid w:val="00885F35"/>
    <w:rsid w:val="00887DFA"/>
    <w:rsid w:val="00891EA3"/>
    <w:rsid w:val="00892038"/>
    <w:rsid w:val="0089289E"/>
    <w:rsid w:val="008947DF"/>
    <w:rsid w:val="00897248"/>
    <w:rsid w:val="008A211B"/>
    <w:rsid w:val="008A3CC2"/>
    <w:rsid w:val="008A5B2F"/>
    <w:rsid w:val="008A7C91"/>
    <w:rsid w:val="008A7E2C"/>
    <w:rsid w:val="008B01D1"/>
    <w:rsid w:val="008B133A"/>
    <w:rsid w:val="008B55AB"/>
    <w:rsid w:val="008B65EB"/>
    <w:rsid w:val="008B779C"/>
    <w:rsid w:val="008B7DD0"/>
    <w:rsid w:val="008C0ECF"/>
    <w:rsid w:val="008C0F76"/>
    <w:rsid w:val="008C2C5E"/>
    <w:rsid w:val="008C483C"/>
    <w:rsid w:val="008C58D1"/>
    <w:rsid w:val="008C61DF"/>
    <w:rsid w:val="008C7B9E"/>
    <w:rsid w:val="008D1A1C"/>
    <w:rsid w:val="008D1A80"/>
    <w:rsid w:val="008D1E81"/>
    <w:rsid w:val="008D3345"/>
    <w:rsid w:val="008D3C03"/>
    <w:rsid w:val="008D5ACB"/>
    <w:rsid w:val="008D6273"/>
    <w:rsid w:val="008D7E34"/>
    <w:rsid w:val="008E1EB8"/>
    <w:rsid w:val="008E1FDA"/>
    <w:rsid w:val="008E25B7"/>
    <w:rsid w:val="008E42F8"/>
    <w:rsid w:val="008E4BE7"/>
    <w:rsid w:val="008E555E"/>
    <w:rsid w:val="008E63D3"/>
    <w:rsid w:val="008E66A3"/>
    <w:rsid w:val="008E737B"/>
    <w:rsid w:val="008E7424"/>
    <w:rsid w:val="008F0F01"/>
    <w:rsid w:val="008F1189"/>
    <w:rsid w:val="008F12BA"/>
    <w:rsid w:val="008F1683"/>
    <w:rsid w:val="008F19D4"/>
    <w:rsid w:val="008F204A"/>
    <w:rsid w:val="008F25A3"/>
    <w:rsid w:val="008F2A3C"/>
    <w:rsid w:val="008F3755"/>
    <w:rsid w:val="008F4252"/>
    <w:rsid w:val="008F4EB5"/>
    <w:rsid w:val="00900323"/>
    <w:rsid w:val="00901FBC"/>
    <w:rsid w:val="009020B1"/>
    <w:rsid w:val="00902478"/>
    <w:rsid w:val="0090263B"/>
    <w:rsid w:val="00903044"/>
    <w:rsid w:val="00905B2C"/>
    <w:rsid w:val="0090617D"/>
    <w:rsid w:val="009061CE"/>
    <w:rsid w:val="00910E23"/>
    <w:rsid w:val="00913038"/>
    <w:rsid w:val="00913272"/>
    <w:rsid w:val="0091369B"/>
    <w:rsid w:val="009136FE"/>
    <w:rsid w:val="0091478E"/>
    <w:rsid w:val="00914C69"/>
    <w:rsid w:val="009162B7"/>
    <w:rsid w:val="0091700C"/>
    <w:rsid w:val="00920574"/>
    <w:rsid w:val="00920C3E"/>
    <w:rsid w:val="009214D4"/>
    <w:rsid w:val="00921B73"/>
    <w:rsid w:val="00921BE2"/>
    <w:rsid w:val="00922554"/>
    <w:rsid w:val="00923403"/>
    <w:rsid w:val="0092403E"/>
    <w:rsid w:val="00930A90"/>
    <w:rsid w:val="00930FD1"/>
    <w:rsid w:val="00931D2F"/>
    <w:rsid w:val="00932A42"/>
    <w:rsid w:val="009330C9"/>
    <w:rsid w:val="00933833"/>
    <w:rsid w:val="009349B1"/>
    <w:rsid w:val="0093681E"/>
    <w:rsid w:val="00936838"/>
    <w:rsid w:val="00936952"/>
    <w:rsid w:val="00937ED0"/>
    <w:rsid w:val="0094019C"/>
    <w:rsid w:val="00940C6E"/>
    <w:rsid w:val="00940C9D"/>
    <w:rsid w:val="00940F9C"/>
    <w:rsid w:val="0094171B"/>
    <w:rsid w:val="00941943"/>
    <w:rsid w:val="00941C2E"/>
    <w:rsid w:val="00942021"/>
    <w:rsid w:val="00942873"/>
    <w:rsid w:val="00943357"/>
    <w:rsid w:val="00944565"/>
    <w:rsid w:val="00944762"/>
    <w:rsid w:val="00944F45"/>
    <w:rsid w:val="00945553"/>
    <w:rsid w:val="0094735E"/>
    <w:rsid w:val="009509AA"/>
    <w:rsid w:val="009509BC"/>
    <w:rsid w:val="00952741"/>
    <w:rsid w:val="00952C9E"/>
    <w:rsid w:val="009540B8"/>
    <w:rsid w:val="00954811"/>
    <w:rsid w:val="00954998"/>
    <w:rsid w:val="00954AAA"/>
    <w:rsid w:val="0095540B"/>
    <w:rsid w:val="00955D97"/>
    <w:rsid w:val="0095633E"/>
    <w:rsid w:val="0095667F"/>
    <w:rsid w:val="0095682A"/>
    <w:rsid w:val="00960E62"/>
    <w:rsid w:val="00961CD0"/>
    <w:rsid w:val="009645F2"/>
    <w:rsid w:val="009648A2"/>
    <w:rsid w:val="00965263"/>
    <w:rsid w:val="0096536F"/>
    <w:rsid w:val="00967186"/>
    <w:rsid w:val="00970F49"/>
    <w:rsid w:val="0097238F"/>
    <w:rsid w:val="009724A5"/>
    <w:rsid w:val="00972A9A"/>
    <w:rsid w:val="00972D68"/>
    <w:rsid w:val="0097333F"/>
    <w:rsid w:val="009733AC"/>
    <w:rsid w:val="00974871"/>
    <w:rsid w:val="00975F94"/>
    <w:rsid w:val="0097791B"/>
    <w:rsid w:val="00977E9B"/>
    <w:rsid w:val="009803A4"/>
    <w:rsid w:val="0098137D"/>
    <w:rsid w:val="00982333"/>
    <w:rsid w:val="0098309E"/>
    <w:rsid w:val="00983AE2"/>
    <w:rsid w:val="0098426F"/>
    <w:rsid w:val="00984285"/>
    <w:rsid w:val="00985B1E"/>
    <w:rsid w:val="00985BC5"/>
    <w:rsid w:val="00985D6A"/>
    <w:rsid w:val="00986A07"/>
    <w:rsid w:val="00986E24"/>
    <w:rsid w:val="00987BAA"/>
    <w:rsid w:val="00990093"/>
    <w:rsid w:val="0099275F"/>
    <w:rsid w:val="00994819"/>
    <w:rsid w:val="00995274"/>
    <w:rsid w:val="00995E8A"/>
    <w:rsid w:val="009A0EE0"/>
    <w:rsid w:val="009A1055"/>
    <w:rsid w:val="009A4B97"/>
    <w:rsid w:val="009A5200"/>
    <w:rsid w:val="009A544A"/>
    <w:rsid w:val="009A6C27"/>
    <w:rsid w:val="009A7092"/>
    <w:rsid w:val="009A712B"/>
    <w:rsid w:val="009A7610"/>
    <w:rsid w:val="009A77C4"/>
    <w:rsid w:val="009A7C29"/>
    <w:rsid w:val="009B1AF1"/>
    <w:rsid w:val="009B2BAF"/>
    <w:rsid w:val="009B3BF5"/>
    <w:rsid w:val="009B5DB8"/>
    <w:rsid w:val="009B6327"/>
    <w:rsid w:val="009B6A1C"/>
    <w:rsid w:val="009C43BB"/>
    <w:rsid w:val="009C55EC"/>
    <w:rsid w:val="009C5BEB"/>
    <w:rsid w:val="009C6B5D"/>
    <w:rsid w:val="009C7925"/>
    <w:rsid w:val="009D0DC3"/>
    <w:rsid w:val="009D12A1"/>
    <w:rsid w:val="009D3853"/>
    <w:rsid w:val="009D433B"/>
    <w:rsid w:val="009D4379"/>
    <w:rsid w:val="009D5595"/>
    <w:rsid w:val="009D62F3"/>
    <w:rsid w:val="009D6E9A"/>
    <w:rsid w:val="009E03FF"/>
    <w:rsid w:val="009E0418"/>
    <w:rsid w:val="009E07FD"/>
    <w:rsid w:val="009E1BB6"/>
    <w:rsid w:val="009E350A"/>
    <w:rsid w:val="009E374B"/>
    <w:rsid w:val="009E4137"/>
    <w:rsid w:val="009E54FD"/>
    <w:rsid w:val="009E576D"/>
    <w:rsid w:val="009E6CDF"/>
    <w:rsid w:val="009E6E2F"/>
    <w:rsid w:val="009F2023"/>
    <w:rsid w:val="009F3861"/>
    <w:rsid w:val="009F3D82"/>
    <w:rsid w:val="009F64FC"/>
    <w:rsid w:val="009F6926"/>
    <w:rsid w:val="009F6CED"/>
    <w:rsid w:val="009F70FB"/>
    <w:rsid w:val="009F7510"/>
    <w:rsid w:val="00A01190"/>
    <w:rsid w:val="00A01A68"/>
    <w:rsid w:val="00A024E9"/>
    <w:rsid w:val="00A02A63"/>
    <w:rsid w:val="00A02DAB"/>
    <w:rsid w:val="00A03C7E"/>
    <w:rsid w:val="00A05634"/>
    <w:rsid w:val="00A059DC"/>
    <w:rsid w:val="00A05FF7"/>
    <w:rsid w:val="00A06EE3"/>
    <w:rsid w:val="00A105B6"/>
    <w:rsid w:val="00A1082E"/>
    <w:rsid w:val="00A10EB5"/>
    <w:rsid w:val="00A121B3"/>
    <w:rsid w:val="00A121B9"/>
    <w:rsid w:val="00A126EB"/>
    <w:rsid w:val="00A143C7"/>
    <w:rsid w:val="00A15C0B"/>
    <w:rsid w:val="00A17099"/>
    <w:rsid w:val="00A2051A"/>
    <w:rsid w:val="00A2192D"/>
    <w:rsid w:val="00A23EDF"/>
    <w:rsid w:val="00A242AD"/>
    <w:rsid w:val="00A24399"/>
    <w:rsid w:val="00A26A6F"/>
    <w:rsid w:val="00A310F9"/>
    <w:rsid w:val="00A316D9"/>
    <w:rsid w:val="00A31E98"/>
    <w:rsid w:val="00A323E7"/>
    <w:rsid w:val="00A35E52"/>
    <w:rsid w:val="00A36BAE"/>
    <w:rsid w:val="00A37137"/>
    <w:rsid w:val="00A37F0A"/>
    <w:rsid w:val="00A421B3"/>
    <w:rsid w:val="00A44AEC"/>
    <w:rsid w:val="00A46E78"/>
    <w:rsid w:val="00A51A29"/>
    <w:rsid w:val="00A53A52"/>
    <w:rsid w:val="00A53BB6"/>
    <w:rsid w:val="00A54F72"/>
    <w:rsid w:val="00A55903"/>
    <w:rsid w:val="00A55D2E"/>
    <w:rsid w:val="00A56352"/>
    <w:rsid w:val="00A5770C"/>
    <w:rsid w:val="00A6124E"/>
    <w:rsid w:val="00A62378"/>
    <w:rsid w:val="00A6646F"/>
    <w:rsid w:val="00A66B41"/>
    <w:rsid w:val="00A700E2"/>
    <w:rsid w:val="00A70250"/>
    <w:rsid w:val="00A725BB"/>
    <w:rsid w:val="00A726CE"/>
    <w:rsid w:val="00A73385"/>
    <w:rsid w:val="00A740A8"/>
    <w:rsid w:val="00A75479"/>
    <w:rsid w:val="00A75705"/>
    <w:rsid w:val="00A75A21"/>
    <w:rsid w:val="00A761B6"/>
    <w:rsid w:val="00A77460"/>
    <w:rsid w:val="00A80E7B"/>
    <w:rsid w:val="00A81C0B"/>
    <w:rsid w:val="00A81FA8"/>
    <w:rsid w:val="00A820A6"/>
    <w:rsid w:val="00A82FC8"/>
    <w:rsid w:val="00A84FEE"/>
    <w:rsid w:val="00A8535F"/>
    <w:rsid w:val="00A85730"/>
    <w:rsid w:val="00A86DAC"/>
    <w:rsid w:val="00A8723D"/>
    <w:rsid w:val="00A87703"/>
    <w:rsid w:val="00A87F7B"/>
    <w:rsid w:val="00A90341"/>
    <w:rsid w:val="00A91A73"/>
    <w:rsid w:val="00A91C32"/>
    <w:rsid w:val="00A93FFC"/>
    <w:rsid w:val="00A963ED"/>
    <w:rsid w:val="00A967F3"/>
    <w:rsid w:val="00A96931"/>
    <w:rsid w:val="00A9749E"/>
    <w:rsid w:val="00A977F2"/>
    <w:rsid w:val="00A97E6E"/>
    <w:rsid w:val="00AA5C79"/>
    <w:rsid w:val="00AB13B1"/>
    <w:rsid w:val="00AB199F"/>
    <w:rsid w:val="00AB25E7"/>
    <w:rsid w:val="00AB3C32"/>
    <w:rsid w:val="00AB45EF"/>
    <w:rsid w:val="00AB5E5F"/>
    <w:rsid w:val="00AB6279"/>
    <w:rsid w:val="00AB731D"/>
    <w:rsid w:val="00AB7A32"/>
    <w:rsid w:val="00AC2DBE"/>
    <w:rsid w:val="00AC549B"/>
    <w:rsid w:val="00AC607A"/>
    <w:rsid w:val="00AC6E8B"/>
    <w:rsid w:val="00AC7614"/>
    <w:rsid w:val="00AC766C"/>
    <w:rsid w:val="00AC798E"/>
    <w:rsid w:val="00AD0000"/>
    <w:rsid w:val="00AD3682"/>
    <w:rsid w:val="00AD4209"/>
    <w:rsid w:val="00AD44C0"/>
    <w:rsid w:val="00AD61F6"/>
    <w:rsid w:val="00AD70E0"/>
    <w:rsid w:val="00AD7167"/>
    <w:rsid w:val="00AE2239"/>
    <w:rsid w:val="00AE2E60"/>
    <w:rsid w:val="00AE59FD"/>
    <w:rsid w:val="00AE5D3D"/>
    <w:rsid w:val="00AE69EE"/>
    <w:rsid w:val="00AE7DA4"/>
    <w:rsid w:val="00AF0B65"/>
    <w:rsid w:val="00AF250C"/>
    <w:rsid w:val="00AF3374"/>
    <w:rsid w:val="00AF5A23"/>
    <w:rsid w:val="00AF601E"/>
    <w:rsid w:val="00AF694A"/>
    <w:rsid w:val="00AF795E"/>
    <w:rsid w:val="00B010E2"/>
    <w:rsid w:val="00B01C39"/>
    <w:rsid w:val="00B02C88"/>
    <w:rsid w:val="00B04285"/>
    <w:rsid w:val="00B04835"/>
    <w:rsid w:val="00B07EE8"/>
    <w:rsid w:val="00B104C6"/>
    <w:rsid w:val="00B11D84"/>
    <w:rsid w:val="00B1224E"/>
    <w:rsid w:val="00B125BF"/>
    <w:rsid w:val="00B12D57"/>
    <w:rsid w:val="00B13390"/>
    <w:rsid w:val="00B13865"/>
    <w:rsid w:val="00B13E71"/>
    <w:rsid w:val="00B15BC3"/>
    <w:rsid w:val="00B21447"/>
    <w:rsid w:val="00B223C8"/>
    <w:rsid w:val="00B2296A"/>
    <w:rsid w:val="00B22D64"/>
    <w:rsid w:val="00B24C5F"/>
    <w:rsid w:val="00B25796"/>
    <w:rsid w:val="00B27A07"/>
    <w:rsid w:val="00B27AF6"/>
    <w:rsid w:val="00B31690"/>
    <w:rsid w:val="00B3337D"/>
    <w:rsid w:val="00B34136"/>
    <w:rsid w:val="00B346C1"/>
    <w:rsid w:val="00B34944"/>
    <w:rsid w:val="00B36A21"/>
    <w:rsid w:val="00B3726C"/>
    <w:rsid w:val="00B374A8"/>
    <w:rsid w:val="00B37BEF"/>
    <w:rsid w:val="00B40658"/>
    <w:rsid w:val="00B414B8"/>
    <w:rsid w:val="00B42517"/>
    <w:rsid w:val="00B43061"/>
    <w:rsid w:val="00B432AC"/>
    <w:rsid w:val="00B43BA2"/>
    <w:rsid w:val="00B44FA5"/>
    <w:rsid w:val="00B454F7"/>
    <w:rsid w:val="00B52E6D"/>
    <w:rsid w:val="00B52ED0"/>
    <w:rsid w:val="00B53A73"/>
    <w:rsid w:val="00B54603"/>
    <w:rsid w:val="00B552DA"/>
    <w:rsid w:val="00B5608D"/>
    <w:rsid w:val="00B562E2"/>
    <w:rsid w:val="00B56A11"/>
    <w:rsid w:val="00B56ECB"/>
    <w:rsid w:val="00B572A0"/>
    <w:rsid w:val="00B57E1B"/>
    <w:rsid w:val="00B603C2"/>
    <w:rsid w:val="00B6095E"/>
    <w:rsid w:val="00B62B84"/>
    <w:rsid w:val="00B62D66"/>
    <w:rsid w:val="00B63087"/>
    <w:rsid w:val="00B63193"/>
    <w:rsid w:val="00B64C68"/>
    <w:rsid w:val="00B659F4"/>
    <w:rsid w:val="00B661B0"/>
    <w:rsid w:val="00B66398"/>
    <w:rsid w:val="00B67DCE"/>
    <w:rsid w:val="00B70C39"/>
    <w:rsid w:val="00B70F0A"/>
    <w:rsid w:val="00B726D6"/>
    <w:rsid w:val="00B72B55"/>
    <w:rsid w:val="00B735C1"/>
    <w:rsid w:val="00B7381C"/>
    <w:rsid w:val="00B73CA6"/>
    <w:rsid w:val="00B73EDF"/>
    <w:rsid w:val="00B74212"/>
    <w:rsid w:val="00B7526C"/>
    <w:rsid w:val="00B76D9A"/>
    <w:rsid w:val="00B80857"/>
    <w:rsid w:val="00B81841"/>
    <w:rsid w:val="00B8206E"/>
    <w:rsid w:val="00B8251F"/>
    <w:rsid w:val="00B832B1"/>
    <w:rsid w:val="00B85A40"/>
    <w:rsid w:val="00B87616"/>
    <w:rsid w:val="00B90617"/>
    <w:rsid w:val="00B90754"/>
    <w:rsid w:val="00B91207"/>
    <w:rsid w:val="00B9205C"/>
    <w:rsid w:val="00B920E4"/>
    <w:rsid w:val="00B94187"/>
    <w:rsid w:val="00B94B43"/>
    <w:rsid w:val="00B96AED"/>
    <w:rsid w:val="00B97073"/>
    <w:rsid w:val="00B97620"/>
    <w:rsid w:val="00BA1AB7"/>
    <w:rsid w:val="00BA3FCD"/>
    <w:rsid w:val="00BA47A8"/>
    <w:rsid w:val="00BA4DDB"/>
    <w:rsid w:val="00BA57D7"/>
    <w:rsid w:val="00BA5CA3"/>
    <w:rsid w:val="00BA6CBE"/>
    <w:rsid w:val="00BB07E1"/>
    <w:rsid w:val="00BB145E"/>
    <w:rsid w:val="00BB1A2E"/>
    <w:rsid w:val="00BB26BB"/>
    <w:rsid w:val="00BB30DF"/>
    <w:rsid w:val="00BB3339"/>
    <w:rsid w:val="00BB4244"/>
    <w:rsid w:val="00BB4CF4"/>
    <w:rsid w:val="00BB5D91"/>
    <w:rsid w:val="00BB610B"/>
    <w:rsid w:val="00BB6855"/>
    <w:rsid w:val="00BB7ADA"/>
    <w:rsid w:val="00BB7AFC"/>
    <w:rsid w:val="00BB7D7D"/>
    <w:rsid w:val="00BC096B"/>
    <w:rsid w:val="00BC15EC"/>
    <w:rsid w:val="00BC1E07"/>
    <w:rsid w:val="00BC2B1A"/>
    <w:rsid w:val="00BC3C09"/>
    <w:rsid w:val="00BC512C"/>
    <w:rsid w:val="00BC5675"/>
    <w:rsid w:val="00BC618A"/>
    <w:rsid w:val="00BC769F"/>
    <w:rsid w:val="00BC7A4C"/>
    <w:rsid w:val="00BC7FF9"/>
    <w:rsid w:val="00BD07E6"/>
    <w:rsid w:val="00BD2EED"/>
    <w:rsid w:val="00BD3855"/>
    <w:rsid w:val="00BD5628"/>
    <w:rsid w:val="00BD5AF3"/>
    <w:rsid w:val="00BD6C21"/>
    <w:rsid w:val="00BD7681"/>
    <w:rsid w:val="00BD7EF8"/>
    <w:rsid w:val="00BE0142"/>
    <w:rsid w:val="00BE22C8"/>
    <w:rsid w:val="00BE2377"/>
    <w:rsid w:val="00BE3345"/>
    <w:rsid w:val="00BE35EB"/>
    <w:rsid w:val="00BE461E"/>
    <w:rsid w:val="00BE5A4D"/>
    <w:rsid w:val="00BE61C8"/>
    <w:rsid w:val="00BE64F5"/>
    <w:rsid w:val="00BE7956"/>
    <w:rsid w:val="00BE79A6"/>
    <w:rsid w:val="00BF086C"/>
    <w:rsid w:val="00BF17F2"/>
    <w:rsid w:val="00BF1A73"/>
    <w:rsid w:val="00BF1CAD"/>
    <w:rsid w:val="00BF2508"/>
    <w:rsid w:val="00BF33D2"/>
    <w:rsid w:val="00BF37C2"/>
    <w:rsid w:val="00BF3935"/>
    <w:rsid w:val="00BF39BB"/>
    <w:rsid w:val="00BF46BB"/>
    <w:rsid w:val="00BF5719"/>
    <w:rsid w:val="00BF607C"/>
    <w:rsid w:val="00C00A00"/>
    <w:rsid w:val="00C01112"/>
    <w:rsid w:val="00C01494"/>
    <w:rsid w:val="00C01BFB"/>
    <w:rsid w:val="00C02260"/>
    <w:rsid w:val="00C025E7"/>
    <w:rsid w:val="00C0263E"/>
    <w:rsid w:val="00C02DF8"/>
    <w:rsid w:val="00C0561B"/>
    <w:rsid w:val="00C0647D"/>
    <w:rsid w:val="00C10554"/>
    <w:rsid w:val="00C10625"/>
    <w:rsid w:val="00C108ED"/>
    <w:rsid w:val="00C1184C"/>
    <w:rsid w:val="00C11A1B"/>
    <w:rsid w:val="00C11C5E"/>
    <w:rsid w:val="00C12763"/>
    <w:rsid w:val="00C12C0D"/>
    <w:rsid w:val="00C134D8"/>
    <w:rsid w:val="00C13D4D"/>
    <w:rsid w:val="00C148BC"/>
    <w:rsid w:val="00C16046"/>
    <w:rsid w:val="00C20CDF"/>
    <w:rsid w:val="00C21F6B"/>
    <w:rsid w:val="00C23456"/>
    <w:rsid w:val="00C2390A"/>
    <w:rsid w:val="00C2498B"/>
    <w:rsid w:val="00C24A0A"/>
    <w:rsid w:val="00C24E8B"/>
    <w:rsid w:val="00C25CDF"/>
    <w:rsid w:val="00C263A8"/>
    <w:rsid w:val="00C26C8D"/>
    <w:rsid w:val="00C2708E"/>
    <w:rsid w:val="00C30A10"/>
    <w:rsid w:val="00C317A4"/>
    <w:rsid w:val="00C33D18"/>
    <w:rsid w:val="00C350F0"/>
    <w:rsid w:val="00C414D7"/>
    <w:rsid w:val="00C420DF"/>
    <w:rsid w:val="00C43040"/>
    <w:rsid w:val="00C43DE8"/>
    <w:rsid w:val="00C43E3A"/>
    <w:rsid w:val="00C44D2D"/>
    <w:rsid w:val="00C44DAE"/>
    <w:rsid w:val="00C52C4B"/>
    <w:rsid w:val="00C53DDA"/>
    <w:rsid w:val="00C56B1C"/>
    <w:rsid w:val="00C56DF6"/>
    <w:rsid w:val="00C5737B"/>
    <w:rsid w:val="00C6016E"/>
    <w:rsid w:val="00C6038C"/>
    <w:rsid w:val="00C60584"/>
    <w:rsid w:val="00C6060A"/>
    <w:rsid w:val="00C60B28"/>
    <w:rsid w:val="00C6126A"/>
    <w:rsid w:val="00C62091"/>
    <w:rsid w:val="00C6258D"/>
    <w:rsid w:val="00C62A66"/>
    <w:rsid w:val="00C63628"/>
    <w:rsid w:val="00C63E52"/>
    <w:rsid w:val="00C66938"/>
    <w:rsid w:val="00C67663"/>
    <w:rsid w:val="00C705A5"/>
    <w:rsid w:val="00C729D3"/>
    <w:rsid w:val="00C729E7"/>
    <w:rsid w:val="00C72B5E"/>
    <w:rsid w:val="00C737F9"/>
    <w:rsid w:val="00C73A5B"/>
    <w:rsid w:val="00C73FA9"/>
    <w:rsid w:val="00C74081"/>
    <w:rsid w:val="00C7632C"/>
    <w:rsid w:val="00C77E0D"/>
    <w:rsid w:val="00C801D4"/>
    <w:rsid w:val="00C8146A"/>
    <w:rsid w:val="00C815B5"/>
    <w:rsid w:val="00C81AD4"/>
    <w:rsid w:val="00C82D4C"/>
    <w:rsid w:val="00C8302B"/>
    <w:rsid w:val="00C832A5"/>
    <w:rsid w:val="00C84EB8"/>
    <w:rsid w:val="00C853DA"/>
    <w:rsid w:val="00C904F1"/>
    <w:rsid w:val="00C93076"/>
    <w:rsid w:val="00C9363B"/>
    <w:rsid w:val="00C9391B"/>
    <w:rsid w:val="00C9418E"/>
    <w:rsid w:val="00C94270"/>
    <w:rsid w:val="00C9510D"/>
    <w:rsid w:val="00C9531E"/>
    <w:rsid w:val="00C96A49"/>
    <w:rsid w:val="00C96D02"/>
    <w:rsid w:val="00C96F79"/>
    <w:rsid w:val="00CA0E8F"/>
    <w:rsid w:val="00CA1042"/>
    <w:rsid w:val="00CA19D6"/>
    <w:rsid w:val="00CA2681"/>
    <w:rsid w:val="00CA2CFB"/>
    <w:rsid w:val="00CA3243"/>
    <w:rsid w:val="00CA3F81"/>
    <w:rsid w:val="00CA603F"/>
    <w:rsid w:val="00CA6FB7"/>
    <w:rsid w:val="00CA6FBA"/>
    <w:rsid w:val="00CA7651"/>
    <w:rsid w:val="00CA7C9F"/>
    <w:rsid w:val="00CA7D86"/>
    <w:rsid w:val="00CB049B"/>
    <w:rsid w:val="00CB319C"/>
    <w:rsid w:val="00CB4268"/>
    <w:rsid w:val="00CB4887"/>
    <w:rsid w:val="00CB4D62"/>
    <w:rsid w:val="00CB6FBF"/>
    <w:rsid w:val="00CB7E17"/>
    <w:rsid w:val="00CC0560"/>
    <w:rsid w:val="00CC151F"/>
    <w:rsid w:val="00CC22F9"/>
    <w:rsid w:val="00CC230B"/>
    <w:rsid w:val="00CC274B"/>
    <w:rsid w:val="00CC294E"/>
    <w:rsid w:val="00CC33DF"/>
    <w:rsid w:val="00CC4EB8"/>
    <w:rsid w:val="00CC5E64"/>
    <w:rsid w:val="00CC6A51"/>
    <w:rsid w:val="00CD0F60"/>
    <w:rsid w:val="00CD1BCC"/>
    <w:rsid w:val="00CD32E1"/>
    <w:rsid w:val="00CD3427"/>
    <w:rsid w:val="00CD4064"/>
    <w:rsid w:val="00CD4302"/>
    <w:rsid w:val="00CD58EF"/>
    <w:rsid w:val="00CD6D47"/>
    <w:rsid w:val="00CD7FC2"/>
    <w:rsid w:val="00CE0726"/>
    <w:rsid w:val="00CE0BED"/>
    <w:rsid w:val="00CE19BE"/>
    <w:rsid w:val="00CE1BF2"/>
    <w:rsid w:val="00CE2DCF"/>
    <w:rsid w:val="00CE3A87"/>
    <w:rsid w:val="00CE3AFB"/>
    <w:rsid w:val="00CE6BE7"/>
    <w:rsid w:val="00CE755F"/>
    <w:rsid w:val="00CE7640"/>
    <w:rsid w:val="00CF13B5"/>
    <w:rsid w:val="00CF3A18"/>
    <w:rsid w:val="00CF5CF9"/>
    <w:rsid w:val="00CF6D7A"/>
    <w:rsid w:val="00CF6ED6"/>
    <w:rsid w:val="00CF759C"/>
    <w:rsid w:val="00CF7737"/>
    <w:rsid w:val="00D00C78"/>
    <w:rsid w:val="00D02C9E"/>
    <w:rsid w:val="00D03193"/>
    <w:rsid w:val="00D046FC"/>
    <w:rsid w:val="00D06F2E"/>
    <w:rsid w:val="00D11242"/>
    <w:rsid w:val="00D1169D"/>
    <w:rsid w:val="00D11CD6"/>
    <w:rsid w:val="00D13802"/>
    <w:rsid w:val="00D143D3"/>
    <w:rsid w:val="00D14BF8"/>
    <w:rsid w:val="00D14F0E"/>
    <w:rsid w:val="00D163D0"/>
    <w:rsid w:val="00D20F72"/>
    <w:rsid w:val="00D21EEE"/>
    <w:rsid w:val="00D21F92"/>
    <w:rsid w:val="00D22970"/>
    <w:rsid w:val="00D229D3"/>
    <w:rsid w:val="00D251A1"/>
    <w:rsid w:val="00D2585E"/>
    <w:rsid w:val="00D31D3C"/>
    <w:rsid w:val="00D33E71"/>
    <w:rsid w:val="00D35C26"/>
    <w:rsid w:val="00D40CD0"/>
    <w:rsid w:val="00D43239"/>
    <w:rsid w:val="00D451A1"/>
    <w:rsid w:val="00D455F3"/>
    <w:rsid w:val="00D464B0"/>
    <w:rsid w:val="00D50242"/>
    <w:rsid w:val="00D51C3C"/>
    <w:rsid w:val="00D51CD3"/>
    <w:rsid w:val="00D51E39"/>
    <w:rsid w:val="00D52EE2"/>
    <w:rsid w:val="00D53501"/>
    <w:rsid w:val="00D5386C"/>
    <w:rsid w:val="00D540A6"/>
    <w:rsid w:val="00D55EF3"/>
    <w:rsid w:val="00D5679B"/>
    <w:rsid w:val="00D569AE"/>
    <w:rsid w:val="00D57BE2"/>
    <w:rsid w:val="00D60B2A"/>
    <w:rsid w:val="00D616A7"/>
    <w:rsid w:val="00D61BC6"/>
    <w:rsid w:val="00D61BE0"/>
    <w:rsid w:val="00D6282C"/>
    <w:rsid w:val="00D62B56"/>
    <w:rsid w:val="00D6320B"/>
    <w:rsid w:val="00D63B81"/>
    <w:rsid w:val="00D643D1"/>
    <w:rsid w:val="00D64B55"/>
    <w:rsid w:val="00D66E35"/>
    <w:rsid w:val="00D6767C"/>
    <w:rsid w:val="00D67827"/>
    <w:rsid w:val="00D700A4"/>
    <w:rsid w:val="00D72B9B"/>
    <w:rsid w:val="00D72C7F"/>
    <w:rsid w:val="00D72FA5"/>
    <w:rsid w:val="00D74D0B"/>
    <w:rsid w:val="00D770DB"/>
    <w:rsid w:val="00D775D2"/>
    <w:rsid w:val="00D778B7"/>
    <w:rsid w:val="00D808FF"/>
    <w:rsid w:val="00D81187"/>
    <w:rsid w:val="00D8135F"/>
    <w:rsid w:val="00D81C55"/>
    <w:rsid w:val="00D822D3"/>
    <w:rsid w:val="00D8383E"/>
    <w:rsid w:val="00D83C9E"/>
    <w:rsid w:val="00D83D79"/>
    <w:rsid w:val="00D84487"/>
    <w:rsid w:val="00D85AB5"/>
    <w:rsid w:val="00D86210"/>
    <w:rsid w:val="00D86295"/>
    <w:rsid w:val="00D8649C"/>
    <w:rsid w:val="00D8793B"/>
    <w:rsid w:val="00D879D1"/>
    <w:rsid w:val="00D91A7B"/>
    <w:rsid w:val="00D94C2C"/>
    <w:rsid w:val="00D94CD0"/>
    <w:rsid w:val="00D96558"/>
    <w:rsid w:val="00D967FA"/>
    <w:rsid w:val="00DA0A3E"/>
    <w:rsid w:val="00DA1330"/>
    <w:rsid w:val="00DA1ADC"/>
    <w:rsid w:val="00DA2BE5"/>
    <w:rsid w:val="00DA2D7A"/>
    <w:rsid w:val="00DA34F2"/>
    <w:rsid w:val="00DB30B2"/>
    <w:rsid w:val="00DB41C9"/>
    <w:rsid w:val="00DB423A"/>
    <w:rsid w:val="00DB548B"/>
    <w:rsid w:val="00DB5765"/>
    <w:rsid w:val="00DB629A"/>
    <w:rsid w:val="00DB713F"/>
    <w:rsid w:val="00DB73C5"/>
    <w:rsid w:val="00DC106C"/>
    <w:rsid w:val="00DC2259"/>
    <w:rsid w:val="00DC2C99"/>
    <w:rsid w:val="00DC2D12"/>
    <w:rsid w:val="00DC3945"/>
    <w:rsid w:val="00DC45E1"/>
    <w:rsid w:val="00DC46C9"/>
    <w:rsid w:val="00DC47A4"/>
    <w:rsid w:val="00DC4AAE"/>
    <w:rsid w:val="00DC5248"/>
    <w:rsid w:val="00DC5536"/>
    <w:rsid w:val="00DC5C85"/>
    <w:rsid w:val="00DD058B"/>
    <w:rsid w:val="00DD0C0F"/>
    <w:rsid w:val="00DD1B81"/>
    <w:rsid w:val="00DD2029"/>
    <w:rsid w:val="00DD391B"/>
    <w:rsid w:val="00DD4837"/>
    <w:rsid w:val="00DD785C"/>
    <w:rsid w:val="00DD7BC3"/>
    <w:rsid w:val="00DD7D4D"/>
    <w:rsid w:val="00DE009F"/>
    <w:rsid w:val="00DE042E"/>
    <w:rsid w:val="00DE0739"/>
    <w:rsid w:val="00DE0E94"/>
    <w:rsid w:val="00DE12D7"/>
    <w:rsid w:val="00DE2E53"/>
    <w:rsid w:val="00DE2EE9"/>
    <w:rsid w:val="00DE2EF3"/>
    <w:rsid w:val="00DE379F"/>
    <w:rsid w:val="00DE4930"/>
    <w:rsid w:val="00DE617C"/>
    <w:rsid w:val="00DE67A0"/>
    <w:rsid w:val="00DF1C33"/>
    <w:rsid w:val="00DF2382"/>
    <w:rsid w:val="00DF2A62"/>
    <w:rsid w:val="00DF4349"/>
    <w:rsid w:val="00DF4808"/>
    <w:rsid w:val="00DF4D0D"/>
    <w:rsid w:val="00DF62FA"/>
    <w:rsid w:val="00E016DB"/>
    <w:rsid w:val="00E0197C"/>
    <w:rsid w:val="00E0237A"/>
    <w:rsid w:val="00E0254F"/>
    <w:rsid w:val="00E02B10"/>
    <w:rsid w:val="00E04084"/>
    <w:rsid w:val="00E047E0"/>
    <w:rsid w:val="00E04B3B"/>
    <w:rsid w:val="00E07445"/>
    <w:rsid w:val="00E111E4"/>
    <w:rsid w:val="00E11770"/>
    <w:rsid w:val="00E11BE3"/>
    <w:rsid w:val="00E11C33"/>
    <w:rsid w:val="00E11F09"/>
    <w:rsid w:val="00E12B3B"/>
    <w:rsid w:val="00E13054"/>
    <w:rsid w:val="00E13402"/>
    <w:rsid w:val="00E140B0"/>
    <w:rsid w:val="00E142C1"/>
    <w:rsid w:val="00E14F5A"/>
    <w:rsid w:val="00E15513"/>
    <w:rsid w:val="00E15B74"/>
    <w:rsid w:val="00E15BF2"/>
    <w:rsid w:val="00E17157"/>
    <w:rsid w:val="00E17419"/>
    <w:rsid w:val="00E2032A"/>
    <w:rsid w:val="00E20A68"/>
    <w:rsid w:val="00E21F15"/>
    <w:rsid w:val="00E23097"/>
    <w:rsid w:val="00E2327B"/>
    <w:rsid w:val="00E2589C"/>
    <w:rsid w:val="00E25B7D"/>
    <w:rsid w:val="00E2632E"/>
    <w:rsid w:val="00E270C1"/>
    <w:rsid w:val="00E31502"/>
    <w:rsid w:val="00E32462"/>
    <w:rsid w:val="00E32E34"/>
    <w:rsid w:val="00E33424"/>
    <w:rsid w:val="00E33A75"/>
    <w:rsid w:val="00E33F87"/>
    <w:rsid w:val="00E3463F"/>
    <w:rsid w:val="00E34B6C"/>
    <w:rsid w:val="00E361F5"/>
    <w:rsid w:val="00E375CE"/>
    <w:rsid w:val="00E40242"/>
    <w:rsid w:val="00E40828"/>
    <w:rsid w:val="00E40C19"/>
    <w:rsid w:val="00E40FE6"/>
    <w:rsid w:val="00E40FE8"/>
    <w:rsid w:val="00E4134D"/>
    <w:rsid w:val="00E4193F"/>
    <w:rsid w:val="00E41B0C"/>
    <w:rsid w:val="00E42341"/>
    <w:rsid w:val="00E42CBB"/>
    <w:rsid w:val="00E43520"/>
    <w:rsid w:val="00E43D61"/>
    <w:rsid w:val="00E44B8A"/>
    <w:rsid w:val="00E45966"/>
    <w:rsid w:val="00E459E1"/>
    <w:rsid w:val="00E46295"/>
    <w:rsid w:val="00E46D5F"/>
    <w:rsid w:val="00E513FC"/>
    <w:rsid w:val="00E516D9"/>
    <w:rsid w:val="00E538DB"/>
    <w:rsid w:val="00E5415A"/>
    <w:rsid w:val="00E54E2C"/>
    <w:rsid w:val="00E569EB"/>
    <w:rsid w:val="00E5716A"/>
    <w:rsid w:val="00E61630"/>
    <w:rsid w:val="00E6166A"/>
    <w:rsid w:val="00E64356"/>
    <w:rsid w:val="00E64F3E"/>
    <w:rsid w:val="00E65519"/>
    <w:rsid w:val="00E6560A"/>
    <w:rsid w:val="00E65726"/>
    <w:rsid w:val="00E662BB"/>
    <w:rsid w:val="00E673C8"/>
    <w:rsid w:val="00E67446"/>
    <w:rsid w:val="00E67A22"/>
    <w:rsid w:val="00E7044D"/>
    <w:rsid w:val="00E704EA"/>
    <w:rsid w:val="00E70611"/>
    <w:rsid w:val="00E713CD"/>
    <w:rsid w:val="00E736FF"/>
    <w:rsid w:val="00E75432"/>
    <w:rsid w:val="00E7581D"/>
    <w:rsid w:val="00E764C3"/>
    <w:rsid w:val="00E765EF"/>
    <w:rsid w:val="00E77808"/>
    <w:rsid w:val="00E82D9D"/>
    <w:rsid w:val="00E83C85"/>
    <w:rsid w:val="00E84623"/>
    <w:rsid w:val="00E84D87"/>
    <w:rsid w:val="00E85CDF"/>
    <w:rsid w:val="00E86616"/>
    <w:rsid w:val="00E872C7"/>
    <w:rsid w:val="00E87808"/>
    <w:rsid w:val="00E8790A"/>
    <w:rsid w:val="00E87ABB"/>
    <w:rsid w:val="00E87C91"/>
    <w:rsid w:val="00E9064F"/>
    <w:rsid w:val="00E910A9"/>
    <w:rsid w:val="00E91247"/>
    <w:rsid w:val="00E91411"/>
    <w:rsid w:val="00E92BF0"/>
    <w:rsid w:val="00E92C64"/>
    <w:rsid w:val="00E93541"/>
    <w:rsid w:val="00E949EC"/>
    <w:rsid w:val="00E953CE"/>
    <w:rsid w:val="00E958E8"/>
    <w:rsid w:val="00E96623"/>
    <w:rsid w:val="00E96668"/>
    <w:rsid w:val="00EA0652"/>
    <w:rsid w:val="00EA1782"/>
    <w:rsid w:val="00EA1F24"/>
    <w:rsid w:val="00EA2DB8"/>
    <w:rsid w:val="00EA39A7"/>
    <w:rsid w:val="00EA7125"/>
    <w:rsid w:val="00EB1681"/>
    <w:rsid w:val="00EB2CB4"/>
    <w:rsid w:val="00EB3A1F"/>
    <w:rsid w:val="00EB3E97"/>
    <w:rsid w:val="00EB4EA5"/>
    <w:rsid w:val="00EB55BA"/>
    <w:rsid w:val="00EC1A48"/>
    <w:rsid w:val="00EC26FE"/>
    <w:rsid w:val="00EC3B54"/>
    <w:rsid w:val="00EC3F97"/>
    <w:rsid w:val="00EC432B"/>
    <w:rsid w:val="00EC6662"/>
    <w:rsid w:val="00EC675E"/>
    <w:rsid w:val="00EC78FA"/>
    <w:rsid w:val="00ED01AD"/>
    <w:rsid w:val="00ED2146"/>
    <w:rsid w:val="00ED2BB9"/>
    <w:rsid w:val="00ED4146"/>
    <w:rsid w:val="00ED5710"/>
    <w:rsid w:val="00EE1BDD"/>
    <w:rsid w:val="00EE3FFB"/>
    <w:rsid w:val="00EE479C"/>
    <w:rsid w:val="00EE5946"/>
    <w:rsid w:val="00EE5EA2"/>
    <w:rsid w:val="00EE63FC"/>
    <w:rsid w:val="00EE6849"/>
    <w:rsid w:val="00EF0613"/>
    <w:rsid w:val="00EF0D66"/>
    <w:rsid w:val="00EF26F9"/>
    <w:rsid w:val="00EF2A94"/>
    <w:rsid w:val="00EF33C1"/>
    <w:rsid w:val="00EF38CF"/>
    <w:rsid w:val="00EF52A4"/>
    <w:rsid w:val="00F0078D"/>
    <w:rsid w:val="00F023EE"/>
    <w:rsid w:val="00F03239"/>
    <w:rsid w:val="00F03C21"/>
    <w:rsid w:val="00F03D21"/>
    <w:rsid w:val="00F04158"/>
    <w:rsid w:val="00F04E5C"/>
    <w:rsid w:val="00F05565"/>
    <w:rsid w:val="00F0582D"/>
    <w:rsid w:val="00F06F74"/>
    <w:rsid w:val="00F07A2D"/>
    <w:rsid w:val="00F104D7"/>
    <w:rsid w:val="00F10D78"/>
    <w:rsid w:val="00F11249"/>
    <w:rsid w:val="00F11F0B"/>
    <w:rsid w:val="00F1265E"/>
    <w:rsid w:val="00F129BB"/>
    <w:rsid w:val="00F13ED6"/>
    <w:rsid w:val="00F13F50"/>
    <w:rsid w:val="00F14A5A"/>
    <w:rsid w:val="00F15D9E"/>
    <w:rsid w:val="00F16B52"/>
    <w:rsid w:val="00F17C0E"/>
    <w:rsid w:val="00F210AC"/>
    <w:rsid w:val="00F21403"/>
    <w:rsid w:val="00F249C2"/>
    <w:rsid w:val="00F253C7"/>
    <w:rsid w:val="00F279A4"/>
    <w:rsid w:val="00F30C0A"/>
    <w:rsid w:val="00F3232F"/>
    <w:rsid w:val="00F33BB7"/>
    <w:rsid w:val="00F34C18"/>
    <w:rsid w:val="00F35481"/>
    <w:rsid w:val="00F3562D"/>
    <w:rsid w:val="00F3664A"/>
    <w:rsid w:val="00F3686E"/>
    <w:rsid w:val="00F411E8"/>
    <w:rsid w:val="00F4209F"/>
    <w:rsid w:val="00F42383"/>
    <w:rsid w:val="00F43110"/>
    <w:rsid w:val="00F438B4"/>
    <w:rsid w:val="00F43CC8"/>
    <w:rsid w:val="00F4428C"/>
    <w:rsid w:val="00F454DA"/>
    <w:rsid w:val="00F45639"/>
    <w:rsid w:val="00F469A1"/>
    <w:rsid w:val="00F46FC6"/>
    <w:rsid w:val="00F47BA8"/>
    <w:rsid w:val="00F50150"/>
    <w:rsid w:val="00F5048C"/>
    <w:rsid w:val="00F50D8A"/>
    <w:rsid w:val="00F522B1"/>
    <w:rsid w:val="00F52791"/>
    <w:rsid w:val="00F54043"/>
    <w:rsid w:val="00F54E07"/>
    <w:rsid w:val="00F56F04"/>
    <w:rsid w:val="00F577C0"/>
    <w:rsid w:val="00F613BC"/>
    <w:rsid w:val="00F61BFF"/>
    <w:rsid w:val="00F64C25"/>
    <w:rsid w:val="00F651BA"/>
    <w:rsid w:val="00F6525F"/>
    <w:rsid w:val="00F65D79"/>
    <w:rsid w:val="00F66421"/>
    <w:rsid w:val="00F6669A"/>
    <w:rsid w:val="00F67366"/>
    <w:rsid w:val="00F67D49"/>
    <w:rsid w:val="00F70383"/>
    <w:rsid w:val="00F70E3F"/>
    <w:rsid w:val="00F71B14"/>
    <w:rsid w:val="00F731E5"/>
    <w:rsid w:val="00F7330B"/>
    <w:rsid w:val="00F73509"/>
    <w:rsid w:val="00F763B1"/>
    <w:rsid w:val="00F81319"/>
    <w:rsid w:val="00F8194F"/>
    <w:rsid w:val="00F819C2"/>
    <w:rsid w:val="00F8574E"/>
    <w:rsid w:val="00F85A56"/>
    <w:rsid w:val="00F8713E"/>
    <w:rsid w:val="00F908DC"/>
    <w:rsid w:val="00F928CB"/>
    <w:rsid w:val="00F9425D"/>
    <w:rsid w:val="00F94F1D"/>
    <w:rsid w:val="00F967F6"/>
    <w:rsid w:val="00FA0253"/>
    <w:rsid w:val="00FA2C3A"/>
    <w:rsid w:val="00FA4A20"/>
    <w:rsid w:val="00FA4DDD"/>
    <w:rsid w:val="00FA6311"/>
    <w:rsid w:val="00FB01B5"/>
    <w:rsid w:val="00FB0DA0"/>
    <w:rsid w:val="00FB2722"/>
    <w:rsid w:val="00FB2854"/>
    <w:rsid w:val="00FB2D8A"/>
    <w:rsid w:val="00FB3F04"/>
    <w:rsid w:val="00FB3FF4"/>
    <w:rsid w:val="00FB4BBC"/>
    <w:rsid w:val="00FC1F1B"/>
    <w:rsid w:val="00FC207C"/>
    <w:rsid w:val="00FC394A"/>
    <w:rsid w:val="00FC3A86"/>
    <w:rsid w:val="00FC4760"/>
    <w:rsid w:val="00FD2D9B"/>
    <w:rsid w:val="00FD3EA7"/>
    <w:rsid w:val="00FD44F9"/>
    <w:rsid w:val="00FD4696"/>
    <w:rsid w:val="00FD52DD"/>
    <w:rsid w:val="00FD7765"/>
    <w:rsid w:val="00FE0974"/>
    <w:rsid w:val="00FE2780"/>
    <w:rsid w:val="00FE2A0E"/>
    <w:rsid w:val="00FE2FAF"/>
    <w:rsid w:val="00FE358B"/>
    <w:rsid w:val="00FE504D"/>
    <w:rsid w:val="00FE676D"/>
    <w:rsid w:val="00FE68EA"/>
    <w:rsid w:val="00FE71F2"/>
    <w:rsid w:val="00FE7293"/>
    <w:rsid w:val="00FE76FD"/>
    <w:rsid w:val="00FF0C6B"/>
    <w:rsid w:val="00FF0E71"/>
    <w:rsid w:val="00FF2FB1"/>
    <w:rsid w:val="00FF36D3"/>
    <w:rsid w:val="00FF3D8E"/>
    <w:rsid w:val="00FF4C69"/>
    <w:rsid w:val="00FF4F18"/>
    <w:rsid w:val="00FF5FCF"/>
    <w:rsid w:val="00FF6953"/>
    <w:rsid w:val="01992A24"/>
    <w:rsid w:val="02A64777"/>
    <w:rsid w:val="02E27F7D"/>
    <w:rsid w:val="042943E8"/>
    <w:rsid w:val="04710602"/>
    <w:rsid w:val="04F550AA"/>
    <w:rsid w:val="05310009"/>
    <w:rsid w:val="059E3E15"/>
    <w:rsid w:val="06216CEB"/>
    <w:rsid w:val="063C429C"/>
    <w:rsid w:val="06AC163E"/>
    <w:rsid w:val="06EF4AE5"/>
    <w:rsid w:val="0A063254"/>
    <w:rsid w:val="0A344230"/>
    <w:rsid w:val="0B4E34C6"/>
    <w:rsid w:val="0B886F7D"/>
    <w:rsid w:val="0BA36C6F"/>
    <w:rsid w:val="0D316E18"/>
    <w:rsid w:val="0FEA3A6E"/>
    <w:rsid w:val="12C42B13"/>
    <w:rsid w:val="142573E4"/>
    <w:rsid w:val="15DF32D1"/>
    <w:rsid w:val="16307361"/>
    <w:rsid w:val="16911E9F"/>
    <w:rsid w:val="169F5708"/>
    <w:rsid w:val="16E62715"/>
    <w:rsid w:val="177B641D"/>
    <w:rsid w:val="178522BF"/>
    <w:rsid w:val="17F14DDF"/>
    <w:rsid w:val="18070DF2"/>
    <w:rsid w:val="1858672E"/>
    <w:rsid w:val="1927589A"/>
    <w:rsid w:val="192F4A36"/>
    <w:rsid w:val="1CF3514C"/>
    <w:rsid w:val="1D64381E"/>
    <w:rsid w:val="1DCF1B83"/>
    <w:rsid w:val="1E297B6C"/>
    <w:rsid w:val="1EC822F6"/>
    <w:rsid w:val="1ECF36EA"/>
    <w:rsid w:val="1FBF409D"/>
    <w:rsid w:val="21220D00"/>
    <w:rsid w:val="21346A99"/>
    <w:rsid w:val="221A1A4B"/>
    <w:rsid w:val="221E2698"/>
    <w:rsid w:val="22352338"/>
    <w:rsid w:val="230C062E"/>
    <w:rsid w:val="23846AEF"/>
    <w:rsid w:val="23E65DA1"/>
    <w:rsid w:val="2549001C"/>
    <w:rsid w:val="278E2F9A"/>
    <w:rsid w:val="278E34D5"/>
    <w:rsid w:val="27CC2C14"/>
    <w:rsid w:val="2956041F"/>
    <w:rsid w:val="297053DF"/>
    <w:rsid w:val="2AF5733A"/>
    <w:rsid w:val="2BC563F1"/>
    <w:rsid w:val="2BFC4F9F"/>
    <w:rsid w:val="2C2F2E5B"/>
    <w:rsid w:val="2DC2617B"/>
    <w:rsid w:val="2DE101CC"/>
    <w:rsid w:val="2E1C3845"/>
    <w:rsid w:val="2FAE38E0"/>
    <w:rsid w:val="2FC179AC"/>
    <w:rsid w:val="2FE70FAB"/>
    <w:rsid w:val="30D83F02"/>
    <w:rsid w:val="310D77FB"/>
    <w:rsid w:val="319607FA"/>
    <w:rsid w:val="31D9148B"/>
    <w:rsid w:val="3229683B"/>
    <w:rsid w:val="32C30AF4"/>
    <w:rsid w:val="32C93C7E"/>
    <w:rsid w:val="330F7C45"/>
    <w:rsid w:val="338102BC"/>
    <w:rsid w:val="34BE73F7"/>
    <w:rsid w:val="34C76929"/>
    <w:rsid w:val="3587531C"/>
    <w:rsid w:val="370B49B9"/>
    <w:rsid w:val="39221B61"/>
    <w:rsid w:val="39D44D17"/>
    <w:rsid w:val="3A280E3E"/>
    <w:rsid w:val="3A2B12A7"/>
    <w:rsid w:val="3A452D5C"/>
    <w:rsid w:val="3CAC748F"/>
    <w:rsid w:val="3D9A41CA"/>
    <w:rsid w:val="3E9814F0"/>
    <w:rsid w:val="3F51591E"/>
    <w:rsid w:val="3FAF14E4"/>
    <w:rsid w:val="41700164"/>
    <w:rsid w:val="421373D0"/>
    <w:rsid w:val="427F57B3"/>
    <w:rsid w:val="43731F9A"/>
    <w:rsid w:val="43AD2CD4"/>
    <w:rsid w:val="43CF08A9"/>
    <w:rsid w:val="4441183E"/>
    <w:rsid w:val="44907C3B"/>
    <w:rsid w:val="45241161"/>
    <w:rsid w:val="45340FC9"/>
    <w:rsid w:val="45397440"/>
    <w:rsid w:val="45455D65"/>
    <w:rsid w:val="459C7DF3"/>
    <w:rsid w:val="45C967F5"/>
    <w:rsid w:val="461D5993"/>
    <w:rsid w:val="465F0B43"/>
    <w:rsid w:val="471415BF"/>
    <w:rsid w:val="47BB0620"/>
    <w:rsid w:val="4989458D"/>
    <w:rsid w:val="49AA1EB2"/>
    <w:rsid w:val="4A0B01F8"/>
    <w:rsid w:val="4A662CED"/>
    <w:rsid w:val="4A8061AA"/>
    <w:rsid w:val="4B2332A6"/>
    <w:rsid w:val="4BA76BC0"/>
    <w:rsid w:val="4C2023A8"/>
    <w:rsid w:val="4C7153F5"/>
    <w:rsid w:val="4C81727E"/>
    <w:rsid w:val="4D026B14"/>
    <w:rsid w:val="4E936FE5"/>
    <w:rsid w:val="502F2833"/>
    <w:rsid w:val="509E7570"/>
    <w:rsid w:val="511F4FD0"/>
    <w:rsid w:val="533D97EE"/>
    <w:rsid w:val="543E663B"/>
    <w:rsid w:val="549A3F25"/>
    <w:rsid w:val="55216B22"/>
    <w:rsid w:val="55C25A9A"/>
    <w:rsid w:val="571A7E3F"/>
    <w:rsid w:val="576135B0"/>
    <w:rsid w:val="576E0986"/>
    <w:rsid w:val="578C2807"/>
    <w:rsid w:val="58B36135"/>
    <w:rsid w:val="58C074BE"/>
    <w:rsid w:val="594919CB"/>
    <w:rsid w:val="59CB51D7"/>
    <w:rsid w:val="5A517CF1"/>
    <w:rsid w:val="5A930A90"/>
    <w:rsid w:val="5B533D47"/>
    <w:rsid w:val="5D206234"/>
    <w:rsid w:val="5D9B7B77"/>
    <w:rsid w:val="5DEE5FA5"/>
    <w:rsid w:val="5EC56345"/>
    <w:rsid w:val="5EE75F38"/>
    <w:rsid w:val="5F9A2F84"/>
    <w:rsid w:val="5FAB6B76"/>
    <w:rsid w:val="5FEF7C89"/>
    <w:rsid w:val="6074576F"/>
    <w:rsid w:val="607E7999"/>
    <w:rsid w:val="60BB2DB3"/>
    <w:rsid w:val="61585C2F"/>
    <w:rsid w:val="62354DE3"/>
    <w:rsid w:val="638A7BED"/>
    <w:rsid w:val="63A131C2"/>
    <w:rsid w:val="647937F6"/>
    <w:rsid w:val="65A7591F"/>
    <w:rsid w:val="66B85791"/>
    <w:rsid w:val="66DF78CE"/>
    <w:rsid w:val="66E55FE9"/>
    <w:rsid w:val="67165838"/>
    <w:rsid w:val="67191A6E"/>
    <w:rsid w:val="67AB1D56"/>
    <w:rsid w:val="67C116AC"/>
    <w:rsid w:val="6961142C"/>
    <w:rsid w:val="699A14AB"/>
    <w:rsid w:val="69C24894"/>
    <w:rsid w:val="6A031098"/>
    <w:rsid w:val="6A3E6297"/>
    <w:rsid w:val="6A55615D"/>
    <w:rsid w:val="6A681638"/>
    <w:rsid w:val="6AB1775C"/>
    <w:rsid w:val="6AEE44F3"/>
    <w:rsid w:val="6B5B8058"/>
    <w:rsid w:val="6C4C4BAA"/>
    <w:rsid w:val="6E374FFD"/>
    <w:rsid w:val="6FC654FF"/>
    <w:rsid w:val="6FFE228A"/>
    <w:rsid w:val="70230C37"/>
    <w:rsid w:val="709E6CED"/>
    <w:rsid w:val="72A74FF1"/>
    <w:rsid w:val="73267C07"/>
    <w:rsid w:val="733733FC"/>
    <w:rsid w:val="733C36EC"/>
    <w:rsid w:val="736036C2"/>
    <w:rsid w:val="74962C31"/>
    <w:rsid w:val="750033AF"/>
    <w:rsid w:val="75105690"/>
    <w:rsid w:val="755EC03F"/>
    <w:rsid w:val="75C6A22D"/>
    <w:rsid w:val="75FC6AC3"/>
    <w:rsid w:val="78332F27"/>
    <w:rsid w:val="79C835E8"/>
    <w:rsid w:val="79CB2992"/>
    <w:rsid w:val="7A147F78"/>
    <w:rsid w:val="7ADB6F81"/>
    <w:rsid w:val="7AF7379A"/>
    <w:rsid w:val="7B6F3A41"/>
    <w:rsid w:val="7C6575D1"/>
    <w:rsid w:val="7CD32A90"/>
    <w:rsid w:val="7D0A66C6"/>
    <w:rsid w:val="7D4A5387"/>
    <w:rsid w:val="7E255FDC"/>
    <w:rsid w:val="7EB85E2A"/>
    <w:rsid w:val="7F71201A"/>
    <w:rsid w:val="7FA866C0"/>
    <w:rsid w:val="7FE16A9E"/>
    <w:rsid w:val="9F6F228E"/>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0"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1"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1" w:semiHidden="0" w:name="annotation reference"/>
    <w:lsdException w:qFormat="1" w:unhideWhenUsed="0" w:uiPriority="0" w:semiHidden="0" w:name="line number"/>
    <w:lsdException w:qFormat="1" w:unhideWhenUsed="0" w:uiPriority="0" w:semiHidden="0" w:name="page number"/>
    <w:lsdException w:qFormat="1" w:uiPriority="1" w:semiHidden="0" w:name="endnote reference"/>
    <w:lsdException w:qFormat="1" w:uiPriority="1" w:semiHidden="0" w:name="endnote text"/>
    <w:lsdException w:unhideWhenUsed="0" w:uiPriority="0" w:semiHidden="0" w:name="table of authorities"/>
    <w:lsdException w:qFormat="1" w:unhideWhenUsed="0" w:uiPriority="0" w:semiHidden="0" w:name="macro"/>
    <w:lsdException w:qFormat="1" w:unhideWhenUsed="0" w:uiPriority="0" w:semiHidden="0" w:name="toa heading"/>
    <w:lsdException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1"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1" w:semiHidden="0" w:name="Normal (Web)"/>
    <w:lsdException w:unhideWhenUsed="0" w:uiPriority="0" w:semiHidden="0" w:name="HTML Acronym"/>
    <w:lsdException w:unhideWhenUsed="0" w:uiPriority="0" w:semiHidden="0" w:name="HTML Address"/>
    <w:lsdException w:qFormat="1"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1"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qFormat="1" w:unhideWhenUsed="0" w:uiPriority="0" w:semiHidden="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79"/>
    <w:autoRedefine/>
    <w:qFormat/>
    <w:uiPriority w:val="9"/>
    <w:pPr>
      <w:keepNext/>
      <w:jc w:val="center"/>
      <w:outlineLvl w:val="0"/>
    </w:pPr>
    <w:rPr>
      <w:rFonts w:ascii="楷体_GB2312" w:eastAsia="楷体_GB2312"/>
      <w:b/>
      <w:bCs/>
    </w:rPr>
  </w:style>
  <w:style w:type="paragraph" w:styleId="4">
    <w:name w:val="heading 2"/>
    <w:basedOn w:val="1"/>
    <w:next w:val="1"/>
    <w:link w:val="80"/>
    <w:autoRedefine/>
    <w:qFormat/>
    <w:uiPriority w:val="9"/>
    <w:pPr>
      <w:keepNext/>
      <w:keepLines/>
      <w:spacing w:before="260" w:after="260" w:line="416" w:lineRule="auto"/>
      <w:outlineLvl w:val="1"/>
    </w:pPr>
    <w:rPr>
      <w:rFonts w:ascii="Cambria" w:hAnsi="Cambria"/>
      <w:b/>
      <w:bCs/>
      <w:sz w:val="32"/>
      <w:szCs w:val="32"/>
    </w:rPr>
  </w:style>
  <w:style w:type="paragraph" w:styleId="5">
    <w:name w:val="heading 3"/>
    <w:basedOn w:val="1"/>
    <w:next w:val="1"/>
    <w:link w:val="81"/>
    <w:autoRedefine/>
    <w:qFormat/>
    <w:uiPriority w:val="9"/>
    <w:pPr>
      <w:outlineLvl w:val="2"/>
    </w:pPr>
  </w:style>
  <w:style w:type="paragraph" w:styleId="6">
    <w:name w:val="heading 4"/>
    <w:basedOn w:val="1"/>
    <w:next w:val="1"/>
    <w:link w:val="82"/>
    <w:autoRedefine/>
    <w:qFormat/>
    <w:uiPriority w:val="0"/>
    <w:pPr>
      <w:keepNext/>
      <w:keepLines/>
      <w:spacing w:before="280" w:after="290" w:line="376" w:lineRule="auto"/>
      <w:outlineLvl w:val="3"/>
    </w:pPr>
    <w:rPr>
      <w:rFonts w:ascii="Cambria" w:hAnsi="Cambria"/>
      <w:b/>
      <w:bCs/>
      <w:sz w:val="28"/>
      <w:szCs w:val="28"/>
    </w:rPr>
  </w:style>
  <w:style w:type="paragraph" w:styleId="7">
    <w:name w:val="heading 5"/>
    <w:basedOn w:val="1"/>
    <w:next w:val="1"/>
    <w:link w:val="83"/>
    <w:autoRedefine/>
    <w:qFormat/>
    <w:uiPriority w:val="9"/>
    <w:pPr>
      <w:keepNext/>
      <w:keepLines/>
      <w:spacing w:before="280" w:after="290" w:line="376" w:lineRule="auto"/>
      <w:outlineLvl w:val="4"/>
    </w:pPr>
    <w:rPr>
      <w:b/>
      <w:bCs/>
      <w:sz w:val="28"/>
      <w:szCs w:val="28"/>
    </w:rPr>
  </w:style>
  <w:style w:type="paragraph" w:styleId="8">
    <w:name w:val="heading 6"/>
    <w:basedOn w:val="1"/>
    <w:next w:val="1"/>
    <w:link w:val="84"/>
    <w:autoRedefine/>
    <w:qFormat/>
    <w:uiPriority w:val="9"/>
    <w:pPr>
      <w:keepNext/>
      <w:keepLines/>
      <w:spacing w:before="240" w:after="64" w:line="320" w:lineRule="auto"/>
      <w:outlineLvl w:val="5"/>
    </w:pPr>
    <w:rPr>
      <w:rFonts w:ascii="Cambria" w:hAnsi="Cambria"/>
      <w:b/>
      <w:bCs/>
      <w:sz w:val="24"/>
    </w:rPr>
  </w:style>
  <w:style w:type="paragraph" w:styleId="9">
    <w:name w:val="heading 7"/>
    <w:basedOn w:val="1"/>
    <w:next w:val="1"/>
    <w:link w:val="167"/>
    <w:autoRedefine/>
    <w:qFormat/>
    <w:uiPriority w:val="9"/>
    <w:pPr>
      <w:keepNext/>
      <w:keepLines/>
      <w:adjustRightInd w:val="0"/>
      <w:spacing w:before="240" w:after="64" w:line="320" w:lineRule="atLeast"/>
      <w:textAlignment w:val="baseline"/>
      <w:outlineLvl w:val="6"/>
    </w:pPr>
    <w:rPr>
      <w:rFonts w:eastAsia="等线"/>
      <w:b/>
      <w:sz w:val="24"/>
    </w:rPr>
  </w:style>
  <w:style w:type="paragraph" w:styleId="10">
    <w:name w:val="heading 8"/>
    <w:basedOn w:val="1"/>
    <w:next w:val="1"/>
    <w:link w:val="168"/>
    <w:autoRedefine/>
    <w:qFormat/>
    <w:uiPriority w:val="9"/>
    <w:pPr>
      <w:keepNext/>
      <w:keepLines/>
      <w:adjustRightInd w:val="0"/>
      <w:spacing w:before="240" w:after="64" w:line="320" w:lineRule="atLeast"/>
      <w:textAlignment w:val="baseline"/>
      <w:outlineLvl w:val="7"/>
    </w:pPr>
    <w:rPr>
      <w:rFonts w:ascii="Arial" w:hAnsi="Arial" w:eastAsia="黑体"/>
      <w:sz w:val="24"/>
    </w:rPr>
  </w:style>
  <w:style w:type="paragraph" w:styleId="11">
    <w:name w:val="heading 9"/>
    <w:basedOn w:val="1"/>
    <w:next w:val="1"/>
    <w:link w:val="169"/>
    <w:autoRedefine/>
    <w:qFormat/>
    <w:uiPriority w:val="9"/>
    <w:pPr>
      <w:keepNext/>
      <w:keepLines/>
      <w:adjustRightInd w:val="0"/>
      <w:spacing w:before="240" w:after="64" w:line="320" w:lineRule="atLeast"/>
      <w:textAlignment w:val="baseline"/>
      <w:outlineLvl w:val="8"/>
    </w:pPr>
    <w:rPr>
      <w:rFonts w:ascii="Arial" w:hAnsi="Arial" w:eastAsia="黑体"/>
      <w:sz w:val="24"/>
    </w:rPr>
  </w:style>
  <w:style w:type="character" w:default="1" w:styleId="66">
    <w:name w:val="Default Paragraph Font"/>
    <w:autoRedefine/>
    <w:semiHidden/>
    <w:unhideWhenUsed/>
    <w:qFormat/>
    <w:uiPriority w:val="1"/>
  </w:style>
  <w:style w:type="table" w:default="1" w:styleId="63">
    <w:name w:val="Normal Table"/>
    <w:autoRedefine/>
    <w:semiHidden/>
    <w:unhideWhenUsed/>
    <w:qFormat/>
    <w:uiPriority w:val="99"/>
    <w:tblPr>
      <w:tblCellMar>
        <w:top w:w="0" w:type="dxa"/>
        <w:left w:w="108" w:type="dxa"/>
        <w:bottom w:w="0" w:type="dxa"/>
        <w:right w:w="108" w:type="dxa"/>
      </w:tblCellMar>
    </w:tblPr>
  </w:style>
  <w:style w:type="paragraph" w:styleId="2">
    <w:name w:val="macro"/>
    <w:link w:val="430"/>
    <w:autoRedefine/>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Wingdings" w:hAnsi="Wingdings" w:eastAsia="Times New Roman" w:cs="Times New Roman"/>
      <w:kern w:val="2"/>
      <w:sz w:val="24"/>
      <w:szCs w:val="24"/>
      <w:lang w:val="en-US" w:eastAsia="zh-CN" w:bidi="ar-SA"/>
    </w:rPr>
  </w:style>
  <w:style w:type="paragraph" w:styleId="12">
    <w:name w:val="toc 7"/>
    <w:basedOn w:val="1"/>
    <w:next w:val="1"/>
    <w:autoRedefine/>
    <w:qFormat/>
    <w:uiPriority w:val="39"/>
    <w:pPr>
      <w:autoSpaceDE w:val="0"/>
      <w:autoSpaceDN w:val="0"/>
      <w:adjustRightInd w:val="0"/>
      <w:ind w:left="2520" w:leftChars="1200"/>
      <w:jc w:val="left"/>
    </w:pPr>
    <w:rPr>
      <w:rFonts w:ascii="等线" w:hAnsi="等线" w:eastAsia="等线" w:cs="等线"/>
      <w:kern w:val="0"/>
      <w:sz w:val="20"/>
      <w:szCs w:val="20"/>
    </w:rPr>
  </w:style>
  <w:style w:type="paragraph" w:styleId="13">
    <w:name w:val="Note Heading"/>
    <w:basedOn w:val="1"/>
    <w:next w:val="1"/>
    <w:link w:val="421"/>
    <w:autoRedefine/>
    <w:qFormat/>
    <w:uiPriority w:val="0"/>
    <w:pPr>
      <w:spacing w:line="360" w:lineRule="auto"/>
      <w:ind w:firstLine="200" w:firstLineChars="200"/>
      <w:jc w:val="center"/>
    </w:pPr>
    <w:rPr>
      <w:rFonts w:ascii="DFKai-SB" w:hAnsi="DFKai-SB" w:eastAsia="DFKai-SB" w:cs="等线"/>
      <w:sz w:val="20"/>
      <w:szCs w:val="20"/>
      <w:lang w:eastAsia="zh-TW"/>
    </w:rPr>
  </w:style>
  <w:style w:type="paragraph" w:styleId="14">
    <w:name w:val="List Bullet 4"/>
    <w:basedOn w:val="1"/>
    <w:autoRedefine/>
    <w:qFormat/>
    <w:uiPriority w:val="0"/>
    <w:pPr>
      <w:numPr>
        <w:ilvl w:val="0"/>
        <w:numId w:val="1"/>
      </w:numPr>
    </w:pPr>
  </w:style>
  <w:style w:type="paragraph" w:styleId="15">
    <w:name w:val="List Number"/>
    <w:basedOn w:val="1"/>
    <w:autoRedefine/>
    <w:qFormat/>
    <w:uiPriority w:val="0"/>
    <w:pPr>
      <w:tabs>
        <w:tab w:val="left" w:pos="360"/>
      </w:tabs>
      <w:ind w:left="360" w:hanging="360" w:hangingChars="200"/>
    </w:pPr>
    <w:rPr>
      <w:rFonts w:ascii="等线" w:hAnsi="等线" w:eastAsia="等线" w:cs="等线"/>
    </w:rPr>
  </w:style>
  <w:style w:type="paragraph" w:styleId="16">
    <w:name w:val="Normal Indent"/>
    <w:basedOn w:val="1"/>
    <w:next w:val="1"/>
    <w:link w:val="103"/>
    <w:autoRedefine/>
    <w:qFormat/>
    <w:uiPriority w:val="0"/>
    <w:pPr>
      <w:adjustRightInd w:val="0"/>
      <w:spacing w:line="312" w:lineRule="atLeast"/>
      <w:ind w:firstLine="420"/>
      <w:textAlignment w:val="baseline"/>
    </w:pPr>
    <w:rPr>
      <w:kern w:val="0"/>
      <w:szCs w:val="20"/>
    </w:rPr>
  </w:style>
  <w:style w:type="paragraph" w:styleId="17">
    <w:name w:val="caption"/>
    <w:basedOn w:val="1"/>
    <w:next w:val="1"/>
    <w:autoRedefine/>
    <w:qFormat/>
    <w:uiPriority w:val="0"/>
    <w:rPr>
      <w:rFonts w:ascii="Cambria" w:hAnsi="Cambria" w:eastAsia="黑体"/>
      <w:sz w:val="20"/>
      <w:szCs w:val="20"/>
    </w:rPr>
  </w:style>
  <w:style w:type="paragraph" w:styleId="18">
    <w:name w:val="List Bullet"/>
    <w:basedOn w:val="1"/>
    <w:autoRedefine/>
    <w:qFormat/>
    <w:uiPriority w:val="0"/>
    <w:pPr>
      <w:tabs>
        <w:tab w:val="left" w:pos="360"/>
      </w:tabs>
      <w:ind w:left="360" w:hanging="360"/>
    </w:pPr>
    <w:rPr>
      <w:rFonts w:ascii="Century Gothic" w:hAnsi="Century Gothic" w:eastAsia="等线" w:cs="等线"/>
      <w:szCs w:val="22"/>
    </w:rPr>
  </w:style>
  <w:style w:type="paragraph" w:styleId="19">
    <w:name w:val="Document Map"/>
    <w:basedOn w:val="1"/>
    <w:link w:val="206"/>
    <w:autoRedefine/>
    <w:qFormat/>
    <w:uiPriority w:val="0"/>
    <w:pPr>
      <w:shd w:val="clear" w:color="auto" w:fill="000080"/>
    </w:pPr>
  </w:style>
  <w:style w:type="paragraph" w:styleId="20">
    <w:name w:val="toa heading"/>
    <w:basedOn w:val="1"/>
    <w:next w:val="1"/>
    <w:autoRedefine/>
    <w:qFormat/>
    <w:uiPriority w:val="0"/>
    <w:pPr>
      <w:spacing w:before="120" w:line="560" w:lineRule="exact"/>
      <w:ind w:firstLine="200" w:firstLineChars="200"/>
    </w:pPr>
    <w:rPr>
      <w:rFonts w:ascii="Arial" w:hAnsi="Arial" w:cs="Arial"/>
      <w:sz w:val="24"/>
    </w:rPr>
  </w:style>
  <w:style w:type="paragraph" w:styleId="21">
    <w:name w:val="annotation text"/>
    <w:basedOn w:val="1"/>
    <w:link w:val="114"/>
    <w:autoRedefine/>
    <w:qFormat/>
    <w:uiPriority w:val="1"/>
    <w:pPr>
      <w:jc w:val="left"/>
    </w:pPr>
  </w:style>
  <w:style w:type="paragraph" w:styleId="22">
    <w:name w:val="Salutation"/>
    <w:basedOn w:val="1"/>
    <w:next w:val="1"/>
    <w:link w:val="409"/>
    <w:autoRedefine/>
    <w:qFormat/>
    <w:uiPriority w:val="0"/>
    <w:pPr>
      <w:tabs>
        <w:tab w:val="left" w:pos="840"/>
      </w:tabs>
      <w:autoSpaceDE w:val="0"/>
      <w:autoSpaceDN w:val="0"/>
      <w:adjustRightInd w:val="0"/>
      <w:jc w:val="left"/>
    </w:pPr>
    <w:rPr>
      <w:rFonts w:ascii="等线" w:hAnsi="等线" w:eastAsia="等线" w:cs="等线"/>
      <w:kern w:val="0"/>
      <w:sz w:val="24"/>
      <w:szCs w:val="20"/>
    </w:rPr>
  </w:style>
  <w:style w:type="paragraph" w:styleId="23">
    <w:name w:val="Body Text 3"/>
    <w:basedOn w:val="1"/>
    <w:link w:val="424"/>
    <w:autoRedefine/>
    <w:qFormat/>
    <w:uiPriority w:val="0"/>
    <w:pPr>
      <w:autoSpaceDE w:val="0"/>
      <w:autoSpaceDN w:val="0"/>
      <w:adjustRightInd w:val="0"/>
      <w:jc w:val="center"/>
    </w:pPr>
    <w:rPr>
      <w:rFonts w:ascii="等线" w:hAnsi="等线" w:eastAsia="等线" w:cs="等线"/>
      <w:kern w:val="0"/>
      <w:sz w:val="20"/>
      <w:szCs w:val="20"/>
    </w:rPr>
  </w:style>
  <w:style w:type="paragraph" w:styleId="24">
    <w:name w:val="List Bullet 3"/>
    <w:basedOn w:val="1"/>
    <w:autoRedefine/>
    <w:qFormat/>
    <w:uiPriority w:val="0"/>
    <w:pPr>
      <w:tabs>
        <w:tab w:val="left" w:pos="1321"/>
        <w:tab w:val="left" w:pos="2281"/>
      </w:tabs>
      <w:adjustRightInd w:val="0"/>
      <w:spacing w:line="360" w:lineRule="atLeast"/>
      <w:ind w:left="1321" w:leftChars="600" w:hanging="200" w:hangingChars="200"/>
      <w:jc w:val="left"/>
      <w:textAlignment w:val="baseline"/>
    </w:pPr>
    <w:rPr>
      <w:rFonts w:ascii="等线" w:hAnsi="等线" w:eastAsia="PMingLiU" w:cs="等线"/>
      <w:kern w:val="0"/>
      <w:sz w:val="24"/>
      <w:szCs w:val="20"/>
      <w:lang w:eastAsia="zh-TW"/>
    </w:rPr>
  </w:style>
  <w:style w:type="paragraph" w:styleId="25">
    <w:name w:val="Body Text"/>
    <w:basedOn w:val="1"/>
    <w:next w:val="26"/>
    <w:link w:val="90"/>
    <w:autoRedefine/>
    <w:qFormat/>
    <w:uiPriority w:val="99"/>
    <w:pPr>
      <w:spacing w:after="120"/>
    </w:pPr>
  </w:style>
  <w:style w:type="paragraph" w:styleId="26">
    <w:name w:val="toc 4"/>
    <w:basedOn w:val="1"/>
    <w:next w:val="1"/>
    <w:autoRedefine/>
    <w:qFormat/>
    <w:uiPriority w:val="39"/>
    <w:pPr>
      <w:autoSpaceDE w:val="0"/>
      <w:autoSpaceDN w:val="0"/>
      <w:adjustRightInd w:val="0"/>
      <w:ind w:left="1260" w:leftChars="600"/>
      <w:jc w:val="left"/>
    </w:pPr>
    <w:rPr>
      <w:rFonts w:ascii="等线" w:hAnsi="等线" w:eastAsia="等线" w:cs="等线"/>
      <w:kern w:val="0"/>
      <w:sz w:val="20"/>
      <w:szCs w:val="20"/>
    </w:rPr>
  </w:style>
  <w:style w:type="paragraph" w:styleId="27">
    <w:name w:val="Body Text Indent"/>
    <w:basedOn w:val="1"/>
    <w:link w:val="91"/>
    <w:autoRedefine/>
    <w:qFormat/>
    <w:uiPriority w:val="0"/>
    <w:pPr>
      <w:ind w:left="480" w:hanging="480" w:hangingChars="200"/>
    </w:pPr>
    <w:rPr>
      <w:sz w:val="24"/>
    </w:rPr>
  </w:style>
  <w:style w:type="paragraph" w:styleId="28">
    <w:name w:val="List Number 3"/>
    <w:basedOn w:val="1"/>
    <w:autoRedefine/>
    <w:qFormat/>
    <w:uiPriority w:val="0"/>
    <w:pPr>
      <w:tabs>
        <w:tab w:val="left" w:pos="1200"/>
      </w:tabs>
      <w:ind w:left="1200" w:leftChars="400" w:hanging="360" w:hangingChars="200"/>
    </w:pPr>
    <w:rPr>
      <w:rFonts w:ascii="等线" w:hAnsi="等线" w:eastAsia="等线" w:cs="等线"/>
    </w:rPr>
  </w:style>
  <w:style w:type="paragraph" w:styleId="29">
    <w:name w:val="List 2"/>
    <w:basedOn w:val="1"/>
    <w:autoRedefine/>
    <w:qFormat/>
    <w:uiPriority w:val="0"/>
    <w:pPr>
      <w:autoSpaceDE w:val="0"/>
      <w:autoSpaceDN w:val="0"/>
      <w:adjustRightInd w:val="0"/>
      <w:ind w:left="100" w:hanging="200"/>
      <w:textAlignment w:val="baseline"/>
    </w:pPr>
    <w:rPr>
      <w:rFonts w:ascii="等线" w:hAnsi="等线" w:eastAsia="等线" w:cs="等线"/>
      <w:kern w:val="0"/>
      <w:sz w:val="28"/>
      <w:szCs w:val="20"/>
    </w:rPr>
  </w:style>
  <w:style w:type="paragraph" w:styleId="30">
    <w:name w:val="Block Text"/>
    <w:basedOn w:val="1"/>
    <w:autoRedefine/>
    <w:qFormat/>
    <w:uiPriority w:val="0"/>
    <w:pPr>
      <w:adjustRightInd w:val="0"/>
      <w:spacing w:line="360" w:lineRule="atLeast"/>
      <w:ind w:left="1260" w:leftChars="525" w:right="22" w:rightChars="9" w:firstLine="200" w:firstLineChars="200"/>
      <w:jc w:val="left"/>
      <w:textAlignment w:val="baseline"/>
    </w:pPr>
    <w:rPr>
      <w:rFonts w:ascii="DFKai-SB" w:hAnsi="DFKai-SB" w:eastAsia="DFKai-SB" w:cs="等线"/>
      <w:kern w:val="0"/>
      <w:sz w:val="28"/>
      <w:szCs w:val="20"/>
      <w:lang w:eastAsia="zh-TW"/>
    </w:rPr>
  </w:style>
  <w:style w:type="paragraph" w:styleId="31">
    <w:name w:val="List Bullet 2"/>
    <w:basedOn w:val="1"/>
    <w:autoRedefine/>
    <w:qFormat/>
    <w:uiPriority w:val="0"/>
    <w:pPr>
      <w:tabs>
        <w:tab w:val="left" w:pos="780"/>
      </w:tabs>
      <w:spacing w:line="360" w:lineRule="auto"/>
      <w:ind w:left="780" w:leftChars="200" w:hanging="360" w:hangingChars="200"/>
    </w:pPr>
    <w:rPr>
      <w:rFonts w:ascii="等线" w:hAnsi="等线" w:eastAsia="等线" w:cs="等线"/>
    </w:rPr>
  </w:style>
  <w:style w:type="paragraph" w:styleId="32">
    <w:name w:val="toc 5"/>
    <w:basedOn w:val="1"/>
    <w:next w:val="1"/>
    <w:autoRedefine/>
    <w:qFormat/>
    <w:uiPriority w:val="39"/>
    <w:pPr>
      <w:autoSpaceDE w:val="0"/>
      <w:autoSpaceDN w:val="0"/>
      <w:adjustRightInd w:val="0"/>
      <w:ind w:left="1680" w:leftChars="800"/>
      <w:jc w:val="left"/>
    </w:pPr>
    <w:rPr>
      <w:rFonts w:ascii="等线" w:hAnsi="等线" w:eastAsia="等线" w:cs="等线"/>
      <w:kern w:val="0"/>
      <w:sz w:val="20"/>
      <w:szCs w:val="20"/>
    </w:rPr>
  </w:style>
  <w:style w:type="paragraph" w:styleId="33">
    <w:name w:val="toc 3"/>
    <w:basedOn w:val="1"/>
    <w:next w:val="1"/>
    <w:autoRedefine/>
    <w:qFormat/>
    <w:uiPriority w:val="39"/>
    <w:pPr>
      <w:ind w:left="840" w:leftChars="400"/>
    </w:pPr>
  </w:style>
  <w:style w:type="paragraph" w:styleId="34">
    <w:name w:val="Plain Text"/>
    <w:basedOn w:val="1"/>
    <w:link w:val="92"/>
    <w:autoRedefine/>
    <w:qFormat/>
    <w:uiPriority w:val="0"/>
    <w:pPr>
      <w:widowControl/>
      <w:overflowPunct w:val="0"/>
      <w:autoSpaceDE w:val="0"/>
      <w:autoSpaceDN w:val="0"/>
      <w:adjustRightInd w:val="0"/>
      <w:jc w:val="left"/>
      <w:textAlignment w:val="baseline"/>
    </w:pPr>
    <w:rPr>
      <w:rFonts w:ascii="宋体" w:hAnsi="Courier New"/>
      <w:kern w:val="0"/>
      <w:szCs w:val="21"/>
    </w:rPr>
  </w:style>
  <w:style w:type="paragraph" w:styleId="35">
    <w:name w:val="List Number 4"/>
    <w:basedOn w:val="1"/>
    <w:autoRedefine/>
    <w:qFormat/>
    <w:uiPriority w:val="0"/>
    <w:pPr>
      <w:tabs>
        <w:tab w:val="left" w:pos="840"/>
      </w:tabs>
      <w:autoSpaceDE w:val="0"/>
      <w:autoSpaceDN w:val="0"/>
      <w:adjustRightInd w:val="0"/>
      <w:spacing w:line="360" w:lineRule="atLeast"/>
      <w:ind w:left="840" w:hanging="420"/>
      <w:jc w:val="left"/>
    </w:pPr>
    <w:rPr>
      <w:rFonts w:ascii="等线" w:hAnsi="等线" w:eastAsia="等线" w:cs="等线"/>
      <w:kern w:val="0"/>
      <w:sz w:val="24"/>
      <w:szCs w:val="20"/>
    </w:rPr>
  </w:style>
  <w:style w:type="paragraph" w:styleId="36">
    <w:name w:val="toc 8"/>
    <w:basedOn w:val="1"/>
    <w:next w:val="1"/>
    <w:autoRedefine/>
    <w:qFormat/>
    <w:uiPriority w:val="39"/>
    <w:pPr>
      <w:autoSpaceDE w:val="0"/>
      <w:autoSpaceDN w:val="0"/>
      <w:adjustRightInd w:val="0"/>
      <w:ind w:left="2940" w:leftChars="1400"/>
      <w:jc w:val="left"/>
    </w:pPr>
    <w:rPr>
      <w:rFonts w:ascii="等线" w:hAnsi="等线" w:eastAsia="等线" w:cs="等线"/>
      <w:kern w:val="0"/>
      <w:sz w:val="20"/>
      <w:szCs w:val="20"/>
    </w:rPr>
  </w:style>
  <w:style w:type="paragraph" w:styleId="37">
    <w:name w:val="Date"/>
    <w:basedOn w:val="1"/>
    <w:next w:val="1"/>
    <w:link w:val="85"/>
    <w:autoRedefine/>
    <w:qFormat/>
    <w:uiPriority w:val="0"/>
    <w:pPr>
      <w:ind w:left="100" w:leftChars="2500"/>
    </w:pPr>
  </w:style>
  <w:style w:type="paragraph" w:styleId="38">
    <w:name w:val="Body Text Indent 2"/>
    <w:basedOn w:val="1"/>
    <w:link w:val="306"/>
    <w:autoRedefine/>
    <w:qFormat/>
    <w:uiPriority w:val="0"/>
    <w:pPr>
      <w:spacing w:line="500" w:lineRule="exact"/>
      <w:ind w:firstLine="511" w:firstLineChars="213"/>
    </w:pPr>
    <w:rPr>
      <w:sz w:val="24"/>
    </w:rPr>
  </w:style>
  <w:style w:type="paragraph" w:styleId="39">
    <w:name w:val="endnote text"/>
    <w:basedOn w:val="1"/>
    <w:link w:val="759"/>
    <w:autoRedefine/>
    <w:unhideWhenUsed/>
    <w:qFormat/>
    <w:uiPriority w:val="1"/>
    <w:pPr>
      <w:snapToGrid w:val="0"/>
      <w:spacing w:line="360" w:lineRule="auto"/>
      <w:ind w:firstLine="200" w:firstLineChars="200"/>
      <w:jc w:val="left"/>
    </w:pPr>
    <w:rPr>
      <w:sz w:val="28"/>
    </w:rPr>
  </w:style>
  <w:style w:type="paragraph" w:styleId="40">
    <w:name w:val="Balloon Text"/>
    <w:basedOn w:val="1"/>
    <w:link w:val="269"/>
    <w:autoRedefine/>
    <w:qFormat/>
    <w:uiPriority w:val="0"/>
    <w:rPr>
      <w:sz w:val="18"/>
      <w:szCs w:val="18"/>
    </w:rPr>
  </w:style>
  <w:style w:type="paragraph" w:styleId="41">
    <w:name w:val="footer"/>
    <w:basedOn w:val="1"/>
    <w:link w:val="89"/>
    <w:autoRedefine/>
    <w:qFormat/>
    <w:uiPriority w:val="99"/>
    <w:pPr>
      <w:tabs>
        <w:tab w:val="center" w:pos="4153"/>
        <w:tab w:val="right" w:pos="8306"/>
      </w:tabs>
      <w:snapToGrid w:val="0"/>
      <w:jc w:val="left"/>
    </w:pPr>
    <w:rPr>
      <w:sz w:val="18"/>
      <w:szCs w:val="18"/>
    </w:rPr>
  </w:style>
  <w:style w:type="paragraph" w:styleId="42">
    <w:name w:val="envelope return"/>
    <w:basedOn w:val="1"/>
    <w:autoRedefine/>
    <w:qFormat/>
    <w:uiPriority w:val="0"/>
    <w:pPr>
      <w:snapToGrid w:val="0"/>
      <w:spacing w:line="360" w:lineRule="auto"/>
      <w:ind w:firstLine="200" w:firstLineChars="200"/>
    </w:pPr>
    <w:rPr>
      <w:rFonts w:ascii="Arial" w:hAnsi="Arial" w:eastAsia="等线" w:cs="等线"/>
      <w:spacing w:val="-10"/>
      <w:szCs w:val="20"/>
    </w:rPr>
  </w:style>
  <w:style w:type="paragraph" w:styleId="43">
    <w:name w:val="header"/>
    <w:basedOn w:val="1"/>
    <w:link w:val="372"/>
    <w:autoRedefine/>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441"/>
    <w:autoRedefine/>
    <w:qFormat/>
    <w:uiPriority w:val="0"/>
    <w:pPr>
      <w:autoSpaceDE w:val="0"/>
      <w:autoSpaceDN w:val="0"/>
      <w:adjustRightInd w:val="0"/>
      <w:spacing w:after="600" w:line="312" w:lineRule="atLeast"/>
      <w:jc w:val="center"/>
      <w:textAlignment w:val="baseline"/>
    </w:pPr>
    <w:rPr>
      <w:rFonts w:ascii="等线" w:hAnsi="等线" w:eastAsia="黑体" w:cs="等线"/>
      <w:kern w:val="0"/>
      <w:sz w:val="24"/>
      <w:szCs w:val="20"/>
    </w:rPr>
  </w:style>
  <w:style w:type="paragraph" w:styleId="45">
    <w:name w:val="toc 1"/>
    <w:basedOn w:val="1"/>
    <w:next w:val="1"/>
    <w:autoRedefine/>
    <w:qFormat/>
    <w:uiPriority w:val="39"/>
    <w:pPr>
      <w:tabs>
        <w:tab w:val="right" w:leader="dot" w:pos="9628"/>
      </w:tabs>
      <w:spacing w:line="480" w:lineRule="auto"/>
    </w:pPr>
    <w:rPr>
      <w:rFonts w:ascii="Arial" w:hAnsi="Arial" w:eastAsia="新宋体" w:cs="Arial"/>
      <w:bCs/>
      <w:sz w:val="24"/>
    </w:rPr>
  </w:style>
  <w:style w:type="paragraph" w:styleId="46">
    <w:name w:val="Subtitle"/>
    <w:basedOn w:val="1"/>
    <w:next w:val="1"/>
    <w:link w:val="437"/>
    <w:autoRedefine/>
    <w:qFormat/>
    <w:uiPriority w:val="0"/>
    <w:pPr>
      <w:spacing w:before="240" w:after="60" w:line="312" w:lineRule="auto"/>
      <w:jc w:val="center"/>
      <w:outlineLvl w:val="1"/>
    </w:pPr>
    <w:rPr>
      <w:rFonts w:ascii="Verdana" w:hAnsi="Verdana" w:eastAsia="仿宋_GB2312"/>
      <w:b/>
      <w:bCs/>
      <w:kern w:val="28"/>
      <w:sz w:val="32"/>
      <w:szCs w:val="32"/>
    </w:rPr>
  </w:style>
  <w:style w:type="paragraph" w:styleId="47">
    <w:name w:val="List Number 5"/>
    <w:basedOn w:val="1"/>
    <w:autoRedefine/>
    <w:qFormat/>
    <w:uiPriority w:val="0"/>
    <w:pPr>
      <w:tabs>
        <w:tab w:val="left" w:pos="2040"/>
      </w:tabs>
      <w:autoSpaceDE w:val="0"/>
      <w:autoSpaceDN w:val="0"/>
      <w:adjustRightInd w:val="0"/>
      <w:spacing w:line="400" w:lineRule="exact"/>
      <w:ind w:left="2040" w:hanging="360"/>
      <w:jc w:val="left"/>
    </w:pPr>
    <w:rPr>
      <w:rFonts w:ascii="等线" w:hAnsi="等线" w:eastAsia="等线" w:cs="等线"/>
      <w:kern w:val="0"/>
      <w:sz w:val="24"/>
      <w:szCs w:val="20"/>
    </w:rPr>
  </w:style>
  <w:style w:type="paragraph" w:styleId="48">
    <w:name w:val="footnote text"/>
    <w:basedOn w:val="1"/>
    <w:link w:val="436"/>
    <w:autoRedefine/>
    <w:qFormat/>
    <w:uiPriority w:val="0"/>
    <w:pPr>
      <w:snapToGrid w:val="0"/>
      <w:spacing w:line="360" w:lineRule="auto"/>
      <w:ind w:firstLine="200" w:firstLineChars="200"/>
      <w:jc w:val="left"/>
    </w:pPr>
    <w:rPr>
      <w:rFonts w:ascii="等线" w:hAnsi="等线" w:eastAsia="等线" w:cs="等线"/>
      <w:sz w:val="18"/>
      <w:szCs w:val="18"/>
    </w:rPr>
  </w:style>
  <w:style w:type="paragraph" w:styleId="49">
    <w:name w:val="toc 6"/>
    <w:basedOn w:val="1"/>
    <w:next w:val="1"/>
    <w:autoRedefine/>
    <w:qFormat/>
    <w:uiPriority w:val="39"/>
    <w:pPr>
      <w:autoSpaceDE w:val="0"/>
      <w:autoSpaceDN w:val="0"/>
      <w:adjustRightInd w:val="0"/>
      <w:ind w:left="2100" w:leftChars="1000"/>
      <w:jc w:val="left"/>
    </w:pPr>
    <w:rPr>
      <w:rFonts w:ascii="等线" w:hAnsi="等线" w:eastAsia="等线" w:cs="等线"/>
      <w:kern w:val="0"/>
      <w:sz w:val="20"/>
      <w:szCs w:val="20"/>
    </w:rPr>
  </w:style>
  <w:style w:type="paragraph" w:styleId="50">
    <w:name w:val="Body Text Indent 3"/>
    <w:basedOn w:val="1"/>
    <w:link w:val="203"/>
    <w:autoRedefine/>
    <w:qFormat/>
    <w:uiPriority w:val="0"/>
    <w:pPr>
      <w:spacing w:line="500" w:lineRule="exact"/>
      <w:ind w:left="511" w:hanging="511" w:hangingChars="213"/>
    </w:pPr>
    <w:rPr>
      <w:sz w:val="24"/>
    </w:rPr>
  </w:style>
  <w:style w:type="paragraph" w:styleId="51">
    <w:name w:val="table of figures"/>
    <w:basedOn w:val="1"/>
    <w:next w:val="1"/>
    <w:autoRedefine/>
    <w:qFormat/>
    <w:uiPriority w:val="0"/>
    <w:pPr>
      <w:spacing w:line="360" w:lineRule="auto"/>
      <w:ind w:left="840" w:leftChars="200" w:hanging="420" w:hangingChars="200"/>
    </w:pPr>
    <w:rPr>
      <w:rFonts w:ascii="等线" w:hAnsi="等线" w:eastAsia="等线" w:cs="等线"/>
      <w:szCs w:val="20"/>
    </w:rPr>
  </w:style>
  <w:style w:type="paragraph" w:styleId="52">
    <w:name w:val="toc 2"/>
    <w:basedOn w:val="1"/>
    <w:next w:val="1"/>
    <w:autoRedefine/>
    <w:qFormat/>
    <w:uiPriority w:val="39"/>
    <w:pPr>
      <w:ind w:left="420" w:leftChars="200"/>
    </w:pPr>
  </w:style>
  <w:style w:type="paragraph" w:styleId="53">
    <w:name w:val="toc 9"/>
    <w:basedOn w:val="1"/>
    <w:next w:val="1"/>
    <w:autoRedefine/>
    <w:qFormat/>
    <w:uiPriority w:val="39"/>
    <w:pPr>
      <w:autoSpaceDE w:val="0"/>
      <w:autoSpaceDN w:val="0"/>
      <w:adjustRightInd w:val="0"/>
      <w:ind w:left="3360" w:leftChars="1600"/>
      <w:jc w:val="left"/>
    </w:pPr>
    <w:rPr>
      <w:rFonts w:ascii="等线" w:hAnsi="等线" w:eastAsia="等线" w:cs="等线"/>
      <w:kern w:val="0"/>
      <w:sz w:val="20"/>
      <w:szCs w:val="20"/>
    </w:rPr>
  </w:style>
  <w:style w:type="paragraph" w:styleId="54">
    <w:name w:val="Body Text 2"/>
    <w:basedOn w:val="1"/>
    <w:link w:val="435"/>
    <w:autoRedefine/>
    <w:qFormat/>
    <w:uiPriority w:val="0"/>
    <w:pPr>
      <w:autoSpaceDE w:val="0"/>
      <w:autoSpaceDN w:val="0"/>
      <w:adjustRightInd w:val="0"/>
      <w:spacing w:after="120" w:line="480" w:lineRule="auto"/>
      <w:jc w:val="left"/>
    </w:pPr>
    <w:rPr>
      <w:rFonts w:ascii="等线" w:hAnsi="等线" w:eastAsia="等线" w:cs="等线"/>
      <w:kern w:val="0"/>
      <w:sz w:val="20"/>
      <w:szCs w:val="20"/>
    </w:rPr>
  </w:style>
  <w:style w:type="paragraph" w:styleId="55">
    <w:name w:val="Message Header"/>
    <w:basedOn w:val="1"/>
    <w:link w:val="438"/>
    <w:autoRedefine/>
    <w:qFormat/>
    <w:uiPriority w:val="0"/>
    <w:pPr>
      <w:pBdr>
        <w:top w:val="single" w:color="auto" w:sz="6" w:space="1"/>
        <w:left w:val="single" w:color="auto" w:sz="6" w:space="1"/>
        <w:bottom w:val="single" w:color="auto" w:sz="6" w:space="1"/>
        <w:right w:val="single" w:color="auto" w:sz="6" w:space="1"/>
      </w:pBdr>
      <w:shd w:val="pct20" w:color="auto" w:fill="auto"/>
      <w:adjustRightInd w:val="0"/>
      <w:spacing w:line="360" w:lineRule="atLeast"/>
      <w:ind w:left="1080" w:leftChars="400" w:hanging="1080" w:hangingChars="400"/>
      <w:jc w:val="left"/>
      <w:textAlignment w:val="baseline"/>
    </w:pPr>
    <w:rPr>
      <w:rFonts w:eastAsia="仿宋_GB2312"/>
    </w:rPr>
  </w:style>
  <w:style w:type="paragraph" w:styleId="56">
    <w:name w:val="HTML Preformatted"/>
    <w:basedOn w:val="1"/>
    <w:link w:val="440"/>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200" w:firstLineChars="200"/>
      <w:jc w:val="left"/>
    </w:pPr>
    <w:rPr>
      <w:rFonts w:ascii="黑体" w:hAnsi="Courier New" w:eastAsia="黑体"/>
      <w:kern w:val="0"/>
      <w:sz w:val="20"/>
      <w:szCs w:val="20"/>
    </w:rPr>
  </w:style>
  <w:style w:type="paragraph" w:styleId="57">
    <w:name w:val="Normal (Web)"/>
    <w:basedOn w:val="1"/>
    <w:link w:val="166"/>
    <w:autoRedefine/>
    <w:qFormat/>
    <w:uiPriority w:val="1"/>
    <w:pPr>
      <w:widowControl/>
      <w:spacing w:before="100" w:beforeAutospacing="1" w:after="100" w:afterAutospacing="1"/>
      <w:jc w:val="left"/>
    </w:pPr>
    <w:rPr>
      <w:rFonts w:ascii="宋体" w:hAnsi="宋体"/>
      <w:kern w:val="0"/>
      <w:sz w:val="24"/>
    </w:rPr>
  </w:style>
  <w:style w:type="paragraph" w:styleId="58">
    <w:name w:val="index 1"/>
    <w:basedOn w:val="1"/>
    <w:next w:val="1"/>
    <w:autoRedefine/>
    <w:qFormat/>
    <w:uiPriority w:val="0"/>
    <w:pPr>
      <w:spacing w:line="360" w:lineRule="auto"/>
      <w:ind w:firstLine="200" w:firstLineChars="200"/>
    </w:pPr>
    <w:rPr>
      <w:rFonts w:ascii="等线" w:hAnsi="等线" w:eastAsia="等线" w:cs="等线"/>
      <w:szCs w:val="20"/>
    </w:rPr>
  </w:style>
  <w:style w:type="paragraph" w:styleId="59">
    <w:name w:val="Title"/>
    <w:basedOn w:val="1"/>
    <w:next w:val="1"/>
    <w:link w:val="157"/>
    <w:autoRedefine/>
    <w:qFormat/>
    <w:uiPriority w:val="0"/>
    <w:pPr>
      <w:autoSpaceDE w:val="0"/>
      <w:autoSpaceDN w:val="0"/>
      <w:adjustRightInd w:val="0"/>
      <w:spacing w:before="240" w:after="60"/>
      <w:jc w:val="center"/>
      <w:outlineLvl w:val="0"/>
    </w:pPr>
    <w:rPr>
      <w:rFonts w:ascii="Verdana" w:hAnsi="Verdana" w:eastAsia="仿宋_GB2312"/>
      <w:b/>
      <w:bCs/>
      <w:kern w:val="0"/>
      <w:sz w:val="32"/>
      <w:szCs w:val="32"/>
    </w:rPr>
  </w:style>
  <w:style w:type="paragraph" w:styleId="60">
    <w:name w:val="annotation subject"/>
    <w:basedOn w:val="21"/>
    <w:next w:val="21"/>
    <w:link w:val="170"/>
    <w:autoRedefine/>
    <w:qFormat/>
    <w:uiPriority w:val="1"/>
    <w:rPr>
      <w:b/>
      <w:bCs/>
    </w:rPr>
  </w:style>
  <w:style w:type="paragraph" w:styleId="61">
    <w:name w:val="Body Text First Indent"/>
    <w:basedOn w:val="25"/>
    <w:next w:val="1"/>
    <w:link w:val="102"/>
    <w:autoRedefine/>
    <w:qFormat/>
    <w:uiPriority w:val="0"/>
    <w:pPr>
      <w:ind w:firstLine="420" w:firstLineChars="100"/>
    </w:pPr>
  </w:style>
  <w:style w:type="paragraph" w:styleId="62">
    <w:name w:val="Body Text First Indent 2"/>
    <w:basedOn w:val="27"/>
    <w:link w:val="439"/>
    <w:autoRedefine/>
    <w:unhideWhenUsed/>
    <w:qFormat/>
    <w:uiPriority w:val="0"/>
    <w:pPr>
      <w:spacing w:after="120"/>
      <w:ind w:left="420" w:leftChars="200" w:firstLine="420" w:firstLineChars="200"/>
    </w:pPr>
    <w:rPr>
      <w:sz w:val="21"/>
    </w:rPr>
  </w:style>
  <w:style w:type="table" w:styleId="64">
    <w:name w:val="Table Grid"/>
    <w:basedOn w:val="63"/>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3"/>
    <w:autoRedefine/>
    <w:qFormat/>
    <w:uiPriority w:val="0"/>
    <w:pPr>
      <w:widowControl w:val="0"/>
      <w:jc w:val="both"/>
    </w:pPr>
    <w:rPr>
      <w:rFonts w:hint="eastAsia" w:ascii="等线" w:hAnsi="等线" w:eastAsia="等线" w:cs="等线"/>
    </w:r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character" w:styleId="67">
    <w:name w:val="Strong"/>
    <w:autoRedefine/>
    <w:qFormat/>
    <w:uiPriority w:val="0"/>
    <w:rPr>
      <w:b/>
      <w:bCs/>
    </w:rPr>
  </w:style>
  <w:style w:type="character" w:styleId="68">
    <w:name w:val="endnote reference"/>
    <w:autoRedefine/>
    <w:unhideWhenUsed/>
    <w:qFormat/>
    <w:uiPriority w:val="1"/>
    <w:rPr>
      <w:vertAlign w:val="superscript"/>
    </w:rPr>
  </w:style>
  <w:style w:type="character" w:styleId="69">
    <w:name w:val="page number"/>
    <w:basedOn w:val="66"/>
    <w:autoRedefine/>
    <w:qFormat/>
    <w:uiPriority w:val="0"/>
  </w:style>
  <w:style w:type="character" w:styleId="70">
    <w:name w:val="FollowedHyperlink"/>
    <w:autoRedefine/>
    <w:qFormat/>
    <w:uiPriority w:val="0"/>
    <w:rPr>
      <w:color w:val="800080"/>
      <w:u w:val="single"/>
    </w:rPr>
  </w:style>
  <w:style w:type="character" w:styleId="71">
    <w:name w:val="Emphasis"/>
    <w:autoRedefine/>
    <w:qFormat/>
    <w:uiPriority w:val="1"/>
    <w:rPr>
      <w:i/>
      <w:iCs/>
    </w:rPr>
  </w:style>
  <w:style w:type="character" w:styleId="72">
    <w:name w:val="line number"/>
    <w:basedOn w:val="66"/>
    <w:autoRedefine/>
    <w:qFormat/>
    <w:uiPriority w:val="0"/>
  </w:style>
  <w:style w:type="character" w:styleId="73">
    <w:name w:val="Hyperlink"/>
    <w:basedOn w:val="66"/>
    <w:autoRedefine/>
    <w:qFormat/>
    <w:uiPriority w:val="99"/>
    <w:rPr>
      <w:color w:val="000000"/>
      <w:sz w:val="20"/>
      <w:szCs w:val="20"/>
      <w:u w:val="none"/>
    </w:rPr>
  </w:style>
  <w:style w:type="character" w:styleId="74">
    <w:name w:val="annotation reference"/>
    <w:autoRedefine/>
    <w:qFormat/>
    <w:uiPriority w:val="1"/>
    <w:rPr>
      <w:sz w:val="21"/>
      <w:szCs w:val="21"/>
    </w:rPr>
  </w:style>
  <w:style w:type="character" w:styleId="75">
    <w:name w:val="HTML Cite"/>
    <w:autoRedefine/>
    <w:qFormat/>
    <w:uiPriority w:val="0"/>
    <w:rPr>
      <w:color w:val="008000"/>
    </w:rPr>
  </w:style>
  <w:style w:type="paragraph" w:customStyle="1" w:styleId="76">
    <w:name w:val="01 正文-首行缩进2字符"/>
    <w:basedOn w:val="1"/>
    <w:autoRedefine/>
    <w:qFormat/>
    <w:uiPriority w:val="0"/>
    <w:pPr>
      <w:spacing w:before="50" w:beforeLines="50" w:after="50" w:afterLines="50"/>
      <w:ind w:firstLine="200" w:firstLineChars="200"/>
    </w:pPr>
    <w:rPr>
      <w:rFonts w:ascii="Arial" w:hAnsi="Arial"/>
      <w:color w:val="000000"/>
    </w:rPr>
  </w:style>
  <w:style w:type="paragraph" w:customStyle="1" w:styleId="77">
    <w:name w:val="[Normal]"/>
    <w:autoRedefine/>
    <w:qFormat/>
    <w:uiPriority w:val="0"/>
    <w:rPr>
      <w:rFonts w:ascii="宋体" w:hAnsi="宋体" w:eastAsia="宋体" w:cs="Times New Roman"/>
      <w:sz w:val="24"/>
      <w:szCs w:val="22"/>
      <w:lang w:val="zh-CN" w:eastAsia="zh-CN" w:bidi="ar-SA"/>
    </w:rPr>
  </w:style>
  <w:style w:type="paragraph" w:customStyle="1" w:styleId="78">
    <w:name w:val="样式 10 磅"/>
    <w:autoRedefine/>
    <w:qFormat/>
    <w:uiPriority w:val="0"/>
    <w:pPr>
      <w:widowControl w:val="0"/>
      <w:jc w:val="both"/>
    </w:pPr>
    <w:rPr>
      <w:rFonts w:ascii="Calibri" w:hAnsi="Calibri" w:eastAsia="宋体" w:cs="Times New Roman"/>
      <w:kern w:val="2"/>
      <w:sz w:val="21"/>
      <w:szCs w:val="24"/>
      <w:lang w:val="en-US" w:eastAsia="zh-CN" w:bidi="ar-SA"/>
    </w:rPr>
  </w:style>
  <w:style w:type="character" w:customStyle="1" w:styleId="79">
    <w:name w:val="标题 1 Char"/>
    <w:link w:val="3"/>
    <w:autoRedefine/>
    <w:qFormat/>
    <w:uiPriority w:val="9"/>
    <w:rPr>
      <w:rFonts w:ascii="楷体_GB2312" w:eastAsia="楷体_GB2312"/>
      <w:b/>
      <w:bCs/>
      <w:kern w:val="2"/>
      <w:sz w:val="21"/>
      <w:szCs w:val="24"/>
    </w:rPr>
  </w:style>
  <w:style w:type="character" w:customStyle="1" w:styleId="80">
    <w:name w:val="标题 2 Char"/>
    <w:link w:val="4"/>
    <w:autoRedefine/>
    <w:qFormat/>
    <w:uiPriority w:val="9"/>
    <w:rPr>
      <w:rFonts w:ascii="Cambria" w:hAnsi="Cambria" w:eastAsia="宋体" w:cs="Times New Roman"/>
      <w:b/>
      <w:bCs/>
      <w:kern w:val="2"/>
      <w:sz w:val="32"/>
      <w:szCs w:val="32"/>
    </w:rPr>
  </w:style>
  <w:style w:type="character" w:customStyle="1" w:styleId="81">
    <w:name w:val="标题 3 Char"/>
    <w:link w:val="5"/>
    <w:autoRedefine/>
    <w:qFormat/>
    <w:uiPriority w:val="9"/>
    <w:rPr>
      <w:b/>
      <w:bCs/>
      <w:kern w:val="2"/>
      <w:sz w:val="32"/>
      <w:szCs w:val="32"/>
      <w:lang w:bidi="ar-SA"/>
    </w:rPr>
  </w:style>
  <w:style w:type="character" w:customStyle="1" w:styleId="82">
    <w:name w:val="标题 4 Char"/>
    <w:link w:val="6"/>
    <w:autoRedefine/>
    <w:qFormat/>
    <w:uiPriority w:val="0"/>
    <w:rPr>
      <w:rFonts w:ascii="Cambria" w:hAnsi="Cambria" w:eastAsia="宋体"/>
      <w:b/>
      <w:bCs/>
      <w:kern w:val="2"/>
      <w:sz w:val="28"/>
      <w:szCs w:val="28"/>
      <w:lang w:bidi="ar-SA"/>
    </w:rPr>
  </w:style>
  <w:style w:type="character" w:customStyle="1" w:styleId="83">
    <w:name w:val="标题 5 Char"/>
    <w:link w:val="7"/>
    <w:autoRedefine/>
    <w:qFormat/>
    <w:uiPriority w:val="9"/>
    <w:rPr>
      <w:b/>
      <w:bCs/>
      <w:kern w:val="2"/>
      <w:sz w:val="28"/>
      <w:szCs w:val="28"/>
    </w:rPr>
  </w:style>
  <w:style w:type="character" w:customStyle="1" w:styleId="84">
    <w:name w:val="标题 6 Char"/>
    <w:link w:val="8"/>
    <w:autoRedefine/>
    <w:qFormat/>
    <w:uiPriority w:val="9"/>
    <w:rPr>
      <w:rFonts w:ascii="Cambria" w:hAnsi="Cambria" w:eastAsia="宋体" w:cs="Times New Roman"/>
      <w:b/>
      <w:bCs/>
      <w:kern w:val="2"/>
      <w:sz w:val="24"/>
      <w:szCs w:val="24"/>
    </w:rPr>
  </w:style>
  <w:style w:type="character" w:customStyle="1" w:styleId="85">
    <w:name w:val="日期 Char"/>
    <w:link w:val="37"/>
    <w:autoRedefine/>
    <w:qFormat/>
    <w:uiPriority w:val="0"/>
    <w:rPr>
      <w:kern w:val="2"/>
      <w:sz w:val="21"/>
      <w:szCs w:val="24"/>
    </w:rPr>
  </w:style>
  <w:style w:type="character" w:customStyle="1" w:styleId="86">
    <w:name w:val="样式6 列表并列 Char"/>
    <w:link w:val="87"/>
    <w:autoRedefine/>
    <w:qFormat/>
    <w:uiPriority w:val="0"/>
    <w:rPr>
      <w:rFonts w:ascii="Arial" w:hAnsi="Arial" w:cs="Arial"/>
      <w:kern w:val="21"/>
      <w:sz w:val="21"/>
      <w:szCs w:val="24"/>
    </w:rPr>
  </w:style>
  <w:style w:type="paragraph" w:customStyle="1" w:styleId="87">
    <w:name w:val="样式6 列表并列"/>
    <w:link w:val="86"/>
    <w:autoRedefine/>
    <w:qFormat/>
    <w:uiPriority w:val="0"/>
    <w:pPr>
      <w:widowControl w:val="0"/>
      <w:tabs>
        <w:tab w:val="left" w:pos="0"/>
      </w:tabs>
      <w:spacing w:before="40" w:after="40" w:line="240" w:lineRule="atLeast"/>
      <w:ind w:left="840" w:hanging="420"/>
    </w:pPr>
    <w:rPr>
      <w:rFonts w:ascii="Arial" w:hAnsi="Arial" w:eastAsia="宋体" w:cs="Arial"/>
      <w:kern w:val="21"/>
      <w:sz w:val="21"/>
      <w:szCs w:val="24"/>
      <w:lang w:val="en-US" w:eastAsia="zh-CN" w:bidi="ar-SA"/>
    </w:rPr>
  </w:style>
  <w:style w:type="character" w:customStyle="1" w:styleId="88">
    <w:name w:val="Texte Char Char"/>
    <w:autoRedefine/>
    <w:qFormat/>
    <w:uiPriority w:val="0"/>
    <w:rPr>
      <w:rFonts w:ascii="宋体" w:hAnsi="Courier New" w:eastAsia="宋体"/>
      <w:sz w:val="21"/>
      <w:szCs w:val="21"/>
      <w:lang w:val="en-US" w:eastAsia="zh-CN" w:bidi="ar-SA"/>
    </w:rPr>
  </w:style>
  <w:style w:type="character" w:customStyle="1" w:styleId="89">
    <w:name w:val="页脚 Char"/>
    <w:link w:val="41"/>
    <w:autoRedefine/>
    <w:qFormat/>
    <w:uiPriority w:val="99"/>
    <w:rPr>
      <w:kern w:val="2"/>
      <w:sz w:val="18"/>
      <w:szCs w:val="18"/>
    </w:rPr>
  </w:style>
  <w:style w:type="character" w:customStyle="1" w:styleId="90">
    <w:name w:val="正文文本 Char"/>
    <w:link w:val="25"/>
    <w:autoRedefine/>
    <w:qFormat/>
    <w:uiPriority w:val="99"/>
    <w:rPr>
      <w:kern w:val="2"/>
      <w:sz w:val="21"/>
      <w:szCs w:val="24"/>
    </w:rPr>
  </w:style>
  <w:style w:type="character" w:customStyle="1" w:styleId="91">
    <w:name w:val="正文文本缩进 Char"/>
    <w:link w:val="27"/>
    <w:autoRedefine/>
    <w:qFormat/>
    <w:uiPriority w:val="0"/>
    <w:rPr>
      <w:kern w:val="2"/>
      <w:sz w:val="24"/>
      <w:szCs w:val="24"/>
    </w:rPr>
  </w:style>
  <w:style w:type="character" w:customStyle="1" w:styleId="92">
    <w:name w:val="纯文本 Char"/>
    <w:link w:val="34"/>
    <w:autoRedefine/>
    <w:qFormat/>
    <w:uiPriority w:val="0"/>
    <w:rPr>
      <w:rFonts w:ascii="宋体" w:hAnsi="Courier New" w:eastAsia="宋体"/>
      <w:sz w:val="21"/>
      <w:szCs w:val="21"/>
      <w:lang w:val="en-US" w:eastAsia="zh-CN" w:bidi="ar-SA"/>
    </w:rPr>
  </w:style>
  <w:style w:type="character" w:customStyle="1" w:styleId="93">
    <w:name w:val="font31"/>
    <w:basedOn w:val="66"/>
    <w:autoRedefine/>
    <w:qFormat/>
    <w:uiPriority w:val="0"/>
    <w:rPr>
      <w:rFonts w:hint="eastAsia" w:ascii="新宋体" w:hAnsi="新宋体" w:eastAsia="新宋体" w:cs="新宋体"/>
      <w:color w:val="000000"/>
      <w:sz w:val="22"/>
      <w:szCs w:val="22"/>
      <w:u w:val="none"/>
    </w:rPr>
  </w:style>
  <w:style w:type="character" w:customStyle="1" w:styleId="94">
    <w:name w:val="style21"/>
    <w:autoRedefine/>
    <w:qFormat/>
    <w:uiPriority w:val="0"/>
    <w:rPr>
      <w:sz w:val="15"/>
      <w:szCs w:val="15"/>
    </w:rPr>
  </w:style>
  <w:style w:type="character" w:customStyle="1" w:styleId="95">
    <w:name w:val="BZ_正文 Char"/>
    <w:link w:val="96"/>
    <w:autoRedefine/>
    <w:qFormat/>
    <w:uiPriority w:val="0"/>
    <w:rPr>
      <w:rFonts w:ascii="宋体" w:hAnsi="宋体" w:eastAsia="宋体"/>
      <w:kern w:val="2"/>
      <w:sz w:val="24"/>
      <w:szCs w:val="24"/>
    </w:rPr>
  </w:style>
  <w:style w:type="paragraph" w:customStyle="1" w:styleId="96">
    <w:name w:val="BZ_正文"/>
    <w:basedOn w:val="1"/>
    <w:link w:val="95"/>
    <w:autoRedefine/>
    <w:qFormat/>
    <w:uiPriority w:val="0"/>
    <w:pPr>
      <w:widowControl/>
      <w:spacing w:line="360" w:lineRule="auto"/>
      <w:ind w:firstLine="480" w:firstLineChars="200"/>
    </w:pPr>
    <w:rPr>
      <w:rFonts w:ascii="宋体" w:hAnsi="宋体"/>
      <w:sz w:val="24"/>
      <w:shd w:val="clear" w:color="auto" w:fill="FFFFFF"/>
    </w:rPr>
  </w:style>
  <w:style w:type="character" w:customStyle="1" w:styleId="97">
    <w:name w:val="Char Char Char"/>
    <w:autoRedefine/>
    <w:qFormat/>
    <w:uiPriority w:val="0"/>
    <w:rPr>
      <w:rFonts w:ascii="宋体" w:hAnsi="Courier New" w:eastAsia="宋体"/>
      <w:sz w:val="21"/>
      <w:szCs w:val="21"/>
      <w:lang w:val="en-US" w:eastAsia="zh-CN" w:bidi="ar-SA"/>
    </w:rPr>
  </w:style>
  <w:style w:type="character" w:customStyle="1" w:styleId="98">
    <w:name w:val="font21"/>
    <w:autoRedefine/>
    <w:qFormat/>
    <w:uiPriority w:val="0"/>
    <w:rPr>
      <w:rFonts w:hint="eastAsia" w:ascii="宋体" w:hAnsi="宋体" w:eastAsia="宋体" w:cs="宋体"/>
      <w:b/>
      <w:color w:val="000000"/>
      <w:sz w:val="21"/>
      <w:szCs w:val="21"/>
      <w:u w:val="none"/>
    </w:rPr>
  </w:style>
  <w:style w:type="character" w:customStyle="1" w:styleId="99">
    <w:name w:val="font11"/>
    <w:autoRedefine/>
    <w:qFormat/>
    <w:uiPriority w:val="0"/>
    <w:rPr>
      <w:rFonts w:hint="default" w:ascii="Times New Roman" w:hAnsi="Times New Roman" w:eastAsia="仿宋_GB2312" w:cs="Times New Roman"/>
      <w:b/>
      <w:color w:val="000000"/>
      <w:sz w:val="21"/>
      <w:szCs w:val="21"/>
      <w:u w:val="none"/>
    </w:rPr>
  </w:style>
  <w:style w:type="character" w:customStyle="1" w:styleId="100">
    <w:name w:val="正文1 Char"/>
    <w:link w:val="101"/>
    <w:autoRedefine/>
    <w:qFormat/>
    <w:uiPriority w:val="0"/>
    <w:rPr>
      <w:sz w:val="24"/>
      <w:lang w:val="en-US" w:eastAsia="zh-CN" w:bidi="ar-SA"/>
    </w:rPr>
  </w:style>
  <w:style w:type="paragraph" w:customStyle="1" w:styleId="101">
    <w:name w:val="正文1"/>
    <w:link w:val="100"/>
    <w:autoRedefine/>
    <w:qFormat/>
    <w:uiPriority w:val="0"/>
    <w:pPr>
      <w:spacing w:beforeLines="50" w:afterLines="50"/>
      <w:ind w:firstLine="200" w:firstLineChars="200"/>
    </w:pPr>
    <w:rPr>
      <w:rFonts w:ascii="Times New Roman" w:hAnsi="Times New Roman" w:eastAsia="宋体" w:cs="Times New Roman"/>
      <w:sz w:val="24"/>
      <w:lang w:val="en-US" w:eastAsia="zh-CN" w:bidi="ar-SA"/>
    </w:rPr>
  </w:style>
  <w:style w:type="character" w:customStyle="1" w:styleId="102">
    <w:name w:val="正文首行缩进 Char"/>
    <w:basedOn w:val="90"/>
    <w:link w:val="61"/>
    <w:autoRedefine/>
    <w:qFormat/>
    <w:uiPriority w:val="0"/>
    <w:rPr>
      <w:kern w:val="2"/>
      <w:sz w:val="21"/>
      <w:szCs w:val="24"/>
    </w:rPr>
  </w:style>
  <w:style w:type="character" w:customStyle="1" w:styleId="103">
    <w:name w:val="正文缩进 Char"/>
    <w:link w:val="16"/>
    <w:autoRedefine/>
    <w:qFormat/>
    <w:uiPriority w:val="0"/>
    <w:rPr>
      <w:rFonts w:eastAsia="宋体"/>
      <w:sz w:val="21"/>
      <w:lang w:val="en-US" w:eastAsia="zh-CN" w:bidi="ar-SA"/>
    </w:rPr>
  </w:style>
  <w:style w:type="character" w:customStyle="1" w:styleId="104">
    <w:name w:val="BZ_题注_图 Char"/>
    <w:link w:val="105"/>
    <w:autoRedefine/>
    <w:qFormat/>
    <w:uiPriority w:val="0"/>
    <w:rPr>
      <w:rFonts w:eastAsia="黑体"/>
      <w:kern w:val="2"/>
      <w:sz w:val="21"/>
      <w:szCs w:val="21"/>
    </w:rPr>
  </w:style>
  <w:style w:type="paragraph" w:customStyle="1" w:styleId="105">
    <w:name w:val="BZ_题注_图"/>
    <w:basedOn w:val="17"/>
    <w:next w:val="1"/>
    <w:link w:val="104"/>
    <w:autoRedefine/>
    <w:qFormat/>
    <w:uiPriority w:val="0"/>
    <w:pPr>
      <w:widowControl/>
      <w:spacing w:beforeLines="50" w:afterLines="50"/>
      <w:jc w:val="center"/>
    </w:pPr>
    <w:rPr>
      <w:rFonts w:ascii="Times New Roman" w:hAnsi="Times New Roman"/>
      <w:sz w:val="21"/>
      <w:szCs w:val="21"/>
    </w:rPr>
  </w:style>
  <w:style w:type="character" w:customStyle="1" w:styleId="106">
    <w:name w:val="文档正文 Char"/>
    <w:link w:val="107"/>
    <w:autoRedefine/>
    <w:qFormat/>
    <w:uiPriority w:val="0"/>
    <w:rPr>
      <w:rFonts w:ascii="Tahoma" w:hAnsi="Tahoma" w:eastAsia="仿宋_GB2312"/>
      <w:sz w:val="28"/>
      <w:lang w:val="en-US" w:eastAsia="zh-CN" w:bidi="ar-SA"/>
    </w:rPr>
  </w:style>
  <w:style w:type="paragraph" w:customStyle="1" w:styleId="107">
    <w:name w:val="文档正文"/>
    <w:basedOn w:val="1"/>
    <w:link w:val="106"/>
    <w:autoRedefine/>
    <w:qFormat/>
    <w:uiPriority w:val="0"/>
    <w:pPr>
      <w:spacing w:line="360" w:lineRule="auto"/>
      <w:ind w:firstLine="480" w:firstLineChars="200"/>
    </w:pPr>
    <w:rPr>
      <w:rFonts w:ascii="Tahoma" w:hAnsi="Tahoma" w:eastAsia="仿宋_GB2312"/>
      <w:kern w:val="0"/>
      <w:sz w:val="28"/>
      <w:szCs w:val="20"/>
    </w:rPr>
  </w:style>
  <w:style w:type="character" w:customStyle="1" w:styleId="108">
    <w:name w:val="unnamed51"/>
    <w:autoRedefine/>
    <w:qFormat/>
    <w:uiPriority w:val="0"/>
    <w:rPr>
      <w:sz w:val="22"/>
      <w:szCs w:val="22"/>
    </w:rPr>
  </w:style>
  <w:style w:type="character" w:customStyle="1" w:styleId="109">
    <w:name w:val="Char Char2"/>
    <w:autoRedefine/>
    <w:qFormat/>
    <w:uiPriority w:val="0"/>
    <w:rPr>
      <w:rFonts w:ascii="宋体" w:hAnsi="Courier New" w:eastAsia="宋体"/>
      <w:kern w:val="2"/>
      <w:sz w:val="21"/>
      <w:lang w:val="en-US" w:eastAsia="zh-CN"/>
    </w:rPr>
  </w:style>
  <w:style w:type="character" w:customStyle="1" w:styleId="110">
    <w:name w:val="BZ_三级标题 Char"/>
    <w:link w:val="111"/>
    <w:autoRedefine/>
    <w:qFormat/>
    <w:uiPriority w:val="0"/>
    <w:rPr>
      <w:rFonts w:eastAsia="黑体"/>
      <w:b/>
      <w:bCs/>
      <w:kern w:val="2"/>
      <w:sz w:val="28"/>
      <w:szCs w:val="28"/>
    </w:rPr>
  </w:style>
  <w:style w:type="paragraph" w:customStyle="1" w:styleId="111">
    <w:name w:val="BZ_三级标题"/>
    <w:basedOn w:val="5"/>
    <w:next w:val="96"/>
    <w:link w:val="110"/>
    <w:autoRedefine/>
    <w:qFormat/>
    <w:uiPriority w:val="0"/>
    <w:pPr>
      <w:spacing w:line="240" w:lineRule="auto"/>
      <w:ind w:left="720" w:hanging="720"/>
    </w:pPr>
    <w:rPr>
      <w:rFonts w:eastAsia="黑体"/>
      <w:sz w:val="28"/>
      <w:szCs w:val="28"/>
    </w:rPr>
  </w:style>
  <w:style w:type="character" w:customStyle="1" w:styleId="112">
    <w:name w:val="哈哈正文 Char"/>
    <w:link w:val="113"/>
    <w:autoRedefine/>
    <w:qFormat/>
    <w:uiPriority w:val="0"/>
    <w:rPr>
      <w:rFonts w:ascii="宋体" w:hAnsi="宋体" w:eastAsia="宋体" w:cs="宋体"/>
      <w:kern w:val="2"/>
      <w:sz w:val="24"/>
      <w:lang w:val="en-US" w:eastAsia="zh-CN" w:bidi="ar-SA"/>
    </w:rPr>
  </w:style>
  <w:style w:type="paragraph" w:customStyle="1" w:styleId="113">
    <w:name w:val="哈哈正文"/>
    <w:basedOn w:val="1"/>
    <w:link w:val="112"/>
    <w:autoRedefine/>
    <w:qFormat/>
    <w:uiPriority w:val="0"/>
    <w:pPr>
      <w:spacing w:line="360" w:lineRule="auto"/>
      <w:ind w:firstLine="200" w:firstLineChars="200"/>
    </w:pPr>
    <w:rPr>
      <w:rFonts w:ascii="宋体" w:hAnsi="宋体" w:cs="宋体"/>
      <w:sz w:val="24"/>
      <w:szCs w:val="20"/>
    </w:rPr>
  </w:style>
  <w:style w:type="character" w:customStyle="1" w:styleId="114">
    <w:name w:val="批注文字 Char"/>
    <w:link w:val="21"/>
    <w:autoRedefine/>
    <w:qFormat/>
    <w:uiPriority w:val="1"/>
    <w:rPr>
      <w:kern w:val="2"/>
      <w:sz w:val="21"/>
      <w:szCs w:val="24"/>
    </w:rPr>
  </w:style>
  <w:style w:type="character" w:customStyle="1" w:styleId="115">
    <w:name w:val="fontstyle01"/>
    <w:autoRedefine/>
    <w:qFormat/>
    <w:uiPriority w:val="0"/>
    <w:rPr>
      <w:rFonts w:hint="eastAsia" w:ascii="楷体" w:hAnsi="楷体" w:eastAsia="楷体"/>
      <w:color w:val="000000"/>
      <w:sz w:val="24"/>
      <w:szCs w:val="24"/>
    </w:rPr>
  </w:style>
  <w:style w:type="character" w:customStyle="1" w:styleId="116">
    <w:name w:val="List Paragraph Char"/>
    <w:link w:val="117"/>
    <w:autoRedefine/>
    <w:qFormat/>
    <w:uiPriority w:val="0"/>
    <w:rPr>
      <w:rFonts w:ascii="Calibri" w:hAnsi="Calibri" w:eastAsia="宋体"/>
      <w:kern w:val="2"/>
      <w:sz w:val="21"/>
      <w:szCs w:val="22"/>
      <w:lang w:val="en-US" w:eastAsia="zh-CN" w:bidi="ar-SA"/>
    </w:rPr>
  </w:style>
  <w:style w:type="paragraph" w:customStyle="1" w:styleId="117">
    <w:name w:val="列出段落1"/>
    <w:basedOn w:val="1"/>
    <w:link w:val="116"/>
    <w:autoRedefine/>
    <w:qFormat/>
    <w:uiPriority w:val="0"/>
    <w:pPr>
      <w:ind w:firstLine="420" w:firstLineChars="200"/>
    </w:pPr>
    <w:rPr>
      <w:rFonts w:ascii="Calibri" w:hAnsi="Calibri"/>
      <w:szCs w:val="22"/>
    </w:rPr>
  </w:style>
  <w:style w:type="paragraph" w:customStyle="1" w:styleId="118">
    <w:name w:val="正文2"/>
    <w:basedOn w:val="1"/>
    <w:autoRedefine/>
    <w:qFormat/>
    <w:uiPriority w:val="0"/>
    <w:pPr>
      <w:spacing w:before="156" w:line="360" w:lineRule="auto"/>
      <w:ind w:firstLine="510" w:firstLineChars="200"/>
    </w:pPr>
    <w:rPr>
      <w:sz w:val="24"/>
      <w:szCs w:val="20"/>
    </w:rPr>
  </w:style>
  <w:style w:type="paragraph" w:customStyle="1" w:styleId="119">
    <w:name w:val="Char Char Char Char"/>
    <w:basedOn w:val="19"/>
    <w:autoRedefine/>
    <w:qFormat/>
    <w:uiPriority w:val="0"/>
    <w:rPr>
      <w:rFonts w:ascii="Tahoma" w:hAnsi="Tahoma"/>
      <w:sz w:val="24"/>
    </w:rPr>
  </w:style>
  <w:style w:type="paragraph" w:customStyle="1" w:styleId="120">
    <w:name w:val="Char1 Char Char Char"/>
    <w:basedOn w:val="1"/>
    <w:autoRedefine/>
    <w:qFormat/>
    <w:uiPriority w:val="0"/>
    <w:rPr>
      <w:rFonts w:ascii="Tahoma" w:hAnsi="Tahoma"/>
      <w:sz w:val="24"/>
      <w:szCs w:val="20"/>
    </w:rPr>
  </w:style>
  <w:style w:type="paragraph" w:customStyle="1" w:styleId="121">
    <w:name w:val="style31"/>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122">
    <w:name w:val="表内文字"/>
    <w:basedOn w:val="1"/>
    <w:autoRedefine/>
    <w:qFormat/>
    <w:uiPriority w:val="0"/>
    <w:pPr>
      <w:tabs>
        <w:tab w:val="left" w:pos="1418"/>
      </w:tabs>
      <w:spacing w:line="360" w:lineRule="auto"/>
      <w:jc w:val="center"/>
    </w:pPr>
    <w:rPr>
      <w:rFonts w:hint="eastAsia" w:ascii="仿宋_GB2312" w:eastAsia="仿宋_GB2312"/>
      <w:spacing w:val="-20"/>
      <w:kern w:val="0"/>
      <w:sz w:val="24"/>
    </w:rPr>
  </w:style>
  <w:style w:type="paragraph" w:customStyle="1" w:styleId="123">
    <w:name w:val="Char Char Char Char Char Char Char Char Char Char Char Char Char1"/>
    <w:basedOn w:val="1"/>
    <w:autoRedefine/>
    <w:qFormat/>
    <w:uiPriority w:val="0"/>
    <w:rPr>
      <w:rFonts w:ascii="Tahoma" w:hAnsi="Tahoma"/>
      <w:sz w:val="24"/>
      <w:szCs w:val="20"/>
    </w:rPr>
  </w:style>
  <w:style w:type="paragraph" w:styleId="124">
    <w:name w:val="List Paragraph"/>
    <w:basedOn w:val="1"/>
    <w:autoRedefine/>
    <w:qFormat/>
    <w:uiPriority w:val="0"/>
    <w:pPr>
      <w:ind w:firstLine="420" w:firstLineChars="200"/>
    </w:pPr>
  </w:style>
  <w:style w:type="paragraph" w:customStyle="1" w:styleId="125">
    <w:name w:val="BZ_六级标题"/>
    <w:basedOn w:val="8"/>
    <w:next w:val="96"/>
    <w:autoRedefine/>
    <w:qFormat/>
    <w:uiPriority w:val="0"/>
    <w:pPr>
      <w:widowControl/>
      <w:tabs>
        <w:tab w:val="left" w:pos="360"/>
      </w:tabs>
      <w:spacing w:beforeLines="50" w:afterLines="50" w:line="240" w:lineRule="auto"/>
    </w:pPr>
    <w:rPr>
      <w:rFonts w:eastAsia="黑体"/>
    </w:rPr>
  </w:style>
  <w:style w:type="paragraph" w:customStyle="1" w:styleId="126">
    <w:name w:val="正文－恩普"/>
    <w:basedOn w:val="16"/>
    <w:autoRedefine/>
    <w:qFormat/>
    <w:uiPriority w:val="0"/>
    <w:pPr>
      <w:framePr w:wrap="around" w:vAnchor="text" w:hAnchor="text" w:y="1"/>
      <w:adjustRightInd/>
      <w:spacing w:line="360" w:lineRule="auto"/>
      <w:ind w:firstLine="200" w:firstLineChars="200"/>
      <w:textAlignment w:val="auto"/>
    </w:pPr>
    <w:rPr>
      <w:kern w:val="2"/>
      <w:sz w:val="24"/>
      <w:szCs w:val="24"/>
    </w:rPr>
  </w:style>
  <w:style w:type="paragraph" w:customStyle="1" w:styleId="127">
    <w:name w:val="Char Char Char Char2"/>
    <w:basedOn w:val="19"/>
    <w:autoRedefine/>
    <w:qFormat/>
    <w:uiPriority w:val="0"/>
  </w:style>
  <w:style w:type="paragraph" w:customStyle="1" w:styleId="128">
    <w:name w:val="默认段落字体 Para Char"/>
    <w:basedOn w:val="1"/>
    <w:autoRedefine/>
    <w:qFormat/>
    <w:uiPriority w:val="0"/>
    <w:pPr>
      <w:tabs>
        <w:tab w:val="left" w:pos="360"/>
      </w:tabs>
      <w:adjustRightInd w:val="0"/>
      <w:textAlignment w:val="baseline"/>
    </w:pPr>
    <w:rPr>
      <w:kern w:val="0"/>
      <w:sz w:val="24"/>
      <w:szCs w:val="20"/>
    </w:rPr>
  </w:style>
  <w:style w:type="paragraph" w:customStyle="1" w:styleId="129">
    <w:name w:val="Char Char Char Char Char Char Char1"/>
    <w:basedOn w:val="1"/>
    <w:autoRedefine/>
    <w:qFormat/>
    <w:uiPriority w:val="0"/>
    <w:rPr>
      <w:rFonts w:ascii="仿宋_GB2312" w:eastAsia="仿宋_GB2312"/>
      <w:b/>
      <w:sz w:val="32"/>
      <w:szCs w:val="32"/>
    </w:rPr>
  </w:style>
  <w:style w:type="paragraph" w:customStyle="1" w:styleId="130">
    <w:name w:val="简单回函地址"/>
    <w:basedOn w:val="1"/>
    <w:autoRedefine/>
    <w:qFormat/>
    <w:uiPriority w:val="0"/>
  </w:style>
  <w:style w:type="paragraph" w:customStyle="1" w:styleId="131">
    <w:name w:val="Char Char7 Char"/>
    <w:basedOn w:val="1"/>
    <w:autoRedefine/>
    <w:qFormat/>
    <w:uiPriority w:val="0"/>
    <w:pPr>
      <w:tabs>
        <w:tab w:val="left" w:pos="425"/>
      </w:tabs>
      <w:ind w:left="420" w:leftChars="200" w:firstLine="270" w:firstLineChars="150"/>
    </w:pPr>
  </w:style>
  <w:style w:type="paragraph" w:customStyle="1" w:styleId="132">
    <w:name w:val="BZ_一级标题"/>
    <w:basedOn w:val="3"/>
    <w:next w:val="96"/>
    <w:link w:val="176"/>
    <w:autoRedefine/>
    <w:qFormat/>
    <w:uiPriority w:val="0"/>
    <w:pPr>
      <w:keepLines/>
      <w:widowControl/>
      <w:spacing w:beforeLines="50" w:afterLines="50"/>
      <w:ind w:left="432" w:hanging="432"/>
      <w:jc w:val="both"/>
    </w:pPr>
    <w:rPr>
      <w:rFonts w:ascii="Times New Roman" w:eastAsia="华文中宋"/>
      <w:kern w:val="44"/>
      <w:sz w:val="36"/>
      <w:szCs w:val="36"/>
    </w:rPr>
  </w:style>
  <w:style w:type="paragraph" w:customStyle="1" w:styleId="133">
    <w:name w:val="保留正文"/>
    <w:basedOn w:val="25"/>
    <w:autoRedefine/>
    <w:qFormat/>
    <w:uiPriority w:val="0"/>
    <w:pPr>
      <w:keepNext/>
      <w:spacing w:after="160"/>
    </w:pPr>
  </w:style>
  <w:style w:type="paragraph" w:customStyle="1" w:styleId="134">
    <w:name w:val="Char Char Char Char Char Char Char"/>
    <w:basedOn w:val="1"/>
    <w:autoRedefine/>
    <w:qFormat/>
    <w:uiPriority w:val="0"/>
    <w:rPr>
      <w:rFonts w:ascii="仿宋_GB2312" w:eastAsia="仿宋_GB2312"/>
      <w:b/>
      <w:sz w:val="32"/>
      <w:szCs w:val="32"/>
    </w:rPr>
  </w:style>
  <w:style w:type="paragraph" w:customStyle="1" w:styleId="135">
    <w:name w:val="xl55"/>
    <w:basedOn w:val="1"/>
    <w:autoRedefine/>
    <w:qFormat/>
    <w:uiPriority w:val="0"/>
    <w:pPr>
      <w:widowControl/>
      <w:spacing w:before="100" w:beforeAutospacing="1" w:after="100" w:afterAutospacing="1"/>
      <w:jc w:val="center"/>
      <w:textAlignment w:val="center"/>
    </w:pPr>
    <w:rPr>
      <w:rFonts w:ascii="Arial Unicode MS" w:hAnsi="Arial Unicode MS"/>
      <w:kern w:val="0"/>
      <w:sz w:val="24"/>
      <w:szCs w:val="20"/>
    </w:rPr>
  </w:style>
  <w:style w:type="paragraph" w:customStyle="1" w:styleId="136">
    <w:name w:val="Char Char"/>
    <w:basedOn w:val="1"/>
    <w:autoRedefine/>
    <w:qFormat/>
    <w:uiPriority w:val="0"/>
    <w:rPr>
      <w:rFonts w:ascii="仿宋_GB2312" w:eastAsia="仿宋_GB2312"/>
      <w:b/>
      <w:sz w:val="32"/>
      <w:szCs w:val="32"/>
    </w:rPr>
  </w:style>
  <w:style w:type="paragraph" w:customStyle="1" w:styleId="137">
    <w:name w:val="CM106"/>
    <w:basedOn w:val="138"/>
    <w:next w:val="138"/>
    <w:autoRedefine/>
    <w:qFormat/>
    <w:uiPriority w:val="0"/>
    <w:rPr>
      <w:rFonts w:ascii="宋体" w:cs="Times New Roman"/>
      <w:color w:val="auto"/>
    </w:rPr>
  </w:style>
  <w:style w:type="paragraph" w:customStyle="1" w:styleId="138">
    <w:name w:val="Default"/>
    <w:autoRedefine/>
    <w:qFormat/>
    <w:uiPriority w:val="99"/>
    <w:pPr>
      <w:widowControl w:val="0"/>
      <w:autoSpaceDE w:val="0"/>
      <w:autoSpaceDN w:val="0"/>
      <w:adjustRightInd w:val="0"/>
    </w:pPr>
    <w:rPr>
      <w:rFonts w:ascii="仿宋_GB2312" w:hAnsi="Times New Roman" w:eastAsia="宋体" w:cs="仿宋_GB2312"/>
      <w:color w:val="000000"/>
      <w:sz w:val="24"/>
      <w:szCs w:val="24"/>
      <w:lang w:val="en-US" w:eastAsia="zh-CN" w:bidi="ar-SA"/>
    </w:rPr>
  </w:style>
  <w:style w:type="paragraph" w:customStyle="1" w:styleId="139">
    <w:name w:val="Char Char Char Char1"/>
    <w:basedOn w:val="1"/>
    <w:autoRedefine/>
    <w:qFormat/>
    <w:uiPriority w:val="0"/>
    <w:rPr>
      <w:rFonts w:ascii="Tahoma" w:hAnsi="Tahoma"/>
      <w:sz w:val="24"/>
      <w:szCs w:val="20"/>
    </w:rPr>
  </w:style>
  <w:style w:type="paragraph" w:customStyle="1" w:styleId="140">
    <w:name w:val="Char Char Char Char Char Char Char Char Char Char Char Char Char"/>
    <w:basedOn w:val="1"/>
    <w:autoRedefine/>
    <w:qFormat/>
    <w:uiPriority w:val="0"/>
    <w:rPr>
      <w:rFonts w:ascii="Tahoma" w:hAnsi="Tahoma"/>
      <w:sz w:val="24"/>
      <w:szCs w:val="20"/>
    </w:rPr>
  </w:style>
  <w:style w:type="paragraph" w:customStyle="1" w:styleId="141">
    <w:name w:val="Char Char1 Char Char Char Char Char Char"/>
    <w:basedOn w:val="1"/>
    <w:autoRedefine/>
    <w:qFormat/>
    <w:uiPriority w:val="0"/>
    <w:pPr>
      <w:widowControl/>
      <w:spacing w:after="160" w:line="240" w:lineRule="exact"/>
      <w:jc w:val="left"/>
    </w:pPr>
    <w:rPr>
      <w:rFonts w:ascii="宋体" w:hAnsi="宋体" w:cs="宋体"/>
      <w:kern w:val="0"/>
      <w:szCs w:val="20"/>
    </w:rPr>
  </w:style>
  <w:style w:type="paragraph" w:customStyle="1" w:styleId="142">
    <w:name w:val="BZ_五级标题"/>
    <w:basedOn w:val="7"/>
    <w:next w:val="96"/>
    <w:autoRedefine/>
    <w:qFormat/>
    <w:uiPriority w:val="0"/>
    <w:pPr>
      <w:widowControl/>
      <w:spacing w:beforeLines="50" w:afterLines="50" w:line="240" w:lineRule="auto"/>
    </w:pPr>
    <w:rPr>
      <w:rFonts w:eastAsia="黑体"/>
      <w:b w:val="0"/>
      <w:sz w:val="24"/>
      <w:szCs w:val="24"/>
    </w:rPr>
  </w:style>
  <w:style w:type="paragraph" w:customStyle="1" w:styleId="143">
    <w:name w:val="Char Char Char Char Char Char Char Char Char Char Char Char Char2"/>
    <w:basedOn w:val="1"/>
    <w:autoRedefine/>
    <w:qFormat/>
    <w:uiPriority w:val="0"/>
    <w:rPr>
      <w:rFonts w:ascii="Tahoma" w:hAnsi="Tahoma"/>
      <w:sz w:val="24"/>
      <w:szCs w:val="20"/>
    </w:rPr>
  </w:style>
  <w:style w:type="paragraph" w:customStyle="1" w:styleId="144">
    <w:name w:val="Char Char Char Char Char Char Char2"/>
    <w:basedOn w:val="1"/>
    <w:autoRedefine/>
    <w:qFormat/>
    <w:uiPriority w:val="0"/>
    <w:rPr>
      <w:rFonts w:ascii="仿宋_GB2312" w:eastAsia="仿宋_GB2312"/>
      <w:b/>
      <w:sz w:val="32"/>
      <w:szCs w:val="32"/>
    </w:rPr>
  </w:style>
  <w:style w:type="paragraph" w:customStyle="1" w:styleId="145">
    <w:name w:val="1"/>
    <w:basedOn w:val="16"/>
    <w:autoRedefine/>
    <w:qFormat/>
    <w:uiPriority w:val="99"/>
    <w:pPr>
      <w:framePr w:wrap="around" w:vAnchor="text" w:hAnchor="text" w:y="1"/>
      <w:adjustRightInd/>
      <w:spacing w:line="360" w:lineRule="auto"/>
      <w:ind w:firstLine="200" w:firstLineChars="200"/>
      <w:textAlignment w:val="auto"/>
    </w:pPr>
    <w:rPr>
      <w:kern w:val="2"/>
      <w:sz w:val="24"/>
      <w:szCs w:val="24"/>
    </w:rPr>
  </w:style>
  <w:style w:type="paragraph" w:customStyle="1" w:styleId="146">
    <w:name w:val="样式 Arial 小四 首行缩进:  0.85 厘米"/>
    <w:basedOn w:val="1"/>
    <w:autoRedefine/>
    <w:qFormat/>
    <w:uiPriority w:val="0"/>
    <w:pPr>
      <w:spacing w:line="360" w:lineRule="auto"/>
      <w:ind w:firstLine="482"/>
    </w:pPr>
    <w:rPr>
      <w:rFonts w:ascii="Arial" w:hAnsi="Arial" w:cs="宋体"/>
      <w:sz w:val="24"/>
      <w:szCs w:val="20"/>
    </w:rPr>
  </w:style>
  <w:style w:type="paragraph" w:customStyle="1" w:styleId="147">
    <w:name w:val="修订1"/>
    <w:autoRedefine/>
    <w:qFormat/>
    <w:uiPriority w:val="99"/>
    <w:rPr>
      <w:rFonts w:ascii="Times New Roman" w:hAnsi="Times New Roman" w:eastAsia="宋体" w:cs="Times New Roman"/>
      <w:kern w:val="2"/>
      <w:sz w:val="21"/>
      <w:szCs w:val="24"/>
      <w:lang w:val="en-US" w:eastAsia="zh-CN" w:bidi="ar-SA"/>
    </w:rPr>
  </w:style>
  <w:style w:type="paragraph" w:customStyle="1" w:styleId="148">
    <w:name w:val="1.1.1"/>
    <w:basedOn w:val="1"/>
    <w:autoRedefine/>
    <w:qFormat/>
    <w:uiPriority w:val="0"/>
    <w:pPr>
      <w:tabs>
        <w:tab w:val="left" w:pos="0"/>
        <w:tab w:val="left" w:pos="1134"/>
        <w:tab w:val="left" w:pos="8505"/>
      </w:tabs>
      <w:autoSpaceDE w:val="0"/>
      <w:autoSpaceDN w:val="0"/>
      <w:adjustRightInd w:val="0"/>
      <w:spacing w:before="240" w:after="60" w:line="360" w:lineRule="atLeast"/>
    </w:pPr>
    <w:rPr>
      <w:rFonts w:ascii="宋体"/>
      <w:b/>
      <w:kern w:val="0"/>
      <w:sz w:val="24"/>
      <w:szCs w:val="20"/>
    </w:rPr>
  </w:style>
  <w:style w:type="paragraph" w:customStyle="1" w:styleId="149">
    <w:name w:val="BZ_二级标题"/>
    <w:basedOn w:val="4"/>
    <w:next w:val="134"/>
    <w:autoRedefine/>
    <w:qFormat/>
    <w:uiPriority w:val="0"/>
    <w:pPr>
      <w:widowControl/>
      <w:spacing w:beforeLines="50" w:afterLines="50" w:line="240" w:lineRule="auto"/>
      <w:ind w:left="576" w:hanging="576"/>
    </w:pPr>
    <w:rPr>
      <w:rFonts w:ascii="Times New Roman" w:hAnsi="Times New Roman" w:eastAsia="楷体"/>
    </w:rPr>
  </w:style>
  <w:style w:type="paragraph" w:customStyle="1" w:styleId="150">
    <w:name w:val="Char1 Char Char Char1"/>
    <w:basedOn w:val="1"/>
    <w:autoRedefine/>
    <w:qFormat/>
    <w:uiPriority w:val="0"/>
    <w:rPr>
      <w:rFonts w:ascii="仿宋_GB2312" w:eastAsia="仿宋_GB2312"/>
      <w:b/>
      <w:sz w:val="32"/>
      <w:szCs w:val="32"/>
    </w:rPr>
  </w:style>
  <w:style w:type="character" w:customStyle="1" w:styleId="151">
    <w:name w:val="纯文本 Char1"/>
    <w:autoRedefine/>
    <w:qFormat/>
    <w:uiPriority w:val="0"/>
    <w:rPr>
      <w:rFonts w:ascii="宋体" w:hAnsi="Courier New"/>
      <w:kern w:val="2"/>
      <w:sz w:val="21"/>
      <w:szCs w:val="24"/>
    </w:rPr>
  </w:style>
  <w:style w:type="paragraph" w:customStyle="1" w:styleId="152">
    <w:name w:val="样式6"/>
    <w:basedOn w:val="1"/>
    <w:autoRedefine/>
    <w:qFormat/>
    <w:uiPriority w:val="0"/>
    <w:pPr>
      <w:spacing w:line="360" w:lineRule="auto"/>
      <w:ind w:firstLine="200" w:firstLineChars="200"/>
      <w:jc w:val="left"/>
    </w:pPr>
    <w:rPr>
      <w:sz w:val="24"/>
    </w:rPr>
  </w:style>
  <w:style w:type="paragraph" w:customStyle="1" w:styleId="153">
    <w:name w:val="正文空2格  1."/>
    <w:basedOn w:val="1"/>
    <w:autoRedefine/>
    <w:qFormat/>
    <w:uiPriority w:val="0"/>
    <w:pPr>
      <w:adjustRightInd w:val="0"/>
      <w:spacing w:line="360" w:lineRule="auto"/>
      <w:ind w:firstLine="480" w:firstLineChars="200"/>
      <w:textAlignment w:val="baseline"/>
    </w:pPr>
    <w:rPr>
      <w:rFonts w:ascii="宋体" w:eastAsia="仿宋" w:cs="宋体"/>
      <w:kern w:val="0"/>
      <w:sz w:val="28"/>
      <w:szCs w:val="20"/>
    </w:rPr>
  </w:style>
  <w:style w:type="character" w:customStyle="1" w:styleId="154">
    <w:name w:val="正文首行缩进2字符 Char"/>
    <w:link w:val="155"/>
    <w:autoRedefine/>
    <w:qFormat/>
    <w:uiPriority w:val="0"/>
    <w:rPr>
      <w:rFonts w:eastAsia="仿宋"/>
      <w:sz w:val="28"/>
    </w:rPr>
  </w:style>
  <w:style w:type="paragraph" w:customStyle="1" w:styleId="155">
    <w:name w:val="正文首行缩进2字符"/>
    <w:basedOn w:val="1"/>
    <w:link w:val="154"/>
    <w:autoRedefine/>
    <w:qFormat/>
    <w:uiPriority w:val="0"/>
    <w:pPr>
      <w:spacing w:line="360" w:lineRule="auto"/>
      <w:ind w:firstLine="200" w:firstLineChars="200"/>
    </w:pPr>
    <w:rPr>
      <w:rFonts w:eastAsia="仿宋"/>
      <w:kern w:val="0"/>
      <w:sz w:val="28"/>
      <w:szCs w:val="20"/>
    </w:rPr>
  </w:style>
  <w:style w:type="character" w:customStyle="1" w:styleId="156">
    <w:name w:val="generalinfo-address-text"/>
    <w:basedOn w:val="66"/>
    <w:autoRedefine/>
    <w:qFormat/>
    <w:uiPriority w:val="0"/>
  </w:style>
  <w:style w:type="character" w:customStyle="1" w:styleId="157">
    <w:name w:val="标题 Char"/>
    <w:link w:val="59"/>
    <w:autoRedefine/>
    <w:qFormat/>
    <w:uiPriority w:val="0"/>
    <w:rPr>
      <w:rFonts w:ascii="Verdana" w:hAnsi="Verdana" w:eastAsia="仿宋_GB2312"/>
      <w:b/>
      <w:bCs/>
      <w:sz w:val="32"/>
      <w:szCs w:val="32"/>
    </w:rPr>
  </w:style>
  <w:style w:type="paragraph" w:customStyle="1" w:styleId="158">
    <w:name w:val="方案正文"/>
    <w:basedOn w:val="1"/>
    <w:link w:val="159"/>
    <w:autoRedefine/>
    <w:qFormat/>
    <w:uiPriority w:val="0"/>
    <w:pPr>
      <w:spacing w:line="360" w:lineRule="auto"/>
      <w:ind w:firstLine="200" w:firstLineChars="200"/>
    </w:pPr>
    <w:rPr>
      <w:rFonts w:ascii="Century Gothic" w:hAnsi="Century Gothic"/>
      <w:szCs w:val="28"/>
    </w:rPr>
  </w:style>
  <w:style w:type="character" w:customStyle="1" w:styleId="159">
    <w:name w:val="方案正文 字符"/>
    <w:link w:val="158"/>
    <w:autoRedefine/>
    <w:qFormat/>
    <w:uiPriority w:val="0"/>
    <w:rPr>
      <w:rFonts w:ascii="Century Gothic" w:hAnsi="Century Gothic" w:cs="Times New Roman"/>
      <w:kern w:val="2"/>
      <w:sz w:val="21"/>
      <w:szCs w:val="28"/>
    </w:rPr>
  </w:style>
  <w:style w:type="paragraph" w:customStyle="1" w:styleId="160">
    <w:name w:val="正文缩进1"/>
    <w:basedOn w:val="1"/>
    <w:autoRedefine/>
    <w:qFormat/>
    <w:uiPriority w:val="0"/>
    <w:pPr>
      <w:spacing w:line="360" w:lineRule="auto"/>
      <w:ind w:firstLine="454"/>
      <w:jc w:val="left"/>
    </w:pPr>
    <w:rPr>
      <w:sz w:val="24"/>
    </w:rPr>
  </w:style>
  <w:style w:type="character" w:customStyle="1" w:styleId="161">
    <w:name w:val="ant-form-item-children"/>
    <w:basedOn w:val="66"/>
    <w:autoRedefine/>
    <w:qFormat/>
    <w:uiPriority w:val="0"/>
  </w:style>
  <w:style w:type="paragraph" w:customStyle="1" w:styleId="162">
    <w:name w:val="BZ_四级标题"/>
    <w:basedOn w:val="6"/>
    <w:next w:val="1"/>
    <w:link w:val="310"/>
    <w:autoRedefine/>
    <w:qFormat/>
    <w:uiPriority w:val="0"/>
    <w:pPr>
      <w:widowControl/>
      <w:spacing w:beforeLines="50" w:afterLines="50" w:line="240" w:lineRule="auto"/>
      <w:ind w:left="864" w:hanging="864"/>
    </w:pPr>
    <w:rPr>
      <w:rFonts w:ascii="Times New Roman" w:hAnsi="Times New Roman" w:eastAsia="黑体"/>
      <w:b w:val="0"/>
      <w:sz w:val="24"/>
    </w:rPr>
  </w:style>
  <w:style w:type="paragraph" w:customStyle="1" w:styleId="163">
    <w:name w:val="_Style 10"/>
    <w:basedOn w:val="1"/>
    <w:autoRedefine/>
    <w:qFormat/>
    <w:uiPriority w:val="0"/>
    <w:pPr>
      <w:spacing w:beforeLines="50" w:afterLines="50"/>
    </w:pPr>
    <w:rPr>
      <w:rFonts w:ascii="Calibri" w:hAnsi="Calibri"/>
      <w:szCs w:val="20"/>
    </w:rPr>
  </w:style>
  <w:style w:type="paragraph" w:customStyle="1" w:styleId="164">
    <w:name w:val="样式"/>
    <w:autoRedefine/>
    <w:qFormat/>
    <w:uiPriority w:val="0"/>
    <w:pPr>
      <w:widowControl w:val="0"/>
      <w:autoSpaceDE w:val="0"/>
      <w:autoSpaceDN w:val="0"/>
      <w:adjustRightInd w:val="0"/>
    </w:pPr>
    <w:rPr>
      <w:rFonts w:ascii="宋体" w:hAnsi="Calibri" w:eastAsia="宋体" w:cs="宋体"/>
      <w:sz w:val="24"/>
      <w:szCs w:val="24"/>
      <w:lang w:val="en-US" w:eastAsia="zh-CN" w:bidi="ar-SA"/>
    </w:rPr>
  </w:style>
  <w:style w:type="paragraph" w:customStyle="1" w:styleId="165">
    <w:name w:val="正文_13"/>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6">
    <w:name w:val="普通(网站) Char"/>
    <w:link w:val="57"/>
    <w:autoRedefine/>
    <w:qFormat/>
    <w:uiPriority w:val="0"/>
    <w:rPr>
      <w:rFonts w:ascii="宋体" w:hAnsi="宋体" w:cs="宋体"/>
      <w:sz w:val="24"/>
      <w:szCs w:val="24"/>
    </w:rPr>
  </w:style>
  <w:style w:type="character" w:customStyle="1" w:styleId="167">
    <w:name w:val="标题 7 Char"/>
    <w:basedOn w:val="66"/>
    <w:link w:val="9"/>
    <w:autoRedefine/>
    <w:qFormat/>
    <w:uiPriority w:val="9"/>
    <w:rPr>
      <w:rFonts w:eastAsia="等线"/>
      <w:b/>
      <w:kern w:val="2"/>
      <w:sz w:val="24"/>
      <w:szCs w:val="24"/>
    </w:rPr>
  </w:style>
  <w:style w:type="character" w:customStyle="1" w:styleId="168">
    <w:name w:val="标题 8 Char"/>
    <w:basedOn w:val="66"/>
    <w:link w:val="10"/>
    <w:autoRedefine/>
    <w:qFormat/>
    <w:uiPriority w:val="9"/>
    <w:rPr>
      <w:rFonts w:ascii="Arial" w:hAnsi="Arial" w:eastAsia="黑体"/>
      <w:kern w:val="2"/>
      <w:sz w:val="24"/>
      <w:szCs w:val="24"/>
    </w:rPr>
  </w:style>
  <w:style w:type="character" w:customStyle="1" w:styleId="169">
    <w:name w:val="标题 9 Char"/>
    <w:basedOn w:val="66"/>
    <w:link w:val="11"/>
    <w:autoRedefine/>
    <w:qFormat/>
    <w:uiPriority w:val="9"/>
    <w:rPr>
      <w:rFonts w:ascii="Arial" w:hAnsi="Arial" w:eastAsia="黑体"/>
      <w:kern w:val="2"/>
      <w:sz w:val="24"/>
      <w:szCs w:val="24"/>
    </w:rPr>
  </w:style>
  <w:style w:type="character" w:customStyle="1" w:styleId="170">
    <w:name w:val="批注主题 Char"/>
    <w:link w:val="60"/>
    <w:autoRedefine/>
    <w:qFormat/>
    <w:uiPriority w:val="1"/>
    <w:rPr>
      <w:b/>
      <w:bCs/>
      <w:kern w:val="2"/>
      <w:sz w:val="21"/>
      <w:szCs w:val="24"/>
    </w:rPr>
  </w:style>
  <w:style w:type="character" w:customStyle="1" w:styleId="171">
    <w:name w:val="Char Char112"/>
    <w:autoRedefine/>
    <w:qFormat/>
    <w:uiPriority w:val="0"/>
    <w:rPr>
      <w:rFonts w:eastAsia="仿宋_GB2312"/>
      <w:kern w:val="2"/>
      <w:sz w:val="21"/>
      <w:szCs w:val="24"/>
      <w:lang w:val="en-US" w:eastAsia="zh-CN" w:bidi="ar-SA"/>
    </w:rPr>
  </w:style>
  <w:style w:type="character" w:customStyle="1" w:styleId="172">
    <w:name w:val="No Spacing Char"/>
    <w:link w:val="173"/>
    <w:autoRedefine/>
    <w:qFormat/>
    <w:uiPriority w:val="0"/>
    <w:rPr>
      <w:rFonts w:ascii="Calibri" w:hAnsi="Calibri" w:eastAsia="仿宋_GB2312"/>
      <w:sz w:val="28"/>
      <w:szCs w:val="22"/>
    </w:rPr>
  </w:style>
  <w:style w:type="paragraph" w:customStyle="1" w:styleId="173">
    <w:name w:val="无间隔1"/>
    <w:link w:val="172"/>
    <w:autoRedefine/>
    <w:qFormat/>
    <w:uiPriority w:val="0"/>
    <w:pPr>
      <w:widowControl w:val="0"/>
      <w:ind w:firstLine="200" w:firstLineChars="200"/>
      <w:jc w:val="both"/>
    </w:pPr>
    <w:rPr>
      <w:rFonts w:ascii="Calibri" w:hAnsi="Calibri" w:eastAsia="仿宋_GB2312" w:cs="Times New Roman"/>
      <w:sz w:val="28"/>
      <w:szCs w:val="22"/>
      <w:lang w:val="en-US" w:eastAsia="zh-CN" w:bidi="ar-SA"/>
    </w:rPr>
  </w:style>
  <w:style w:type="character" w:customStyle="1" w:styleId="174">
    <w:name w:val="Char Char14"/>
    <w:autoRedefine/>
    <w:qFormat/>
    <w:uiPriority w:val="0"/>
    <w:rPr>
      <w:rFonts w:eastAsia="仿宋_GB2312"/>
      <w:kern w:val="2"/>
      <w:sz w:val="21"/>
      <w:szCs w:val="24"/>
      <w:lang w:val="en-US" w:eastAsia="zh-CN" w:bidi="ar-SA"/>
    </w:rPr>
  </w:style>
  <w:style w:type="character" w:customStyle="1" w:styleId="175">
    <w:name w:val="明显强调1"/>
    <w:autoRedefine/>
    <w:qFormat/>
    <w:uiPriority w:val="0"/>
    <w:rPr>
      <w:rFonts w:eastAsia="宋体"/>
      <w:b/>
      <w:bCs/>
      <w:iCs/>
      <w:color w:val="auto"/>
      <w:sz w:val="24"/>
    </w:rPr>
  </w:style>
  <w:style w:type="character" w:customStyle="1" w:styleId="176">
    <w:name w:val="BZ_一级标题 Char"/>
    <w:link w:val="132"/>
    <w:autoRedefine/>
    <w:qFormat/>
    <w:uiPriority w:val="0"/>
    <w:rPr>
      <w:rFonts w:eastAsia="华文中宋"/>
      <w:b/>
      <w:bCs/>
      <w:kern w:val="44"/>
      <w:sz w:val="36"/>
      <w:szCs w:val="36"/>
    </w:rPr>
  </w:style>
  <w:style w:type="character" w:customStyle="1" w:styleId="177">
    <w:name w:val="样式 宋体 小四 行距: 1.5 倍行距 Char"/>
    <w:link w:val="178"/>
    <w:autoRedefine/>
    <w:qFormat/>
    <w:uiPriority w:val="0"/>
    <w:rPr>
      <w:rFonts w:ascii="宋体" w:hAnsi="宋体" w:cs="宋体"/>
      <w:kern w:val="2"/>
      <w:sz w:val="24"/>
    </w:rPr>
  </w:style>
  <w:style w:type="paragraph" w:customStyle="1" w:styleId="178">
    <w:name w:val="样式 宋体 小四 行距: 1.5 倍行距"/>
    <w:basedOn w:val="1"/>
    <w:link w:val="177"/>
    <w:autoRedefine/>
    <w:qFormat/>
    <w:uiPriority w:val="0"/>
    <w:pPr>
      <w:spacing w:line="360" w:lineRule="auto"/>
      <w:ind w:firstLine="540" w:firstLineChars="225"/>
    </w:pPr>
    <w:rPr>
      <w:rFonts w:ascii="宋体" w:hAnsi="宋体" w:cs="宋体"/>
      <w:sz w:val="24"/>
      <w:szCs w:val="20"/>
    </w:rPr>
  </w:style>
  <w:style w:type="character" w:customStyle="1" w:styleId="179">
    <w:name w:val="正文1 Char Char"/>
    <w:autoRedefine/>
    <w:qFormat/>
    <w:uiPriority w:val="0"/>
    <w:rPr>
      <w:rFonts w:ascii="仿宋_GB2312" w:hAnsi="仿宋_GB2312" w:eastAsia="仿宋_GB2312" w:cs="仿宋_GB2312"/>
      <w:sz w:val="21"/>
      <w:lang w:val="en-US" w:eastAsia="zh-CN" w:bidi="ar-SA"/>
    </w:rPr>
  </w:style>
  <w:style w:type="character" w:customStyle="1" w:styleId="180">
    <w:name w:val="编号正文缩进 Char Char"/>
    <w:link w:val="181"/>
    <w:autoRedefine/>
    <w:qFormat/>
    <w:uiPriority w:val="0"/>
    <w:rPr>
      <w:kern w:val="2"/>
      <w:sz w:val="24"/>
      <w:szCs w:val="24"/>
    </w:rPr>
  </w:style>
  <w:style w:type="paragraph" w:customStyle="1" w:styleId="181">
    <w:name w:val="编号正文缩进"/>
    <w:basedOn w:val="16"/>
    <w:link w:val="180"/>
    <w:autoRedefine/>
    <w:qFormat/>
    <w:uiPriority w:val="0"/>
    <w:pPr>
      <w:tabs>
        <w:tab w:val="left" w:pos="1497"/>
      </w:tabs>
      <w:spacing w:line="400" w:lineRule="atLeast"/>
      <w:ind w:left="567" w:firstLine="510"/>
    </w:pPr>
    <w:rPr>
      <w:kern w:val="2"/>
      <w:sz w:val="24"/>
      <w:szCs w:val="24"/>
    </w:rPr>
  </w:style>
  <w:style w:type="character" w:customStyle="1" w:styleId="182">
    <w:name w:val="Char Char18"/>
    <w:autoRedefine/>
    <w:qFormat/>
    <w:uiPriority w:val="0"/>
    <w:rPr>
      <w:b/>
      <w:bCs/>
      <w:kern w:val="2"/>
      <w:sz w:val="32"/>
      <w:szCs w:val="32"/>
    </w:rPr>
  </w:style>
  <w:style w:type="character" w:customStyle="1" w:styleId="183">
    <w:name w:val="样式1 Char"/>
    <w:link w:val="184"/>
    <w:autoRedefine/>
    <w:qFormat/>
    <w:uiPriority w:val="0"/>
    <w:rPr>
      <w:rFonts w:ascii="楷体_GB2312" w:hAnsi="Calibri" w:eastAsia="楷体_GB2312"/>
      <w:kern w:val="2"/>
      <w:sz w:val="24"/>
      <w:szCs w:val="24"/>
    </w:rPr>
  </w:style>
  <w:style w:type="paragraph" w:customStyle="1" w:styleId="184">
    <w:name w:val="样式1"/>
    <w:basedOn w:val="185"/>
    <w:link w:val="183"/>
    <w:autoRedefine/>
    <w:qFormat/>
    <w:uiPriority w:val="0"/>
    <w:pPr>
      <w:spacing w:line="360" w:lineRule="auto"/>
      <w:ind w:firstLine="480"/>
    </w:pPr>
    <w:rPr>
      <w:rFonts w:ascii="楷体_GB2312" w:eastAsia="楷体_GB2312" w:cs="Times New Roman"/>
      <w:sz w:val="24"/>
      <w:szCs w:val="24"/>
    </w:rPr>
  </w:style>
  <w:style w:type="paragraph" w:customStyle="1" w:styleId="185">
    <w:name w:val="列出段落11"/>
    <w:basedOn w:val="1"/>
    <w:autoRedefine/>
    <w:qFormat/>
    <w:uiPriority w:val="34"/>
    <w:pPr>
      <w:ind w:firstLine="420" w:firstLineChars="200"/>
    </w:pPr>
    <w:rPr>
      <w:rFonts w:ascii="Calibri" w:hAnsi="Calibri" w:eastAsia="等线" w:cs="黑体"/>
      <w:szCs w:val="22"/>
    </w:rPr>
  </w:style>
  <w:style w:type="character" w:customStyle="1" w:styleId="186">
    <w:name w:val="Style3"/>
    <w:autoRedefine/>
    <w:qFormat/>
    <w:uiPriority w:val="0"/>
    <w:rPr>
      <w:rFonts w:ascii="Century Gothic" w:hAnsi="仿宋_GB2312" w:eastAsia="仿宋_GB2312" w:cs="新宋体"/>
      <w:szCs w:val="22"/>
      <w:lang w:eastAsia="zh-CN"/>
    </w:rPr>
  </w:style>
  <w:style w:type="character" w:customStyle="1" w:styleId="187">
    <w:name w:val="副标题 Char1"/>
    <w:autoRedefine/>
    <w:qFormat/>
    <w:uiPriority w:val="11"/>
    <w:rPr>
      <w:rFonts w:ascii="Cambria" w:hAnsi="Cambria" w:cs="Times New Roman"/>
      <w:b/>
      <w:bCs/>
      <w:kern w:val="28"/>
      <w:sz w:val="32"/>
      <w:szCs w:val="32"/>
    </w:rPr>
  </w:style>
  <w:style w:type="character" w:customStyle="1" w:styleId="188">
    <w:name w:val="Style4"/>
    <w:autoRedefine/>
    <w:qFormat/>
    <w:uiPriority w:val="0"/>
    <w:rPr>
      <w:rFonts w:ascii="Century Gothic" w:hAnsi="仿宋_GB2312" w:eastAsia="仿宋_GB2312" w:cs="新宋体"/>
      <w:szCs w:val="22"/>
      <w:lang w:eastAsia="zh-CN"/>
    </w:rPr>
  </w:style>
  <w:style w:type="character" w:customStyle="1" w:styleId="189">
    <w:name w:val="页眉注释 Char Char"/>
    <w:link w:val="190"/>
    <w:autoRedefine/>
    <w:qFormat/>
    <w:uiPriority w:val="0"/>
    <w:rPr>
      <w:rFonts w:ascii="华文细黑" w:hAnsi="华文细黑" w:eastAsia="华文细黑"/>
      <w:b/>
      <w:color w:val="FFFFFF"/>
      <w:kern w:val="2"/>
      <w:sz w:val="18"/>
      <w:szCs w:val="18"/>
    </w:rPr>
  </w:style>
  <w:style w:type="paragraph" w:customStyle="1" w:styleId="190">
    <w:name w:val="页眉注释"/>
    <w:basedOn w:val="1"/>
    <w:link w:val="189"/>
    <w:autoRedefine/>
    <w:qFormat/>
    <w:uiPriority w:val="0"/>
    <w:pPr>
      <w:spacing w:line="0" w:lineRule="atLeast"/>
      <w:jc w:val="center"/>
    </w:pPr>
    <w:rPr>
      <w:rFonts w:ascii="华文细黑" w:hAnsi="华文细黑" w:eastAsia="华文细黑"/>
      <w:b/>
      <w:color w:val="FFFFFF"/>
      <w:sz w:val="18"/>
      <w:szCs w:val="18"/>
    </w:rPr>
  </w:style>
  <w:style w:type="character" w:customStyle="1" w:styleId="191">
    <w:name w:val="heading 2 Char1"/>
    <w:autoRedefine/>
    <w:qFormat/>
    <w:uiPriority w:val="0"/>
    <w:rPr>
      <w:rFonts w:ascii="Verdana" w:hAnsi="Verdana" w:eastAsia="仿宋_GB2312"/>
      <w:b/>
      <w:bCs/>
      <w:kern w:val="2"/>
      <w:sz w:val="32"/>
      <w:szCs w:val="32"/>
      <w:lang w:val="en-US" w:eastAsia="zh-CN" w:bidi="ar-SA"/>
    </w:rPr>
  </w:style>
  <w:style w:type="character" w:customStyle="1" w:styleId="192">
    <w:name w:val="heading 4 Char"/>
    <w:autoRedefine/>
    <w:qFormat/>
    <w:uiPriority w:val="0"/>
    <w:rPr>
      <w:rFonts w:ascii="Tahoma" w:hAnsi="Tahoma" w:eastAsia="Helvetica" w:cs="新宋体"/>
      <w:sz w:val="21"/>
      <w:szCs w:val="21"/>
    </w:rPr>
  </w:style>
  <w:style w:type="character" w:customStyle="1" w:styleId="193">
    <w:name w:val="Char Char16"/>
    <w:autoRedefine/>
    <w:qFormat/>
    <w:uiPriority w:val="0"/>
    <w:rPr>
      <w:b/>
      <w:bCs/>
      <w:kern w:val="2"/>
      <w:sz w:val="28"/>
      <w:szCs w:val="28"/>
    </w:rPr>
  </w:style>
  <w:style w:type="character" w:customStyle="1" w:styleId="194">
    <w:name w:val="Char Char23"/>
    <w:autoRedefine/>
    <w:qFormat/>
    <w:uiPriority w:val="0"/>
    <w:rPr>
      <w:rFonts w:eastAsia="仿宋_GB2312"/>
      <w:b/>
      <w:bCs/>
      <w:kern w:val="2"/>
      <w:sz w:val="32"/>
      <w:szCs w:val="32"/>
      <w:lang w:val="en-US" w:eastAsia="zh-CN" w:bidi="ar-SA"/>
    </w:rPr>
  </w:style>
  <w:style w:type="character" w:customStyle="1" w:styleId="195">
    <w:name w:val="apple-converted-space"/>
    <w:autoRedefine/>
    <w:qFormat/>
    <w:uiPriority w:val="0"/>
  </w:style>
  <w:style w:type="character" w:customStyle="1" w:styleId="196">
    <w:name w:val="Char Char25"/>
    <w:autoRedefine/>
    <w:qFormat/>
    <w:uiPriority w:val="0"/>
    <w:rPr>
      <w:rFonts w:ascii="Arial Unicode MS" w:eastAsia="Arial Unicode MS"/>
      <w:b/>
      <w:bCs/>
      <w:kern w:val="2"/>
      <w:sz w:val="21"/>
      <w:szCs w:val="24"/>
      <w:lang w:val="en-US" w:eastAsia="zh-CN" w:bidi="ar-SA"/>
    </w:rPr>
  </w:style>
  <w:style w:type="character" w:customStyle="1" w:styleId="197">
    <w:name w:val="heading 3 Char1"/>
    <w:autoRedefine/>
    <w:qFormat/>
    <w:uiPriority w:val="0"/>
    <w:rPr>
      <w:rFonts w:eastAsia="仿宋_GB2312"/>
      <w:b/>
      <w:bCs/>
      <w:kern w:val="2"/>
      <w:sz w:val="32"/>
      <w:szCs w:val="32"/>
      <w:lang w:val="en-US" w:eastAsia="zh-CN" w:bidi="ar-SA"/>
    </w:rPr>
  </w:style>
  <w:style w:type="character" w:customStyle="1" w:styleId="198">
    <w:name w:val="不明显强调1"/>
    <w:autoRedefine/>
    <w:qFormat/>
    <w:uiPriority w:val="0"/>
    <w:rPr>
      <w:i/>
      <w:iCs/>
      <w:color w:val="808080"/>
    </w:rPr>
  </w:style>
  <w:style w:type="character" w:customStyle="1" w:styleId="199">
    <w:name w:val="pt141"/>
    <w:autoRedefine/>
    <w:qFormat/>
    <w:uiPriority w:val="0"/>
    <w:rPr>
      <w:color w:val="330066"/>
      <w:spacing w:val="450"/>
      <w:sz w:val="22"/>
      <w:szCs w:val="22"/>
    </w:rPr>
  </w:style>
  <w:style w:type="character" w:customStyle="1" w:styleId="200">
    <w:name w:val="无间隔 Char"/>
    <w:link w:val="201"/>
    <w:autoRedefine/>
    <w:qFormat/>
    <w:uiPriority w:val="1"/>
    <w:rPr>
      <w:rFonts w:ascii="Century Gothic" w:hAnsi="Century Gothic" w:eastAsia="Times New Roman"/>
      <w:sz w:val="22"/>
      <w:szCs w:val="22"/>
    </w:rPr>
  </w:style>
  <w:style w:type="paragraph" w:styleId="201">
    <w:name w:val="No Spacing"/>
    <w:link w:val="200"/>
    <w:autoRedefine/>
    <w:qFormat/>
    <w:uiPriority w:val="1"/>
    <w:rPr>
      <w:rFonts w:ascii="Century Gothic" w:hAnsi="Century Gothic" w:eastAsia="Times New Roman" w:cs="Times New Roman"/>
      <w:sz w:val="22"/>
      <w:szCs w:val="22"/>
      <w:lang w:val="en-US" w:eastAsia="zh-CN" w:bidi="ar-SA"/>
    </w:rPr>
  </w:style>
  <w:style w:type="character" w:customStyle="1" w:styleId="202">
    <w:name w:val="明显参考1"/>
    <w:autoRedefine/>
    <w:qFormat/>
    <w:uiPriority w:val="0"/>
    <w:rPr>
      <w:b/>
      <w:bCs/>
      <w:smallCaps/>
      <w:color w:val="C0504D"/>
      <w:spacing w:val="5"/>
      <w:u w:val="single"/>
    </w:rPr>
  </w:style>
  <w:style w:type="character" w:customStyle="1" w:styleId="203">
    <w:name w:val="正文文本缩进 3 Char"/>
    <w:link w:val="50"/>
    <w:autoRedefine/>
    <w:qFormat/>
    <w:uiPriority w:val="0"/>
    <w:rPr>
      <w:kern w:val="2"/>
      <w:sz w:val="24"/>
      <w:szCs w:val="24"/>
    </w:rPr>
  </w:style>
  <w:style w:type="character" w:customStyle="1" w:styleId="204">
    <w:name w:val="样式2 Char"/>
    <w:link w:val="205"/>
    <w:autoRedefine/>
    <w:qFormat/>
    <w:uiPriority w:val="0"/>
    <w:rPr>
      <w:rFonts w:ascii="仿宋_GB2312" w:hAnsi="仿宋_GB2312" w:eastAsia="仿宋_GB2312"/>
      <w:bCs/>
      <w:kern w:val="2"/>
      <w:sz w:val="28"/>
      <w:szCs w:val="28"/>
    </w:rPr>
  </w:style>
  <w:style w:type="paragraph" w:customStyle="1" w:styleId="205">
    <w:name w:val="样式2"/>
    <w:basedOn w:val="4"/>
    <w:link w:val="204"/>
    <w:autoRedefine/>
    <w:qFormat/>
    <w:uiPriority w:val="0"/>
    <w:pPr>
      <w:snapToGrid w:val="0"/>
      <w:spacing w:afterLines="50" w:line="480" w:lineRule="exact"/>
      <w:ind w:firstLine="556"/>
    </w:pPr>
    <w:rPr>
      <w:rFonts w:ascii="仿宋_GB2312" w:hAnsi="仿宋_GB2312" w:eastAsia="仿宋_GB2312"/>
      <w:b w:val="0"/>
      <w:sz w:val="28"/>
      <w:szCs w:val="28"/>
    </w:rPr>
  </w:style>
  <w:style w:type="character" w:customStyle="1" w:styleId="206">
    <w:name w:val="文档结构图 Char"/>
    <w:link w:val="19"/>
    <w:autoRedefine/>
    <w:qFormat/>
    <w:uiPriority w:val="0"/>
    <w:rPr>
      <w:kern w:val="2"/>
      <w:sz w:val="21"/>
      <w:szCs w:val="24"/>
      <w:shd w:val="clear" w:color="auto" w:fill="000080"/>
    </w:rPr>
  </w:style>
  <w:style w:type="character" w:customStyle="1" w:styleId="207">
    <w:name w:val="1233 Char"/>
    <w:link w:val="208"/>
    <w:autoRedefine/>
    <w:qFormat/>
    <w:uiPriority w:val="0"/>
    <w:rPr>
      <w:rFonts w:ascii="仿宋" w:hAnsi="仿宋" w:eastAsia="仿宋"/>
      <w:b/>
      <w:bCs/>
      <w:kern w:val="44"/>
      <w:sz w:val="24"/>
      <w:szCs w:val="24"/>
    </w:rPr>
  </w:style>
  <w:style w:type="paragraph" w:customStyle="1" w:styleId="208">
    <w:name w:val="1233"/>
    <w:basedOn w:val="3"/>
    <w:link w:val="207"/>
    <w:autoRedefine/>
    <w:qFormat/>
    <w:uiPriority w:val="0"/>
    <w:pPr>
      <w:keepLines/>
      <w:spacing w:line="360" w:lineRule="auto"/>
      <w:ind w:firstLine="200" w:firstLineChars="200"/>
      <w:jc w:val="both"/>
    </w:pPr>
    <w:rPr>
      <w:rFonts w:ascii="仿宋" w:hAnsi="仿宋" w:eastAsia="仿宋"/>
      <w:kern w:val="44"/>
      <w:sz w:val="24"/>
    </w:rPr>
  </w:style>
  <w:style w:type="character" w:customStyle="1" w:styleId="209">
    <w:name w:val="heading 2 Char"/>
    <w:autoRedefine/>
    <w:qFormat/>
    <w:uiPriority w:val="0"/>
    <w:rPr>
      <w:rFonts w:ascii="Tahoma" w:hAnsi="Tahoma" w:eastAsia="Helvetica" w:cs="新宋体"/>
      <w:sz w:val="30"/>
      <w:szCs w:val="24"/>
    </w:rPr>
  </w:style>
  <w:style w:type="character" w:customStyle="1" w:styleId="210">
    <w:name w:val="Intense Emphasis1"/>
    <w:autoRedefine/>
    <w:qFormat/>
    <w:uiPriority w:val="0"/>
    <w:rPr>
      <w:b/>
      <w:bCs/>
      <w:i/>
      <w:iCs/>
      <w:color w:val="4F81BD"/>
    </w:rPr>
  </w:style>
  <w:style w:type="character" w:customStyle="1" w:styleId="211">
    <w:name w:val="emailstyle16"/>
    <w:autoRedefine/>
    <w:qFormat/>
    <w:uiPriority w:val="0"/>
    <w:rPr>
      <w:rFonts w:ascii="Arial" w:hAnsi="Arial" w:eastAsia="宋体" w:cs="Arial"/>
      <w:color w:val="auto"/>
      <w:kern w:val="2"/>
      <w:sz w:val="20"/>
      <w:szCs w:val="24"/>
      <w:lang w:val="en-US" w:eastAsia="zh-CN" w:bidi="ar-SA"/>
    </w:rPr>
  </w:style>
  <w:style w:type="character" w:customStyle="1" w:styleId="212">
    <w:name w:val="正文靠右 Char Char"/>
    <w:link w:val="213"/>
    <w:autoRedefine/>
    <w:qFormat/>
    <w:uiPriority w:val="0"/>
    <w:rPr>
      <w:kern w:val="2"/>
      <w:sz w:val="21"/>
      <w:szCs w:val="24"/>
    </w:rPr>
  </w:style>
  <w:style w:type="paragraph" w:customStyle="1" w:styleId="213">
    <w:name w:val="正文靠右"/>
    <w:basedOn w:val="1"/>
    <w:link w:val="212"/>
    <w:autoRedefine/>
    <w:qFormat/>
    <w:uiPriority w:val="0"/>
    <w:pPr>
      <w:jc w:val="right"/>
    </w:pPr>
  </w:style>
  <w:style w:type="character" w:customStyle="1" w:styleId="214">
    <w:name w:val="Char Char111"/>
    <w:autoRedefine/>
    <w:qFormat/>
    <w:uiPriority w:val="0"/>
    <w:rPr>
      <w:rFonts w:ascii="新宋体" w:hAnsi="新宋体" w:eastAsia="仿宋_GB2312" w:cs="新宋体"/>
      <w:sz w:val="18"/>
      <w:szCs w:val="18"/>
    </w:rPr>
  </w:style>
  <w:style w:type="character" w:customStyle="1" w:styleId="215">
    <w:name w:val="HTML 预设格式 Char1"/>
    <w:autoRedefine/>
    <w:qFormat/>
    <w:uiPriority w:val="0"/>
    <w:rPr>
      <w:rFonts w:ascii="宋体" w:hAnsi="宋体" w:cs="宋体"/>
      <w:sz w:val="24"/>
      <w:szCs w:val="24"/>
    </w:rPr>
  </w:style>
  <w:style w:type="character" w:customStyle="1" w:styleId="216">
    <w:name w:val="正文缩进 字符"/>
    <w:autoRedefine/>
    <w:qFormat/>
    <w:uiPriority w:val="0"/>
    <w:rPr>
      <w:sz w:val="28"/>
    </w:rPr>
  </w:style>
  <w:style w:type="character" w:customStyle="1" w:styleId="217">
    <w:name w:val="Style1"/>
    <w:autoRedefine/>
    <w:qFormat/>
    <w:uiPriority w:val="0"/>
    <w:rPr>
      <w:rFonts w:ascii="Century Gothic" w:hAnsi="仿宋_GB2312" w:eastAsia="仿宋_GB2312" w:cs="新宋体"/>
      <w:sz w:val="22"/>
      <w:szCs w:val="22"/>
      <w:lang w:eastAsia="zh-CN"/>
    </w:rPr>
  </w:style>
  <w:style w:type="character" w:customStyle="1" w:styleId="218">
    <w:name w:val="BZ_封面_名称 Char"/>
    <w:link w:val="219"/>
    <w:autoRedefine/>
    <w:qFormat/>
    <w:uiPriority w:val="0"/>
    <w:rPr>
      <w:rFonts w:eastAsia="黑体"/>
      <w:kern w:val="2"/>
      <w:sz w:val="44"/>
      <w:szCs w:val="44"/>
    </w:rPr>
  </w:style>
  <w:style w:type="paragraph" w:customStyle="1" w:styleId="219">
    <w:name w:val="BZ_封面_名称"/>
    <w:basedOn w:val="1"/>
    <w:link w:val="218"/>
    <w:autoRedefine/>
    <w:qFormat/>
    <w:uiPriority w:val="0"/>
    <w:pPr>
      <w:widowControl/>
      <w:jc w:val="center"/>
    </w:pPr>
    <w:rPr>
      <w:rFonts w:eastAsia="黑体"/>
      <w:sz w:val="44"/>
      <w:szCs w:val="44"/>
    </w:rPr>
  </w:style>
  <w:style w:type="character" w:customStyle="1" w:styleId="220">
    <w:name w:val="个人答复风格"/>
    <w:autoRedefine/>
    <w:qFormat/>
    <w:uiPriority w:val="0"/>
    <w:rPr>
      <w:rFonts w:ascii="Arial" w:hAnsi="Arial" w:eastAsia="宋体" w:cs="Arial"/>
      <w:color w:val="auto"/>
      <w:kern w:val="2"/>
      <w:sz w:val="20"/>
      <w:szCs w:val="24"/>
      <w:lang w:val="en-US" w:eastAsia="zh-CN" w:bidi="ar-SA"/>
    </w:rPr>
  </w:style>
  <w:style w:type="character" w:customStyle="1" w:styleId="221">
    <w:name w:val="kpk:3级 Char"/>
    <w:link w:val="222"/>
    <w:autoRedefine/>
    <w:qFormat/>
    <w:uiPriority w:val="0"/>
    <w:rPr>
      <w:rFonts w:ascii="黑体" w:eastAsia="黑体"/>
      <w:b/>
      <w:bCs/>
      <w:kern w:val="2"/>
      <w:sz w:val="24"/>
      <w:szCs w:val="24"/>
    </w:rPr>
  </w:style>
  <w:style w:type="paragraph" w:customStyle="1" w:styleId="222">
    <w:name w:val="kpk:3级"/>
    <w:basedOn w:val="5"/>
    <w:link w:val="221"/>
    <w:autoRedefine/>
    <w:qFormat/>
    <w:uiPriority w:val="0"/>
    <w:pPr>
      <w:tabs>
        <w:tab w:val="left" w:pos="420"/>
      </w:tabs>
      <w:spacing w:before="0" w:after="0" w:line="360" w:lineRule="auto"/>
      <w:ind w:left="420" w:hanging="420"/>
    </w:pPr>
    <w:rPr>
      <w:rFonts w:ascii="黑体" w:eastAsia="黑体"/>
      <w:sz w:val="24"/>
      <w:szCs w:val="24"/>
    </w:rPr>
  </w:style>
  <w:style w:type="character" w:customStyle="1" w:styleId="223">
    <w:name w:val="Char Char19"/>
    <w:autoRedefine/>
    <w:qFormat/>
    <w:uiPriority w:val="0"/>
    <w:rPr>
      <w:rFonts w:ascii="Tahoma" w:hAnsi="Tahoma" w:eastAsia="Helvetica"/>
      <w:sz w:val="21"/>
      <w:szCs w:val="21"/>
      <w:lang w:val="en-US" w:eastAsia="zh-CN" w:bidi="ar-SA"/>
    </w:rPr>
  </w:style>
  <w:style w:type="character" w:customStyle="1" w:styleId="224">
    <w:name w:val="Table Text Char Char"/>
    <w:autoRedefine/>
    <w:qFormat/>
    <w:uiPriority w:val="0"/>
    <w:rPr>
      <w:rFonts w:eastAsia="仿宋_GB2312"/>
      <w:sz w:val="24"/>
      <w:lang w:bidi="ar-SA"/>
    </w:rPr>
  </w:style>
  <w:style w:type="character" w:customStyle="1" w:styleId="225">
    <w:name w:val="heading 4 Char1"/>
    <w:autoRedefine/>
    <w:qFormat/>
    <w:uiPriority w:val="0"/>
    <w:rPr>
      <w:rFonts w:ascii="Verdana" w:hAnsi="Verdana" w:eastAsia="仿宋_GB2312"/>
      <w:b/>
      <w:bCs/>
      <w:kern w:val="2"/>
      <w:sz w:val="28"/>
      <w:szCs w:val="28"/>
      <w:lang w:val="en-US" w:eastAsia="zh-CN" w:bidi="ar-SA"/>
    </w:rPr>
  </w:style>
  <w:style w:type="character" w:customStyle="1" w:styleId="226">
    <w:name w:val="a61"/>
    <w:autoRedefine/>
    <w:qFormat/>
    <w:uiPriority w:val="0"/>
    <w:rPr>
      <w:rFonts w:hint="eastAsia" w:ascii="宋体" w:hAnsi="宋体" w:eastAsia="宋体"/>
      <w:kern w:val="2"/>
      <w:sz w:val="23"/>
      <w:szCs w:val="23"/>
      <w:lang w:val="en-US" w:eastAsia="zh-CN" w:bidi="ar-SA"/>
    </w:rPr>
  </w:style>
  <w:style w:type="character" w:customStyle="1" w:styleId="227">
    <w:name w:val="kpk:4级 Char1"/>
    <w:link w:val="228"/>
    <w:autoRedefine/>
    <w:qFormat/>
    <w:uiPriority w:val="0"/>
    <w:rPr>
      <w:rFonts w:ascii="Arial" w:hAnsi="Arial" w:eastAsia="黑体"/>
      <w:bCs/>
      <w:sz w:val="24"/>
      <w:szCs w:val="28"/>
    </w:rPr>
  </w:style>
  <w:style w:type="paragraph" w:customStyle="1" w:styleId="228">
    <w:name w:val="kpk:4级"/>
    <w:basedOn w:val="6"/>
    <w:link w:val="227"/>
    <w:autoRedefine/>
    <w:qFormat/>
    <w:uiPriority w:val="0"/>
    <w:pPr>
      <w:tabs>
        <w:tab w:val="left" w:pos="-142"/>
        <w:tab w:val="left" w:pos="0"/>
        <w:tab w:val="left" w:pos="284"/>
        <w:tab w:val="left" w:pos="780"/>
      </w:tabs>
      <w:spacing w:before="0" w:after="0" w:line="360" w:lineRule="auto"/>
      <w:ind w:left="780" w:leftChars="200" w:hanging="360"/>
    </w:pPr>
    <w:rPr>
      <w:rFonts w:ascii="Arial" w:hAnsi="Arial" w:eastAsia="黑体"/>
      <w:b w:val="0"/>
      <w:kern w:val="0"/>
      <w:sz w:val="24"/>
    </w:rPr>
  </w:style>
  <w:style w:type="character" w:customStyle="1" w:styleId="229">
    <w:name w:val="heading 3 Char"/>
    <w:autoRedefine/>
    <w:qFormat/>
    <w:uiPriority w:val="0"/>
    <w:rPr>
      <w:rFonts w:ascii="Tahoma" w:hAnsi="Tahoma" w:eastAsia="Helvetica"/>
      <w:sz w:val="28"/>
      <w:szCs w:val="24"/>
    </w:rPr>
  </w:style>
  <w:style w:type="character" w:customStyle="1" w:styleId="230">
    <w:name w:val="heading 4 Char2"/>
    <w:autoRedefine/>
    <w:qFormat/>
    <w:uiPriority w:val="0"/>
    <w:rPr>
      <w:rFonts w:ascii="Verdana" w:hAnsi="Verdana"/>
      <w:b/>
      <w:bCs/>
      <w:kern w:val="2"/>
      <w:sz w:val="28"/>
      <w:szCs w:val="28"/>
    </w:rPr>
  </w:style>
  <w:style w:type="character" w:customStyle="1" w:styleId="231">
    <w:name w:val="样式 标题 3 + 黑体 小四 Char Char"/>
    <w:autoRedefine/>
    <w:qFormat/>
    <w:uiPriority w:val="0"/>
    <w:rPr>
      <w:rFonts w:ascii="Helvetica" w:hAnsi="Tahoma" w:eastAsia="Helvetica"/>
      <w:bCs/>
      <w:sz w:val="24"/>
      <w:szCs w:val="24"/>
      <w:lang w:bidi="ar-SA"/>
    </w:rPr>
  </w:style>
  <w:style w:type="character" w:customStyle="1" w:styleId="232">
    <w:name w:val="四级标题 Char"/>
    <w:link w:val="233"/>
    <w:autoRedefine/>
    <w:qFormat/>
    <w:uiPriority w:val="0"/>
    <w:rPr>
      <w:rFonts w:eastAsia="黑体"/>
      <w:b/>
      <w:kern w:val="2"/>
      <w:sz w:val="28"/>
      <w:szCs w:val="22"/>
    </w:rPr>
  </w:style>
  <w:style w:type="paragraph" w:customStyle="1" w:styleId="233">
    <w:name w:val="四级标题"/>
    <w:basedOn w:val="1"/>
    <w:link w:val="232"/>
    <w:autoRedefine/>
    <w:qFormat/>
    <w:uiPriority w:val="0"/>
    <w:pPr>
      <w:tabs>
        <w:tab w:val="left" w:pos="420"/>
      </w:tabs>
      <w:spacing w:line="360" w:lineRule="auto"/>
      <w:ind w:left="420" w:firstLine="200" w:firstLineChars="200"/>
      <w:outlineLvl w:val="3"/>
    </w:pPr>
    <w:rPr>
      <w:rFonts w:eastAsia="黑体"/>
      <w:b/>
      <w:sz w:val="28"/>
      <w:szCs w:val="22"/>
    </w:rPr>
  </w:style>
  <w:style w:type="character" w:customStyle="1" w:styleId="234">
    <w:name w:val="标题 4 字符"/>
    <w:autoRedefine/>
    <w:qFormat/>
    <w:uiPriority w:val="0"/>
    <w:rPr>
      <w:rFonts w:eastAsia="楷体_GB2312"/>
      <w:b/>
      <w:snapToGrid/>
      <w:sz w:val="28"/>
    </w:rPr>
  </w:style>
  <w:style w:type="character" w:customStyle="1" w:styleId="235">
    <w:name w:val="heading 5 Char2"/>
    <w:autoRedefine/>
    <w:qFormat/>
    <w:uiPriority w:val="0"/>
    <w:rPr>
      <w:b/>
      <w:bCs/>
      <w:kern w:val="2"/>
      <w:sz w:val="28"/>
      <w:szCs w:val="28"/>
    </w:rPr>
  </w:style>
  <w:style w:type="character" w:customStyle="1" w:styleId="236">
    <w:name w:val="书籍标题1"/>
    <w:autoRedefine/>
    <w:qFormat/>
    <w:uiPriority w:val="0"/>
    <w:rPr>
      <w:b/>
      <w:bCs/>
      <w:smallCaps/>
      <w:spacing w:val="5"/>
    </w:rPr>
  </w:style>
  <w:style w:type="character" w:customStyle="1" w:styleId="237">
    <w:name w:val="Ò³Ã¼ Char Char2"/>
    <w:autoRedefine/>
    <w:qFormat/>
    <w:uiPriority w:val="0"/>
    <w:rPr>
      <w:kern w:val="2"/>
      <w:sz w:val="18"/>
      <w:szCs w:val="18"/>
    </w:rPr>
  </w:style>
  <w:style w:type="character" w:customStyle="1" w:styleId="238">
    <w:name w:val="不明显参考1"/>
    <w:autoRedefine/>
    <w:qFormat/>
    <w:uiPriority w:val="0"/>
    <w:rPr>
      <w:smallCaps/>
      <w:color w:val="C0504D"/>
      <w:u w:val="single"/>
    </w:rPr>
  </w:style>
  <w:style w:type="character" w:customStyle="1" w:styleId="239">
    <w:name w:val="标题 6 字符"/>
    <w:autoRedefine/>
    <w:qFormat/>
    <w:uiPriority w:val="0"/>
    <w:rPr>
      <w:rFonts w:ascii="Arial" w:hAnsi="Arial" w:eastAsia="黑体"/>
      <w:spacing w:val="20"/>
      <w:kern w:val="2"/>
      <w:sz w:val="28"/>
    </w:rPr>
  </w:style>
  <w:style w:type="character" w:customStyle="1" w:styleId="240">
    <w:name w:val="A3 Char Char"/>
    <w:autoRedefine/>
    <w:qFormat/>
    <w:uiPriority w:val="0"/>
    <w:rPr>
      <w:rFonts w:eastAsia="宋体"/>
      <w:b/>
      <w:bCs/>
      <w:sz w:val="32"/>
      <w:szCs w:val="32"/>
      <w:lang w:bidi="ar-SA"/>
    </w:rPr>
  </w:style>
  <w:style w:type="character" w:customStyle="1" w:styleId="241">
    <w:name w:val="Footer-Even Char"/>
    <w:autoRedefine/>
    <w:qFormat/>
    <w:uiPriority w:val="0"/>
    <w:rPr>
      <w:sz w:val="18"/>
      <w:szCs w:val="18"/>
    </w:rPr>
  </w:style>
  <w:style w:type="character" w:customStyle="1" w:styleId="242">
    <w:name w:val="标题 8 字符"/>
    <w:autoRedefine/>
    <w:qFormat/>
    <w:uiPriority w:val="0"/>
    <w:rPr>
      <w:rFonts w:ascii="Arial" w:hAnsi="Arial" w:eastAsia="黑体"/>
      <w:kern w:val="2"/>
      <w:sz w:val="24"/>
      <w:vertAlign w:val="superscript"/>
    </w:rPr>
  </w:style>
  <w:style w:type="character" w:customStyle="1" w:styleId="243">
    <w:name w:val="标题 1 字符"/>
    <w:autoRedefine/>
    <w:qFormat/>
    <w:uiPriority w:val="0"/>
    <w:rPr>
      <w:rFonts w:eastAsia="黑体"/>
      <w:snapToGrid/>
      <w:sz w:val="44"/>
    </w:rPr>
  </w:style>
  <w:style w:type="character" w:customStyle="1" w:styleId="244">
    <w:name w:val="content_title1"/>
    <w:autoRedefine/>
    <w:qFormat/>
    <w:uiPriority w:val="0"/>
    <w:rPr>
      <w:rFonts w:eastAsia="宋体"/>
      <w:color w:val="9A1601"/>
      <w:kern w:val="2"/>
      <w:sz w:val="21"/>
      <w:szCs w:val="21"/>
      <w:lang w:val="en-US" w:eastAsia="zh-CN" w:bidi="ar-SA"/>
    </w:rPr>
  </w:style>
  <w:style w:type="character" w:customStyle="1" w:styleId="245">
    <w:name w:val="正文文本 2 Char"/>
    <w:autoRedefine/>
    <w:qFormat/>
    <w:uiPriority w:val="0"/>
    <w:rPr>
      <w:rFonts w:ascii="等线" w:hAnsi="等线" w:eastAsia="等线" w:cs="等线"/>
    </w:rPr>
  </w:style>
  <w:style w:type="character" w:customStyle="1" w:styleId="246">
    <w:name w:val="标题 7 字符"/>
    <w:autoRedefine/>
    <w:qFormat/>
    <w:uiPriority w:val="0"/>
    <w:rPr>
      <w:b/>
      <w:kern w:val="2"/>
      <w:sz w:val="24"/>
      <w:vertAlign w:val="superscript"/>
    </w:rPr>
  </w:style>
  <w:style w:type="character" w:customStyle="1" w:styleId="247">
    <w:name w:val="Char Char6"/>
    <w:autoRedefine/>
    <w:qFormat/>
    <w:uiPriority w:val="0"/>
    <w:rPr>
      <w:rFonts w:ascii="新宋体" w:hAnsi="新宋体" w:eastAsia="仿宋_GB2312" w:cs="新宋体"/>
      <w:szCs w:val="24"/>
    </w:rPr>
  </w:style>
  <w:style w:type="character" w:customStyle="1" w:styleId="248">
    <w:name w:val="标题 5 字符"/>
    <w:autoRedefine/>
    <w:qFormat/>
    <w:uiPriority w:val="0"/>
    <w:rPr>
      <w:kern w:val="2"/>
      <w:sz w:val="28"/>
    </w:rPr>
  </w:style>
  <w:style w:type="character" w:customStyle="1" w:styleId="249">
    <w:name w:val="smalltxt1"/>
    <w:autoRedefine/>
    <w:qFormat/>
    <w:uiPriority w:val="0"/>
    <w:rPr>
      <w:rFonts w:hint="default" w:ascii="宋体,Verdana,Arial" w:hAnsi="宋体,Verdana,Arial"/>
      <w:sz w:val="24"/>
      <w:szCs w:val="24"/>
    </w:rPr>
  </w:style>
  <w:style w:type="character" w:customStyle="1" w:styleId="250">
    <w:name w:val="正文居中 Char Char"/>
    <w:link w:val="251"/>
    <w:autoRedefine/>
    <w:qFormat/>
    <w:uiPriority w:val="0"/>
    <w:rPr>
      <w:kern w:val="2"/>
      <w:sz w:val="21"/>
      <w:szCs w:val="24"/>
    </w:rPr>
  </w:style>
  <w:style w:type="paragraph" w:customStyle="1" w:styleId="251">
    <w:name w:val="正文居中"/>
    <w:basedOn w:val="1"/>
    <w:link w:val="250"/>
    <w:autoRedefine/>
    <w:qFormat/>
    <w:uiPriority w:val="0"/>
    <w:pPr>
      <w:jc w:val="center"/>
    </w:pPr>
  </w:style>
  <w:style w:type="character" w:customStyle="1" w:styleId="252">
    <w:name w:val="样式2 Char Char"/>
    <w:autoRedefine/>
    <w:qFormat/>
    <w:uiPriority w:val="0"/>
    <w:rPr>
      <w:rFonts w:ascii="仿宋_GB2312" w:hAnsi="仿宋_GB2312" w:eastAsia="仿宋_GB2312"/>
      <w:bCs/>
      <w:kern w:val="2"/>
      <w:sz w:val="28"/>
      <w:szCs w:val="28"/>
      <w:lang w:val="en-US" w:eastAsia="zh-CN" w:bidi="ar-SA"/>
    </w:rPr>
  </w:style>
  <w:style w:type="character" w:customStyle="1" w:styleId="253">
    <w:name w:val="heading 6 Char1"/>
    <w:autoRedefine/>
    <w:qFormat/>
    <w:uiPriority w:val="0"/>
    <w:rPr>
      <w:rFonts w:ascii="Tahoma" w:hAnsi="Tahoma" w:eastAsia="Helvetica"/>
      <w:kern w:val="2"/>
      <w:sz w:val="24"/>
      <w:szCs w:val="24"/>
      <w:lang w:val="en-US" w:eastAsia="zh-CN" w:bidi="ar-SA"/>
    </w:rPr>
  </w:style>
  <w:style w:type="character" w:customStyle="1" w:styleId="254">
    <w:name w:val="正文文本缩进 2 字符"/>
    <w:autoRedefine/>
    <w:qFormat/>
    <w:uiPriority w:val="0"/>
    <w:rPr>
      <w:sz w:val="28"/>
    </w:rPr>
  </w:style>
  <w:style w:type="character" w:customStyle="1" w:styleId="255">
    <w:name w:val="正文文本缩进 字符"/>
    <w:autoRedefine/>
    <w:qFormat/>
    <w:uiPriority w:val="0"/>
    <w:rPr>
      <w:sz w:val="28"/>
    </w:rPr>
  </w:style>
  <w:style w:type="character" w:customStyle="1" w:styleId="256">
    <w:name w:val="t11"/>
    <w:autoRedefine/>
    <w:qFormat/>
    <w:uiPriority w:val="0"/>
    <w:rPr>
      <w:rFonts w:eastAsia="宋体"/>
      <w:color w:val="333333"/>
      <w:kern w:val="2"/>
      <w:sz w:val="18"/>
      <w:szCs w:val="18"/>
      <w:lang w:val="en-US" w:eastAsia="zh-CN" w:bidi="ar-SA"/>
    </w:rPr>
  </w:style>
  <w:style w:type="character" w:customStyle="1" w:styleId="257">
    <w:name w:val="正文文本 Char Char"/>
    <w:autoRedefine/>
    <w:qFormat/>
    <w:uiPriority w:val="0"/>
    <w:rPr>
      <w:rFonts w:ascii="Times New Roman" w:hAnsi="Times New Roman"/>
      <w:kern w:val="2"/>
      <w:sz w:val="21"/>
      <w:szCs w:val="24"/>
    </w:rPr>
  </w:style>
  <w:style w:type="character" w:customStyle="1" w:styleId="258">
    <w:name w:val="引用 Char"/>
    <w:autoRedefine/>
    <w:qFormat/>
    <w:uiPriority w:val="0"/>
    <w:rPr>
      <w:rFonts w:ascii="Century Gothic" w:hAnsi="Century Gothic" w:eastAsia="仿宋_GB2312"/>
      <w:i/>
      <w:iCs/>
      <w:color w:val="000000"/>
    </w:rPr>
  </w:style>
  <w:style w:type="paragraph" w:styleId="259">
    <w:name w:val="Quote"/>
    <w:basedOn w:val="1"/>
    <w:next w:val="1"/>
    <w:link w:val="460"/>
    <w:autoRedefine/>
    <w:qFormat/>
    <w:uiPriority w:val="0"/>
    <w:rPr>
      <w:rFonts w:ascii="Century Gothic" w:hAnsi="Century Gothic" w:eastAsia="仿宋_GB2312"/>
      <w:i/>
      <w:iCs/>
      <w:color w:val="000000"/>
      <w:kern w:val="0"/>
      <w:sz w:val="20"/>
      <w:szCs w:val="20"/>
    </w:rPr>
  </w:style>
  <w:style w:type="character" w:customStyle="1" w:styleId="260">
    <w:name w:val="Plain Text Char"/>
    <w:autoRedefine/>
    <w:qFormat/>
    <w:uiPriority w:val="0"/>
    <w:rPr>
      <w:rFonts w:ascii="仿宋_GB2312" w:hAnsi="Wingdings" w:eastAsia="仿宋_GB2312" w:cs="新宋体"/>
      <w:sz w:val="21"/>
      <w:szCs w:val="21"/>
    </w:rPr>
  </w:style>
  <w:style w:type="character" w:customStyle="1" w:styleId="261">
    <w:name w:val="A4 Char Char"/>
    <w:autoRedefine/>
    <w:qFormat/>
    <w:uiPriority w:val="0"/>
    <w:rPr>
      <w:rFonts w:ascii="Cambria" w:hAnsi="Cambria" w:eastAsia="宋体"/>
      <w:b/>
      <w:bCs/>
      <w:sz w:val="28"/>
      <w:szCs w:val="28"/>
    </w:rPr>
  </w:style>
  <w:style w:type="character" w:customStyle="1" w:styleId="262">
    <w:name w:val="正文4 Char"/>
    <w:autoRedefine/>
    <w:qFormat/>
    <w:uiPriority w:val="0"/>
    <w:rPr>
      <w:rFonts w:ascii="新宋体" w:hAnsi="新宋体" w:eastAsia="宋体" w:cs="新宋体"/>
      <w:kern w:val="2"/>
      <w:sz w:val="24"/>
      <w:szCs w:val="24"/>
      <w:lang w:val="en-US" w:eastAsia="zh-CN" w:bidi="ar-SA"/>
    </w:rPr>
  </w:style>
  <w:style w:type="character" w:customStyle="1" w:styleId="263">
    <w:name w:val="heading 5 Char1"/>
    <w:autoRedefine/>
    <w:qFormat/>
    <w:uiPriority w:val="0"/>
    <w:rPr>
      <w:rFonts w:eastAsia="仿宋_GB2312"/>
      <w:b/>
      <w:bCs/>
      <w:kern w:val="2"/>
      <w:sz w:val="28"/>
      <w:szCs w:val="28"/>
      <w:lang w:val="en-US" w:eastAsia="zh-CN" w:bidi="ar-SA"/>
    </w:rPr>
  </w:style>
  <w:style w:type="character" w:customStyle="1" w:styleId="264">
    <w:name w:val="Char Char22"/>
    <w:autoRedefine/>
    <w:qFormat/>
    <w:uiPriority w:val="0"/>
    <w:rPr>
      <w:rFonts w:ascii="Tahoma" w:hAnsi="Tahoma" w:eastAsia="Helvetica"/>
      <w:b/>
      <w:bCs/>
      <w:kern w:val="44"/>
      <w:sz w:val="30"/>
      <w:szCs w:val="44"/>
      <w:lang w:val="en-US" w:eastAsia="zh-CN" w:bidi="ar-SA"/>
    </w:rPr>
  </w:style>
  <w:style w:type="character" w:customStyle="1" w:styleId="265">
    <w:name w:val="表格 Char Char"/>
    <w:link w:val="266"/>
    <w:autoRedefine/>
    <w:qFormat/>
    <w:uiPriority w:val="0"/>
    <w:rPr>
      <w:rFonts w:ascii="仿宋_GB2312" w:hAnsi="仿宋_GB2312" w:eastAsia="仿宋_GB2312"/>
    </w:rPr>
  </w:style>
  <w:style w:type="paragraph" w:customStyle="1" w:styleId="266">
    <w:name w:val="表格"/>
    <w:basedOn w:val="1"/>
    <w:link w:val="265"/>
    <w:autoRedefine/>
    <w:qFormat/>
    <w:uiPriority w:val="99"/>
    <w:pPr>
      <w:autoSpaceDE w:val="0"/>
      <w:autoSpaceDN w:val="0"/>
      <w:adjustRightInd w:val="0"/>
      <w:snapToGrid w:val="0"/>
      <w:ind w:firstLine="42" w:firstLineChars="21"/>
      <w:jc w:val="left"/>
    </w:pPr>
    <w:rPr>
      <w:rFonts w:ascii="仿宋_GB2312" w:hAnsi="仿宋_GB2312" w:eastAsia="仿宋_GB2312"/>
      <w:kern w:val="0"/>
      <w:sz w:val="20"/>
      <w:szCs w:val="20"/>
    </w:rPr>
  </w:style>
  <w:style w:type="character" w:customStyle="1" w:styleId="267">
    <w:name w:val="一级标题 Char"/>
    <w:link w:val="268"/>
    <w:autoRedefine/>
    <w:qFormat/>
    <w:uiPriority w:val="0"/>
    <w:rPr>
      <w:rFonts w:ascii="黑体" w:eastAsia="华文中宋"/>
      <w:b/>
      <w:kern w:val="44"/>
      <w:sz w:val="36"/>
      <w:szCs w:val="44"/>
    </w:rPr>
  </w:style>
  <w:style w:type="paragraph" w:customStyle="1" w:styleId="268">
    <w:name w:val="一级标题"/>
    <w:basedOn w:val="3"/>
    <w:link w:val="267"/>
    <w:autoRedefine/>
    <w:qFormat/>
    <w:uiPriority w:val="0"/>
    <w:pPr>
      <w:keepLines/>
      <w:pageBreakBefore/>
      <w:spacing w:line="578" w:lineRule="auto"/>
      <w:ind w:left="432" w:hanging="432"/>
    </w:pPr>
    <w:rPr>
      <w:rFonts w:ascii="黑体" w:eastAsia="华文中宋"/>
      <w:bCs w:val="0"/>
      <w:kern w:val="44"/>
      <w:sz w:val="36"/>
      <w:szCs w:val="44"/>
    </w:rPr>
  </w:style>
  <w:style w:type="character" w:customStyle="1" w:styleId="269">
    <w:name w:val="批注框文本 Char"/>
    <w:link w:val="40"/>
    <w:autoRedefine/>
    <w:qFormat/>
    <w:uiPriority w:val="0"/>
    <w:rPr>
      <w:kern w:val="2"/>
      <w:sz w:val="18"/>
      <w:szCs w:val="18"/>
    </w:rPr>
  </w:style>
  <w:style w:type="character" w:customStyle="1" w:styleId="270">
    <w:name w:val="正文（小四+1.25倍行距） Char"/>
    <w:link w:val="271"/>
    <w:autoRedefine/>
    <w:qFormat/>
    <w:uiPriority w:val="0"/>
    <w:rPr>
      <w:sz w:val="24"/>
      <w:szCs w:val="24"/>
    </w:rPr>
  </w:style>
  <w:style w:type="paragraph" w:customStyle="1" w:styleId="271">
    <w:name w:val="正文（小四+1.25倍行距）"/>
    <w:basedOn w:val="1"/>
    <w:link w:val="270"/>
    <w:autoRedefine/>
    <w:qFormat/>
    <w:uiPriority w:val="0"/>
    <w:pPr>
      <w:spacing w:afterLines="50" w:line="300" w:lineRule="auto"/>
      <w:ind w:firstLine="420"/>
    </w:pPr>
    <w:rPr>
      <w:kern w:val="0"/>
      <w:sz w:val="24"/>
    </w:rPr>
  </w:style>
  <w:style w:type="character" w:customStyle="1" w:styleId="272">
    <w:name w:val="Ò³Ã¼ Char Char1"/>
    <w:autoRedefine/>
    <w:qFormat/>
    <w:uiPriority w:val="0"/>
    <w:rPr>
      <w:rFonts w:eastAsia="仿宋_GB2312"/>
      <w:kern w:val="2"/>
      <w:sz w:val="18"/>
      <w:szCs w:val="18"/>
      <w:lang w:val="en-US" w:eastAsia="zh-CN" w:bidi="ar-SA"/>
    </w:rPr>
  </w:style>
  <w:style w:type="character" w:customStyle="1" w:styleId="273">
    <w:name w:val="正文首行缩进 字符"/>
    <w:basedOn w:val="274"/>
    <w:autoRedefine/>
    <w:qFormat/>
    <w:uiPriority w:val="0"/>
    <w:rPr>
      <w:rFonts w:ascii="宋体"/>
      <w:sz w:val="21"/>
    </w:rPr>
  </w:style>
  <w:style w:type="character" w:customStyle="1" w:styleId="274">
    <w:name w:val="正文文本 字符"/>
    <w:autoRedefine/>
    <w:qFormat/>
    <w:uiPriority w:val="0"/>
    <w:rPr>
      <w:rFonts w:ascii="宋体"/>
      <w:sz w:val="21"/>
    </w:rPr>
  </w:style>
  <w:style w:type="character" w:customStyle="1" w:styleId="275">
    <w:name w:val="信息标题 Char"/>
    <w:autoRedefine/>
    <w:qFormat/>
    <w:uiPriority w:val="0"/>
    <w:rPr>
      <w:rFonts w:eastAsia="仿宋_GB2312"/>
      <w:kern w:val="2"/>
      <w:sz w:val="21"/>
      <w:szCs w:val="24"/>
      <w:shd w:val="pct20" w:color="auto" w:fill="auto"/>
    </w:rPr>
  </w:style>
  <w:style w:type="character" w:customStyle="1" w:styleId="276">
    <w:name w:val="A4 Char"/>
    <w:link w:val="277"/>
    <w:autoRedefine/>
    <w:qFormat/>
    <w:uiPriority w:val="0"/>
    <w:rPr>
      <w:rFonts w:ascii="Cambria" w:hAnsi="Cambria" w:cs="新宋体"/>
      <w:b/>
      <w:bCs/>
      <w:sz w:val="28"/>
      <w:szCs w:val="28"/>
    </w:rPr>
  </w:style>
  <w:style w:type="paragraph" w:customStyle="1" w:styleId="277">
    <w:name w:val="A4"/>
    <w:basedOn w:val="6"/>
    <w:link w:val="276"/>
    <w:autoRedefine/>
    <w:qFormat/>
    <w:uiPriority w:val="0"/>
    <w:pPr>
      <w:spacing w:line="377" w:lineRule="auto"/>
      <w:jc w:val="left"/>
    </w:pPr>
    <w:rPr>
      <w:rFonts w:cs="新宋体"/>
      <w:kern w:val="0"/>
    </w:rPr>
  </w:style>
  <w:style w:type="character" w:customStyle="1" w:styleId="278">
    <w:name w:val="Char Char61"/>
    <w:autoRedefine/>
    <w:qFormat/>
    <w:uiPriority w:val="0"/>
    <w:rPr>
      <w:rFonts w:ascii="新宋体" w:hAnsi="新宋体" w:eastAsia="仿宋_GB2312" w:cs="新宋体"/>
      <w:szCs w:val="24"/>
    </w:rPr>
  </w:style>
  <w:style w:type="character" w:customStyle="1" w:styleId="279">
    <w:name w:val="符号正文缩进 Char Char"/>
    <w:link w:val="280"/>
    <w:autoRedefine/>
    <w:qFormat/>
    <w:uiPriority w:val="0"/>
    <w:rPr>
      <w:kern w:val="2"/>
      <w:sz w:val="24"/>
      <w:szCs w:val="24"/>
    </w:rPr>
  </w:style>
  <w:style w:type="paragraph" w:customStyle="1" w:styleId="280">
    <w:name w:val="符号正文缩进"/>
    <w:basedOn w:val="16"/>
    <w:link w:val="279"/>
    <w:autoRedefine/>
    <w:qFormat/>
    <w:uiPriority w:val="0"/>
    <w:pPr>
      <w:tabs>
        <w:tab w:val="left" w:pos="1497"/>
      </w:tabs>
      <w:spacing w:line="400" w:lineRule="atLeast"/>
      <w:ind w:left="567" w:firstLine="510"/>
    </w:pPr>
    <w:rPr>
      <w:kern w:val="2"/>
      <w:sz w:val="24"/>
      <w:szCs w:val="24"/>
    </w:rPr>
  </w:style>
  <w:style w:type="character" w:customStyle="1" w:styleId="281">
    <w:name w:val="Char Char11"/>
    <w:autoRedefine/>
    <w:qFormat/>
    <w:uiPriority w:val="0"/>
    <w:rPr>
      <w:rFonts w:ascii="新宋体" w:hAnsi="新宋体" w:eastAsia="仿宋_GB2312" w:cs="新宋体"/>
      <w:sz w:val="18"/>
      <w:szCs w:val="18"/>
    </w:rPr>
  </w:style>
  <w:style w:type="character" w:customStyle="1" w:styleId="282">
    <w:name w:val="heading 1 Char2"/>
    <w:autoRedefine/>
    <w:qFormat/>
    <w:uiPriority w:val="0"/>
    <w:rPr>
      <w:b/>
      <w:bCs/>
      <w:kern w:val="44"/>
      <w:sz w:val="44"/>
      <w:szCs w:val="44"/>
    </w:rPr>
  </w:style>
  <w:style w:type="character" w:customStyle="1" w:styleId="283">
    <w:name w:val="Char Char13"/>
    <w:basedOn w:val="66"/>
    <w:autoRedefine/>
    <w:qFormat/>
    <w:uiPriority w:val="0"/>
    <w:rPr>
      <w:rFonts w:ascii="Times New Roman" w:hAnsi="Times New Roman" w:eastAsia="宋体" w:cs="Times New Roman"/>
      <w:b/>
      <w:bCs/>
      <w:color w:val="auto"/>
      <w:kern w:val="2"/>
      <w:szCs w:val="20"/>
    </w:rPr>
  </w:style>
  <w:style w:type="character" w:customStyle="1" w:styleId="284">
    <w:name w:val="heading 7 Char1"/>
    <w:autoRedefine/>
    <w:qFormat/>
    <w:uiPriority w:val="0"/>
    <w:rPr>
      <w:rFonts w:ascii="Tahoma" w:hAnsi="Tahoma" w:eastAsia="Helvetica"/>
      <w:sz w:val="21"/>
      <w:szCs w:val="21"/>
      <w:lang w:val="en-US" w:eastAsia="zh-CN" w:bidi="ar-SA"/>
    </w:rPr>
  </w:style>
  <w:style w:type="character" w:customStyle="1" w:styleId="285">
    <w:name w:val="Style2"/>
    <w:autoRedefine/>
    <w:qFormat/>
    <w:uiPriority w:val="0"/>
    <w:rPr>
      <w:rFonts w:ascii="Century Gothic" w:hAnsi="仿宋_GB2312" w:eastAsia="仿宋_GB2312" w:cs="新宋体"/>
      <w:sz w:val="22"/>
      <w:szCs w:val="22"/>
      <w:lang w:eastAsia="zh-CN"/>
    </w:rPr>
  </w:style>
  <w:style w:type="character" w:customStyle="1" w:styleId="286">
    <w:name w:val="blue1"/>
    <w:basedOn w:val="66"/>
    <w:autoRedefine/>
    <w:qFormat/>
    <w:uiPriority w:val="0"/>
  </w:style>
  <w:style w:type="character" w:customStyle="1" w:styleId="287">
    <w:name w:val="style111"/>
    <w:autoRedefine/>
    <w:qFormat/>
    <w:uiPriority w:val="0"/>
    <w:rPr>
      <w:sz w:val="27"/>
      <w:szCs w:val="27"/>
    </w:rPr>
  </w:style>
  <w:style w:type="character" w:customStyle="1" w:styleId="288">
    <w:name w:val="emailstyle15"/>
    <w:autoRedefine/>
    <w:qFormat/>
    <w:uiPriority w:val="0"/>
    <w:rPr>
      <w:rFonts w:ascii="Arial" w:hAnsi="Arial" w:eastAsia="宋体" w:cs="Arial"/>
      <w:color w:val="auto"/>
      <w:kern w:val="2"/>
      <w:sz w:val="20"/>
      <w:szCs w:val="24"/>
      <w:lang w:val="en-US" w:eastAsia="zh-CN" w:bidi="ar-SA"/>
    </w:rPr>
  </w:style>
  <w:style w:type="character" w:customStyle="1" w:styleId="289">
    <w:name w:val="个人撰写风格"/>
    <w:autoRedefine/>
    <w:qFormat/>
    <w:uiPriority w:val="0"/>
    <w:rPr>
      <w:rFonts w:ascii="Arial" w:hAnsi="Arial" w:eastAsia="宋体" w:cs="Arial"/>
      <w:color w:val="auto"/>
      <w:kern w:val="2"/>
      <w:sz w:val="20"/>
      <w:szCs w:val="24"/>
      <w:lang w:val="en-US" w:eastAsia="zh-CN" w:bidi="ar-SA"/>
    </w:rPr>
  </w:style>
  <w:style w:type="character" w:customStyle="1" w:styleId="290">
    <w:name w:val="font01"/>
    <w:autoRedefine/>
    <w:qFormat/>
    <w:uiPriority w:val="0"/>
    <w:rPr>
      <w:rFonts w:hint="eastAsia" w:ascii="宋体" w:hAnsi="宋体" w:eastAsia="宋体" w:cs="宋体"/>
      <w:color w:val="000000"/>
      <w:sz w:val="18"/>
      <w:szCs w:val="18"/>
      <w:u w:val="none"/>
      <w:vertAlign w:val="superscript"/>
    </w:rPr>
  </w:style>
  <w:style w:type="character" w:customStyle="1" w:styleId="291">
    <w:name w:val="Char Char21"/>
    <w:autoRedefine/>
    <w:qFormat/>
    <w:uiPriority w:val="0"/>
    <w:rPr>
      <w:rFonts w:ascii="新宋体" w:hAnsi="新宋体" w:eastAsia="仿宋_GB2312" w:cs="新宋体"/>
      <w:b/>
      <w:bCs/>
      <w:kern w:val="44"/>
      <w:sz w:val="44"/>
      <w:szCs w:val="44"/>
    </w:rPr>
  </w:style>
  <w:style w:type="character" w:customStyle="1" w:styleId="292">
    <w:name w:val="Char Char24"/>
    <w:autoRedefine/>
    <w:qFormat/>
    <w:uiPriority w:val="0"/>
    <w:rPr>
      <w:rFonts w:ascii="Verdana" w:hAnsi="Verdana" w:eastAsia="仿宋_GB2312"/>
      <w:b/>
      <w:bCs/>
      <w:kern w:val="2"/>
      <w:sz w:val="32"/>
      <w:szCs w:val="32"/>
      <w:lang w:val="en-US" w:eastAsia="zh-CN" w:bidi="ar-SA"/>
    </w:rPr>
  </w:style>
  <w:style w:type="character" w:customStyle="1" w:styleId="293">
    <w:name w:val="Char Char181"/>
    <w:autoRedefine/>
    <w:qFormat/>
    <w:uiPriority w:val="0"/>
    <w:rPr>
      <w:rFonts w:ascii="Tahoma" w:hAnsi="Tahoma" w:eastAsia="Helvetica"/>
      <w:sz w:val="24"/>
      <w:lang w:val="en-US" w:eastAsia="zh-CN" w:bidi="ar-SA"/>
    </w:rPr>
  </w:style>
  <w:style w:type="character" w:customStyle="1" w:styleId="294">
    <w:name w:val="heading 5 Char"/>
    <w:autoRedefine/>
    <w:qFormat/>
    <w:uiPriority w:val="0"/>
    <w:rPr>
      <w:rFonts w:ascii="Tahoma" w:hAnsi="Tahoma" w:eastAsia="Helvetica"/>
      <w:sz w:val="21"/>
      <w:szCs w:val="21"/>
    </w:rPr>
  </w:style>
  <w:style w:type="character" w:customStyle="1" w:styleId="295">
    <w:name w:val="heading 3 Char2"/>
    <w:autoRedefine/>
    <w:qFormat/>
    <w:uiPriority w:val="0"/>
    <w:rPr>
      <w:b/>
      <w:bCs/>
      <w:kern w:val="2"/>
      <w:sz w:val="32"/>
      <w:szCs w:val="32"/>
    </w:rPr>
  </w:style>
  <w:style w:type="character" w:customStyle="1" w:styleId="296">
    <w:name w:val="列出段落 Char1"/>
    <w:autoRedefine/>
    <w:qFormat/>
    <w:uiPriority w:val="0"/>
    <w:rPr>
      <w:kern w:val="2"/>
      <w:sz w:val="21"/>
      <w:szCs w:val="24"/>
    </w:rPr>
  </w:style>
  <w:style w:type="character" w:customStyle="1" w:styleId="297">
    <w:name w:val="Footer-Even Char2"/>
    <w:autoRedefine/>
    <w:qFormat/>
    <w:uiPriority w:val="0"/>
    <w:rPr>
      <w:kern w:val="2"/>
      <w:sz w:val="18"/>
      <w:szCs w:val="18"/>
    </w:rPr>
  </w:style>
  <w:style w:type="character" w:customStyle="1" w:styleId="298">
    <w:name w:val="heading 1 Char1"/>
    <w:autoRedefine/>
    <w:qFormat/>
    <w:uiPriority w:val="0"/>
    <w:rPr>
      <w:rFonts w:eastAsia="仿宋_GB2312"/>
      <w:b/>
      <w:bCs/>
      <w:kern w:val="44"/>
      <w:sz w:val="44"/>
      <w:szCs w:val="44"/>
      <w:lang w:val="en-US" w:eastAsia="zh-CN" w:bidi="ar-SA"/>
    </w:rPr>
  </w:style>
  <w:style w:type="character" w:customStyle="1" w:styleId="299">
    <w:name w:val="kpk:正文 Char"/>
    <w:link w:val="300"/>
    <w:autoRedefine/>
    <w:qFormat/>
    <w:uiPriority w:val="0"/>
    <w:rPr>
      <w:rFonts w:ascii="宋体" w:hAnsi="宋体"/>
      <w:kern w:val="2"/>
      <w:sz w:val="24"/>
      <w:szCs w:val="24"/>
      <w:lang w:val="en-GB"/>
    </w:rPr>
  </w:style>
  <w:style w:type="paragraph" w:customStyle="1" w:styleId="300">
    <w:name w:val="kpk:正文"/>
    <w:basedOn w:val="1"/>
    <w:link w:val="299"/>
    <w:autoRedefine/>
    <w:qFormat/>
    <w:uiPriority w:val="0"/>
    <w:pPr>
      <w:wordWrap w:val="0"/>
      <w:spacing w:beforeLines="50" w:after="312" w:line="360" w:lineRule="auto"/>
      <w:ind w:firstLine="480" w:firstLineChars="200"/>
      <w:jc w:val="left"/>
    </w:pPr>
    <w:rPr>
      <w:rFonts w:ascii="宋体" w:hAnsi="宋体"/>
      <w:sz w:val="24"/>
      <w:lang w:val="en-GB"/>
    </w:rPr>
  </w:style>
  <w:style w:type="character" w:customStyle="1" w:styleId="301">
    <w:name w:val="彩色列表 - 强调文字颜色 1 Char"/>
    <w:link w:val="302"/>
    <w:autoRedefine/>
    <w:qFormat/>
    <w:uiPriority w:val="0"/>
    <w:rPr>
      <w:kern w:val="2"/>
      <w:sz w:val="21"/>
      <w:szCs w:val="22"/>
    </w:rPr>
  </w:style>
  <w:style w:type="paragraph" w:customStyle="1" w:styleId="302">
    <w:name w:val="彩色列表 - 强调文字颜色 11"/>
    <w:basedOn w:val="1"/>
    <w:link w:val="301"/>
    <w:autoRedefine/>
    <w:qFormat/>
    <w:uiPriority w:val="0"/>
    <w:pPr>
      <w:ind w:firstLine="420" w:firstLineChars="200"/>
    </w:pPr>
    <w:rPr>
      <w:szCs w:val="22"/>
    </w:rPr>
  </w:style>
  <w:style w:type="character" w:customStyle="1" w:styleId="303">
    <w:name w:val="A3 Char"/>
    <w:link w:val="304"/>
    <w:autoRedefine/>
    <w:qFormat/>
    <w:uiPriority w:val="0"/>
    <w:rPr>
      <w:b/>
      <w:bCs/>
      <w:sz w:val="32"/>
      <w:szCs w:val="32"/>
    </w:rPr>
  </w:style>
  <w:style w:type="paragraph" w:customStyle="1" w:styleId="304">
    <w:name w:val="A3"/>
    <w:basedOn w:val="5"/>
    <w:link w:val="303"/>
    <w:autoRedefine/>
    <w:qFormat/>
    <w:uiPriority w:val="0"/>
    <w:pPr>
      <w:spacing w:before="0" w:after="0" w:line="415" w:lineRule="auto"/>
      <w:ind w:left="720" w:hanging="720"/>
      <w:jc w:val="left"/>
    </w:pPr>
    <w:rPr>
      <w:kern w:val="0"/>
    </w:rPr>
  </w:style>
  <w:style w:type="character" w:customStyle="1" w:styleId="305">
    <w:name w:val="批注框文本 字符"/>
    <w:autoRedefine/>
    <w:semiHidden/>
    <w:qFormat/>
    <w:uiPriority w:val="0"/>
    <w:rPr>
      <w:sz w:val="18"/>
      <w:szCs w:val="18"/>
    </w:rPr>
  </w:style>
  <w:style w:type="character" w:customStyle="1" w:styleId="306">
    <w:name w:val="正文文本缩进 2 Char"/>
    <w:link w:val="38"/>
    <w:autoRedefine/>
    <w:qFormat/>
    <w:uiPriority w:val="0"/>
    <w:rPr>
      <w:kern w:val="2"/>
      <w:sz w:val="24"/>
      <w:szCs w:val="24"/>
    </w:rPr>
  </w:style>
  <w:style w:type="character" w:customStyle="1" w:styleId="307">
    <w:name w:val="Table Text Char"/>
    <w:link w:val="308"/>
    <w:autoRedefine/>
    <w:qFormat/>
    <w:uiPriority w:val="0"/>
    <w:rPr>
      <w:rFonts w:eastAsia="仿宋_GB2312"/>
      <w:sz w:val="24"/>
    </w:rPr>
  </w:style>
  <w:style w:type="paragraph" w:customStyle="1" w:styleId="308">
    <w:name w:val="Table Text"/>
    <w:basedOn w:val="1"/>
    <w:link w:val="307"/>
    <w:autoRedefine/>
    <w:qFormat/>
    <w:uiPriority w:val="0"/>
    <w:pPr>
      <w:widowControl/>
      <w:autoSpaceDE w:val="0"/>
      <w:autoSpaceDN w:val="0"/>
      <w:adjustRightInd w:val="0"/>
      <w:spacing w:before="60" w:after="60"/>
      <w:jc w:val="left"/>
    </w:pPr>
    <w:rPr>
      <w:rFonts w:eastAsia="仿宋_GB2312"/>
      <w:kern w:val="0"/>
      <w:sz w:val="24"/>
      <w:szCs w:val="20"/>
    </w:rPr>
  </w:style>
  <w:style w:type="character" w:customStyle="1" w:styleId="309">
    <w:name w:val="!我的正文 Ctr+Q Char Char"/>
    <w:autoRedefine/>
    <w:qFormat/>
    <w:uiPriority w:val="0"/>
    <w:rPr>
      <w:rFonts w:ascii="Arial" w:hAnsi="Arial"/>
      <w:kern w:val="2"/>
      <w:sz w:val="24"/>
      <w:szCs w:val="21"/>
      <w:lang w:bidi="ar-SA"/>
    </w:rPr>
  </w:style>
  <w:style w:type="character" w:customStyle="1" w:styleId="310">
    <w:name w:val="BZ_四级标题 Char"/>
    <w:link w:val="162"/>
    <w:autoRedefine/>
    <w:qFormat/>
    <w:uiPriority w:val="0"/>
    <w:rPr>
      <w:rFonts w:eastAsia="黑体"/>
      <w:bCs/>
      <w:kern w:val="2"/>
      <w:sz w:val="24"/>
      <w:szCs w:val="28"/>
    </w:rPr>
  </w:style>
  <w:style w:type="character" w:customStyle="1" w:styleId="311">
    <w:name w:val="Char Char17"/>
    <w:autoRedefine/>
    <w:qFormat/>
    <w:uiPriority w:val="0"/>
    <w:rPr>
      <w:rFonts w:ascii="Tahoma" w:hAnsi="Tahoma" w:eastAsia="Helvetica"/>
      <w:sz w:val="21"/>
      <w:lang w:val="en-US" w:eastAsia="zh-CN" w:bidi="ar-SA"/>
    </w:rPr>
  </w:style>
  <w:style w:type="character" w:customStyle="1" w:styleId="312">
    <w:name w:val="heading 2 Char2"/>
    <w:autoRedefine/>
    <w:qFormat/>
    <w:uiPriority w:val="0"/>
    <w:rPr>
      <w:rFonts w:ascii="Verdana" w:hAnsi="Verdana"/>
      <w:b/>
      <w:bCs/>
      <w:kern w:val="2"/>
      <w:sz w:val="32"/>
      <w:szCs w:val="32"/>
    </w:rPr>
  </w:style>
  <w:style w:type="character" w:customStyle="1" w:styleId="313">
    <w:name w:val="正文缩进字符"/>
    <w:link w:val="314"/>
    <w:autoRedefine/>
    <w:qFormat/>
    <w:uiPriority w:val="0"/>
    <w:rPr>
      <w:rFonts w:ascii="宋体"/>
      <w:sz w:val="24"/>
    </w:rPr>
  </w:style>
  <w:style w:type="paragraph" w:customStyle="1" w:styleId="314">
    <w:name w:val="正文缩进2"/>
    <w:basedOn w:val="1"/>
    <w:link w:val="313"/>
    <w:autoRedefine/>
    <w:qFormat/>
    <w:uiPriority w:val="0"/>
    <w:pPr>
      <w:autoSpaceDE w:val="0"/>
      <w:autoSpaceDN w:val="0"/>
      <w:adjustRightInd w:val="0"/>
      <w:spacing w:line="360" w:lineRule="auto"/>
      <w:ind w:firstLine="420" w:firstLineChars="200"/>
      <w:jc w:val="left"/>
    </w:pPr>
    <w:rPr>
      <w:rFonts w:ascii="宋体"/>
      <w:kern w:val="0"/>
      <w:sz w:val="24"/>
      <w:szCs w:val="20"/>
    </w:rPr>
  </w:style>
  <w:style w:type="character" w:customStyle="1" w:styleId="315">
    <w:name w:val="1Text Char"/>
    <w:link w:val="316"/>
    <w:autoRedefine/>
    <w:qFormat/>
    <w:uiPriority w:val="0"/>
    <w:rPr>
      <w:rFonts w:ascii="Calibri" w:hAnsi="Calibri"/>
      <w:sz w:val="24"/>
      <w:szCs w:val="24"/>
    </w:rPr>
  </w:style>
  <w:style w:type="paragraph" w:customStyle="1" w:styleId="316">
    <w:name w:val="1Text"/>
    <w:basedOn w:val="1"/>
    <w:link w:val="315"/>
    <w:autoRedefine/>
    <w:qFormat/>
    <w:uiPriority w:val="0"/>
    <w:pPr>
      <w:spacing w:beforeLines="50" w:afterLines="50" w:line="360" w:lineRule="auto"/>
      <w:ind w:firstLine="480" w:firstLineChars="200"/>
      <w:jc w:val="left"/>
    </w:pPr>
    <w:rPr>
      <w:rFonts w:ascii="Calibri" w:hAnsi="Calibri"/>
      <w:kern w:val="0"/>
      <w:sz w:val="24"/>
    </w:rPr>
  </w:style>
  <w:style w:type="character" w:customStyle="1" w:styleId="317">
    <w:name w:val="文档结构图 字符"/>
    <w:autoRedefine/>
    <w:semiHidden/>
    <w:qFormat/>
    <w:uiPriority w:val="99"/>
    <w:rPr>
      <w:rFonts w:ascii="宋体"/>
      <w:sz w:val="18"/>
      <w:szCs w:val="18"/>
    </w:rPr>
  </w:style>
  <w:style w:type="character" w:customStyle="1" w:styleId="318">
    <w:name w:val="heading 8 Char1"/>
    <w:autoRedefine/>
    <w:qFormat/>
    <w:uiPriority w:val="0"/>
    <w:rPr>
      <w:rFonts w:ascii="Tahoma" w:hAnsi="Tahoma" w:eastAsia="Helvetica"/>
      <w:sz w:val="24"/>
      <w:lang w:val="en-US" w:eastAsia="zh-CN" w:bidi="ar-SA"/>
    </w:rPr>
  </w:style>
  <w:style w:type="character" w:customStyle="1" w:styleId="319">
    <w:name w:val="Char Char171"/>
    <w:autoRedefine/>
    <w:qFormat/>
    <w:uiPriority w:val="0"/>
    <w:rPr>
      <w:rFonts w:ascii="Verdana" w:hAnsi="Verdana"/>
      <w:b/>
      <w:bCs/>
      <w:kern w:val="2"/>
      <w:sz w:val="28"/>
      <w:szCs w:val="28"/>
    </w:rPr>
  </w:style>
  <w:style w:type="character" w:customStyle="1" w:styleId="320">
    <w:name w:val="副标题 Char"/>
    <w:autoRedefine/>
    <w:qFormat/>
    <w:uiPriority w:val="0"/>
    <w:rPr>
      <w:rFonts w:ascii="Verdana" w:hAnsi="Verdana" w:eastAsia="仿宋_GB2312"/>
      <w:b/>
      <w:bCs/>
      <w:kern w:val="28"/>
      <w:sz w:val="32"/>
      <w:szCs w:val="32"/>
    </w:rPr>
  </w:style>
  <w:style w:type="character" w:customStyle="1" w:styleId="321">
    <w:name w:val="内容文本 Char"/>
    <w:link w:val="322"/>
    <w:autoRedefine/>
    <w:qFormat/>
    <w:uiPriority w:val="0"/>
    <w:rPr>
      <w:rFonts w:ascii="宋体" w:hAnsi="宋体"/>
      <w:sz w:val="24"/>
      <w:szCs w:val="24"/>
      <w:lang w:eastAsia="en-US" w:bidi="en-US"/>
    </w:rPr>
  </w:style>
  <w:style w:type="paragraph" w:customStyle="1" w:styleId="322">
    <w:name w:val="内容文本"/>
    <w:basedOn w:val="302"/>
    <w:link w:val="321"/>
    <w:autoRedefine/>
    <w:qFormat/>
    <w:uiPriority w:val="0"/>
    <w:pPr>
      <w:spacing w:line="360" w:lineRule="auto"/>
      <w:ind w:firstLine="200"/>
      <w:contextualSpacing/>
      <w:jc w:val="left"/>
    </w:pPr>
    <w:rPr>
      <w:rFonts w:ascii="宋体" w:hAnsi="宋体"/>
      <w:kern w:val="0"/>
      <w:sz w:val="24"/>
      <w:szCs w:val="24"/>
      <w:lang w:eastAsia="en-US" w:bidi="en-US"/>
    </w:rPr>
  </w:style>
  <w:style w:type="character" w:customStyle="1" w:styleId="323">
    <w:name w:val="明显引用 Char"/>
    <w:autoRedefine/>
    <w:qFormat/>
    <w:uiPriority w:val="0"/>
    <w:rPr>
      <w:rFonts w:ascii="Century Gothic" w:hAnsi="Century Gothic" w:eastAsia="仿宋_GB2312"/>
      <w:b/>
      <w:bCs/>
      <w:i/>
      <w:iCs/>
      <w:color w:val="4F81BD"/>
    </w:rPr>
  </w:style>
  <w:style w:type="paragraph" w:styleId="324">
    <w:name w:val="Intense Quote"/>
    <w:basedOn w:val="1"/>
    <w:next w:val="1"/>
    <w:link w:val="595"/>
    <w:autoRedefine/>
    <w:qFormat/>
    <w:uiPriority w:val="0"/>
    <w:pPr>
      <w:pBdr>
        <w:bottom w:val="single" w:color="4F81BD" w:sz="4" w:space="4"/>
      </w:pBdr>
      <w:spacing w:before="200" w:after="280"/>
      <w:ind w:left="936" w:right="936"/>
    </w:pPr>
    <w:rPr>
      <w:rFonts w:ascii="Century Gothic" w:hAnsi="Century Gothic" w:eastAsia="仿宋_GB2312"/>
      <w:b/>
      <w:bCs/>
      <w:i/>
      <w:iCs/>
      <w:color w:val="4F81BD"/>
      <w:kern w:val="0"/>
      <w:sz w:val="20"/>
      <w:szCs w:val="20"/>
    </w:rPr>
  </w:style>
  <w:style w:type="character" w:customStyle="1" w:styleId="325">
    <w:name w:val="Style5"/>
    <w:autoRedefine/>
    <w:qFormat/>
    <w:uiPriority w:val="0"/>
    <w:rPr>
      <w:rFonts w:ascii="Century Gothic" w:hAnsi="仿宋_GB2312" w:eastAsia="仿宋_GB2312" w:cs="新宋体"/>
      <w:sz w:val="22"/>
      <w:szCs w:val="22"/>
      <w:lang w:eastAsia="zh-CN"/>
    </w:rPr>
  </w:style>
  <w:style w:type="character" w:customStyle="1" w:styleId="326">
    <w:name w:val="HTML 预设格式 Char"/>
    <w:autoRedefine/>
    <w:qFormat/>
    <w:uiPriority w:val="0"/>
    <w:rPr>
      <w:rFonts w:ascii="黑体" w:hAnsi="Courier New" w:eastAsia="黑体"/>
    </w:rPr>
  </w:style>
  <w:style w:type="character" w:customStyle="1" w:styleId="327">
    <w:name w:val="BZ_图 Char"/>
    <w:link w:val="328"/>
    <w:autoRedefine/>
    <w:qFormat/>
    <w:uiPriority w:val="0"/>
    <w:rPr>
      <w:kern w:val="2"/>
      <w:sz w:val="21"/>
      <w:szCs w:val="24"/>
    </w:rPr>
  </w:style>
  <w:style w:type="paragraph" w:customStyle="1" w:styleId="328">
    <w:name w:val="BZ_图"/>
    <w:basedOn w:val="1"/>
    <w:next w:val="1"/>
    <w:link w:val="327"/>
    <w:autoRedefine/>
    <w:qFormat/>
    <w:uiPriority w:val="0"/>
    <w:pPr>
      <w:keepNext/>
      <w:widowControl/>
      <w:spacing w:beforeLines="50" w:afterLines="50"/>
      <w:jc w:val="center"/>
    </w:pPr>
  </w:style>
  <w:style w:type="character" w:customStyle="1" w:styleId="329">
    <w:name w:val="Char Char Char Char Char Char Char Char Char Char Char Char Char Char Char"/>
    <w:autoRedefine/>
    <w:qFormat/>
    <w:uiPriority w:val="0"/>
    <w:rPr>
      <w:rFonts w:ascii="仿宋_GB2312" w:hAnsi="Wingdings" w:eastAsia="仿宋_GB2312"/>
      <w:sz w:val="21"/>
      <w:szCs w:val="21"/>
      <w:lang w:val="en-US" w:eastAsia="zh-CN" w:bidi="ar-SA"/>
    </w:rPr>
  </w:style>
  <w:style w:type="character" w:customStyle="1" w:styleId="330">
    <w:name w:val="标题 3 字符"/>
    <w:autoRedefine/>
    <w:qFormat/>
    <w:uiPriority w:val="0"/>
    <w:rPr>
      <w:rFonts w:eastAsia="黑体"/>
      <w:b/>
      <w:sz w:val="28"/>
    </w:rPr>
  </w:style>
  <w:style w:type="character" w:customStyle="1" w:styleId="331">
    <w:name w:val="dandyren_title1"/>
    <w:autoRedefine/>
    <w:qFormat/>
    <w:uiPriority w:val="0"/>
    <w:rPr>
      <w:b/>
      <w:bCs/>
      <w:color w:val="FF6633"/>
      <w:sz w:val="18"/>
      <w:szCs w:val="18"/>
    </w:rPr>
  </w:style>
  <w:style w:type="character" w:customStyle="1" w:styleId="332">
    <w:name w:val="样式 正文缩进首行缩进两字正文（首行缩进两字） Char正文（首行缩进两字） Char Char Char正文（首行缩进... Char"/>
    <w:link w:val="333"/>
    <w:autoRedefine/>
    <w:qFormat/>
    <w:uiPriority w:val="0"/>
    <w:rPr>
      <w:rFonts w:cs="宋体"/>
      <w:szCs w:val="28"/>
    </w:rPr>
  </w:style>
  <w:style w:type="paragraph" w:customStyle="1" w:styleId="333">
    <w:name w:val="样式 正文缩进首行缩进两字正文（首行缩进两字） Char正文（首行缩进两字） Char Char Char正文（首行缩进..."/>
    <w:basedOn w:val="16"/>
    <w:link w:val="332"/>
    <w:autoRedefine/>
    <w:qFormat/>
    <w:uiPriority w:val="0"/>
    <w:pPr>
      <w:autoSpaceDE w:val="0"/>
      <w:autoSpaceDN w:val="0"/>
      <w:spacing w:line="240" w:lineRule="auto"/>
      <w:ind w:firstLine="567"/>
    </w:pPr>
    <w:rPr>
      <w:rFonts w:cs="宋体"/>
      <w:sz w:val="20"/>
      <w:szCs w:val="28"/>
    </w:rPr>
  </w:style>
  <w:style w:type="character" w:customStyle="1" w:styleId="334">
    <w:name w:val="1Text Char Char"/>
    <w:autoRedefine/>
    <w:qFormat/>
    <w:uiPriority w:val="0"/>
    <w:rPr>
      <w:rFonts w:ascii="Calibri" w:hAnsi="Calibri" w:eastAsia="宋体"/>
      <w:sz w:val="24"/>
      <w:szCs w:val="24"/>
      <w:lang w:bidi="ar-SA"/>
    </w:rPr>
  </w:style>
  <w:style w:type="character" w:customStyle="1" w:styleId="335">
    <w:name w:val="Char Char211"/>
    <w:autoRedefine/>
    <w:qFormat/>
    <w:uiPriority w:val="0"/>
    <w:rPr>
      <w:rFonts w:ascii="新宋体" w:hAnsi="新宋体" w:eastAsia="仿宋_GB2312" w:cs="新宋体"/>
      <w:b/>
      <w:bCs/>
      <w:kern w:val="44"/>
      <w:sz w:val="44"/>
      <w:szCs w:val="44"/>
    </w:rPr>
  </w:style>
  <w:style w:type="character" w:customStyle="1" w:styleId="336">
    <w:name w:val="强调划线"/>
    <w:autoRedefine/>
    <w:qFormat/>
    <w:uiPriority w:val="0"/>
    <w:rPr>
      <w:u w:val="single"/>
    </w:rPr>
  </w:style>
  <w:style w:type="character" w:customStyle="1" w:styleId="337">
    <w:name w:val="backtitle1"/>
    <w:autoRedefine/>
    <w:qFormat/>
    <w:uiPriority w:val="0"/>
    <w:rPr>
      <w:rFonts w:eastAsia="宋体"/>
      <w:b/>
      <w:bCs/>
      <w:color w:val="000000"/>
      <w:kern w:val="2"/>
      <w:sz w:val="18"/>
      <w:szCs w:val="18"/>
      <w:lang w:val="en-US" w:eastAsia="zh-CN" w:bidi="ar-SA"/>
    </w:rPr>
  </w:style>
  <w:style w:type="character" w:customStyle="1" w:styleId="338">
    <w:name w:val="哈哈正文 Char Char"/>
    <w:autoRedefine/>
    <w:qFormat/>
    <w:uiPriority w:val="0"/>
    <w:rPr>
      <w:rFonts w:ascii="宋体" w:hAnsi="宋体"/>
      <w:kern w:val="2"/>
      <w:sz w:val="24"/>
      <w:lang w:bidi="ar-SA"/>
    </w:rPr>
  </w:style>
  <w:style w:type="character" w:customStyle="1" w:styleId="339">
    <w:name w:val="正文首行缩进 2 Char"/>
    <w:autoRedefine/>
    <w:qFormat/>
    <w:uiPriority w:val="0"/>
    <w:rPr>
      <w:kern w:val="2"/>
      <w:sz w:val="21"/>
      <w:szCs w:val="24"/>
    </w:rPr>
  </w:style>
  <w:style w:type="character" w:customStyle="1" w:styleId="340">
    <w:name w:val="注释题目"/>
    <w:autoRedefine/>
    <w:qFormat/>
    <w:uiPriority w:val="0"/>
    <w:rPr>
      <w:rFonts w:eastAsia="黑体"/>
      <w:sz w:val="28"/>
      <w:u w:val="none"/>
    </w:rPr>
  </w:style>
  <w:style w:type="character" w:customStyle="1" w:styleId="341">
    <w:name w:val="三级标题 Char"/>
    <w:link w:val="342"/>
    <w:autoRedefine/>
    <w:qFormat/>
    <w:uiPriority w:val="0"/>
    <w:rPr>
      <w:rFonts w:eastAsia="黑体"/>
      <w:b/>
      <w:kern w:val="2"/>
      <w:sz w:val="28"/>
      <w:szCs w:val="22"/>
    </w:rPr>
  </w:style>
  <w:style w:type="paragraph" w:customStyle="1" w:styleId="342">
    <w:name w:val="三级标题"/>
    <w:basedOn w:val="1"/>
    <w:link w:val="341"/>
    <w:autoRedefine/>
    <w:qFormat/>
    <w:uiPriority w:val="0"/>
    <w:pPr>
      <w:tabs>
        <w:tab w:val="left" w:pos="420"/>
      </w:tabs>
      <w:spacing w:line="360" w:lineRule="auto"/>
      <w:ind w:left="420" w:firstLine="200" w:firstLineChars="200"/>
      <w:outlineLvl w:val="2"/>
    </w:pPr>
    <w:rPr>
      <w:rFonts w:eastAsia="黑体"/>
      <w:b/>
      <w:sz w:val="28"/>
      <w:szCs w:val="22"/>
    </w:rPr>
  </w:style>
  <w:style w:type="character" w:customStyle="1" w:styleId="343">
    <w:name w:val="样式 宋体"/>
    <w:autoRedefine/>
    <w:qFormat/>
    <w:uiPriority w:val="0"/>
    <w:rPr>
      <w:rFonts w:ascii="仿宋_GB2312" w:hAnsi="仿宋_GB2312" w:eastAsia="仿宋_GB2312"/>
      <w:sz w:val="24"/>
      <w:szCs w:val="24"/>
    </w:rPr>
  </w:style>
  <w:style w:type="character" w:customStyle="1" w:styleId="344">
    <w:name w:val="heading 1 Char"/>
    <w:autoRedefine/>
    <w:qFormat/>
    <w:uiPriority w:val="0"/>
    <w:rPr>
      <w:rFonts w:ascii="Tahoma" w:hAnsi="Tahoma" w:eastAsia="Helvetica"/>
      <w:b/>
      <w:sz w:val="36"/>
      <w:szCs w:val="36"/>
    </w:rPr>
  </w:style>
  <w:style w:type="character" w:customStyle="1" w:styleId="345">
    <w:name w:val="栏目标题 Char Char"/>
    <w:link w:val="346"/>
    <w:autoRedefine/>
    <w:qFormat/>
    <w:uiPriority w:val="0"/>
    <w:rPr>
      <w:rFonts w:ascii="黑体" w:hAnsi="黑体" w:eastAsia="黑体"/>
      <w:b/>
      <w:kern w:val="2"/>
      <w:sz w:val="21"/>
      <w:szCs w:val="24"/>
    </w:rPr>
  </w:style>
  <w:style w:type="paragraph" w:customStyle="1" w:styleId="346">
    <w:name w:val="栏目标题"/>
    <w:basedOn w:val="1"/>
    <w:link w:val="345"/>
    <w:autoRedefine/>
    <w:qFormat/>
    <w:uiPriority w:val="0"/>
    <w:pPr>
      <w:jc w:val="center"/>
    </w:pPr>
    <w:rPr>
      <w:rFonts w:ascii="黑体" w:hAnsi="黑体" w:eastAsia="黑体"/>
      <w:b/>
    </w:rPr>
  </w:style>
  <w:style w:type="character" w:customStyle="1" w:styleId="347">
    <w:name w:val="纯文本 字符"/>
    <w:autoRedefine/>
    <w:qFormat/>
    <w:uiPriority w:val="0"/>
    <w:rPr>
      <w:rFonts w:ascii="宋体" w:hAnsi="Courier New"/>
      <w:kern w:val="2"/>
      <w:sz w:val="21"/>
    </w:rPr>
  </w:style>
  <w:style w:type="character" w:customStyle="1" w:styleId="348">
    <w:name w:val="!我的正文 Ctr+Q Char"/>
    <w:link w:val="349"/>
    <w:autoRedefine/>
    <w:qFormat/>
    <w:uiPriority w:val="0"/>
    <w:rPr>
      <w:rFonts w:ascii="Arial" w:hAnsi="Arial"/>
      <w:kern w:val="2"/>
      <w:sz w:val="24"/>
      <w:szCs w:val="21"/>
    </w:rPr>
  </w:style>
  <w:style w:type="paragraph" w:customStyle="1" w:styleId="349">
    <w:name w:val="!我的正文 Ctr+Q"/>
    <w:basedOn w:val="1"/>
    <w:link w:val="348"/>
    <w:autoRedefine/>
    <w:qFormat/>
    <w:uiPriority w:val="0"/>
    <w:pPr>
      <w:adjustRightInd w:val="0"/>
      <w:snapToGrid w:val="0"/>
      <w:spacing w:beforeLines="50" w:afterLines="50" w:line="360" w:lineRule="auto"/>
      <w:ind w:firstLine="480" w:firstLineChars="200"/>
      <w:jc w:val="left"/>
    </w:pPr>
    <w:rPr>
      <w:rFonts w:ascii="Arial" w:hAnsi="Arial"/>
      <w:sz w:val="24"/>
      <w:szCs w:val="21"/>
    </w:rPr>
  </w:style>
  <w:style w:type="character" w:customStyle="1" w:styleId="350">
    <w:name w:val="标题 9 字符"/>
    <w:autoRedefine/>
    <w:qFormat/>
    <w:uiPriority w:val="0"/>
    <w:rPr>
      <w:rFonts w:ascii="Arial" w:hAnsi="Arial" w:eastAsia="黑体"/>
      <w:kern w:val="2"/>
      <w:sz w:val="21"/>
      <w:vertAlign w:val="superscript"/>
    </w:rPr>
  </w:style>
  <w:style w:type="character" w:customStyle="1" w:styleId="351">
    <w:name w:val="Char Char12"/>
    <w:autoRedefine/>
    <w:qFormat/>
    <w:uiPriority w:val="0"/>
    <w:rPr>
      <w:rFonts w:ascii="仿宋_GB2312" w:hAnsi="Wingdings" w:eastAsia="仿宋_GB2312"/>
      <w:sz w:val="21"/>
      <w:szCs w:val="21"/>
      <w:lang w:val="en-US" w:eastAsia="zh-CN" w:bidi="ar-SA"/>
    </w:rPr>
  </w:style>
  <w:style w:type="character" w:customStyle="1" w:styleId="352">
    <w:name w:val="Char Char221"/>
    <w:autoRedefine/>
    <w:qFormat/>
    <w:uiPriority w:val="0"/>
    <w:rPr>
      <w:rFonts w:ascii="Verdana" w:hAnsi="Verdana" w:eastAsia="仿宋_GB2312"/>
      <w:b/>
      <w:bCs/>
      <w:kern w:val="2"/>
      <w:sz w:val="28"/>
      <w:szCs w:val="28"/>
      <w:lang w:val="en-US" w:eastAsia="zh-CN" w:bidi="ar-SA"/>
    </w:rPr>
  </w:style>
  <w:style w:type="character" w:customStyle="1" w:styleId="353">
    <w:name w:val="Footer-Even Char1"/>
    <w:autoRedefine/>
    <w:qFormat/>
    <w:uiPriority w:val="0"/>
    <w:rPr>
      <w:rFonts w:eastAsia="仿宋_GB2312"/>
      <w:kern w:val="2"/>
      <w:sz w:val="18"/>
      <w:szCs w:val="18"/>
      <w:lang w:val="en-US" w:eastAsia="zh-CN" w:bidi="ar-SA"/>
    </w:rPr>
  </w:style>
  <w:style w:type="character" w:customStyle="1" w:styleId="354">
    <w:name w:val="xl77 Char"/>
    <w:link w:val="355"/>
    <w:autoRedefine/>
    <w:qFormat/>
    <w:uiPriority w:val="0"/>
    <w:rPr>
      <w:b/>
      <w:bCs/>
      <w:sz w:val="28"/>
      <w:szCs w:val="28"/>
    </w:rPr>
  </w:style>
  <w:style w:type="paragraph" w:customStyle="1" w:styleId="355">
    <w:name w:val="xl77"/>
    <w:basedOn w:val="1"/>
    <w:link w:val="354"/>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b/>
      <w:bCs/>
      <w:kern w:val="0"/>
      <w:sz w:val="28"/>
      <w:szCs w:val="28"/>
    </w:rPr>
  </w:style>
  <w:style w:type="character" w:customStyle="1" w:styleId="356">
    <w:name w:val="正文文本缩进 3 字符"/>
    <w:autoRedefine/>
    <w:qFormat/>
    <w:uiPriority w:val="0"/>
    <w:rPr>
      <w:kern w:val="2"/>
      <w:sz w:val="16"/>
      <w:szCs w:val="16"/>
    </w:rPr>
  </w:style>
  <w:style w:type="character" w:customStyle="1" w:styleId="357">
    <w:name w:val="Subtle Emphasis1"/>
    <w:autoRedefine/>
    <w:qFormat/>
    <w:uiPriority w:val="0"/>
    <w:rPr>
      <w:i/>
      <w:iCs/>
      <w:color w:val="808080"/>
    </w:rPr>
  </w:style>
  <w:style w:type="character" w:customStyle="1" w:styleId="358">
    <w:name w:val="Book Title1"/>
    <w:autoRedefine/>
    <w:qFormat/>
    <w:uiPriority w:val="0"/>
    <w:rPr>
      <w:b/>
      <w:bCs/>
      <w:smallCaps/>
      <w:spacing w:val="5"/>
    </w:rPr>
  </w:style>
  <w:style w:type="character" w:customStyle="1" w:styleId="359">
    <w:name w:val="目录标题 Char Char"/>
    <w:link w:val="360"/>
    <w:autoRedefine/>
    <w:qFormat/>
    <w:uiPriority w:val="0"/>
    <w:rPr>
      <w:rFonts w:eastAsia="黑体"/>
      <w:b/>
      <w:bCs/>
      <w:kern w:val="2"/>
      <w:sz w:val="44"/>
      <w:szCs w:val="44"/>
    </w:rPr>
  </w:style>
  <w:style w:type="paragraph" w:customStyle="1" w:styleId="360">
    <w:name w:val="目录标题"/>
    <w:basedOn w:val="1"/>
    <w:link w:val="359"/>
    <w:autoRedefine/>
    <w:qFormat/>
    <w:uiPriority w:val="0"/>
    <w:pPr>
      <w:jc w:val="center"/>
    </w:pPr>
    <w:rPr>
      <w:rFonts w:eastAsia="黑体"/>
      <w:b/>
      <w:bCs/>
      <w:sz w:val="44"/>
      <w:szCs w:val="44"/>
    </w:rPr>
  </w:style>
  <w:style w:type="character" w:customStyle="1" w:styleId="361">
    <w:name w:val="4 Char"/>
    <w:link w:val="362"/>
    <w:autoRedefine/>
    <w:qFormat/>
    <w:uiPriority w:val="0"/>
    <w:rPr>
      <w:rFonts w:ascii="仿宋" w:hAnsi="仿宋" w:eastAsia="仿宋"/>
      <w:b/>
      <w:bCs/>
      <w:kern w:val="2"/>
      <w:sz w:val="24"/>
      <w:szCs w:val="24"/>
    </w:rPr>
  </w:style>
  <w:style w:type="paragraph" w:customStyle="1" w:styleId="362">
    <w:name w:val="4"/>
    <w:basedOn w:val="6"/>
    <w:link w:val="361"/>
    <w:autoRedefine/>
    <w:qFormat/>
    <w:uiPriority w:val="0"/>
    <w:pPr>
      <w:spacing w:before="0" w:after="0" w:line="360" w:lineRule="auto"/>
      <w:ind w:firstLine="200" w:firstLineChars="200"/>
    </w:pPr>
    <w:rPr>
      <w:rFonts w:ascii="仿宋" w:hAnsi="仿宋" w:eastAsia="仿宋"/>
      <w:sz w:val="24"/>
      <w:szCs w:val="24"/>
    </w:rPr>
  </w:style>
  <w:style w:type="character" w:customStyle="1" w:styleId="363">
    <w:name w:val="文本正文 Char"/>
    <w:link w:val="364"/>
    <w:autoRedefine/>
    <w:qFormat/>
    <w:uiPriority w:val="0"/>
    <w:rPr>
      <w:rFonts w:ascii="Calibri" w:hAnsi="Calibri" w:eastAsia="仿宋"/>
      <w:kern w:val="2"/>
      <w:sz w:val="24"/>
      <w:szCs w:val="22"/>
    </w:rPr>
  </w:style>
  <w:style w:type="paragraph" w:customStyle="1" w:styleId="364">
    <w:name w:val="文本正文"/>
    <w:basedOn w:val="1"/>
    <w:link w:val="363"/>
    <w:autoRedefine/>
    <w:qFormat/>
    <w:uiPriority w:val="0"/>
    <w:pPr>
      <w:spacing w:beforeLines="50" w:afterLines="50" w:line="360" w:lineRule="auto"/>
      <w:ind w:firstLine="200" w:firstLineChars="200"/>
    </w:pPr>
    <w:rPr>
      <w:rFonts w:ascii="Calibri" w:hAnsi="Calibri" w:eastAsia="仿宋"/>
      <w:sz w:val="24"/>
      <w:szCs w:val="22"/>
    </w:rPr>
  </w:style>
  <w:style w:type="character" w:customStyle="1" w:styleId="365">
    <w:name w:val="ll"/>
    <w:autoRedefine/>
    <w:qFormat/>
    <w:uiPriority w:val="0"/>
    <w:rPr>
      <w:rFonts w:eastAsia="宋体"/>
      <w:kern w:val="2"/>
      <w:sz w:val="21"/>
      <w:szCs w:val="24"/>
      <w:lang w:val="en-US" w:eastAsia="zh-CN" w:bidi="ar-SA"/>
    </w:rPr>
  </w:style>
  <w:style w:type="character" w:customStyle="1" w:styleId="366">
    <w:name w:val="五级标题 Char"/>
    <w:link w:val="367"/>
    <w:autoRedefine/>
    <w:qFormat/>
    <w:uiPriority w:val="0"/>
    <w:rPr>
      <w:rFonts w:eastAsia="黑体"/>
      <w:b/>
      <w:kern w:val="2"/>
      <w:sz w:val="28"/>
      <w:szCs w:val="22"/>
    </w:rPr>
  </w:style>
  <w:style w:type="paragraph" w:customStyle="1" w:styleId="367">
    <w:name w:val="五级标题"/>
    <w:basedOn w:val="1"/>
    <w:link w:val="366"/>
    <w:autoRedefine/>
    <w:qFormat/>
    <w:uiPriority w:val="0"/>
    <w:pPr>
      <w:spacing w:line="360" w:lineRule="auto"/>
      <w:ind w:left="420" w:firstLine="200" w:firstLineChars="200"/>
      <w:outlineLvl w:val="4"/>
    </w:pPr>
    <w:rPr>
      <w:rFonts w:eastAsia="黑体"/>
      <w:b/>
      <w:sz w:val="28"/>
      <w:szCs w:val="22"/>
    </w:rPr>
  </w:style>
  <w:style w:type="character" w:customStyle="1" w:styleId="368">
    <w:name w:val="正文首行缩进 Char1"/>
    <w:autoRedefine/>
    <w:qFormat/>
    <w:uiPriority w:val="0"/>
    <w:rPr>
      <w:rFonts w:eastAsia="仿宋_GB2312"/>
      <w:lang w:val="en-US" w:eastAsia="zh-CN" w:bidi="ar-SA"/>
    </w:rPr>
  </w:style>
  <w:style w:type="character" w:customStyle="1" w:styleId="369">
    <w:name w:val="Char Char212"/>
    <w:autoRedefine/>
    <w:qFormat/>
    <w:uiPriority w:val="0"/>
    <w:rPr>
      <w:rFonts w:eastAsia="仿宋_GB2312"/>
      <w:b/>
      <w:bCs/>
      <w:kern w:val="2"/>
      <w:sz w:val="28"/>
      <w:szCs w:val="28"/>
      <w:lang w:val="en-US" w:eastAsia="zh-CN" w:bidi="ar-SA"/>
    </w:rPr>
  </w:style>
  <w:style w:type="character" w:customStyle="1" w:styleId="370">
    <w:name w:val="PI Char"/>
    <w:autoRedefine/>
    <w:qFormat/>
    <w:uiPriority w:val="0"/>
    <w:rPr>
      <w:rFonts w:ascii="仿宋_GB2312" w:hAnsi="仿宋_GB2312"/>
      <w:sz w:val="24"/>
    </w:rPr>
  </w:style>
  <w:style w:type="character" w:customStyle="1" w:styleId="371">
    <w:name w:val="表正文 Char2"/>
    <w:autoRedefine/>
    <w:qFormat/>
    <w:uiPriority w:val="0"/>
    <w:rPr>
      <w:rFonts w:ascii="新宋体" w:hAnsi="新宋体" w:eastAsia="仿宋_GB2312" w:cs="新宋体"/>
      <w:szCs w:val="24"/>
    </w:rPr>
  </w:style>
  <w:style w:type="character" w:customStyle="1" w:styleId="372">
    <w:name w:val="页眉 Char"/>
    <w:link w:val="43"/>
    <w:autoRedefine/>
    <w:qFormat/>
    <w:uiPriority w:val="99"/>
    <w:rPr>
      <w:kern w:val="2"/>
      <w:sz w:val="18"/>
      <w:szCs w:val="18"/>
    </w:rPr>
  </w:style>
  <w:style w:type="character" w:customStyle="1" w:styleId="373">
    <w:name w:val="大标题 Char"/>
    <w:autoRedefine/>
    <w:qFormat/>
    <w:uiPriority w:val="0"/>
    <w:rPr>
      <w:rFonts w:ascii="黑体" w:hAnsi="黑体" w:eastAsia="黑体"/>
      <w:b/>
      <w:bCs/>
      <w:kern w:val="2"/>
      <w:sz w:val="72"/>
      <w:szCs w:val="72"/>
    </w:rPr>
  </w:style>
  <w:style w:type="character" w:customStyle="1" w:styleId="374">
    <w:name w:val="Char Char Char1"/>
    <w:autoRedefine/>
    <w:qFormat/>
    <w:uiPriority w:val="0"/>
    <w:rPr>
      <w:rFonts w:ascii="仿宋_GB2312" w:hAnsi="Wingdings"/>
      <w:sz w:val="21"/>
      <w:szCs w:val="21"/>
    </w:rPr>
  </w:style>
  <w:style w:type="character" w:customStyle="1" w:styleId="375">
    <w:name w:val="Char Char15"/>
    <w:autoRedefine/>
    <w:qFormat/>
    <w:uiPriority w:val="0"/>
    <w:rPr>
      <w:rFonts w:ascii="Tahoma" w:hAnsi="Tahoma" w:eastAsia="Helvetica"/>
      <w:sz w:val="24"/>
      <w:szCs w:val="24"/>
    </w:rPr>
  </w:style>
  <w:style w:type="character" w:customStyle="1" w:styleId="376">
    <w:name w:val="表格标题 Char Char"/>
    <w:link w:val="377"/>
    <w:autoRedefine/>
    <w:qFormat/>
    <w:uiPriority w:val="0"/>
    <w:rPr>
      <w:rFonts w:ascii="黑体" w:hAnsi="黑体" w:eastAsia="黑体"/>
      <w:b/>
      <w:color w:val="FFFFFF"/>
      <w:kern w:val="2"/>
      <w:sz w:val="21"/>
      <w:szCs w:val="24"/>
    </w:rPr>
  </w:style>
  <w:style w:type="paragraph" w:customStyle="1" w:styleId="377">
    <w:name w:val="表格标题"/>
    <w:basedOn w:val="1"/>
    <w:link w:val="376"/>
    <w:autoRedefine/>
    <w:qFormat/>
    <w:uiPriority w:val="0"/>
    <w:rPr>
      <w:rFonts w:ascii="黑体" w:hAnsi="黑体" w:eastAsia="黑体"/>
      <w:b/>
      <w:color w:val="FFFFFF"/>
    </w:rPr>
  </w:style>
  <w:style w:type="character" w:customStyle="1" w:styleId="378">
    <w:name w:val="Intense Reference1"/>
    <w:autoRedefine/>
    <w:qFormat/>
    <w:uiPriority w:val="32"/>
    <w:rPr>
      <w:b/>
      <w:bCs/>
      <w:smallCaps/>
      <w:color w:val="C0504D"/>
      <w:spacing w:val="5"/>
      <w:u w:val="single"/>
    </w:rPr>
  </w:style>
  <w:style w:type="character" w:customStyle="1" w:styleId="379">
    <w:name w:val="gray6"/>
    <w:basedOn w:val="66"/>
    <w:autoRedefine/>
    <w:qFormat/>
    <w:uiPriority w:val="0"/>
  </w:style>
  <w:style w:type="character" w:customStyle="1" w:styleId="380">
    <w:name w:val="Char Char202"/>
    <w:autoRedefine/>
    <w:qFormat/>
    <w:uiPriority w:val="0"/>
    <w:rPr>
      <w:b/>
      <w:bCs/>
      <w:kern w:val="44"/>
      <w:sz w:val="44"/>
      <w:szCs w:val="44"/>
    </w:rPr>
  </w:style>
  <w:style w:type="character" w:customStyle="1" w:styleId="381">
    <w:name w:val="ändrad Char"/>
    <w:autoRedefine/>
    <w:qFormat/>
    <w:uiPriority w:val="0"/>
    <w:rPr>
      <w:rFonts w:eastAsia="仿宋_GB2312"/>
      <w:kern w:val="2"/>
      <w:sz w:val="21"/>
      <w:szCs w:val="24"/>
      <w:lang w:val="en-US" w:eastAsia="zh-CN" w:bidi="ar-SA"/>
    </w:rPr>
  </w:style>
  <w:style w:type="character" w:customStyle="1" w:styleId="382">
    <w:name w:val="大标题 Char Char"/>
    <w:link w:val="383"/>
    <w:autoRedefine/>
    <w:qFormat/>
    <w:uiPriority w:val="0"/>
    <w:rPr>
      <w:rFonts w:ascii="黑体" w:hAnsi="黑体" w:eastAsia="黑体"/>
      <w:b/>
      <w:bCs/>
      <w:kern w:val="2"/>
      <w:sz w:val="72"/>
      <w:szCs w:val="72"/>
    </w:rPr>
  </w:style>
  <w:style w:type="paragraph" w:customStyle="1" w:styleId="383">
    <w:name w:val="大标题"/>
    <w:basedOn w:val="1"/>
    <w:link w:val="382"/>
    <w:autoRedefine/>
    <w:qFormat/>
    <w:uiPriority w:val="0"/>
    <w:pPr>
      <w:spacing w:line="40" w:lineRule="atLeast"/>
    </w:pPr>
    <w:rPr>
      <w:rFonts w:ascii="黑体" w:hAnsi="黑体" w:eastAsia="黑体"/>
      <w:b/>
      <w:bCs/>
      <w:sz w:val="72"/>
      <w:szCs w:val="72"/>
    </w:rPr>
  </w:style>
  <w:style w:type="character" w:customStyle="1" w:styleId="384">
    <w:name w:val="Ò³Ã¼ Char Char"/>
    <w:autoRedefine/>
    <w:qFormat/>
    <w:uiPriority w:val="0"/>
    <w:rPr>
      <w:sz w:val="18"/>
      <w:szCs w:val="18"/>
    </w:rPr>
  </w:style>
  <w:style w:type="character" w:customStyle="1" w:styleId="385">
    <w:name w:val="Char Char161"/>
    <w:autoRedefine/>
    <w:qFormat/>
    <w:uiPriority w:val="0"/>
    <w:rPr>
      <w:rFonts w:eastAsia="仿宋_GB2312"/>
      <w:sz w:val="21"/>
      <w:lang w:val="en-US" w:eastAsia="zh-CN" w:bidi="ar-SA"/>
    </w:rPr>
  </w:style>
  <w:style w:type="character" w:customStyle="1" w:styleId="386">
    <w:name w:val="style41"/>
    <w:autoRedefine/>
    <w:qFormat/>
    <w:uiPriority w:val="0"/>
    <w:rPr>
      <w:color w:val="auto"/>
    </w:rPr>
  </w:style>
  <w:style w:type="character" w:customStyle="1" w:styleId="387">
    <w:name w:val="正文4 Char Char"/>
    <w:link w:val="388"/>
    <w:autoRedefine/>
    <w:qFormat/>
    <w:uiPriority w:val="0"/>
    <w:rPr>
      <w:kern w:val="2"/>
      <w:sz w:val="24"/>
      <w:szCs w:val="24"/>
    </w:rPr>
  </w:style>
  <w:style w:type="paragraph" w:customStyle="1" w:styleId="388">
    <w:name w:val="正文4"/>
    <w:basedOn w:val="1"/>
    <w:link w:val="387"/>
    <w:autoRedefine/>
    <w:qFormat/>
    <w:uiPriority w:val="0"/>
    <w:pPr>
      <w:tabs>
        <w:tab w:val="left" w:pos="520"/>
      </w:tabs>
      <w:spacing w:before="60" w:after="60" w:line="360" w:lineRule="auto"/>
    </w:pPr>
    <w:rPr>
      <w:sz w:val="24"/>
    </w:rPr>
  </w:style>
  <w:style w:type="character" w:customStyle="1" w:styleId="389">
    <w:name w:val="Char Char201"/>
    <w:autoRedefine/>
    <w:qFormat/>
    <w:uiPriority w:val="0"/>
    <w:rPr>
      <w:rFonts w:ascii="Verdana" w:hAnsi="Verdana" w:eastAsia="仿宋_GB2312" w:cs="新宋体"/>
      <w:b/>
      <w:bCs/>
      <w:sz w:val="32"/>
      <w:szCs w:val="32"/>
    </w:rPr>
  </w:style>
  <w:style w:type="character" w:customStyle="1" w:styleId="390">
    <w:name w:val="Char Char20"/>
    <w:autoRedefine/>
    <w:qFormat/>
    <w:uiPriority w:val="0"/>
    <w:rPr>
      <w:rFonts w:ascii="Tahoma" w:hAnsi="Tahoma" w:eastAsia="Helvetica"/>
      <w:sz w:val="21"/>
      <w:szCs w:val="21"/>
      <w:lang w:val="en-US" w:eastAsia="zh-CN" w:bidi="ar-SA"/>
    </w:rPr>
  </w:style>
  <w:style w:type="character" w:customStyle="1" w:styleId="391">
    <w:name w:val="Char Char10"/>
    <w:autoRedefine/>
    <w:qFormat/>
    <w:uiPriority w:val="0"/>
    <w:rPr>
      <w:rFonts w:eastAsia="仿宋_GB2312"/>
      <w:b/>
      <w:bCs/>
      <w:kern w:val="2"/>
      <w:sz w:val="21"/>
      <w:szCs w:val="24"/>
      <w:lang w:val="en-US" w:eastAsia="zh-CN" w:bidi="ar-SA"/>
    </w:rPr>
  </w:style>
  <w:style w:type="character" w:customStyle="1" w:styleId="392">
    <w:name w:val="heading 9 Char1"/>
    <w:autoRedefine/>
    <w:qFormat/>
    <w:uiPriority w:val="0"/>
    <w:rPr>
      <w:rFonts w:ascii="Tahoma" w:hAnsi="Tahoma" w:eastAsia="Helvetica"/>
      <w:sz w:val="21"/>
      <w:lang w:val="en-US" w:eastAsia="zh-CN" w:bidi="ar-SA"/>
    </w:rPr>
  </w:style>
  <w:style w:type="character" w:customStyle="1" w:styleId="393">
    <w:name w:val="PI Char1"/>
    <w:autoRedefine/>
    <w:qFormat/>
    <w:uiPriority w:val="0"/>
    <w:rPr>
      <w:rFonts w:eastAsia="仿宋_GB2312"/>
      <w:kern w:val="2"/>
      <w:sz w:val="24"/>
      <w:szCs w:val="24"/>
      <w:lang w:val="en-US" w:eastAsia="zh-CN" w:bidi="ar-SA"/>
    </w:rPr>
  </w:style>
  <w:style w:type="character" w:customStyle="1" w:styleId="394">
    <w:name w:val="注释正文"/>
    <w:autoRedefine/>
    <w:qFormat/>
    <w:uiPriority w:val="0"/>
    <w:rPr>
      <w:rFonts w:eastAsia="宋体"/>
      <w:sz w:val="28"/>
      <w:u w:val="single"/>
    </w:rPr>
  </w:style>
  <w:style w:type="character" w:customStyle="1" w:styleId="395">
    <w:name w:val="金保标题2 Char"/>
    <w:link w:val="396"/>
    <w:autoRedefine/>
    <w:qFormat/>
    <w:uiPriority w:val="0"/>
    <w:rPr>
      <w:rFonts w:ascii="新宋体" w:hAnsi="新宋体" w:eastAsia="新宋体"/>
      <w:b/>
      <w:bCs/>
      <w:color w:val="000000"/>
      <w:kern w:val="2"/>
      <w:sz w:val="22"/>
      <w:szCs w:val="22"/>
      <w:lang w:val="zh-CN"/>
    </w:rPr>
  </w:style>
  <w:style w:type="paragraph" w:customStyle="1" w:styleId="396">
    <w:name w:val="金保标题2"/>
    <w:basedOn w:val="4"/>
    <w:next w:val="1"/>
    <w:link w:val="395"/>
    <w:autoRedefine/>
    <w:qFormat/>
    <w:uiPriority w:val="0"/>
    <w:pPr>
      <w:widowControl/>
      <w:spacing w:before="0" w:after="0" w:line="440" w:lineRule="exact"/>
      <w:ind w:right="84" w:rightChars="40"/>
      <w:jc w:val="left"/>
    </w:pPr>
    <w:rPr>
      <w:rFonts w:ascii="新宋体" w:hAnsi="新宋体" w:eastAsia="新宋体"/>
      <w:color w:val="000000"/>
      <w:sz w:val="22"/>
      <w:szCs w:val="22"/>
      <w:lang w:val="zh-CN"/>
    </w:rPr>
  </w:style>
  <w:style w:type="character" w:customStyle="1" w:styleId="397">
    <w:name w:val="样式 标题 3 + 黑体 小四 Char"/>
    <w:link w:val="398"/>
    <w:autoRedefine/>
    <w:qFormat/>
    <w:uiPriority w:val="0"/>
    <w:rPr>
      <w:rFonts w:ascii="Helvetica" w:hAnsi="Tahoma" w:eastAsia="Helvetica"/>
      <w:bCs/>
      <w:sz w:val="24"/>
      <w:szCs w:val="24"/>
    </w:rPr>
  </w:style>
  <w:style w:type="paragraph" w:customStyle="1" w:styleId="398">
    <w:name w:val="样式 标题 3 + 黑体 小四"/>
    <w:basedOn w:val="5"/>
    <w:link w:val="397"/>
    <w:autoRedefine/>
    <w:qFormat/>
    <w:uiPriority w:val="0"/>
    <w:pPr>
      <w:spacing w:before="0" w:after="0" w:line="415" w:lineRule="auto"/>
    </w:pPr>
    <w:rPr>
      <w:rFonts w:ascii="Helvetica" w:hAnsi="Tahoma" w:eastAsia="Helvetica"/>
      <w:kern w:val="0"/>
      <w:sz w:val="24"/>
      <w:szCs w:val="24"/>
    </w:rPr>
  </w:style>
  <w:style w:type="character" w:customStyle="1" w:styleId="399">
    <w:name w:val="宏文本 Char"/>
    <w:autoRedefine/>
    <w:qFormat/>
    <w:uiPriority w:val="0"/>
    <w:rPr>
      <w:rFonts w:ascii="Wingdings" w:hAnsi="Wingdings" w:eastAsia="Times New Roman"/>
      <w:kern w:val="2"/>
      <w:sz w:val="24"/>
      <w:szCs w:val="24"/>
    </w:rPr>
  </w:style>
  <w:style w:type="character" w:customStyle="1" w:styleId="400">
    <w:name w:val="Subtle Reference1"/>
    <w:autoRedefine/>
    <w:qFormat/>
    <w:uiPriority w:val="0"/>
    <w:rPr>
      <w:smallCaps/>
      <w:color w:val="C0504D"/>
      <w:u w:val="single"/>
    </w:rPr>
  </w:style>
  <w:style w:type="character" w:customStyle="1" w:styleId="401">
    <w:name w:val="Char Char191"/>
    <w:autoRedefine/>
    <w:qFormat/>
    <w:uiPriority w:val="0"/>
    <w:rPr>
      <w:rFonts w:ascii="Verdana" w:hAnsi="Verdana"/>
      <w:b/>
      <w:bCs/>
      <w:kern w:val="2"/>
      <w:sz w:val="32"/>
      <w:szCs w:val="32"/>
    </w:rPr>
  </w:style>
  <w:style w:type="character" w:customStyle="1" w:styleId="402">
    <w:name w:val="Char Char Char2"/>
    <w:autoRedefine/>
    <w:qFormat/>
    <w:uiPriority w:val="0"/>
    <w:rPr>
      <w:rFonts w:ascii="仿宋_GB2312" w:hAnsi="Wingdings" w:eastAsia="仿宋_GB2312"/>
      <w:sz w:val="21"/>
      <w:szCs w:val="21"/>
      <w:lang w:val="en-US" w:eastAsia="zh-CN" w:bidi="ar-SA"/>
    </w:rPr>
  </w:style>
  <w:style w:type="character" w:customStyle="1" w:styleId="403">
    <w:name w:val="PI Char2"/>
    <w:autoRedefine/>
    <w:qFormat/>
    <w:uiPriority w:val="0"/>
    <w:rPr>
      <w:kern w:val="2"/>
      <w:sz w:val="24"/>
      <w:szCs w:val="24"/>
    </w:rPr>
  </w:style>
  <w:style w:type="character" w:customStyle="1" w:styleId="404">
    <w:name w:val="小标题 Char Char"/>
    <w:link w:val="405"/>
    <w:autoRedefine/>
    <w:qFormat/>
    <w:uiPriority w:val="0"/>
    <w:rPr>
      <w:rFonts w:ascii="黑体" w:hAnsi="黑体" w:eastAsia="黑体"/>
      <w:b/>
      <w:bCs/>
      <w:kern w:val="2"/>
      <w:sz w:val="48"/>
      <w:szCs w:val="48"/>
    </w:rPr>
  </w:style>
  <w:style w:type="paragraph" w:customStyle="1" w:styleId="405">
    <w:name w:val="小标题"/>
    <w:basedOn w:val="1"/>
    <w:link w:val="404"/>
    <w:autoRedefine/>
    <w:qFormat/>
    <w:uiPriority w:val="0"/>
    <w:pPr>
      <w:spacing w:line="40" w:lineRule="atLeast"/>
    </w:pPr>
    <w:rPr>
      <w:rFonts w:ascii="黑体" w:hAnsi="黑体" w:eastAsia="黑体"/>
      <w:b/>
      <w:bCs/>
      <w:sz w:val="48"/>
      <w:szCs w:val="48"/>
    </w:rPr>
  </w:style>
  <w:style w:type="paragraph" w:customStyle="1" w:styleId="406">
    <w:name w:val="標題10.3-1"/>
    <w:basedOn w:val="407"/>
    <w:autoRedefine/>
    <w:qFormat/>
    <w:uiPriority w:val="0"/>
    <w:pPr>
      <w:tabs>
        <w:tab w:val="left" w:pos="5529"/>
      </w:tabs>
      <w:adjustRightInd/>
      <w:spacing w:line="240" w:lineRule="atLeast"/>
      <w:ind w:left="993" w:hanging="284"/>
      <w:textAlignment w:val="auto"/>
    </w:pPr>
    <w:rPr>
      <w:rFonts w:ascii="Times New Roman"/>
      <w:kern w:val="2"/>
      <w:sz w:val="24"/>
      <w:szCs w:val="24"/>
    </w:rPr>
  </w:style>
  <w:style w:type="paragraph" w:customStyle="1" w:styleId="407">
    <w:name w:val="標題 (1)"/>
    <w:basedOn w:val="1"/>
    <w:autoRedefine/>
    <w:qFormat/>
    <w:uiPriority w:val="0"/>
    <w:pPr>
      <w:adjustRightInd w:val="0"/>
      <w:spacing w:line="567" w:lineRule="atLeast"/>
      <w:ind w:left="1560" w:hanging="709" w:firstLineChars="200"/>
      <w:textAlignment w:val="baseline"/>
    </w:pPr>
    <w:rPr>
      <w:rFonts w:ascii="PMingLiU" w:hAnsi="等线" w:eastAsia="PMingLiU" w:cs="等线"/>
      <w:kern w:val="0"/>
      <w:sz w:val="28"/>
      <w:szCs w:val="20"/>
      <w:lang w:eastAsia="zh-TW"/>
    </w:rPr>
  </w:style>
  <w:style w:type="paragraph" w:customStyle="1" w:styleId="408">
    <w:name w:val="日期1"/>
    <w:basedOn w:val="1"/>
    <w:next w:val="1"/>
    <w:autoRedefine/>
    <w:qFormat/>
    <w:uiPriority w:val="0"/>
    <w:pPr>
      <w:tabs>
        <w:tab w:val="left" w:pos="425"/>
      </w:tabs>
      <w:autoSpaceDE w:val="0"/>
      <w:autoSpaceDN w:val="0"/>
      <w:adjustRightInd w:val="0"/>
      <w:spacing w:before="60" w:after="60" w:line="312" w:lineRule="atLeast"/>
      <w:ind w:left="420" w:firstLine="200" w:firstLineChars="200"/>
      <w:jc w:val="right"/>
      <w:textAlignment w:val="baseline"/>
    </w:pPr>
    <w:rPr>
      <w:rFonts w:ascii="等线" w:hAnsi="等线" w:eastAsia="等线" w:cs="等线"/>
      <w:kern w:val="0"/>
      <w:sz w:val="44"/>
      <w:szCs w:val="20"/>
    </w:rPr>
  </w:style>
  <w:style w:type="character" w:customStyle="1" w:styleId="409">
    <w:name w:val="称呼 Char"/>
    <w:basedOn w:val="66"/>
    <w:link w:val="22"/>
    <w:autoRedefine/>
    <w:qFormat/>
    <w:uiPriority w:val="0"/>
    <w:rPr>
      <w:rFonts w:ascii="等线" w:hAnsi="等线" w:eastAsia="等线" w:cs="等线"/>
      <w:sz w:val="24"/>
    </w:rPr>
  </w:style>
  <w:style w:type="paragraph" w:customStyle="1" w:styleId="410">
    <w:name w:val="Char11"/>
    <w:basedOn w:val="1"/>
    <w:autoRedefine/>
    <w:qFormat/>
    <w:uiPriority w:val="0"/>
    <w:pPr>
      <w:tabs>
        <w:tab w:val="left" w:pos="360"/>
      </w:tabs>
      <w:spacing w:line="360" w:lineRule="auto"/>
      <w:ind w:firstLine="200" w:firstLineChars="200"/>
    </w:pPr>
    <w:rPr>
      <w:rFonts w:ascii="等线" w:hAnsi="等线" w:eastAsia="等线" w:cs="等线"/>
      <w:sz w:val="24"/>
      <w:szCs w:val="20"/>
    </w:rPr>
  </w:style>
  <w:style w:type="paragraph" w:customStyle="1" w:styleId="411">
    <w:name w:val="kpk:1级"/>
    <w:basedOn w:val="3"/>
    <w:autoRedefine/>
    <w:qFormat/>
    <w:uiPriority w:val="0"/>
    <w:pPr>
      <w:keepLines/>
      <w:tabs>
        <w:tab w:val="left" w:pos="420"/>
        <w:tab w:val="left" w:pos="643"/>
      </w:tabs>
      <w:spacing w:beforeLines="120" w:afterLines="100"/>
      <w:ind w:firstLine="200" w:firstLineChars="200"/>
      <w:jc w:val="both"/>
    </w:pPr>
    <w:rPr>
      <w:rFonts w:ascii="黑体" w:hAnsi="等线" w:eastAsia="等线"/>
      <w:kern w:val="44"/>
      <w:sz w:val="30"/>
      <w:szCs w:val="32"/>
    </w:rPr>
  </w:style>
  <w:style w:type="paragraph" w:customStyle="1" w:styleId="412">
    <w:name w:val="前言、引言标题"/>
    <w:next w:val="1"/>
    <w:autoRedefine/>
    <w:qFormat/>
    <w:uiPriority w:val="0"/>
    <w:pPr>
      <w:shd w:val="clear" w:color="FFFFFF" w:fill="FFFFFF"/>
      <w:spacing w:before="640" w:after="560"/>
      <w:jc w:val="center"/>
      <w:outlineLvl w:val="0"/>
    </w:pPr>
    <w:rPr>
      <w:rFonts w:ascii="Helvetica" w:hAnsi="等线" w:eastAsia="Helvetica" w:cs="等线"/>
      <w:sz w:val="32"/>
      <w:lang w:val="en-US" w:eastAsia="zh-CN" w:bidi="ar-SA"/>
    </w:rPr>
  </w:style>
  <w:style w:type="paragraph" w:customStyle="1" w:styleId="413">
    <w:name w:val="Char Char Char Char Char Char Char Char Char Char"/>
    <w:basedOn w:val="1"/>
    <w:autoRedefine/>
    <w:qFormat/>
    <w:uiPriority w:val="0"/>
    <w:pPr>
      <w:autoSpaceDE w:val="0"/>
      <w:autoSpaceDN w:val="0"/>
      <w:adjustRightInd w:val="0"/>
      <w:jc w:val="left"/>
    </w:pPr>
    <w:rPr>
      <w:rFonts w:ascii="黑体" w:hAnsi="等线" w:eastAsia="黑体" w:cs="等线"/>
      <w:b/>
      <w:kern w:val="0"/>
      <w:sz w:val="32"/>
      <w:szCs w:val="32"/>
    </w:rPr>
  </w:style>
  <w:style w:type="paragraph" w:customStyle="1" w:styleId="414">
    <w:name w:val="正文文字"/>
    <w:basedOn w:val="1"/>
    <w:autoRedefine/>
    <w:qFormat/>
    <w:uiPriority w:val="99"/>
    <w:pPr>
      <w:spacing w:line="360" w:lineRule="auto"/>
      <w:ind w:firstLine="200" w:firstLineChars="200"/>
      <w:textAlignment w:val="top"/>
    </w:pPr>
    <w:rPr>
      <w:rFonts w:ascii="等线" w:hAnsi="等线" w:eastAsia="等线" w:cs="等线"/>
      <w:color w:val="000000"/>
      <w:kern w:val="0"/>
      <w:sz w:val="24"/>
      <w:szCs w:val="21"/>
    </w:rPr>
  </w:style>
  <w:style w:type="paragraph" w:customStyle="1" w:styleId="415">
    <w:name w:val="部分1"/>
    <w:basedOn w:val="1"/>
    <w:autoRedefine/>
    <w:qFormat/>
    <w:uiPriority w:val="0"/>
    <w:pPr>
      <w:keepNext/>
      <w:pageBreakBefore/>
      <w:tabs>
        <w:tab w:val="left" w:pos="720"/>
      </w:tabs>
      <w:autoSpaceDE w:val="0"/>
      <w:autoSpaceDN w:val="0"/>
      <w:adjustRightInd w:val="0"/>
      <w:spacing w:line="360" w:lineRule="auto"/>
      <w:jc w:val="center"/>
      <w:outlineLvl w:val="0"/>
    </w:pPr>
    <w:rPr>
      <w:rFonts w:ascii="等线" w:hAnsi="等线" w:eastAsia="Helvetica" w:cs="等线"/>
      <w:b/>
      <w:kern w:val="44"/>
      <w:sz w:val="36"/>
      <w:szCs w:val="20"/>
    </w:rPr>
  </w:style>
  <w:style w:type="paragraph" w:customStyle="1" w:styleId="416">
    <w:name w:val="GP正文(首行缩进)"/>
    <w:basedOn w:val="1"/>
    <w:autoRedefine/>
    <w:qFormat/>
    <w:uiPriority w:val="0"/>
    <w:pPr>
      <w:adjustRightInd w:val="0"/>
      <w:spacing w:line="360" w:lineRule="auto"/>
      <w:ind w:firstLine="200" w:firstLineChars="200"/>
      <w:jc w:val="left"/>
      <w:textAlignment w:val="baseline"/>
    </w:pPr>
    <w:rPr>
      <w:rFonts w:ascii="等线" w:hAnsi="等线" w:eastAsia="等线" w:cs="等线"/>
      <w:kern w:val="0"/>
      <w:sz w:val="24"/>
      <w:szCs w:val="20"/>
    </w:rPr>
  </w:style>
  <w:style w:type="paragraph" w:customStyle="1" w:styleId="417">
    <w:name w:val="xl97"/>
    <w:basedOn w:val="1"/>
    <w:autoRedefine/>
    <w:qFormat/>
    <w:uiPriority w:val="0"/>
    <w:pPr>
      <w:widowControl/>
      <w:pBdr>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418">
    <w:name w:val="5"/>
    <w:basedOn w:val="1"/>
    <w:autoRedefine/>
    <w:qFormat/>
    <w:uiPriority w:val="0"/>
    <w:pPr>
      <w:widowControl/>
      <w:tabs>
        <w:tab w:val="left" w:pos="420"/>
        <w:tab w:val="left" w:pos="926"/>
      </w:tabs>
      <w:spacing w:after="160" w:line="240" w:lineRule="exact"/>
      <w:ind w:firstLine="200" w:firstLineChars="200"/>
      <w:jc w:val="left"/>
    </w:pPr>
    <w:rPr>
      <w:rFonts w:ascii="等线" w:hAnsi="等线" w:eastAsia="等线" w:cs="等线"/>
      <w:szCs w:val="20"/>
    </w:rPr>
  </w:style>
  <w:style w:type="paragraph" w:customStyle="1" w:styleId="419">
    <w:name w:val="xl81"/>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Calibri" w:hAnsi="Calibri" w:eastAsia="Calibri" w:cs="仿宋_GB2312"/>
      <w:color w:val="000000"/>
      <w:kern w:val="0"/>
      <w:sz w:val="24"/>
    </w:rPr>
  </w:style>
  <w:style w:type="paragraph" w:customStyle="1" w:styleId="420">
    <w:name w:val="xl86"/>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Calibri" w:hAnsi="Calibri" w:eastAsia="Calibri" w:cs="仿宋_GB2312"/>
      <w:b/>
      <w:bCs/>
      <w:color w:val="000000"/>
      <w:kern w:val="0"/>
      <w:sz w:val="24"/>
    </w:rPr>
  </w:style>
  <w:style w:type="character" w:customStyle="1" w:styleId="421">
    <w:name w:val="注释标题 Char"/>
    <w:basedOn w:val="66"/>
    <w:link w:val="13"/>
    <w:autoRedefine/>
    <w:qFormat/>
    <w:uiPriority w:val="0"/>
    <w:rPr>
      <w:rFonts w:ascii="DFKai-SB" w:hAnsi="DFKai-SB" w:eastAsia="DFKai-SB" w:cs="等线"/>
      <w:kern w:val="2"/>
      <w:lang w:eastAsia="zh-TW"/>
    </w:rPr>
  </w:style>
  <w:style w:type="paragraph" w:customStyle="1" w:styleId="422">
    <w:name w:val="xl91"/>
    <w:basedOn w:val="1"/>
    <w:autoRedefine/>
    <w:qFormat/>
    <w:uiPriority w:val="0"/>
    <w:pPr>
      <w:widowControl/>
      <w:pBdr>
        <w:left w:val="single" w:color="auto" w:sz="4" w:space="0"/>
        <w:right w:val="single" w:color="auto" w:sz="4" w:space="0"/>
      </w:pBdr>
      <w:spacing w:before="100" w:beforeAutospacing="1" w:after="100" w:afterAutospacing="1"/>
      <w:jc w:val="center"/>
    </w:pPr>
    <w:rPr>
      <w:rFonts w:ascii="Calibri" w:hAnsi="Calibri" w:eastAsia="Calibri" w:cs="仿宋_GB2312"/>
      <w:color w:val="000000"/>
      <w:kern w:val="0"/>
      <w:sz w:val="24"/>
    </w:rPr>
  </w:style>
  <w:style w:type="paragraph" w:customStyle="1" w:styleId="423">
    <w:name w:val="二级标题"/>
    <w:basedOn w:val="4"/>
    <w:autoRedefine/>
    <w:qFormat/>
    <w:uiPriority w:val="0"/>
    <w:pPr>
      <w:ind w:left="576" w:hanging="576"/>
    </w:pPr>
    <w:rPr>
      <w:rFonts w:ascii="华文中宋" w:eastAsia="华文中宋"/>
      <w:kern w:val="0"/>
    </w:rPr>
  </w:style>
  <w:style w:type="character" w:customStyle="1" w:styleId="424">
    <w:name w:val="正文文本 3 Char"/>
    <w:basedOn w:val="66"/>
    <w:link w:val="23"/>
    <w:autoRedefine/>
    <w:qFormat/>
    <w:uiPriority w:val="0"/>
    <w:rPr>
      <w:rFonts w:ascii="等线" w:hAnsi="等线" w:eastAsia="等线" w:cs="等线"/>
    </w:rPr>
  </w:style>
  <w:style w:type="paragraph" w:customStyle="1" w:styleId="425">
    <w:name w:val="数字级连标题2"/>
    <w:basedOn w:val="4"/>
    <w:next w:val="1"/>
    <w:autoRedefine/>
    <w:qFormat/>
    <w:uiPriority w:val="0"/>
    <w:pPr>
      <w:tabs>
        <w:tab w:val="left" w:pos="0"/>
      </w:tabs>
      <w:spacing w:before="0" w:after="0" w:line="360" w:lineRule="auto"/>
      <w:ind w:left="567" w:hanging="567"/>
    </w:pPr>
    <w:rPr>
      <w:rFonts w:ascii="Times New Roman" w:hAnsi="Times New Roman" w:eastAsia="等线"/>
      <w:bCs w:val="0"/>
      <w:sz w:val="28"/>
      <w:szCs w:val="20"/>
      <w:lang w:eastAsia="ar-SA"/>
    </w:rPr>
  </w:style>
  <w:style w:type="paragraph" w:customStyle="1" w:styleId="426">
    <w:name w:val="四级条标题"/>
    <w:basedOn w:val="427"/>
    <w:next w:val="1"/>
    <w:autoRedefine/>
    <w:qFormat/>
    <w:uiPriority w:val="0"/>
    <w:pPr>
      <w:outlineLvl w:val="5"/>
    </w:pPr>
  </w:style>
  <w:style w:type="paragraph" w:customStyle="1" w:styleId="427">
    <w:name w:val="三级条标题"/>
    <w:basedOn w:val="428"/>
    <w:next w:val="1"/>
    <w:autoRedefine/>
    <w:qFormat/>
    <w:uiPriority w:val="0"/>
    <w:pPr>
      <w:outlineLvl w:val="4"/>
    </w:pPr>
  </w:style>
  <w:style w:type="paragraph" w:customStyle="1" w:styleId="428">
    <w:name w:val="二级条标题"/>
    <w:basedOn w:val="429"/>
    <w:next w:val="1"/>
    <w:autoRedefine/>
    <w:qFormat/>
    <w:uiPriority w:val="0"/>
    <w:pPr>
      <w:outlineLvl w:val="3"/>
    </w:pPr>
  </w:style>
  <w:style w:type="paragraph" w:customStyle="1" w:styleId="429">
    <w:name w:val="一级条标题"/>
    <w:next w:val="1"/>
    <w:autoRedefine/>
    <w:qFormat/>
    <w:uiPriority w:val="0"/>
    <w:pPr>
      <w:outlineLvl w:val="2"/>
    </w:pPr>
    <w:rPr>
      <w:rFonts w:ascii="等线" w:hAnsi="等线" w:eastAsia="Helvetica" w:cs="等线"/>
      <w:sz w:val="21"/>
      <w:lang w:val="en-US" w:eastAsia="zh-CN" w:bidi="ar-SA"/>
    </w:rPr>
  </w:style>
  <w:style w:type="character" w:customStyle="1" w:styleId="430">
    <w:name w:val="宏文本 Char1"/>
    <w:basedOn w:val="66"/>
    <w:link w:val="2"/>
    <w:autoRedefine/>
    <w:qFormat/>
    <w:uiPriority w:val="0"/>
    <w:rPr>
      <w:rFonts w:ascii="Courier New" w:hAnsi="Courier New" w:cs="Courier New"/>
      <w:kern w:val="2"/>
      <w:sz w:val="24"/>
      <w:szCs w:val="24"/>
    </w:rPr>
  </w:style>
  <w:style w:type="paragraph" w:customStyle="1" w:styleId="431">
    <w:name w:val="样式 标题 3 + 黑色 段前: 5 磅 段后: 5 磅 行距: 1.5 倍行距"/>
    <w:basedOn w:val="1"/>
    <w:autoRedefine/>
    <w:qFormat/>
    <w:uiPriority w:val="0"/>
    <w:pPr>
      <w:ind w:left="855" w:hanging="855"/>
    </w:pPr>
    <w:rPr>
      <w:rFonts w:ascii="等线" w:hAnsi="等线" w:eastAsia="等线" w:cs="等线"/>
      <w:sz w:val="24"/>
      <w:szCs w:val="20"/>
    </w:rPr>
  </w:style>
  <w:style w:type="paragraph" w:customStyle="1" w:styleId="432">
    <w:name w:val="正文首行缩进1"/>
    <w:basedOn w:val="25"/>
    <w:autoRedefine/>
    <w:qFormat/>
    <w:uiPriority w:val="0"/>
    <w:pPr>
      <w:suppressAutoHyphens/>
      <w:ind w:firstLine="420"/>
      <w:jc w:val="left"/>
    </w:pPr>
    <w:rPr>
      <w:rFonts w:ascii="等线" w:hAnsi="等线" w:cs="等线"/>
      <w:kern w:val="1"/>
      <w:sz w:val="28"/>
      <w:lang w:eastAsia="ar-SA"/>
    </w:rPr>
  </w:style>
  <w:style w:type="paragraph" w:customStyle="1" w:styleId="433">
    <w:name w:val="样式 首行缩进:  1 厘米"/>
    <w:basedOn w:val="1"/>
    <w:autoRedefine/>
    <w:qFormat/>
    <w:uiPriority w:val="0"/>
    <w:pPr>
      <w:autoSpaceDE w:val="0"/>
      <w:autoSpaceDN w:val="0"/>
      <w:adjustRightInd w:val="0"/>
      <w:ind w:firstLine="567"/>
      <w:textAlignment w:val="baseline"/>
    </w:pPr>
    <w:rPr>
      <w:rFonts w:ascii="等线" w:hAnsi="等线" w:eastAsia="等线" w:cs="宋体"/>
      <w:kern w:val="0"/>
      <w:sz w:val="28"/>
      <w:szCs w:val="28"/>
    </w:rPr>
  </w:style>
  <w:style w:type="paragraph" w:customStyle="1" w:styleId="434">
    <w:name w:val="font0"/>
    <w:basedOn w:val="1"/>
    <w:autoRedefine/>
    <w:qFormat/>
    <w:uiPriority w:val="0"/>
    <w:pPr>
      <w:widowControl/>
      <w:spacing w:before="100" w:beforeAutospacing="1" w:after="100" w:afterAutospacing="1"/>
      <w:jc w:val="left"/>
    </w:pPr>
    <w:rPr>
      <w:rFonts w:hint="eastAsia" w:ascii="宋体" w:hAnsi="宋体" w:eastAsia="等线" w:cs="等线"/>
      <w:kern w:val="0"/>
      <w:sz w:val="24"/>
    </w:rPr>
  </w:style>
  <w:style w:type="character" w:customStyle="1" w:styleId="435">
    <w:name w:val="正文文本 2 Char1"/>
    <w:basedOn w:val="66"/>
    <w:link w:val="54"/>
    <w:autoRedefine/>
    <w:qFormat/>
    <w:uiPriority w:val="0"/>
    <w:rPr>
      <w:kern w:val="2"/>
      <w:sz w:val="21"/>
      <w:szCs w:val="24"/>
    </w:rPr>
  </w:style>
  <w:style w:type="character" w:customStyle="1" w:styleId="436">
    <w:name w:val="脚注文本 Char"/>
    <w:basedOn w:val="66"/>
    <w:link w:val="48"/>
    <w:autoRedefine/>
    <w:qFormat/>
    <w:uiPriority w:val="0"/>
    <w:rPr>
      <w:rFonts w:ascii="等线" w:hAnsi="等线" w:eastAsia="等线" w:cs="等线"/>
      <w:kern w:val="2"/>
      <w:sz w:val="18"/>
      <w:szCs w:val="18"/>
    </w:rPr>
  </w:style>
  <w:style w:type="character" w:customStyle="1" w:styleId="437">
    <w:name w:val="副标题 Char2"/>
    <w:basedOn w:val="66"/>
    <w:link w:val="46"/>
    <w:autoRedefine/>
    <w:qFormat/>
    <w:uiPriority w:val="0"/>
    <w:rPr>
      <w:rFonts w:asciiTheme="majorHAnsi" w:hAnsiTheme="majorHAnsi" w:cstheme="majorBidi"/>
      <w:b/>
      <w:bCs/>
      <w:kern w:val="28"/>
      <w:sz w:val="32"/>
      <w:szCs w:val="32"/>
    </w:rPr>
  </w:style>
  <w:style w:type="character" w:customStyle="1" w:styleId="438">
    <w:name w:val="信息标题 Char1"/>
    <w:basedOn w:val="66"/>
    <w:link w:val="55"/>
    <w:autoRedefine/>
    <w:qFormat/>
    <w:uiPriority w:val="0"/>
    <w:rPr>
      <w:rFonts w:asciiTheme="majorHAnsi" w:hAnsiTheme="majorHAnsi" w:eastAsiaTheme="majorEastAsia" w:cstheme="majorBidi"/>
      <w:kern w:val="2"/>
      <w:sz w:val="24"/>
      <w:szCs w:val="24"/>
      <w:shd w:val="pct20" w:color="auto" w:fill="auto"/>
    </w:rPr>
  </w:style>
  <w:style w:type="character" w:customStyle="1" w:styleId="439">
    <w:name w:val="正文首行缩进 2 Char1"/>
    <w:basedOn w:val="91"/>
    <w:link w:val="62"/>
    <w:autoRedefine/>
    <w:qFormat/>
    <w:uiPriority w:val="0"/>
    <w:rPr>
      <w:kern w:val="2"/>
      <w:sz w:val="21"/>
      <w:szCs w:val="24"/>
    </w:rPr>
  </w:style>
  <w:style w:type="character" w:customStyle="1" w:styleId="440">
    <w:name w:val="HTML 预设格式 Char2"/>
    <w:basedOn w:val="66"/>
    <w:link w:val="56"/>
    <w:autoRedefine/>
    <w:qFormat/>
    <w:uiPriority w:val="0"/>
    <w:rPr>
      <w:rFonts w:ascii="Courier New" w:hAnsi="Courier New" w:cs="Courier New"/>
      <w:kern w:val="2"/>
    </w:rPr>
  </w:style>
  <w:style w:type="character" w:customStyle="1" w:styleId="441">
    <w:name w:val="签名 Char"/>
    <w:basedOn w:val="66"/>
    <w:link w:val="44"/>
    <w:autoRedefine/>
    <w:qFormat/>
    <w:uiPriority w:val="0"/>
    <w:rPr>
      <w:rFonts w:ascii="等线" w:hAnsi="等线" w:eastAsia="黑体" w:cs="等线"/>
      <w:sz w:val="24"/>
    </w:rPr>
  </w:style>
  <w:style w:type="paragraph" w:customStyle="1" w:styleId="442">
    <w:name w:val="正文文本缩进 21"/>
    <w:basedOn w:val="1"/>
    <w:autoRedefine/>
    <w:qFormat/>
    <w:uiPriority w:val="0"/>
    <w:pPr>
      <w:adjustRightInd w:val="0"/>
      <w:spacing w:line="580" w:lineRule="atLeast"/>
      <w:ind w:right="-57" w:firstLine="570"/>
      <w:jc w:val="left"/>
      <w:textAlignment w:val="baseline"/>
    </w:pPr>
    <w:rPr>
      <w:rFonts w:ascii="楷体_GB2312" w:hAnsi="等线" w:eastAsia="楷体_GB2312" w:cs="等线"/>
      <w:sz w:val="28"/>
      <w:szCs w:val="20"/>
    </w:rPr>
  </w:style>
  <w:style w:type="paragraph" w:customStyle="1" w:styleId="443">
    <w:name w:val="1 Char"/>
    <w:basedOn w:val="16"/>
    <w:autoRedefine/>
    <w:qFormat/>
    <w:uiPriority w:val="0"/>
    <w:pPr>
      <w:adjustRightInd/>
      <w:spacing w:line="360" w:lineRule="auto"/>
      <w:ind w:firstLine="200" w:firstLineChars="200"/>
      <w:textAlignment w:val="auto"/>
    </w:pPr>
    <w:rPr>
      <w:rFonts w:eastAsia="仿宋_GB2312"/>
      <w:kern w:val="2"/>
    </w:rPr>
  </w:style>
  <w:style w:type="paragraph" w:customStyle="1" w:styleId="444">
    <w:name w:val="Char1 Char Char Char Char"/>
    <w:basedOn w:val="19"/>
    <w:autoRedefine/>
    <w:qFormat/>
    <w:uiPriority w:val="0"/>
    <w:rPr>
      <w:rFonts w:ascii="Tahoma" w:hAnsi="Tahoma" w:eastAsia="等线" w:cs="Tahoma"/>
      <w:kern w:val="0"/>
      <w:sz w:val="18"/>
    </w:rPr>
  </w:style>
  <w:style w:type="paragraph" w:customStyle="1" w:styleId="445">
    <w:name w:val="ÕýÎÄ"/>
    <w:autoRedefine/>
    <w:qFormat/>
    <w:uiPriority w:val="0"/>
    <w:pPr>
      <w:widowControl w:val="0"/>
      <w:overflowPunct w:val="0"/>
      <w:autoSpaceDE w:val="0"/>
      <w:autoSpaceDN w:val="0"/>
      <w:adjustRightInd w:val="0"/>
      <w:textAlignment w:val="baseline"/>
    </w:pPr>
    <w:rPr>
      <w:rFonts w:ascii="等线" w:hAnsi="等线" w:eastAsia="等线" w:cs="等线"/>
      <w:lang w:val="en-US" w:eastAsia="zh-CN" w:bidi="ar-SA"/>
    </w:rPr>
  </w:style>
  <w:style w:type="paragraph" w:customStyle="1" w:styleId="446">
    <w:name w:val="xl8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_GB2312" w:hAnsi="仿宋_GB2312" w:eastAsia="等线" w:cs="仿宋_GB2312"/>
      <w:kern w:val="0"/>
      <w:sz w:val="24"/>
    </w:rPr>
  </w:style>
  <w:style w:type="paragraph" w:customStyle="1" w:styleId="447">
    <w:name w:val="Intense Quote1"/>
    <w:basedOn w:val="1"/>
    <w:next w:val="1"/>
    <w:autoRedefine/>
    <w:qFormat/>
    <w:uiPriority w:val="0"/>
    <w:pPr>
      <w:pBdr>
        <w:bottom w:val="single" w:color="4F81BD" w:sz="4" w:space="4"/>
      </w:pBdr>
      <w:spacing w:before="200" w:after="280"/>
      <w:ind w:left="936" w:right="936"/>
    </w:pPr>
    <w:rPr>
      <w:rFonts w:ascii="Century Gothic" w:hAnsi="Century Gothic" w:eastAsia="仿宋_GB2312" w:cs="新宋体"/>
      <w:b/>
      <w:bCs/>
      <w:i/>
      <w:iCs/>
      <w:color w:val="4F81BD"/>
      <w:kern w:val="0"/>
      <w:sz w:val="20"/>
      <w:szCs w:val="20"/>
    </w:rPr>
  </w:style>
  <w:style w:type="paragraph" w:customStyle="1" w:styleId="448">
    <w:name w:val="样式 正文缩进正文（首行缩进两字）表正文正文非缩进特点段1正文不缩进标题4水上软件ALT+Z四号正文文字3..."/>
    <w:basedOn w:val="16"/>
    <w:autoRedefine/>
    <w:qFormat/>
    <w:uiPriority w:val="0"/>
    <w:pPr>
      <w:adjustRightInd/>
      <w:spacing w:line="360" w:lineRule="auto"/>
      <w:ind w:firstLine="480" w:firstLineChars="200"/>
      <w:textAlignment w:val="auto"/>
    </w:pPr>
    <w:rPr>
      <w:rFonts w:ascii="Calibri" w:hAnsi="Calibri" w:eastAsia="等线" w:cs="宋体"/>
      <w:sz w:val="24"/>
    </w:rPr>
  </w:style>
  <w:style w:type="paragraph" w:customStyle="1" w:styleId="449">
    <w:name w:val="标书正文格式"/>
    <w:autoRedefine/>
    <w:qFormat/>
    <w:uiPriority w:val="0"/>
    <w:pPr>
      <w:spacing w:line="360" w:lineRule="auto"/>
      <w:ind w:firstLine="200" w:firstLineChars="200"/>
    </w:pPr>
    <w:rPr>
      <w:rFonts w:ascii="等线" w:hAnsi="等线" w:eastAsia="Arial Unicode MS" w:cs="等线"/>
      <w:kern w:val="2"/>
      <w:sz w:val="24"/>
      <w:szCs w:val="24"/>
      <w:lang w:val="en-US" w:eastAsia="zh-CN" w:bidi="ar-SA"/>
    </w:rPr>
  </w:style>
  <w:style w:type="paragraph" w:customStyle="1" w:styleId="450">
    <w:name w:val="技术报告正文"/>
    <w:basedOn w:val="1"/>
    <w:autoRedefine/>
    <w:qFormat/>
    <w:uiPriority w:val="0"/>
    <w:pPr>
      <w:autoSpaceDE w:val="0"/>
      <w:autoSpaceDN w:val="0"/>
      <w:adjustRightInd w:val="0"/>
      <w:spacing w:beforeLines="50" w:line="440" w:lineRule="exact"/>
      <w:ind w:firstLine="538" w:firstLineChars="192"/>
      <w:jc w:val="left"/>
    </w:pPr>
    <w:rPr>
      <w:rFonts w:ascii="等线" w:hAnsi="等线" w:eastAsia="等线" w:cs="Tahoma"/>
      <w:bCs/>
      <w:kern w:val="0"/>
      <w:sz w:val="28"/>
      <w:szCs w:val="20"/>
    </w:rPr>
  </w:style>
  <w:style w:type="paragraph" w:customStyle="1" w:styleId="451">
    <w:name w:val="无间距1"/>
    <w:basedOn w:val="1"/>
    <w:autoRedefine/>
    <w:qFormat/>
    <w:uiPriority w:val="0"/>
    <w:pPr>
      <w:spacing w:line="360" w:lineRule="auto"/>
      <w:ind w:firstLine="200" w:firstLineChars="200"/>
      <w:jc w:val="center"/>
    </w:pPr>
    <w:rPr>
      <w:rFonts w:ascii="等线" w:hAnsi="等线" w:eastAsia="楷体" w:cs="黑体"/>
      <w:sz w:val="24"/>
    </w:rPr>
  </w:style>
  <w:style w:type="paragraph" w:customStyle="1" w:styleId="452">
    <w:name w:val="样式 样式 正文文本缩进 + 仿宋_GB2312 小四 首行缩进:  0 厘米 行距: 1.5 倍行距 + (中文) 仿宋_GB... Char Char"/>
    <w:basedOn w:val="1"/>
    <w:autoRedefine/>
    <w:qFormat/>
    <w:uiPriority w:val="0"/>
    <w:pPr>
      <w:autoSpaceDE w:val="0"/>
      <w:autoSpaceDN w:val="0"/>
      <w:adjustRightInd w:val="0"/>
      <w:spacing w:line="360" w:lineRule="auto"/>
      <w:ind w:firstLine="480" w:firstLineChars="200"/>
      <w:jc w:val="left"/>
    </w:pPr>
    <w:rPr>
      <w:rFonts w:ascii="黑体" w:hAnsi="等线" w:eastAsia="Calibri" w:cs="等线"/>
      <w:kern w:val="0"/>
      <w:sz w:val="24"/>
      <w:szCs w:val="20"/>
    </w:rPr>
  </w:style>
  <w:style w:type="paragraph" w:customStyle="1" w:styleId="453">
    <w:name w:val="注："/>
    <w:next w:val="454"/>
    <w:autoRedefine/>
    <w:qFormat/>
    <w:uiPriority w:val="0"/>
    <w:pPr>
      <w:widowControl w:val="0"/>
      <w:tabs>
        <w:tab w:val="left" w:pos="420"/>
      </w:tabs>
      <w:autoSpaceDE w:val="0"/>
      <w:autoSpaceDN w:val="0"/>
      <w:ind w:left="420" w:hanging="420"/>
      <w:jc w:val="both"/>
    </w:pPr>
    <w:rPr>
      <w:rFonts w:ascii="宋体" w:hAnsi="等线" w:eastAsia="等线" w:cs="等线"/>
      <w:sz w:val="18"/>
      <w:szCs w:val="18"/>
      <w:lang w:val="en-US" w:eastAsia="zh-CN" w:bidi="ar-SA"/>
    </w:rPr>
  </w:style>
  <w:style w:type="paragraph" w:customStyle="1" w:styleId="454">
    <w:name w:val="段"/>
    <w:autoRedefine/>
    <w:qFormat/>
    <w:uiPriority w:val="0"/>
    <w:pPr>
      <w:autoSpaceDE w:val="0"/>
      <w:autoSpaceDN w:val="0"/>
      <w:ind w:firstLine="200" w:firstLineChars="200"/>
      <w:jc w:val="both"/>
    </w:pPr>
    <w:rPr>
      <w:rFonts w:ascii="仿宋_GB2312" w:hAnsi="等线" w:eastAsia="等线" w:cs="等线"/>
      <w:sz w:val="21"/>
      <w:lang w:val="en-US" w:eastAsia="zh-CN" w:bidi="ar-SA"/>
    </w:rPr>
  </w:style>
  <w:style w:type="paragraph" w:customStyle="1" w:styleId="455">
    <w:name w:val="Char Char Char Char11"/>
    <w:basedOn w:val="1"/>
    <w:autoRedefine/>
    <w:qFormat/>
    <w:uiPriority w:val="0"/>
    <w:pPr>
      <w:autoSpaceDE w:val="0"/>
      <w:autoSpaceDN w:val="0"/>
      <w:adjustRightInd w:val="0"/>
      <w:jc w:val="left"/>
    </w:pPr>
    <w:rPr>
      <w:rFonts w:ascii="Cambria" w:hAnsi="Cambria" w:eastAsia="等线" w:cs="等线"/>
      <w:kern w:val="0"/>
      <w:sz w:val="24"/>
      <w:szCs w:val="20"/>
    </w:rPr>
  </w:style>
  <w:style w:type="paragraph" w:customStyle="1" w:styleId="456">
    <w:name w:val="样式 标题 2 + 黑体 行距: 1.5 倍行距"/>
    <w:basedOn w:val="1"/>
    <w:autoRedefine/>
    <w:qFormat/>
    <w:uiPriority w:val="0"/>
    <w:pPr>
      <w:tabs>
        <w:tab w:val="left" w:pos="360"/>
        <w:tab w:val="left" w:pos="576"/>
      </w:tabs>
      <w:spacing w:line="360" w:lineRule="auto"/>
      <w:ind w:firstLine="200" w:firstLineChars="200"/>
    </w:pPr>
    <w:rPr>
      <w:rFonts w:ascii="等线" w:hAnsi="等线" w:eastAsia="等线" w:cs="等线"/>
      <w:szCs w:val="20"/>
    </w:rPr>
  </w:style>
  <w:style w:type="paragraph" w:customStyle="1" w:styleId="457">
    <w:name w:val="內文項目之符號"/>
    <w:basedOn w:val="1"/>
    <w:autoRedefine/>
    <w:qFormat/>
    <w:uiPriority w:val="0"/>
    <w:pPr>
      <w:widowControl/>
      <w:tabs>
        <w:tab w:val="left" w:pos="1080"/>
      </w:tabs>
      <w:spacing w:before="120" w:line="560" w:lineRule="exact"/>
      <w:ind w:left="1080" w:hanging="1080" w:firstLineChars="200"/>
    </w:pPr>
    <w:rPr>
      <w:rFonts w:ascii="等线" w:hAnsi="等线" w:eastAsia="DFKai-SB" w:cs="等线"/>
      <w:kern w:val="0"/>
      <w:sz w:val="28"/>
      <w:lang w:eastAsia="zh-TW"/>
    </w:rPr>
  </w:style>
  <w:style w:type="paragraph" w:customStyle="1" w:styleId="458">
    <w:name w:val="Char2"/>
    <w:basedOn w:val="1"/>
    <w:autoRedefine/>
    <w:qFormat/>
    <w:uiPriority w:val="0"/>
    <w:pPr>
      <w:autoSpaceDE w:val="0"/>
      <w:autoSpaceDN w:val="0"/>
      <w:adjustRightInd w:val="0"/>
      <w:jc w:val="left"/>
    </w:pPr>
    <w:rPr>
      <w:rFonts w:ascii="黑体" w:hAnsi="等线" w:eastAsia="黑体" w:cs="等线"/>
      <w:b/>
      <w:kern w:val="0"/>
      <w:sz w:val="32"/>
      <w:szCs w:val="32"/>
    </w:rPr>
  </w:style>
  <w:style w:type="paragraph" w:customStyle="1" w:styleId="459">
    <w:name w:val="Para"/>
    <w:autoRedefine/>
    <w:qFormat/>
    <w:uiPriority w:val="0"/>
    <w:pPr>
      <w:spacing w:before="120"/>
    </w:pPr>
    <w:rPr>
      <w:rFonts w:ascii="等线" w:hAnsi="等线" w:eastAsia="等线" w:cs="等线"/>
      <w:sz w:val="18"/>
      <w:lang w:val="en-US" w:eastAsia="zh-CN" w:bidi="ar-SA"/>
    </w:rPr>
  </w:style>
  <w:style w:type="character" w:customStyle="1" w:styleId="460">
    <w:name w:val="引用 Char1"/>
    <w:basedOn w:val="66"/>
    <w:link w:val="259"/>
    <w:autoRedefine/>
    <w:semiHidden/>
    <w:qFormat/>
    <w:uiPriority w:val="99"/>
    <w:rPr>
      <w:i/>
      <w:iCs/>
      <w:color w:val="000000" w:themeColor="text1"/>
      <w:kern w:val="2"/>
      <w:sz w:val="21"/>
      <w:szCs w:val="24"/>
      <w14:textFill>
        <w14:solidFill>
          <w14:schemeClr w14:val="tx1"/>
        </w14:solidFill>
      </w14:textFill>
    </w:rPr>
  </w:style>
  <w:style w:type="paragraph" w:customStyle="1" w:styleId="461">
    <w:name w:val="标题五"/>
    <w:basedOn w:val="1"/>
    <w:autoRedefine/>
    <w:qFormat/>
    <w:uiPriority w:val="0"/>
    <w:pPr>
      <w:tabs>
        <w:tab w:val="left" w:pos="1440"/>
      </w:tabs>
      <w:autoSpaceDE w:val="0"/>
      <w:autoSpaceDN w:val="0"/>
      <w:adjustRightInd w:val="0"/>
      <w:spacing w:beforeLines="50" w:line="360" w:lineRule="auto"/>
      <w:ind w:left="1440" w:hanging="420"/>
      <w:jc w:val="left"/>
    </w:pPr>
    <w:rPr>
      <w:rFonts w:ascii="等线" w:hAnsi="等线" w:eastAsia="等线" w:cs="等线"/>
      <w:b/>
      <w:kern w:val="0"/>
      <w:sz w:val="24"/>
      <w:szCs w:val="20"/>
    </w:rPr>
  </w:style>
  <w:style w:type="paragraph" w:customStyle="1" w:styleId="462">
    <w:name w:val="Char Char1"/>
    <w:basedOn w:val="1"/>
    <w:autoRedefine/>
    <w:qFormat/>
    <w:uiPriority w:val="0"/>
    <w:pPr>
      <w:widowControl/>
      <w:spacing w:after="160" w:line="240" w:lineRule="exact"/>
      <w:jc w:val="left"/>
    </w:pPr>
    <w:rPr>
      <w:rFonts w:ascii="Courier New" w:hAnsi="Courier New" w:eastAsia="Arial Unicode MS" w:cs="等线"/>
      <w:b/>
      <w:i/>
      <w:iCs/>
      <w:color w:val="000000"/>
      <w:kern w:val="0"/>
      <w:sz w:val="20"/>
      <w:szCs w:val="20"/>
      <w:lang w:eastAsia="en-US"/>
    </w:rPr>
  </w:style>
  <w:style w:type="paragraph" w:customStyle="1" w:styleId="463">
    <w:name w:val="rm"/>
    <w:basedOn w:val="1"/>
    <w:autoRedefine/>
    <w:qFormat/>
    <w:uiPriority w:val="0"/>
    <w:pPr>
      <w:widowControl/>
      <w:spacing w:before="100" w:beforeAutospacing="1" w:after="100" w:afterAutospacing="1" w:line="360" w:lineRule="auto"/>
      <w:ind w:firstLine="200" w:firstLineChars="200"/>
      <w:jc w:val="left"/>
    </w:pPr>
    <w:rPr>
      <w:rFonts w:ascii="宋体" w:hAnsi="宋体" w:eastAsia="等线" w:cs="宋体"/>
      <w:kern w:val="0"/>
      <w:sz w:val="24"/>
    </w:rPr>
  </w:style>
  <w:style w:type="paragraph" w:customStyle="1" w:styleId="464">
    <w:name w:val="技术方案正文样式"/>
    <w:basedOn w:val="1"/>
    <w:autoRedefine/>
    <w:qFormat/>
    <w:uiPriority w:val="0"/>
    <w:pPr>
      <w:autoSpaceDE w:val="0"/>
      <w:autoSpaceDN w:val="0"/>
      <w:adjustRightInd w:val="0"/>
      <w:spacing w:line="400" w:lineRule="exact"/>
      <w:ind w:firstLine="480" w:firstLineChars="200"/>
    </w:pPr>
    <w:rPr>
      <w:rFonts w:ascii="宋体" w:hAnsi="宋体" w:eastAsia="等线" w:cs="宋体"/>
      <w:sz w:val="24"/>
      <w:szCs w:val="21"/>
    </w:rPr>
  </w:style>
  <w:style w:type="paragraph" w:customStyle="1" w:styleId="465">
    <w:name w:val="xl42"/>
    <w:basedOn w:val="1"/>
    <w:autoRedefine/>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等线" w:hAnsi="等线" w:eastAsia="等线" w:cs="等线"/>
      <w:kern w:val="0"/>
      <w:sz w:val="24"/>
    </w:rPr>
  </w:style>
  <w:style w:type="paragraph" w:customStyle="1" w:styleId="466">
    <w:name w:val="xl2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467">
    <w:name w:val="NICMAN Body Text"/>
    <w:basedOn w:val="1"/>
    <w:next w:val="25"/>
    <w:autoRedefine/>
    <w:qFormat/>
    <w:uiPriority w:val="0"/>
    <w:pPr>
      <w:autoSpaceDE w:val="0"/>
      <w:autoSpaceDN w:val="0"/>
      <w:adjustRightInd w:val="0"/>
      <w:spacing w:after="120"/>
      <w:jc w:val="left"/>
    </w:pPr>
    <w:rPr>
      <w:rFonts w:ascii="等线" w:hAnsi="等线" w:eastAsia="等线" w:cs="等线"/>
      <w:kern w:val="0"/>
      <w:sz w:val="20"/>
      <w:szCs w:val="20"/>
    </w:rPr>
  </w:style>
  <w:style w:type="paragraph" w:customStyle="1" w:styleId="468">
    <w:name w:val="第一個訊息標題"/>
    <w:basedOn w:val="55"/>
    <w:next w:val="55"/>
    <w:autoRedefine/>
    <w:qFormat/>
    <w:uiPriority w:val="0"/>
    <w:pPr>
      <w:keepLines/>
      <w:widowControl/>
      <w:pBdr>
        <w:top w:val="none" w:color="auto" w:sz="0" w:space="0"/>
        <w:left w:val="none" w:color="auto" w:sz="0" w:space="0"/>
        <w:bottom w:val="none" w:color="auto" w:sz="0" w:space="0"/>
        <w:right w:val="none" w:color="auto" w:sz="0" w:space="0"/>
      </w:pBdr>
      <w:shd w:val="clear" w:color="auto" w:fill="auto"/>
      <w:tabs>
        <w:tab w:val="left" w:pos="1560"/>
        <w:tab w:val="left" w:pos="4920"/>
        <w:tab w:val="left" w:pos="5640"/>
      </w:tabs>
      <w:overflowPunct w:val="0"/>
      <w:autoSpaceDE w:val="0"/>
      <w:autoSpaceDN w:val="0"/>
      <w:spacing w:line="533" w:lineRule="auto"/>
      <w:ind w:left="1560" w:leftChars="0" w:right="-120" w:hanging="720" w:firstLineChars="0"/>
    </w:pPr>
    <w:rPr>
      <w:rFonts w:eastAsia="MingLiU"/>
      <w:sz w:val="20"/>
      <w:szCs w:val="20"/>
    </w:rPr>
  </w:style>
  <w:style w:type="paragraph" w:customStyle="1" w:styleId="469">
    <w:name w:val="Normal_2"/>
    <w:autoRedefine/>
    <w:qFormat/>
    <w:uiPriority w:val="0"/>
    <w:pPr>
      <w:spacing w:before="120" w:after="240"/>
      <w:jc w:val="both"/>
    </w:pPr>
    <w:rPr>
      <w:rFonts w:ascii="等线" w:hAnsi="等线" w:eastAsia="Times New Roman" w:cs="等线"/>
      <w:sz w:val="22"/>
      <w:szCs w:val="22"/>
      <w:lang w:val="en-US" w:eastAsia="en-US" w:bidi="ar-SA"/>
    </w:rPr>
  </w:style>
  <w:style w:type="paragraph" w:customStyle="1" w:styleId="470">
    <w:name w:val="font13"/>
    <w:basedOn w:val="1"/>
    <w:autoRedefine/>
    <w:qFormat/>
    <w:uiPriority w:val="0"/>
    <w:pPr>
      <w:widowControl/>
      <w:spacing w:before="100" w:beforeAutospacing="1" w:after="100" w:afterAutospacing="1"/>
      <w:jc w:val="left"/>
    </w:pPr>
    <w:rPr>
      <w:rFonts w:ascii="等线" w:hAnsi="等线" w:eastAsia="等线" w:cs="等线"/>
      <w:kern w:val="0"/>
      <w:sz w:val="24"/>
    </w:rPr>
  </w:style>
  <w:style w:type="paragraph" w:customStyle="1" w:styleId="471">
    <w:name w:val="xl93"/>
    <w:basedOn w:val="1"/>
    <w:autoRedefine/>
    <w:qFormat/>
    <w:uiPriority w:val="0"/>
    <w:pPr>
      <w:widowControl/>
      <w:pBdr>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472">
    <w:name w:val="font10"/>
    <w:basedOn w:val="1"/>
    <w:autoRedefine/>
    <w:qFormat/>
    <w:uiPriority w:val="0"/>
    <w:pPr>
      <w:widowControl/>
      <w:spacing w:before="100" w:beforeAutospacing="1" w:after="100" w:afterAutospacing="1"/>
      <w:jc w:val="left"/>
    </w:pPr>
    <w:rPr>
      <w:rFonts w:ascii="等线" w:hAnsi="等线" w:eastAsia="等线" w:cs="等线"/>
      <w:kern w:val="0"/>
      <w:sz w:val="16"/>
      <w:szCs w:val="16"/>
    </w:rPr>
  </w:style>
  <w:style w:type="paragraph" w:customStyle="1" w:styleId="473">
    <w:name w:val="a5"/>
    <w:basedOn w:val="1"/>
    <w:autoRedefine/>
    <w:qFormat/>
    <w:uiPriority w:val="0"/>
    <w:pPr>
      <w:widowControl/>
      <w:spacing w:before="100" w:beforeAutospacing="1" w:after="100" w:afterAutospacing="1"/>
      <w:jc w:val="left"/>
    </w:pPr>
    <w:rPr>
      <w:rFonts w:hint="eastAsia" w:ascii="宋体" w:hAnsi="宋体" w:eastAsia="等线" w:cs="等线"/>
      <w:kern w:val="0"/>
      <w:sz w:val="27"/>
      <w:szCs w:val="27"/>
    </w:rPr>
  </w:style>
  <w:style w:type="paragraph" w:customStyle="1" w:styleId="474">
    <w:name w:val="正文3"/>
    <w:autoRedefine/>
    <w:qFormat/>
    <w:uiPriority w:val="0"/>
    <w:pPr>
      <w:jc w:val="both"/>
    </w:pPr>
    <w:rPr>
      <w:rFonts w:ascii="等线" w:hAnsi="等线" w:eastAsia="等线" w:cs="等线"/>
      <w:kern w:val="2"/>
      <w:sz w:val="21"/>
      <w:szCs w:val="21"/>
      <w:lang w:val="en-US" w:eastAsia="zh-CN" w:bidi="ar-SA"/>
    </w:rPr>
  </w:style>
  <w:style w:type="paragraph" w:customStyle="1" w:styleId="475">
    <w:name w:val="Char21"/>
    <w:basedOn w:val="1"/>
    <w:autoRedefine/>
    <w:qFormat/>
    <w:uiPriority w:val="0"/>
    <w:pPr>
      <w:tabs>
        <w:tab w:val="left" w:pos="360"/>
      </w:tabs>
      <w:spacing w:line="360" w:lineRule="auto"/>
      <w:ind w:firstLine="200" w:firstLineChars="200"/>
    </w:pPr>
    <w:rPr>
      <w:rFonts w:ascii="等线" w:hAnsi="等线" w:eastAsia="等线" w:cs="等线"/>
      <w:sz w:val="24"/>
      <w:szCs w:val="20"/>
    </w:rPr>
  </w:style>
  <w:style w:type="paragraph" w:customStyle="1" w:styleId="476">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_GB2312" w:hAnsi="仿宋_GB2312" w:eastAsia="等线" w:cs="仿宋_GB2312"/>
      <w:kern w:val="0"/>
      <w:sz w:val="24"/>
    </w:rPr>
  </w:style>
  <w:style w:type="paragraph" w:customStyle="1" w:styleId="477">
    <w:name w:val="af17cgridlangnp1033langf"/>
    <w:autoRedefine/>
    <w:qFormat/>
    <w:uiPriority w:val="0"/>
    <w:pPr>
      <w:widowControl w:val="0"/>
      <w:autoSpaceDE w:val="0"/>
      <w:autoSpaceDN w:val="0"/>
      <w:adjustRightInd w:val="0"/>
      <w:spacing w:before="156" w:line="360" w:lineRule="atLeast"/>
      <w:ind w:left="567" w:firstLine="510"/>
      <w:jc w:val="both"/>
    </w:pPr>
    <w:rPr>
      <w:rFonts w:ascii="等线" w:hAnsi="等线" w:eastAsia="等线" w:cs="等线"/>
      <w:lang w:val="en-US" w:eastAsia="zh-CN" w:bidi="ar-SA"/>
    </w:rPr>
  </w:style>
  <w:style w:type="paragraph" w:customStyle="1" w:styleId="478">
    <w:name w:val="xl103"/>
    <w:basedOn w:val="1"/>
    <w:autoRedefine/>
    <w:qFormat/>
    <w:uiPriority w:val="0"/>
    <w:pPr>
      <w:widowControl/>
      <w:pBdr>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479">
    <w:name w:val="xl89"/>
    <w:basedOn w:val="1"/>
    <w:autoRedefine/>
    <w:qFormat/>
    <w:uiPriority w:val="0"/>
    <w:pPr>
      <w:widowControl/>
      <w:spacing w:before="100" w:beforeAutospacing="1" w:after="100" w:afterAutospacing="1"/>
      <w:jc w:val="left"/>
    </w:pPr>
    <w:rPr>
      <w:rFonts w:ascii="仿宋_GB2312" w:hAnsi="仿宋_GB2312" w:eastAsia="等线" w:cs="仿宋_GB2312"/>
      <w:kern w:val="0"/>
      <w:sz w:val="24"/>
    </w:rPr>
  </w:style>
  <w:style w:type="paragraph" w:customStyle="1" w:styleId="480">
    <w:name w:val="Char3 Char Char Char Char Char Char"/>
    <w:basedOn w:val="1"/>
    <w:autoRedefine/>
    <w:qFormat/>
    <w:uiPriority w:val="0"/>
    <w:pPr>
      <w:widowControl/>
      <w:spacing w:after="160" w:line="240" w:lineRule="exact"/>
      <w:ind w:firstLine="200" w:firstLineChars="200"/>
      <w:jc w:val="left"/>
    </w:pPr>
    <w:rPr>
      <w:rFonts w:ascii="Verdana" w:hAnsi="Verdana" w:eastAsia="等线" w:cs="等线"/>
      <w:kern w:val="0"/>
      <w:sz w:val="18"/>
      <w:szCs w:val="20"/>
      <w:lang w:eastAsia="en-US"/>
    </w:rPr>
  </w:style>
  <w:style w:type="paragraph" w:customStyle="1" w:styleId="481">
    <w:name w:val="xl6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Calibri" w:hAnsi="Calibri" w:eastAsia="Calibri" w:cs="仿宋_GB2312"/>
      <w:color w:val="000000"/>
      <w:kern w:val="0"/>
      <w:sz w:val="24"/>
    </w:rPr>
  </w:style>
  <w:style w:type="paragraph" w:customStyle="1" w:styleId="482">
    <w:name w:val="德山-正文"/>
    <w:basedOn w:val="1"/>
    <w:autoRedefine/>
    <w:qFormat/>
    <w:uiPriority w:val="0"/>
    <w:pPr>
      <w:spacing w:beforeLines="50" w:afterLines="50" w:line="360" w:lineRule="auto"/>
      <w:ind w:firstLine="200" w:firstLineChars="200"/>
    </w:pPr>
    <w:rPr>
      <w:rFonts w:ascii="Calibri" w:hAnsi="Calibri" w:eastAsia="等线" w:cs="等线"/>
      <w:sz w:val="24"/>
      <w:szCs w:val="21"/>
    </w:rPr>
  </w:style>
  <w:style w:type="paragraph" w:customStyle="1" w:styleId="483">
    <w:name w:val="样式7"/>
    <w:basedOn w:val="6"/>
    <w:autoRedefine/>
    <w:qFormat/>
    <w:uiPriority w:val="0"/>
  </w:style>
  <w:style w:type="paragraph" w:customStyle="1" w:styleId="484">
    <w:name w:val="正文缩进3"/>
    <w:basedOn w:val="1"/>
    <w:autoRedefine/>
    <w:qFormat/>
    <w:uiPriority w:val="0"/>
    <w:pPr>
      <w:spacing w:line="360" w:lineRule="auto"/>
      <w:ind w:firstLine="420" w:firstLineChars="200"/>
    </w:pPr>
    <w:rPr>
      <w:rFonts w:ascii="等线" w:hAnsi="等线" w:eastAsia="等线" w:cs="等线"/>
      <w:szCs w:val="20"/>
    </w:rPr>
  </w:style>
  <w:style w:type="paragraph" w:customStyle="1" w:styleId="485">
    <w:name w:val="xl60"/>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486">
    <w:name w:val="xl113"/>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487">
    <w:name w:val="xl90"/>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Calibri" w:hAnsi="Calibri" w:eastAsia="Calibri" w:cs="仿宋_GB2312"/>
      <w:color w:val="000000"/>
      <w:kern w:val="0"/>
      <w:sz w:val="24"/>
    </w:rPr>
  </w:style>
  <w:style w:type="paragraph" w:customStyle="1" w:styleId="488">
    <w:name w:val="Char1"/>
    <w:basedOn w:val="1"/>
    <w:autoRedefine/>
    <w:qFormat/>
    <w:uiPriority w:val="0"/>
    <w:pPr>
      <w:autoSpaceDE w:val="0"/>
      <w:autoSpaceDN w:val="0"/>
      <w:adjustRightInd w:val="0"/>
      <w:jc w:val="left"/>
    </w:pPr>
    <w:rPr>
      <w:rFonts w:ascii="黑体" w:hAnsi="等线" w:eastAsia="黑体" w:cs="等线"/>
      <w:b/>
      <w:kern w:val="0"/>
      <w:sz w:val="32"/>
      <w:szCs w:val="32"/>
    </w:rPr>
  </w:style>
  <w:style w:type="paragraph" w:customStyle="1" w:styleId="489">
    <w:name w:val="xl31"/>
    <w:basedOn w:val="1"/>
    <w:autoRedefine/>
    <w:qFormat/>
    <w:uiPriority w:val="0"/>
    <w:pPr>
      <w:widowControl/>
      <w:pBdr>
        <w:left w:val="single" w:color="auto" w:sz="4" w:space="0"/>
        <w:right w:val="single" w:color="auto" w:sz="4" w:space="0"/>
      </w:pBdr>
      <w:spacing w:before="100" w:beforeAutospacing="1" w:after="100" w:afterAutospacing="1"/>
      <w:jc w:val="center"/>
      <w:textAlignment w:val="center"/>
    </w:pPr>
    <w:rPr>
      <w:rFonts w:ascii="等线" w:hAnsi="等线" w:eastAsia="等线" w:cs="等线"/>
      <w:kern w:val="0"/>
      <w:sz w:val="20"/>
      <w:szCs w:val="20"/>
    </w:rPr>
  </w:style>
  <w:style w:type="paragraph" w:customStyle="1" w:styleId="490">
    <w:name w:val="样式 标题 3 + 黑体 小四 非加粗"/>
    <w:basedOn w:val="5"/>
    <w:autoRedefine/>
    <w:qFormat/>
    <w:uiPriority w:val="0"/>
    <w:pPr>
      <w:spacing w:before="0" w:after="0" w:line="415" w:lineRule="auto"/>
    </w:pPr>
    <w:rPr>
      <w:rFonts w:ascii="Helvetica" w:hAnsi="Helvetica" w:eastAsia="Helvetica"/>
      <w:kern w:val="0"/>
      <w:sz w:val="24"/>
    </w:rPr>
  </w:style>
  <w:style w:type="paragraph" w:customStyle="1" w:styleId="491">
    <w:name w:val="工可正文"/>
    <w:basedOn w:val="34"/>
    <w:autoRedefine/>
    <w:qFormat/>
    <w:uiPriority w:val="0"/>
    <w:pPr>
      <w:widowControl w:val="0"/>
      <w:overflowPunct/>
      <w:autoSpaceDE/>
      <w:autoSpaceDN/>
      <w:adjustRightInd/>
      <w:ind w:firstLine="560" w:firstLineChars="200"/>
      <w:jc w:val="both"/>
      <w:textAlignment w:val="auto"/>
    </w:pPr>
    <w:rPr>
      <w:rFonts w:ascii="Times New Roman" w:hAnsi="Times New Roman" w:eastAsia="等线"/>
      <w:sz w:val="28"/>
      <w:szCs w:val="20"/>
    </w:rPr>
  </w:style>
  <w:style w:type="paragraph" w:customStyle="1" w:styleId="492">
    <w:name w:val="xl57"/>
    <w:basedOn w:val="1"/>
    <w:autoRedefine/>
    <w:qFormat/>
    <w:uiPriority w:val="0"/>
    <w:pPr>
      <w:widowControl/>
      <w:pBdr>
        <w:left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493">
    <w:name w:val="Table Contents"/>
    <w:basedOn w:val="1"/>
    <w:autoRedefine/>
    <w:qFormat/>
    <w:uiPriority w:val="0"/>
    <w:pPr>
      <w:suppressAutoHyphens/>
      <w:autoSpaceDE w:val="0"/>
      <w:autoSpaceDN w:val="0"/>
      <w:adjustRightInd w:val="0"/>
      <w:spacing w:after="120"/>
      <w:jc w:val="left"/>
    </w:pPr>
    <w:rPr>
      <w:rFonts w:ascii="ˎ̥" w:hAnsi="ˎ̥" w:eastAsia="等线" w:cs="等线"/>
      <w:kern w:val="1"/>
      <w:sz w:val="20"/>
      <w:szCs w:val="20"/>
    </w:rPr>
  </w:style>
  <w:style w:type="paragraph" w:customStyle="1" w:styleId="494">
    <w:name w:val="Char3"/>
    <w:basedOn w:val="1"/>
    <w:autoRedefine/>
    <w:qFormat/>
    <w:uiPriority w:val="0"/>
    <w:pPr>
      <w:tabs>
        <w:tab w:val="left" w:pos="360"/>
      </w:tabs>
      <w:spacing w:line="360" w:lineRule="auto"/>
      <w:ind w:firstLine="200" w:firstLineChars="200"/>
    </w:pPr>
    <w:rPr>
      <w:rFonts w:ascii="等线" w:hAnsi="等线" w:eastAsia="等线" w:cs="等线"/>
      <w:sz w:val="24"/>
      <w:szCs w:val="20"/>
    </w:rPr>
  </w:style>
  <w:style w:type="paragraph" w:customStyle="1" w:styleId="495">
    <w:name w:val="信息标题2"/>
    <w:basedOn w:val="17"/>
    <w:next w:val="17"/>
    <w:autoRedefine/>
    <w:qFormat/>
    <w:uiPriority w:val="0"/>
    <w:pPr>
      <w:spacing w:beforeLines="50" w:afterLines="50" w:line="360" w:lineRule="auto"/>
      <w:ind w:left="422" w:hanging="422" w:hangingChars="200"/>
      <w:jc w:val="left"/>
    </w:pPr>
    <w:rPr>
      <w:rFonts w:ascii="Arial Black" w:hAnsi="Arial Black" w:eastAsia="宋体"/>
      <w:b/>
      <w:bCs/>
      <w:sz w:val="30"/>
    </w:rPr>
  </w:style>
  <w:style w:type="paragraph" w:customStyle="1" w:styleId="496">
    <w:name w:val="地址內名稱"/>
    <w:basedOn w:val="1"/>
    <w:autoRedefine/>
    <w:qFormat/>
    <w:uiPriority w:val="0"/>
    <w:pPr>
      <w:adjustRightInd w:val="0"/>
      <w:spacing w:line="360" w:lineRule="atLeast"/>
      <w:ind w:firstLine="200" w:firstLineChars="200"/>
      <w:jc w:val="left"/>
      <w:textAlignment w:val="baseline"/>
    </w:pPr>
    <w:rPr>
      <w:rFonts w:ascii="等线" w:hAnsi="等线" w:eastAsia="PMingLiU" w:cs="等线"/>
      <w:kern w:val="0"/>
      <w:sz w:val="24"/>
      <w:szCs w:val="20"/>
      <w:lang w:eastAsia="zh-TW"/>
    </w:rPr>
  </w:style>
  <w:style w:type="paragraph" w:customStyle="1" w:styleId="497">
    <w:name w:val="标准标志"/>
    <w:next w:val="1"/>
    <w:autoRedefine/>
    <w:qFormat/>
    <w:uiPriority w:val="0"/>
    <w:pPr>
      <w:framePr w:w="2546" w:h="1389" w:hRule="exact" w:hSpace="181" w:vSpace="181" w:wrap="around" w:vAnchor="margin" w:hAnchor="margin" w:x="6522" w:y="398" w:anchorLock="1"/>
      <w:shd w:val="solid" w:color="FFFFFF" w:fill="FFFFFF"/>
      <w:spacing w:line="0" w:lineRule="atLeast"/>
      <w:jc w:val="right"/>
    </w:pPr>
    <w:rPr>
      <w:rFonts w:ascii="等线" w:hAnsi="等线" w:eastAsia="等线" w:cs="等线"/>
      <w:b/>
      <w:w w:val="170"/>
      <w:sz w:val="96"/>
      <w:szCs w:val="96"/>
      <w:lang w:val="en-US" w:eastAsia="zh-CN" w:bidi="ar-SA"/>
    </w:rPr>
  </w:style>
  <w:style w:type="paragraph" w:customStyle="1" w:styleId="498">
    <w:name w:val="样式 标题 1"/>
    <w:basedOn w:val="3"/>
    <w:next w:val="1"/>
    <w:autoRedefine/>
    <w:qFormat/>
    <w:uiPriority w:val="0"/>
    <w:pPr>
      <w:keepNext w:val="0"/>
      <w:pageBreakBefore/>
      <w:tabs>
        <w:tab w:val="left" w:pos="584"/>
      </w:tabs>
      <w:adjustRightInd w:val="0"/>
      <w:snapToGrid w:val="0"/>
      <w:spacing w:beforeLines="100" w:line="480" w:lineRule="exact"/>
      <w:ind w:left="360"/>
    </w:pPr>
    <w:rPr>
      <w:rFonts w:ascii="黑体" w:hAnsi="宋体" w:eastAsia="黑体" w:cs="宋体"/>
      <w:color w:val="000000"/>
      <w:sz w:val="36"/>
      <w:szCs w:val="36"/>
    </w:rPr>
  </w:style>
  <w:style w:type="paragraph" w:customStyle="1" w:styleId="499">
    <w:name w:val="样式 四号 首行缩进:  1 厘米"/>
    <w:basedOn w:val="1"/>
    <w:autoRedefine/>
    <w:qFormat/>
    <w:uiPriority w:val="0"/>
    <w:pPr>
      <w:spacing w:line="440" w:lineRule="exact"/>
      <w:ind w:firstLine="567"/>
    </w:pPr>
    <w:rPr>
      <w:rFonts w:ascii="等线" w:hAnsi="等线" w:eastAsia="等线" w:cs="宋体"/>
      <w:sz w:val="28"/>
      <w:szCs w:val="20"/>
    </w:rPr>
  </w:style>
  <w:style w:type="paragraph" w:customStyle="1" w:styleId="500">
    <w:name w:val="xl76"/>
    <w:basedOn w:val="1"/>
    <w:autoRedefine/>
    <w:qFormat/>
    <w:uiPriority w:val="0"/>
    <w:pPr>
      <w:widowControl/>
      <w:pBdr>
        <w:top w:val="single" w:color="auto" w:sz="4" w:space="0"/>
        <w:bottom w:val="single" w:color="auto" w:sz="4" w:space="0"/>
      </w:pBdr>
      <w:spacing w:before="100" w:beforeAutospacing="1" w:after="100" w:afterAutospacing="1"/>
      <w:jc w:val="left"/>
    </w:pPr>
    <w:rPr>
      <w:rFonts w:ascii="Calibri" w:hAnsi="Calibri" w:eastAsia="Calibri" w:cs="仿宋_GB2312"/>
      <w:color w:val="000000"/>
      <w:kern w:val="0"/>
      <w:sz w:val="24"/>
    </w:rPr>
  </w:style>
  <w:style w:type="paragraph" w:customStyle="1" w:styleId="501">
    <w:name w:val="Item List in Table"/>
    <w:autoRedefine/>
    <w:qFormat/>
    <w:uiPriority w:val="0"/>
    <w:pPr>
      <w:tabs>
        <w:tab w:val="left" w:pos="284"/>
        <w:tab w:val="left" w:pos="720"/>
      </w:tabs>
      <w:spacing w:before="40" w:after="40"/>
      <w:ind w:left="720" w:hanging="720"/>
      <w:jc w:val="both"/>
    </w:pPr>
    <w:rPr>
      <w:rFonts w:ascii="Century Gothic" w:hAnsi="Century Gothic" w:eastAsia="等线" w:cs="Tahoma"/>
      <w:kern w:val="2"/>
      <w:sz w:val="18"/>
      <w:szCs w:val="18"/>
      <w:lang w:val="en-US" w:eastAsia="zh-CN" w:bidi="ar-SA"/>
    </w:rPr>
  </w:style>
  <w:style w:type="paragraph" w:customStyle="1" w:styleId="502">
    <w:name w:val="xl38"/>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等线" w:hAnsi="等线" w:eastAsia="等线" w:cs="等线"/>
      <w:kern w:val="0"/>
      <w:sz w:val="24"/>
    </w:rPr>
  </w:style>
  <w:style w:type="paragraph" w:customStyle="1" w:styleId="503">
    <w:name w:val="Body"/>
    <w:autoRedefine/>
    <w:qFormat/>
    <w:uiPriority w:val="0"/>
    <w:pPr>
      <w:tabs>
        <w:tab w:val="left" w:pos="720"/>
        <w:tab w:val="left" w:pos="1440"/>
        <w:tab w:val="left" w:pos="2160"/>
        <w:tab w:val="left" w:pos="2880"/>
        <w:tab w:val="left" w:pos="3600"/>
        <w:tab w:val="left" w:pos="4320"/>
        <w:tab w:val="left" w:pos="5040"/>
        <w:tab w:val="left" w:pos="5840"/>
        <w:tab w:val="left" w:pos="6480"/>
        <w:tab w:val="left" w:pos="7200"/>
        <w:tab w:val="left" w:pos="7920"/>
      </w:tabs>
      <w:spacing w:after="140" w:line="280" w:lineRule="atLeast"/>
    </w:pPr>
    <w:rPr>
      <w:rFonts w:ascii="Times" w:hAnsi="Times" w:eastAsia="等线" w:cs="等线"/>
      <w:color w:val="000000"/>
      <w:sz w:val="18"/>
      <w:lang w:val="en-US" w:eastAsia="en-US" w:bidi="ar-SA"/>
    </w:rPr>
  </w:style>
  <w:style w:type="paragraph" w:customStyle="1" w:styleId="504">
    <w:name w:val="xl66"/>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仿宋_GB2312" w:hAnsi="仿宋_GB2312" w:eastAsia="等线" w:cs="仿宋_GB2312"/>
      <w:b/>
      <w:bCs/>
      <w:color w:val="000000"/>
      <w:kern w:val="0"/>
      <w:sz w:val="24"/>
    </w:rPr>
  </w:style>
  <w:style w:type="paragraph" w:customStyle="1" w:styleId="505">
    <w:name w:val="xl82"/>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Calibri" w:hAnsi="Calibri" w:eastAsia="Calibri" w:cs="仿宋_GB2312"/>
      <w:color w:val="000000"/>
      <w:kern w:val="0"/>
      <w:sz w:val="24"/>
    </w:rPr>
  </w:style>
  <w:style w:type="paragraph" w:customStyle="1" w:styleId="506">
    <w:name w:val="_Style 113"/>
    <w:basedOn w:val="1"/>
    <w:autoRedefine/>
    <w:qFormat/>
    <w:uiPriority w:val="0"/>
    <w:pPr>
      <w:spacing w:line="360" w:lineRule="auto"/>
      <w:ind w:firstLine="420" w:firstLineChars="200"/>
    </w:pPr>
    <w:rPr>
      <w:rFonts w:ascii="等线" w:hAnsi="等线" w:eastAsia="等线" w:cs="等线"/>
      <w:szCs w:val="20"/>
    </w:rPr>
  </w:style>
  <w:style w:type="paragraph" w:customStyle="1" w:styleId="507">
    <w:name w:val="正文段落 Char"/>
    <w:basedOn w:val="1"/>
    <w:autoRedefine/>
    <w:qFormat/>
    <w:uiPriority w:val="0"/>
    <w:pPr>
      <w:spacing w:line="360" w:lineRule="auto"/>
      <w:ind w:firstLine="480" w:firstLineChars="200"/>
    </w:pPr>
    <w:rPr>
      <w:rFonts w:ascii="等线" w:hAnsi="等线" w:eastAsia="等线" w:cs="等线"/>
      <w:kern w:val="0"/>
      <w:sz w:val="24"/>
      <w:szCs w:val="20"/>
    </w:rPr>
  </w:style>
  <w:style w:type="paragraph" w:customStyle="1" w:styleId="508">
    <w:name w:val="章标题"/>
    <w:next w:val="1"/>
    <w:autoRedefine/>
    <w:qFormat/>
    <w:uiPriority w:val="0"/>
    <w:pPr>
      <w:spacing w:beforeLines="50" w:afterLines="50"/>
      <w:jc w:val="both"/>
      <w:outlineLvl w:val="1"/>
    </w:pPr>
    <w:rPr>
      <w:rFonts w:ascii="Helvetica" w:hAnsi="等线" w:eastAsia="Helvetica" w:cs="等线"/>
      <w:sz w:val="21"/>
      <w:lang w:val="en-US" w:eastAsia="zh-CN" w:bidi="ar-SA"/>
    </w:rPr>
  </w:style>
  <w:style w:type="paragraph" w:customStyle="1" w:styleId="509">
    <w:name w:val="五级条标题"/>
    <w:basedOn w:val="426"/>
    <w:next w:val="1"/>
    <w:autoRedefine/>
    <w:qFormat/>
    <w:uiPriority w:val="0"/>
    <w:pPr>
      <w:outlineLvl w:val="6"/>
    </w:pPr>
  </w:style>
  <w:style w:type="paragraph" w:customStyle="1" w:styleId="510">
    <w:name w:val="條文12"/>
    <w:basedOn w:val="1"/>
    <w:autoRedefine/>
    <w:qFormat/>
    <w:uiPriority w:val="0"/>
    <w:pPr>
      <w:adjustRightInd w:val="0"/>
      <w:spacing w:line="400" w:lineRule="atLeast"/>
      <w:ind w:left="1186" w:hanging="284" w:firstLineChars="200"/>
      <w:jc w:val="left"/>
      <w:textAlignment w:val="baseline"/>
    </w:pPr>
    <w:rPr>
      <w:rFonts w:ascii="全真楷書" w:hAnsi="等线" w:eastAsia="全真楷書" w:cs="等线"/>
      <w:kern w:val="0"/>
      <w:sz w:val="28"/>
      <w:szCs w:val="20"/>
      <w:lang w:eastAsia="zh-TW"/>
    </w:rPr>
  </w:style>
  <w:style w:type="paragraph" w:customStyle="1" w:styleId="511">
    <w:name w:val="数字级连标题1"/>
    <w:basedOn w:val="3"/>
    <w:next w:val="1"/>
    <w:autoRedefine/>
    <w:qFormat/>
    <w:uiPriority w:val="0"/>
    <w:pPr>
      <w:keepLines/>
      <w:tabs>
        <w:tab w:val="left" w:pos="390"/>
      </w:tabs>
      <w:spacing w:line="360" w:lineRule="auto"/>
      <w:ind w:left="390" w:hanging="390"/>
      <w:jc w:val="both"/>
    </w:pPr>
    <w:rPr>
      <w:rFonts w:ascii="等线" w:hAnsi="等线" w:eastAsia="等线"/>
      <w:bCs w:val="0"/>
      <w:sz w:val="28"/>
      <w:szCs w:val="20"/>
      <w:lang w:eastAsia="ar-SA"/>
    </w:rPr>
  </w:style>
  <w:style w:type="paragraph" w:customStyle="1" w:styleId="512">
    <w:name w:val="款1"/>
    <w:basedOn w:val="510"/>
    <w:autoRedefine/>
    <w:qFormat/>
    <w:uiPriority w:val="0"/>
    <w:pPr>
      <w:ind w:left="1146"/>
    </w:pPr>
  </w:style>
  <w:style w:type="paragraph" w:customStyle="1" w:styleId="513">
    <w:name w:val="xl114"/>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514">
    <w:name w:val="段落正文"/>
    <w:basedOn w:val="1"/>
    <w:autoRedefine/>
    <w:qFormat/>
    <w:uiPriority w:val="0"/>
    <w:pPr>
      <w:spacing w:before="140" w:after="140" w:line="401" w:lineRule="auto"/>
      <w:ind w:firstLine="200" w:firstLineChars="200"/>
    </w:pPr>
    <w:rPr>
      <w:rFonts w:ascii="宋体" w:hAnsi="宋体" w:eastAsia="等线" w:cs="等线"/>
    </w:rPr>
  </w:style>
  <w:style w:type="paragraph" w:customStyle="1" w:styleId="515">
    <w:name w:val="密级编号"/>
    <w:basedOn w:val="1"/>
    <w:autoRedefine/>
    <w:qFormat/>
    <w:uiPriority w:val="0"/>
    <w:pPr>
      <w:adjustRightInd w:val="0"/>
      <w:jc w:val="center"/>
      <w:textAlignment w:val="baseline"/>
    </w:pPr>
    <w:rPr>
      <w:rFonts w:ascii="仿宋_GB2312" w:hAnsi="等线" w:eastAsia="仿宋_GB2312" w:cs="等线"/>
      <w:kern w:val="0"/>
      <w:sz w:val="24"/>
      <w:szCs w:val="20"/>
    </w:rPr>
  </w:style>
  <w:style w:type="paragraph" w:customStyle="1" w:styleId="516">
    <w:name w:val="xl6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Calibri" w:hAnsi="Calibri" w:eastAsia="Calibri" w:cs="仿宋_GB2312"/>
      <w:color w:val="000000"/>
      <w:kern w:val="0"/>
      <w:sz w:val="24"/>
    </w:rPr>
  </w:style>
  <w:style w:type="paragraph" w:customStyle="1" w:styleId="517">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top"/>
    </w:pPr>
    <w:rPr>
      <w:rFonts w:ascii="Calibri" w:hAnsi="Calibri" w:eastAsia="Calibri" w:cs="仿宋_GB2312"/>
      <w:color w:val="000000"/>
      <w:kern w:val="0"/>
      <w:sz w:val="24"/>
    </w:rPr>
  </w:style>
  <w:style w:type="paragraph" w:customStyle="1" w:styleId="518">
    <w:name w:val="標題 (一)"/>
    <w:basedOn w:val="4"/>
    <w:autoRedefine/>
    <w:qFormat/>
    <w:uiPriority w:val="0"/>
    <w:pPr>
      <w:tabs>
        <w:tab w:val="left" w:pos="709"/>
      </w:tabs>
      <w:adjustRightInd w:val="0"/>
      <w:spacing w:before="0" w:after="0" w:line="567" w:lineRule="atLeast"/>
      <w:ind w:left="709" w:hanging="567" w:firstLineChars="200"/>
      <w:textAlignment w:val="baseline"/>
      <w:outlineLvl w:val="9"/>
    </w:pPr>
    <w:rPr>
      <w:rFonts w:ascii="PMingLiU" w:hAnsi="Times New Roman" w:eastAsia="PMingLiU"/>
      <w:b w:val="0"/>
      <w:bCs w:val="0"/>
      <w:kern w:val="0"/>
      <w:sz w:val="28"/>
      <w:szCs w:val="20"/>
      <w:lang w:eastAsia="zh-TW"/>
    </w:rPr>
  </w:style>
  <w:style w:type="paragraph" w:customStyle="1" w:styleId="519">
    <w:name w:val="List Paragraph11"/>
    <w:basedOn w:val="1"/>
    <w:autoRedefine/>
    <w:qFormat/>
    <w:uiPriority w:val="0"/>
    <w:pPr>
      <w:ind w:firstLine="420" w:firstLineChars="200"/>
    </w:pPr>
    <w:rPr>
      <w:rFonts w:ascii="Century Gothic" w:hAnsi="Century Gothic" w:eastAsia="仿宋_GB2312" w:cs="新宋体"/>
      <w:szCs w:val="22"/>
    </w:rPr>
  </w:style>
  <w:style w:type="paragraph" w:customStyle="1" w:styleId="520">
    <w:name w:val="正文文字 5"/>
    <w:basedOn w:val="27"/>
    <w:autoRedefine/>
    <w:qFormat/>
    <w:uiPriority w:val="0"/>
    <w:pPr>
      <w:adjustRightInd w:val="0"/>
      <w:spacing w:after="120" w:line="312" w:lineRule="atLeast"/>
      <w:ind w:left="420" w:firstLine="0" w:firstLineChars="0"/>
      <w:textAlignment w:val="baseline"/>
    </w:pPr>
    <w:rPr>
      <w:rFonts w:ascii="等线" w:hAnsi="等线" w:cs="等线"/>
      <w:kern w:val="0"/>
      <w:sz w:val="21"/>
      <w:szCs w:val="20"/>
    </w:rPr>
  </w:style>
  <w:style w:type="paragraph" w:customStyle="1" w:styleId="521">
    <w:name w:val="xl4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522">
    <w:name w:val="xl5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8"/>
      <w:szCs w:val="28"/>
    </w:rPr>
  </w:style>
  <w:style w:type="paragraph" w:customStyle="1" w:styleId="523">
    <w:name w:val="xl107"/>
    <w:basedOn w:val="1"/>
    <w:autoRedefine/>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宋体" w:hAnsi="宋体" w:eastAsia="等线" w:cs="等线"/>
      <w:kern w:val="0"/>
      <w:sz w:val="24"/>
    </w:rPr>
  </w:style>
  <w:style w:type="paragraph" w:customStyle="1" w:styleId="524">
    <w:name w:val="七级标题"/>
    <w:basedOn w:val="9"/>
    <w:autoRedefine/>
    <w:qFormat/>
    <w:uiPriority w:val="0"/>
    <w:pPr>
      <w:adjustRightInd/>
      <w:spacing w:line="320" w:lineRule="auto"/>
      <w:ind w:left="1276" w:hanging="1276"/>
      <w:textAlignment w:val="auto"/>
    </w:pPr>
    <w:rPr>
      <w:rFonts w:ascii="黑体" w:hAnsi="黑体" w:eastAsia="黑体"/>
      <w:bCs/>
      <w:kern w:val="0"/>
    </w:rPr>
  </w:style>
  <w:style w:type="paragraph" w:customStyle="1" w:styleId="525">
    <w:name w:val="样式 标题 1Level 1Level 11h1II+IHeading1H1-Heading 1Header 1..."/>
    <w:basedOn w:val="3"/>
    <w:autoRedefine/>
    <w:qFormat/>
    <w:uiPriority w:val="0"/>
    <w:pPr>
      <w:keepLines/>
      <w:pageBreakBefore/>
      <w:spacing w:line="360" w:lineRule="auto"/>
      <w:ind w:left="1680" w:hanging="420"/>
      <w:jc w:val="left"/>
    </w:pPr>
    <w:rPr>
      <w:rFonts w:ascii="Tahoma" w:hAnsi="Tahoma" w:eastAsia="Helvetica" w:cs="仿宋_GB2312"/>
      <w:kern w:val="44"/>
      <w:sz w:val="44"/>
      <w:szCs w:val="20"/>
    </w:rPr>
  </w:style>
  <w:style w:type="paragraph" w:customStyle="1" w:styleId="526">
    <w:name w:val="button"/>
    <w:basedOn w:val="1"/>
    <w:autoRedefine/>
    <w:qFormat/>
    <w:uiPriority w:val="0"/>
    <w:pPr>
      <w:widowControl/>
      <w:autoSpaceDE w:val="0"/>
      <w:autoSpaceDN w:val="0"/>
      <w:adjustRightInd w:val="0"/>
      <w:spacing w:before="100" w:beforeAutospacing="1" w:after="100" w:afterAutospacing="1"/>
      <w:jc w:val="left"/>
    </w:pPr>
    <w:rPr>
      <w:rFonts w:ascii="等线" w:hAnsi="等线" w:eastAsia="等线" w:cs="等线"/>
      <w:color w:val="000000"/>
      <w:kern w:val="0"/>
      <w:sz w:val="24"/>
      <w:szCs w:val="20"/>
    </w:rPr>
  </w:style>
  <w:style w:type="paragraph" w:customStyle="1" w:styleId="527">
    <w:name w:val="xl111"/>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528">
    <w:name w:val="正文样式 首行缩进:  0.74 厘米"/>
    <w:basedOn w:val="1"/>
    <w:autoRedefine/>
    <w:qFormat/>
    <w:uiPriority w:val="0"/>
    <w:pPr>
      <w:autoSpaceDE w:val="0"/>
      <w:autoSpaceDN w:val="0"/>
      <w:adjustRightInd w:val="0"/>
      <w:spacing w:beforeLines="50" w:line="360" w:lineRule="auto"/>
      <w:ind w:firstLine="420"/>
      <w:jc w:val="left"/>
    </w:pPr>
    <w:rPr>
      <w:rFonts w:ascii="等线" w:hAnsi="等线" w:eastAsia="等线" w:cs="仿宋_GB2312"/>
      <w:kern w:val="0"/>
      <w:sz w:val="24"/>
      <w:szCs w:val="20"/>
    </w:rPr>
  </w:style>
  <w:style w:type="paragraph" w:customStyle="1" w:styleId="529">
    <w:name w:val="普通(Web)"/>
    <w:basedOn w:val="1"/>
    <w:autoRedefine/>
    <w:qFormat/>
    <w:uiPriority w:val="0"/>
    <w:pPr>
      <w:widowControl/>
      <w:spacing w:before="100" w:beforeAutospacing="1" w:after="100" w:afterAutospacing="1" w:line="240" w:lineRule="atLeast"/>
      <w:ind w:firstLine="360" w:firstLineChars="200"/>
      <w:jc w:val="left"/>
    </w:pPr>
    <w:rPr>
      <w:rFonts w:ascii="宋体" w:hAnsi="宋体" w:eastAsia="等线" w:cs="等线"/>
      <w:kern w:val="0"/>
      <w:sz w:val="18"/>
      <w:szCs w:val="18"/>
    </w:rPr>
  </w:style>
  <w:style w:type="paragraph" w:customStyle="1" w:styleId="530">
    <w:name w:val="标题 11"/>
    <w:basedOn w:val="1"/>
    <w:next w:val="1"/>
    <w:autoRedefine/>
    <w:qFormat/>
    <w:uiPriority w:val="0"/>
    <w:pPr>
      <w:tabs>
        <w:tab w:val="left" w:pos="420"/>
        <w:tab w:val="left" w:pos="568"/>
      </w:tabs>
      <w:adjustRightInd w:val="0"/>
      <w:spacing w:line="567" w:lineRule="atLeast"/>
      <w:ind w:firstLine="200" w:firstLineChars="200"/>
      <w:jc w:val="left"/>
      <w:textAlignment w:val="baseline"/>
    </w:pPr>
    <w:rPr>
      <w:rFonts w:ascii="MingLiU" w:hAnsi="等线" w:eastAsia="MingLiU" w:cs="等线"/>
      <w:b/>
      <w:kern w:val="0"/>
      <w:sz w:val="24"/>
      <w:szCs w:val="20"/>
      <w:lang w:eastAsia="zh-TW"/>
    </w:rPr>
  </w:style>
  <w:style w:type="paragraph" w:customStyle="1" w:styleId="531">
    <w:name w:val="xl36"/>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等线" w:hAnsi="等线" w:eastAsia="等线" w:cs="等线"/>
      <w:kern w:val="0"/>
      <w:sz w:val="24"/>
    </w:rPr>
  </w:style>
  <w:style w:type="paragraph" w:customStyle="1" w:styleId="532">
    <w:name w:val="xl98"/>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533">
    <w:name w:val="Char Char Char Char Char Char Char Char Char Char Char Char1 Char"/>
    <w:basedOn w:val="1"/>
    <w:autoRedefine/>
    <w:qFormat/>
    <w:uiPriority w:val="0"/>
    <w:pPr>
      <w:snapToGrid w:val="0"/>
      <w:spacing w:line="360" w:lineRule="auto"/>
      <w:ind w:firstLine="200" w:firstLineChars="200"/>
    </w:pPr>
    <w:rPr>
      <w:rFonts w:ascii="等线" w:hAnsi="等线" w:eastAsia="等线" w:cs="等线"/>
      <w:szCs w:val="20"/>
    </w:rPr>
  </w:style>
  <w:style w:type="paragraph" w:customStyle="1" w:styleId="534">
    <w:name w:val="xl43"/>
    <w:basedOn w:val="1"/>
    <w:autoRedefine/>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等线" w:hAnsi="等线" w:eastAsia="等线" w:cs="等线"/>
      <w:kern w:val="0"/>
      <w:sz w:val="24"/>
    </w:rPr>
  </w:style>
  <w:style w:type="paragraph" w:customStyle="1" w:styleId="535">
    <w:name w:val="表格栏头"/>
    <w:basedOn w:val="536"/>
    <w:next w:val="536"/>
    <w:autoRedefine/>
    <w:qFormat/>
    <w:uiPriority w:val="0"/>
    <w:rPr>
      <w:b/>
    </w:rPr>
  </w:style>
  <w:style w:type="paragraph" w:customStyle="1" w:styleId="536">
    <w:name w:val="表格正文"/>
    <w:basedOn w:val="1"/>
    <w:autoRedefine/>
    <w:qFormat/>
    <w:uiPriority w:val="0"/>
    <w:pPr>
      <w:widowControl/>
      <w:overflowPunct w:val="0"/>
      <w:autoSpaceDE w:val="0"/>
      <w:autoSpaceDN w:val="0"/>
      <w:adjustRightInd w:val="0"/>
      <w:spacing w:before="312" w:after="312" w:line="360" w:lineRule="auto"/>
      <w:ind w:firstLine="200" w:firstLineChars="200"/>
      <w:jc w:val="left"/>
      <w:textAlignment w:val="baseline"/>
    </w:pPr>
    <w:rPr>
      <w:rFonts w:ascii="宋体" w:hAnsi="Tahoma" w:eastAsia="等线" w:cs="等线"/>
      <w:kern w:val="0"/>
      <w:sz w:val="24"/>
      <w:szCs w:val="20"/>
    </w:rPr>
  </w:style>
  <w:style w:type="paragraph" w:customStyle="1" w:styleId="537">
    <w:name w:val="Char Char Char Char Char Char Char Char Char Char Char Char Char Char Char Char Char Char Char"/>
    <w:basedOn w:val="1"/>
    <w:autoRedefine/>
    <w:qFormat/>
    <w:uiPriority w:val="0"/>
    <w:rPr>
      <w:rFonts w:ascii="黑体" w:hAnsi="等线" w:eastAsia="黑体" w:cs="等线"/>
      <w:b/>
      <w:sz w:val="32"/>
      <w:szCs w:val="32"/>
    </w:rPr>
  </w:style>
  <w:style w:type="paragraph" w:customStyle="1" w:styleId="538">
    <w:name w:val="xl54"/>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等线" w:hAnsi="等线" w:eastAsia="等线" w:cs="等线"/>
      <w:kern w:val="0"/>
      <w:sz w:val="24"/>
    </w:rPr>
  </w:style>
  <w:style w:type="paragraph" w:customStyle="1" w:styleId="539">
    <w:name w:val="xl5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540">
    <w:name w:val="xl96"/>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541">
    <w:name w:val="修订2"/>
    <w:autoRedefine/>
    <w:qFormat/>
    <w:uiPriority w:val="99"/>
    <w:rPr>
      <w:rFonts w:ascii="等线" w:hAnsi="等线" w:eastAsia="等线" w:cs="等线"/>
      <w:kern w:val="2"/>
      <w:sz w:val="21"/>
      <w:szCs w:val="24"/>
      <w:lang w:val="en-US" w:eastAsia="zh-CN" w:bidi="ar-SA"/>
    </w:rPr>
  </w:style>
  <w:style w:type="paragraph" w:customStyle="1" w:styleId="542">
    <w:name w:val="Item Step in Table"/>
    <w:autoRedefine/>
    <w:qFormat/>
    <w:uiPriority w:val="0"/>
    <w:pPr>
      <w:tabs>
        <w:tab w:val="left" w:pos="397"/>
      </w:tabs>
      <w:spacing w:before="40" w:after="40"/>
      <w:ind w:left="420" w:hanging="420"/>
      <w:jc w:val="both"/>
    </w:pPr>
    <w:rPr>
      <w:rFonts w:ascii="Arial" w:hAnsi="Arial" w:eastAsia="等线" w:cs="等线"/>
      <w:sz w:val="18"/>
      <w:lang w:val="en-US" w:eastAsia="zh-CN" w:bidi="ar-SA"/>
    </w:rPr>
  </w:style>
  <w:style w:type="paragraph" w:customStyle="1" w:styleId="543">
    <w:name w:val="样式 左侧:  0.85 厘米 首行缩进:  0.85 厘米"/>
    <w:basedOn w:val="1"/>
    <w:autoRedefine/>
    <w:qFormat/>
    <w:uiPriority w:val="0"/>
    <w:pPr>
      <w:autoSpaceDE w:val="0"/>
      <w:autoSpaceDN w:val="0"/>
      <w:adjustRightInd w:val="0"/>
      <w:spacing w:line="360" w:lineRule="auto"/>
      <w:ind w:firstLine="482"/>
      <w:jc w:val="left"/>
    </w:pPr>
    <w:rPr>
      <w:rFonts w:ascii="等线" w:hAnsi="等线" w:eastAsia="等线" w:cs="仿宋_GB2312"/>
      <w:kern w:val="0"/>
      <w:sz w:val="24"/>
      <w:szCs w:val="20"/>
    </w:rPr>
  </w:style>
  <w:style w:type="paragraph" w:customStyle="1" w:styleId="544">
    <w:name w:val="Copyright"/>
    <w:basedOn w:val="25"/>
    <w:autoRedefine/>
    <w:qFormat/>
    <w:uiPriority w:val="0"/>
    <w:pPr>
      <w:widowControl/>
      <w:spacing w:before="480" w:after="60" w:line="360" w:lineRule="auto"/>
      <w:ind w:firstLine="200" w:firstLineChars="200"/>
      <w:jc w:val="center"/>
    </w:pPr>
    <w:rPr>
      <w:rFonts w:ascii="Trebuchet MS" w:hAnsi="Trebuchet MS" w:eastAsia="等线" w:cs="Trebuchet MS"/>
      <w:b/>
      <w:color w:val="042D56"/>
      <w:kern w:val="0"/>
      <w:sz w:val="20"/>
    </w:rPr>
  </w:style>
  <w:style w:type="paragraph" w:customStyle="1" w:styleId="545">
    <w:name w:val="xl5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等线" w:hAnsi="等线" w:eastAsia="等线" w:cs="等线"/>
      <w:kern w:val="0"/>
      <w:sz w:val="24"/>
    </w:rPr>
  </w:style>
  <w:style w:type="paragraph" w:customStyle="1" w:styleId="546">
    <w:name w:val="标准段落"/>
    <w:basedOn w:val="1"/>
    <w:autoRedefine/>
    <w:qFormat/>
    <w:uiPriority w:val="0"/>
    <w:pPr>
      <w:spacing w:after="120" w:line="360" w:lineRule="auto"/>
      <w:ind w:firstLine="420"/>
    </w:pPr>
    <w:rPr>
      <w:rFonts w:ascii="Helvetica" w:hAnsi="仿宋_GB2312" w:eastAsia="Helvetica" w:cs="等线"/>
      <w:b/>
      <w:spacing w:val="6"/>
      <w:szCs w:val="22"/>
    </w:rPr>
  </w:style>
  <w:style w:type="paragraph" w:customStyle="1" w:styleId="547">
    <w:name w:val="features1"/>
    <w:basedOn w:val="1"/>
    <w:autoRedefine/>
    <w:qFormat/>
    <w:uiPriority w:val="0"/>
    <w:pPr>
      <w:widowControl/>
      <w:spacing w:before="100" w:beforeAutospacing="1" w:after="100" w:afterAutospacing="1"/>
      <w:jc w:val="left"/>
    </w:pPr>
    <w:rPr>
      <w:rFonts w:ascii="仿宋_GB2312" w:hAnsi="仿宋_GB2312" w:eastAsia="等线" w:cs="仿宋_GB2312"/>
      <w:b/>
      <w:bCs/>
      <w:kern w:val="0"/>
      <w:sz w:val="18"/>
      <w:szCs w:val="18"/>
    </w:rPr>
  </w:style>
  <w:style w:type="paragraph" w:customStyle="1" w:styleId="548">
    <w:name w:val="xl102"/>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549">
    <w:name w:val="kpk:2级"/>
    <w:basedOn w:val="4"/>
    <w:autoRedefine/>
    <w:qFormat/>
    <w:uiPriority w:val="0"/>
    <w:pPr>
      <w:keepLines w:val="0"/>
      <w:widowControl/>
      <w:tabs>
        <w:tab w:val="left" w:pos="643"/>
        <w:tab w:val="left" w:pos="1440"/>
      </w:tabs>
      <w:spacing w:before="0" w:after="0" w:line="360" w:lineRule="auto"/>
      <w:ind w:left="357" w:hanging="357" w:firstLineChars="200"/>
    </w:pPr>
    <w:rPr>
      <w:rFonts w:ascii="Arial" w:hAnsi="Arial" w:eastAsia="等线"/>
      <w:sz w:val="28"/>
      <w:szCs w:val="30"/>
    </w:rPr>
  </w:style>
  <w:style w:type="paragraph" w:customStyle="1" w:styleId="550">
    <w:name w:val="Plain Text1"/>
    <w:basedOn w:val="1"/>
    <w:autoRedefine/>
    <w:qFormat/>
    <w:uiPriority w:val="0"/>
    <w:pPr>
      <w:adjustRightInd w:val="0"/>
      <w:spacing w:line="360" w:lineRule="auto"/>
      <w:ind w:firstLine="200" w:firstLineChars="200"/>
      <w:jc w:val="left"/>
      <w:textAlignment w:val="baseline"/>
    </w:pPr>
    <w:rPr>
      <w:rFonts w:ascii="MingLiU" w:hAnsi="Courier New" w:eastAsia="MingLiU" w:cs="等线"/>
      <w:sz w:val="24"/>
      <w:szCs w:val="20"/>
      <w:lang w:eastAsia="zh-TW"/>
    </w:rPr>
  </w:style>
  <w:style w:type="paragraph" w:customStyle="1" w:styleId="551">
    <w:name w:val="xl84"/>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Calibri" w:hAnsi="Calibri" w:eastAsia="Calibri" w:cs="仿宋_GB2312"/>
      <w:color w:val="000000"/>
      <w:kern w:val="0"/>
      <w:sz w:val="24"/>
    </w:rPr>
  </w:style>
  <w:style w:type="paragraph" w:customStyle="1" w:styleId="552">
    <w:name w:val="标题1"/>
    <w:basedOn w:val="59"/>
    <w:autoRedefine/>
    <w:qFormat/>
    <w:uiPriority w:val="0"/>
    <w:pPr>
      <w:autoSpaceDE/>
      <w:autoSpaceDN/>
      <w:adjustRightInd/>
      <w:spacing w:after="240"/>
      <w:ind w:firstLine="200" w:firstLineChars="200"/>
    </w:pPr>
    <w:rPr>
      <w:rFonts w:ascii="Arial" w:hAnsi="Arial" w:eastAsia="宋体"/>
      <w:bCs w:val="0"/>
      <w:spacing w:val="2"/>
      <w:kern w:val="2"/>
      <w:sz w:val="44"/>
      <w:szCs w:val="20"/>
    </w:rPr>
  </w:style>
  <w:style w:type="paragraph" w:customStyle="1" w:styleId="553">
    <w:name w:val="xl109"/>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554">
    <w:name w:val="1."/>
    <w:basedOn w:val="5"/>
    <w:autoRedefine/>
    <w:qFormat/>
    <w:uiPriority w:val="0"/>
    <w:pPr>
      <w:widowControl/>
      <w:autoSpaceDE w:val="0"/>
      <w:autoSpaceDN w:val="0"/>
      <w:adjustRightInd w:val="0"/>
      <w:spacing w:before="0" w:after="0" w:line="240" w:lineRule="atLeast"/>
      <w:ind w:left="360" w:hanging="284" w:firstLineChars="200"/>
      <w:textAlignment w:val="bottom"/>
      <w:outlineLvl w:val="9"/>
    </w:pPr>
    <w:rPr>
      <w:rFonts w:ascii="等线" w:hAnsi="等线" w:eastAsia="DFKai-SB"/>
      <w:kern w:val="0"/>
      <w:sz w:val="24"/>
      <w:szCs w:val="20"/>
      <w:lang w:eastAsia="zh-TW"/>
    </w:rPr>
  </w:style>
  <w:style w:type="paragraph" w:customStyle="1" w:styleId="555">
    <w:name w:val="文字"/>
    <w:basedOn w:val="1"/>
    <w:autoRedefine/>
    <w:qFormat/>
    <w:uiPriority w:val="0"/>
    <w:pPr>
      <w:tabs>
        <w:tab w:val="left" w:pos="8520"/>
      </w:tabs>
      <w:spacing w:line="312" w:lineRule="auto"/>
      <w:ind w:right="-210" w:firstLine="556"/>
    </w:pPr>
    <w:rPr>
      <w:rFonts w:ascii="仿宋_GB2312" w:hAnsi="等线" w:eastAsia="等线" w:cs="等线"/>
      <w:sz w:val="28"/>
      <w:szCs w:val="20"/>
    </w:rPr>
  </w:style>
  <w:style w:type="paragraph" w:customStyle="1" w:styleId="556">
    <w:name w:val="版权"/>
    <w:basedOn w:val="1"/>
    <w:autoRedefine/>
    <w:qFormat/>
    <w:uiPriority w:val="0"/>
    <w:pPr>
      <w:spacing w:before="312" w:after="312" w:line="360" w:lineRule="auto"/>
      <w:ind w:firstLine="480" w:firstLineChars="200"/>
      <w:jc w:val="center"/>
      <w:outlineLvl w:val="0"/>
    </w:pPr>
    <w:rPr>
      <w:rFonts w:ascii="华文中宋" w:hAnsi="华文中宋" w:eastAsia="等线" w:cs="等线"/>
      <w:b/>
      <w:sz w:val="24"/>
      <w:szCs w:val="20"/>
    </w:rPr>
  </w:style>
  <w:style w:type="paragraph" w:customStyle="1" w:styleId="557">
    <w:name w:val="greytypebeni"/>
    <w:basedOn w:val="1"/>
    <w:autoRedefine/>
    <w:qFormat/>
    <w:uiPriority w:val="0"/>
    <w:pPr>
      <w:widowControl/>
      <w:spacing w:before="100" w:beforeAutospacing="1" w:after="100" w:afterAutospacing="1" w:line="360" w:lineRule="auto"/>
      <w:ind w:firstLine="200" w:firstLineChars="200"/>
      <w:jc w:val="left"/>
    </w:pPr>
    <w:rPr>
      <w:rFonts w:ascii="宋体" w:hAnsi="宋体" w:eastAsia="等线" w:cs="宋体"/>
      <w:kern w:val="0"/>
      <w:sz w:val="24"/>
    </w:rPr>
  </w:style>
  <w:style w:type="paragraph" w:customStyle="1" w:styleId="558">
    <w:name w:val="封面标准名称"/>
    <w:autoRedefine/>
    <w:qFormat/>
    <w:uiPriority w:val="0"/>
    <w:pPr>
      <w:framePr w:w="9639" w:h="6917" w:hRule="exact" w:wrap="around" w:vAnchor="page" w:hAnchor="page" w:xAlign="center" w:y="6408" w:anchorLock="1"/>
      <w:widowControl w:val="0"/>
      <w:spacing w:line="680" w:lineRule="exact"/>
      <w:jc w:val="center"/>
      <w:textAlignment w:val="center"/>
    </w:pPr>
    <w:rPr>
      <w:rFonts w:ascii="黑体" w:hAnsi="等线" w:eastAsia="黑体" w:cs="等线"/>
      <w:sz w:val="52"/>
      <w:szCs w:val="22"/>
      <w:lang w:val="en-US" w:eastAsia="zh-CN" w:bidi="ar-SA"/>
    </w:rPr>
  </w:style>
  <w:style w:type="paragraph" w:customStyle="1" w:styleId="559">
    <w:name w:val="xl99"/>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560">
    <w:name w:val="Paragraf"/>
    <w:basedOn w:val="1"/>
    <w:autoRedefine/>
    <w:qFormat/>
    <w:uiPriority w:val="0"/>
    <w:pPr>
      <w:widowControl/>
      <w:overflowPunct w:val="0"/>
      <w:autoSpaceDE w:val="0"/>
      <w:autoSpaceDN w:val="0"/>
      <w:adjustRightInd w:val="0"/>
      <w:spacing w:before="120" w:line="360" w:lineRule="auto"/>
      <w:ind w:left="454" w:hanging="454" w:firstLineChars="200"/>
      <w:jc w:val="left"/>
      <w:textAlignment w:val="baseline"/>
    </w:pPr>
    <w:rPr>
      <w:rFonts w:ascii="等线" w:hAnsi="等线" w:eastAsia="Times New Roman" w:cs="等线"/>
      <w:kern w:val="0"/>
      <w:sz w:val="22"/>
      <w:szCs w:val="20"/>
      <w:lang w:val="en-GB" w:eastAsia="en-US"/>
    </w:rPr>
  </w:style>
  <w:style w:type="paragraph" w:customStyle="1" w:styleId="561">
    <w:name w:val="黑列表"/>
    <w:basedOn w:val="1"/>
    <w:autoRedefine/>
    <w:qFormat/>
    <w:uiPriority w:val="0"/>
    <w:pPr>
      <w:widowControl/>
      <w:tabs>
        <w:tab w:val="left" w:pos="420"/>
      </w:tabs>
      <w:adjustRightInd w:val="0"/>
      <w:spacing w:line="300" w:lineRule="auto"/>
      <w:ind w:left="300" w:leftChars="200" w:hanging="100" w:hangingChars="100"/>
      <w:jc w:val="left"/>
    </w:pPr>
    <w:rPr>
      <w:rFonts w:ascii="等线" w:hAnsi="等线" w:eastAsia="等线" w:cs="等线"/>
      <w:bCs/>
      <w:kern w:val="0"/>
      <w:sz w:val="24"/>
      <w:szCs w:val="20"/>
    </w:rPr>
  </w:style>
  <w:style w:type="paragraph" w:customStyle="1" w:styleId="562">
    <w:name w:val="xl64"/>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563">
    <w:name w:val="正文 New New"/>
    <w:autoRedefine/>
    <w:qFormat/>
    <w:uiPriority w:val="0"/>
    <w:pPr>
      <w:widowControl w:val="0"/>
      <w:jc w:val="both"/>
    </w:pPr>
    <w:rPr>
      <w:rFonts w:ascii="等线" w:hAnsi="等线" w:eastAsia="等线" w:cs="等线"/>
      <w:kern w:val="2"/>
      <w:sz w:val="21"/>
      <w:szCs w:val="24"/>
      <w:lang w:val="en-US" w:eastAsia="zh-CN" w:bidi="ar-SA"/>
    </w:rPr>
  </w:style>
  <w:style w:type="paragraph" w:customStyle="1" w:styleId="564">
    <w:name w:val="六级标题"/>
    <w:basedOn w:val="8"/>
    <w:autoRedefine/>
    <w:qFormat/>
    <w:uiPriority w:val="0"/>
    <w:pPr>
      <w:ind w:left="1134" w:hanging="1134"/>
    </w:pPr>
    <w:rPr>
      <w:rFonts w:ascii="黑体" w:hAnsi="黑体" w:eastAsia="黑体"/>
      <w:kern w:val="0"/>
    </w:rPr>
  </w:style>
  <w:style w:type="paragraph" w:customStyle="1" w:styleId="565">
    <w:name w:val="Normal0"/>
    <w:autoRedefine/>
    <w:qFormat/>
    <w:uiPriority w:val="0"/>
    <w:rPr>
      <w:rFonts w:ascii="等线" w:hAnsi="等线" w:eastAsia="等线" w:cs="等线"/>
      <w:lang w:val="en-US" w:eastAsia="en-US" w:bidi="ar-SA"/>
    </w:rPr>
  </w:style>
  <w:style w:type="paragraph" w:customStyle="1" w:styleId="566">
    <w:name w:val="xl22"/>
    <w:basedOn w:val="1"/>
    <w:autoRedefine/>
    <w:qFormat/>
    <w:uiPriority w:val="0"/>
    <w:pPr>
      <w:widowControl/>
      <w:spacing w:before="100" w:beforeAutospacing="1" w:after="100" w:afterAutospacing="1"/>
      <w:jc w:val="center"/>
    </w:pPr>
    <w:rPr>
      <w:rFonts w:ascii="宋体" w:hAnsi="宋体" w:eastAsia="等线" w:cs="等线"/>
      <w:kern w:val="0"/>
      <w:sz w:val="24"/>
    </w:rPr>
  </w:style>
  <w:style w:type="paragraph" w:customStyle="1" w:styleId="567">
    <w:name w:val="Quote1"/>
    <w:basedOn w:val="1"/>
    <w:next w:val="1"/>
    <w:autoRedefine/>
    <w:qFormat/>
    <w:uiPriority w:val="0"/>
    <w:rPr>
      <w:rFonts w:ascii="Century Gothic" w:hAnsi="Century Gothic" w:eastAsia="仿宋_GB2312" w:cs="新宋体"/>
      <w:i/>
      <w:iCs/>
      <w:color w:val="000000"/>
      <w:kern w:val="0"/>
      <w:sz w:val="20"/>
      <w:szCs w:val="20"/>
    </w:rPr>
  </w:style>
  <w:style w:type="paragraph" w:customStyle="1" w:styleId="568">
    <w:name w:val="Char Char Char Char Char Char Char Char"/>
    <w:basedOn w:val="1"/>
    <w:autoRedefine/>
    <w:qFormat/>
    <w:uiPriority w:val="0"/>
    <w:pPr>
      <w:tabs>
        <w:tab w:val="left" w:pos="360"/>
      </w:tabs>
      <w:spacing w:line="360" w:lineRule="auto"/>
      <w:ind w:firstLine="200" w:firstLineChars="200"/>
    </w:pPr>
    <w:rPr>
      <w:rFonts w:ascii="等线" w:hAnsi="等线" w:eastAsia="等线" w:cs="等线"/>
      <w:sz w:val="24"/>
      <w:szCs w:val="20"/>
    </w:rPr>
  </w:style>
  <w:style w:type="paragraph" w:customStyle="1" w:styleId="569">
    <w:name w:val="xl101"/>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570">
    <w:name w:val="正文 New"/>
    <w:autoRedefine/>
    <w:qFormat/>
    <w:uiPriority w:val="0"/>
    <w:pPr>
      <w:widowControl w:val="0"/>
      <w:jc w:val="both"/>
    </w:pPr>
    <w:rPr>
      <w:rFonts w:ascii="等线" w:hAnsi="等线" w:eastAsia="等线" w:cs="等线"/>
      <w:kern w:val="2"/>
      <w:sz w:val="21"/>
      <w:szCs w:val="24"/>
      <w:lang w:val="en-US" w:eastAsia="zh-CN" w:bidi="ar-SA"/>
    </w:rPr>
  </w:style>
  <w:style w:type="paragraph" w:customStyle="1" w:styleId="571">
    <w:name w:val="标-1"/>
    <w:basedOn w:val="3"/>
    <w:autoRedefine/>
    <w:qFormat/>
    <w:uiPriority w:val="0"/>
    <w:pPr>
      <w:keepLines/>
      <w:tabs>
        <w:tab w:val="left" w:pos="360"/>
      </w:tabs>
      <w:spacing w:line="300" w:lineRule="auto"/>
      <w:ind w:firstLine="200" w:firstLineChars="200"/>
      <w:jc w:val="both"/>
    </w:pPr>
    <w:rPr>
      <w:rFonts w:ascii="Arial" w:hAnsi="Arial" w:eastAsia="黑体" w:cs="Arial"/>
      <w:bCs w:val="0"/>
      <w:color w:val="336699"/>
      <w:kern w:val="44"/>
      <w:sz w:val="32"/>
      <w:szCs w:val="28"/>
    </w:rPr>
  </w:style>
  <w:style w:type="paragraph" w:customStyle="1" w:styleId="572">
    <w:name w:val="標題 1."/>
    <w:basedOn w:val="5"/>
    <w:autoRedefine/>
    <w:qFormat/>
    <w:uiPriority w:val="0"/>
    <w:pPr>
      <w:adjustRightInd w:val="0"/>
      <w:spacing w:before="0" w:after="0" w:line="567" w:lineRule="atLeast"/>
      <w:ind w:left="993" w:hanging="283" w:firstLineChars="200"/>
      <w:textAlignment w:val="baseline"/>
      <w:outlineLvl w:val="9"/>
    </w:pPr>
    <w:rPr>
      <w:rFonts w:ascii="PMingLiU" w:hAnsi="等线" w:eastAsia="PMingLiU"/>
      <w:kern w:val="0"/>
      <w:sz w:val="28"/>
      <w:szCs w:val="20"/>
      <w:lang w:eastAsia="zh-TW"/>
    </w:rPr>
  </w:style>
  <w:style w:type="paragraph" w:customStyle="1" w:styleId="573">
    <w:name w:val="此正文"/>
    <w:basedOn w:val="1"/>
    <w:autoRedefine/>
    <w:qFormat/>
    <w:uiPriority w:val="0"/>
    <w:pPr>
      <w:autoSpaceDE w:val="0"/>
      <w:autoSpaceDN w:val="0"/>
      <w:adjustRightInd w:val="0"/>
      <w:spacing w:line="360" w:lineRule="auto"/>
      <w:ind w:firstLine="200" w:firstLineChars="200"/>
      <w:jc w:val="left"/>
    </w:pPr>
    <w:rPr>
      <w:rFonts w:ascii="等线" w:hAnsi="等线" w:eastAsia="等线" w:cs="等线"/>
      <w:kern w:val="0"/>
      <w:sz w:val="24"/>
      <w:szCs w:val="20"/>
    </w:rPr>
  </w:style>
  <w:style w:type="paragraph" w:customStyle="1" w:styleId="574">
    <w:name w:val="Table Heading"/>
    <w:autoRedefine/>
    <w:qFormat/>
    <w:uiPriority w:val="0"/>
    <w:pPr>
      <w:keepNext/>
      <w:snapToGrid w:val="0"/>
      <w:spacing w:before="80" w:after="80"/>
      <w:jc w:val="center"/>
    </w:pPr>
    <w:rPr>
      <w:rFonts w:ascii="Century Gothic" w:hAnsi="Century Gothic" w:eastAsia="Helvetica" w:cs="Tahoma"/>
      <w:kern w:val="2"/>
      <w:sz w:val="18"/>
      <w:szCs w:val="18"/>
      <w:lang w:val="en-US" w:eastAsia="zh-CN" w:bidi="ar-SA"/>
    </w:rPr>
  </w:style>
  <w:style w:type="paragraph" w:customStyle="1" w:styleId="575">
    <w:name w:val="Char Char2 字元 字元"/>
    <w:basedOn w:val="1"/>
    <w:autoRedefine/>
    <w:qFormat/>
    <w:uiPriority w:val="0"/>
    <w:pPr>
      <w:widowControl/>
      <w:spacing w:after="160" w:line="240" w:lineRule="exact"/>
      <w:ind w:firstLine="200" w:firstLineChars="200"/>
      <w:jc w:val="left"/>
    </w:pPr>
    <w:rPr>
      <w:rFonts w:ascii="等线" w:hAnsi="等线" w:eastAsia="等线" w:cs="等线"/>
      <w:szCs w:val="20"/>
    </w:rPr>
  </w:style>
  <w:style w:type="paragraph" w:customStyle="1" w:styleId="576">
    <w:name w:val="xl2917089"/>
    <w:basedOn w:val="1"/>
    <w:autoRedefine/>
    <w:qFormat/>
    <w:uiPriority w:val="0"/>
    <w:pPr>
      <w:widowControl/>
      <w:pBdr>
        <w:left w:val="single" w:color="auto" w:sz="4" w:space="1"/>
        <w:right w:val="single" w:color="auto" w:sz="4" w:space="1"/>
      </w:pBdr>
      <w:spacing w:before="100" w:beforeAutospacing="1" w:after="100" w:afterAutospacing="1"/>
      <w:jc w:val="center"/>
      <w:textAlignment w:val="center"/>
    </w:pPr>
    <w:rPr>
      <w:rFonts w:hint="eastAsia" w:ascii="宋体" w:hAnsi="宋体" w:eastAsia="等线" w:cs="等线"/>
      <w:kern w:val="0"/>
      <w:sz w:val="24"/>
    </w:rPr>
  </w:style>
  <w:style w:type="paragraph" w:customStyle="1" w:styleId="577">
    <w:name w:val="font7"/>
    <w:basedOn w:val="1"/>
    <w:autoRedefine/>
    <w:qFormat/>
    <w:uiPriority w:val="0"/>
    <w:pPr>
      <w:widowControl/>
      <w:spacing w:before="100" w:beforeAutospacing="1" w:after="100" w:afterAutospacing="1"/>
      <w:jc w:val="left"/>
    </w:pPr>
    <w:rPr>
      <w:rFonts w:ascii="等线" w:hAnsi="等线" w:eastAsia="等线" w:cs="等线"/>
      <w:kern w:val="0"/>
      <w:sz w:val="20"/>
      <w:szCs w:val="20"/>
    </w:rPr>
  </w:style>
  <w:style w:type="paragraph" w:customStyle="1" w:styleId="578">
    <w:name w:val="xl34"/>
    <w:basedOn w:val="1"/>
    <w:autoRedefine/>
    <w:qFormat/>
    <w:uiPriority w:val="0"/>
    <w:pPr>
      <w:widowControl/>
      <w:pBdr>
        <w:left w:val="single" w:color="auto" w:sz="4" w:space="0"/>
        <w:right w:val="single" w:color="auto" w:sz="4" w:space="0"/>
      </w:pBdr>
      <w:spacing w:before="100" w:beforeAutospacing="1" w:after="100" w:afterAutospacing="1"/>
      <w:jc w:val="center"/>
    </w:pPr>
    <w:rPr>
      <w:rFonts w:ascii="等线" w:hAnsi="等线" w:eastAsia="等线" w:cs="等线"/>
      <w:kern w:val="0"/>
      <w:sz w:val="20"/>
      <w:szCs w:val="20"/>
    </w:rPr>
  </w:style>
  <w:style w:type="paragraph" w:customStyle="1" w:styleId="579">
    <w:name w:val="xl6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仿宋_GB2312" w:hAnsi="仿宋_GB2312" w:eastAsia="等线" w:cs="仿宋_GB2312"/>
      <w:b/>
      <w:bCs/>
      <w:color w:val="000000"/>
      <w:kern w:val="0"/>
      <w:sz w:val="24"/>
    </w:rPr>
  </w:style>
  <w:style w:type="paragraph" w:customStyle="1" w:styleId="580">
    <w:name w:val="封面标准号2"/>
    <w:autoRedefine/>
    <w:qFormat/>
    <w:uiPriority w:val="0"/>
    <w:pPr>
      <w:framePr w:w="9140" w:h="1242" w:hRule="exact" w:hSpace="284" w:wrap="around" w:vAnchor="page" w:hAnchor="page" w:x="1645" w:y="2910" w:anchorLock="1"/>
      <w:spacing w:before="357" w:line="280" w:lineRule="exact"/>
      <w:jc w:val="right"/>
    </w:pPr>
    <w:rPr>
      <w:rFonts w:ascii="黑体" w:hAnsi="等线" w:eastAsia="黑体" w:cs="等线"/>
      <w:sz w:val="28"/>
      <w:szCs w:val="28"/>
      <w:lang w:val="en-US" w:eastAsia="zh-CN" w:bidi="ar-SA"/>
    </w:rPr>
  </w:style>
  <w:style w:type="paragraph" w:customStyle="1" w:styleId="581">
    <w:name w:val="Default Text"/>
    <w:basedOn w:val="1"/>
    <w:autoRedefine/>
    <w:qFormat/>
    <w:uiPriority w:val="0"/>
    <w:pPr>
      <w:autoSpaceDE w:val="0"/>
      <w:autoSpaceDN w:val="0"/>
      <w:adjustRightInd w:val="0"/>
      <w:spacing w:line="360" w:lineRule="auto"/>
      <w:ind w:firstLine="200" w:firstLineChars="200"/>
      <w:jc w:val="left"/>
    </w:pPr>
    <w:rPr>
      <w:rFonts w:ascii="等线" w:hAnsi="等线" w:eastAsia="PMingLiU" w:cs="等线"/>
      <w:kern w:val="0"/>
      <w:sz w:val="24"/>
      <w:szCs w:val="20"/>
      <w:lang w:eastAsia="zh-TW"/>
    </w:rPr>
  </w:style>
  <w:style w:type="paragraph" w:customStyle="1" w:styleId="582">
    <w:name w:val="xl115"/>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583">
    <w:name w:val="默认段落字体 Para Char Char Char Char Char Char Char"/>
    <w:basedOn w:val="1"/>
    <w:autoRedefine/>
    <w:qFormat/>
    <w:uiPriority w:val="0"/>
    <w:rPr>
      <w:rFonts w:ascii="等线" w:hAnsi="等线" w:eastAsia="黑体" w:cs="等线"/>
      <w:sz w:val="28"/>
    </w:rPr>
  </w:style>
  <w:style w:type="paragraph" w:customStyle="1" w:styleId="584">
    <w:name w:val="xl4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585">
    <w:name w:val="(1)"/>
    <w:basedOn w:val="1"/>
    <w:autoRedefine/>
    <w:qFormat/>
    <w:uiPriority w:val="0"/>
    <w:pPr>
      <w:adjustRightInd w:val="0"/>
      <w:spacing w:line="454" w:lineRule="atLeast"/>
      <w:ind w:left="1701" w:hanging="709" w:firstLineChars="200"/>
      <w:textAlignment w:val="baseline"/>
    </w:pPr>
    <w:rPr>
      <w:rFonts w:ascii="PMingLiU" w:hAnsi="等线" w:eastAsia="PMingLiU" w:cs="等线"/>
      <w:kern w:val="0"/>
      <w:sz w:val="28"/>
      <w:szCs w:val="20"/>
      <w:lang w:eastAsia="zh-TW"/>
    </w:rPr>
  </w:style>
  <w:style w:type="paragraph" w:customStyle="1" w:styleId="586">
    <w:name w:val=".."/>
    <w:basedOn w:val="1"/>
    <w:next w:val="1"/>
    <w:autoRedefine/>
    <w:qFormat/>
    <w:uiPriority w:val="0"/>
    <w:pPr>
      <w:autoSpaceDE w:val="0"/>
      <w:autoSpaceDN w:val="0"/>
      <w:adjustRightInd w:val="0"/>
      <w:spacing w:line="360" w:lineRule="auto"/>
      <w:ind w:firstLine="200" w:firstLineChars="200"/>
      <w:jc w:val="left"/>
    </w:pPr>
    <w:rPr>
      <w:rFonts w:ascii="等线" w:hAnsi="等线" w:eastAsia="等线" w:cs="等线"/>
      <w:kern w:val="0"/>
      <w:sz w:val="24"/>
    </w:rPr>
  </w:style>
  <w:style w:type="paragraph" w:customStyle="1" w:styleId="587">
    <w:name w:val="2"/>
    <w:basedOn w:val="1"/>
    <w:next w:val="27"/>
    <w:autoRedefine/>
    <w:qFormat/>
    <w:uiPriority w:val="0"/>
    <w:pPr>
      <w:spacing w:line="440" w:lineRule="exact"/>
      <w:ind w:firstLine="420" w:firstLineChars="200"/>
    </w:pPr>
    <w:rPr>
      <w:rFonts w:ascii="等线" w:hAnsi="等线" w:eastAsia="等线" w:cs="等线"/>
      <w:sz w:val="28"/>
      <w:szCs w:val="20"/>
    </w:rPr>
  </w:style>
  <w:style w:type="paragraph" w:customStyle="1" w:styleId="588">
    <w:name w:val="Char Char Char Char Char Char Char Char Char Char Char Char Char Char Char Char Char Char Char1"/>
    <w:basedOn w:val="1"/>
    <w:autoRedefine/>
    <w:qFormat/>
    <w:uiPriority w:val="0"/>
    <w:rPr>
      <w:rFonts w:ascii="黑体" w:hAnsi="等线" w:eastAsia="黑体" w:cs="等线"/>
      <w:b/>
      <w:sz w:val="32"/>
      <w:szCs w:val="32"/>
    </w:rPr>
  </w:style>
  <w:style w:type="paragraph" w:customStyle="1" w:styleId="589">
    <w:name w:val="xl2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590">
    <w:name w:val="规范正文"/>
    <w:basedOn w:val="1"/>
    <w:autoRedefine/>
    <w:qFormat/>
    <w:uiPriority w:val="0"/>
    <w:pPr>
      <w:adjustRightInd w:val="0"/>
      <w:spacing w:line="360" w:lineRule="auto"/>
      <w:ind w:left="480" w:firstLine="200" w:firstLineChars="200"/>
      <w:textAlignment w:val="baseline"/>
    </w:pPr>
    <w:rPr>
      <w:rFonts w:ascii="宋体" w:hAnsi="宋体" w:eastAsia="等线" w:cs="等线"/>
      <w:kern w:val="0"/>
      <w:sz w:val="24"/>
    </w:rPr>
  </w:style>
  <w:style w:type="paragraph" w:customStyle="1" w:styleId="591">
    <w:name w:val="xl3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592">
    <w:name w:val="网格表 31"/>
    <w:basedOn w:val="3"/>
    <w:next w:val="1"/>
    <w:autoRedefine/>
    <w:unhideWhenUsed/>
    <w:qFormat/>
    <w:uiPriority w:val="0"/>
    <w:pPr>
      <w:keepLines/>
      <w:widowControl/>
      <w:spacing w:line="259" w:lineRule="auto"/>
      <w:jc w:val="left"/>
      <w:outlineLvl w:val="9"/>
    </w:pPr>
    <w:rPr>
      <w:rFonts w:ascii="Calibri Light" w:hAnsi="Calibri Light" w:eastAsia="等线"/>
      <w:b w:val="0"/>
      <w:bCs w:val="0"/>
      <w:color w:val="2E74B5"/>
      <w:kern w:val="0"/>
      <w:sz w:val="32"/>
      <w:szCs w:val="32"/>
    </w:rPr>
  </w:style>
  <w:style w:type="paragraph" w:customStyle="1" w:styleId="593">
    <w:name w:val="font8"/>
    <w:basedOn w:val="1"/>
    <w:autoRedefine/>
    <w:qFormat/>
    <w:uiPriority w:val="0"/>
    <w:pPr>
      <w:widowControl/>
      <w:spacing w:before="100" w:beforeAutospacing="1" w:after="100" w:afterAutospacing="1"/>
      <w:jc w:val="left"/>
    </w:pPr>
    <w:rPr>
      <w:rFonts w:ascii="等线" w:hAnsi="等线" w:eastAsia="等线" w:cs="等线"/>
      <w:kern w:val="0"/>
      <w:sz w:val="24"/>
    </w:rPr>
  </w:style>
  <w:style w:type="paragraph" w:customStyle="1" w:styleId="594">
    <w:name w:val="中等深浅网格 1 - 着色 21"/>
    <w:basedOn w:val="1"/>
    <w:autoRedefine/>
    <w:qFormat/>
    <w:uiPriority w:val="0"/>
    <w:pPr>
      <w:spacing w:line="360" w:lineRule="auto"/>
      <w:ind w:firstLine="200" w:firstLineChars="200"/>
    </w:pPr>
    <w:rPr>
      <w:rFonts w:ascii="Verdana" w:hAnsi="Verdana" w:eastAsia="等线" w:cs="等线"/>
      <w:sz w:val="24"/>
      <w:szCs w:val="20"/>
    </w:rPr>
  </w:style>
  <w:style w:type="character" w:customStyle="1" w:styleId="595">
    <w:name w:val="明显引用 Char1"/>
    <w:basedOn w:val="66"/>
    <w:link w:val="324"/>
    <w:autoRedefine/>
    <w:semiHidden/>
    <w:qFormat/>
    <w:uiPriority w:val="99"/>
    <w:rPr>
      <w:b/>
      <w:bCs/>
      <w:i/>
      <w:iCs/>
      <w:color w:val="4F81BD" w:themeColor="accent1"/>
      <w:kern w:val="2"/>
      <w:sz w:val="21"/>
      <w:szCs w:val="24"/>
      <w14:textFill>
        <w14:solidFill>
          <w14:schemeClr w14:val="accent1"/>
        </w14:solidFill>
      </w14:textFill>
    </w:rPr>
  </w:style>
  <w:style w:type="paragraph" w:customStyle="1" w:styleId="596">
    <w:name w:val="Char Char Char Char Char Char1 Char Char Char Char"/>
    <w:basedOn w:val="19"/>
    <w:autoRedefine/>
    <w:qFormat/>
    <w:uiPriority w:val="0"/>
    <w:pPr>
      <w:spacing w:line="360" w:lineRule="auto"/>
      <w:ind w:firstLine="200" w:firstLineChars="200"/>
    </w:pPr>
    <w:rPr>
      <w:rFonts w:ascii="Tahoma" w:hAnsi="Tahoma" w:eastAsia="等线"/>
      <w:sz w:val="24"/>
      <w:szCs w:val="20"/>
    </w:rPr>
  </w:style>
  <w:style w:type="paragraph" w:customStyle="1" w:styleId="597">
    <w:name w:val="xl88"/>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Calibri" w:hAnsi="Calibri" w:eastAsia="Calibri" w:cs="仿宋_GB2312"/>
      <w:color w:val="000000"/>
      <w:kern w:val="0"/>
      <w:sz w:val="24"/>
    </w:rPr>
  </w:style>
  <w:style w:type="paragraph" w:customStyle="1" w:styleId="598">
    <w:name w:val="xl105"/>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599">
    <w:name w:val="xl29"/>
    <w:basedOn w:val="1"/>
    <w:autoRedefine/>
    <w:qFormat/>
    <w:uiPriority w:val="0"/>
    <w:pPr>
      <w:widowControl/>
      <w:autoSpaceDE w:val="0"/>
      <w:autoSpaceDN w:val="0"/>
      <w:adjustRightInd w:val="0"/>
      <w:spacing w:before="100" w:beforeAutospacing="1" w:after="100" w:afterAutospacing="1"/>
      <w:jc w:val="center"/>
    </w:pPr>
    <w:rPr>
      <w:rFonts w:ascii="等线" w:hAnsi="等线" w:eastAsia="Times New Roman" w:cs="等线"/>
      <w:kern w:val="0"/>
      <w:sz w:val="24"/>
      <w:szCs w:val="20"/>
    </w:rPr>
  </w:style>
  <w:style w:type="paragraph" w:customStyle="1" w:styleId="600">
    <w:name w:val="正文Y"/>
    <w:basedOn w:val="1"/>
    <w:autoRedefine/>
    <w:qFormat/>
    <w:uiPriority w:val="0"/>
    <w:pPr>
      <w:spacing w:line="360" w:lineRule="auto"/>
      <w:ind w:firstLine="420" w:firstLineChars="200"/>
    </w:pPr>
    <w:rPr>
      <w:rFonts w:ascii="等线" w:hAnsi="等线" w:eastAsia="等线" w:cs="等线"/>
      <w:sz w:val="24"/>
    </w:rPr>
  </w:style>
  <w:style w:type="paragraph" w:customStyle="1" w:styleId="601">
    <w:name w:val="_Style 54"/>
    <w:basedOn w:val="1"/>
    <w:autoRedefine/>
    <w:qFormat/>
    <w:uiPriority w:val="0"/>
    <w:rPr>
      <w:rFonts w:ascii="等线" w:hAnsi="等线" w:eastAsia="等线" w:cs="等线"/>
    </w:rPr>
  </w:style>
  <w:style w:type="paragraph" w:customStyle="1" w:styleId="602">
    <w:name w:val="标3"/>
    <w:basedOn w:val="5"/>
    <w:next w:val="6"/>
    <w:autoRedefine/>
    <w:qFormat/>
    <w:uiPriority w:val="0"/>
    <w:pPr>
      <w:spacing w:before="240" w:after="180" w:line="360" w:lineRule="auto"/>
      <w:ind w:firstLine="576" w:firstLineChars="205"/>
    </w:pPr>
    <w:rPr>
      <w:rFonts w:ascii="等线" w:hAnsi="等线" w:eastAsia="等线"/>
      <w:sz w:val="28"/>
    </w:rPr>
  </w:style>
  <w:style w:type="paragraph" w:customStyle="1" w:styleId="603">
    <w:name w:val="纯文本1"/>
    <w:basedOn w:val="1"/>
    <w:autoRedefine/>
    <w:qFormat/>
    <w:uiPriority w:val="0"/>
    <w:pPr>
      <w:adjustRightInd w:val="0"/>
      <w:jc w:val="left"/>
      <w:textAlignment w:val="baseline"/>
    </w:pPr>
    <w:rPr>
      <w:rFonts w:ascii="宋体" w:hAnsi="Courier New" w:eastAsia="等线" w:cs="等线"/>
      <w:szCs w:val="20"/>
    </w:rPr>
  </w:style>
  <w:style w:type="paragraph" w:customStyle="1" w:styleId="604">
    <w:name w:val="Char Char1 Char"/>
    <w:basedOn w:val="1"/>
    <w:autoRedefine/>
    <w:qFormat/>
    <w:uiPriority w:val="0"/>
    <w:pPr>
      <w:widowControl/>
      <w:autoSpaceDE w:val="0"/>
      <w:autoSpaceDN w:val="0"/>
      <w:adjustRightInd w:val="0"/>
      <w:snapToGrid w:val="0"/>
      <w:spacing w:before="120" w:after="160" w:line="360" w:lineRule="auto"/>
      <w:ind w:right="-360"/>
      <w:jc w:val="left"/>
    </w:pPr>
    <w:rPr>
      <w:rFonts w:ascii="Tahoma" w:hAnsi="Tahoma" w:eastAsia="等线" w:cs="等线"/>
      <w:kern w:val="0"/>
      <w:sz w:val="24"/>
      <w:szCs w:val="20"/>
      <w:lang w:eastAsia="en-US"/>
    </w:rPr>
  </w:style>
  <w:style w:type="paragraph" w:customStyle="1" w:styleId="605">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Calibri" w:hAnsi="Calibri" w:eastAsia="Calibri" w:cs="仿宋_GB2312"/>
      <w:color w:val="000000"/>
      <w:kern w:val="0"/>
      <w:sz w:val="24"/>
    </w:rPr>
  </w:style>
  <w:style w:type="paragraph" w:customStyle="1" w:styleId="606">
    <w:name w:val="xl110"/>
    <w:basedOn w:val="1"/>
    <w:autoRedefine/>
    <w:qFormat/>
    <w:uiPriority w:val="0"/>
    <w:pPr>
      <w:widowControl/>
      <w:pBdr>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607">
    <w:name w:val="reader-word-layer"/>
    <w:basedOn w:val="1"/>
    <w:autoRedefine/>
    <w:qFormat/>
    <w:uiPriority w:val="0"/>
    <w:pPr>
      <w:widowControl/>
      <w:spacing w:before="100" w:beforeAutospacing="1" w:after="100" w:afterAutospacing="1" w:line="360" w:lineRule="auto"/>
      <w:ind w:firstLine="200" w:firstLineChars="200"/>
      <w:jc w:val="left"/>
    </w:pPr>
    <w:rPr>
      <w:rFonts w:ascii="宋体" w:hAnsi="宋体" w:eastAsia="等线" w:cs="宋体"/>
      <w:kern w:val="0"/>
      <w:sz w:val="24"/>
    </w:rPr>
  </w:style>
  <w:style w:type="paragraph" w:customStyle="1" w:styleId="608">
    <w:name w:val="Char Char 字元 字元 字元 Char Char Char Char"/>
    <w:basedOn w:val="1"/>
    <w:autoRedefine/>
    <w:qFormat/>
    <w:uiPriority w:val="0"/>
    <w:pPr>
      <w:adjustRightInd w:val="0"/>
      <w:spacing w:line="360" w:lineRule="auto"/>
      <w:ind w:firstLine="200" w:firstLineChars="200"/>
    </w:pPr>
    <w:rPr>
      <w:rFonts w:ascii="等线" w:hAnsi="等线" w:eastAsia="等线" w:cs="等线"/>
      <w:kern w:val="0"/>
      <w:sz w:val="24"/>
      <w:szCs w:val="20"/>
    </w:rPr>
  </w:style>
  <w:style w:type="paragraph" w:customStyle="1" w:styleId="609">
    <w:name w:val="中等深浅底纹 1 - 着色 11"/>
    <w:autoRedefine/>
    <w:qFormat/>
    <w:uiPriority w:val="0"/>
    <w:rPr>
      <w:rFonts w:ascii="等线" w:hAnsi="等线" w:eastAsia="等线" w:cs="等线"/>
      <w:sz w:val="22"/>
      <w:szCs w:val="22"/>
      <w:lang w:val="en-US" w:eastAsia="zh-CN" w:bidi="ar-SA"/>
    </w:rPr>
  </w:style>
  <w:style w:type="paragraph" w:customStyle="1" w:styleId="610">
    <w:name w:val="完成日期"/>
    <w:basedOn w:val="1"/>
    <w:autoRedefine/>
    <w:qFormat/>
    <w:uiPriority w:val="0"/>
    <w:pPr>
      <w:adjustRightInd w:val="0"/>
      <w:spacing w:line="360" w:lineRule="auto"/>
      <w:jc w:val="center"/>
      <w:textAlignment w:val="baseline"/>
    </w:pPr>
    <w:rPr>
      <w:rFonts w:ascii="楷体_GB2312" w:hAnsi="等线" w:eastAsia="楷体_GB2312" w:cs="等线"/>
      <w:kern w:val="0"/>
      <w:sz w:val="30"/>
      <w:szCs w:val="20"/>
    </w:rPr>
  </w:style>
  <w:style w:type="paragraph" w:customStyle="1" w:styleId="611">
    <w:name w:val="xl4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等线" w:hAnsi="等线" w:eastAsia="等线" w:cs="等线"/>
      <w:kern w:val="0"/>
      <w:sz w:val="24"/>
    </w:rPr>
  </w:style>
  <w:style w:type="paragraph" w:customStyle="1" w:styleId="612">
    <w:name w:val="样式5"/>
    <w:basedOn w:val="16"/>
    <w:autoRedefine/>
    <w:qFormat/>
    <w:uiPriority w:val="0"/>
    <w:pPr>
      <w:adjustRightInd/>
      <w:spacing w:line="360" w:lineRule="auto"/>
      <w:ind w:firstLine="200" w:firstLineChars="200"/>
      <w:textAlignment w:val="auto"/>
    </w:pPr>
    <w:rPr>
      <w:rFonts w:eastAsia="仿宋_GB2312"/>
      <w:kern w:val="2"/>
      <w:sz w:val="28"/>
      <w:szCs w:val="21"/>
    </w:rPr>
  </w:style>
  <w:style w:type="paragraph" w:customStyle="1" w:styleId="613">
    <w:name w:val="正文 New New New New"/>
    <w:autoRedefine/>
    <w:qFormat/>
    <w:uiPriority w:val="2"/>
    <w:pPr>
      <w:widowControl w:val="0"/>
      <w:jc w:val="both"/>
    </w:pPr>
    <w:rPr>
      <w:rFonts w:ascii="Calibri" w:hAnsi="Calibri" w:eastAsia="等线" w:cs="等线"/>
      <w:color w:val="000000"/>
      <w:szCs w:val="24"/>
      <w:lang w:val="en-US" w:eastAsia="zh-CN" w:bidi="ar-SA"/>
    </w:rPr>
  </w:style>
  <w:style w:type="paragraph" w:customStyle="1" w:styleId="614">
    <w:name w:val="p0"/>
    <w:basedOn w:val="1"/>
    <w:autoRedefine/>
    <w:qFormat/>
    <w:uiPriority w:val="0"/>
    <w:pPr>
      <w:widowControl/>
      <w:spacing w:before="100" w:after="100" w:line="360" w:lineRule="auto"/>
      <w:ind w:firstLine="200" w:firstLineChars="200"/>
    </w:pPr>
    <w:rPr>
      <w:rFonts w:ascii="Calibri" w:hAnsi="Calibri" w:eastAsia="等线" w:cs="等线"/>
      <w:kern w:val="0"/>
      <w:sz w:val="24"/>
      <w:szCs w:val="20"/>
    </w:rPr>
  </w:style>
  <w:style w:type="paragraph" w:customStyle="1" w:styleId="615">
    <w:name w:val="正文（首行缩进）"/>
    <w:basedOn w:val="27"/>
    <w:autoRedefine/>
    <w:qFormat/>
    <w:uiPriority w:val="0"/>
    <w:pPr>
      <w:widowControl/>
      <w:overflowPunct w:val="0"/>
      <w:autoSpaceDE w:val="0"/>
      <w:autoSpaceDN w:val="0"/>
      <w:adjustRightInd w:val="0"/>
      <w:spacing w:beforeLines="50" w:after="120" w:line="400" w:lineRule="exact"/>
      <w:ind w:left="200" w:leftChars="200" w:firstLine="200" w:firstLineChars="200"/>
      <w:jc w:val="left"/>
      <w:textAlignment w:val="baseline"/>
    </w:pPr>
    <w:rPr>
      <w:rFonts w:ascii="等线" w:hAnsi="等线" w:eastAsia="仿宋_GB2312" w:cs="等线"/>
      <w:spacing w:val="10"/>
      <w:kern w:val="0"/>
      <w:szCs w:val="20"/>
    </w:rPr>
  </w:style>
  <w:style w:type="paragraph" w:customStyle="1" w:styleId="616">
    <w:name w:val="Char Char Char Char Char Char Char Char Char1 Char"/>
    <w:basedOn w:val="1"/>
    <w:autoRedefine/>
    <w:qFormat/>
    <w:uiPriority w:val="0"/>
    <w:rPr>
      <w:rFonts w:ascii="等线" w:hAnsi="等线" w:eastAsia="等线" w:cs="等线"/>
    </w:rPr>
  </w:style>
  <w:style w:type="paragraph" w:customStyle="1" w:styleId="617">
    <w:name w:val="其他标准标志"/>
    <w:basedOn w:val="497"/>
    <w:autoRedefine/>
    <w:qFormat/>
    <w:uiPriority w:val="0"/>
    <w:pPr>
      <w:framePr w:w="6101" w:wrap="around" w:vAnchor="page" w:hAnchor="page" w:x="4673" w:y="942"/>
    </w:pPr>
    <w:rPr>
      <w:w w:val="130"/>
    </w:rPr>
  </w:style>
  <w:style w:type="paragraph" w:customStyle="1" w:styleId="618">
    <w:name w:val="xl6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619">
    <w:name w:val="2级"/>
    <w:basedOn w:val="4"/>
    <w:next w:val="62"/>
    <w:autoRedefine/>
    <w:qFormat/>
    <w:uiPriority w:val="0"/>
    <w:pPr>
      <w:spacing w:line="415" w:lineRule="auto"/>
      <w:ind w:left="420"/>
    </w:pPr>
    <w:rPr>
      <w:rFonts w:eastAsia="黑体"/>
      <w:kern w:val="0"/>
      <w:sz w:val="30"/>
    </w:rPr>
  </w:style>
  <w:style w:type="paragraph" w:customStyle="1" w:styleId="620">
    <w:name w:val="表格文字（大）"/>
    <w:basedOn w:val="1"/>
    <w:autoRedefine/>
    <w:qFormat/>
    <w:uiPriority w:val="0"/>
    <w:pPr>
      <w:autoSpaceDE w:val="0"/>
      <w:autoSpaceDN w:val="0"/>
      <w:adjustRightInd w:val="0"/>
      <w:spacing w:before="20" w:after="20"/>
      <w:jc w:val="left"/>
    </w:pPr>
    <w:rPr>
      <w:rFonts w:ascii="Arial Unicode MS" w:hAnsi="Arial Unicode MS" w:eastAsia="等线" w:cs="Arial Unicode MS"/>
      <w:kern w:val="0"/>
      <w:sz w:val="24"/>
      <w:szCs w:val="20"/>
    </w:rPr>
  </w:style>
  <w:style w:type="paragraph" w:customStyle="1" w:styleId="621">
    <w:name w:val="xl94"/>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等线" w:hAnsi="等线" w:eastAsia="等线" w:cs="等线"/>
      <w:kern w:val="0"/>
      <w:sz w:val="24"/>
    </w:rPr>
  </w:style>
  <w:style w:type="paragraph" w:customStyle="1" w:styleId="622">
    <w:name w:val="默认段落字体 Para Char Char Char Char"/>
    <w:basedOn w:val="1"/>
    <w:autoRedefine/>
    <w:qFormat/>
    <w:uiPriority w:val="0"/>
    <w:rPr>
      <w:rFonts w:ascii="等线" w:hAnsi="等线" w:eastAsia="等线" w:cs="等线"/>
    </w:rPr>
  </w:style>
  <w:style w:type="paragraph" w:customStyle="1" w:styleId="623">
    <w:name w:val="xl4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等线" w:hAnsi="等线" w:eastAsia="等线" w:cs="等线"/>
      <w:kern w:val="0"/>
      <w:sz w:val="24"/>
    </w:rPr>
  </w:style>
  <w:style w:type="paragraph" w:customStyle="1" w:styleId="624">
    <w:name w:val="A正文"/>
    <w:basedOn w:val="96"/>
    <w:autoRedefine/>
    <w:qFormat/>
    <w:uiPriority w:val="0"/>
    <w:pPr>
      <w:jc w:val="left"/>
    </w:pPr>
    <w:rPr>
      <w:rFonts w:ascii="等线" w:hAnsi="等线" w:eastAsia="等线"/>
      <w:shd w:val="clear" w:color="auto" w:fill="auto"/>
    </w:rPr>
  </w:style>
  <w:style w:type="paragraph" w:customStyle="1" w:styleId="625">
    <w:name w:val="xl45"/>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等线" w:hAnsi="等线" w:eastAsia="等线" w:cs="等线"/>
      <w:kern w:val="0"/>
      <w:sz w:val="24"/>
    </w:rPr>
  </w:style>
  <w:style w:type="paragraph" w:customStyle="1" w:styleId="626">
    <w:name w:val="14"/>
    <w:basedOn w:val="1"/>
    <w:autoRedefine/>
    <w:qFormat/>
    <w:uiPriority w:val="0"/>
    <w:pPr>
      <w:snapToGrid w:val="0"/>
      <w:spacing w:beforeLines="30" w:line="288" w:lineRule="auto"/>
      <w:ind w:left="852" w:leftChars="355" w:firstLine="420" w:firstLineChars="175"/>
    </w:pPr>
    <w:rPr>
      <w:rFonts w:ascii="Calibri" w:hAnsi="Calibri" w:eastAsia="等线" w:cs="等线"/>
      <w:sz w:val="24"/>
      <w:szCs w:val="20"/>
    </w:rPr>
  </w:style>
  <w:style w:type="paragraph" w:customStyle="1" w:styleId="627">
    <w:name w:val="xl32"/>
    <w:basedOn w:val="1"/>
    <w:autoRedefine/>
    <w:qFormat/>
    <w:uiPriority w:val="0"/>
    <w:pPr>
      <w:widowControl/>
      <w:pBdr>
        <w:top w:val="single" w:color="auto" w:sz="4" w:space="0"/>
        <w:left w:val="single" w:color="auto" w:sz="4" w:space="0"/>
        <w:right w:val="single" w:color="auto" w:sz="4" w:space="0"/>
      </w:pBdr>
      <w:shd w:val="clear" w:color="auto" w:fill="FFFFFF"/>
      <w:spacing w:before="100" w:beforeAutospacing="1" w:after="100" w:afterAutospacing="1"/>
      <w:jc w:val="center"/>
      <w:textAlignment w:val="center"/>
    </w:pPr>
    <w:rPr>
      <w:rFonts w:ascii="等线" w:hAnsi="等线" w:eastAsia="等线" w:cs="等线"/>
      <w:kern w:val="0"/>
      <w:sz w:val="20"/>
      <w:szCs w:val="20"/>
    </w:rPr>
  </w:style>
  <w:style w:type="paragraph" w:customStyle="1" w:styleId="628">
    <w:name w:val="xl95"/>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629">
    <w:name w:val="Char Char1 Char Char Char"/>
    <w:basedOn w:val="1"/>
    <w:autoRedefine/>
    <w:qFormat/>
    <w:uiPriority w:val="0"/>
    <w:pPr>
      <w:autoSpaceDE w:val="0"/>
      <w:autoSpaceDN w:val="0"/>
      <w:adjustRightInd w:val="0"/>
      <w:jc w:val="left"/>
    </w:pPr>
    <w:rPr>
      <w:rFonts w:ascii="黑体" w:hAnsi="等线" w:eastAsia="黑体" w:cs="等线"/>
      <w:b/>
      <w:kern w:val="0"/>
      <w:sz w:val="32"/>
      <w:szCs w:val="32"/>
    </w:rPr>
  </w:style>
  <w:style w:type="paragraph" w:customStyle="1" w:styleId="630">
    <w:name w:val="项目2"/>
    <w:autoRedefine/>
    <w:qFormat/>
    <w:uiPriority w:val="0"/>
    <w:pPr>
      <w:tabs>
        <w:tab w:val="left" w:pos="425"/>
      </w:tabs>
      <w:spacing w:before="120" w:after="120" w:line="360" w:lineRule="auto"/>
      <w:ind w:left="420" w:hanging="420"/>
    </w:pPr>
    <w:rPr>
      <w:rFonts w:ascii="等线" w:hAnsi="等线" w:eastAsia="仿宋_GB2312" w:cs="等线"/>
      <w:sz w:val="24"/>
      <w:lang w:val="en-US" w:eastAsia="zh-CN" w:bidi="ar-SA"/>
    </w:rPr>
  </w:style>
  <w:style w:type="paragraph" w:customStyle="1" w:styleId="631">
    <w:name w:val="Char13"/>
    <w:basedOn w:val="1"/>
    <w:autoRedefine/>
    <w:qFormat/>
    <w:uiPriority w:val="0"/>
    <w:pPr>
      <w:widowControl/>
      <w:spacing w:after="160" w:line="240" w:lineRule="exact"/>
      <w:jc w:val="left"/>
    </w:pPr>
    <w:rPr>
      <w:rFonts w:ascii="Courier New" w:hAnsi="Courier New" w:eastAsia="等线" w:cs="等线"/>
      <w:kern w:val="0"/>
      <w:sz w:val="20"/>
      <w:szCs w:val="20"/>
      <w:lang w:eastAsia="en-US"/>
    </w:rPr>
  </w:style>
  <w:style w:type="paragraph" w:customStyle="1" w:styleId="632">
    <w:name w:val="xl104"/>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633">
    <w:name w:val="c"/>
    <w:autoRedefine/>
    <w:qFormat/>
    <w:uiPriority w:val="0"/>
    <w:pPr>
      <w:widowControl w:val="0"/>
      <w:autoSpaceDE w:val="0"/>
      <w:autoSpaceDN w:val="0"/>
      <w:adjustRightInd w:val="0"/>
      <w:jc w:val="both"/>
    </w:pPr>
    <w:rPr>
      <w:rFonts w:ascii="Arial" w:hAnsi="Arial" w:eastAsia="等线" w:cs="等线"/>
      <w:sz w:val="24"/>
      <w:lang w:val="en-US" w:eastAsia="zh-CN" w:bidi="ar-SA"/>
    </w:rPr>
  </w:style>
  <w:style w:type="paragraph" w:customStyle="1" w:styleId="634">
    <w:name w:val="xl83"/>
    <w:basedOn w:val="1"/>
    <w:autoRedefine/>
    <w:qFormat/>
    <w:uiPriority w:val="0"/>
    <w:pPr>
      <w:widowControl/>
      <w:pBdr>
        <w:left w:val="single" w:color="auto" w:sz="4" w:space="0"/>
        <w:right w:val="single" w:color="auto" w:sz="4" w:space="0"/>
      </w:pBdr>
      <w:spacing w:before="100" w:beforeAutospacing="1" w:after="100" w:afterAutospacing="1"/>
      <w:jc w:val="left"/>
    </w:pPr>
    <w:rPr>
      <w:rFonts w:ascii="Calibri" w:hAnsi="Calibri" w:eastAsia="Calibri" w:cs="仿宋_GB2312"/>
      <w:color w:val="000000"/>
      <w:kern w:val="0"/>
      <w:sz w:val="24"/>
    </w:rPr>
  </w:style>
  <w:style w:type="paragraph" w:customStyle="1" w:styleId="635">
    <w:name w:val="font12"/>
    <w:basedOn w:val="1"/>
    <w:autoRedefine/>
    <w:qFormat/>
    <w:uiPriority w:val="0"/>
    <w:pPr>
      <w:widowControl/>
      <w:spacing w:before="100" w:beforeAutospacing="1" w:after="100" w:afterAutospacing="1"/>
      <w:jc w:val="left"/>
    </w:pPr>
    <w:rPr>
      <w:rFonts w:ascii="等线" w:hAnsi="等线" w:eastAsia="等线" w:cs="等线"/>
      <w:kern w:val="0"/>
      <w:sz w:val="28"/>
      <w:szCs w:val="28"/>
    </w:rPr>
  </w:style>
  <w:style w:type="paragraph" w:customStyle="1" w:styleId="636">
    <w:name w:val="数字级连标题3"/>
    <w:basedOn w:val="5"/>
    <w:next w:val="1"/>
    <w:autoRedefine/>
    <w:qFormat/>
    <w:uiPriority w:val="0"/>
    <w:pPr>
      <w:suppressAutoHyphens/>
      <w:spacing w:before="0" w:after="0" w:line="360" w:lineRule="auto"/>
    </w:pPr>
    <w:rPr>
      <w:rFonts w:ascii="等线" w:hAnsi="等线" w:eastAsia="等线"/>
      <w:sz w:val="28"/>
      <w:szCs w:val="20"/>
      <w:lang w:eastAsia="ar-SA"/>
    </w:rPr>
  </w:style>
  <w:style w:type="paragraph" w:customStyle="1" w:styleId="637">
    <w:name w:val="Item List"/>
    <w:autoRedefine/>
    <w:qFormat/>
    <w:uiPriority w:val="0"/>
    <w:pPr>
      <w:spacing w:line="300" w:lineRule="auto"/>
      <w:ind w:left="1701"/>
      <w:jc w:val="both"/>
    </w:pPr>
    <w:rPr>
      <w:rFonts w:ascii="Arial" w:hAnsi="Arial" w:eastAsia="等线" w:cs="等线"/>
      <w:sz w:val="21"/>
      <w:lang w:val="en-US" w:eastAsia="zh-CN" w:bidi="ar-SA"/>
    </w:rPr>
  </w:style>
  <w:style w:type="paragraph" w:customStyle="1" w:styleId="638">
    <w:name w:val="font5"/>
    <w:basedOn w:val="1"/>
    <w:autoRedefine/>
    <w:qFormat/>
    <w:uiPriority w:val="0"/>
    <w:pPr>
      <w:widowControl/>
      <w:spacing w:before="100" w:beforeAutospacing="1" w:after="100" w:afterAutospacing="1"/>
      <w:jc w:val="left"/>
    </w:pPr>
    <w:rPr>
      <w:rFonts w:ascii="仿宋_GB2312" w:hAnsi="仿宋_GB2312" w:eastAsia="等线" w:cs="仿宋_GB2312"/>
      <w:kern w:val="0"/>
      <w:sz w:val="18"/>
      <w:szCs w:val="18"/>
    </w:rPr>
  </w:style>
  <w:style w:type="paragraph" w:customStyle="1" w:styleId="639">
    <w:name w:val="样式3"/>
    <w:basedOn w:val="3"/>
    <w:autoRedefine/>
    <w:qFormat/>
    <w:uiPriority w:val="0"/>
    <w:pPr>
      <w:keepNext w:val="0"/>
      <w:autoSpaceDE w:val="0"/>
      <w:autoSpaceDN w:val="0"/>
      <w:adjustRightInd w:val="0"/>
      <w:spacing w:before="560" w:after="280"/>
      <w:jc w:val="left"/>
      <w:textAlignment w:val="baseline"/>
    </w:pPr>
    <w:rPr>
      <w:rFonts w:ascii="等线" w:hAnsi="等线" w:eastAsia="黑体"/>
      <w:b w:val="0"/>
      <w:bCs w:val="0"/>
      <w:kern w:val="0"/>
      <w:sz w:val="44"/>
      <w:szCs w:val="20"/>
    </w:rPr>
  </w:style>
  <w:style w:type="paragraph" w:customStyle="1" w:styleId="640">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_GB2312" w:hAnsi="仿宋_GB2312" w:eastAsia="等线" w:cs="仿宋_GB2312"/>
      <w:kern w:val="0"/>
      <w:sz w:val="24"/>
    </w:rPr>
  </w:style>
  <w:style w:type="paragraph" w:customStyle="1" w:styleId="641">
    <w:name w:val="Char"/>
    <w:basedOn w:val="1"/>
    <w:autoRedefine/>
    <w:qFormat/>
    <w:uiPriority w:val="0"/>
    <w:pPr>
      <w:widowControl/>
      <w:spacing w:line="400" w:lineRule="exact"/>
      <w:jc w:val="center"/>
    </w:pPr>
    <w:rPr>
      <w:rFonts w:ascii="Courier New" w:hAnsi="Courier New" w:eastAsia="等线" w:cs="等线"/>
      <w:kern w:val="0"/>
      <w:szCs w:val="20"/>
      <w:lang w:eastAsia="en-US"/>
    </w:rPr>
  </w:style>
  <w:style w:type="paragraph" w:customStyle="1" w:styleId="642">
    <w:name w:val="xl106"/>
    <w:basedOn w:val="1"/>
    <w:autoRedefine/>
    <w:qFormat/>
    <w:uiPriority w:val="0"/>
    <w:pPr>
      <w:widowControl/>
      <w:pBdr>
        <w:top w:val="single" w:color="auto" w:sz="4" w:space="0"/>
        <w:left w:val="single" w:color="auto" w:sz="4" w:space="0"/>
        <w:right w:val="single" w:color="auto" w:sz="4" w:space="0"/>
      </w:pBdr>
      <w:shd w:val="clear" w:color="auto" w:fill="FFFFFF"/>
      <w:spacing w:before="100" w:beforeAutospacing="1" w:after="100" w:afterAutospacing="1"/>
      <w:jc w:val="center"/>
    </w:pPr>
    <w:rPr>
      <w:rFonts w:ascii="宋体" w:hAnsi="宋体" w:eastAsia="等线" w:cs="等线"/>
      <w:kern w:val="0"/>
      <w:sz w:val="24"/>
    </w:rPr>
  </w:style>
  <w:style w:type="paragraph" w:customStyle="1" w:styleId="643">
    <w:name w:val="默认段落字体 Para Char Char Char Char Char Char Char Char Char Char"/>
    <w:basedOn w:val="1"/>
    <w:autoRedefine/>
    <w:qFormat/>
    <w:uiPriority w:val="0"/>
    <w:pPr>
      <w:widowControl/>
      <w:spacing w:after="200"/>
      <w:jc w:val="left"/>
    </w:pPr>
    <w:rPr>
      <w:rFonts w:ascii="Tahoma" w:hAnsi="Tahoma" w:eastAsia="等线" w:cs="等线"/>
      <w:kern w:val="0"/>
      <w:sz w:val="22"/>
      <w:szCs w:val="20"/>
      <w:lang w:eastAsia="en-US" w:bidi="en-US"/>
    </w:rPr>
  </w:style>
  <w:style w:type="paragraph" w:customStyle="1" w:styleId="644">
    <w:name w:val="标书正文带编号"/>
    <w:basedOn w:val="1"/>
    <w:autoRedefine/>
    <w:qFormat/>
    <w:uiPriority w:val="0"/>
    <w:pPr>
      <w:tabs>
        <w:tab w:val="left" w:pos="397"/>
      </w:tabs>
      <w:autoSpaceDE w:val="0"/>
      <w:autoSpaceDN w:val="0"/>
      <w:adjustRightInd w:val="0"/>
      <w:ind w:firstLine="397"/>
      <w:jc w:val="left"/>
    </w:pPr>
    <w:rPr>
      <w:rFonts w:ascii="等线" w:hAnsi="等线" w:eastAsia="等线" w:cs="仿宋_GB2312"/>
      <w:kern w:val="0"/>
      <w:sz w:val="20"/>
      <w:szCs w:val="21"/>
    </w:rPr>
  </w:style>
  <w:style w:type="paragraph" w:customStyle="1" w:styleId="645">
    <w:name w:val="样式 首行缩进:  2 字符"/>
    <w:basedOn w:val="1"/>
    <w:autoRedefine/>
    <w:qFormat/>
    <w:uiPriority w:val="0"/>
    <w:pPr>
      <w:widowControl/>
      <w:tabs>
        <w:tab w:val="left" w:pos="420"/>
      </w:tabs>
      <w:ind w:left="420" w:hanging="420"/>
    </w:pPr>
    <w:rPr>
      <w:rFonts w:ascii="宋体" w:hAnsi="宋体" w:eastAsia="等线" w:cs="宋体"/>
      <w:bCs/>
      <w:color w:val="000000"/>
      <w:kern w:val="0"/>
      <w:sz w:val="24"/>
    </w:rPr>
  </w:style>
  <w:style w:type="paragraph" w:customStyle="1" w:styleId="646">
    <w:name w:val="标题小四"/>
    <w:basedOn w:val="4"/>
    <w:autoRedefine/>
    <w:qFormat/>
    <w:uiPriority w:val="0"/>
    <w:pPr>
      <w:keepNext w:val="0"/>
      <w:keepLines w:val="0"/>
      <w:spacing w:before="0" w:after="0" w:line="360" w:lineRule="auto"/>
      <w:ind w:right="90"/>
      <w:outlineLvl w:val="9"/>
    </w:pPr>
    <w:rPr>
      <w:rFonts w:ascii="仿宋_GB2312" w:hAnsi="宋体" w:eastAsia="仿宋_GB2312" w:cs="Arial Unicode MS"/>
      <w:b w:val="0"/>
      <w:bCs w:val="0"/>
      <w:color w:val="000000"/>
      <w:sz w:val="21"/>
      <w:szCs w:val="21"/>
    </w:rPr>
  </w:style>
  <w:style w:type="paragraph" w:customStyle="1" w:styleId="647">
    <w:name w:val="彩色底纹 - 强调文字颜色 11"/>
    <w:autoRedefine/>
    <w:semiHidden/>
    <w:qFormat/>
    <w:uiPriority w:val="99"/>
    <w:rPr>
      <w:rFonts w:ascii="等线" w:hAnsi="等线" w:eastAsia="等线" w:cs="等线"/>
      <w:kern w:val="2"/>
      <w:sz w:val="21"/>
      <w:szCs w:val="24"/>
      <w:lang w:val="en-US" w:eastAsia="zh-CN" w:bidi="ar-SA"/>
    </w:rPr>
  </w:style>
  <w:style w:type="paragraph" w:customStyle="1" w:styleId="648">
    <w:name w:val="_Style 3"/>
    <w:autoRedefine/>
    <w:qFormat/>
    <w:uiPriority w:val="0"/>
    <w:rPr>
      <w:rFonts w:ascii="Calibri" w:hAnsi="Calibri" w:eastAsia="等线" w:cs="等线"/>
      <w:sz w:val="22"/>
      <w:szCs w:val="22"/>
      <w:lang w:val="en-US" w:eastAsia="zh-CN" w:bidi="ar-SA"/>
    </w:rPr>
  </w:style>
  <w:style w:type="paragraph" w:customStyle="1" w:styleId="649">
    <w:name w:val="xl100"/>
    <w:basedOn w:val="1"/>
    <w:autoRedefine/>
    <w:qFormat/>
    <w:uiPriority w:val="0"/>
    <w:pPr>
      <w:widowControl/>
      <w:pBdr>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650">
    <w:name w:val="xl59"/>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651">
    <w:name w:val="xl33"/>
    <w:basedOn w:val="1"/>
    <w:autoRedefine/>
    <w:qFormat/>
    <w:uiPriority w:val="0"/>
    <w:pPr>
      <w:widowControl/>
      <w:pBdr>
        <w:left w:val="single" w:color="auto" w:sz="4" w:space="0"/>
        <w:right w:val="single" w:color="auto" w:sz="4" w:space="0"/>
      </w:pBdr>
      <w:spacing w:before="100" w:beforeAutospacing="1" w:after="100" w:afterAutospacing="1"/>
      <w:jc w:val="center"/>
    </w:pPr>
    <w:rPr>
      <w:rFonts w:ascii="等线" w:hAnsi="等线" w:eastAsia="等线" w:cs="等线"/>
      <w:kern w:val="0"/>
      <w:sz w:val="20"/>
      <w:szCs w:val="20"/>
    </w:rPr>
  </w:style>
  <w:style w:type="paragraph" w:customStyle="1" w:styleId="652">
    <w:name w:val="其他标准称谓"/>
    <w:next w:val="1"/>
    <w:autoRedefine/>
    <w:qFormat/>
    <w:uiPriority w:val="0"/>
    <w:pPr>
      <w:framePr w:hSpace="181" w:vSpace="181" w:wrap="around" w:vAnchor="page" w:hAnchor="page" w:x="1419" w:y="2286" w:anchorLock="1"/>
      <w:spacing w:line="0" w:lineRule="atLeast"/>
      <w:jc w:val="distribute"/>
    </w:pPr>
    <w:rPr>
      <w:rFonts w:ascii="黑体" w:hAnsi="宋体" w:eastAsia="黑体" w:cs="等线"/>
      <w:spacing w:val="-40"/>
      <w:sz w:val="48"/>
      <w:szCs w:val="52"/>
      <w:lang w:val="en-US" w:eastAsia="zh-CN" w:bidi="ar-SA"/>
    </w:rPr>
  </w:style>
  <w:style w:type="paragraph" w:customStyle="1" w:styleId="653">
    <w:name w:val="xl3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654">
    <w:name w:val="font15"/>
    <w:basedOn w:val="1"/>
    <w:autoRedefine/>
    <w:qFormat/>
    <w:uiPriority w:val="0"/>
    <w:pPr>
      <w:widowControl/>
      <w:spacing w:before="100" w:beforeAutospacing="1" w:after="100" w:afterAutospacing="1"/>
      <w:jc w:val="left"/>
    </w:pPr>
    <w:rPr>
      <w:rFonts w:hint="eastAsia" w:ascii="宋体" w:hAnsi="宋体" w:eastAsia="等线" w:cs="等线"/>
      <w:b/>
      <w:bCs/>
      <w:color w:val="000000"/>
      <w:kern w:val="0"/>
      <w:sz w:val="16"/>
      <w:szCs w:val="16"/>
    </w:rPr>
  </w:style>
  <w:style w:type="paragraph" w:customStyle="1" w:styleId="655">
    <w:name w:val="xl63"/>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656">
    <w:name w:val="样式 标题 5 + 段前: 5 磅 段后: 5 磅 行距: 单倍行距"/>
    <w:basedOn w:val="7"/>
    <w:autoRedefine/>
    <w:qFormat/>
    <w:uiPriority w:val="0"/>
    <w:pPr>
      <w:tabs>
        <w:tab w:val="left" w:pos="2100"/>
      </w:tabs>
      <w:adjustRightInd w:val="0"/>
      <w:spacing w:before="100" w:after="100" w:line="240" w:lineRule="auto"/>
      <w:ind w:left="2100" w:hanging="420" w:firstLineChars="200"/>
      <w:jc w:val="left"/>
      <w:textAlignment w:val="baseline"/>
    </w:pPr>
    <w:rPr>
      <w:bCs w:val="0"/>
      <w:kern w:val="0"/>
      <w:szCs w:val="20"/>
    </w:rPr>
  </w:style>
  <w:style w:type="paragraph" w:customStyle="1" w:styleId="657">
    <w:name w:val="列出段落3"/>
    <w:basedOn w:val="1"/>
    <w:autoRedefine/>
    <w:qFormat/>
    <w:uiPriority w:val="0"/>
    <w:pPr>
      <w:ind w:firstLine="420" w:firstLineChars="200"/>
    </w:pPr>
    <w:rPr>
      <w:rFonts w:ascii="Calibri" w:hAnsi="Calibri" w:eastAsia="等线" w:cs="等线"/>
      <w:szCs w:val="22"/>
    </w:rPr>
  </w:style>
  <w:style w:type="paragraph" w:customStyle="1" w:styleId="658">
    <w:name w:val="标准小四"/>
    <w:basedOn w:val="1"/>
    <w:autoRedefine/>
    <w:qFormat/>
    <w:uiPriority w:val="0"/>
    <w:pPr>
      <w:autoSpaceDE w:val="0"/>
      <w:autoSpaceDN w:val="0"/>
      <w:adjustRightInd w:val="0"/>
      <w:spacing w:line="360" w:lineRule="auto"/>
      <w:ind w:firstLine="480" w:firstLineChars="200"/>
      <w:jc w:val="left"/>
    </w:pPr>
    <w:rPr>
      <w:rFonts w:ascii="Tahoma" w:hAnsi="Tahoma" w:eastAsia="等线" w:cs="等线"/>
      <w:kern w:val="0"/>
      <w:sz w:val="24"/>
      <w:szCs w:val="21"/>
    </w:rPr>
  </w:style>
  <w:style w:type="paragraph" w:customStyle="1" w:styleId="659">
    <w:name w:val="排列"/>
    <w:basedOn w:val="1"/>
    <w:autoRedefine/>
    <w:qFormat/>
    <w:uiPriority w:val="0"/>
    <w:pPr>
      <w:widowControl/>
      <w:autoSpaceDE w:val="0"/>
      <w:autoSpaceDN w:val="0"/>
      <w:adjustRightInd w:val="0"/>
      <w:spacing w:line="360" w:lineRule="auto"/>
      <w:jc w:val="left"/>
    </w:pPr>
    <w:rPr>
      <w:rFonts w:ascii="仿宋_GB2312" w:hAnsi="仿宋_GB2312" w:eastAsia="等线" w:cs="等线"/>
      <w:kern w:val="0"/>
      <w:sz w:val="20"/>
      <w:szCs w:val="20"/>
      <w:lang w:val="zh-CN"/>
    </w:rPr>
  </w:style>
  <w:style w:type="paragraph" w:customStyle="1" w:styleId="660">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Calibri" w:hAnsi="Calibri" w:eastAsia="Calibri" w:cs="仿宋_GB2312"/>
      <w:b/>
      <w:bCs/>
      <w:color w:val="000000"/>
      <w:kern w:val="0"/>
      <w:sz w:val="24"/>
    </w:rPr>
  </w:style>
  <w:style w:type="paragraph" w:customStyle="1" w:styleId="661">
    <w:name w:val="標題 2..."/>
    <w:basedOn w:val="1"/>
    <w:autoRedefine/>
    <w:qFormat/>
    <w:uiPriority w:val="0"/>
    <w:pPr>
      <w:spacing w:line="360" w:lineRule="auto"/>
      <w:ind w:left="568" w:firstLine="567" w:firstLineChars="200"/>
    </w:pPr>
    <w:rPr>
      <w:rFonts w:ascii="等线" w:hAnsi="等线" w:eastAsia="PMingLiU" w:cs="等线"/>
      <w:sz w:val="24"/>
      <w:lang w:eastAsia="zh-TW"/>
    </w:rPr>
  </w:style>
  <w:style w:type="paragraph" w:customStyle="1" w:styleId="662">
    <w:name w:val="TOC 标题1"/>
    <w:basedOn w:val="3"/>
    <w:next w:val="1"/>
    <w:autoRedefine/>
    <w:qFormat/>
    <w:uiPriority w:val="39"/>
    <w:pPr>
      <w:keepLines/>
      <w:spacing w:beforeLines="50" w:afterLines="50" w:line="578" w:lineRule="auto"/>
      <w:jc w:val="both"/>
      <w:outlineLvl w:val="9"/>
    </w:pPr>
    <w:rPr>
      <w:rFonts w:ascii="等线" w:hAnsi="等线" w:eastAsia="等线"/>
      <w:kern w:val="44"/>
      <w:sz w:val="44"/>
      <w:szCs w:val="44"/>
    </w:rPr>
  </w:style>
  <w:style w:type="paragraph" w:customStyle="1" w:styleId="663">
    <w:name w:val="正文 首行缩进:  2 字符 Char"/>
    <w:basedOn w:val="1"/>
    <w:autoRedefine/>
    <w:qFormat/>
    <w:uiPriority w:val="0"/>
    <w:pPr>
      <w:spacing w:line="360" w:lineRule="auto"/>
      <w:ind w:firstLine="480"/>
    </w:pPr>
    <w:rPr>
      <w:rFonts w:ascii="等线" w:hAnsi="等线" w:eastAsia="等线" w:cs="仿宋_GB2312"/>
      <w:sz w:val="24"/>
      <w:szCs w:val="20"/>
    </w:rPr>
  </w:style>
  <w:style w:type="paragraph" w:customStyle="1" w:styleId="664">
    <w:name w:val="font6"/>
    <w:basedOn w:val="1"/>
    <w:autoRedefine/>
    <w:qFormat/>
    <w:uiPriority w:val="0"/>
    <w:pPr>
      <w:widowControl/>
      <w:spacing w:before="100" w:beforeAutospacing="1" w:after="100" w:afterAutospacing="1"/>
      <w:jc w:val="left"/>
    </w:pPr>
    <w:rPr>
      <w:rFonts w:ascii="仿宋_GB2312" w:hAnsi="仿宋_GB2312" w:eastAsia="等线" w:cs="仿宋_GB2312"/>
      <w:kern w:val="0"/>
      <w:sz w:val="18"/>
      <w:szCs w:val="18"/>
    </w:rPr>
  </w:style>
  <w:style w:type="paragraph" w:customStyle="1" w:styleId="665">
    <w:name w:val="列表内容"/>
    <w:basedOn w:val="1"/>
    <w:next w:val="1"/>
    <w:autoRedefine/>
    <w:qFormat/>
    <w:uiPriority w:val="0"/>
    <w:pPr>
      <w:widowControl/>
      <w:autoSpaceDE w:val="0"/>
      <w:autoSpaceDN w:val="0"/>
      <w:adjustRightInd w:val="0"/>
      <w:ind w:firstLine="200"/>
      <w:jc w:val="left"/>
    </w:pPr>
    <w:rPr>
      <w:rFonts w:ascii="等线" w:hAnsi="等线" w:eastAsia="等线" w:cs="等线"/>
      <w:kern w:val="0"/>
      <w:sz w:val="18"/>
      <w:szCs w:val="20"/>
    </w:rPr>
  </w:style>
  <w:style w:type="paragraph" w:customStyle="1" w:styleId="666">
    <w:name w:val="附录表标题"/>
    <w:basedOn w:val="1"/>
    <w:next w:val="454"/>
    <w:autoRedefine/>
    <w:qFormat/>
    <w:uiPriority w:val="0"/>
    <w:pPr>
      <w:tabs>
        <w:tab w:val="left" w:pos="180"/>
        <w:tab w:val="left" w:pos="992"/>
      </w:tabs>
      <w:autoSpaceDE w:val="0"/>
      <w:autoSpaceDN w:val="0"/>
      <w:adjustRightInd w:val="0"/>
      <w:spacing w:beforeLines="50" w:afterLines="50"/>
      <w:jc w:val="center"/>
      <w:textAlignment w:val="baseline"/>
    </w:pPr>
    <w:rPr>
      <w:rFonts w:ascii="黑体" w:hAnsi="等线" w:eastAsia="黑体" w:cs="等线"/>
      <w:kern w:val="0"/>
      <w:sz w:val="28"/>
      <w:szCs w:val="21"/>
    </w:rPr>
  </w:style>
  <w:style w:type="paragraph" w:customStyle="1" w:styleId="667">
    <w:name w:val="xl4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668">
    <w:name w:val="WW-正文文字缩进 2"/>
    <w:basedOn w:val="1"/>
    <w:autoRedefine/>
    <w:qFormat/>
    <w:uiPriority w:val="0"/>
    <w:pPr>
      <w:suppressAutoHyphens/>
      <w:autoSpaceDE w:val="0"/>
      <w:autoSpaceDN w:val="0"/>
      <w:adjustRightInd w:val="0"/>
      <w:ind w:firstLine="420"/>
      <w:jc w:val="left"/>
    </w:pPr>
    <w:rPr>
      <w:rFonts w:ascii="等线" w:hAnsi="等线" w:eastAsia="等线" w:cs="等线"/>
      <w:kern w:val="1"/>
      <w:sz w:val="20"/>
      <w:szCs w:val="20"/>
    </w:rPr>
  </w:style>
  <w:style w:type="paragraph" w:customStyle="1" w:styleId="669">
    <w:name w:val="Char Char1 Char Char Char Char Char Char Char Char Char Char Char Char Char Char"/>
    <w:basedOn w:val="1"/>
    <w:autoRedefine/>
    <w:qFormat/>
    <w:uiPriority w:val="0"/>
    <w:pPr>
      <w:widowControl/>
      <w:autoSpaceDE w:val="0"/>
      <w:autoSpaceDN w:val="0"/>
      <w:adjustRightInd w:val="0"/>
      <w:spacing w:after="160" w:line="240" w:lineRule="exact"/>
      <w:jc w:val="left"/>
    </w:pPr>
    <w:rPr>
      <w:rFonts w:ascii="等线" w:hAnsi="等线" w:eastAsia="等线" w:cs="等线"/>
      <w:kern w:val="0"/>
      <w:sz w:val="20"/>
      <w:szCs w:val="20"/>
    </w:rPr>
  </w:style>
  <w:style w:type="paragraph" w:customStyle="1" w:styleId="670">
    <w:name w:val="xl108"/>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等线" w:cs="等线"/>
      <w:kern w:val="0"/>
      <w:sz w:val="24"/>
    </w:rPr>
  </w:style>
  <w:style w:type="paragraph" w:customStyle="1" w:styleId="671">
    <w:name w:val="PP Line"/>
    <w:basedOn w:val="44"/>
    <w:autoRedefine/>
    <w:qFormat/>
    <w:uiPriority w:val="0"/>
    <w:pPr>
      <w:autoSpaceDE/>
      <w:autoSpaceDN/>
      <w:spacing w:after="0" w:line="360" w:lineRule="atLeast"/>
      <w:ind w:left="100" w:leftChars="1800" w:firstLine="200" w:firstLineChars="200"/>
      <w:jc w:val="left"/>
    </w:pPr>
    <w:rPr>
      <w:rFonts w:eastAsia="PMingLiU"/>
      <w:lang w:eastAsia="zh-TW"/>
    </w:rPr>
  </w:style>
  <w:style w:type="paragraph" w:customStyle="1" w:styleId="672">
    <w:name w:val="正文文本 21"/>
    <w:basedOn w:val="1"/>
    <w:autoRedefine/>
    <w:qFormat/>
    <w:uiPriority w:val="0"/>
    <w:pPr>
      <w:widowControl/>
      <w:overflowPunct w:val="0"/>
      <w:autoSpaceDE w:val="0"/>
      <w:autoSpaceDN w:val="0"/>
      <w:adjustRightInd w:val="0"/>
      <w:ind w:left="720" w:hanging="720"/>
      <w:jc w:val="left"/>
      <w:textAlignment w:val="baseline"/>
    </w:pPr>
    <w:rPr>
      <w:rFonts w:ascii="等线" w:hAnsi="等线" w:eastAsia="等线" w:cs="等线"/>
      <w:kern w:val="0"/>
      <w:sz w:val="24"/>
      <w:szCs w:val="20"/>
      <w:lang w:val="en-GB"/>
    </w:rPr>
  </w:style>
  <w:style w:type="paragraph" w:customStyle="1" w:styleId="673">
    <w:name w:val="样式 普通(网站) + 仿宋_GB2312 段前: 自动 段后: 自动 行距: 1.5 倍行距1"/>
    <w:basedOn w:val="1"/>
    <w:autoRedefine/>
    <w:qFormat/>
    <w:uiPriority w:val="0"/>
    <w:pPr>
      <w:widowControl/>
      <w:tabs>
        <w:tab w:val="left" w:pos="1134"/>
      </w:tabs>
      <w:spacing w:after="120" w:line="360" w:lineRule="auto"/>
      <w:ind w:left="1134" w:hanging="294" w:firstLineChars="200"/>
      <w:jc w:val="left"/>
    </w:pPr>
    <w:rPr>
      <w:rFonts w:ascii="Arial" w:hAnsi="Arial" w:eastAsia="等线" w:cs="等线"/>
      <w:kern w:val="0"/>
      <w:sz w:val="20"/>
      <w:szCs w:val="20"/>
    </w:rPr>
  </w:style>
  <w:style w:type="paragraph" w:customStyle="1" w:styleId="674">
    <w:name w:val="_Style 125"/>
    <w:basedOn w:val="1"/>
    <w:autoRedefine/>
    <w:qFormat/>
    <w:uiPriority w:val="0"/>
    <w:rPr>
      <w:rFonts w:ascii="等线" w:hAnsi="等线" w:eastAsia="等线" w:cs="等线"/>
    </w:rPr>
  </w:style>
  <w:style w:type="paragraph" w:customStyle="1" w:styleId="675">
    <w:name w:val="封面标准代替信息"/>
    <w:autoRedefine/>
    <w:qFormat/>
    <w:uiPriority w:val="0"/>
    <w:pPr>
      <w:framePr w:w="9140" w:h="1242" w:hRule="exact" w:hSpace="284" w:wrap="around" w:vAnchor="page" w:hAnchor="page" w:x="1645" w:y="2910" w:anchorLock="1"/>
      <w:spacing w:before="57" w:line="280" w:lineRule="exact"/>
      <w:jc w:val="right"/>
    </w:pPr>
    <w:rPr>
      <w:rFonts w:ascii="宋体" w:hAnsi="等线" w:eastAsia="等线" w:cs="等线"/>
      <w:sz w:val="21"/>
      <w:szCs w:val="21"/>
      <w:lang w:val="en-US" w:eastAsia="zh-CN" w:bidi="ar-SA"/>
    </w:rPr>
  </w:style>
  <w:style w:type="paragraph" w:customStyle="1" w:styleId="676">
    <w:name w:val="彩色列表 - 着色 11"/>
    <w:basedOn w:val="1"/>
    <w:autoRedefine/>
    <w:qFormat/>
    <w:uiPriority w:val="0"/>
    <w:pPr>
      <w:spacing w:line="360" w:lineRule="auto"/>
      <w:ind w:firstLine="420" w:firstLineChars="200"/>
    </w:pPr>
    <w:rPr>
      <w:rFonts w:ascii="Calibri" w:hAnsi="Calibri" w:eastAsia="等线" w:cs="等线"/>
      <w:szCs w:val="20"/>
    </w:rPr>
  </w:style>
  <w:style w:type="paragraph" w:customStyle="1" w:styleId="677">
    <w:name w:val="my正文"/>
    <w:basedOn w:val="1"/>
    <w:autoRedefine/>
    <w:qFormat/>
    <w:uiPriority w:val="0"/>
    <w:pPr>
      <w:spacing w:line="360" w:lineRule="auto"/>
      <w:ind w:firstLine="480" w:firstLineChars="200"/>
    </w:pPr>
    <w:rPr>
      <w:rFonts w:ascii="Tahoma" w:hAnsi="Tahoma" w:eastAsia="等线" w:cs="等线"/>
      <w:sz w:val="24"/>
    </w:rPr>
  </w:style>
  <w:style w:type="paragraph" w:customStyle="1" w:styleId="678">
    <w:name w:val="寄件者簡短地址"/>
    <w:basedOn w:val="1"/>
    <w:autoRedefine/>
    <w:qFormat/>
    <w:uiPriority w:val="0"/>
    <w:pPr>
      <w:adjustRightInd w:val="0"/>
      <w:spacing w:line="360" w:lineRule="atLeast"/>
      <w:ind w:firstLine="200" w:firstLineChars="200"/>
      <w:jc w:val="left"/>
      <w:textAlignment w:val="baseline"/>
    </w:pPr>
    <w:rPr>
      <w:rFonts w:ascii="等线" w:hAnsi="等线" w:eastAsia="PMingLiU" w:cs="等线"/>
      <w:kern w:val="0"/>
      <w:sz w:val="24"/>
      <w:szCs w:val="20"/>
      <w:lang w:eastAsia="zh-TW"/>
    </w:rPr>
  </w:style>
  <w:style w:type="paragraph" w:customStyle="1" w:styleId="679">
    <w:name w:val="context-item"/>
    <w:basedOn w:val="680"/>
    <w:autoRedefine/>
    <w:qFormat/>
    <w:uiPriority w:val="0"/>
    <w:pPr>
      <w:ind w:left="1418" w:hanging="284"/>
    </w:pPr>
  </w:style>
  <w:style w:type="paragraph" w:customStyle="1" w:styleId="680">
    <w:name w:val="context"/>
    <w:basedOn w:val="1"/>
    <w:autoRedefine/>
    <w:qFormat/>
    <w:uiPriority w:val="0"/>
    <w:pPr>
      <w:adjustRightInd w:val="0"/>
      <w:spacing w:before="60" w:line="240" w:lineRule="atLeast"/>
      <w:ind w:left="567" w:firstLine="567" w:firstLineChars="200"/>
      <w:textAlignment w:val="baseline"/>
    </w:pPr>
    <w:rPr>
      <w:rFonts w:ascii="全真楷書" w:hAnsi="等线" w:eastAsia="全真楷書" w:cs="等线"/>
      <w:kern w:val="0"/>
      <w:sz w:val="24"/>
      <w:szCs w:val="20"/>
      <w:lang w:eastAsia="zh-TW"/>
    </w:rPr>
  </w:style>
  <w:style w:type="paragraph" w:customStyle="1" w:styleId="681">
    <w:name w:val="_Style 5"/>
    <w:basedOn w:val="19"/>
    <w:autoRedefine/>
    <w:qFormat/>
    <w:uiPriority w:val="0"/>
    <w:rPr>
      <w:rFonts w:eastAsia="等线"/>
    </w:rPr>
  </w:style>
  <w:style w:type="paragraph" w:customStyle="1" w:styleId="682">
    <w:name w:val="xl24"/>
    <w:basedOn w:val="1"/>
    <w:autoRedefine/>
    <w:qFormat/>
    <w:uiPriority w:val="0"/>
    <w:pPr>
      <w:widowControl/>
      <w:spacing w:before="100" w:beforeAutospacing="1" w:after="100" w:afterAutospacing="1"/>
      <w:jc w:val="left"/>
    </w:pPr>
    <w:rPr>
      <w:rFonts w:ascii="等线" w:hAnsi="等线" w:eastAsia="等线" w:cs="等线"/>
      <w:kern w:val="0"/>
      <w:sz w:val="24"/>
    </w:rPr>
  </w:style>
  <w:style w:type="paragraph" w:customStyle="1" w:styleId="683">
    <w:name w:val="表头"/>
    <w:basedOn w:val="1"/>
    <w:autoRedefine/>
    <w:qFormat/>
    <w:uiPriority w:val="0"/>
    <w:pPr>
      <w:spacing w:before="120" w:after="120" w:line="480" w:lineRule="exact"/>
      <w:jc w:val="center"/>
    </w:pPr>
    <w:rPr>
      <w:rFonts w:ascii="黑体" w:hAnsi="等线" w:eastAsia="黑体" w:cs="等线"/>
      <w:sz w:val="24"/>
      <w:szCs w:val="20"/>
    </w:rPr>
  </w:style>
  <w:style w:type="paragraph" w:customStyle="1" w:styleId="684">
    <w:name w:val="正文文本缩进 31"/>
    <w:basedOn w:val="1"/>
    <w:autoRedefine/>
    <w:qFormat/>
    <w:uiPriority w:val="0"/>
    <w:pPr>
      <w:autoSpaceDE w:val="0"/>
      <w:autoSpaceDN w:val="0"/>
      <w:adjustRightInd w:val="0"/>
      <w:spacing w:line="360" w:lineRule="auto"/>
      <w:ind w:firstLine="567"/>
      <w:jc w:val="left"/>
      <w:textAlignment w:val="baseline"/>
    </w:pPr>
    <w:rPr>
      <w:rFonts w:ascii="宋体" w:hAnsi="等线" w:eastAsia="等线" w:cs="等线"/>
      <w:kern w:val="0"/>
      <w:sz w:val="28"/>
      <w:szCs w:val="20"/>
    </w:rPr>
  </w:style>
  <w:style w:type="paragraph" w:customStyle="1" w:styleId="685">
    <w:name w:val="List Paragraph1"/>
    <w:basedOn w:val="1"/>
    <w:autoRedefine/>
    <w:qFormat/>
    <w:uiPriority w:val="0"/>
    <w:pPr>
      <w:spacing w:line="360" w:lineRule="auto"/>
      <w:ind w:firstLine="420" w:firstLineChars="200"/>
    </w:pPr>
    <w:rPr>
      <w:rFonts w:ascii="等线" w:hAnsi="等线" w:eastAsia="等线" w:cs="等线"/>
      <w:szCs w:val="20"/>
    </w:rPr>
  </w:style>
  <w:style w:type="paragraph" w:customStyle="1" w:styleId="686">
    <w:name w:val="aspnumfaautoadjustrightr"/>
    <w:autoRedefine/>
    <w:qFormat/>
    <w:uiPriority w:val="0"/>
    <w:pPr>
      <w:widowControl w:val="0"/>
      <w:autoSpaceDE w:val="0"/>
      <w:autoSpaceDN w:val="0"/>
      <w:adjustRightInd w:val="0"/>
      <w:ind w:firstLine="720"/>
      <w:jc w:val="both"/>
    </w:pPr>
    <w:rPr>
      <w:rFonts w:ascii="等线" w:hAnsi="等线" w:eastAsia="等线" w:cs="等线"/>
      <w:lang w:val="en-US" w:eastAsia="zh-CN" w:bidi="ar-SA"/>
    </w:rPr>
  </w:style>
  <w:style w:type="paragraph" w:customStyle="1" w:styleId="687">
    <w:name w:val="Test2"/>
    <w:basedOn w:val="4"/>
    <w:autoRedefine/>
    <w:qFormat/>
    <w:uiPriority w:val="0"/>
    <w:pPr>
      <w:keepNext w:val="0"/>
      <w:keepLines w:val="0"/>
      <w:widowControl/>
      <w:tabs>
        <w:tab w:val="left" w:pos="774"/>
      </w:tabs>
      <w:autoSpaceDE w:val="0"/>
      <w:autoSpaceDN w:val="0"/>
      <w:adjustRightInd w:val="0"/>
      <w:snapToGrid w:val="0"/>
      <w:spacing w:before="360" w:after="360" w:line="240" w:lineRule="atLeast"/>
      <w:ind w:left="774" w:hanging="576"/>
      <w:jc w:val="left"/>
    </w:pPr>
    <w:rPr>
      <w:rFonts w:ascii="仿宋_GB2312" w:hAnsi="Tahoma" w:eastAsia="仿宋_GB2312"/>
      <w:b w:val="0"/>
      <w:bCs w:val="0"/>
      <w:snapToGrid w:val="0"/>
      <w:kern w:val="0"/>
      <w:sz w:val="28"/>
    </w:rPr>
  </w:style>
  <w:style w:type="paragraph" w:customStyle="1" w:styleId="688">
    <w:name w:val="No Spacing1"/>
    <w:autoRedefine/>
    <w:qFormat/>
    <w:uiPriority w:val="0"/>
    <w:rPr>
      <w:rFonts w:ascii="Century Gothic" w:hAnsi="Century Gothic" w:eastAsia="仿宋_GB2312" w:cs="新宋体"/>
      <w:sz w:val="22"/>
      <w:szCs w:val="22"/>
      <w:lang w:val="en-US" w:eastAsia="zh-CN" w:bidi="ar-SA"/>
    </w:rPr>
  </w:style>
  <w:style w:type="paragraph" w:customStyle="1" w:styleId="689">
    <w:name w:val="正文字缩2字"/>
    <w:basedOn w:val="1"/>
    <w:autoRedefine/>
    <w:qFormat/>
    <w:uiPriority w:val="0"/>
    <w:pPr>
      <w:spacing w:before="60" w:after="60" w:line="360" w:lineRule="auto"/>
      <w:ind w:left="200" w:leftChars="200" w:firstLine="200" w:firstLineChars="200"/>
    </w:pPr>
    <w:rPr>
      <w:rFonts w:ascii="等线" w:hAnsi="等线" w:eastAsia="等线" w:cs="等线"/>
      <w:sz w:val="24"/>
    </w:rPr>
  </w:style>
  <w:style w:type="paragraph" w:customStyle="1" w:styleId="690">
    <w:name w:val="xl41"/>
    <w:basedOn w:val="1"/>
    <w:autoRedefine/>
    <w:qFormat/>
    <w:uiPriority w:val="0"/>
    <w:pPr>
      <w:widowControl/>
      <w:pBdr>
        <w:left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691">
    <w:name w:val="题目副题"/>
    <w:basedOn w:val="46"/>
    <w:autoRedefine/>
    <w:qFormat/>
    <w:uiPriority w:val="0"/>
    <w:pPr>
      <w:spacing w:before="0" w:after="312"/>
      <w:ind w:left="240" w:firstLine="600" w:firstLineChars="200"/>
      <w:jc w:val="left"/>
      <w:outlineLvl w:val="9"/>
    </w:pPr>
    <w:rPr>
      <w:rFonts w:ascii="宋体" w:hAnsi="宋体" w:eastAsia="宋体"/>
      <w:bCs w:val="0"/>
      <w:sz w:val="30"/>
      <w:szCs w:val="20"/>
    </w:rPr>
  </w:style>
  <w:style w:type="paragraph" w:customStyle="1" w:styleId="692">
    <w:name w:val="xl53"/>
    <w:basedOn w:val="1"/>
    <w:autoRedefine/>
    <w:qFormat/>
    <w:uiPriority w:val="0"/>
    <w:pPr>
      <w:widowControl/>
      <w:pBdr>
        <w:left w:val="single" w:color="auto" w:sz="4" w:space="0"/>
        <w:right w:val="single" w:color="auto" w:sz="4" w:space="0"/>
      </w:pBdr>
      <w:spacing w:before="100" w:beforeAutospacing="1" w:after="100" w:afterAutospacing="1"/>
      <w:jc w:val="center"/>
    </w:pPr>
    <w:rPr>
      <w:rFonts w:ascii="等线" w:hAnsi="等线" w:eastAsia="等线" w:cs="等线"/>
      <w:kern w:val="0"/>
      <w:sz w:val="20"/>
      <w:szCs w:val="20"/>
    </w:rPr>
  </w:style>
  <w:style w:type="paragraph" w:customStyle="1" w:styleId="693">
    <w:name w:val="ÕýÎÄÊ×ÐÐËõ½ø"/>
    <w:basedOn w:val="1"/>
    <w:autoRedefine/>
    <w:qFormat/>
    <w:uiPriority w:val="0"/>
    <w:pPr>
      <w:widowControl/>
      <w:overflowPunct w:val="0"/>
      <w:autoSpaceDE w:val="0"/>
      <w:autoSpaceDN w:val="0"/>
      <w:adjustRightInd w:val="0"/>
      <w:spacing w:line="360" w:lineRule="auto"/>
      <w:ind w:left="1134"/>
      <w:jc w:val="left"/>
      <w:textAlignment w:val="baseline"/>
    </w:pPr>
    <w:rPr>
      <w:rFonts w:ascii="等线" w:hAnsi="等线" w:eastAsia="新宋体" w:cs="等线"/>
      <w:kern w:val="0"/>
      <w:sz w:val="20"/>
      <w:szCs w:val="20"/>
    </w:rPr>
  </w:style>
  <w:style w:type="paragraph" w:customStyle="1" w:styleId="694">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Calibri" w:hAnsi="Calibri" w:eastAsia="Calibri" w:cs="仿宋_GB2312"/>
      <w:color w:val="000000"/>
      <w:kern w:val="0"/>
      <w:sz w:val="24"/>
    </w:rPr>
  </w:style>
  <w:style w:type="paragraph" w:customStyle="1" w:styleId="695">
    <w:name w:val="Char Char Char2 Char"/>
    <w:basedOn w:val="1"/>
    <w:autoRedefine/>
    <w:qFormat/>
    <w:uiPriority w:val="0"/>
    <w:pPr>
      <w:tabs>
        <w:tab w:val="left" w:pos="360"/>
        <w:tab w:val="left" w:pos="420"/>
      </w:tabs>
      <w:ind w:left="360" w:hanging="360"/>
    </w:pPr>
    <w:rPr>
      <w:rFonts w:ascii="等线" w:hAnsi="等线" w:eastAsia="等线" w:cs="等线"/>
    </w:rPr>
  </w:style>
  <w:style w:type="paragraph" w:customStyle="1" w:styleId="696">
    <w:name w:val="Char2 Char Char"/>
    <w:basedOn w:val="1"/>
    <w:autoRedefine/>
    <w:qFormat/>
    <w:uiPriority w:val="0"/>
    <w:pPr>
      <w:spacing w:line="360" w:lineRule="auto"/>
      <w:ind w:firstLine="200" w:firstLineChars="200"/>
    </w:pPr>
    <w:rPr>
      <w:rFonts w:ascii="Tahoma" w:hAnsi="Tahoma" w:eastAsia="等线" w:cs="等线"/>
      <w:sz w:val="24"/>
      <w:szCs w:val="20"/>
    </w:rPr>
  </w:style>
  <w:style w:type="paragraph" w:customStyle="1" w:styleId="697">
    <w:name w:val="xl51"/>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698">
    <w:name w:val="xl92"/>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Calibri" w:hAnsi="Calibri" w:eastAsia="Calibri" w:cs="仿宋_GB2312"/>
      <w:color w:val="000000"/>
      <w:kern w:val="0"/>
      <w:sz w:val="24"/>
    </w:rPr>
  </w:style>
  <w:style w:type="paragraph" w:customStyle="1" w:styleId="699">
    <w:name w:val="font9"/>
    <w:basedOn w:val="1"/>
    <w:autoRedefine/>
    <w:qFormat/>
    <w:uiPriority w:val="0"/>
    <w:pPr>
      <w:widowControl/>
      <w:spacing w:before="100" w:beforeAutospacing="1" w:after="100" w:afterAutospacing="1"/>
      <w:jc w:val="left"/>
    </w:pPr>
    <w:rPr>
      <w:rFonts w:hint="eastAsia" w:ascii="宋体" w:hAnsi="宋体" w:eastAsia="等线" w:cs="等线"/>
      <w:kern w:val="0"/>
      <w:sz w:val="24"/>
    </w:rPr>
  </w:style>
  <w:style w:type="paragraph" w:customStyle="1" w:styleId="700">
    <w:name w:val="Char Char Char Char Char Char"/>
    <w:basedOn w:val="1"/>
    <w:autoRedefine/>
    <w:qFormat/>
    <w:uiPriority w:val="0"/>
    <w:rPr>
      <w:rFonts w:ascii="Tahoma" w:hAnsi="Tahoma" w:eastAsia="等线" w:cs="等线"/>
      <w:sz w:val="24"/>
      <w:szCs w:val="20"/>
    </w:rPr>
  </w:style>
  <w:style w:type="paragraph" w:customStyle="1" w:styleId="701">
    <w:name w:val="font1"/>
    <w:basedOn w:val="1"/>
    <w:autoRedefine/>
    <w:qFormat/>
    <w:uiPriority w:val="0"/>
    <w:pPr>
      <w:widowControl/>
      <w:spacing w:before="100" w:beforeAutospacing="1" w:after="100" w:afterAutospacing="1"/>
      <w:jc w:val="left"/>
    </w:pPr>
    <w:rPr>
      <w:rFonts w:hint="eastAsia" w:ascii="宋体" w:hAnsi="宋体" w:eastAsia="等线" w:cs="等线"/>
      <w:kern w:val="0"/>
      <w:sz w:val="24"/>
    </w:rPr>
  </w:style>
  <w:style w:type="paragraph" w:customStyle="1" w:styleId="702">
    <w:name w:val="xl23"/>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703">
    <w:name w:val="xl25"/>
    <w:basedOn w:val="1"/>
    <w:autoRedefine/>
    <w:qFormat/>
    <w:uiPriority w:val="0"/>
    <w:pPr>
      <w:widowControl/>
      <w:autoSpaceDE w:val="0"/>
      <w:autoSpaceDN w:val="0"/>
      <w:adjustRightInd w:val="0"/>
      <w:spacing w:before="100" w:beforeAutospacing="1" w:after="100" w:afterAutospacing="1"/>
      <w:jc w:val="center"/>
      <w:textAlignment w:val="center"/>
    </w:pPr>
    <w:rPr>
      <w:rFonts w:hint="eastAsia" w:ascii="Arial Unicode MS" w:hAnsi="仿宋_GB2312" w:eastAsia="Arial Unicode MS" w:cs="等线"/>
      <w:kern w:val="0"/>
      <w:sz w:val="24"/>
      <w:szCs w:val="20"/>
    </w:rPr>
  </w:style>
  <w:style w:type="paragraph" w:customStyle="1" w:styleId="704">
    <w:name w:val="xl37"/>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等线" w:hAnsi="等线" w:eastAsia="等线" w:cs="等线"/>
      <w:kern w:val="0"/>
      <w:sz w:val="24"/>
    </w:rPr>
  </w:style>
  <w:style w:type="paragraph" w:customStyle="1" w:styleId="705">
    <w:name w:val="style1"/>
    <w:basedOn w:val="1"/>
    <w:autoRedefine/>
    <w:qFormat/>
    <w:uiPriority w:val="0"/>
    <w:pPr>
      <w:widowControl/>
      <w:spacing w:before="100" w:beforeAutospacing="1" w:after="100" w:afterAutospacing="1" w:line="360" w:lineRule="auto"/>
      <w:ind w:firstLine="200" w:firstLineChars="200"/>
      <w:jc w:val="left"/>
    </w:pPr>
    <w:rPr>
      <w:rFonts w:ascii="宋体" w:hAnsi="宋体" w:eastAsia="等线" w:cs="宋体"/>
      <w:b/>
      <w:bCs/>
      <w:color w:val="FF0000"/>
      <w:kern w:val="0"/>
      <w:sz w:val="28"/>
      <w:szCs w:val="28"/>
    </w:rPr>
  </w:style>
  <w:style w:type="paragraph" w:customStyle="1" w:styleId="706">
    <w:name w:val="xl5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707">
    <w:name w:val="TOC Heading1"/>
    <w:basedOn w:val="3"/>
    <w:next w:val="1"/>
    <w:autoRedefine/>
    <w:qFormat/>
    <w:uiPriority w:val="0"/>
    <w:pPr>
      <w:keepLines/>
      <w:widowControl/>
      <w:spacing w:before="480" w:line="276" w:lineRule="auto"/>
      <w:jc w:val="left"/>
      <w:outlineLvl w:val="9"/>
    </w:pPr>
    <w:rPr>
      <w:rFonts w:ascii="Verdana" w:hAnsi="Verdana" w:eastAsia="仿宋_GB2312" w:cs="新宋体"/>
      <w:color w:val="365F91"/>
      <w:kern w:val="0"/>
      <w:sz w:val="28"/>
      <w:szCs w:val="28"/>
    </w:rPr>
  </w:style>
  <w:style w:type="paragraph" w:customStyle="1" w:styleId="708">
    <w:name w:val="正文文字表格居中"/>
    <w:basedOn w:val="1"/>
    <w:next w:val="54"/>
    <w:autoRedefine/>
    <w:qFormat/>
    <w:uiPriority w:val="0"/>
    <w:pPr>
      <w:autoSpaceDE w:val="0"/>
      <w:autoSpaceDN w:val="0"/>
      <w:adjustRightInd w:val="0"/>
      <w:snapToGrid w:val="0"/>
      <w:spacing w:line="360" w:lineRule="auto"/>
      <w:jc w:val="left"/>
    </w:pPr>
    <w:rPr>
      <w:rFonts w:ascii="仿宋_GB2312" w:hAnsi="等线" w:eastAsia="等线" w:cs="等线"/>
      <w:b/>
      <w:kern w:val="0"/>
      <w:sz w:val="24"/>
      <w:szCs w:val="20"/>
    </w:rPr>
  </w:style>
  <w:style w:type="paragraph" w:customStyle="1" w:styleId="709">
    <w:name w:val="普通 (Web)"/>
    <w:basedOn w:val="1"/>
    <w:autoRedefine/>
    <w:qFormat/>
    <w:uiPriority w:val="0"/>
    <w:pPr>
      <w:widowControl/>
      <w:spacing w:before="100" w:after="100"/>
      <w:jc w:val="left"/>
    </w:pPr>
    <w:rPr>
      <w:rFonts w:ascii="宋体" w:hAnsi="宋体" w:eastAsia="等线" w:cs="等线"/>
      <w:kern w:val="0"/>
      <w:sz w:val="24"/>
      <w:szCs w:val="20"/>
    </w:rPr>
  </w:style>
  <w:style w:type="paragraph" w:customStyle="1" w:styleId="710">
    <w:name w:val="xl7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_GB2312" w:hAnsi="仿宋_GB2312" w:eastAsia="等线" w:cs="仿宋_GB2312"/>
      <w:color w:val="000000"/>
      <w:kern w:val="0"/>
      <w:sz w:val="24"/>
    </w:rPr>
  </w:style>
  <w:style w:type="paragraph" w:customStyle="1" w:styleId="711">
    <w:name w:val="列出段落2"/>
    <w:basedOn w:val="1"/>
    <w:autoRedefine/>
    <w:qFormat/>
    <w:uiPriority w:val="0"/>
    <w:pPr>
      <w:spacing w:line="360" w:lineRule="auto"/>
      <w:ind w:firstLine="420" w:firstLineChars="200"/>
    </w:pPr>
    <w:rPr>
      <w:rFonts w:ascii="等线" w:hAnsi="等线" w:eastAsia="等线" w:cs="等线"/>
      <w:szCs w:val="20"/>
    </w:rPr>
  </w:style>
  <w:style w:type="paragraph" w:customStyle="1" w:styleId="712">
    <w:name w:val="xl47"/>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eastAsia="等线" w:cs="等线"/>
      <w:kern w:val="0"/>
      <w:sz w:val="20"/>
      <w:szCs w:val="20"/>
    </w:rPr>
  </w:style>
  <w:style w:type="paragraph" w:customStyle="1" w:styleId="713">
    <w:name w:val="Char Char1 Char Char"/>
    <w:basedOn w:val="1"/>
    <w:autoRedefine/>
    <w:qFormat/>
    <w:uiPriority w:val="0"/>
    <w:pPr>
      <w:tabs>
        <w:tab w:val="left" w:pos="360"/>
      </w:tabs>
      <w:spacing w:line="360" w:lineRule="auto"/>
      <w:ind w:firstLine="200" w:firstLineChars="200"/>
    </w:pPr>
    <w:rPr>
      <w:rFonts w:ascii="等线" w:hAnsi="等线" w:eastAsia="等线" w:cs="等线"/>
      <w:sz w:val="24"/>
      <w:szCs w:val="20"/>
    </w:rPr>
  </w:style>
  <w:style w:type="paragraph" w:customStyle="1" w:styleId="714">
    <w:name w:val="xl112"/>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715">
    <w:name w:val="xl6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Calibri" w:hAnsi="Calibri" w:eastAsia="Calibri" w:cs="仿宋_GB2312"/>
      <w:color w:val="000000"/>
      <w:kern w:val="0"/>
      <w:sz w:val="24"/>
    </w:rPr>
  </w:style>
  <w:style w:type="paragraph" w:customStyle="1" w:styleId="716">
    <w:name w:val="1、"/>
    <w:basedOn w:val="1"/>
    <w:autoRedefine/>
    <w:qFormat/>
    <w:uiPriority w:val="0"/>
    <w:pPr>
      <w:adjustRightInd w:val="0"/>
      <w:spacing w:line="454" w:lineRule="atLeast"/>
      <w:ind w:left="1276" w:hanging="426" w:firstLineChars="200"/>
      <w:textAlignment w:val="baseline"/>
    </w:pPr>
    <w:rPr>
      <w:rFonts w:ascii="PMingLiU" w:hAnsi="等线" w:eastAsia="PMingLiU" w:cs="等线"/>
      <w:kern w:val="0"/>
      <w:sz w:val="28"/>
      <w:szCs w:val="20"/>
      <w:lang w:eastAsia="zh-TW"/>
    </w:rPr>
  </w:style>
  <w:style w:type="paragraph" w:customStyle="1" w:styleId="717">
    <w:name w:val="xl35"/>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等线" w:hAnsi="等线" w:eastAsia="Times New Roman" w:cs="等线"/>
      <w:kern w:val="0"/>
      <w:szCs w:val="22"/>
    </w:rPr>
  </w:style>
  <w:style w:type="paragraph" w:customStyle="1" w:styleId="718">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等线" w:hAnsi="等线" w:eastAsia="等线" w:cs="等线"/>
      <w:kern w:val="0"/>
      <w:sz w:val="24"/>
    </w:rPr>
  </w:style>
  <w:style w:type="paragraph" w:customStyle="1" w:styleId="719">
    <w:name w:val="正文缩进HS-正文1"/>
    <w:basedOn w:val="1"/>
    <w:autoRedefine/>
    <w:qFormat/>
    <w:uiPriority w:val="0"/>
    <w:pPr>
      <w:jc w:val="center"/>
    </w:pPr>
    <w:rPr>
      <w:rFonts w:ascii="宋体" w:hAnsi="宋体" w:eastAsia="等线" w:cs="等线"/>
      <w:color w:val="000000"/>
      <w:szCs w:val="21"/>
    </w:rPr>
  </w:style>
  <w:style w:type="paragraph" w:customStyle="1" w:styleId="720">
    <w:name w:val="列项——（一级）"/>
    <w:autoRedefine/>
    <w:qFormat/>
    <w:uiPriority w:val="0"/>
    <w:pPr>
      <w:widowControl w:val="0"/>
      <w:tabs>
        <w:tab w:val="left" w:pos="854"/>
        <w:tab w:val="left" w:pos="1260"/>
      </w:tabs>
      <w:ind w:left="1260" w:hanging="420"/>
      <w:jc w:val="both"/>
    </w:pPr>
    <w:rPr>
      <w:rFonts w:ascii="仿宋_GB2312" w:hAnsi="等线" w:eastAsia="等线" w:cs="等线"/>
      <w:sz w:val="21"/>
      <w:lang w:val="en-US" w:eastAsia="zh-CN" w:bidi="ar-SA"/>
    </w:rPr>
  </w:style>
  <w:style w:type="paragraph" w:customStyle="1" w:styleId="721">
    <w:name w:val="缺省文本"/>
    <w:basedOn w:val="1"/>
    <w:autoRedefine/>
    <w:qFormat/>
    <w:uiPriority w:val="0"/>
    <w:pPr>
      <w:autoSpaceDE w:val="0"/>
      <w:autoSpaceDN w:val="0"/>
      <w:adjustRightInd w:val="0"/>
      <w:spacing w:line="360" w:lineRule="auto"/>
      <w:ind w:firstLine="200" w:firstLineChars="200"/>
      <w:jc w:val="left"/>
    </w:pPr>
    <w:rPr>
      <w:rFonts w:ascii="等线" w:hAnsi="等线" w:eastAsia="等线" w:cs="等线"/>
      <w:kern w:val="0"/>
      <w:sz w:val="24"/>
      <w:szCs w:val="20"/>
    </w:rPr>
  </w:style>
  <w:style w:type="paragraph" w:customStyle="1" w:styleId="722">
    <w:name w:val="xl80"/>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Calibri" w:hAnsi="Calibri" w:eastAsia="Calibri" w:cs="仿宋_GB2312"/>
      <w:color w:val="000000"/>
      <w:kern w:val="0"/>
      <w:sz w:val="24"/>
    </w:rPr>
  </w:style>
  <w:style w:type="paragraph" w:customStyle="1" w:styleId="723">
    <w:name w:val="6"/>
    <w:basedOn w:val="1"/>
    <w:autoRedefine/>
    <w:qFormat/>
    <w:uiPriority w:val="0"/>
    <w:pPr>
      <w:tabs>
        <w:tab w:val="left" w:pos="360"/>
      </w:tabs>
    </w:pPr>
    <w:rPr>
      <w:rFonts w:ascii="等线" w:hAnsi="等线" w:eastAsia="等线" w:cs="等线"/>
      <w:szCs w:val="20"/>
    </w:rPr>
  </w:style>
  <w:style w:type="paragraph" w:customStyle="1" w:styleId="724">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spacing w:line="360" w:lineRule="auto"/>
      <w:ind w:firstLine="200" w:firstLineChars="200"/>
      <w:jc w:val="left"/>
    </w:pPr>
    <w:rPr>
      <w:rFonts w:ascii="Courier New" w:hAnsi="Courier New" w:eastAsia="等线" w:cs="等线"/>
      <w:kern w:val="0"/>
      <w:sz w:val="20"/>
      <w:szCs w:val="20"/>
    </w:rPr>
  </w:style>
  <w:style w:type="paragraph" w:customStyle="1" w:styleId="725">
    <w:name w:val="Char Char Char Char Char Char Char Char Char"/>
    <w:basedOn w:val="1"/>
    <w:autoRedefine/>
    <w:qFormat/>
    <w:uiPriority w:val="0"/>
    <w:pPr>
      <w:widowControl/>
      <w:spacing w:before="100" w:beforeAutospacing="1" w:after="100" w:afterAutospacing="1" w:line="360" w:lineRule="auto"/>
      <w:ind w:left="357"/>
      <w:jc w:val="left"/>
    </w:pPr>
    <w:rPr>
      <w:rFonts w:ascii="ˎ̥" w:hAnsi="ˎ̥" w:eastAsia="等线" w:cs="宋体"/>
      <w:color w:val="51585D"/>
      <w:kern w:val="0"/>
      <w:sz w:val="24"/>
      <w:szCs w:val="18"/>
    </w:rPr>
  </w:style>
  <w:style w:type="paragraph" w:customStyle="1" w:styleId="726">
    <w:name w:val="xl62"/>
    <w:basedOn w:val="1"/>
    <w:autoRedefine/>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727">
    <w:name w:val="Char Char Char Char Char Char Char Char Char Char1"/>
    <w:basedOn w:val="1"/>
    <w:autoRedefine/>
    <w:qFormat/>
    <w:uiPriority w:val="0"/>
    <w:pPr>
      <w:widowControl/>
      <w:spacing w:after="160" w:line="240" w:lineRule="exact"/>
      <w:ind w:firstLine="200" w:firstLineChars="200"/>
      <w:jc w:val="left"/>
    </w:pPr>
    <w:rPr>
      <w:rFonts w:ascii="Verdana" w:hAnsi="Verdana" w:eastAsia="仿宋_GB2312" w:cs="等线"/>
      <w:kern w:val="0"/>
      <w:sz w:val="24"/>
      <w:szCs w:val="20"/>
      <w:lang w:eastAsia="en-US"/>
    </w:rPr>
  </w:style>
  <w:style w:type="paragraph" w:customStyle="1" w:styleId="728">
    <w:name w:val="xl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Calibri" w:hAnsi="Calibri" w:eastAsia="Calibri" w:cs="仿宋_GB2312"/>
      <w:color w:val="000000"/>
      <w:kern w:val="0"/>
      <w:sz w:val="24"/>
    </w:rPr>
  </w:style>
  <w:style w:type="paragraph" w:customStyle="1" w:styleId="729">
    <w:name w:val="xl78"/>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Calibri" w:hAnsi="Calibri" w:eastAsia="Calibri" w:cs="仿宋_GB2312"/>
      <w:b/>
      <w:bCs/>
      <w:color w:val="FF0000"/>
      <w:kern w:val="0"/>
      <w:sz w:val="24"/>
    </w:rPr>
  </w:style>
  <w:style w:type="paragraph" w:customStyle="1" w:styleId="730">
    <w:name w:val="font14"/>
    <w:basedOn w:val="1"/>
    <w:autoRedefine/>
    <w:qFormat/>
    <w:uiPriority w:val="0"/>
    <w:pPr>
      <w:widowControl/>
      <w:spacing w:before="100" w:beforeAutospacing="1" w:after="100" w:afterAutospacing="1"/>
      <w:jc w:val="left"/>
    </w:pPr>
    <w:rPr>
      <w:rFonts w:hint="eastAsia" w:ascii="黑体" w:hAnsi="宋体" w:eastAsia="黑体" w:cs="等线"/>
      <w:kern w:val="0"/>
      <w:sz w:val="18"/>
      <w:szCs w:val="18"/>
    </w:rPr>
  </w:style>
  <w:style w:type="paragraph" w:customStyle="1" w:styleId="731">
    <w:name w:val="正文列表"/>
    <w:basedOn w:val="1"/>
    <w:autoRedefine/>
    <w:qFormat/>
    <w:uiPriority w:val="0"/>
    <w:pPr>
      <w:autoSpaceDE w:val="0"/>
      <w:autoSpaceDN w:val="0"/>
      <w:adjustRightInd w:val="0"/>
      <w:spacing w:line="360" w:lineRule="auto"/>
      <w:ind w:firstLine="200" w:firstLineChars="200"/>
      <w:jc w:val="center"/>
      <w:textAlignment w:val="baseline"/>
    </w:pPr>
    <w:rPr>
      <w:rFonts w:ascii="宋体" w:hAnsi="宋体" w:eastAsia="等线" w:cs="等线"/>
      <w:kern w:val="0"/>
      <w:sz w:val="24"/>
      <w:szCs w:val="20"/>
    </w:rPr>
  </w:style>
  <w:style w:type="paragraph" w:customStyle="1" w:styleId="732">
    <w:name w:val="普通(网站)1"/>
    <w:basedOn w:val="1"/>
    <w:autoRedefine/>
    <w:qFormat/>
    <w:uiPriority w:val="0"/>
    <w:pPr>
      <w:widowControl/>
      <w:spacing w:before="100" w:beforeAutospacing="1" w:after="100" w:afterAutospacing="1" w:line="360" w:lineRule="auto"/>
      <w:ind w:firstLine="200" w:firstLineChars="200"/>
      <w:jc w:val="left"/>
    </w:pPr>
    <w:rPr>
      <w:rFonts w:ascii="宋体" w:hAnsi="宋体" w:eastAsia="等线" w:cs="等线"/>
      <w:color w:val="000000"/>
      <w:kern w:val="0"/>
      <w:sz w:val="24"/>
      <w:szCs w:val="20"/>
    </w:rPr>
  </w:style>
  <w:style w:type="paragraph" w:customStyle="1" w:styleId="733">
    <w:name w:val="p16"/>
    <w:basedOn w:val="1"/>
    <w:autoRedefine/>
    <w:qFormat/>
    <w:uiPriority w:val="0"/>
    <w:pPr>
      <w:widowControl/>
      <w:spacing w:before="100" w:after="100" w:line="360" w:lineRule="auto"/>
      <w:ind w:firstLine="420" w:firstLineChars="200"/>
    </w:pPr>
    <w:rPr>
      <w:rFonts w:ascii="Calibri" w:hAnsi="Calibri" w:eastAsia="等线" w:cs="等线"/>
      <w:kern w:val="0"/>
      <w:sz w:val="24"/>
      <w:szCs w:val="20"/>
    </w:rPr>
  </w:style>
  <w:style w:type="paragraph" w:customStyle="1" w:styleId="734">
    <w:name w:val="Char Char Char1 Char Char Char Char"/>
    <w:basedOn w:val="1"/>
    <w:autoRedefine/>
    <w:qFormat/>
    <w:uiPriority w:val="0"/>
    <w:pPr>
      <w:spacing w:line="360" w:lineRule="auto"/>
      <w:ind w:firstLine="200" w:firstLineChars="200"/>
    </w:pPr>
    <w:rPr>
      <w:rFonts w:ascii="Tahoma" w:hAnsi="Tahoma" w:eastAsia="等线" w:cs="等线"/>
      <w:sz w:val="24"/>
      <w:szCs w:val="20"/>
    </w:rPr>
  </w:style>
  <w:style w:type="paragraph" w:customStyle="1" w:styleId="735">
    <w:name w:val="text1"/>
    <w:autoRedefine/>
    <w:qFormat/>
    <w:uiPriority w:val="0"/>
    <w:rPr>
      <w:rFonts w:ascii="等线" w:hAnsi="等线" w:eastAsia="DFKai-SB" w:cs="等线"/>
      <w:sz w:val="28"/>
      <w:lang w:val="en-US" w:eastAsia="zh-TW" w:bidi="ar-SA"/>
    </w:rPr>
  </w:style>
  <w:style w:type="table" w:customStyle="1" w:styleId="736">
    <w:name w:val="网格表 1 浅色 - 着色 41"/>
    <w:basedOn w:val="63"/>
    <w:autoRedefine/>
    <w:qFormat/>
    <w:uiPriority w:val="46"/>
    <w:rPr>
      <w:rFonts w:hint="eastAsia" w:ascii="等线" w:hAnsi="等线" w:eastAsia="等线" w:cs="等线"/>
    </w:rPr>
    <w:tblPr>
      <w:tblBorders>
        <w:top w:val="single" w:color="FFE599" w:sz="4" w:space="0"/>
        <w:left w:val="single" w:color="FFE599" w:sz="4" w:space="0"/>
        <w:bottom w:val="single" w:color="FFE599" w:sz="4" w:space="0"/>
        <w:right w:val="single" w:color="FFE599" w:sz="4" w:space="0"/>
        <w:insideH w:val="single" w:color="FFE599" w:sz="4" w:space="0"/>
        <w:insideV w:val="single" w:color="FFE599" w:sz="4" w:space="0"/>
      </w:tblBorders>
      <w:tblCellMar>
        <w:top w:w="0" w:type="dxa"/>
        <w:left w:w="108" w:type="dxa"/>
        <w:bottom w:w="0" w:type="dxa"/>
        <w:right w:w="108" w:type="dxa"/>
      </w:tblCellMar>
    </w:tblPr>
    <w:tblStylePr w:type="firstRow">
      <w:rPr>
        <w:b/>
        <w:bCs/>
      </w:rPr>
      <w:tcPr>
        <w:tcBorders>
          <w:top w:val="nil"/>
          <w:left w:val="nil"/>
          <w:bottom w:val="single" w:color="FFD966" w:sz="12" w:space="0"/>
          <w:right w:val="nil"/>
          <w:insideH w:val="nil"/>
          <w:insideV w:val="nil"/>
          <w:tl2br w:val="nil"/>
          <w:tr2bl w:val="nil"/>
        </w:tcBorders>
      </w:tcPr>
    </w:tblStylePr>
    <w:tblStylePr w:type="lastRow">
      <w:rPr>
        <w:b/>
        <w:bCs/>
      </w:rPr>
      <w:tcPr>
        <w:tcBorders>
          <w:top w:val="double" w:color="FFD966" w:sz="2" w:space="0"/>
          <w:left w:val="nil"/>
          <w:bottom w:val="nil"/>
          <w:right w:val="nil"/>
          <w:insideH w:val="nil"/>
          <w:insideV w:val="nil"/>
          <w:tl2br w:val="nil"/>
          <w:tr2bl w:val="nil"/>
        </w:tcBorders>
      </w:tcPr>
    </w:tblStylePr>
    <w:tblStylePr w:type="firstCol">
      <w:rPr>
        <w:b/>
        <w:bCs/>
      </w:rPr>
    </w:tblStylePr>
    <w:tblStylePr w:type="lastCol">
      <w:rPr>
        <w:b/>
        <w:bCs/>
      </w:rPr>
    </w:tblStylePr>
  </w:style>
  <w:style w:type="table" w:customStyle="1" w:styleId="737">
    <w:name w:val="网格表 5 深色 - 着色 11"/>
    <w:basedOn w:val="63"/>
    <w:autoRedefine/>
    <w:qFormat/>
    <w:uiPriority w:val="50"/>
    <w:rPr>
      <w:rFonts w:hint="eastAsia" w:ascii="等线" w:hAnsi="等线" w:eastAsia="等线" w:cs="等线"/>
    </w:rPr>
    <w:tblPr>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108" w:type="dxa"/>
        <w:bottom w:w="0" w:type="dxa"/>
        <w:right w:w="108" w:type="dxa"/>
      </w:tblCellMar>
    </w:tblPr>
    <w:tcPr>
      <w:shd w:val="clear" w:color="auto" w:fill="DEEAF6"/>
    </w:tcPr>
    <w:tblStylePr w:type="firstRow">
      <w:rPr>
        <w:b/>
        <w:bCs/>
        <w:color w:val="FFFFFF"/>
      </w:rPr>
      <w:tcPr>
        <w:tcBorders>
          <w:top w:val="single" w:color="FFFFFF" w:sz="4" w:space="0"/>
          <w:left w:val="single" w:color="FFFFFF" w:sz="4" w:space="0"/>
          <w:bottom w:val="nil"/>
          <w:right w:val="single" w:color="FFFFFF" w:sz="4" w:space="0"/>
          <w:insideH w:val="nil"/>
          <w:insideV w:val="nil"/>
          <w:tl2br w:val="nil"/>
          <w:tr2bl w:val="nil"/>
        </w:tcBorders>
        <w:shd w:val="clear" w:color="auto" w:fill="5B9BD5"/>
      </w:tcPr>
    </w:tblStylePr>
    <w:tblStylePr w:type="lastRow">
      <w:rPr>
        <w:b/>
        <w:bCs/>
        <w:color w:val="FFFFFF"/>
      </w:rPr>
      <w:tcPr>
        <w:tcBorders>
          <w:top w:val="nil"/>
          <w:left w:val="single" w:color="FFFFFF" w:sz="4" w:space="0"/>
          <w:bottom w:val="single" w:color="FFFFFF" w:sz="4" w:space="0"/>
          <w:right w:val="single" w:color="FFFFFF" w:sz="4" w:space="0"/>
          <w:insideH w:val="nil"/>
          <w:insideV w:val="nil"/>
          <w:tl2br w:val="nil"/>
          <w:tr2bl w:val="nil"/>
        </w:tcBorders>
        <w:shd w:val="clear" w:color="auto" w:fill="5B9BD5"/>
      </w:tcPr>
    </w:tblStylePr>
    <w:tblStylePr w:type="firstCol">
      <w:rPr>
        <w:b/>
        <w:bCs/>
        <w:color w:val="FFFFFF"/>
      </w:rPr>
      <w:tcPr>
        <w:tcBorders>
          <w:top w:val="single" w:color="FFFFFF" w:sz="4" w:space="0"/>
          <w:left w:val="single" w:color="FFFFFF" w:sz="4" w:space="0"/>
          <w:bottom w:val="single" w:color="FFFFFF" w:sz="4" w:space="0"/>
          <w:right w:val="nil"/>
          <w:insideH w:val="nil"/>
          <w:insideV w:val="nil"/>
          <w:tl2br w:val="nil"/>
          <w:tr2bl w:val="nil"/>
        </w:tcBorders>
        <w:shd w:val="clear" w:color="auto" w:fill="5B9BD5"/>
      </w:tcPr>
    </w:tblStylePr>
    <w:tblStylePr w:type="lastCol">
      <w:rPr>
        <w:b/>
        <w:bCs/>
        <w:color w:val="FFFFFF"/>
      </w:rPr>
      <w:tcPr>
        <w:tcBorders>
          <w:top w:val="single" w:color="FFFFFF" w:sz="4" w:space="0"/>
          <w:left w:val="nil"/>
          <w:bottom w:val="single" w:color="FFFFFF" w:sz="4" w:space="0"/>
          <w:right w:val="single" w:color="FFFFFF" w:sz="4" w:space="0"/>
          <w:insideH w:val="nil"/>
          <w:insideV w:val="nil"/>
          <w:tl2br w:val="nil"/>
          <w:tr2bl w:val="nil"/>
        </w:tcBorders>
        <w:shd w:val="clear" w:color="auto" w:fill="5B9BD5"/>
      </w:tcPr>
    </w:tblStylePr>
    <w:tblStylePr w:type="band1Vert">
      <w:tcPr>
        <w:shd w:val="clear" w:color="auto" w:fill="BDD6EE"/>
      </w:tcPr>
    </w:tblStylePr>
    <w:tblStylePr w:type="band1Horz">
      <w:tcPr>
        <w:shd w:val="clear" w:color="auto" w:fill="BDD6EE"/>
      </w:tcPr>
    </w:tblStylePr>
  </w:style>
  <w:style w:type="table" w:customStyle="1" w:styleId="738">
    <w:name w:val="网格型浅色1"/>
    <w:basedOn w:val="63"/>
    <w:autoRedefine/>
    <w:qFormat/>
    <w:uiPriority w:val="40"/>
    <w:rPr>
      <w:rFonts w:hint="eastAsia" w:ascii="等线" w:hAnsi="等线" w:eastAsia="等线" w:cs="等线"/>
    </w:rPr>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CellMar>
        <w:top w:w="0" w:type="dxa"/>
        <w:left w:w="108" w:type="dxa"/>
        <w:bottom w:w="0" w:type="dxa"/>
        <w:right w:w="108" w:type="dxa"/>
      </w:tblCellMar>
    </w:tblPr>
  </w:style>
  <w:style w:type="table" w:customStyle="1" w:styleId="739">
    <w:name w:val="网格表 1 浅色 - 着色 31"/>
    <w:basedOn w:val="63"/>
    <w:autoRedefine/>
    <w:qFormat/>
    <w:uiPriority w:val="46"/>
    <w:rPr>
      <w:rFonts w:hint="eastAsia" w:ascii="等线" w:hAnsi="等线" w:eastAsia="等线" w:cs="等线"/>
    </w:rPr>
    <w:tblPr>
      <w:tblBorders>
        <w:top w:val="single" w:color="DBDBDB" w:sz="4" w:space="0"/>
        <w:left w:val="single" w:color="DBDBDB" w:sz="4" w:space="0"/>
        <w:bottom w:val="single" w:color="DBDBDB" w:sz="4" w:space="0"/>
        <w:right w:val="single" w:color="DBDBDB" w:sz="4" w:space="0"/>
        <w:insideH w:val="single" w:color="DBDBDB" w:sz="4" w:space="0"/>
        <w:insideV w:val="single" w:color="DBDBDB" w:sz="4" w:space="0"/>
      </w:tblBorders>
      <w:tblCellMar>
        <w:top w:w="0" w:type="dxa"/>
        <w:left w:w="108" w:type="dxa"/>
        <w:bottom w:w="0" w:type="dxa"/>
        <w:right w:w="108" w:type="dxa"/>
      </w:tblCellMar>
    </w:tblPr>
    <w:tblStylePr w:type="firstRow">
      <w:rPr>
        <w:b/>
        <w:bCs/>
      </w:rPr>
      <w:tcPr>
        <w:tcBorders>
          <w:top w:val="nil"/>
          <w:left w:val="nil"/>
          <w:bottom w:val="single" w:color="C9C9C9" w:sz="12" w:space="0"/>
          <w:right w:val="nil"/>
          <w:insideH w:val="nil"/>
          <w:insideV w:val="nil"/>
          <w:tl2br w:val="nil"/>
          <w:tr2bl w:val="nil"/>
        </w:tcBorders>
      </w:tcPr>
    </w:tblStylePr>
    <w:tblStylePr w:type="lastRow">
      <w:rPr>
        <w:b/>
        <w:bCs/>
      </w:rPr>
      <w:tcPr>
        <w:tcBorders>
          <w:top w:val="double" w:color="C9C9C9" w:sz="2" w:space="0"/>
          <w:left w:val="nil"/>
          <w:bottom w:val="nil"/>
          <w:right w:val="nil"/>
          <w:insideH w:val="nil"/>
          <w:insideV w:val="nil"/>
          <w:tl2br w:val="nil"/>
          <w:tr2bl w:val="nil"/>
        </w:tcBorders>
      </w:tcPr>
    </w:tblStylePr>
    <w:tblStylePr w:type="firstCol">
      <w:rPr>
        <w:b/>
        <w:bCs/>
      </w:rPr>
    </w:tblStylePr>
    <w:tblStylePr w:type="lastCol">
      <w:rPr>
        <w:b/>
        <w:bCs/>
      </w:rPr>
    </w:tblStylePr>
  </w:style>
  <w:style w:type="character" w:customStyle="1" w:styleId="740">
    <w:name w:val="表格 Char"/>
    <w:autoRedefine/>
    <w:qFormat/>
    <w:uiPriority w:val="99"/>
    <w:rPr>
      <w:kern w:val="2"/>
      <w:sz w:val="24"/>
    </w:rPr>
  </w:style>
  <w:style w:type="character" w:customStyle="1" w:styleId="741">
    <w:name w:val="font51"/>
    <w:autoRedefine/>
    <w:qFormat/>
    <w:uiPriority w:val="0"/>
    <w:rPr>
      <w:rFonts w:hint="eastAsia" w:ascii="宋体" w:hAnsi="宋体" w:eastAsia="宋体" w:cs="宋体"/>
      <w:color w:val="000000"/>
      <w:sz w:val="24"/>
      <w:szCs w:val="24"/>
      <w:u w:val="none"/>
    </w:rPr>
  </w:style>
  <w:style w:type="character" w:customStyle="1" w:styleId="742">
    <w:name w:val="fontstyle31"/>
    <w:autoRedefine/>
    <w:qFormat/>
    <w:uiPriority w:val="0"/>
    <w:rPr>
      <w:rFonts w:ascii="TimesNewRomanPSMT" w:hAnsi="TimesNewRomanPSMT" w:eastAsia="TimesNewRomanPSMT" w:cs="TimesNewRomanPSMT"/>
      <w:color w:val="000000"/>
      <w:sz w:val="22"/>
      <w:szCs w:val="22"/>
    </w:rPr>
  </w:style>
  <w:style w:type="character" w:customStyle="1" w:styleId="743">
    <w:name w:val="尾注文本 Char"/>
    <w:autoRedefine/>
    <w:qFormat/>
    <w:uiPriority w:val="1"/>
    <w:rPr>
      <w:kern w:val="2"/>
      <w:sz w:val="28"/>
      <w:szCs w:val="24"/>
    </w:rPr>
  </w:style>
  <w:style w:type="character" w:customStyle="1" w:styleId="744">
    <w:name w:val="font81"/>
    <w:autoRedefine/>
    <w:qFormat/>
    <w:uiPriority w:val="0"/>
    <w:rPr>
      <w:rFonts w:hint="eastAsia" w:ascii="宋体" w:hAnsi="宋体" w:eastAsia="宋体" w:cs="宋体"/>
      <w:color w:val="000000"/>
      <w:sz w:val="20"/>
      <w:szCs w:val="20"/>
      <w:u w:val="none"/>
    </w:rPr>
  </w:style>
  <w:style w:type="character" w:customStyle="1" w:styleId="745">
    <w:name w:val="font101"/>
    <w:autoRedefine/>
    <w:qFormat/>
    <w:uiPriority w:val="0"/>
    <w:rPr>
      <w:rFonts w:hint="eastAsia" w:ascii="宋体" w:hAnsi="宋体" w:eastAsia="宋体" w:cs="宋体"/>
      <w:b/>
      <w:color w:val="000000"/>
      <w:sz w:val="24"/>
      <w:szCs w:val="24"/>
      <w:u w:val="none"/>
    </w:rPr>
  </w:style>
  <w:style w:type="character" w:customStyle="1" w:styleId="746">
    <w:name w:val="表头编号 Char"/>
    <w:link w:val="747"/>
    <w:autoRedefine/>
    <w:qFormat/>
    <w:uiPriority w:val="0"/>
    <w:rPr>
      <w:rFonts w:eastAsia="黑体"/>
      <w:sz w:val="24"/>
      <w:szCs w:val="24"/>
    </w:rPr>
  </w:style>
  <w:style w:type="paragraph" w:customStyle="1" w:styleId="747">
    <w:name w:val="表头编号"/>
    <w:basedOn w:val="1"/>
    <w:next w:val="748"/>
    <w:link w:val="746"/>
    <w:autoRedefine/>
    <w:qFormat/>
    <w:uiPriority w:val="0"/>
    <w:pPr>
      <w:adjustRightInd w:val="0"/>
      <w:snapToGrid w:val="0"/>
      <w:spacing w:line="360" w:lineRule="auto"/>
      <w:jc w:val="left"/>
    </w:pPr>
    <w:rPr>
      <w:rFonts w:eastAsia="黑体"/>
      <w:kern w:val="0"/>
      <w:sz w:val="24"/>
    </w:rPr>
  </w:style>
  <w:style w:type="paragraph" w:customStyle="1" w:styleId="748">
    <w:name w:val="表格文本"/>
    <w:basedOn w:val="1"/>
    <w:next w:val="1"/>
    <w:link w:val="809"/>
    <w:autoRedefine/>
    <w:qFormat/>
    <w:uiPriority w:val="0"/>
    <w:pPr>
      <w:adjustRightInd w:val="0"/>
      <w:snapToGrid w:val="0"/>
      <w:jc w:val="center"/>
    </w:pPr>
    <w:rPr>
      <w:color w:val="000000"/>
      <w:kern w:val="0"/>
      <w:sz w:val="24"/>
      <w:szCs w:val="21"/>
    </w:rPr>
  </w:style>
  <w:style w:type="character" w:customStyle="1" w:styleId="749">
    <w:name w:val="表格文字 Char"/>
    <w:link w:val="750"/>
    <w:autoRedefine/>
    <w:qFormat/>
    <w:uiPriority w:val="0"/>
    <w:rPr>
      <w:kern w:val="2"/>
      <w:sz w:val="21"/>
      <w:szCs w:val="21"/>
    </w:rPr>
  </w:style>
  <w:style w:type="paragraph" w:customStyle="1" w:styleId="750">
    <w:name w:val="表格文字"/>
    <w:basedOn w:val="266"/>
    <w:next w:val="25"/>
    <w:link w:val="749"/>
    <w:autoRedefine/>
    <w:qFormat/>
    <w:uiPriority w:val="0"/>
    <w:pPr>
      <w:autoSpaceDE/>
      <w:autoSpaceDN/>
      <w:spacing w:beforeLines="25" w:afterLines="25"/>
      <w:ind w:firstLine="0" w:firstLineChars="0"/>
      <w:jc w:val="center"/>
    </w:pPr>
    <w:rPr>
      <w:rFonts w:ascii="Times New Roman" w:hAnsi="Times New Roman" w:eastAsia="宋体"/>
      <w:kern w:val="2"/>
      <w:sz w:val="21"/>
      <w:szCs w:val="21"/>
    </w:rPr>
  </w:style>
  <w:style w:type="character" w:customStyle="1" w:styleId="751">
    <w:name w:val="font71"/>
    <w:autoRedefine/>
    <w:qFormat/>
    <w:uiPriority w:val="0"/>
    <w:rPr>
      <w:rFonts w:hint="eastAsia" w:ascii="宋体" w:hAnsi="宋体" w:eastAsia="宋体" w:cs="宋体"/>
      <w:color w:val="000000"/>
      <w:sz w:val="24"/>
      <w:szCs w:val="24"/>
      <w:u w:val="none"/>
    </w:rPr>
  </w:style>
  <w:style w:type="character" w:customStyle="1" w:styleId="752">
    <w:name w:val="表格标题/图片标题/日期格式/图片居中 Char"/>
    <w:link w:val="753"/>
    <w:autoRedefine/>
    <w:qFormat/>
    <w:uiPriority w:val="0"/>
    <w:rPr>
      <w:b/>
      <w:kern w:val="2"/>
      <w:sz w:val="28"/>
      <w:szCs w:val="24"/>
    </w:rPr>
  </w:style>
  <w:style w:type="paragraph" w:customStyle="1" w:styleId="753">
    <w:name w:val="表格标题/图片标题/日期格式/图片居中"/>
    <w:link w:val="752"/>
    <w:autoRedefine/>
    <w:qFormat/>
    <w:uiPriority w:val="0"/>
    <w:pPr>
      <w:jc w:val="center"/>
    </w:pPr>
    <w:rPr>
      <w:rFonts w:ascii="Times New Roman" w:hAnsi="Times New Roman" w:eastAsia="宋体" w:cs="Times New Roman"/>
      <w:b/>
      <w:kern w:val="2"/>
      <w:sz w:val="28"/>
      <w:szCs w:val="24"/>
      <w:lang w:val="en-US" w:eastAsia="zh-CN" w:bidi="ar-SA"/>
    </w:rPr>
  </w:style>
  <w:style w:type="character" w:customStyle="1" w:styleId="754">
    <w:name w:val="font61"/>
    <w:autoRedefine/>
    <w:qFormat/>
    <w:uiPriority w:val="0"/>
    <w:rPr>
      <w:rFonts w:hint="eastAsia" w:ascii="宋体" w:hAnsi="宋体" w:eastAsia="宋体" w:cs="宋体"/>
      <w:b/>
      <w:color w:val="000000"/>
      <w:sz w:val="24"/>
      <w:szCs w:val="24"/>
      <w:u w:val="none"/>
    </w:rPr>
  </w:style>
  <w:style w:type="character" w:customStyle="1" w:styleId="755">
    <w:name w:val="font41"/>
    <w:autoRedefine/>
    <w:qFormat/>
    <w:uiPriority w:val="0"/>
    <w:rPr>
      <w:rFonts w:hint="default" w:ascii="Times New Roman" w:hAnsi="Times New Roman" w:cs="Times New Roman"/>
      <w:color w:val="000000"/>
      <w:sz w:val="20"/>
      <w:szCs w:val="20"/>
      <w:u w:val="none"/>
    </w:rPr>
  </w:style>
  <w:style w:type="character" w:customStyle="1" w:styleId="756">
    <w:name w:val="fontstyle21"/>
    <w:autoRedefine/>
    <w:qFormat/>
    <w:uiPriority w:val="0"/>
    <w:rPr>
      <w:rFonts w:ascii="宋体" w:hAnsi="宋体" w:eastAsia="宋体" w:cs="宋体"/>
      <w:color w:val="000000"/>
      <w:sz w:val="22"/>
      <w:szCs w:val="22"/>
    </w:rPr>
  </w:style>
  <w:style w:type="character" w:customStyle="1" w:styleId="757">
    <w:name w:val="font201"/>
    <w:autoRedefine/>
    <w:qFormat/>
    <w:uiPriority w:val="0"/>
    <w:rPr>
      <w:rFonts w:hint="eastAsia" w:ascii="宋体" w:hAnsi="宋体" w:eastAsia="宋体" w:cs="宋体"/>
      <w:b/>
      <w:color w:val="000000"/>
      <w:sz w:val="24"/>
      <w:szCs w:val="24"/>
      <w:u w:val="none"/>
    </w:rPr>
  </w:style>
  <w:style w:type="character" w:customStyle="1" w:styleId="758">
    <w:name w:val="font221"/>
    <w:autoRedefine/>
    <w:qFormat/>
    <w:uiPriority w:val="0"/>
    <w:rPr>
      <w:rFonts w:hint="eastAsia" w:ascii="宋体" w:hAnsi="宋体" w:eastAsia="宋体" w:cs="宋体"/>
      <w:color w:val="000000"/>
      <w:sz w:val="24"/>
      <w:szCs w:val="24"/>
      <w:u w:val="none"/>
    </w:rPr>
  </w:style>
  <w:style w:type="character" w:customStyle="1" w:styleId="759">
    <w:name w:val="尾注文本 Char1"/>
    <w:basedOn w:val="66"/>
    <w:link w:val="39"/>
    <w:autoRedefine/>
    <w:qFormat/>
    <w:uiPriority w:val="99"/>
    <w:rPr>
      <w:kern w:val="2"/>
      <w:sz w:val="21"/>
      <w:szCs w:val="24"/>
    </w:rPr>
  </w:style>
  <w:style w:type="paragraph" w:customStyle="1" w:styleId="760">
    <w:name w:val="表格文字（居中）"/>
    <w:basedOn w:val="1"/>
    <w:autoRedefine/>
    <w:qFormat/>
    <w:uiPriority w:val="0"/>
    <w:pPr>
      <w:spacing w:line="360" w:lineRule="auto"/>
      <w:ind w:firstLine="200" w:firstLineChars="200"/>
      <w:jc w:val="center"/>
    </w:pPr>
    <w:rPr>
      <w:sz w:val="28"/>
    </w:rPr>
  </w:style>
  <w:style w:type="paragraph" w:customStyle="1" w:styleId="761">
    <w:name w:val="文章正文"/>
    <w:basedOn w:val="1"/>
    <w:autoRedefine/>
    <w:qFormat/>
    <w:uiPriority w:val="0"/>
    <w:pPr>
      <w:spacing w:line="360" w:lineRule="auto"/>
      <w:ind w:firstLine="200" w:firstLineChars="200"/>
    </w:pPr>
    <w:rPr>
      <w:kern w:val="0"/>
      <w:sz w:val="28"/>
      <w:szCs w:val="22"/>
    </w:rPr>
  </w:style>
  <w:style w:type="paragraph" w:customStyle="1" w:styleId="762">
    <w:name w:val="表格内容"/>
    <w:basedOn w:val="1"/>
    <w:autoRedefine/>
    <w:qFormat/>
    <w:uiPriority w:val="0"/>
    <w:pPr>
      <w:jc w:val="center"/>
    </w:pPr>
    <w:rPr>
      <w:sz w:val="24"/>
      <w:szCs w:val="21"/>
    </w:rPr>
  </w:style>
  <w:style w:type="paragraph" w:customStyle="1" w:styleId="763">
    <w:name w:val="图名"/>
    <w:basedOn w:val="1"/>
    <w:next w:val="1"/>
    <w:autoRedefine/>
    <w:qFormat/>
    <w:uiPriority w:val="1"/>
    <w:pPr>
      <w:spacing w:line="360" w:lineRule="auto"/>
      <w:jc w:val="center"/>
    </w:pPr>
    <w:rPr>
      <w:rFonts w:eastAsia="Times New Roman"/>
      <w:b/>
      <w:color w:val="000000"/>
      <w:sz w:val="28"/>
    </w:rPr>
  </w:style>
  <w:style w:type="paragraph" w:customStyle="1" w:styleId="764">
    <w:name w:val="08-123456789"/>
    <w:basedOn w:val="1"/>
    <w:autoRedefine/>
    <w:qFormat/>
    <w:uiPriority w:val="0"/>
    <w:pPr>
      <w:ind w:firstLine="553" w:firstLineChars="200"/>
    </w:pPr>
    <w:rPr>
      <w:rFonts w:cs="宋体"/>
      <w:sz w:val="26"/>
      <w:szCs w:val="26"/>
    </w:rPr>
  </w:style>
  <w:style w:type="paragraph" w:customStyle="1" w:styleId="765">
    <w:name w:val="封面文字"/>
    <w:basedOn w:val="1"/>
    <w:autoRedefine/>
    <w:qFormat/>
    <w:uiPriority w:val="0"/>
    <w:pPr>
      <w:spacing w:line="360" w:lineRule="auto"/>
      <w:jc w:val="center"/>
    </w:pPr>
    <w:rPr>
      <w:rFonts w:hAnsi="宋体" w:eastAsia="黑体"/>
      <w:sz w:val="48"/>
    </w:rPr>
  </w:style>
  <w:style w:type="paragraph" w:customStyle="1" w:styleId="766">
    <w:name w:val="表头、图名"/>
    <w:basedOn w:val="1"/>
    <w:link w:val="808"/>
    <w:autoRedefine/>
    <w:qFormat/>
    <w:uiPriority w:val="0"/>
    <w:pPr>
      <w:spacing w:line="360" w:lineRule="auto"/>
      <w:ind w:firstLine="200" w:firstLineChars="200"/>
      <w:jc w:val="center"/>
    </w:pPr>
    <w:rPr>
      <w:b/>
      <w:sz w:val="28"/>
      <w:szCs w:val="20"/>
    </w:rPr>
  </w:style>
  <w:style w:type="paragraph" w:customStyle="1" w:styleId="767">
    <w:name w:val="表头2"/>
    <w:basedOn w:val="377"/>
    <w:autoRedefine/>
    <w:qFormat/>
    <w:uiPriority w:val="0"/>
    <w:pPr>
      <w:spacing w:line="520" w:lineRule="exact"/>
      <w:jc w:val="left"/>
    </w:pPr>
    <w:rPr>
      <w:rFonts w:ascii="Calibri" w:hAnsi="Calibri" w:eastAsia="宋体"/>
      <w:color w:val="auto"/>
      <w:szCs w:val="28"/>
    </w:rPr>
  </w:style>
  <w:style w:type="paragraph" w:customStyle="1" w:styleId="768">
    <w:name w:val="WPSOffice手动目录 1"/>
    <w:autoRedefine/>
    <w:qFormat/>
    <w:uiPriority w:val="0"/>
    <w:rPr>
      <w:rFonts w:ascii="Times New Roman" w:hAnsi="Times New Roman" w:eastAsia="宋体" w:cs="Times New Roman"/>
      <w:lang w:val="en-US" w:eastAsia="zh-CN" w:bidi="ar-SA"/>
    </w:rPr>
  </w:style>
  <w:style w:type="paragraph" w:customStyle="1" w:styleId="769">
    <w:name w:val="表格备注"/>
    <w:basedOn w:val="1"/>
    <w:next w:val="1"/>
    <w:autoRedefine/>
    <w:qFormat/>
    <w:uiPriority w:val="2"/>
    <w:pPr>
      <w:spacing w:afterLines="50"/>
    </w:pPr>
  </w:style>
  <w:style w:type="paragraph" w:customStyle="1" w:styleId="770">
    <w:name w:val="目  录"/>
    <w:basedOn w:val="1"/>
    <w:autoRedefine/>
    <w:qFormat/>
    <w:uiPriority w:val="0"/>
    <w:pPr>
      <w:spacing w:line="360" w:lineRule="auto"/>
      <w:jc w:val="center"/>
    </w:pPr>
    <w:rPr>
      <w:rFonts w:hAnsi="宋体" w:eastAsia="黑体"/>
      <w:sz w:val="44"/>
    </w:rPr>
  </w:style>
  <w:style w:type="paragraph" w:customStyle="1" w:styleId="771">
    <w:name w:val="表格样式"/>
    <w:basedOn w:val="1"/>
    <w:autoRedefine/>
    <w:qFormat/>
    <w:uiPriority w:val="0"/>
    <w:pPr>
      <w:widowControl/>
      <w:jc w:val="center"/>
    </w:pPr>
    <w:rPr>
      <w:bCs/>
      <w:kern w:val="0"/>
      <w:sz w:val="24"/>
    </w:rPr>
  </w:style>
  <w:style w:type="paragraph" w:customStyle="1" w:styleId="772">
    <w:name w:val="正文 1.5 倍行距"/>
    <w:basedOn w:val="1"/>
    <w:autoRedefine/>
    <w:qFormat/>
    <w:uiPriority w:val="0"/>
    <w:pPr>
      <w:autoSpaceDE w:val="0"/>
      <w:autoSpaceDN w:val="0"/>
      <w:adjustRightInd w:val="0"/>
      <w:spacing w:line="360" w:lineRule="auto"/>
      <w:ind w:firstLine="480" w:firstLineChars="200"/>
      <w:textAlignment w:val="baseline"/>
    </w:pPr>
    <w:rPr>
      <w:kern w:val="0"/>
      <w:sz w:val="24"/>
      <w:szCs w:val="20"/>
    </w:rPr>
  </w:style>
  <w:style w:type="paragraph" w:customStyle="1" w:styleId="773">
    <w:name w:val="表图内容"/>
    <w:basedOn w:val="1"/>
    <w:autoRedefine/>
    <w:qFormat/>
    <w:uiPriority w:val="0"/>
    <w:pPr>
      <w:spacing w:line="360" w:lineRule="auto"/>
      <w:ind w:firstLine="200" w:firstLineChars="200"/>
      <w:jc w:val="center"/>
    </w:pPr>
    <w:rPr>
      <w:sz w:val="24"/>
      <w:szCs w:val="21"/>
    </w:rPr>
  </w:style>
  <w:style w:type="paragraph" w:customStyle="1" w:styleId="774">
    <w:name w:val="WPSOffice手动目录 3"/>
    <w:autoRedefine/>
    <w:qFormat/>
    <w:uiPriority w:val="0"/>
    <w:pPr>
      <w:ind w:left="400" w:leftChars="400"/>
    </w:pPr>
    <w:rPr>
      <w:rFonts w:ascii="Times New Roman" w:hAnsi="Times New Roman" w:eastAsia="宋体" w:cs="Times New Roman"/>
      <w:lang w:val="en-US" w:eastAsia="zh-CN" w:bidi="ar-SA"/>
    </w:rPr>
  </w:style>
  <w:style w:type="paragraph" w:customStyle="1" w:styleId="775">
    <w:name w:val="WPSOffice手动目录 2"/>
    <w:autoRedefine/>
    <w:qFormat/>
    <w:uiPriority w:val="0"/>
    <w:pPr>
      <w:ind w:left="200" w:leftChars="200"/>
    </w:pPr>
    <w:rPr>
      <w:rFonts w:ascii="Times New Roman" w:hAnsi="Times New Roman" w:eastAsia="宋体" w:cs="Times New Roman"/>
      <w:lang w:val="en-US" w:eastAsia="zh-CN" w:bidi="ar-SA"/>
    </w:rPr>
  </w:style>
  <w:style w:type="paragraph" w:customStyle="1" w:styleId="776">
    <w:name w:val="图片"/>
    <w:basedOn w:val="1"/>
    <w:autoRedefine/>
    <w:qFormat/>
    <w:uiPriority w:val="0"/>
    <w:pPr>
      <w:jc w:val="center"/>
    </w:pPr>
    <w:rPr>
      <w:sz w:val="28"/>
    </w:rPr>
  </w:style>
  <w:style w:type="character" w:customStyle="1" w:styleId="777">
    <w:name w:val="招标正文 字符"/>
    <w:link w:val="778"/>
    <w:autoRedefine/>
    <w:qFormat/>
    <w:uiPriority w:val="0"/>
    <w:rPr>
      <w:rFonts w:ascii="宋体" w:hAnsi="宋体"/>
      <w:color w:val="000000"/>
      <w:sz w:val="24"/>
      <w:szCs w:val="21"/>
    </w:rPr>
  </w:style>
  <w:style w:type="paragraph" w:customStyle="1" w:styleId="778">
    <w:name w:val="招标正文"/>
    <w:basedOn w:val="1"/>
    <w:link w:val="777"/>
    <w:autoRedefine/>
    <w:qFormat/>
    <w:uiPriority w:val="0"/>
    <w:pPr>
      <w:adjustRightInd w:val="0"/>
      <w:snapToGrid w:val="0"/>
      <w:spacing w:line="360" w:lineRule="auto"/>
      <w:ind w:firstLine="480" w:firstLineChars="200"/>
    </w:pPr>
    <w:rPr>
      <w:rFonts w:ascii="宋体" w:hAnsi="宋体"/>
      <w:color w:val="000000"/>
      <w:kern w:val="0"/>
      <w:sz w:val="24"/>
      <w:szCs w:val="21"/>
    </w:rPr>
  </w:style>
  <w:style w:type="character" w:customStyle="1" w:styleId="779">
    <w:name w:val="招标-标题1 字符"/>
    <w:link w:val="780"/>
    <w:autoRedefine/>
    <w:qFormat/>
    <w:uiPriority w:val="0"/>
    <w:rPr>
      <w:rFonts w:ascii="宋体" w:hAnsi="宋体"/>
      <w:b/>
      <w:bCs/>
      <w:sz w:val="28"/>
      <w:szCs w:val="21"/>
    </w:rPr>
  </w:style>
  <w:style w:type="paragraph" w:customStyle="1" w:styleId="780">
    <w:name w:val="招标-标题1"/>
    <w:basedOn w:val="1"/>
    <w:link w:val="779"/>
    <w:autoRedefine/>
    <w:qFormat/>
    <w:uiPriority w:val="0"/>
    <w:pPr>
      <w:spacing w:line="300" w:lineRule="auto"/>
      <w:ind w:left="560" w:firstLine="200" w:firstLineChars="200"/>
    </w:pPr>
    <w:rPr>
      <w:rFonts w:ascii="宋体" w:hAnsi="宋体"/>
      <w:b/>
      <w:bCs/>
      <w:kern w:val="0"/>
      <w:sz w:val="28"/>
      <w:szCs w:val="21"/>
    </w:rPr>
  </w:style>
  <w:style w:type="character" w:customStyle="1" w:styleId="781">
    <w:name w:val="招标-主标题 字符"/>
    <w:link w:val="782"/>
    <w:autoRedefine/>
    <w:qFormat/>
    <w:uiPriority w:val="0"/>
    <w:rPr>
      <w:rFonts w:ascii="宋体" w:hAnsi="宋体"/>
      <w:b/>
      <w:sz w:val="32"/>
    </w:rPr>
  </w:style>
  <w:style w:type="paragraph" w:customStyle="1" w:styleId="782">
    <w:name w:val="招标-主标题"/>
    <w:basedOn w:val="1"/>
    <w:link w:val="781"/>
    <w:autoRedefine/>
    <w:qFormat/>
    <w:uiPriority w:val="0"/>
    <w:pPr>
      <w:tabs>
        <w:tab w:val="left" w:pos="1620"/>
        <w:tab w:val="left" w:pos="1800"/>
        <w:tab w:val="left" w:pos="1980"/>
      </w:tabs>
      <w:spacing w:line="768" w:lineRule="auto"/>
      <w:ind w:firstLine="200" w:firstLineChars="200"/>
      <w:jc w:val="center"/>
    </w:pPr>
    <w:rPr>
      <w:rFonts w:ascii="宋体" w:hAnsi="宋体"/>
      <w:b/>
      <w:kern w:val="0"/>
      <w:sz w:val="32"/>
      <w:szCs w:val="20"/>
    </w:rPr>
  </w:style>
  <w:style w:type="character" w:customStyle="1" w:styleId="783">
    <w:name w:val="标题 Char1"/>
    <w:basedOn w:val="66"/>
    <w:autoRedefine/>
    <w:qFormat/>
    <w:uiPriority w:val="10"/>
    <w:rPr>
      <w:rFonts w:eastAsia="宋体" w:asciiTheme="majorHAnsi" w:hAnsiTheme="majorHAnsi" w:cstheme="majorBidi"/>
      <w:b/>
      <w:bCs/>
      <w:sz w:val="32"/>
      <w:szCs w:val="32"/>
    </w:rPr>
  </w:style>
  <w:style w:type="paragraph" w:customStyle="1" w:styleId="784">
    <w:name w:val="Char Char Char Char Char Char1"/>
    <w:basedOn w:val="1"/>
    <w:autoRedefine/>
    <w:semiHidden/>
    <w:qFormat/>
    <w:uiPriority w:val="0"/>
    <w:pPr>
      <w:adjustRightInd w:val="0"/>
      <w:spacing w:line="360" w:lineRule="atLeast"/>
      <w:ind w:firstLine="200" w:firstLineChars="200"/>
      <w:textAlignment w:val="baseline"/>
    </w:pPr>
    <w:rPr>
      <w:rFonts w:ascii="仿宋_GB2312" w:eastAsia="仿宋_GB2312"/>
      <w:sz w:val="28"/>
      <w:szCs w:val="28"/>
    </w:rPr>
  </w:style>
  <w:style w:type="paragraph" w:customStyle="1" w:styleId="785">
    <w:name w:val="表名"/>
    <w:basedOn w:val="1"/>
    <w:autoRedefine/>
    <w:qFormat/>
    <w:uiPriority w:val="0"/>
    <w:pPr>
      <w:spacing w:after="60" w:line="560" w:lineRule="exact"/>
      <w:ind w:firstLine="100" w:firstLineChars="100"/>
    </w:pPr>
    <w:rPr>
      <w:rFonts w:ascii="黑体" w:eastAsia="黑体"/>
      <w:sz w:val="24"/>
    </w:rPr>
  </w:style>
  <w:style w:type="paragraph" w:customStyle="1" w:styleId="786">
    <w:name w:val="标1 Char Char Char Char Char Char Char"/>
    <w:basedOn w:val="1"/>
    <w:autoRedefine/>
    <w:semiHidden/>
    <w:qFormat/>
    <w:uiPriority w:val="0"/>
    <w:pPr>
      <w:adjustRightInd w:val="0"/>
      <w:spacing w:line="360" w:lineRule="atLeast"/>
      <w:ind w:firstLine="200" w:firstLineChars="200"/>
    </w:pPr>
    <w:rPr>
      <w:szCs w:val="28"/>
    </w:rPr>
  </w:style>
  <w:style w:type="paragraph" w:customStyle="1" w:styleId="787">
    <w:name w:val="样式 仿宋_GB2312 小三 黑色"/>
    <w:basedOn w:val="1"/>
    <w:autoRedefine/>
    <w:qFormat/>
    <w:uiPriority w:val="0"/>
    <w:pPr>
      <w:autoSpaceDE w:val="0"/>
      <w:autoSpaceDN w:val="0"/>
      <w:adjustRightInd w:val="0"/>
      <w:spacing w:line="520" w:lineRule="exact"/>
      <w:ind w:firstLine="560" w:firstLineChars="200"/>
    </w:pPr>
    <w:rPr>
      <w:rFonts w:ascii="仿宋_GB2312" w:eastAsia="仿宋_GB2312" w:cs="仿宋_GB2312"/>
      <w:sz w:val="30"/>
      <w:szCs w:val="30"/>
      <w:lang w:val="zh-CN"/>
    </w:rPr>
  </w:style>
  <w:style w:type="character" w:customStyle="1" w:styleId="788">
    <w:name w:val="样式 仿宋_GB2312 小三 黑色 Char"/>
    <w:autoRedefine/>
    <w:qFormat/>
    <w:uiPriority w:val="0"/>
    <w:rPr>
      <w:rFonts w:ascii="仿宋_GB2312" w:eastAsia="仿宋_GB2312" w:cs="仿宋_GB2312"/>
      <w:kern w:val="2"/>
      <w:sz w:val="30"/>
      <w:szCs w:val="30"/>
      <w:lang w:val="zh-CN" w:eastAsia="zh-CN" w:bidi="ar-SA"/>
    </w:rPr>
  </w:style>
  <w:style w:type="paragraph" w:customStyle="1" w:styleId="789">
    <w:name w:val="样式 仿宋_GB2312 小三"/>
    <w:basedOn w:val="1"/>
    <w:autoRedefine/>
    <w:qFormat/>
    <w:uiPriority w:val="0"/>
    <w:pPr>
      <w:autoSpaceDE w:val="0"/>
      <w:autoSpaceDN w:val="0"/>
      <w:adjustRightInd w:val="0"/>
      <w:spacing w:line="520" w:lineRule="exact"/>
      <w:ind w:firstLine="600" w:firstLineChars="200"/>
    </w:pPr>
    <w:rPr>
      <w:rFonts w:ascii="仿宋_GB2312" w:eastAsia="仿宋_GB2312" w:cs="仿宋_GB2312"/>
      <w:sz w:val="30"/>
      <w:szCs w:val="30"/>
      <w:lang w:val="zh-CN"/>
    </w:rPr>
  </w:style>
  <w:style w:type="character" w:customStyle="1" w:styleId="790">
    <w:name w:val="样式 仿宋_GB2312 小三 Char"/>
    <w:autoRedefine/>
    <w:qFormat/>
    <w:uiPriority w:val="0"/>
    <w:rPr>
      <w:rFonts w:ascii="仿宋_GB2312" w:eastAsia="仿宋_GB2312" w:cs="仿宋_GB2312"/>
      <w:kern w:val="2"/>
      <w:sz w:val="30"/>
      <w:szCs w:val="30"/>
      <w:lang w:val="zh-CN" w:eastAsia="zh-CN" w:bidi="ar-SA"/>
    </w:rPr>
  </w:style>
  <w:style w:type="paragraph" w:customStyle="1" w:styleId="791">
    <w:name w:val="样式4"/>
    <w:basedOn w:val="1"/>
    <w:autoRedefine/>
    <w:qFormat/>
    <w:uiPriority w:val="0"/>
    <w:pPr>
      <w:spacing w:line="360" w:lineRule="auto"/>
      <w:ind w:firstLine="200" w:firstLineChars="200"/>
    </w:pPr>
    <w:rPr>
      <w:sz w:val="28"/>
      <w:szCs w:val="21"/>
    </w:rPr>
  </w:style>
  <w:style w:type="paragraph" w:customStyle="1" w:styleId="792">
    <w:name w:val="图中文字"/>
    <w:autoRedefine/>
    <w:qFormat/>
    <w:uiPriority w:val="0"/>
    <w:pPr>
      <w:adjustRightInd w:val="0"/>
      <w:snapToGrid w:val="0"/>
      <w:jc w:val="both"/>
    </w:pPr>
    <w:rPr>
      <w:rFonts w:ascii="宋体" w:hAnsi="Times New Roman" w:eastAsia="宋体" w:cs="Times New Roman"/>
      <w:kern w:val="2"/>
      <w:sz w:val="21"/>
      <w:lang w:val="en-US" w:eastAsia="zh-CN" w:bidi="ar-SA"/>
    </w:rPr>
  </w:style>
  <w:style w:type="paragraph" w:customStyle="1" w:styleId="793">
    <w:name w:val="Xie图文中"/>
    <w:autoRedefine/>
    <w:qFormat/>
    <w:uiPriority w:val="0"/>
    <w:pPr>
      <w:widowControl w:val="0"/>
      <w:adjustRightInd w:val="0"/>
      <w:snapToGrid w:val="0"/>
      <w:spacing w:before="40" w:after="40"/>
      <w:jc w:val="center"/>
    </w:pPr>
    <w:rPr>
      <w:rFonts w:ascii="Times New Roman" w:hAnsi="Times New Roman" w:eastAsia="仿宋_GB2312" w:cs="Times New Roman"/>
      <w:snapToGrid w:val="0"/>
      <w:sz w:val="24"/>
      <w:szCs w:val="24"/>
      <w:lang w:val="en-US" w:eastAsia="zh-CN" w:bidi="ar-SA"/>
    </w:rPr>
  </w:style>
  <w:style w:type="paragraph" w:customStyle="1" w:styleId="794">
    <w:name w:val="瑞安正文"/>
    <w:basedOn w:val="1"/>
    <w:autoRedefine/>
    <w:qFormat/>
    <w:uiPriority w:val="0"/>
    <w:pPr>
      <w:adjustRightInd w:val="0"/>
      <w:snapToGrid w:val="0"/>
      <w:spacing w:afterLines="50" w:line="300" w:lineRule="auto"/>
      <w:ind w:firstLine="200" w:firstLineChars="200"/>
    </w:pPr>
    <w:rPr>
      <w:sz w:val="24"/>
    </w:rPr>
  </w:style>
  <w:style w:type="paragraph" w:customStyle="1" w:styleId="795">
    <w:name w:val="样式 图文仿宋四号 + (西文) 宋体 (中文) 宋体"/>
    <w:basedOn w:val="1"/>
    <w:link w:val="796"/>
    <w:autoRedefine/>
    <w:qFormat/>
    <w:uiPriority w:val="0"/>
    <w:pPr>
      <w:adjustRightInd w:val="0"/>
      <w:spacing w:line="360" w:lineRule="auto"/>
      <w:ind w:firstLine="640" w:firstLineChars="200"/>
      <w:jc w:val="left"/>
    </w:pPr>
    <w:rPr>
      <w:rFonts w:ascii="仿宋_GB2312" w:eastAsia="仿宋_GB2312"/>
      <w:sz w:val="32"/>
      <w:szCs w:val="32"/>
      <w:lang w:val="zh-CN"/>
    </w:rPr>
  </w:style>
  <w:style w:type="character" w:customStyle="1" w:styleId="796">
    <w:name w:val="样式 图文仿宋四号 + (西文) 宋体 (中文) 宋体 Char"/>
    <w:link w:val="795"/>
    <w:autoRedefine/>
    <w:qFormat/>
    <w:uiPriority w:val="0"/>
    <w:rPr>
      <w:rFonts w:ascii="仿宋_GB2312" w:eastAsia="仿宋_GB2312"/>
      <w:kern w:val="2"/>
      <w:sz w:val="32"/>
      <w:szCs w:val="32"/>
      <w:lang w:val="zh-CN"/>
    </w:rPr>
  </w:style>
  <w:style w:type="paragraph" w:customStyle="1" w:styleId="797">
    <w:name w:val="para_small"/>
    <w:basedOn w:val="1"/>
    <w:autoRedefine/>
    <w:semiHidden/>
    <w:qFormat/>
    <w:uiPriority w:val="0"/>
    <w:pPr>
      <w:widowControl/>
      <w:spacing w:before="100" w:beforeAutospacing="1" w:after="100" w:afterAutospacing="1" w:line="360" w:lineRule="auto"/>
      <w:ind w:firstLine="200" w:firstLineChars="200"/>
      <w:jc w:val="left"/>
    </w:pPr>
    <w:rPr>
      <w:rFonts w:ascii="Arial Unicode MS" w:hAnsi="Arial Unicode MS" w:eastAsia="Arial Unicode MS" w:cs="Arial Unicode MS"/>
      <w:color w:val="000000"/>
      <w:kern w:val="0"/>
      <w:sz w:val="24"/>
    </w:rPr>
  </w:style>
  <w:style w:type="paragraph" w:customStyle="1" w:styleId="798">
    <w:name w:val="temp标题1"/>
    <w:basedOn w:val="3"/>
    <w:next w:val="3"/>
    <w:autoRedefine/>
    <w:qFormat/>
    <w:uiPriority w:val="0"/>
    <w:pPr>
      <w:keepLines/>
      <w:spacing w:beforeLines="150" w:afterLines="50" w:line="360" w:lineRule="auto"/>
      <w:ind w:firstLine="200" w:firstLineChars="200"/>
    </w:pPr>
    <w:rPr>
      <w:rFonts w:ascii="Times New Roman" w:eastAsia="黑体"/>
      <w:kern w:val="0"/>
      <w:sz w:val="32"/>
      <w:szCs w:val="32"/>
      <w:lang w:val="zh-CN"/>
    </w:rPr>
  </w:style>
  <w:style w:type="paragraph" w:customStyle="1" w:styleId="799">
    <w:name w:val="temp标题2"/>
    <w:basedOn w:val="4"/>
    <w:next w:val="1"/>
    <w:autoRedefine/>
    <w:qFormat/>
    <w:uiPriority w:val="0"/>
    <w:pPr>
      <w:adjustRightInd w:val="0"/>
      <w:spacing w:beforeLines="100" w:after="0" w:line="360" w:lineRule="auto"/>
      <w:ind w:firstLine="200" w:firstLineChars="200"/>
      <w:jc w:val="left"/>
    </w:pPr>
    <w:rPr>
      <w:rFonts w:ascii="Times New Roman" w:hAnsi="Times New Roman" w:eastAsia="楷体_GB2312"/>
      <w:kern w:val="0"/>
      <w:sz w:val="30"/>
      <w:szCs w:val="30"/>
      <w:lang w:val="zh-CN"/>
    </w:rPr>
  </w:style>
  <w:style w:type="paragraph" w:customStyle="1" w:styleId="800">
    <w:name w:val="temp标题3"/>
    <w:basedOn w:val="5"/>
    <w:autoRedefine/>
    <w:qFormat/>
    <w:uiPriority w:val="0"/>
    <w:pPr>
      <w:spacing w:beforeLines="50" w:after="0" w:line="360" w:lineRule="auto"/>
      <w:ind w:firstLine="200" w:firstLineChars="200"/>
      <w:jc w:val="left"/>
    </w:pPr>
    <w:rPr>
      <w:rFonts w:eastAsia="楷体_GB2312"/>
      <w:kern w:val="0"/>
      <w:sz w:val="28"/>
      <w:szCs w:val="28"/>
    </w:rPr>
  </w:style>
  <w:style w:type="paragraph" w:customStyle="1" w:styleId="801">
    <w:name w:val="样式 temp标题1 + 段前: 0.5 行"/>
    <w:basedOn w:val="798"/>
    <w:autoRedefine/>
    <w:qFormat/>
    <w:uiPriority w:val="0"/>
    <w:pPr>
      <w:spacing w:beforeLines="100"/>
    </w:pPr>
    <w:rPr>
      <w:rFonts w:cs="宋体"/>
      <w:bCs w:val="0"/>
      <w:szCs w:val="20"/>
    </w:rPr>
  </w:style>
  <w:style w:type="paragraph" w:customStyle="1" w:styleId="802">
    <w:name w:val="样式 Times New Roman 加粗 首行缩进:  2 字符 行距: 1.5 倍行距"/>
    <w:basedOn w:val="1"/>
    <w:autoRedefine/>
    <w:qFormat/>
    <w:uiPriority w:val="0"/>
    <w:pPr>
      <w:spacing w:line="360" w:lineRule="auto"/>
      <w:ind w:firstLine="562" w:firstLineChars="200"/>
    </w:pPr>
    <w:rPr>
      <w:rFonts w:eastAsia="楷体_GB2312" w:cs="宋体"/>
      <w:bCs/>
      <w:sz w:val="28"/>
      <w:szCs w:val="20"/>
    </w:rPr>
  </w:style>
  <w:style w:type="paragraph" w:customStyle="1" w:styleId="803">
    <w:name w:val="页码1"/>
    <w:basedOn w:val="1"/>
    <w:next w:val="1"/>
    <w:autoRedefine/>
    <w:qFormat/>
    <w:uiPriority w:val="0"/>
    <w:pPr>
      <w:widowControl/>
      <w:spacing w:line="360" w:lineRule="auto"/>
      <w:ind w:firstLine="200" w:firstLineChars="200"/>
    </w:pPr>
    <w:rPr>
      <w:color w:val="000000"/>
      <w:sz w:val="28"/>
      <w:szCs w:val="28"/>
    </w:rPr>
  </w:style>
  <w:style w:type="paragraph" w:customStyle="1" w:styleId="804">
    <w:name w:val="附图表"/>
    <w:basedOn w:val="1"/>
    <w:link w:val="805"/>
    <w:autoRedefine/>
    <w:qFormat/>
    <w:uiPriority w:val="0"/>
    <w:pPr>
      <w:widowControl/>
      <w:spacing w:line="360" w:lineRule="auto"/>
      <w:ind w:firstLine="200" w:firstLineChars="200"/>
      <w:jc w:val="left"/>
      <w:outlineLvl w:val="4"/>
    </w:pPr>
    <w:rPr>
      <w:rFonts w:ascii="黑体" w:hAnsi="黑体" w:eastAsia="黑体"/>
      <w:color w:val="000000"/>
      <w:kern w:val="0"/>
      <w:sz w:val="28"/>
      <w:szCs w:val="30"/>
      <w:lang w:val="zh-CN"/>
    </w:rPr>
  </w:style>
  <w:style w:type="character" w:customStyle="1" w:styleId="805">
    <w:name w:val="附图表 Char"/>
    <w:link w:val="804"/>
    <w:autoRedefine/>
    <w:qFormat/>
    <w:uiPriority w:val="0"/>
    <w:rPr>
      <w:rFonts w:ascii="黑体" w:hAnsi="黑体" w:eastAsia="黑体"/>
      <w:color w:val="000000"/>
      <w:sz w:val="28"/>
      <w:szCs w:val="30"/>
      <w:lang w:val="zh-CN"/>
    </w:rPr>
  </w:style>
  <w:style w:type="character" w:customStyle="1" w:styleId="806">
    <w:name w:val="Char Char7"/>
    <w:autoRedefine/>
    <w:qFormat/>
    <w:uiPriority w:val="0"/>
    <w:rPr>
      <w:rFonts w:hAnsi="宋体" w:eastAsia="宋体"/>
      <w:kern w:val="2"/>
      <w:sz w:val="18"/>
      <w:szCs w:val="18"/>
      <w:lang w:val="zh-CN" w:eastAsia="zh-CN" w:bidi="ar-SA"/>
    </w:rPr>
  </w:style>
  <w:style w:type="character" w:customStyle="1" w:styleId="807">
    <w:name w:val="content1"/>
    <w:autoRedefine/>
    <w:qFormat/>
    <w:uiPriority w:val="0"/>
    <w:rPr>
      <w:sz w:val="22"/>
      <w:szCs w:val="22"/>
    </w:rPr>
  </w:style>
  <w:style w:type="character" w:customStyle="1" w:styleId="808">
    <w:name w:val="表头 Char"/>
    <w:link w:val="766"/>
    <w:autoRedefine/>
    <w:qFormat/>
    <w:uiPriority w:val="0"/>
    <w:rPr>
      <w:b/>
      <w:kern w:val="2"/>
      <w:sz w:val="28"/>
    </w:rPr>
  </w:style>
  <w:style w:type="character" w:customStyle="1" w:styleId="809">
    <w:name w:val="表格文本 Char"/>
    <w:link w:val="748"/>
    <w:autoRedefine/>
    <w:qFormat/>
    <w:uiPriority w:val="0"/>
    <w:rPr>
      <w:color w:val="000000"/>
      <w:sz w:val="24"/>
      <w:szCs w:val="21"/>
    </w:rPr>
  </w:style>
  <w:style w:type="character" w:customStyle="1" w:styleId="810">
    <w:name w:val="批注主题 Char1"/>
    <w:basedOn w:val="114"/>
    <w:autoRedefine/>
    <w:semiHidden/>
    <w:qFormat/>
    <w:uiPriority w:val="99"/>
    <w:rPr>
      <w:rFonts w:ascii="Calibri" w:hAnsi="Calibri" w:eastAsia="仿宋" w:cs="Times New Roman"/>
      <w:b/>
      <w:bCs/>
      <w:kern w:val="2"/>
      <w:sz w:val="28"/>
      <w:szCs w:val="22"/>
    </w:rPr>
  </w:style>
  <w:style w:type="paragraph" w:customStyle="1" w:styleId="811">
    <w:name w:val="正文5"/>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812">
    <w:name w:val="纯文本2"/>
    <w:basedOn w:val="811"/>
    <w:autoRedefine/>
    <w:qFormat/>
    <w:uiPriority w:val="0"/>
    <w:pPr>
      <w:widowControl/>
      <w:jc w:val="left"/>
    </w:pPr>
    <w:rPr>
      <w:rFonts w:ascii="宋体" w:hAnsi="Courier New"/>
    </w:rPr>
  </w:style>
  <w:style w:type="paragraph" w:customStyle="1" w:styleId="813">
    <w:name w:val="二级无"/>
    <w:basedOn w:val="428"/>
    <w:autoRedefine/>
    <w:qFormat/>
    <w:uiPriority w:val="0"/>
    <w:pPr>
      <w:ind w:left="735"/>
    </w:pPr>
    <w:rPr>
      <w:rFonts w:ascii="宋体" w:hAnsi="Calibri" w:eastAsia="宋体" w:cs="Times New Roman"/>
      <w:szCs w:val="21"/>
    </w:rPr>
  </w:style>
  <w:style w:type="paragraph" w:customStyle="1" w:styleId="814">
    <w:name w:val="正文缩进2格"/>
    <w:basedOn w:val="1"/>
    <w:autoRedefine/>
    <w:qFormat/>
    <w:uiPriority w:val="0"/>
    <w:pPr>
      <w:spacing w:line="600" w:lineRule="exact"/>
      <w:ind w:firstLine="639" w:firstLineChars="206"/>
    </w:pPr>
    <w:rPr>
      <w:rFonts w:ascii="仿宋_GB2312" w:hAnsi="宋体" w:eastAsia="仿宋_GB2312"/>
      <w:sz w:val="31"/>
      <w:szCs w:val="28"/>
    </w:rPr>
  </w:style>
  <w:style w:type="character" w:customStyle="1" w:styleId="815">
    <w:name w:val="area_1"/>
    <w:autoRedefine/>
    <w:qFormat/>
    <w:uiPriority w:val="0"/>
    <w:rPr>
      <w:rFonts w:ascii="宋体" w:hAnsi="宋体"/>
      <w:sz w:val="24"/>
    </w:rPr>
  </w:style>
  <w:style w:type="table" w:customStyle="1" w:styleId="816">
    <w:name w:val="Table Normal"/>
    <w:autoRedefine/>
    <w:semiHidden/>
    <w:unhideWhenUsed/>
    <w:qFormat/>
    <w:uiPriority w:val="0"/>
    <w:tblPr>
      <w:tblCellMar>
        <w:top w:w="0" w:type="dxa"/>
        <w:left w:w="0" w:type="dxa"/>
        <w:bottom w:w="0" w:type="dxa"/>
        <w:right w:w="0" w:type="dxa"/>
      </w:tblCellMar>
    </w:tblPr>
  </w:style>
  <w:style w:type="paragraph" w:customStyle="1" w:styleId="817">
    <w:name w:val="列表段落1"/>
    <w:basedOn w:val="1"/>
    <w:autoRedefine/>
    <w:qFormat/>
    <w:uiPriority w:val="0"/>
    <w:pPr>
      <w:ind w:firstLine="420" w:firstLineChars="200"/>
    </w:pPr>
    <w:rPr>
      <w:szCs w:val="21"/>
    </w:rPr>
  </w:style>
  <w:style w:type="paragraph" w:customStyle="1" w:styleId="818">
    <w:name w:val="列表段落2"/>
    <w:basedOn w:val="1"/>
    <w:autoRedefine/>
    <w:qFormat/>
    <w:uiPriority w:val="0"/>
    <w:pPr>
      <w:ind w:firstLine="420" w:firstLineChars="200"/>
    </w:pPr>
    <w:rPr>
      <w:szCs w:val="21"/>
    </w:rPr>
  </w:style>
  <w:style w:type="paragraph" w:customStyle="1" w:styleId="819">
    <w:name w:val="可研正文"/>
    <w:basedOn w:val="1"/>
    <w:autoRedefine/>
    <w:qFormat/>
    <w:uiPriority w:val="0"/>
    <w:pPr>
      <w:ind w:firstLine="200"/>
    </w:pPr>
    <w:rPr>
      <w:rFonts w:ascii="仿宋" w:hAnsi="仿宋" w:eastAsia="仿宋_GB2312"/>
      <w:kern w:val="0"/>
      <w:szCs w:val="28"/>
    </w:rPr>
  </w:style>
  <w:style w:type="paragraph" w:customStyle="1" w:styleId="820">
    <w:name w:val="A正文小四"/>
    <w:basedOn w:val="1"/>
    <w:autoRedefine/>
    <w:qFormat/>
    <w:uiPriority w:val="0"/>
    <w:pPr>
      <w:ind w:firstLine="200"/>
    </w:pPr>
    <w:rPr>
      <w:sz w:val="24"/>
    </w:rPr>
  </w:style>
  <w:style w:type="paragraph" w:customStyle="1" w:styleId="821">
    <w:name w:val="Body text|1"/>
    <w:basedOn w:val="1"/>
    <w:autoRedefine/>
    <w:qFormat/>
    <w:uiPriority w:val="0"/>
    <w:pPr>
      <w:spacing w:line="466" w:lineRule="auto"/>
      <w:ind w:firstLine="400"/>
    </w:pPr>
    <w:rPr>
      <w:rFonts w:ascii="宋体" w:hAnsi="宋体" w:cs="宋体"/>
      <w:sz w:val="20"/>
      <w:szCs w:val="20"/>
      <w:lang w:val="zh-TW" w:eastAsia="zh-TW" w:bidi="zh-TW"/>
    </w:rPr>
  </w:style>
  <w:style w:type="character" w:customStyle="1" w:styleId="822">
    <w:name w:val="NormalCharacter"/>
    <w:autoRedefine/>
    <w:qFormat/>
    <w:uiPriority w:val="0"/>
    <w:rPr>
      <w:rFonts w:ascii="Times New Roman" w:hAnsi="Times New Roman" w:eastAsia="宋体" w:cs="Times New Roman"/>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header" Target="header3.xml"/><Relationship Id="rId11" Type="http://schemas.openxmlformats.org/officeDocument/2006/relationships/footer" Target="footer7.xml"/><Relationship Id="rId10" Type="http://schemas.openxmlformats.org/officeDocument/2006/relationships/header" Target="header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中国石油大学</Company>
  <Pages>87</Pages>
  <Words>9757</Words>
  <Characters>10643</Characters>
  <Lines>314</Lines>
  <Paragraphs>88</Paragraphs>
  <TotalTime>8</TotalTime>
  <ScaleCrop>false</ScaleCrop>
  <LinksUpToDate>false</LinksUpToDate>
  <CharactersWithSpaces>10752</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2022-01-05T23:18:00Z</dcterms:created>
  <dc:creator>LCMZX</dc:creator>
  <cp:lastModifiedBy>浙江国宏工程咨询有限公司</cp:lastModifiedBy>
  <cp:lastPrinted>2019-02-15T00:52:00Z</cp:lastPrinted>
  <dcterms:modified xsi:type="dcterms:W3CDTF">2025-04-02T04:06:45Z</dcterms:modified>
  <dc:title>温州市政府采购</dc:title>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0EA8B706E7ED46B48BDDA18120046534</vt:lpwstr>
  </property>
  <property fmtid="{D5CDD505-2E9C-101B-9397-08002B2CF9AE}" pid="4" name="commondata">
    <vt:lpwstr>eyJoZGlkIjoiZDRhNzcwYWMxNDc0YjRjN2UxZDk1NTg4ZWEwNTIzZDUifQ==</vt:lpwstr>
  </property>
  <property fmtid="{D5CDD505-2E9C-101B-9397-08002B2CF9AE}" pid="5" name="woTemplateTypoMode" linkTarget="0">
    <vt:lpwstr>web</vt:lpwstr>
  </property>
  <property fmtid="{D5CDD505-2E9C-101B-9397-08002B2CF9AE}" pid="6" name="woTemplate" linkTarget="0">
    <vt:i4>1</vt:i4>
  </property>
  <property fmtid="{D5CDD505-2E9C-101B-9397-08002B2CF9AE}" pid="7" name="KSOTemplateDocerSaveRecord">
    <vt:lpwstr>eyJoZGlkIjoiNTZmZjdlNzFkNzJkN2FkZGMwY2VmOTEwYTA2NmYyYmMiLCJ1c2VySWQiOiIxMTQwNjM1NzUzIn0=</vt:lpwstr>
  </property>
</Properties>
</file>