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FB8934C">
      <w:pPr>
        <w:rPr>
          <w:rFonts w:hint="eastAsia" w:ascii="新宋体" w:hAnsi="新宋体" w:eastAsia="新宋体" w:cs="新宋体"/>
          <w:color w:val="auto"/>
          <w:spacing w:val="20"/>
          <w:sz w:val="84"/>
          <w:highlight w:val="none"/>
        </w:rPr>
      </w:pPr>
    </w:p>
    <w:p w14:paraId="4A104601">
      <w:pPr>
        <w:rPr>
          <w:rFonts w:hint="eastAsia" w:ascii="新宋体" w:hAnsi="新宋体" w:eastAsia="新宋体" w:cs="新宋体"/>
          <w:b/>
          <w:bCs/>
          <w:color w:val="auto"/>
          <w:sz w:val="52"/>
          <w:szCs w:val="52"/>
          <w:highlight w:val="none"/>
        </w:rPr>
      </w:pPr>
      <w:r>
        <w:rPr>
          <w:rFonts w:hint="eastAsia" w:ascii="新宋体" w:hAnsi="新宋体" w:eastAsia="新宋体" w:cs="新宋体"/>
          <w:color w:val="auto"/>
          <w:spacing w:val="20"/>
          <w:sz w:val="84"/>
          <w:highlight w:val="none"/>
        </w:rPr>
        <w:t>温州市政府（分散）采购</w:t>
      </w:r>
    </w:p>
    <w:p w14:paraId="4330DDF2">
      <w:pPr>
        <w:jc w:val="center"/>
        <w:rPr>
          <w:rFonts w:hint="eastAsia" w:ascii="新宋体" w:hAnsi="新宋体" w:eastAsia="新宋体" w:cs="新宋体"/>
          <w:b/>
          <w:bCs/>
          <w:color w:val="auto"/>
          <w:spacing w:val="26"/>
          <w:sz w:val="52"/>
          <w:highlight w:val="none"/>
        </w:rPr>
      </w:pPr>
    </w:p>
    <w:p w14:paraId="2A9411BA">
      <w:pPr>
        <w:ind w:firstLine="2357" w:firstLineChars="235"/>
        <w:rPr>
          <w:rFonts w:hint="eastAsia" w:ascii="新宋体" w:hAnsi="新宋体" w:eastAsia="新宋体" w:cs="新宋体"/>
          <w:b/>
          <w:bCs/>
          <w:color w:val="auto"/>
          <w:spacing w:val="140"/>
          <w:sz w:val="72"/>
          <w:highlight w:val="none"/>
        </w:rPr>
      </w:pPr>
    </w:p>
    <w:p w14:paraId="3324DB53">
      <w:pPr>
        <w:adjustRightInd w:val="0"/>
        <w:snapToGrid w:val="0"/>
        <w:spacing w:line="480" w:lineRule="auto"/>
        <w:ind w:right="361"/>
        <w:jc w:val="center"/>
        <w:rPr>
          <w:rFonts w:hint="eastAsia" w:ascii="新宋体" w:hAnsi="新宋体" w:eastAsia="新宋体" w:cs="新宋体"/>
          <w:color w:val="auto"/>
          <w:sz w:val="72"/>
          <w:szCs w:val="72"/>
          <w:highlight w:val="none"/>
        </w:rPr>
      </w:pPr>
      <w:r>
        <w:rPr>
          <w:rFonts w:hint="eastAsia" w:ascii="新宋体" w:hAnsi="新宋体" w:eastAsia="新宋体" w:cs="新宋体"/>
          <w:color w:val="auto"/>
          <w:sz w:val="72"/>
          <w:szCs w:val="72"/>
          <w:highlight w:val="none"/>
          <w:lang w:val="en-US" w:eastAsia="zh-CN"/>
        </w:rPr>
        <w:t>采 购</w:t>
      </w:r>
      <w:r>
        <w:rPr>
          <w:rFonts w:hint="eastAsia" w:ascii="新宋体" w:hAnsi="新宋体" w:eastAsia="新宋体" w:cs="新宋体"/>
          <w:color w:val="auto"/>
          <w:sz w:val="72"/>
          <w:szCs w:val="72"/>
          <w:highlight w:val="none"/>
        </w:rPr>
        <w:t xml:space="preserve"> 文 件</w:t>
      </w:r>
    </w:p>
    <w:tbl>
      <w:tblPr>
        <w:tblStyle w:val="54"/>
        <w:tblW w:w="0" w:type="auto"/>
        <w:tblInd w:w="59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65"/>
        <w:gridCol w:w="7245"/>
      </w:tblGrid>
      <w:tr w14:paraId="685B8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65" w:type="dxa"/>
            <w:vAlign w:val="center"/>
          </w:tcPr>
          <w:p w14:paraId="305E17A3">
            <w:pPr>
              <w:spacing w:line="700" w:lineRule="exact"/>
              <w:jc w:val="left"/>
              <w:rPr>
                <w:rFonts w:hint="eastAsia" w:ascii="新宋体" w:hAnsi="新宋体" w:eastAsia="新宋体" w:cs="新宋体"/>
                <w:color w:val="auto"/>
                <w:sz w:val="24"/>
                <w:highlight w:val="none"/>
              </w:rPr>
            </w:pPr>
            <w:r>
              <w:rPr>
                <w:rFonts w:hint="eastAsia" w:ascii="新宋体" w:hAnsi="新宋体" w:eastAsia="新宋体" w:cs="新宋体"/>
                <w:color w:val="auto"/>
                <w:spacing w:val="40"/>
                <w:sz w:val="30"/>
                <w:szCs w:val="30"/>
                <w:highlight w:val="none"/>
              </w:rPr>
              <w:t>项目编号</w:t>
            </w:r>
            <w:r>
              <w:rPr>
                <w:rFonts w:hint="eastAsia" w:ascii="新宋体" w:hAnsi="新宋体" w:eastAsia="新宋体" w:cs="新宋体"/>
                <w:color w:val="auto"/>
                <w:spacing w:val="40"/>
                <w:sz w:val="28"/>
                <w:highlight w:val="none"/>
              </w:rPr>
              <w:t>：</w:t>
            </w:r>
          </w:p>
        </w:tc>
        <w:tc>
          <w:tcPr>
            <w:tcW w:w="7245" w:type="dxa"/>
            <w:vAlign w:val="center"/>
          </w:tcPr>
          <w:p w14:paraId="309234E1">
            <w:pPr>
              <w:spacing w:line="700" w:lineRule="exact"/>
              <w:jc w:val="left"/>
              <w:rPr>
                <w:rFonts w:hint="eastAsia" w:ascii="新宋体" w:hAnsi="新宋体" w:eastAsia="新宋体" w:cs="新宋体"/>
                <w:color w:val="auto"/>
                <w:sz w:val="24"/>
                <w:highlight w:val="none"/>
                <w:lang w:eastAsia="zh-CN"/>
              </w:rPr>
            </w:pPr>
            <w:r>
              <w:rPr>
                <w:rFonts w:hint="eastAsia" w:ascii="新宋体" w:hAnsi="新宋体" w:eastAsia="新宋体" w:cs="新宋体"/>
                <w:color w:val="auto"/>
                <w:spacing w:val="40"/>
                <w:sz w:val="30"/>
                <w:szCs w:val="30"/>
                <w:highlight w:val="none"/>
                <w:lang w:eastAsia="zh-CN"/>
              </w:rPr>
              <w:t>WZLCZB（L）-2025-01011-1</w:t>
            </w:r>
          </w:p>
        </w:tc>
      </w:tr>
      <w:tr w14:paraId="051B5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65" w:type="dxa"/>
            <w:vAlign w:val="top"/>
          </w:tcPr>
          <w:p w14:paraId="2284FA56">
            <w:pPr>
              <w:spacing w:line="700" w:lineRule="exact"/>
              <w:jc w:val="left"/>
              <w:rPr>
                <w:rFonts w:hint="eastAsia" w:ascii="新宋体" w:hAnsi="新宋体" w:eastAsia="新宋体" w:cs="新宋体"/>
                <w:color w:val="auto"/>
                <w:sz w:val="24"/>
                <w:highlight w:val="none"/>
              </w:rPr>
            </w:pPr>
            <w:r>
              <w:rPr>
                <w:rFonts w:hint="eastAsia" w:ascii="新宋体" w:hAnsi="新宋体" w:eastAsia="新宋体" w:cs="新宋体"/>
                <w:color w:val="auto"/>
                <w:spacing w:val="40"/>
                <w:sz w:val="30"/>
                <w:szCs w:val="30"/>
                <w:highlight w:val="none"/>
              </w:rPr>
              <w:t>项目名称：</w:t>
            </w:r>
          </w:p>
        </w:tc>
        <w:tc>
          <w:tcPr>
            <w:tcW w:w="7245" w:type="dxa"/>
            <w:vAlign w:val="center"/>
          </w:tcPr>
          <w:p w14:paraId="340AC890">
            <w:pPr>
              <w:spacing w:line="700" w:lineRule="exact"/>
              <w:jc w:val="left"/>
              <w:rPr>
                <w:rFonts w:hint="eastAsia" w:ascii="新宋体" w:hAnsi="新宋体" w:eastAsia="新宋体" w:cs="新宋体"/>
                <w:color w:val="auto"/>
                <w:sz w:val="24"/>
                <w:highlight w:val="none"/>
              </w:rPr>
            </w:pPr>
            <w:r>
              <w:rPr>
                <w:rFonts w:hint="eastAsia" w:ascii="新宋体" w:hAnsi="新宋体" w:eastAsia="新宋体" w:cs="新宋体"/>
                <w:color w:val="auto"/>
                <w:spacing w:val="40"/>
                <w:sz w:val="30"/>
                <w:szCs w:val="30"/>
                <w:highlight w:val="none"/>
                <w:lang w:eastAsia="zh-CN"/>
              </w:rPr>
              <w:t>一次性使用去白细胞塑料血袋（重）</w:t>
            </w:r>
          </w:p>
        </w:tc>
      </w:tr>
      <w:tr w14:paraId="40A55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65" w:type="dxa"/>
            <w:vAlign w:val="center"/>
          </w:tcPr>
          <w:p w14:paraId="332D4044">
            <w:pPr>
              <w:spacing w:line="700" w:lineRule="exact"/>
              <w:jc w:val="left"/>
              <w:rPr>
                <w:rFonts w:hint="eastAsia" w:ascii="新宋体" w:hAnsi="新宋体" w:eastAsia="新宋体" w:cs="新宋体"/>
                <w:color w:val="auto"/>
                <w:sz w:val="24"/>
                <w:highlight w:val="none"/>
              </w:rPr>
            </w:pPr>
            <w:r>
              <w:rPr>
                <w:rFonts w:hint="eastAsia" w:ascii="新宋体" w:hAnsi="新宋体" w:eastAsia="新宋体" w:cs="新宋体"/>
                <w:color w:val="auto"/>
                <w:spacing w:val="40"/>
                <w:sz w:val="30"/>
                <w:szCs w:val="30"/>
                <w:highlight w:val="none"/>
              </w:rPr>
              <w:t>采购方式：</w:t>
            </w:r>
          </w:p>
        </w:tc>
        <w:tc>
          <w:tcPr>
            <w:tcW w:w="7245" w:type="dxa"/>
            <w:vAlign w:val="center"/>
          </w:tcPr>
          <w:p w14:paraId="591BB150">
            <w:pPr>
              <w:spacing w:line="700" w:lineRule="exact"/>
              <w:jc w:val="left"/>
              <w:rPr>
                <w:rFonts w:hint="eastAsia" w:ascii="新宋体" w:hAnsi="新宋体" w:eastAsia="新宋体" w:cs="新宋体"/>
                <w:color w:val="auto"/>
                <w:sz w:val="24"/>
                <w:highlight w:val="none"/>
              </w:rPr>
            </w:pPr>
            <w:r>
              <w:rPr>
                <w:rFonts w:hint="eastAsia" w:ascii="新宋体" w:hAnsi="新宋体" w:eastAsia="新宋体" w:cs="新宋体"/>
                <w:color w:val="auto"/>
                <w:spacing w:val="40"/>
                <w:sz w:val="30"/>
                <w:szCs w:val="30"/>
                <w:highlight w:val="none"/>
              </w:rPr>
              <w:t>公开招标</w:t>
            </w:r>
          </w:p>
        </w:tc>
      </w:tr>
      <w:tr w14:paraId="54386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65" w:type="dxa"/>
            <w:vAlign w:val="center"/>
          </w:tcPr>
          <w:p w14:paraId="1C0219D9">
            <w:pPr>
              <w:spacing w:line="700" w:lineRule="exact"/>
              <w:jc w:val="left"/>
              <w:rPr>
                <w:rFonts w:hint="eastAsia" w:ascii="新宋体" w:hAnsi="新宋体" w:eastAsia="新宋体" w:cs="新宋体"/>
                <w:color w:val="auto"/>
                <w:sz w:val="24"/>
                <w:highlight w:val="none"/>
              </w:rPr>
            </w:pPr>
            <w:r>
              <w:rPr>
                <w:rFonts w:hint="eastAsia" w:ascii="新宋体" w:hAnsi="新宋体" w:eastAsia="新宋体" w:cs="新宋体"/>
                <w:color w:val="auto"/>
                <w:spacing w:val="40"/>
                <w:sz w:val="30"/>
                <w:szCs w:val="30"/>
                <w:highlight w:val="none"/>
              </w:rPr>
              <w:t>评审方式：</w:t>
            </w:r>
          </w:p>
        </w:tc>
        <w:tc>
          <w:tcPr>
            <w:tcW w:w="7245" w:type="dxa"/>
            <w:vAlign w:val="center"/>
          </w:tcPr>
          <w:p w14:paraId="2B384565">
            <w:pPr>
              <w:spacing w:line="700" w:lineRule="exact"/>
              <w:jc w:val="left"/>
              <w:rPr>
                <w:rFonts w:hint="eastAsia" w:ascii="新宋体" w:hAnsi="新宋体" w:eastAsia="新宋体" w:cs="新宋体"/>
                <w:color w:val="auto"/>
                <w:sz w:val="24"/>
                <w:highlight w:val="none"/>
              </w:rPr>
            </w:pPr>
            <w:r>
              <w:rPr>
                <w:rFonts w:hint="eastAsia" w:ascii="新宋体" w:hAnsi="新宋体" w:eastAsia="新宋体" w:cs="新宋体"/>
                <w:color w:val="auto"/>
                <w:spacing w:val="40"/>
                <w:sz w:val="30"/>
                <w:szCs w:val="30"/>
                <w:highlight w:val="none"/>
              </w:rPr>
              <w:t>线上电子招投标</w:t>
            </w:r>
          </w:p>
        </w:tc>
      </w:tr>
    </w:tbl>
    <w:p w14:paraId="1F50CCF0">
      <w:pPr>
        <w:spacing w:line="700" w:lineRule="exact"/>
        <w:ind w:firstLine="723" w:firstLineChars="300"/>
        <w:jc w:val="left"/>
        <w:rPr>
          <w:rFonts w:hint="eastAsia" w:ascii="新宋体" w:hAnsi="新宋体" w:eastAsia="新宋体" w:cs="新宋体"/>
          <w:b/>
          <w:bCs/>
          <w:color w:val="auto"/>
          <w:sz w:val="24"/>
          <w:highlight w:val="none"/>
        </w:rPr>
      </w:pPr>
    </w:p>
    <w:p w14:paraId="6B988BD4">
      <w:pPr>
        <w:spacing w:line="700" w:lineRule="exact"/>
        <w:ind w:firstLine="904" w:firstLineChars="300"/>
        <w:jc w:val="left"/>
        <w:rPr>
          <w:rFonts w:hint="eastAsia" w:ascii="新宋体" w:hAnsi="新宋体" w:eastAsia="新宋体" w:cs="新宋体"/>
          <w:b/>
          <w:color w:val="auto"/>
          <w:spacing w:val="40"/>
          <w:sz w:val="30"/>
          <w:szCs w:val="30"/>
          <w:highlight w:val="none"/>
        </w:rPr>
      </w:pPr>
      <w:r>
        <w:rPr>
          <w:rFonts w:hint="eastAsia" w:ascii="新宋体" w:hAnsi="新宋体" w:eastAsia="新宋体" w:cs="新宋体"/>
          <w:b/>
          <w:bCs/>
          <w:color w:val="auto"/>
          <w:sz w:val="30"/>
          <w:szCs w:val="30"/>
          <w:highlight w:val="none"/>
        </w:rPr>
        <w:t xml:space="preserve">  </w:t>
      </w:r>
    </w:p>
    <w:p w14:paraId="0F0F3B77">
      <w:pPr>
        <w:bidi w:val="0"/>
        <w:rPr>
          <w:rFonts w:hint="eastAsia" w:ascii="新宋体" w:hAnsi="新宋体" w:eastAsia="新宋体" w:cs="新宋体"/>
          <w:color w:val="auto"/>
          <w:highlight w:val="none"/>
        </w:rPr>
      </w:pPr>
      <w:r>
        <w:rPr>
          <w:rFonts w:hint="eastAsia" w:ascii="新宋体" w:hAnsi="新宋体" w:eastAsia="新宋体" w:cs="新宋体"/>
          <w:color w:val="auto"/>
          <w:highlight w:val="none"/>
        </w:rPr>
        <w:t xml:space="preserve">    </w:t>
      </w:r>
    </w:p>
    <w:p w14:paraId="08919941">
      <w:pPr>
        <w:spacing w:line="600" w:lineRule="exact"/>
        <w:jc w:val="center"/>
        <w:rPr>
          <w:rFonts w:hint="eastAsia" w:ascii="新宋体" w:hAnsi="新宋体" w:eastAsia="新宋体" w:cs="新宋体"/>
          <w:color w:val="auto"/>
          <w:spacing w:val="30"/>
          <w:sz w:val="30"/>
          <w:highlight w:val="none"/>
          <w:lang w:eastAsia="zh-CN"/>
        </w:rPr>
      </w:pPr>
      <w:r>
        <w:rPr>
          <w:rFonts w:hint="eastAsia" w:ascii="新宋体" w:hAnsi="新宋体" w:eastAsia="新宋体" w:cs="新宋体"/>
          <w:color w:val="auto"/>
          <w:spacing w:val="30"/>
          <w:sz w:val="30"/>
          <w:highlight w:val="none"/>
          <w:lang w:val="en-US" w:eastAsia="zh-CN"/>
        </w:rPr>
        <w:t>采购</w:t>
      </w:r>
      <w:r>
        <w:rPr>
          <w:rFonts w:hint="eastAsia" w:ascii="新宋体" w:hAnsi="新宋体" w:eastAsia="新宋体" w:cs="新宋体"/>
          <w:color w:val="auto"/>
          <w:spacing w:val="30"/>
          <w:sz w:val="30"/>
          <w:highlight w:val="none"/>
        </w:rPr>
        <w:t>人</w:t>
      </w:r>
      <w:r>
        <w:rPr>
          <w:rFonts w:hint="eastAsia" w:ascii="新宋体" w:hAnsi="新宋体" w:eastAsia="新宋体" w:cs="新宋体"/>
          <w:color w:val="auto"/>
          <w:spacing w:val="30"/>
          <w:sz w:val="30"/>
          <w:highlight w:val="none"/>
          <w:lang w:eastAsia="zh-CN"/>
        </w:rPr>
        <w:t>：温州市中心血站</w:t>
      </w:r>
    </w:p>
    <w:p w14:paraId="3D315A6D">
      <w:pPr>
        <w:spacing w:line="600" w:lineRule="exact"/>
        <w:jc w:val="center"/>
        <w:rPr>
          <w:rFonts w:hint="eastAsia" w:ascii="新宋体" w:hAnsi="新宋体" w:eastAsia="新宋体" w:cs="新宋体"/>
          <w:color w:val="auto"/>
          <w:spacing w:val="30"/>
          <w:sz w:val="30"/>
          <w:highlight w:val="none"/>
        </w:rPr>
      </w:pPr>
      <w:r>
        <w:rPr>
          <w:rFonts w:hint="eastAsia" w:ascii="新宋体" w:hAnsi="新宋体" w:eastAsia="新宋体" w:cs="新宋体"/>
          <w:color w:val="auto"/>
          <w:spacing w:val="30"/>
          <w:sz w:val="30"/>
          <w:highlight w:val="none"/>
          <w:lang w:val="en-US" w:eastAsia="zh-CN"/>
        </w:rPr>
        <w:t>采购</w:t>
      </w:r>
      <w:r>
        <w:rPr>
          <w:rFonts w:hint="eastAsia" w:ascii="新宋体" w:hAnsi="新宋体" w:eastAsia="新宋体" w:cs="新宋体"/>
          <w:color w:val="auto"/>
          <w:spacing w:val="30"/>
          <w:sz w:val="30"/>
          <w:highlight w:val="none"/>
        </w:rPr>
        <w:t>代理机构：温州历程招标有限公司</w:t>
      </w:r>
    </w:p>
    <w:p w14:paraId="4DE6910C">
      <w:pPr>
        <w:spacing w:line="600" w:lineRule="exact"/>
        <w:jc w:val="center"/>
        <w:rPr>
          <w:rFonts w:hint="eastAsia" w:ascii="新宋体" w:hAnsi="新宋体" w:eastAsia="新宋体" w:cs="新宋体"/>
          <w:color w:val="auto"/>
          <w:spacing w:val="30"/>
          <w:sz w:val="30"/>
          <w:highlight w:val="none"/>
        </w:rPr>
      </w:pPr>
      <w:r>
        <w:rPr>
          <w:rFonts w:hint="eastAsia" w:ascii="新宋体" w:hAnsi="新宋体" w:eastAsia="新宋体" w:cs="新宋体"/>
          <w:color w:val="auto"/>
          <w:spacing w:val="30"/>
          <w:sz w:val="30"/>
          <w:highlight w:val="none"/>
          <w:lang w:val="en-US" w:eastAsia="zh-CN"/>
        </w:rPr>
        <w:t>二〇二五</w:t>
      </w:r>
      <w:r>
        <w:rPr>
          <w:rFonts w:hint="eastAsia" w:ascii="新宋体" w:hAnsi="新宋体" w:eastAsia="新宋体" w:cs="新宋体"/>
          <w:color w:val="auto"/>
          <w:spacing w:val="30"/>
          <w:sz w:val="30"/>
          <w:highlight w:val="none"/>
        </w:rPr>
        <w:t>年</w:t>
      </w:r>
      <w:r>
        <w:rPr>
          <w:rFonts w:hint="eastAsia" w:ascii="新宋体" w:hAnsi="新宋体" w:eastAsia="新宋体" w:cs="新宋体"/>
          <w:color w:val="auto"/>
          <w:spacing w:val="30"/>
          <w:sz w:val="30"/>
          <w:highlight w:val="none"/>
          <w:lang w:val="en-US" w:eastAsia="zh-CN"/>
        </w:rPr>
        <w:t>二</w:t>
      </w:r>
      <w:r>
        <w:rPr>
          <w:rFonts w:hint="eastAsia" w:ascii="新宋体" w:hAnsi="新宋体" w:eastAsia="新宋体" w:cs="新宋体"/>
          <w:color w:val="auto"/>
          <w:spacing w:val="30"/>
          <w:sz w:val="30"/>
          <w:highlight w:val="none"/>
        </w:rPr>
        <w:t>月</w:t>
      </w:r>
    </w:p>
    <w:p w14:paraId="47DCBC45">
      <w:pPr>
        <w:rPr>
          <w:rFonts w:hint="eastAsia" w:ascii="新宋体" w:hAnsi="新宋体" w:eastAsia="新宋体" w:cs="新宋体"/>
          <w:color w:val="auto"/>
          <w:highlight w:val="none"/>
        </w:rPr>
      </w:pPr>
      <w:r>
        <w:rPr>
          <w:rFonts w:hint="eastAsia" w:ascii="新宋体" w:hAnsi="新宋体" w:eastAsia="新宋体" w:cs="新宋体"/>
          <w:b/>
          <w:color w:val="auto"/>
          <w:sz w:val="36"/>
          <w:szCs w:val="36"/>
          <w:highlight w:val="none"/>
        </w:rPr>
        <w:br w:type="page"/>
      </w:r>
    </w:p>
    <w:sdt>
      <w:sdtPr>
        <w:rPr>
          <w:rFonts w:hint="eastAsia" w:ascii="新宋体" w:hAnsi="新宋体" w:eastAsia="新宋体" w:cs="新宋体"/>
          <w:color w:val="auto"/>
          <w:highlight w:val="none"/>
        </w:rPr>
        <w:id w:val="147459729"/>
        <w15:color w:val="DBDBDB"/>
        <w:docPartObj>
          <w:docPartGallery w:val="Table of Contents"/>
          <w:docPartUnique/>
        </w:docPartObj>
      </w:sdtPr>
      <w:sdtEndPr>
        <w:rPr>
          <w:rFonts w:hint="eastAsia" w:ascii="新宋体" w:hAnsi="新宋体" w:eastAsia="新宋体" w:cs="新宋体"/>
          <w:color w:val="auto"/>
          <w:highlight w:val="none"/>
        </w:rPr>
      </w:sdtEndPr>
      <w:sdtContent>
        <w:p w14:paraId="7BD57C18">
          <w:pPr>
            <w:jc w:val="center"/>
            <w:rPr>
              <w:rFonts w:hint="eastAsia" w:ascii="新宋体" w:hAnsi="新宋体" w:eastAsia="新宋体" w:cs="新宋体"/>
              <w:color w:val="auto"/>
              <w:highlight w:val="none"/>
            </w:rPr>
          </w:pPr>
        </w:p>
        <w:p w14:paraId="6F75D5FC">
          <w:pPr>
            <w:pStyle w:val="38"/>
            <w:tabs>
              <w:tab w:val="right" w:leader="dot" w:pos="9638"/>
            </w:tabs>
            <w:spacing w:line="360" w:lineRule="auto"/>
            <w:jc w:val="center"/>
            <w:rPr>
              <w:rFonts w:hint="eastAsia" w:ascii="新宋体" w:hAnsi="新宋体" w:eastAsia="新宋体" w:cs="新宋体"/>
              <w:b/>
              <w:color w:val="auto"/>
              <w:sz w:val="36"/>
              <w:szCs w:val="36"/>
              <w:highlight w:val="none"/>
            </w:rPr>
          </w:pPr>
          <w:r>
            <w:rPr>
              <w:rFonts w:hint="eastAsia" w:ascii="新宋体" w:hAnsi="新宋体" w:eastAsia="新宋体" w:cs="新宋体"/>
              <w:b/>
              <w:color w:val="auto"/>
              <w:sz w:val="36"/>
              <w:szCs w:val="36"/>
              <w:highlight w:val="none"/>
            </w:rPr>
            <w:t>目  录</w:t>
          </w:r>
        </w:p>
        <w:p w14:paraId="64EED4CF">
          <w:pPr>
            <w:pStyle w:val="38"/>
            <w:tabs>
              <w:tab w:val="right" w:leader="dot" w:pos="9638"/>
            </w:tabs>
            <w:spacing w:line="360" w:lineRule="auto"/>
            <w:rPr>
              <w:rFonts w:hint="eastAsia" w:ascii="新宋体" w:hAnsi="新宋体" w:eastAsia="新宋体" w:cs="新宋体"/>
              <w:color w:val="auto"/>
              <w:sz w:val="22"/>
              <w:szCs w:val="28"/>
              <w:highlight w:val="none"/>
            </w:rPr>
          </w:pPr>
          <w:r>
            <w:rPr>
              <w:rFonts w:hint="eastAsia" w:ascii="新宋体" w:hAnsi="新宋体" w:eastAsia="新宋体" w:cs="新宋体"/>
              <w:b/>
              <w:color w:val="auto"/>
              <w:sz w:val="40"/>
              <w:szCs w:val="40"/>
              <w:highlight w:val="none"/>
            </w:rPr>
            <w:fldChar w:fldCharType="begin"/>
          </w:r>
          <w:r>
            <w:rPr>
              <w:rFonts w:hint="eastAsia" w:ascii="新宋体" w:hAnsi="新宋体" w:eastAsia="新宋体" w:cs="新宋体"/>
              <w:b/>
              <w:color w:val="auto"/>
              <w:sz w:val="40"/>
              <w:szCs w:val="40"/>
              <w:highlight w:val="none"/>
            </w:rPr>
            <w:instrText xml:space="preserve">TOC \o "1-3" \h \u </w:instrText>
          </w:r>
          <w:r>
            <w:rPr>
              <w:rFonts w:hint="eastAsia" w:ascii="新宋体" w:hAnsi="新宋体" w:eastAsia="新宋体" w:cs="新宋体"/>
              <w:b/>
              <w:color w:val="auto"/>
              <w:sz w:val="40"/>
              <w:szCs w:val="40"/>
              <w:highlight w:val="none"/>
            </w:rPr>
            <w:fldChar w:fldCharType="separate"/>
          </w: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HYPERLINK \l "_Toc6599"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sz w:val="22"/>
              <w:szCs w:val="28"/>
              <w:highlight w:val="none"/>
            </w:rPr>
            <w:t>招 标 公 告</w:t>
          </w:r>
          <w:r>
            <w:rPr>
              <w:rFonts w:hint="eastAsia" w:ascii="新宋体" w:hAnsi="新宋体" w:eastAsia="新宋体" w:cs="新宋体"/>
              <w:color w:val="auto"/>
              <w:sz w:val="22"/>
              <w:szCs w:val="28"/>
              <w:highlight w:val="none"/>
            </w:rPr>
            <w:tab/>
          </w:r>
          <w:r>
            <w:rPr>
              <w:rFonts w:hint="eastAsia" w:ascii="新宋体" w:hAnsi="新宋体" w:eastAsia="新宋体" w:cs="新宋体"/>
              <w:color w:val="auto"/>
              <w:sz w:val="22"/>
              <w:szCs w:val="28"/>
              <w:highlight w:val="none"/>
            </w:rPr>
            <w:fldChar w:fldCharType="begin"/>
          </w:r>
          <w:r>
            <w:rPr>
              <w:rFonts w:hint="eastAsia" w:ascii="新宋体" w:hAnsi="新宋体" w:eastAsia="新宋体" w:cs="新宋体"/>
              <w:color w:val="auto"/>
              <w:sz w:val="22"/>
              <w:szCs w:val="28"/>
              <w:highlight w:val="none"/>
            </w:rPr>
            <w:instrText xml:space="preserve"> PAGEREF _Toc6599 \h </w:instrText>
          </w:r>
          <w:r>
            <w:rPr>
              <w:rFonts w:hint="eastAsia" w:ascii="新宋体" w:hAnsi="新宋体" w:eastAsia="新宋体" w:cs="新宋体"/>
              <w:color w:val="auto"/>
              <w:sz w:val="22"/>
              <w:szCs w:val="28"/>
              <w:highlight w:val="none"/>
            </w:rPr>
            <w:fldChar w:fldCharType="separate"/>
          </w:r>
          <w:r>
            <w:rPr>
              <w:rFonts w:hint="eastAsia" w:ascii="新宋体" w:hAnsi="新宋体" w:eastAsia="新宋体" w:cs="新宋体"/>
              <w:color w:val="auto"/>
              <w:sz w:val="22"/>
              <w:szCs w:val="28"/>
              <w:highlight w:val="none"/>
            </w:rPr>
            <w:t>3</w:t>
          </w:r>
          <w:r>
            <w:rPr>
              <w:rFonts w:hint="eastAsia" w:ascii="新宋体" w:hAnsi="新宋体" w:eastAsia="新宋体" w:cs="新宋体"/>
              <w:color w:val="auto"/>
              <w:sz w:val="22"/>
              <w:szCs w:val="28"/>
              <w:highlight w:val="none"/>
            </w:rPr>
            <w:fldChar w:fldCharType="end"/>
          </w:r>
          <w:r>
            <w:rPr>
              <w:rFonts w:hint="eastAsia" w:ascii="新宋体" w:hAnsi="新宋体" w:eastAsia="新宋体" w:cs="新宋体"/>
              <w:color w:val="auto"/>
              <w:sz w:val="22"/>
              <w:szCs w:val="28"/>
              <w:highlight w:val="none"/>
            </w:rPr>
            <w:fldChar w:fldCharType="end"/>
          </w:r>
        </w:p>
        <w:p w14:paraId="02C170D4">
          <w:pPr>
            <w:pStyle w:val="38"/>
            <w:tabs>
              <w:tab w:val="right" w:leader="dot" w:pos="9638"/>
            </w:tabs>
            <w:spacing w:line="360" w:lineRule="auto"/>
            <w:rPr>
              <w:rFonts w:hint="eastAsia" w:ascii="新宋体" w:hAnsi="新宋体" w:eastAsia="新宋体" w:cs="新宋体"/>
              <w:color w:val="auto"/>
              <w:sz w:val="22"/>
              <w:szCs w:val="28"/>
              <w:highlight w:val="none"/>
            </w:rPr>
          </w:pP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HYPERLINK \l "_Toc10401"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sz w:val="22"/>
              <w:szCs w:val="28"/>
              <w:highlight w:val="none"/>
            </w:rPr>
            <w:t>第一部分</w:t>
          </w:r>
          <w:r>
            <w:rPr>
              <w:rFonts w:hint="eastAsia" w:ascii="新宋体" w:hAnsi="新宋体" w:eastAsia="新宋体" w:cs="新宋体"/>
              <w:color w:val="auto"/>
              <w:sz w:val="22"/>
              <w:szCs w:val="28"/>
              <w:highlight w:val="none"/>
              <w:lang w:val="en-US" w:eastAsia="zh-CN"/>
            </w:rPr>
            <w:t xml:space="preserve">   </w:t>
          </w:r>
          <w:r>
            <w:rPr>
              <w:rFonts w:hint="eastAsia" w:ascii="新宋体" w:hAnsi="新宋体" w:eastAsia="新宋体" w:cs="新宋体"/>
              <w:color w:val="auto"/>
              <w:sz w:val="22"/>
              <w:szCs w:val="28"/>
              <w:highlight w:val="none"/>
            </w:rPr>
            <w:t>投标人须知</w:t>
          </w:r>
          <w:r>
            <w:rPr>
              <w:rFonts w:hint="eastAsia" w:ascii="新宋体" w:hAnsi="新宋体" w:eastAsia="新宋体" w:cs="新宋体"/>
              <w:color w:val="auto"/>
              <w:sz w:val="22"/>
              <w:szCs w:val="28"/>
              <w:highlight w:val="none"/>
            </w:rPr>
            <w:tab/>
          </w:r>
          <w:r>
            <w:rPr>
              <w:rFonts w:hint="eastAsia" w:ascii="新宋体" w:hAnsi="新宋体" w:eastAsia="新宋体" w:cs="新宋体"/>
              <w:color w:val="auto"/>
              <w:sz w:val="22"/>
              <w:szCs w:val="28"/>
              <w:highlight w:val="none"/>
            </w:rPr>
            <w:fldChar w:fldCharType="begin"/>
          </w:r>
          <w:r>
            <w:rPr>
              <w:rFonts w:hint="eastAsia" w:ascii="新宋体" w:hAnsi="新宋体" w:eastAsia="新宋体" w:cs="新宋体"/>
              <w:color w:val="auto"/>
              <w:sz w:val="22"/>
              <w:szCs w:val="28"/>
              <w:highlight w:val="none"/>
            </w:rPr>
            <w:instrText xml:space="preserve"> PAGEREF _Toc10401 \h </w:instrText>
          </w:r>
          <w:r>
            <w:rPr>
              <w:rFonts w:hint="eastAsia" w:ascii="新宋体" w:hAnsi="新宋体" w:eastAsia="新宋体" w:cs="新宋体"/>
              <w:color w:val="auto"/>
              <w:sz w:val="22"/>
              <w:szCs w:val="28"/>
              <w:highlight w:val="none"/>
            </w:rPr>
            <w:fldChar w:fldCharType="separate"/>
          </w:r>
          <w:r>
            <w:rPr>
              <w:rFonts w:hint="eastAsia" w:ascii="新宋体" w:hAnsi="新宋体" w:eastAsia="新宋体" w:cs="新宋体"/>
              <w:color w:val="auto"/>
              <w:sz w:val="22"/>
              <w:szCs w:val="28"/>
              <w:highlight w:val="none"/>
            </w:rPr>
            <w:t>5</w:t>
          </w:r>
          <w:r>
            <w:rPr>
              <w:rFonts w:hint="eastAsia" w:ascii="新宋体" w:hAnsi="新宋体" w:eastAsia="新宋体" w:cs="新宋体"/>
              <w:color w:val="auto"/>
              <w:sz w:val="22"/>
              <w:szCs w:val="28"/>
              <w:highlight w:val="none"/>
            </w:rPr>
            <w:fldChar w:fldCharType="end"/>
          </w:r>
          <w:r>
            <w:rPr>
              <w:rFonts w:hint="eastAsia" w:ascii="新宋体" w:hAnsi="新宋体" w:eastAsia="新宋体" w:cs="新宋体"/>
              <w:color w:val="auto"/>
              <w:sz w:val="22"/>
              <w:szCs w:val="28"/>
              <w:highlight w:val="none"/>
            </w:rPr>
            <w:fldChar w:fldCharType="end"/>
          </w:r>
        </w:p>
        <w:p w14:paraId="58574230">
          <w:pPr>
            <w:pStyle w:val="45"/>
            <w:tabs>
              <w:tab w:val="right" w:leader="dot" w:pos="9638"/>
            </w:tabs>
            <w:spacing w:line="360" w:lineRule="auto"/>
            <w:rPr>
              <w:rFonts w:hint="eastAsia" w:ascii="新宋体" w:hAnsi="新宋体" w:eastAsia="新宋体" w:cs="新宋体"/>
              <w:color w:val="auto"/>
              <w:sz w:val="22"/>
              <w:szCs w:val="28"/>
              <w:highlight w:val="none"/>
            </w:rPr>
          </w:pP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HYPERLINK \l "_Toc6224" </w:instrText>
          </w:r>
          <w:r>
            <w:rPr>
              <w:rFonts w:hint="eastAsia" w:ascii="新宋体" w:hAnsi="新宋体" w:eastAsia="新宋体" w:cs="新宋体"/>
              <w:color w:val="auto"/>
              <w:highlight w:val="none"/>
            </w:rPr>
            <w:fldChar w:fldCharType="separate"/>
          </w:r>
          <w:r>
            <w:rPr>
              <w:rFonts w:hint="eastAsia" w:ascii="新宋体" w:hAnsi="新宋体" w:eastAsia="新宋体" w:cs="新宋体"/>
              <w:bCs/>
              <w:color w:val="auto"/>
              <w:sz w:val="22"/>
              <w:szCs w:val="28"/>
              <w:highlight w:val="none"/>
            </w:rPr>
            <w:t>前 附 表</w:t>
          </w:r>
          <w:r>
            <w:rPr>
              <w:rFonts w:hint="eastAsia" w:ascii="新宋体" w:hAnsi="新宋体" w:eastAsia="新宋体" w:cs="新宋体"/>
              <w:color w:val="auto"/>
              <w:sz w:val="22"/>
              <w:szCs w:val="28"/>
              <w:highlight w:val="none"/>
            </w:rPr>
            <w:tab/>
          </w:r>
          <w:r>
            <w:rPr>
              <w:rFonts w:hint="eastAsia" w:ascii="新宋体" w:hAnsi="新宋体" w:eastAsia="新宋体" w:cs="新宋体"/>
              <w:color w:val="auto"/>
              <w:sz w:val="22"/>
              <w:szCs w:val="28"/>
              <w:highlight w:val="none"/>
            </w:rPr>
            <w:fldChar w:fldCharType="begin"/>
          </w:r>
          <w:r>
            <w:rPr>
              <w:rFonts w:hint="eastAsia" w:ascii="新宋体" w:hAnsi="新宋体" w:eastAsia="新宋体" w:cs="新宋体"/>
              <w:color w:val="auto"/>
              <w:sz w:val="22"/>
              <w:szCs w:val="28"/>
              <w:highlight w:val="none"/>
            </w:rPr>
            <w:instrText xml:space="preserve"> PAGEREF _Toc6224 \h </w:instrText>
          </w:r>
          <w:r>
            <w:rPr>
              <w:rFonts w:hint="eastAsia" w:ascii="新宋体" w:hAnsi="新宋体" w:eastAsia="新宋体" w:cs="新宋体"/>
              <w:color w:val="auto"/>
              <w:sz w:val="22"/>
              <w:szCs w:val="28"/>
              <w:highlight w:val="none"/>
            </w:rPr>
            <w:fldChar w:fldCharType="separate"/>
          </w:r>
          <w:r>
            <w:rPr>
              <w:rFonts w:hint="eastAsia" w:ascii="新宋体" w:hAnsi="新宋体" w:eastAsia="新宋体" w:cs="新宋体"/>
              <w:color w:val="auto"/>
              <w:sz w:val="22"/>
              <w:szCs w:val="28"/>
              <w:highlight w:val="none"/>
            </w:rPr>
            <w:t>6</w:t>
          </w:r>
          <w:r>
            <w:rPr>
              <w:rFonts w:hint="eastAsia" w:ascii="新宋体" w:hAnsi="新宋体" w:eastAsia="新宋体" w:cs="新宋体"/>
              <w:color w:val="auto"/>
              <w:sz w:val="22"/>
              <w:szCs w:val="28"/>
              <w:highlight w:val="none"/>
            </w:rPr>
            <w:fldChar w:fldCharType="end"/>
          </w:r>
          <w:r>
            <w:rPr>
              <w:rFonts w:hint="eastAsia" w:ascii="新宋体" w:hAnsi="新宋体" w:eastAsia="新宋体" w:cs="新宋体"/>
              <w:color w:val="auto"/>
              <w:sz w:val="22"/>
              <w:szCs w:val="28"/>
              <w:highlight w:val="none"/>
            </w:rPr>
            <w:fldChar w:fldCharType="end"/>
          </w:r>
        </w:p>
        <w:p w14:paraId="34DABA80">
          <w:pPr>
            <w:pStyle w:val="45"/>
            <w:tabs>
              <w:tab w:val="right" w:leader="dot" w:pos="9638"/>
            </w:tabs>
            <w:spacing w:line="360" w:lineRule="auto"/>
            <w:rPr>
              <w:rFonts w:hint="eastAsia" w:ascii="新宋体" w:hAnsi="新宋体" w:eastAsia="新宋体" w:cs="新宋体"/>
              <w:color w:val="auto"/>
              <w:sz w:val="22"/>
              <w:szCs w:val="28"/>
              <w:highlight w:val="none"/>
            </w:rPr>
          </w:pP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HYPERLINK \l "_Toc19070" </w:instrText>
          </w:r>
          <w:r>
            <w:rPr>
              <w:rFonts w:hint="eastAsia" w:ascii="新宋体" w:hAnsi="新宋体" w:eastAsia="新宋体" w:cs="新宋体"/>
              <w:color w:val="auto"/>
              <w:highlight w:val="none"/>
            </w:rPr>
            <w:fldChar w:fldCharType="separate"/>
          </w:r>
          <w:r>
            <w:rPr>
              <w:rFonts w:hint="eastAsia" w:ascii="新宋体" w:hAnsi="新宋体" w:eastAsia="新宋体" w:cs="新宋体"/>
              <w:bCs/>
              <w:color w:val="auto"/>
              <w:sz w:val="22"/>
              <w:szCs w:val="28"/>
              <w:highlight w:val="none"/>
            </w:rPr>
            <w:t>一、 说   明</w:t>
          </w:r>
          <w:r>
            <w:rPr>
              <w:rFonts w:hint="eastAsia" w:ascii="新宋体" w:hAnsi="新宋体" w:eastAsia="新宋体" w:cs="新宋体"/>
              <w:color w:val="auto"/>
              <w:sz w:val="22"/>
              <w:szCs w:val="28"/>
              <w:highlight w:val="none"/>
            </w:rPr>
            <w:tab/>
          </w:r>
          <w:r>
            <w:rPr>
              <w:rFonts w:hint="eastAsia" w:ascii="新宋体" w:hAnsi="新宋体" w:eastAsia="新宋体" w:cs="新宋体"/>
              <w:color w:val="auto"/>
              <w:sz w:val="22"/>
              <w:szCs w:val="28"/>
              <w:highlight w:val="none"/>
            </w:rPr>
            <w:fldChar w:fldCharType="begin"/>
          </w:r>
          <w:r>
            <w:rPr>
              <w:rFonts w:hint="eastAsia" w:ascii="新宋体" w:hAnsi="新宋体" w:eastAsia="新宋体" w:cs="新宋体"/>
              <w:color w:val="auto"/>
              <w:sz w:val="22"/>
              <w:szCs w:val="28"/>
              <w:highlight w:val="none"/>
            </w:rPr>
            <w:instrText xml:space="preserve"> PAGEREF _Toc19070 \h </w:instrText>
          </w:r>
          <w:r>
            <w:rPr>
              <w:rFonts w:hint="eastAsia" w:ascii="新宋体" w:hAnsi="新宋体" w:eastAsia="新宋体" w:cs="新宋体"/>
              <w:color w:val="auto"/>
              <w:sz w:val="22"/>
              <w:szCs w:val="28"/>
              <w:highlight w:val="none"/>
            </w:rPr>
            <w:fldChar w:fldCharType="separate"/>
          </w:r>
          <w:r>
            <w:rPr>
              <w:rFonts w:hint="eastAsia" w:ascii="新宋体" w:hAnsi="新宋体" w:eastAsia="新宋体" w:cs="新宋体"/>
              <w:color w:val="auto"/>
              <w:sz w:val="22"/>
              <w:szCs w:val="28"/>
              <w:highlight w:val="none"/>
            </w:rPr>
            <w:t>11</w:t>
          </w:r>
          <w:r>
            <w:rPr>
              <w:rFonts w:hint="eastAsia" w:ascii="新宋体" w:hAnsi="新宋体" w:eastAsia="新宋体" w:cs="新宋体"/>
              <w:color w:val="auto"/>
              <w:sz w:val="22"/>
              <w:szCs w:val="28"/>
              <w:highlight w:val="none"/>
            </w:rPr>
            <w:fldChar w:fldCharType="end"/>
          </w:r>
          <w:r>
            <w:rPr>
              <w:rFonts w:hint="eastAsia" w:ascii="新宋体" w:hAnsi="新宋体" w:eastAsia="新宋体" w:cs="新宋体"/>
              <w:color w:val="auto"/>
              <w:sz w:val="22"/>
              <w:szCs w:val="28"/>
              <w:highlight w:val="none"/>
            </w:rPr>
            <w:fldChar w:fldCharType="end"/>
          </w:r>
        </w:p>
        <w:p w14:paraId="2E3EB7D5">
          <w:pPr>
            <w:pStyle w:val="45"/>
            <w:tabs>
              <w:tab w:val="right" w:leader="dot" w:pos="9638"/>
            </w:tabs>
            <w:spacing w:line="360" w:lineRule="auto"/>
            <w:rPr>
              <w:rFonts w:hint="eastAsia" w:ascii="新宋体" w:hAnsi="新宋体" w:eastAsia="新宋体" w:cs="新宋体"/>
              <w:color w:val="auto"/>
              <w:sz w:val="22"/>
              <w:szCs w:val="28"/>
              <w:highlight w:val="none"/>
            </w:rPr>
          </w:pP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HYPERLINK \l "_Toc28278" </w:instrText>
          </w:r>
          <w:r>
            <w:rPr>
              <w:rFonts w:hint="eastAsia" w:ascii="新宋体" w:hAnsi="新宋体" w:eastAsia="新宋体" w:cs="新宋体"/>
              <w:color w:val="auto"/>
              <w:highlight w:val="none"/>
            </w:rPr>
            <w:fldChar w:fldCharType="separate"/>
          </w:r>
          <w:r>
            <w:rPr>
              <w:rFonts w:hint="eastAsia" w:ascii="新宋体" w:hAnsi="新宋体" w:eastAsia="新宋体" w:cs="新宋体"/>
              <w:bCs/>
              <w:color w:val="auto"/>
              <w:sz w:val="22"/>
              <w:szCs w:val="28"/>
              <w:highlight w:val="none"/>
            </w:rPr>
            <w:t xml:space="preserve">二、 </w:t>
          </w:r>
          <w:r>
            <w:rPr>
              <w:rFonts w:hint="eastAsia" w:ascii="新宋体" w:hAnsi="新宋体" w:eastAsia="新宋体" w:cs="新宋体"/>
              <w:bCs/>
              <w:color w:val="auto"/>
              <w:sz w:val="22"/>
              <w:szCs w:val="28"/>
              <w:highlight w:val="none"/>
              <w:lang w:eastAsia="zh-CN"/>
            </w:rPr>
            <w:t>采购文件</w:t>
          </w:r>
          <w:r>
            <w:rPr>
              <w:rFonts w:hint="eastAsia" w:ascii="新宋体" w:hAnsi="新宋体" w:eastAsia="新宋体" w:cs="新宋体"/>
              <w:color w:val="auto"/>
              <w:sz w:val="22"/>
              <w:szCs w:val="28"/>
              <w:highlight w:val="none"/>
            </w:rPr>
            <w:tab/>
          </w:r>
          <w:r>
            <w:rPr>
              <w:rFonts w:hint="eastAsia" w:ascii="新宋体" w:hAnsi="新宋体" w:eastAsia="新宋体" w:cs="新宋体"/>
              <w:color w:val="auto"/>
              <w:sz w:val="22"/>
              <w:szCs w:val="28"/>
              <w:highlight w:val="none"/>
            </w:rPr>
            <w:fldChar w:fldCharType="begin"/>
          </w:r>
          <w:r>
            <w:rPr>
              <w:rFonts w:hint="eastAsia" w:ascii="新宋体" w:hAnsi="新宋体" w:eastAsia="新宋体" w:cs="新宋体"/>
              <w:color w:val="auto"/>
              <w:sz w:val="22"/>
              <w:szCs w:val="28"/>
              <w:highlight w:val="none"/>
            </w:rPr>
            <w:instrText xml:space="preserve"> PAGEREF _Toc28278 \h </w:instrText>
          </w:r>
          <w:r>
            <w:rPr>
              <w:rFonts w:hint="eastAsia" w:ascii="新宋体" w:hAnsi="新宋体" w:eastAsia="新宋体" w:cs="新宋体"/>
              <w:color w:val="auto"/>
              <w:sz w:val="22"/>
              <w:szCs w:val="28"/>
              <w:highlight w:val="none"/>
            </w:rPr>
            <w:fldChar w:fldCharType="separate"/>
          </w:r>
          <w:r>
            <w:rPr>
              <w:rFonts w:hint="eastAsia" w:ascii="新宋体" w:hAnsi="新宋体" w:eastAsia="新宋体" w:cs="新宋体"/>
              <w:color w:val="auto"/>
              <w:sz w:val="22"/>
              <w:szCs w:val="28"/>
              <w:highlight w:val="none"/>
            </w:rPr>
            <w:t>11</w:t>
          </w:r>
          <w:r>
            <w:rPr>
              <w:rFonts w:hint="eastAsia" w:ascii="新宋体" w:hAnsi="新宋体" w:eastAsia="新宋体" w:cs="新宋体"/>
              <w:color w:val="auto"/>
              <w:sz w:val="22"/>
              <w:szCs w:val="28"/>
              <w:highlight w:val="none"/>
            </w:rPr>
            <w:fldChar w:fldCharType="end"/>
          </w:r>
          <w:r>
            <w:rPr>
              <w:rFonts w:hint="eastAsia" w:ascii="新宋体" w:hAnsi="新宋体" w:eastAsia="新宋体" w:cs="新宋体"/>
              <w:color w:val="auto"/>
              <w:sz w:val="22"/>
              <w:szCs w:val="28"/>
              <w:highlight w:val="none"/>
            </w:rPr>
            <w:fldChar w:fldCharType="end"/>
          </w:r>
        </w:p>
        <w:p w14:paraId="63FE9F4F">
          <w:pPr>
            <w:pStyle w:val="45"/>
            <w:tabs>
              <w:tab w:val="right" w:leader="dot" w:pos="9638"/>
            </w:tabs>
            <w:spacing w:line="360" w:lineRule="auto"/>
            <w:rPr>
              <w:rFonts w:hint="eastAsia" w:ascii="新宋体" w:hAnsi="新宋体" w:eastAsia="新宋体" w:cs="新宋体"/>
              <w:color w:val="auto"/>
              <w:sz w:val="22"/>
              <w:szCs w:val="28"/>
              <w:highlight w:val="none"/>
            </w:rPr>
          </w:pP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HYPERLINK \l "_Toc22646" </w:instrText>
          </w:r>
          <w:r>
            <w:rPr>
              <w:rFonts w:hint="eastAsia" w:ascii="新宋体" w:hAnsi="新宋体" w:eastAsia="新宋体" w:cs="新宋体"/>
              <w:color w:val="auto"/>
              <w:highlight w:val="none"/>
            </w:rPr>
            <w:fldChar w:fldCharType="separate"/>
          </w:r>
          <w:r>
            <w:rPr>
              <w:rFonts w:hint="eastAsia" w:ascii="新宋体" w:hAnsi="新宋体" w:eastAsia="新宋体" w:cs="新宋体"/>
              <w:bCs/>
              <w:color w:val="auto"/>
              <w:sz w:val="22"/>
              <w:szCs w:val="28"/>
              <w:highlight w:val="none"/>
            </w:rPr>
            <w:t>三、 投标文件的编制</w:t>
          </w:r>
          <w:r>
            <w:rPr>
              <w:rFonts w:hint="eastAsia" w:ascii="新宋体" w:hAnsi="新宋体" w:eastAsia="新宋体" w:cs="新宋体"/>
              <w:color w:val="auto"/>
              <w:sz w:val="22"/>
              <w:szCs w:val="28"/>
              <w:highlight w:val="none"/>
            </w:rPr>
            <w:tab/>
          </w:r>
          <w:r>
            <w:rPr>
              <w:rFonts w:hint="eastAsia" w:ascii="新宋体" w:hAnsi="新宋体" w:eastAsia="新宋体" w:cs="新宋体"/>
              <w:color w:val="auto"/>
              <w:sz w:val="22"/>
              <w:szCs w:val="28"/>
              <w:highlight w:val="none"/>
            </w:rPr>
            <w:fldChar w:fldCharType="begin"/>
          </w:r>
          <w:r>
            <w:rPr>
              <w:rFonts w:hint="eastAsia" w:ascii="新宋体" w:hAnsi="新宋体" w:eastAsia="新宋体" w:cs="新宋体"/>
              <w:color w:val="auto"/>
              <w:sz w:val="22"/>
              <w:szCs w:val="28"/>
              <w:highlight w:val="none"/>
            </w:rPr>
            <w:instrText xml:space="preserve"> PAGEREF _Toc22646 \h </w:instrText>
          </w:r>
          <w:r>
            <w:rPr>
              <w:rFonts w:hint="eastAsia" w:ascii="新宋体" w:hAnsi="新宋体" w:eastAsia="新宋体" w:cs="新宋体"/>
              <w:color w:val="auto"/>
              <w:sz w:val="22"/>
              <w:szCs w:val="28"/>
              <w:highlight w:val="none"/>
            </w:rPr>
            <w:fldChar w:fldCharType="separate"/>
          </w:r>
          <w:r>
            <w:rPr>
              <w:rFonts w:hint="eastAsia" w:ascii="新宋体" w:hAnsi="新宋体" w:eastAsia="新宋体" w:cs="新宋体"/>
              <w:color w:val="auto"/>
              <w:sz w:val="22"/>
              <w:szCs w:val="28"/>
              <w:highlight w:val="none"/>
            </w:rPr>
            <w:t>12</w:t>
          </w:r>
          <w:r>
            <w:rPr>
              <w:rFonts w:hint="eastAsia" w:ascii="新宋体" w:hAnsi="新宋体" w:eastAsia="新宋体" w:cs="新宋体"/>
              <w:color w:val="auto"/>
              <w:sz w:val="22"/>
              <w:szCs w:val="28"/>
              <w:highlight w:val="none"/>
            </w:rPr>
            <w:fldChar w:fldCharType="end"/>
          </w:r>
          <w:r>
            <w:rPr>
              <w:rFonts w:hint="eastAsia" w:ascii="新宋体" w:hAnsi="新宋体" w:eastAsia="新宋体" w:cs="新宋体"/>
              <w:color w:val="auto"/>
              <w:sz w:val="22"/>
              <w:szCs w:val="28"/>
              <w:highlight w:val="none"/>
            </w:rPr>
            <w:fldChar w:fldCharType="end"/>
          </w:r>
        </w:p>
        <w:p w14:paraId="668AD9FF">
          <w:pPr>
            <w:pStyle w:val="45"/>
            <w:tabs>
              <w:tab w:val="right" w:leader="dot" w:pos="9638"/>
            </w:tabs>
            <w:spacing w:line="360" w:lineRule="auto"/>
            <w:rPr>
              <w:rFonts w:hint="eastAsia" w:ascii="新宋体" w:hAnsi="新宋体" w:eastAsia="新宋体" w:cs="新宋体"/>
              <w:color w:val="auto"/>
              <w:sz w:val="22"/>
              <w:szCs w:val="28"/>
              <w:highlight w:val="none"/>
            </w:rPr>
          </w:pP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HYPERLINK \l "_Toc18542" </w:instrText>
          </w:r>
          <w:r>
            <w:rPr>
              <w:rFonts w:hint="eastAsia" w:ascii="新宋体" w:hAnsi="新宋体" w:eastAsia="新宋体" w:cs="新宋体"/>
              <w:color w:val="auto"/>
              <w:highlight w:val="none"/>
            </w:rPr>
            <w:fldChar w:fldCharType="separate"/>
          </w:r>
          <w:r>
            <w:rPr>
              <w:rFonts w:hint="eastAsia" w:ascii="新宋体" w:hAnsi="新宋体" w:eastAsia="新宋体" w:cs="新宋体"/>
              <w:bCs/>
              <w:color w:val="auto"/>
              <w:sz w:val="22"/>
              <w:highlight w:val="none"/>
            </w:rPr>
            <w:t>四、 投标文件的递交</w:t>
          </w:r>
          <w:r>
            <w:rPr>
              <w:rFonts w:hint="eastAsia" w:ascii="新宋体" w:hAnsi="新宋体" w:eastAsia="新宋体" w:cs="新宋体"/>
              <w:color w:val="auto"/>
              <w:sz w:val="22"/>
              <w:szCs w:val="28"/>
              <w:highlight w:val="none"/>
            </w:rPr>
            <w:tab/>
          </w:r>
          <w:r>
            <w:rPr>
              <w:rFonts w:hint="eastAsia" w:ascii="新宋体" w:hAnsi="新宋体" w:eastAsia="新宋体" w:cs="新宋体"/>
              <w:color w:val="auto"/>
              <w:sz w:val="22"/>
              <w:szCs w:val="28"/>
              <w:highlight w:val="none"/>
            </w:rPr>
            <w:fldChar w:fldCharType="begin"/>
          </w:r>
          <w:r>
            <w:rPr>
              <w:rFonts w:hint="eastAsia" w:ascii="新宋体" w:hAnsi="新宋体" w:eastAsia="新宋体" w:cs="新宋体"/>
              <w:color w:val="auto"/>
              <w:sz w:val="22"/>
              <w:szCs w:val="28"/>
              <w:highlight w:val="none"/>
            </w:rPr>
            <w:instrText xml:space="preserve"> PAGEREF _Toc18542 \h </w:instrText>
          </w:r>
          <w:r>
            <w:rPr>
              <w:rFonts w:hint="eastAsia" w:ascii="新宋体" w:hAnsi="新宋体" w:eastAsia="新宋体" w:cs="新宋体"/>
              <w:color w:val="auto"/>
              <w:sz w:val="22"/>
              <w:szCs w:val="28"/>
              <w:highlight w:val="none"/>
            </w:rPr>
            <w:fldChar w:fldCharType="separate"/>
          </w:r>
          <w:r>
            <w:rPr>
              <w:rFonts w:hint="eastAsia" w:ascii="新宋体" w:hAnsi="新宋体" w:eastAsia="新宋体" w:cs="新宋体"/>
              <w:color w:val="auto"/>
              <w:sz w:val="22"/>
              <w:szCs w:val="28"/>
              <w:highlight w:val="none"/>
            </w:rPr>
            <w:t>15</w:t>
          </w:r>
          <w:r>
            <w:rPr>
              <w:rFonts w:hint="eastAsia" w:ascii="新宋体" w:hAnsi="新宋体" w:eastAsia="新宋体" w:cs="新宋体"/>
              <w:color w:val="auto"/>
              <w:sz w:val="22"/>
              <w:szCs w:val="28"/>
              <w:highlight w:val="none"/>
            </w:rPr>
            <w:fldChar w:fldCharType="end"/>
          </w:r>
          <w:r>
            <w:rPr>
              <w:rFonts w:hint="eastAsia" w:ascii="新宋体" w:hAnsi="新宋体" w:eastAsia="新宋体" w:cs="新宋体"/>
              <w:color w:val="auto"/>
              <w:sz w:val="22"/>
              <w:szCs w:val="28"/>
              <w:highlight w:val="none"/>
            </w:rPr>
            <w:fldChar w:fldCharType="end"/>
          </w:r>
        </w:p>
        <w:p w14:paraId="6A417053">
          <w:pPr>
            <w:pStyle w:val="45"/>
            <w:tabs>
              <w:tab w:val="right" w:leader="dot" w:pos="9638"/>
            </w:tabs>
            <w:spacing w:line="360" w:lineRule="auto"/>
            <w:rPr>
              <w:rFonts w:hint="eastAsia" w:ascii="新宋体" w:hAnsi="新宋体" w:eastAsia="新宋体" w:cs="新宋体"/>
              <w:color w:val="auto"/>
              <w:sz w:val="22"/>
              <w:szCs w:val="28"/>
              <w:highlight w:val="none"/>
            </w:rPr>
          </w:pP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HYPERLINK \l "_Toc8079" </w:instrText>
          </w:r>
          <w:r>
            <w:rPr>
              <w:rFonts w:hint="eastAsia" w:ascii="新宋体" w:hAnsi="新宋体" w:eastAsia="新宋体" w:cs="新宋体"/>
              <w:color w:val="auto"/>
              <w:highlight w:val="none"/>
            </w:rPr>
            <w:fldChar w:fldCharType="separate"/>
          </w:r>
          <w:r>
            <w:rPr>
              <w:rFonts w:hint="eastAsia" w:ascii="新宋体" w:hAnsi="新宋体" w:eastAsia="新宋体" w:cs="新宋体"/>
              <w:bCs/>
              <w:color w:val="auto"/>
              <w:sz w:val="22"/>
              <w:highlight w:val="none"/>
            </w:rPr>
            <w:t>五、 开标和评标</w:t>
          </w:r>
          <w:r>
            <w:rPr>
              <w:rFonts w:hint="eastAsia" w:ascii="新宋体" w:hAnsi="新宋体" w:eastAsia="新宋体" w:cs="新宋体"/>
              <w:color w:val="auto"/>
              <w:sz w:val="22"/>
              <w:szCs w:val="28"/>
              <w:highlight w:val="none"/>
            </w:rPr>
            <w:tab/>
          </w:r>
          <w:r>
            <w:rPr>
              <w:rFonts w:hint="eastAsia" w:ascii="新宋体" w:hAnsi="新宋体" w:eastAsia="新宋体" w:cs="新宋体"/>
              <w:color w:val="auto"/>
              <w:sz w:val="22"/>
              <w:szCs w:val="28"/>
              <w:highlight w:val="none"/>
            </w:rPr>
            <w:fldChar w:fldCharType="begin"/>
          </w:r>
          <w:r>
            <w:rPr>
              <w:rFonts w:hint="eastAsia" w:ascii="新宋体" w:hAnsi="新宋体" w:eastAsia="新宋体" w:cs="新宋体"/>
              <w:color w:val="auto"/>
              <w:sz w:val="22"/>
              <w:szCs w:val="28"/>
              <w:highlight w:val="none"/>
            </w:rPr>
            <w:instrText xml:space="preserve"> PAGEREF _Toc8079 \h </w:instrText>
          </w:r>
          <w:r>
            <w:rPr>
              <w:rFonts w:hint="eastAsia" w:ascii="新宋体" w:hAnsi="新宋体" w:eastAsia="新宋体" w:cs="新宋体"/>
              <w:color w:val="auto"/>
              <w:sz w:val="22"/>
              <w:szCs w:val="28"/>
              <w:highlight w:val="none"/>
            </w:rPr>
            <w:fldChar w:fldCharType="separate"/>
          </w:r>
          <w:r>
            <w:rPr>
              <w:rFonts w:hint="eastAsia" w:ascii="新宋体" w:hAnsi="新宋体" w:eastAsia="新宋体" w:cs="新宋体"/>
              <w:color w:val="auto"/>
              <w:sz w:val="22"/>
              <w:szCs w:val="28"/>
              <w:highlight w:val="none"/>
            </w:rPr>
            <w:t>15</w:t>
          </w:r>
          <w:r>
            <w:rPr>
              <w:rFonts w:hint="eastAsia" w:ascii="新宋体" w:hAnsi="新宋体" w:eastAsia="新宋体" w:cs="新宋体"/>
              <w:color w:val="auto"/>
              <w:sz w:val="22"/>
              <w:szCs w:val="28"/>
              <w:highlight w:val="none"/>
            </w:rPr>
            <w:fldChar w:fldCharType="end"/>
          </w:r>
          <w:r>
            <w:rPr>
              <w:rFonts w:hint="eastAsia" w:ascii="新宋体" w:hAnsi="新宋体" w:eastAsia="新宋体" w:cs="新宋体"/>
              <w:color w:val="auto"/>
              <w:sz w:val="22"/>
              <w:szCs w:val="28"/>
              <w:highlight w:val="none"/>
            </w:rPr>
            <w:fldChar w:fldCharType="end"/>
          </w:r>
        </w:p>
        <w:p w14:paraId="3EF19071">
          <w:pPr>
            <w:pStyle w:val="45"/>
            <w:tabs>
              <w:tab w:val="right" w:leader="dot" w:pos="9638"/>
            </w:tabs>
            <w:spacing w:line="360" w:lineRule="auto"/>
            <w:rPr>
              <w:rFonts w:hint="eastAsia" w:ascii="新宋体" w:hAnsi="新宋体" w:eastAsia="新宋体" w:cs="新宋体"/>
              <w:color w:val="auto"/>
              <w:sz w:val="22"/>
              <w:szCs w:val="28"/>
              <w:highlight w:val="none"/>
            </w:rPr>
          </w:pP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HYPERLINK \l "_Toc21056" </w:instrText>
          </w:r>
          <w:r>
            <w:rPr>
              <w:rFonts w:hint="eastAsia" w:ascii="新宋体" w:hAnsi="新宋体" w:eastAsia="新宋体" w:cs="新宋体"/>
              <w:color w:val="auto"/>
              <w:highlight w:val="none"/>
            </w:rPr>
            <w:fldChar w:fldCharType="separate"/>
          </w:r>
          <w:r>
            <w:rPr>
              <w:rFonts w:hint="eastAsia" w:ascii="新宋体" w:hAnsi="新宋体" w:eastAsia="新宋体" w:cs="新宋体"/>
              <w:bCs/>
              <w:color w:val="auto"/>
              <w:sz w:val="22"/>
              <w:szCs w:val="28"/>
              <w:highlight w:val="none"/>
            </w:rPr>
            <w:t>六、 授予合同</w:t>
          </w:r>
          <w:r>
            <w:rPr>
              <w:rFonts w:hint="eastAsia" w:ascii="新宋体" w:hAnsi="新宋体" w:eastAsia="新宋体" w:cs="新宋体"/>
              <w:color w:val="auto"/>
              <w:sz w:val="22"/>
              <w:szCs w:val="28"/>
              <w:highlight w:val="none"/>
            </w:rPr>
            <w:tab/>
          </w:r>
          <w:r>
            <w:rPr>
              <w:rFonts w:hint="eastAsia" w:ascii="新宋体" w:hAnsi="新宋体" w:eastAsia="新宋体" w:cs="新宋体"/>
              <w:color w:val="auto"/>
              <w:sz w:val="22"/>
              <w:szCs w:val="28"/>
              <w:highlight w:val="none"/>
            </w:rPr>
            <w:fldChar w:fldCharType="begin"/>
          </w:r>
          <w:r>
            <w:rPr>
              <w:rFonts w:hint="eastAsia" w:ascii="新宋体" w:hAnsi="新宋体" w:eastAsia="新宋体" w:cs="新宋体"/>
              <w:color w:val="auto"/>
              <w:sz w:val="22"/>
              <w:szCs w:val="28"/>
              <w:highlight w:val="none"/>
            </w:rPr>
            <w:instrText xml:space="preserve"> PAGEREF _Toc21056 \h </w:instrText>
          </w:r>
          <w:r>
            <w:rPr>
              <w:rFonts w:hint="eastAsia" w:ascii="新宋体" w:hAnsi="新宋体" w:eastAsia="新宋体" w:cs="新宋体"/>
              <w:color w:val="auto"/>
              <w:sz w:val="22"/>
              <w:szCs w:val="28"/>
              <w:highlight w:val="none"/>
            </w:rPr>
            <w:fldChar w:fldCharType="separate"/>
          </w:r>
          <w:r>
            <w:rPr>
              <w:rFonts w:hint="eastAsia" w:ascii="新宋体" w:hAnsi="新宋体" w:eastAsia="新宋体" w:cs="新宋体"/>
              <w:color w:val="auto"/>
              <w:sz w:val="22"/>
              <w:szCs w:val="28"/>
              <w:highlight w:val="none"/>
            </w:rPr>
            <w:t>19</w:t>
          </w:r>
          <w:r>
            <w:rPr>
              <w:rFonts w:hint="eastAsia" w:ascii="新宋体" w:hAnsi="新宋体" w:eastAsia="新宋体" w:cs="新宋体"/>
              <w:color w:val="auto"/>
              <w:sz w:val="22"/>
              <w:szCs w:val="28"/>
              <w:highlight w:val="none"/>
            </w:rPr>
            <w:fldChar w:fldCharType="end"/>
          </w:r>
          <w:r>
            <w:rPr>
              <w:rFonts w:hint="eastAsia" w:ascii="新宋体" w:hAnsi="新宋体" w:eastAsia="新宋体" w:cs="新宋体"/>
              <w:color w:val="auto"/>
              <w:sz w:val="22"/>
              <w:szCs w:val="28"/>
              <w:highlight w:val="none"/>
            </w:rPr>
            <w:fldChar w:fldCharType="end"/>
          </w:r>
        </w:p>
        <w:p w14:paraId="042A2C05">
          <w:pPr>
            <w:pStyle w:val="38"/>
            <w:tabs>
              <w:tab w:val="right" w:leader="dot" w:pos="9638"/>
            </w:tabs>
            <w:spacing w:line="360" w:lineRule="auto"/>
            <w:rPr>
              <w:rFonts w:hint="eastAsia" w:ascii="新宋体" w:hAnsi="新宋体" w:eastAsia="新宋体" w:cs="新宋体"/>
              <w:color w:val="auto"/>
              <w:sz w:val="22"/>
              <w:szCs w:val="28"/>
              <w:highlight w:val="none"/>
            </w:rPr>
          </w:pP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HYPERLINK \l "_Toc19043"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sz w:val="22"/>
              <w:szCs w:val="28"/>
              <w:highlight w:val="none"/>
            </w:rPr>
            <w:t>第二部分</w:t>
          </w:r>
          <w:r>
            <w:rPr>
              <w:rFonts w:hint="eastAsia" w:ascii="新宋体" w:hAnsi="新宋体" w:eastAsia="新宋体" w:cs="新宋体"/>
              <w:color w:val="auto"/>
              <w:sz w:val="22"/>
              <w:szCs w:val="28"/>
              <w:highlight w:val="none"/>
              <w:lang w:val="en-US" w:eastAsia="zh-CN"/>
            </w:rPr>
            <w:t xml:space="preserve">   </w:t>
          </w:r>
          <w:r>
            <w:rPr>
              <w:rFonts w:hint="eastAsia" w:ascii="新宋体" w:hAnsi="新宋体" w:eastAsia="新宋体" w:cs="新宋体"/>
              <w:color w:val="auto"/>
              <w:sz w:val="22"/>
              <w:szCs w:val="28"/>
              <w:highlight w:val="none"/>
            </w:rPr>
            <w:t>合同主要条款</w:t>
          </w:r>
          <w:r>
            <w:rPr>
              <w:rFonts w:hint="eastAsia" w:ascii="新宋体" w:hAnsi="新宋体" w:eastAsia="新宋体" w:cs="新宋体"/>
              <w:color w:val="auto"/>
              <w:sz w:val="22"/>
              <w:szCs w:val="28"/>
              <w:highlight w:val="none"/>
            </w:rPr>
            <w:tab/>
          </w:r>
          <w:r>
            <w:rPr>
              <w:rFonts w:hint="eastAsia" w:ascii="新宋体" w:hAnsi="新宋体" w:eastAsia="新宋体" w:cs="新宋体"/>
              <w:color w:val="auto"/>
              <w:sz w:val="22"/>
              <w:szCs w:val="28"/>
              <w:highlight w:val="none"/>
            </w:rPr>
            <w:fldChar w:fldCharType="begin"/>
          </w:r>
          <w:r>
            <w:rPr>
              <w:rFonts w:hint="eastAsia" w:ascii="新宋体" w:hAnsi="新宋体" w:eastAsia="新宋体" w:cs="新宋体"/>
              <w:color w:val="auto"/>
              <w:sz w:val="22"/>
              <w:szCs w:val="28"/>
              <w:highlight w:val="none"/>
            </w:rPr>
            <w:instrText xml:space="preserve"> PAGEREF _Toc19043 \h </w:instrText>
          </w:r>
          <w:r>
            <w:rPr>
              <w:rFonts w:hint="eastAsia" w:ascii="新宋体" w:hAnsi="新宋体" w:eastAsia="新宋体" w:cs="新宋体"/>
              <w:color w:val="auto"/>
              <w:sz w:val="22"/>
              <w:szCs w:val="28"/>
              <w:highlight w:val="none"/>
            </w:rPr>
            <w:fldChar w:fldCharType="separate"/>
          </w:r>
          <w:r>
            <w:rPr>
              <w:rFonts w:hint="eastAsia" w:ascii="新宋体" w:hAnsi="新宋体" w:eastAsia="新宋体" w:cs="新宋体"/>
              <w:color w:val="auto"/>
              <w:sz w:val="22"/>
              <w:szCs w:val="28"/>
              <w:highlight w:val="none"/>
            </w:rPr>
            <w:t>21</w:t>
          </w:r>
          <w:r>
            <w:rPr>
              <w:rFonts w:hint="eastAsia" w:ascii="新宋体" w:hAnsi="新宋体" w:eastAsia="新宋体" w:cs="新宋体"/>
              <w:color w:val="auto"/>
              <w:sz w:val="22"/>
              <w:szCs w:val="28"/>
              <w:highlight w:val="none"/>
            </w:rPr>
            <w:fldChar w:fldCharType="end"/>
          </w:r>
          <w:r>
            <w:rPr>
              <w:rFonts w:hint="eastAsia" w:ascii="新宋体" w:hAnsi="新宋体" w:eastAsia="新宋体" w:cs="新宋体"/>
              <w:color w:val="auto"/>
              <w:sz w:val="22"/>
              <w:szCs w:val="28"/>
              <w:highlight w:val="none"/>
            </w:rPr>
            <w:fldChar w:fldCharType="end"/>
          </w:r>
        </w:p>
        <w:p w14:paraId="771FE2C7">
          <w:pPr>
            <w:pStyle w:val="38"/>
            <w:tabs>
              <w:tab w:val="right" w:leader="dot" w:pos="9638"/>
            </w:tabs>
            <w:spacing w:line="360" w:lineRule="auto"/>
            <w:rPr>
              <w:rFonts w:hint="eastAsia" w:ascii="新宋体" w:hAnsi="新宋体" w:eastAsia="新宋体" w:cs="新宋体"/>
              <w:color w:val="auto"/>
              <w:sz w:val="22"/>
              <w:szCs w:val="28"/>
              <w:highlight w:val="none"/>
            </w:rPr>
          </w:pP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HYPERLINK \l "_Toc18439"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sz w:val="22"/>
              <w:szCs w:val="28"/>
              <w:highlight w:val="none"/>
            </w:rPr>
            <w:t>第三部分</w:t>
          </w:r>
          <w:r>
            <w:rPr>
              <w:rFonts w:hint="eastAsia" w:ascii="新宋体" w:hAnsi="新宋体" w:eastAsia="新宋体" w:cs="新宋体"/>
              <w:color w:val="auto"/>
              <w:sz w:val="22"/>
              <w:szCs w:val="28"/>
              <w:highlight w:val="none"/>
              <w:lang w:val="en-US" w:eastAsia="zh-CN"/>
            </w:rPr>
            <w:t xml:space="preserve">   </w:t>
          </w:r>
          <w:r>
            <w:rPr>
              <w:rFonts w:hint="eastAsia" w:ascii="新宋体" w:hAnsi="新宋体" w:eastAsia="新宋体" w:cs="新宋体"/>
              <w:color w:val="auto"/>
              <w:sz w:val="22"/>
              <w:szCs w:val="28"/>
              <w:highlight w:val="none"/>
            </w:rPr>
            <w:t>附件</w:t>
          </w:r>
          <w:r>
            <w:rPr>
              <w:rFonts w:hint="eastAsia" w:ascii="新宋体" w:hAnsi="新宋体" w:eastAsia="新宋体" w:cs="新宋体"/>
              <w:color w:val="auto"/>
              <w:sz w:val="22"/>
              <w:szCs w:val="28"/>
              <w:highlight w:val="none"/>
            </w:rPr>
            <w:tab/>
          </w:r>
          <w:r>
            <w:rPr>
              <w:rFonts w:hint="eastAsia" w:ascii="新宋体" w:hAnsi="新宋体" w:eastAsia="新宋体" w:cs="新宋体"/>
              <w:color w:val="auto"/>
              <w:sz w:val="22"/>
              <w:szCs w:val="28"/>
              <w:highlight w:val="none"/>
            </w:rPr>
            <w:fldChar w:fldCharType="begin"/>
          </w:r>
          <w:r>
            <w:rPr>
              <w:rFonts w:hint="eastAsia" w:ascii="新宋体" w:hAnsi="新宋体" w:eastAsia="新宋体" w:cs="新宋体"/>
              <w:color w:val="auto"/>
              <w:sz w:val="22"/>
              <w:szCs w:val="28"/>
              <w:highlight w:val="none"/>
            </w:rPr>
            <w:instrText xml:space="preserve"> PAGEREF _Toc18439 \h </w:instrText>
          </w:r>
          <w:r>
            <w:rPr>
              <w:rFonts w:hint="eastAsia" w:ascii="新宋体" w:hAnsi="新宋体" w:eastAsia="新宋体" w:cs="新宋体"/>
              <w:color w:val="auto"/>
              <w:sz w:val="22"/>
              <w:szCs w:val="28"/>
              <w:highlight w:val="none"/>
            </w:rPr>
            <w:fldChar w:fldCharType="separate"/>
          </w:r>
          <w:r>
            <w:rPr>
              <w:rFonts w:hint="eastAsia" w:ascii="新宋体" w:hAnsi="新宋体" w:eastAsia="新宋体" w:cs="新宋体"/>
              <w:color w:val="auto"/>
              <w:sz w:val="22"/>
              <w:szCs w:val="28"/>
              <w:highlight w:val="none"/>
            </w:rPr>
            <w:t>27</w:t>
          </w:r>
          <w:r>
            <w:rPr>
              <w:rFonts w:hint="eastAsia" w:ascii="新宋体" w:hAnsi="新宋体" w:eastAsia="新宋体" w:cs="新宋体"/>
              <w:color w:val="auto"/>
              <w:sz w:val="22"/>
              <w:szCs w:val="28"/>
              <w:highlight w:val="none"/>
            </w:rPr>
            <w:fldChar w:fldCharType="end"/>
          </w:r>
          <w:r>
            <w:rPr>
              <w:rFonts w:hint="eastAsia" w:ascii="新宋体" w:hAnsi="新宋体" w:eastAsia="新宋体" w:cs="新宋体"/>
              <w:color w:val="auto"/>
              <w:sz w:val="22"/>
              <w:szCs w:val="28"/>
              <w:highlight w:val="none"/>
            </w:rPr>
            <w:fldChar w:fldCharType="end"/>
          </w:r>
        </w:p>
        <w:p w14:paraId="43AF46E2">
          <w:pPr>
            <w:pStyle w:val="45"/>
            <w:tabs>
              <w:tab w:val="right" w:leader="dot" w:pos="9638"/>
            </w:tabs>
            <w:spacing w:line="360" w:lineRule="auto"/>
            <w:rPr>
              <w:rFonts w:hint="eastAsia" w:ascii="新宋体" w:hAnsi="新宋体" w:eastAsia="新宋体" w:cs="新宋体"/>
              <w:color w:val="auto"/>
              <w:sz w:val="22"/>
              <w:szCs w:val="28"/>
              <w:highlight w:val="none"/>
            </w:rPr>
          </w:pP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HYPERLINK \l "_Toc6368"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sz w:val="22"/>
              <w:szCs w:val="28"/>
              <w:highlight w:val="none"/>
            </w:rPr>
            <w:t>附件一</w:t>
          </w:r>
          <w:r>
            <w:rPr>
              <w:rFonts w:hint="eastAsia" w:ascii="新宋体" w:hAnsi="新宋体" w:eastAsia="新宋体" w:cs="新宋体"/>
              <w:color w:val="auto"/>
              <w:sz w:val="22"/>
              <w:szCs w:val="28"/>
              <w:highlight w:val="none"/>
            </w:rPr>
            <w:tab/>
          </w:r>
          <w:r>
            <w:rPr>
              <w:rFonts w:hint="eastAsia" w:ascii="新宋体" w:hAnsi="新宋体" w:eastAsia="新宋体" w:cs="新宋体"/>
              <w:color w:val="auto"/>
              <w:sz w:val="22"/>
              <w:szCs w:val="28"/>
              <w:highlight w:val="none"/>
            </w:rPr>
            <w:fldChar w:fldCharType="begin"/>
          </w:r>
          <w:r>
            <w:rPr>
              <w:rFonts w:hint="eastAsia" w:ascii="新宋体" w:hAnsi="新宋体" w:eastAsia="新宋体" w:cs="新宋体"/>
              <w:color w:val="auto"/>
              <w:sz w:val="22"/>
              <w:szCs w:val="28"/>
              <w:highlight w:val="none"/>
            </w:rPr>
            <w:instrText xml:space="preserve"> PAGEREF _Toc6368 \h </w:instrText>
          </w:r>
          <w:r>
            <w:rPr>
              <w:rFonts w:hint="eastAsia" w:ascii="新宋体" w:hAnsi="新宋体" w:eastAsia="新宋体" w:cs="新宋体"/>
              <w:color w:val="auto"/>
              <w:sz w:val="22"/>
              <w:szCs w:val="28"/>
              <w:highlight w:val="none"/>
            </w:rPr>
            <w:fldChar w:fldCharType="separate"/>
          </w:r>
          <w:r>
            <w:rPr>
              <w:rFonts w:hint="eastAsia" w:ascii="新宋体" w:hAnsi="新宋体" w:eastAsia="新宋体" w:cs="新宋体"/>
              <w:color w:val="auto"/>
              <w:sz w:val="22"/>
              <w:szCs w:val="28"/>
              <w:highlight w:val="none"/>
            </w:rPr>
            <w:t>27</w:t>
          </w:r>
          <w:r>
            <w:rPr>
              <w:rFonts w:hint="eastAsia" w:ascii="新宋体" w:hAnsi="新宋体" w:eastAsia="新宋体" w:cs="新宋体"/>
              <w:color w:val="auto"/>
              <w:sz w:val="22"/>
              <w:szCs w:val="28"/>
              <w:highlight w:val="none"/>
            </w:rPr>
            <w:fldChar w:fldCharType="end"/>
          </w:r>
          <w:r>
            <w:rPr>
              <w:rFonts w:hint="eastAsia" w:ascii="新宋体" w:hAnsi="新宋体" w:eastAsia="新宋体" w:cs="新宋体"/>
              <w:color w:val="auto"/>
              <w:sz w:val="22"/>
              <w:szCs w:val="28"/>
              <w:highlight w:val="none"/>
            </w:rPr>
            <w:fldChar w:fldCharType="end"/>
          </w:r>
        </w:p>
        <w:p w14:paraId="7F700C78">
          <w:pPr>
            <w:pStyle w:val="28"/>
            <w:tabs>
              <w:tab w:val="right" w:leader="dot" w:pos="9638"/>
            </w:tabs>
            <w:spacing w:line="360" w:lineRule="auto"/>
            <w:rPr>
              <w:rFonts w:hint="eastAsia" w:ascii="新宋体" w:hAnsi="新宋体" w:eastAsia="新宋体" w:cs="新宋体"/>
              <w:color w:val="auto"/>
              <w:sz w:val="22"/>
              <w:szCs w:val="28"/>
              <w:highlight w:val="none"/>
            </w:rPr>
          </w:pP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HYPERLINK \l "_Toc5430" </w:instrText>
          </w:r>
          <w:r>
            <w:rPr>
              <w:rFonts w:hint="eastAsia" w:ascii="新宋体" w:hAnsi="新宋体" w:eastAsia="新宋体" w:cs="新宋体"/>
              <w:color w:val="auto"/>
              <w:highlight w:val="none"/>
            </w:rPr>
            <w:fldChar w:fldCharType="separate"/>
          </w:r>
          <w:r>
            <w:rPr>
              <w:rFonts w:hint="eastAsia" w:ascii="新宋体" w:hAnsi="新宋体" w:eastAsia="新宋体" w:cs="新宋体"/>
              <w:bCs/>
              <w:color w:val="auto"/>
              <w:sz w:val="22"/>
              <w:szCs w:val="32"/>
              <w:highlight w:val="none"/>
            </w:rPr>
            <w:t>报价文件</w:t>
          </w:r>
          <w:r>
            <w:rPr>
              <w:rFonts w:hint="eastAsia" w:ascii="新宋体" w:hAnsi="新宋体" w:eastAsia="新宋体" w:cs="新宋体"/>
              <w:color w:val="auto"/>
              <w:sz w:val="22"/>
              <w:szCs w:val="28"/>
              <w:highlight w:val="none"/>
            </w:rPr>
            <w:tab/>
          </w:r>
          <w:r>
            <w:rPr>
              <w:rFonts w:hint="eastAsia" w:ascii="新宋体" w:hAnsi="新宋体" w:eastAsia="新宋体" w:cs="新宋体"/>
              <w:color w:val="auto"/>
              <w:sz w:val="22"/>
              <w:szCs w:val="28"/>
              <w:highlight w:val="none"/>
            </w:rPr>
            <w:fldChar w:fldCharType="begin"/>
          </w:r>
          <w:r>
            <w:rPr>
              <w:rFonts w:hint="eastAsia" w:ascii="新宋体" w:hAnsi="新宋体" w:eastAsia="新宋体" w:cs="新宋体"/>
              <w:color w:val="auto"/>
              <w:sz w:val="22"/>
              <w:szCs w:val="28"/>
              <w:highlight w:val="none"/>
            </w:rPr>
            <w:instrText xml:space="preserve"> PAGEREF _Toc5430 \h </w:instrText>
          </w:r>
          <w:r>
            <w:rPr>
              <w:rFonts w:hint="eastAsia" w:ascii="新宋体" w:hAnsi="新宋体" w:eastAsia="新宋体" w:cs="新宋体"/>
              <w:color w:val="auto"/>
              <w:sz w:val="22"/>
              <w:szCs w:val="28"/>
              <w:highlight w:val="none"/>
            </w:rPr>
            <w:fldChar w:fldCharType="separate"/>
          </w:r>
          <w:r>
            <w:rPr>
              <w:rFonts w:hint="eastAsia" w:ascii="新宋体" w:hAnsi="新宋体" w:eastAsia="新宋体" w:cs="新宋体"/>
              <w:color w:val="auto"/>
              <w:sz w:val="22"/>
              <w:szCs w:val="28"/>
              <w:highlight w:val="none"/>
            </w:rPr>
            <w:t>27</w:t>
          </w:r>
          <w:r>
            <w:rPr>
              <w:rFonts w:hint="eastAsia" w:ascii="新宋体" w:hAnsi="新宋体" w:eastAsia="新宋体" w:cs="新宋体"/>
              <w:color w:val="auto"/>
              <w:sz w:val="22"/>
              <w:szCs w:val="28"/>
              <w:highlight w:val="none"/>
            </w:rPr>
            <w:fldChar w:fldCharType="end"/>
          </w:r>
          <w:r>
            <w:rPr>
              <w:rFonts w:hint="eastAsia" w:ascii="新宋体" w:hAnsi="新宋体" w:eastAsia="新宋体" w:cs="新宋体"/>
              <w:color w:val="auto"/>
              <w:sz w:val="22"/>
              <w:szCs w:val="28"/>
              <w:highlight w:val="none"/>
            </w:rPr>
            <w:fldChar w:fldCharType="end"/>
          </w:r>
        </w:p>
        <w:p w14:paraId="37F3A32A">
          <w:pPr>
            <w:pStyle w:val="45"/>
            <w:tabs>
              <w:tab w:val="right" w:leader="dot" w:pos="9638"/>
            </w:tabs>
            <w:spacing w:line="360" w:lineRule="auto"/>
            <w:rPr>
              <w:rFonts w:hint="eastAsia" w:ascii="新宋体" w:hAnsi="新宋体" w:eastAsia="新宋体" w:cs="新宋体"/>
              <w:color w:val="auto"/>
              <w:sz w:val="22"/>
              <w:szCs w:val="28"/>
              <w:highlight w:val="none"/>
            </w:rPr>
          </w:pP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HYPERLINK \l "_Toc12035"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sz w:val="22"/>
              <w:highlight w:val="none"/>
            </w:rPr>
            <w:t>附件二</w:t>
          </w:r>
          <w:r>
            <w:rPr>
              <w:rFonts w:hint="eastAsia" w:ascii="新宋体" w:hAnsi="新宋体" w:eastAsia="新宋体" w:cs="新宋体"/>
              <w:color w:val="auto"/>
              <w:sz w:val="22"/>
              <w:szCs w:val="28"/>
              <w:highlight w:val="none"/>
            </w:rPr>
            <w:tab/>
          </w:r>
          <w:r>
            <w:rPr>
              <w:rFonts w:hint="eastAsia" w:ascii="新宋体" w:hAnsi="新宋体" w:eastAsia="新宋体" w:cs="新宋体"/>
              <w:color w:val="auto"/>
              <w:sz w:val="22"/>
              <w:szCs w:val="28"/>
              <w:highlight w:val="none"/>
            </w:rPr>
            <w:fldChar w:fldCharType="begin"/>
          </w:r>
          <w:r>
            <w:rPr>
              <w:rFonts w:hint="eastAsia" w:ascii="新宋体" w:hAnsi="新宋体" w:eastAsia="新宋体" w:cs="新宋体"/>
              <w:color w:val="auto"/>
              <w:sz w:val="22"/>
              <w:szCs w:val="28"/>
              <w:highlight w:val="none"/>
            </w:rPr>
            <w:instrText xml:space="preserve"> PAGEREF _Toc12035 \h </w:instrText>
          </w:r>
          <w:r>
            <w:rPr>
              <w:rFonts w:hint="eastAsia" w:ascii="新宋体" w:hAnsi="新宋体" w:eastAsia="新宋体" w:cs="新宋体"/>
              <w:color w:val="auto"/>
              <w:sz w:val="22"/>
              <w:szCs w:val="28"/>
              <w:highlight w:val="none"/>
            </w:rPr>
            <w:fldChar w:fldCharType="separate"/>
          </w:r>
          <w:r>
            <w:rPr>
              <w:rFonts w:hint="eastAsia" w:ascii="新宋体" w:hAnsi="新宋体" w:eastAsia="新宋体" w:cs="新宋体"/>
              <w:color w:val="auto"/>
              <w:sz w:val="22"/>
              <w:szCs w:val="28"/>
              <w:highlight w:val="none"/>
            </w:rPr>
            <w:t>31</w:t>
          </w:r>
          <w:r>
            <w:rPr>
              <w:rFonts w:hint="eastAsia" w:ascii="新宋体" w:hAnsi="新宋体" w:eastAsia="新宋体" w:cs="新宋体"/>
              <w:color w:val="auto"/>
              <w:sz w:val="22"/>
              <w:szCs w:val="28"/>
              <w:highlight w:val="none"/>
            </w:rPr>
            <w:fldChar w:fldCharType="end"/>
          </w:r>
          <w:r>
            <w:rPr>
              <w:rFonts w:hint="eastAsia" w:ascii="新宋体" w:hAnsi="新宋体" w:eastAsia="新宋体" w:cs="新宋体"/>
              <w:color w:val="auto"/>
              <w:sz w:val="22"/>
              <w:szCs w:val="28"/>
              <w:highlight w:val="none"/>
            </w:rPr>
            <w:fldChar w:fldCharType="end"/>
          </w:r>
        </w:p>
        <w:p w14:paraId="4EBE3602">
          <w:pPr>
            <w:pStyle w:val="28"/>
            <w:tabs>
              <w:tab w:val="right" w:leader="dot" w:pos="9638"/>
            </w:tabs>
            <w:spacing w:line="360" w:lineRule="auto"/>
            <w:rPr>
              <w:rFonts w:hint="eastAsia" w:ascii="新宋体" w:hAnsi="新宋体" w:eastAsia="新宋体" w:cs="新宋体"/>
              <w:color w:val="auto"/>
              <w:sz w:val="22"/>
              <w:szCs w:val="28"/>
              <w:highlight w:val="none"/>
            </w:rPr>
          </w:pP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HYPERLINK \l "_Toc25309" </w:instrText>
          </w:r>
          <w:r>
            <w:rPr>
              <w:rFonts w:hint="eastAsia" w:ascii="新宋体" w:hAnsi="新宋体" w:eastAsia="新宋体" w:cs="新宋体"/>
              <w:color w:val="auto"/>
              <w:highlight w:val="none"/>
            </w:rPr>
            <w:fldChar w:fldCharType="separate"/>
          </w:r>
          <w:r>
            <w:rPr>
              <w:rFonts w:hint="eastAsia" w:ascii="新宋体" w:hAnsi="新宋体" w:eastAsia="新宋体" w:cs="新宋体"/>
              <w:bCs/>
              <w:color w:val="auto"/>
              <w:sz w:val="22"/>
              <w:szCs w:val="32"/>
              <w:highlight w:val="none"/>
            </w:rPr>
            <w:t>资格证明文件</w:t>
          </w:r>
          <w:r>
            <w:rPr>
              <w:rFonts w:hint="eastAsia" w:ascii="新宋体" w:hAnsi="新宋体" w:eastAsia="新宋体" w:cs="新宋体"/>
              <w:color w:val="auto"/>
              <w:sz w:val="22"/>
              <w:szCs w:val="28"/>
              <w:highlight w:val="none"/>
            </w:rPr>
            <w:tab/>
          </w:r>
          <w:r>
            <w:rPr>
              <w:rFonts w:hint="eastAsia" w:ascii="新宋体" w:hAnsi="新宋体" w:eastAsia="新宋体" w:cs="新宋体"/>
              <w:color w:val="auto"/>
              <w:sz w:val="22"/>
              <w:szCs w:val="28"/>
              <w:highlight w:val="none"/>
            </w:rPr>
            <w:fldChar w:fldCharType="begin"/>
          </w:r>
          <w:r>
            <w:rPr>
              <w:rFonts w:hint="eastAsia" w:ascii="新宋体" w:hAnsi="新宋体" w:eastAsia="新宋体" w:cs="新宋体"/>
              <w:color w:val="auto"/>
              <w:sz w:val="22"/>
              <w:szCs w:val="28"/>
              <w:highlight w:val="none"/>
            </w:rPr>
            <w:instrText xml:space="preserve"> PAGEREF _Toc25309 \h </w:instrText>
          </w:r>
          <w:r>
            <w:rPr>
              <w:rFonts w:hint="eastAsia" w:ascii="新宋体" w:hAnsi="新宋体" w:eastAsia="新宋体" w:cs="新宋体"/>
              <w:color w:val="auto"/>
              <w:sz w:val="22"/>
              <w:szCs w:val="28"/>
              <w:highlight w:val="none"/>
            </w:rPr>
            <w:fldChar w:fldCharType="separate"/>
          </w:r>
          <w:r>
            <w:rPr>
              <w:rFonts w:hint="eastAsia" w:ascii="新宋体" w:hAnsi="新宋体" w:eastAsia="新宋体" w:cs="新宋体"/>
              <w:color w:val="auto"/>
              <w:sz w:val="22"/>
              <w:szCs w:val="28"/>
              <w:highlight w:val="none"/>
            </w:rPr>
            <w:t>27</w:t>
          </w:r>
          <w:r>
            <w:rPr>
              <w:rFonts w:hint="eastAsia" w:ascii="新宋体" w:hAnsi="新宋体" w:eastAsia="新宋体" w:cs="新宋体"/>
              <w:color w:val="auto"/>
              <w:sz w:val="22"/>
              <w:szCs w:val="28"/>
              <w:highlight w:val="none"/>
            </w:rPr>
            <w:fldChar w:fldCharType="end"/>
          </w:r>
          <w:r>
            <w:rPr>
              <w:rFonts w:hint="eastAsia" w:ascii="新宋体" w:hAnsi="新宋体" w:eastAsia="新宋体" w:cs="新宋体"/>
              <w:color w:val="auto"/>
              <w:sz w:val="22"/>
              <w:szCs w:val="28"/>
              <w:highlight w:val="none"/>
            </w:rPr>
            <w:fldChar w:fldCharType="end"/>
          </w:r>
        </w:p>
        <w:p w14:paraId="3482D19C">
          <w:pPr>
            <w:pStyle w:val="45"/>
            <w:tabs>
              <w:tab w:val="right" w:leader="dot" w:pos="9638"/>
            </w:tabs>
            <w:spacing w:line="360" w:lineRule="auto"/>
            <w:rPr>
              <w:rFonts w:hint="eastAsia" w:ascii="新宋体" w:hAnsi="新宋体" w:eastAsia="新宋体" w:cs="新宋体"/>
              <w:color w:val="auto"/>
              <w:sz w:val="22"/>
              <w:szCs w:val="28"/>
              <w:highlight w:val="none"/>
            </w:rPr>
          </w:pP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HYPERLINK \l "_Toc31356" </w:instrText>
          </w:r>
          <w:r>
            <w:rPr>
              <w:rFonts w:hint="eastAsia" w:ascii="新宋体" w:hAnsi="新宋体" w:eastAsia="新宋体" w:cs="新宋体"/>
              <w:color w:val="auto"/>
              <w:highlight w:val="none"/>
            </w:rPr>
            <w:fldChar w:fldCharType="separate"/>
          </w:r>
          <w:r>
            <w:rPr>
              <w:rFonts w:hint="eastAsia" w:ascii="新宋体" w:hAnsi="新宋体" w:eastAsia="新宋体" w:cs="新宋体"/>
              <w:bCs/>
              <w:color w:val="auto"/>
              <w:sz w:val="22"/>
              <w:highlight w:val="none"/>
            </w:rPr>
            <w:t>附件三</w:t>
          </w:r>
          <w:r>
            <w:rPr>
              <w:rFonts w:hint="eastAsia" w:ascii="新宋体" w:hAnsi="新宋体" w:eastAsia="新宋体" w:cs="新宋体"/>
              <w:color w:val="auto"/>
              <w:sz w:val="22"/>
              <w:szCs w:val="28"/>
              <w:highlight w:val="none"/>
            </w:rPr>
            <w:tab/>
          </w:r>
          <w:r>
            <w:rPr>
              <w:rFonts w:hint="eastAsia" w:ascii="新宋体" w:hAnsi="新宋体" w:eastAsia="新宋体" w:cs="新宋体"/>
              <w:color w:val="auto"/>
              <w:sz w:val="22"/>
              <w:szCs w:val="28"/>
              <w:highlight w:val="none"/>
            </w:rPr>
            <w:fldChar w:fldCharType="begin"/>
          </w:r>
          <w:r>
            <w:rPr>
              <w:rFonts w:hint="eastAsia" w:ascii="新宋体" w:hAnsi="新宋体" w:eastAsia="新宋体" w:cs="新宋体"/>
              <w:color w:val="auto"/>
              <w:sz w:val="22"/>
              <w:szCs w:val="28"/>
              <w:highlight w:val="none"/>
            </w:rPr>
            <w:instrText xml:space="preserve"> PAGEREF _Toc31356 \h </w:instrText>
          </w:r>
          <w:r>
            <w:rPr>
              <w:rFonts w:hint="eastAsia" w:ascii="新宋体" w:hAnsi="新宋体" w:eastAsia="新宋体" w:cs="新宋体"/>
              <w:color w:val="auto"/>
              <w:sz w:val="22"/>
              <w:szCs w:val="28"/>
              <w:highlight w:val="none"/>
            </w:rPr>
            <w:fldChar w:fldCharType="separate"/>
          </w:r>
          <w:r>
            <w:rPr>
              <w:rFonts w:hint="eastAsia" w:ascii="新宋体" w:hAnsi="新宋体" w:eastAsia="新宋体" w:cs="新宋体"/>
              <w:color w:val="auto"/>
              <w:sz w:val="22"/>
              <w:szCs w:val="28"/>
              <w:highlight w:val="none"/>
            </w:rPr>
            <w:t>31</w:t>
          </w:r>
          <w:r>
            <w:rPr>
              <w:rFonts w:hint="eastAsia" w:ascii="新宋体" w:hAnsi="新宋体" w:eastAsia="新宋体" w:cs="新宋体"/>
              <w:color w:val="auto"/>
              <w:sz w:val="22"/>
              <w:szCs w:val="28"/>
              <w:highlight w:val="none"/>
            </w:rPr>
            <w:fldChar w:fldCharType="end"/>
          </w:r>
          <w:r>
            <w:rPr>
              <w:rFonts w:hint="eastAsia" w:ascii="新宋体" w:hAnsi="新宋体" w:eastAsia="新宋体" w:cs="新宋体"/>
              <w:color w:val="auto"/>
              <w:sz w:val="22"/>
              <w:szCs w:val="28"/>
              <w:highlight w:val="none"/>
            </w:rPr>
            <w:fldChar w:fldCharType="end"/>
          </w:r>
        </w:p>
        <w:p w14:paraId="53CD89AC">
          <w:pPr>
            <w:pStyle w:val="28"/>
            <w:tabs>
              <w:tab w:val="right" w:leader="dot" w:pos="9638"/>
            </w:tabs>
            <w:spacing w:line="360" w:lineRule="auto"/>
            <w:rPr>
              <w:rFonts w:hint="eastAsia" w:ascii="新宋体" w:hAnsi="新宋体" w:eastAsia="新宋体" w:cs="新宋体"/>
              <w:color w:val="auto"/>
              <w:sz w:val="22"/>
              <w:szCs w:val="28"/>
              <w:highlight w:val="none"/>
            </w:rPr>
          </w:pP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HYPERLINK \l "_Toc13639" </w:instrText>
          </w:r>
          <w:r>
            <w:rPr>
              <w:rFonts w:hint="eastAsia" w:ascii="新宋体" w:hAnsi="新宋体" w:eastAsia="新宋体" w:cs="新宋体"/>
              <w:color w:val="auto"/>
              <w:highlight w:val="none"/>
            </w:rPr>
            <w:fldChar w:fldCharType="separate"/>
          </w:r>
          <w:r>
            <w:rPr>
              <w:rFonts w:hint="eastAsia" w:ascii="新宋体" w:hAnsi="新宋体" w:eastAsia="新宋体" w:cs="新宋体"/>
              <w:bCs/>
              <w:color w:val="auto"/>
              <w:sz w:val="22"/>
              <w:szCs w:val="32"/>
              <w:highlight w:val="none"/>
              <w:lang w:val="zh-CN"/>
            </w:rPr>
            <w:t>商务技术文件</w:t>
          </w:r>
          <w:r>
            <w:rPr>
              <w:rFonts w:hint="eastAsia" w:ascii="新宋体" w:hAnsi="新宋体" w:eastAsia="新宋体" w:cs="新宋体"/>
              <w:color w:val="auto"/>
              <w:sz w:val="22"/>
              <w:szCs w:val="28"/>
              <w:highlight w:val="none"/>
            </w:rPr>
            <w:tab/>
          </w:r>
          <w:r>
            <w:rPr>
              <w:rFonts w:hint="eastAsia" w:ascii="新宋体" w:hAnsi="新宋体" w:eastAsia="新宋体" w:cs="新宋体"/>
              <w:color w:val="auto"/>
              <w:sz w:val="22"/>
              <w:szCs w:val="28"/>
              <w:highlight w:val="none"/>
            </w:rPr>
            <w:fldChar w:fldCharType="begin"/>
          </w:r>
          <w:r>
            <w:rPr>
              <w:rFonts w:hint="eastAsia" w:ascii="新宋体" w:hAnsi="新宋体" w:eastAsia="新宋体" w:cs="新宋体"/>
              <w:color w:val="auto"/>
              <w:sz w:val="22"/>
              <w:szCs w:val="28"/>
              <w:highlight w:val="none"/>
            </w:rPr>
            <w:instrText xml:space="preserve"> PAGEREF _Toc13639 \h </w:instrText>
          </w:r>
          <w:r>
            <w:rPr>
              <w:rFonts w:hint="eastAsia" w:ascii="新宋体" w:hAnsi="新宋体" w:eastAsia="新宋体" w:cs="新宋体"/>
              <w:color w:val="auto"/>
              <w:sz w:val="22"/>
              <w:szCs w:val="28"/>
              <w:highlight w:val="none"/>
            </w:rPr>
            <w:fldChar w:fldCharType="separate"/>
          </w:r>
          <w:r>
            <w:rPr>
              <w:rFonts w:hint="eastAsia" w:ascii="新宋体" w:hAnsi="新宋体" w:eastAsia="新宋体" w:cs="新宋体"/>
              <w:color w:val="auto"/>
              <w:sz w:val="22"/>
              <w:szCs w:val="28"/>
              <w:highlight w:val="none"/>
            </w:rPr>
            <w:t>36</w:t>
          </w:r>
          <w:r>
            <w:rPr>
              <w:rFonts w:hint="eastAsia" w:ascii="新宋体" w:hAnsi="新宋体" w:eastAsia="新宋体" w:cs="新宋体"/>
              <w:color w:val="auto"/>
              <w:sz w:val="22"/>
              <w:szCs w:val="28"/>
              <w:highlight w:val="none"/>
            </w:rPr>
            <w:fldChar w:fldCharType="end"/>
          </w:r>
          <w:r>
            <w:rPr>
              <w:rFonts w:hint="eastAsia" w:ascii="新宋体" w:hAnsi="新宋体" w:eastAsia="新宋体" w:cs="新宋体"/>
              <w:color w:val="auto"/>
              <w:sz w:val="22"/>
              <w:szCs w:val="28"/>
              <w:highlight w:val="none"/>
            </w:rPr>
            <w:fldChar w:fldCharType="end"/>
          </w:r>
        </w:p>
        <w:p w14:paraId="1FE45174">
          <w:pPr>
            <w:pStyle w:val="38"/>
            <w:tabs>
              <w:tab w:val="right" w:leader="dot" w:pos="9638"/>
            </w:tabs>
            <w:spacing w:line="360" w:lineRule="auto"/>
            <w:rPr>
              <w:rFonts w:hint="eastAsia" w:ascii="新宋体" w:hAnsi="新宋体" w:eastAsia="新宋体" w:cs="新宋体"/>
              <w:color w:val="auto"/>
              <w:sz w:val="22"/>
              <w:szCs w:val="28"/>
              <w:highlight w:val="none"/>
            </w:rPr>
          </w:pP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HYPERLINK \l "_Toc3381"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sz w:val="22"/>
              <w:szCs w:val="28"/>
              <w:highlight w:val="none"/>
            </w:rPr>
            <w:t>第四部分</w:t>
          </w:r>
          <w:r>
            <w:rPr>
              <w:rFonts w:hint="eastAsia" w:ascii="新宋体" w:hAnsi="新宋体" w:eastAsia="新宋体" w:cs="新宋体"/>
              <w:color w:val="auto"/>
              <w:sz w:val="22"/>
              <w:szCs w:val="28"/>
              <w:highlight w:val="none"/>
              <w:lang w:val="en-US" w:eastAsia="zh-CN"/>
            </w:rPr>
            <w:t xml:space="preserve">   </w:t>
          </w:r>
          <w:r>
            <w:rPr>
              <w:rFonts w:hint="eastAsia" w:ascii="新宋体" w:hAnsi="新宋体" w:eastAsia="新宋体" w:cs="新宋体"/>
              <w:color w:val="auto"/>
              <w:sz w:val="22"/>
              <w:szCs w:val="28"/>
              <w:highlight w:val="none"/>
            </w:rPr>
            <w:t>项目技术规范和服务要求</w:t>
          </w:r>
          <w:r>
            <w:rPr>
              <w:rFonts w:hint="eastAsia" w:ascii="新宋体" w:hAnsi="新宋体" w:eastAsia="新宋体" w:cs="新宋体"/>
              <w:color w:val="auto"/>
              <w:sz w:val="22"/>
              <w:szCs w:val="28"/>
              <w:highlight w:val="none"/>
            </w:rPr>
            <w:tab/>
          </w:r>
          <w:r>
            <w:rPr>
              <w:rFonts w:hint="eastAsia" w:ascii="新宋体" w:hAnsi="新宋体" w:eastAsia="新宋体" w:cs="新宋体"/>
              <w:color w:val="auto"/>
              <w:sz w:val="22"/>
              <w:szCs w:val="28"/>
              <w:highlight w:val="none"/>
            </w:rPr>
            <w:fldChar w:fldCharType="begin"/>
          </w:r>
          <w:r>
            <w:rPr>
              <w:rFonts w:hint="eastAsia" w:ascii="新宋体" w:hAnsi="新宋体" w:eastAsia="新宋体" w:cs="新宋体"/>
              <w:color w:val="auto"/>
              <w:sz w:val="22"/>
              <w:szCs w:val="28"/>
              <w:highlight w:val="none"/>
            </w:rPr>
            <w:instrText xml:space="preserve"> PAGEREF _Toc3381 \h </w:instrText>
          </w:r>
          <w:r>
            <w:rPr>
              <w:rFonts w:hint="eastAsia" w:ascii="新宋体" w:hAnsi="新宋体" w:eastAsia="新宋体" w:cs="新宋体"/>
              <w:color w:val="auto"/>
              <w:sz w:val="22"/>
              <w:szCs w:val="28"/>
              <w:highlight w:val="none"/>
            </w:rPr>
            <w:fldChar w:fldCharType="separate"/>
          </w:r>
          <w:r>
            <w:rPr>
              <w:rFonts w:hint="eastAsia" w:ascii="新宋体" w:hAnsi="新宋体" w:eastAsia="新宋体" w:cs="新宋体"/>
              <w:color w:val="auto"/>
              <w:sz w:val="22"/>
              <w:szCs w:val="28"/>
              <w:highlight w:val="none"/>
            </w:rPr>
            <w:t>43</w:t>
          </w:r>
          <w:r>
            <w:rPr>
              <w:rFonts w:hint="eastAsia" w:ascii="新宋体" w:hAnsi="新宋体" w:eastAsia="新宋体" w:cs="新宋体"/>
              <w:color w:val="auto"/>
              <w:sz w:val="22"/>
              <w:szCs w:val="28"/>
              <w:highlight w:val="none"/>
            </w:rPr>
            <w:fldChar w:fldCharType="end"/>
          </w:r>
          <w:r>
            <w:rPr>
              <w:rFonts w:hint="eastAsia" w:ascii="新宋体" w:hAnsi="新宋体" w:eastAsia="新宋体" w:cs="新宋体"/>
              <w:color w:val="auto"/>
              <w:sz w:val="22"/>
              <w:szCs w:val="28"/>
              <w:highlight w:val="none"/>
            </w:rPr>
            <w:fldChar w:fldCharType="end"/>
          </w:r>
        </w:p>
        <w:p w14:paraId="788121E2">
          <w:pPr>
            <w:pStyle w:val="38"/>
            <w:tabs>
              <w:tab w:val="right" w:leader="dot" w:pos="9638"/>
            </w:tabs>
            <w:spacing w:line="360" w:lineRule="auto"/>
            <w:rPr>
              <w:rFonts w:hint="eastAsia" w:ascii="新宋体" w:hAnsi="新宋体" w:eastAsia="新宋体" w:cs="新宋体"/>
              <w:color w:val="auto"/>
              <w:sz w:val="22"/>
              <w:szCs w:val="28"/>
              <w:highlight w:val="none"/>
            </w:rPr>
          </w:pP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HYPERLINK \l "_Toc18194"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sz w:val="22"/>
              <w:szCs w:val="28"/>
              <w:highlight w:val="none"/>
            </w:rPr>
            <w:t>第五部分</w:t>
          </w:r>
          <w:r>
            <w:rPr>
              <w:rFonts w:hint="eastAsia" w:ascii="新宋体" w:hAnsi="新宋体" w:eastAsia="新宋体" w:cs="新宋体"/>
              <w:color w:val="auto"/>
              <w:sz w:val="22"/>
              <w:szCs w:val="28"/>
              <w:highlight w:val="none"/>
              <w:lang w:val="en-US" w:eastAsia="zh-CN"/>
            </w:rPr>
            <w:t xml:space="preserve">   </w:t>
          </w:r>
          <w:r>
            <w:rPr>
              <w:rFonts w:hint="eastAsia" w:ascii="新宋体" w:hAnsi="新宋体" w:eastAsia="新宋体" w:cs="新宋体"/>
              <w:color w:val="auto"/>
              <w:sz w:val="22"/>
              <w:szCs w:val="28"/>
              <w:highlight w:val="none"/>
            </w:rPr>
            <w:t>评标原则及方法</w:t>
          </w:r>
          <w:r>
            <w:rPr>
              <w:rFonts w:hint="eastAsia" w:ascii="新宋体" w:hAnsi="新宋体" w:eastAsia="新宋体" w:cs="新宋体"/>
              <w:color w:val="auto"/>
              <w:sz w:val="22"/>
              <w:szCs w:val="28"/>
              <w:highlight w:val="none"/>
            </w:rPr>
            <w:tab/>
          </w:r>
          <w:r>
            <w:rPr>
              <w:rFonts w:hint="eastAsia" w:ascii="新宋体" w:hAnsi="新宋体" w:eastAsia="新宋体" w:cs="新宋体"/>
              <w:color w:val="auto"/>
              <w:sz w:val="22"/>
              <w:szCs w:val="28"/>
              <w:highlight w:val="none"/>
            </w:rPr>
            <w:fldChar w:fldCharType="begin"/>
          </w:r>
          <w:r>
            <w:rPr>
              <w:rFonts w:hint="eastAsia" w:ascii="新宋体" w:hAnsi="新宋体" w:eastAsia="新宋体" w:cs="新宋体"/>
              <w:color w:val="auto"/>
              <w:sz w:val="22"/>
              <w:szCs w:val="28"/>
              <w:highlight w:val="none"/>
            </w:rPr>
            <w:instrText xml:space="preserve"> PAGEREF _Toc18194 \h </w:instrText>
          </w:r>
          <w:r>
            <w:rPr>
              <w:rFonts w:hint="eastAsia" w:ascii="新宋体" w:hAnsi="新宋体" w:eastAsia="新宋体" w:cs="新宋体"/>
              <w:color w:val="auto"/>
              <w:sz w:val="22"/>
              <w:szCs w:val="28"/>
              <w:highlight w:val="none"/>
            </w:rPr>
            <w:fldChar w:fldCharType="separate"/>
          </w:r>
          <w:r>
            <w:rPr>
              <w:rFonts w:hint="eastAsia" w:ascii="新宋体" w:hAnsi="新宋体" w:eastAsia="新宋体" w:cs="新宋体"/>
              <w:color w:val="auto"/>
              <w:sz w:val="22"/>
              <w:szCs w:val="28"/>
              <w:highlight w:val="none"/>
            </w:rPr>
            <w:t>43</w:t>
          </w:r>
          <w:r>
            <w:rPr>
              <w:rFonts w:hint="eastAsia" w:ascii="新宋体" w:hAnsi="新宋体" w:eastAsia="新宋体" w:cs="新宋体"/>
              <w:color w:val="auto"/>
              <w:sz w:val="22"/>
              <w:szCs w:val="28"/>
              <w:highlight w:val="none"/>
            </w:rPr>
            <w:fldChar w:fldCharType="end"/>
          </w:r>
          <w:r>
            <w:rPr>
              <w:rFonts w:hint="eastAsia" w:ascii="新宋体" w:hAnsi="新宋体" w:eastAsia="新宋体" w:cs="新宋体"/>
              <w:color w:val="auto"/>
              <w:sz w:val="22"/>
              <w:szCs w:val="28"/>
              <w:highlight w:val="none"/>
            </w:rPr>
            <w:fldChar w:fldCharType="end"/>
          </w:r>
        </w:p>
        <w:p w14:paraId="58D1AF58">
          <w:pPr>
            <w:pStyle w:val="45"/>
            <w:tabs>
              <w:tab w:val="right" w:leader="dot" w:pos="9638"/>
            </w:tabs>
            <w:spacing w:line="360" w:lineRule="auto"/>
            <w:rPr>
              <w:rFonts w:hint="eastAsia" w:ascii="新宋体" w:hAnsi="新宋体" w:eastAsia="新宋体" w:cs="新宋体"/>
              <w:color w:val="auto"/>
              <w:sz w:val="22"/>
              <w:szCs w:val="28"/>
              <w:highlight w:val="none"/>
            </w:rPr>
          </w:pP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HYPERLINK \l "_Toc15713"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sz w:val="22"/>
              <w:highlight w:val="none"/>
            </w:rPr>
            <w:t>一、总 则</w:t>
          </w:r>
          <w:r>
            <w:rPr>
              <w:rFonts w:hint="eastAsia" w:ascii="新宋体" w:hAnsi="新宋体" w:eastAsia="新宋体" w:cs="新宋体"/>
              <w:color w:val="auto"/>
              <w:sz w:val="22"/>
              <w:szCs w:val="28"/>
              <w:highlight w:val="none"/>
            </w:rPr>
            <w:tab/>
          </w:r>
          <w:r>
            <w:rPr>
              <w:rFonts w:hint="eastAsia" w:ascii="新宋体" w:hAnsi="新宋体" w:eastAsia="新宋体" w:cs="新宋体"/>
              <w:color w:val="auto"/>
              <w:sz w:val="22"/>
              <w:szCs w:val="28"/>
              <w:highlight w:val="none"/>
            </w:rPr>
            <w:fldChar w:fldCharType="begin"/>
          </w:r>
          <w:r>
            <w:rPr>
              <w:rFonts w:hint="eastAsia" w:ascii="新宋体" w:hAnsi="新宋体" w:eastAsia="新宋体" w:cs="新宋体"/>
              <w:color w:val="auto"/>
              <w:sz w:val="22"/>
              <w:szCs w:val="28"/>
              <w:highlight w:val="none"/>
            </w:rPr>
            <w:instrText xml:space="preserve"> PAGEREF _Toc15713 \h </w:instrText>
          </w:r>
          <w:r>
            <w:rPr>
              <w:rFonts w:hint="eastAsia" w:ascii="新宋体" w:hAnsi="新宋体" w:eastAsia="新宋体" w:cs="新宋体"/>
              <w:color w:val="auto"/>
              <w:sz w:val="22"/>
              <w:szCs w:val="28"/>
              <w:highlight w:val="none"/>
            </w:rPr>
            <w:fldChar w:fldCharType="separate"/>
          </w:r>
          <w:r>
            <w:rPr>
              <w:rFonts w:hint="eastAsia" w:ascii="新宋体" w:hAnsi="新宋体" w:eastAsia="新宋体" w:cs="新宋体"/>
              <w:color w:val="auto"/>
              <w:sz w:val="22"/>
              <w:szCs w:val="28"/>
              <w:highlight w:val="none"/>
            </w:rPr>
            <w:t>50</w:t>
          </w:r>
          <w:r>
            <w:rPr>
              <w:rFonts w:hint="eastAsia" w:ascii="新宋体" w:hAnsi="新宋体" w:eastAsia="新宋体" w:cs="新宋体"/>
              <w:color w:val="auto"/>
              <w:sz w:val="22"/>
              <w:szCs w:val="28"/>
              <w:highlight w:val="none"/>
            </w:rPr>
            <w:fldChar w:fldCharType="end"/>
          </w:r>
          <w:r>
            <w:rPr>
              <w:rFonts w:hint="eastAsia" w:ascii="新宋体" w:hAnsi="新宋体" w:eastAsia="新宋体" w:cs="新宋体"/>
              <w:color w:val="auto"/>
              <w:sz w:val="22"/>
              <w:szCs w:val="28"/>
              <w:highlight w:val="none"/>
            </w:rPr>
            <w:fldChar w:fldCharType="end"/>
          </w:r>
        </w:p>
        <w:p w14:paraId="1D0BAF06">
          <w:pPr>
            <w:pStyle w:val="45"/>
            <w:tabs>
              <w:tab w:val="right" w:leader="dot" w:pos="9638"/>
            </w:tabs>
            <w:spacing w:line="360" w:lineRule="auto"/>
            <w:rPr>
              <w:rFonts w:hint="eastAsia" w:ascii="新宋体" w:hAnsi="新宋体" w:eastAsia="新宋体" w:cs="新宋体"/>
              <w:color w:val="auto"/>
              <w:sz w:val="22"/>
              <w:szCs w:val="28"/>
              <w:highlight w:val="none"/>
            </w:rPr>
          </w:pP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HYPERLINK \l "_Toc23152"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sz w:val="22"/>
              <w:highlight w:val="none"/>
            </w:rPr>
            <w:t>二、评标组织</w:t>
          </w:r>
          <w:r>
            <w:rPr>
              <w:rFonts w:hint="eastAsia" w:ascii="新宋体" w:hAnsi="新宋体" w:eastAsia="新宋体" w:cs="新宋体"/>
              <w:color w:val="auto"/>
              <w:sz w:val="22"/>
              <w:szCs w:val="28"/>
              <w:highlight w:val="none"/>
            </w:rPr>
            <w:tab/>
          </w:r>
          <w:r>
            <w:rPr>
              <w:rFonts w:hint="eastAsia" w:ascii="新宋体" w:hAnsi="新宋体" w:eastAsia="新宋体" w:cs="新宋体"/>
              <w:color w:val="auto"/>
              <w:sz w:val="22"/>
              <w:szCs w:val="28"/>
              <w:highlight w:val="none"/>
            </w:rPr>
            <w:fldChar w:fldCharType="begin"/>
          </w:r>
          <w:r>
            <w:rPr>
              <w:rFonts w:hint="eastAsia" w:ascii="新宋体" w:hAnsi="新宋体" w:eastAsia="新宋体" w:cs="新宋体"/>
              <w:color w:val="auto"/>
              <w:sz w:val="22"/>
              <w:szCs w:val="28"/>
              <w:highlight w:val="none"/>
            </w:rPr>
            <w:instrText xml:space="preserve"> PAGEREF _Toc23152 \h </w:instrText>
          </w:r>
          <w:r>
            <w:rPr>
              <w:rFonts w:hint="eastAsia" w:ascii="新宋体" w:hAnsi="新宋体" w:eastAsia="新宋体" w:cs="新宋体"/>
              <w:color w:val="auto"/>
              <w:sz w:val="22"/>
              <w:szCs w:val="28"/>
              <w:highlight w:val="none"/>
            </w:rPr>
            <w:fldChar w:fldCharType="separate"/>
          </w:r>
          <w:r>
            <w:rPr>
              <w:rFonts w:hint="eastAsia" w:ascii="新宋体" w:hAnsi="新宋体" w:eastAsia="新宋体" w:cs="新宋体"/>
              <w:color w:val="auto"/>
              <w:sz w:val="22"/>
              <w:szCs w:val="28"/>
              <w:highlight w:val="none"/>
            </w:rPr>
            <w:t>50</w:t>
          </w:r>
          <w:r>
            <w:rPr>
              <w:rFonts w:hint="eastAsia" w:ascii="新宋体" w:hAnsi="新宋体" w:eastAsia="新宋体" w:cs="新宋体"/>
              <w:color w:val="auto"/>
              <w:sz w:val="22"/>
              <w:szCs w:val="28"/>
              <w:highlight w:val="none"/>
            </w:rPr>
            <w:fldChar w:fldCharType="end"/>
          </w:r>
          <w:r>
            <w:rPr>
              <w:rFonts w:hint="eastAsia" w:ascii="新宋体" w:hAnsi="新宋体" w:eastAsia="新宋体" w:cs="新宋体"/>
              <w:color w:val="auto"/>
              <w:sz w:val="22"/>
              <w:szCs w:val="28"/>
              <w:highlight w:val="none"/>
            </w:rPr>
            <w:fldChar w:fldCharType="end"/>
          </w:r>
        </w:p>
        <w:p w14:paraId="495AEFFE">
          <w:pPr>
            <w:pStyle w:val="45"/>
            <w:tabs>
              <w:tab w:val="right" w:leader="dot" w:pos="9638"/>
            </w:tabs>
            <w:spacing w:line="360" w:lineRule="auto"/>
            <w:rPr>
              <w:rFonts w:hint="eastAsia" w:ascii="新宋体" w:hAnsi="新宋体" w:eastAsia="新宋体" w:cs="新宋体"/>
              <w:color w:val="auto"/>
              <w:sz w:val="22"/>
              <w:szCs w:val="28"/>
              <w:highlight w:val="none"/>
            </w:rPr>
          </w:pP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HYPERLINK \l "_Toc67"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sz w:val="22"/>
              <w:highlight w:val="none"/>
            </w:rPr>
            <w:t>三、评标程序</w:t>
          </w:r>
          <w:r>
            <w:rPr>
              <w:rFonts w:hint="eastAsia" w:ascii="新宋体" w:hAnsi="新宋体" w:eastAsia="新宋体" w:cs="新宋体"/>
              <w:color w:val="auto"/>
              <w:sz w:val="22"/>
              <w:szCs w:val="28"/>
              <w:highlight w:val="none"/>
            </w:rPr>
            <w:tab/>
          </w:r>
          <w:r>
            <w:rPr>
              <w:rFonts w:hint="eastAsia" w:ascii="新宋体" w:hAnsi="新宋体" w:eastAsia="新宋体" w:cs="新宋体"/>
              <w:color w:val="auto"/>
              <w:sz w:val="22"/>
              <w:szCs w:val="28"/>
              <w:highlight w:val="none"/>
            </w:rPr>
            <w:fldChar w:fldCharType="begin"/>
          </w:r>
          <w:r>
            <w:rPr>
              <w:rFonts w:hint="eastAsia" w:ascii="新宋体" w:hAnsi="新宋体" w:eastAsia="新宋体" w:cs="新宋体"/>
              <w:color w:val="auto"/>
              <w:sz w:val="22"/>
              <w:szCs w:val="28"/>
              <w:highlight w:val="none"/>
            </w:rPr>
            <w:instrText xml:space="preserve"> PAGEREF _Toc67 \h </w:instrText>
          </w:r>
          <w:r>
            <w:rPr>
              <w:rFonts w:hint="eastAsia" w:ascii="新宋体" w:hAnsi="新宋体" w:eastAsia="新宋体" w:cs="新宋体"/>
              <w:color w:val="auto"/>
              <w:sz w:val="22"/>
              <w:szCs w:val="28"/>
              <w:highlight w:val="none"/>
            </w:rPr>
            <w:fldChar w:fldCharType="separate"/>
          </w:r>
          <w:r>
            <w:rPr>
              <w:rFonts w:hint="eastAsia" w:ascii="新宋体" w:hAnsi="新宋体" w:eastAsia="新宋体" w:cs="新宋体"/>
              <w:color w:val="auto"/>
              <w:sz w:val="22"/>
              <w:szCs w:val="28"/>
              <w:highlight w:val="none"/>
            </w:rPr>
            <w:t>50</w:t>
          </w:r>
          <w:r>
            <w:rPr>
              <w:rFonts w:hint="eastAsia" w:ascii="新宋体" w:hAnsi="新宋体" w:eastAsia="新宋体" w:cs="新宋体"/>
              <w:color w:val="auto"/>
              <w:sz w:val="22"/>
              <w:szCs w:val="28"/>
              <w:highlight w:val="none"/>
            </w:rPr>
            <w:fldChar w:fldCharType="end"/>
          </w:r>
          <w:r>
            <w:rPr>
              <w:rFonts w:hint="eastAsia" w:ascii="新宋体" w:hAnsi="新宋体" w:eastAsia="新宋体" w:cs="新宋体"/>
              <w:color w:val="auto"/>
              <w:sz w:val="22"/>
              <w:szCs w:val="28"/>
              <w:highlight w:val="none"/>
            </w:rPr>
            <w:fldChar w:fldCharType="end"/>
          </w:r>
        </w:p>
        <w:p w14:paraId="4F72C3D7">
          <w:pPr>
            <w:pStyle w:val="45"/>
            <w:tabs>
              <w:tab w:val="right" w:leader="dot" w:pos="9638"/>
            </w:tabs>
            <w:spacing w:line="360" w:lineRule="auto"/>
            <w:rPr>
              <w:rFonts w:hint="eastAsia" w:ascii="新宋体" w:hAnsi="新宋体" w:eastAsia="新宋体" w:cs="新宋体"/>
              <w:color w:val="auto"/>
              <w:sz w:val="22"/>
              <w:szCs w:val="28"/>
              <w:highlight w:val="none"/>
            </w:rPr>
          </w:pP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HYPERLINK \l "_Toc24825"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sz w:val="22"/>
              <w:highlight w:val="none"/>
            </w:rPr>
            <w:t>四、评标办法</w:t>
          </w:r>
          <w:r>
            <w:rPr>
              <w:rFonts w:hint="eastAsia" w:ascii="新宋体" w:hAnsi="新宋体" w:eastAsia="新宋体" w:cs="新宋体"/>
              <w:color w:val="auto"/>
              <w:sz w:val="22"/>
              <w:szCs w:val="28"/>
              <w:highlight w:val="none"/>
            </w:rPr>
            <w:tab/>
          </w:r>
          <w:r>
            <w:rPr>
              <w:rFonts w:hint="eastAsia" w:ascii="新宋体" w:hAnsi="新宋体" w:eastAsia="新宋体" w:cs="新宋体"/>
              <w:color w:val="auto"/>
              <w:sz w:val="22"/>
              <w:szCs w:val="28"/>
              <w:highlight w:val="none"/>
            </w:rPr>
            <w:fldChar w:fldCharType="begin"/>
          </w:r>
          <w:r>
            <w:rPr>
              <w:rFonts w:hint="eastAsia" w:ascii="新宋体" w:hAnsi="新宋体" w:eastAsia="新宋体" w:cs="新宋体"/>
              <w:color w:val="auto"/>
              <w:sz w:val="22"/>
              <w:szCs w:val="28"/>
              <w:highlight w:val="none"/>
            </w:rPr>
            <w:instrText xml:space="preserve"> PAGEREF _Toc24825 \h </w:instrText>
          </w:r>
          <w:r>
            <w:rPr>
              <w:rFonts w:hint="eastAsia" w:ascii="新宋体" w:hAnsi="新宋体" w:eastAsia="新宋体" w:cs="新宋体"/>
              <w:color w:val="auto"/>
              <w:sz w:val="22"/>
              <w:szCs w:val="28"/>
              <w:highlight w:val="none"/>
            </w:rPr>
            <w:fldChar w:fldCharType="separate"/>
          </w:r>
          <w:r>
            <w:rPr>
              <w:rFonts w:hint="eastAsia" w:ascii="新宋体" w:hAnsi="新宋体" w:eastAsia="新宋体" w:cs="新宋体"/>
              <w:color w:val="auto"/>
              <w:sz w:val="22"/>
              <w:szCs w:val="28"/>
              <w:highlight w:val="none"/>
            </w:rPr>
            <w:t>50</w:t>
          </w:r>
          <w:r>
            <w:rPr>
              <w:rFonts w:hint="eastAsia" w:ascii="新宋体" w:hAnsi="新宋体" w:eastAsia="新宋体" w:cs="新宋体"/>
              <w:color w:val="auto"/>
              <w:sz w:val="22"/>
              <w:szCs w:val="28"/>
              <w:highlight w:val="none"/>
            </w:rPr>
            <w:fldChar w:fldCharType="end"/>
          </w:r>
          <w:r>
            <w:rPr>
              <w:rFonts w:hint="eastAsia" w:ascii="新宋体" w:hAnsi="新宋体" w:eastAsia="新宋体" w:cs="新宋体"/>
              <w:color w:val="auto"/>
              <w:sz w:val="22"/>
              <w:szCs w:val="28"/>
              <w:highlight w:val="none"/>
            </w:rPr>
            <w:fldChar w:fldCharType="end"/>
          </w:r>
        </w:p>
        <w:p w14:paraId="652A0E73">
          <w:pPr>
            <w:pStyle w:val="45"/>
            <w:tabs>
              <w:tab w:val="right" w:leader="dot" w:pos="9638"/>
            </w:tabs>
            <w:spacing w:line="360" w:lineRule="auto"/>
            <w:rPr>
              <w:rFonts w:hint="eastAsia" w:ascii="新宋体" w:hAnsi="新宋体" w:eastAsia="新宋体" w:cs="新宋体"/>
              <w:color w:val="auto"/>
              <w:sz w:val="22"/>
              <w:szCs w:val="28"/>
              <w:highlight w:val="none"/>
            </w:rPr>
          </w:pP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HYPERLINK \l "_Toc11450"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sz w:val="22"/>
              <w:highlight w:val="none"/>
            </w:rPr>
            <w:t>五、评分细则</w:t>
          </w:r>
          <w:r>
            <w:rPr>
              <w:rFonts w:hint="eastAsia" w:ascii="新宋体" w:hAnsi="新宋体" w:eastAsia="新宋体" w:cs="新宋体"/>
              <w:color w:val="auto"/>
              <w:sz w:val="22"/>
              <w:szCs w:val="28"/>
              <w:highlight w:val="none"/>
            </w:rPr>
            <w:tab/>
          </w:r>
          <w:r>
            <w:rPr>
              <w:rFonts w:hint="eastAsia" w:ascii="新宋体" w:hAnsi="新宋体" w:eastAsia="新宋体" w:cs="新宋体"/>
              <w:color w:val="auto"/>
              <w:sz w:val="22"/>
              <w:szCs w:val="28"/>
              <w:highlight w:val="none"/>
            </w:rPr>
            <w:fldChar w:fldCharType="begin"/>
          </w:r>
          <w:r>
            <w:rPr>
              <w:rFonts w:hint="eastAsia" w:ascii="新宋体" w:hAnsi="新宋体" w:eastAsia="新宋体" w:cs="新宋体"/>
              <w:color w:val="auto"/>
              <w:sz w:val="22"/>
              <w:szCs w:val="28"/>
              <w:highlight w:val="none"/>
            </w:rPr>
            <w:instrText xml:space="preserve"> PAGEREF _Toc11450 \h </w:instrText>
          </w:r>
          <w:r>
            <w:rPr>
              <w:rFonts w:hint="eastAsia" w:ascii="新宋体" w:hAnsi="新宋体" w:eastAsia="新宋体" w:cs="新宋体"/>
              <w:color w:val="auto"/>
              <w:sz w:val="22"/>
              <w:szCs w:val="28"/>
              <w:highlight w:val="none"/>
            </w:rPr>
            <w:fldChar w:fldCharType="separate"/>
          </w:r>
          <w:r>
            <w:rPr>
              <w:rFonts w:hint="eastAsia" w:ascii="新宋体" w:hAnsi="新宋体" w:eastAsia="新宋体" w:cs="新宋体"/>
              <w:color w:val="auto"/>
              <w:sz w:val="22"/>
              <w:szCs w:val="28"/>
              <w:highlight w:val="none"/>
            </w:rPr>
            <w:t>50</w:t>
          </w:r>
          <w:r>
            <w:rPr>
              <w:rFonts w:hint="eastAsia" w:ascii="新宋体" w:hAnsi="新宋体" w:eastAsia="新宋体" w:cs="新宋体"/>
              <w:color w:val="auto"/>
              <w:sz w:val="22"/>
              <w:szCs w:val="28"/>
              <w:highlight w:val="none"/>
            </w:rPr>
            <w:fldChar w:fldCharType="end"/>
          </w:r>
          <w:r>
            <w:rPr>
              <w:rFonts w:hint="eastAsia" w:ascii="新宋体" w:hAnsi="新宋体" w:eastAsia="新宋体" w:cs="新宋体"/>
              <w:color w:val="auto"/>
              <w:sz w:val="22"/>
              <w:szCs w:val="28"/>
              <w:highlight w:val="none"/>
            </w:rPr>
            <w:fldChar w:fldCharType="end"/>
          </w:r>
        </w:p>
        <w:p w14:paraId="4C6F31AB">
          <w:pPr>
            <w:pStyle w:val="45"/>
            <w:tabs>
              <w:tab w:val="right" w:leader="dot" w:pos="9638"/>
            </w:tabs>
            <w:spacing w:line="360" w:lineRule="auto"/>
            <w:rPr>
              <w:rFonts w:hint="eastAsia" w:ascii="新宋体" w:hAnsi="新宋体" w:eastAsia="新宋体" w:cs="新宋体"/>
              <w:color w:val="auto"/>
              <w:sz w:val="22"/>
              <w:szCs w:val="28"/>
              <w:highlight w:val="none"/>
            </w:rPr>
          </w:pP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HYPERLINK \l "_Toc4727" </w:instrText>
          </w:r>
          <w:r>
            <w:rPr>
              <w:rFonts w:hint="eastAsia" w:ascii="新宋体" w:hAnsi="新宋体" w:eastAsia="新宋体" w:cs="新宋体"/>
              <w:color w:val="auto"/>
              <w:highlight w:val="none"/>
            </w:rPr>
            <w:fldChar w:fldCharType="separate"/>
          </w:r>
          <w:r>
            <w:rPr>
              <w:rFonts w:hint="eastAsia" w:ascii="新宋体" w:hAnsi="新宋体" w:eastAsia="新宋体" w:cs="新宋体"/>
              <w:bCs/>
              <w:color w:val="auto"/>
              <w:sz w:val="22"/>
              <w:highlight w:val="none"/>
            </w:rPr>
            <w:t>六、定标办法</w:t>
          </w:r>
          <w:r>
            <w:rPr>
              <w:rFonts w:hint="eastAsia" w:ascii="新宋体" w:hAnsi="新宋体" w:eastAsia="新宋体" w:cs="新宋体"/>
              <w:color w:val="auto"/>
              <w:sz w:val="22"/>
              <w:szCs w:val="28"/>
              <w:highlight w:val="none"/>
            </w:rPr>
            <w:tab/>
          </w:r>
          <w:r>
            <w:rPr>
              <w:rFonts w:hint="eastAsia" w:ascii="新宋体" w:hAnsi="新宋体" w:eastAsia="新宋体" w:cs="新宋体"/>
              <w:color w:val="auto"/>
              <w:sz w:val="22"/>
              <w:szCs w:val="28"/>
              <w:highlight w:val="none"/>
            </w:rPr>
            <w:fldChar w:fldCharType="begin"/>
          </w:r>
          <w:r>
            <w:rPr>
              <w:rFonts w:hint="eastAsia" w:ascii="新宋体" w:hAnsi="新宋体" w:eastAsia="新宋体" w:cs="新宋体"/>
              <w:color w:val="auto"/>
              <w:sz w:val="22"/>
              <w:szCs w:val="28"/>
              <w:highlight w:val="none"/>
            </w:rPr>
            <w:instrText xml:space="preserve"> PAGEREF _Toc4727 \h </w:instrText>
          </w:r>
          <w:r>
            <w:rPr>
              <w:rFonts w:hint="eastAsia" w:ascii="新宋体" w:hAnsi="新宋体" w:eastAsia="新宋体" w:cs="新宋体"/>
              <w:color w:val="auto"/>
              <w:sz w:val="22"/>
              <w:szCs w:val="28"/>
              <w:highlight w:val="none"/>
            </w:rPr>
            <w:fldChar w:fldCharType="separate"/>
          </w:r>
          <w:r>
            <w:rPr>
              <w:rFonts w:hint="eastAsia" w:ascii="新宋体" w:hAnsi="新宋体" w:eastAsia="新宋体" w:cs="新宋体"/>
              <w:color w:val="auto"/>
              <w:sz w:val="22"/>
              <w:szCs w:val="28"/>
              <w:highlight w:val="none"/>
            </w:rPr>
            <w:t>53</w:t>
          </w:r>
          <w:r>
            <w:rPr>
              <w:rFonts w:hint="eastAsia" w:ascii="新宋体" w:hAnsi="新宋体" w:eastAsia="新宋体" w:cs="新宋体"/>
              <w:color w:val="auto"/>
              <w:sz w:val="22"/>
              <w:szCs w:val="28"/>
              <w:highlight w:val="none"/>
            </w:rPr>
            <w:fldChar w:fldCharType="end"/>
          </w:r>
          <w:r>
            <w:rPr>
              <w:rFonts w:hint="eastAsia" w:ascii="新宋体" w:hAnsi="新宋体" w:eastAsia="新宋体" w:cs="新宋体"/>
              <w:color w:val="auto"/>
              <w:sz w:val="22"/>
              <w:szCs w:val="28"/>
              <w:highlight w:val="none"/>
            </w:rPr>
            <w:fldChar w:fldCharType="end"/>
          </w:r>
        </w:p>
        <w:p w14:paraId="10FA39B5">
          <w:pPr>
            <w:pStyle w:val="45"/>
            <w:tabs>
              <w:tab w:val="right" w:leader="dot" w:pos="9638"/>
            </w:tabs>
            <w:spacing w:line="360" w:lineRule="auto"/>
            <w:rPr>
              <w:rFonts w:hint="eastAsia" w:ascii="新宋体" w:hAnsi="新宋体" w:eastAsia="新宋体" w:cs="新宋体"/>
              <w:color w:val="auto"/>
              <w:sz w:val="22"/>
              <w:szCs w:val="28"/>
              <w:highlight w:val="none"/>
            </w:rPr>
          </w:pP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HYPERLINK \l "_Toc3629"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sz w:val="22"/>
              <w:highlight w:val="none"/>
            </w:rPr>
            <w:t>七、投标人义务</w:t>
          </w:r>
          <w:r>
            <w:rPr>
              <w:rFonts w:hint="eastAsia" w:ascii="新宋体" w:hAnsi="新宋体" w:eastAsia="新宋体" w:cs="新宋体"/>
              <w:color w:val="auto"/>
              <w:sz w:val="22"/>
              <w:szCs w:val="28"/>
              <w:highlight w:val="none"/>
            </w:rPr>
            <w:tab/>
          </w:r>
          <w:r>
            <w:rPr>
              <w:rFonts w:hint="eastAsia" w:ascii="新宋体" w:hAnsi="新宋体" w:eastAsia="新宋体" w:cs="新宋体"/>
              <w:color w:val="auto"/>
              <w:sz w:val="22"/>
              <w:szCs w:val="28"/>
              <w:highlight w:val="none"/>
            </w:rPr>
            <w:fldChar w:fldCharType="begin"/>
          </w:r>
          <w:r>
            <w:rPr>
              <w:rFonts w:hint="eastAsia" w:ascii="新宋体" w:hAnsi="新宋体" w:eastAsia="新宋体" w:cs="新宋体"/>
              <w:color w:val="auto"/>
              <w:sz w:val="22"/>
              <w:szCs w:val="28"/>
              <w:highlight w:val="none"/>
            </w:rPr>
            <w:instrText xml:space="preserve"> PAGEREF _Toc3629 \h </w:instrText>
          </w:r>
          <w:r>
            <w:rPr>
              <w:rFonts w:hint="eastAsia" w:ascii="新宋体" w:hAnsi="新宋体" w:eastAsia="新宋体" w:cs="新宋体"/>
              <w:color w:val="auto"/>
              <w:sz w:val="22"/>
              <w:szCs w:val="28"/>
              <w:highlight w:val="none"/>
            </w:rPr>
            <w:fldChar w:fldCharType="separate"/>
          </w:r>
          <w:r>
            <w:rPr>
              <w:rFonts w:hint="eastAsia" w:ascii="新宋体" w:hAnsi="新宋体" w:eastAsia="新宋体" w:cs="新宋体"/>
              <w:color w:val="auto"/>
              <w:sz w:val="22"/>
              <w:szCs w:val="28"/>
              <w:highlight w:val="none"/>
            </w:rPr>
            <w:t>53</w:t>
          </w:r>
          <w:r>
            <w:rPr>
              <w:rFonts w:hint="eastAsia" w:ascii="新宋体" w:hAnsi="新宋体" w:eastAsia="新宋体" w:cs="新宋体"/>
              <w:color w:val="auto"/>
              <w:sz w:val="22"/>
              <w:szCs w:val="28"/>
              <w:highlight w:val="none"/>
            </w:rPr>
            <w:fldChar w:fldCharType="end"/>
          </w:r>
          <w:r>
            <w:rPr>
              <w:rFonts w:hint="eastAsia" w:ascii="新宋体" w:hAnsi="新宋体" w:eastAsia="新宋体" w:cs="新宋体"/>
              <w:color w:val="auto"/>
              <w:sz w:val="22"/>
              <w:szCs w:val="28"/>
              <w:highlight w:val="none"/>
            </w:rPr>
            <w:fldChar w:fldCharType="end"/>
          </w:r>
        </w:p>
        <w:p w14:paraId="0DE9A697">
          <w:pPr>
            <w:spacing w:line="360" w:lineRule="auto"/>
            <w:ind w:firstLine="1870" w:firstLineChars="85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40"/>
              <w:highlight w:val="none"/>
            </w:rPr>
            <w:fldChar w:fldCharType="end"/>
          </w:r>
        </w:p>
      </w:sdtContent>
    </w:sdt>
    <w:p w14:paraId="34994C9E">
      <w:pPr>
        <w:pStyle w:val="3"/>
        <w:rPr>
          <w:rFonts w:hint="eastAsia" w:ascii="新宋体" w:hAnsi="新宋体" w:eastAsia="新宋体" w:cs="新宋体"/>
          <w:color w:val="auto"/>
          <w:highlight w:val="none"/>
        </w:rPr>
      </w:pPr>
      <w:bookmarkStart w:id="0" w:name="_Toc32649"/>
      <w:bookmarkStart w:id="1" w:name="_Toc6599"/>
      <w:r>
        <w:rPr>
          <w:rFonts w:hint="eastAsia" w:ascii="新宋体" w:hAnsi="新宋体" w:eastAsia="新宋体" w:cs="新宋体"/>
          <w:color w:val="auto"/>
          <w:highlight w:val="none"/>
        </w:rPr>
        <w:t>招 标 公 告</w:t>
      </w:r>
      <w:bookmarkEnd w:id="0"/>
      <w:bookmarkEnd w:id="1"/>
    </w:p>
    <w:p w14:paraId="796C0C83">
      <w:pPr>
        <w:keepNext w:val="0"/>
        <w:keepLines w:val="0"/>
        <w:pageBreakBefore w:val="0"/>
        <w:tabs>
          <w:tab w:val="left" w:pos="360"/>
        </w:tabs>
        <w:kinsoku/>
        <w:wordWrap/>
        <w:overflowPunct/>
        <w:topLinePunct w:val="0"/>
        <w:autoSpaceDE/>
        <w:autoSpaceDN/>
        <w:bidi w:val="0"/>
        <w:adjustRightInd/>
        <w:snapToGrid/>
        <w:spacing w:line="440" w:lineRule="exact"/>
        <w:ind w:left="0" w:leftChars="0" w:firstLine="0" w:firstLineChars="0"/>
        <w:textAlignment w:val="auto"/>
        <w:rPr>
          <w:rFonts w:hint="eastAsia" w:ascii="新宋体" w:hAnsi="新宋体" w:eastAsia="新宋体" w:cs="新宋体"/>
          <w:b/>
          <w:bCs/>
          <w:color w:val="auto"/>
          <w:sz w:val="22"/>
          <w:highlight w:val="none"/>
        </w:rPr>
      </w:pPr>
      <w:r>
        <w:rPr>
          <w:rFonts w:hint="eastAsia" w:ascii="新宋体" w:hAnsi="新宋体" w:eastAsia="新宋体" w:cs="新宋体"/>
          <w:b/>
          <w:bCs/>
          <w:color w:val="auto"/>
          <w:sz w:val="22"/>
          <w:highlight w:val="none"/>
        </w:rPr>
        <mc:AlternateContent>
          <mc:Choice Requires="wps">
            <w:drawing>
              <wp:anchor distT="0" distB="0" distL="114300" distR="114300" simplePos="0" relativeHeight="251661312" behindDoc="0" locked="0" layoutInCell="1" allowOverlap="1">
                <wp:simplePos x="0" y="0"/>
                <wp:positionH relativeFrom="column">
                  <wp:posOffset>-120015</wp:posOffset>
                </wp:positionH>
                <wp:positionV relativeFrom="paragraph">
                  <wp:posOffset>3810</wp:posOffset>
                </wp:positionV>
                <wp:extent cx="6339840" cy="1157605"/>
                <wp:effectExtent l="6350" t="6350" r="16510" b="17145"/>
                <wp:wrapNone/>
                <wp:docPr id="1" name="矩形 1"/>
                <wp:cNvGraphicFramePr/>
                <a:graphic xmlns:a="http://schemas.openxmlformats.org/drawingml/2006/main">
                  <a:graphicData uri="http://schemas.microsoft.com/office/word/2010/wordprocessingShape">
                    <wps:wsp>
                      <wps:cNvSpPr/>
                      <wps:spPr>
                        <a:xfrm>
                          <a:off x="0" y="0"/>
                          <a:ext cx="6339840" cy="1157605"/>
                        </a:xfrm>
                        <a:prstGeom prst="rect">
                          <a:avLst/>
                        </a:prstGeom>
                        <a:noFill/>
                        <a:ln w="12700" cap="flat" cmpd="sng">
                          <a:solidFill>
                            <a:srgbClr val="000000"/>
                          </a:solidFill>
                          <a:prstDash val="solid"/>
                          <a:round/>
                          <a:headEnd type="none" w="med" len="med"/>
                          <a:tailEnd type="none" w="med" len="med"/>
                        </a:ln>
                      </wps:spPr>
                      <wps:bodyPr anchor="ctr" anchorCtr="0" upright="1"/>
                    </wps:wsp>
                  </a:graphicData>
                </a:graphic>
              </wp:anchor>
            </w:drawing>
          </mc:Choice>
          <mc:Fallback>
            <w:pict>
              <v:rect id="_x0000_s1026" o:spid="_x0000_s1026" o:spt="1" style="position:absolute;left:0pt;margin-left:-9.45pt;margin-top:0.3pt;height:91.15pt;width:499.2pt;z-index:251661312;v-text-anchor:middle;mso-width-relative:page;mso-height-relative:page;" filled="f" stroked="t" coordsize="21600,21600" o:gfxdata="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Ji1uvYAAAACAEAAA8AAAAAAAAAAQAgAAAAIgAAAGRycy9k&#10;b3ducmV2LnhtbFBLAQIUABQAAAAIAIdO4kA2Kt3lAgIAABEEAAAOAAAAAAAAAAEAIAAAACcBAABk&#10;cnMvZTJvRG9jLnhtbFBLBQYAAAAABgAGAFkBAACbBQAAAAA=&#10;">
                <v:fill on="f" focussize="0,0"/>
                <v:stroke weight="1pt" color="#000000" joinstyle="round"/>
                <v:imagedata o:title=""/>
                <o:lock v:ext="edit" aspectratio="f"/>
              </v:rect>
            </w:pict>
          </mc:Fallback>
        </mc:AlternateContent>
      </w:r>
      <w:r>
        <w:rPr>
          <w:rFonts w:hint="eastAsia" w:ascii="新宋体" w:hAnsi="新宋体" w:eastAsia="新宋体" w:cs="新宋体"/>
          <w:b/>
          <w:bCs/>
          <w:color w:val="auto"/>
          <w:sz w:val="22"/>
          <w:highlight w:val="none"/>
        </w:rPr>
        <w:t>项目概况</w:t>
      </w:r>
    </w:p>
    <w:p w14:paraId="02262AB3">
      <w:pPr>
        <w:keepNext w:val="0"/>
        <w:keepLines w:val="0"/>
        <w:pageBreakBefore w:val="0"/>
        <w:tabs>
          <w:tab w:val="left" w:pos="360"/>
        </w:tabs>
        <w:kinsoku/>
        <w:wordWrap/>
        <w:overflowPunct/>
        <w:topLinePunct w:val="0"/>
        <w:autoSpaceDE/>
        <w:autoSpaceDN/>
        <w:bidi w:val="0"/>
        <w:adjustRightInd/>
        <w:snapToGrid/>
        <w:spacing w:line="440" w:lineRule="exact"/>
        <w:ind w:firstLine="440" w:firstLineChars="200"/>
        <w:textAlignment w:val="auto"/>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lang w:eastAsia="zh-CN"/>
        </w:rPr>
        <w:t>一次性使用去白细胞塑料血袋（重）</w:t>
      </w:r>
      <w:r>
        <w:rPr>
          <w:rFonts w:hint="eastAsia" w:ascii="新宋体" w:hAnsi="新宋体" w:eastAsia="新宋体" w:cs="新宋体"/>
          <w:color w:val="auto"/>
          <w:sz w:val="22"/>
          <w:highlight w:val="none"/>
        </w:rPr>
        <w:t>招标项目的潜在投标人应在浙江政府采购网</w:t>
      </w:r>
      <w:r>
        <w:rPr>
          <w:rFonts w:hint="eastAsia" w:ascii="新宋体" w:hAnsi="新宋体" w:eastAsia="新宋体" w:cs="新宋体"/>
          <w:color w:val="auto"/>
          <w:sz w:val="22"/>
          <w:szCs w:val="22"/>
          <w:highlight w:val="none"/>
        </w:rPr>
        <w:t>（https</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//zfcg.czt.zj.gov.cn/）</w:t>
      </w:r>
      <w:r>
        <w:rPr>
          <w:rFonts w:hint="eastAsia" w:ascii="新宋体" w:hAnsi="新宋体" w:eastAsia="新宋体" w:cs="新宋体"/>
          <w:color w:val="auto"/>
          <w:sz w:val="22"/>
          <w:highlight w:val="none"/>
        </w:rPr>
        <w:t>获取（下载）</w:t>
      </w:r>
      <w:r>
        <w:rPr>
          <w:rFonts w:hint="eastAsia" w:ascii="新宋体" w:hAnsi="新宋体" w:eastAsia="新宋体" w:cs="新宋体"/>
          <w:color w:val="auto"/>
          <w:sz w:val="22"/>
          <w:highlight w:val="none"/>
          <w:lang w:eastAsia="zh-CN"/>
        </w:rPr>
        <w:t>采购文件</w:t>
      </w:r>
      <w:r>
        <w:rPr>
          <w:rFonts w:hint="eastAsia" w:ascii="新宋体" w:hAnsi="新宋体" w:eastAsia="新宋体" w:cs="新宋体"/>
          <w:color w:val="auto"/>
          <w:sz w:val="22"/>
          <w:highlight w:val="none"/>
        </w:rPr>
        <w:t>，并于</w:t>
      </w:r>
      <w:r>
        <w:rPr>
          <w:rFonts w:hint="eastAsia" w:ascii="新宋体" w:hAnsi="新宋体" w:eastAsia="新宋体" w:cs="新宋体"/>
          <w:color w:val="auto"/>
          <w:sz w:val="22"/>
          <w:szCs w:val="22"/>
          <w:highlight w:val="none"/>
          <w:lang w:eastAsia="zh-CN"/>
        </w:rPr>
        <w:t>2025年3月14日15：30</w:t>
      </w:r>
      <w:r>
        <w:rPr>
          <w:rFonts w:hint="eastAsia" w:ascii="新宋体" w:hAnsi="新宋体" w:eastAsia="新宋体" w:cs="新宋体"/>
          <w:color w:val="auto"/>
          <w:sz w:val="22"/>
          <w:highlight w:val="none"/>
        </w:rPr>
        <w:t>（北京时间）前递交（上传）投标文件。</w:t>
      </w:r>
    </w:p>
    <w:p w14:paraId="3C4FB3DA">
      <w:pPr>
        <w:pStyle w:val="48"/>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一、项目基本情况</w:t>
      </w:r>
    </w:p>
    <w:p w14:paraId="1A1BF09B">
      <w:pPr>
        <w:pStyle w:val="48"/>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40" w:firstLineChars="200"/>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项目编号：</w:t>
      </w:r>
      <w:r>
        <w:rPr>
          <w:rFonts w:hint="eastAsia" w:ascii="新宋体" w:hAnsi="新宋体" w:eastAsia="新宋体" w:cs="新宋体"/>
          <w:color w:val="auto"/>
          <w:sz w:val="22"/>
          <w:szCs w:val="22"/>
          <w:highlight w:val="none"/>
          <w:lang w:eastAsia="zh-CN"/>
        </w:rPr>
        <w:t>WZLCZB（L）-2025-01011-1</w:t>
      </w:r>
    </w:p>
    <w:p w14:paraId="68C3B815">
      <w:pPr>
        <w:pStyle w:val="48"/>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40" w:firstLineChars="200"/>
        <w:textAlignment w:val="auto"/>
        <w:rPr>
          <w:rFonts w:hint="eastAsia" w:ascii="新宋体" w:hAnsi="新宋体" w:eastAsia="新宋体" w:cs="新宋体"/>
          <w:color w:val="auto"/>
          <w:kern w:val="2"/>
          <w:sz w:val="22"/>
          <w:szCs w:val="24"/>
          <w:highlight w:val="none"/>
          <w:lang w:val="en-US" w:eastAsia="zh-CN" w:bidi="ar-SA"/>
        </w:rPr>
      </w:pPr>
      <w:r>
        <w:rPr>
          <w:rFonts w:hint="eastAsia" w:ascii="新宋体" w:hAnsi="新宋体" w:eastAsia="新宋体" w:cs="新宋体"/>
          <w:color w:val="auto"/>
          <w:sz w:val="22"/>
          <w:szCs w:val="22"/>
          <w:highlight w:val="none"/>
        </w:rPr>
        <w:t>项目名称：</w:t>
      </w:r>
      <w:r>
        <w:rPr>
          <w:rFonts w:hint="eastAsia" w:ascii="新宋体" w:hAnsi="新宋体" w:eastAsia="新宋体" w:cs="新宋体"/>
          <w:color w:val="auto"/>
          <w:kern w:val="2"/>
          <w:sz w:val="22"/>
          <w:szCs w:val="24"/>
          <w:highlight w:val="none"/>
          <w:lang w:val="en-US" w:eastAsia="zh-CN" w:bidi="ar-SA"/>
        </w:rPr>
        <w:t>一次性使用去白细胞塑料血袋（重）</w:t>
      </w:r>
    </w:p>
    <w:p w14:paraId="38FBB035">
      <w:pPr>
        <w:pStyle w:val="48"/>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40" w:firstLineChars="200"/>
        <w:textAlignment w:val="auto"/>
        <w:rPr>
          <w:rFonts w:hint="eastAsia" w:ascii="新宋体" w:hAnsi="新宋体" w:eastAsia="新宋体" w:cs="新宋体"/>
          <w:color w:val="auto"/>
          <w:sz w:val="22"/>
          <w:szCs w:val="22"/>
          <w:highlight w:val="none"/>
          <w:lang w:val="en-US"/>
        </w:rPr>
      </w:pPr>
      <w:r>
        <w:rPr>
          <w:rFonts w:hint="eastAsia" w:ascii="新宋体" w:hAnsi="新宋体" w:eastAsia="新宋体" w:cs="新宋体"/>
          <w:color w:val="auto"/>
          <w:sz w:val="22"/>
          <w:szCs w:val="22"/>
          <w:highlight w:val="none"/>
        </w:rPr>
        <w:t>预算金额（元）：</w:t>
      </w:r>
      <w:r>
        <w:rPr>
          <w:rFonts w:hint="eastAsia" w:ascii="新宋体" w:hAnsi="新宋体" w:eastAsia="新宋体" w:cs="新宋体"/>
          <w:color w:val="auto"/>
          <w:sz w:val="22"/>
          <w:szCs w:val="22"/>
          <w:highlight w:val="none"/>
          <w:lang w:val="en-US" w:eastAsia="zh-CN"/>
        </w:rPr>
        <w:t>913087.50</w:t>
      </w:r>
    </w:p>
    <w:p w14:paraId="25C071D5">
      <w:pPr>
        <w:pStyle w:val="48"/>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40" w:firstLineChars="200"/>
        <w:textAlignment w:val="auto"/>
        <w:rPr>
          <w:rFonts w:hint="eastAsia" w:ascii="新宋体" w:hAnsi="新宋体" w:eastAsia="新宋体" w:cs="新宋体"/>
          <w:color w:val="auto"/>
          <w:sz w:val="22"/>
          <w:szCs w:val="22"/>
          <w:highlight w:val="none"/>
          <w:lang w:val="en-US"/>
        </w:rPr>
      </w:pPr>
      <w:r>
        <w:rPr>
          <w:rFonts w:hint="eastAsia" w:ascii="新宋体" w:hAnsi="新宋体" w:eastAsia="新宋体" w:cs="新宋体"/>
          <w:color w:val="auto"/>
          <w:sz w:val="22"/>
          <w:szCs w:val="22"/>
          <w:highlight w:val="none"/>
        </w:rPr>
        <w:t>最高限价（元）：</w:t>
      </w:r>
      <w:r>
        <w:rPr>
          <w:rFonts w:hint="eastAsia" w:ascii="新宋体" w:hAnsi="新宋体" w:eastAsia="新宋体" w:cs="新宋体"/>
          <w:color w:val="auto"/>
          <w:sz w:val="22"/>
          <w:szCs w:val="22"/>
          <w:highlight w:val="none"/>
          <w:lang w:val="en-US" w:eastAsia="zh-CN"/>
        </w:rPr>
        <w:t>913087.50</w:t>
      </w:r>
    </w:p>
    <w:p w14:paraId="37D100A5">
      <w:pPr>
        <w:pStyle w:val="48"/>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采购需求：</w:t>
      </w:r>
    </w:p>
    <w:p w14:paraId="1C2993DD">
      <w:pPr>
        <w:pStyle w:val="48"/>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标项名称</w:t>
      </w:r>
      <w:r>
        <w:rPr>
          <w:rFonts w:hint="eastAsia" w:ascii="新宋体" w:hAnsi="新宋体" w:eastAsia="新宋体" w:cs="新宋体"/>
          <w:color w:val="auto"/>
          <w:sz w:val="22"/>
          <w:szCs w:val="22"/>
          <w:highlight w:val="none"/>
          <w:lang w:eastAsia="zh-CN"/>
        </w:rPr>
        <w:t>：一次性使用去白细胞塑料血袋（重）</w:t>
      </w:r>
    </w:p>
    <w:p w14:paraId="07615A98">
      <w:pPr>
        <w:pStyle w:val="48"/>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40" w:firstLineChars="20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数量</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23933</w:t>
      </w:r>
    </w:p>
    <w:p w14:paraId="4B04E587">
      <w:pPr>
        <w:pStyle w:val="48"/>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40" w:firstLineChars="200"/>
        <w:textAlignment w:val="auto"/>
        <w:rPr>
          <w:rFonts w:hint="eastAsia" w:ascii="新宋体" w:hAnsi="新宋体" w:eastAsia="新宋体" w:cs="新宋体"/>
          <w:color w:val="auto"/>
          <w:sz w:val="22"/>
          <w:szCs w:val="22"/>
          <w:highlight w:val="none"/>
          <w:lang w:val="en-US"/>
        </w:rPr>
      </w:pPr>
      <w:r>
        <w:rPr>
          <w:rFonts w:hint="eastAsia" w:ascii="新宋体" w:hAnsi="新宋体" w:eastAsia="新宋体" w:cs="新宋体"/>
          <w:color w:val="auto"/>
          <w:sz w:val="22"/>
          <w:szCs w:val="22"/>
          <w:highlight w:val="none"/>
        </w:rPr>
        <w:t>预算金额（元）</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913087.50</w:t>
      </w:r>
    </w:p>
    <w:p w14:paraId="2F6A2928">
      <w:pPr>
        <w:pStyle w:val="48"/>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单位：</w:t>
      </w:r>
      <w:r>
        <w:rPr>
          <w:rFonts w:hint="eastAsia" w:ascii="新宋体" w:hAnsi="新宋体" w:eastAsia="新宋体" w:cs="新宋体"/>
          <w:bCs/>
          <w:color w:val="auto"/>
          <w:sz w:val="22"/>
          <w:szCs w:val="22"/>
          <w:highlight w:val="none"/>
          <w:lang w:val="en-US" w:eastAsia="zh-CN"/>
        </w:rPr>
        <w:t>套</w:t>
      </w:r>
    </w:p>
    <w:p w14:paraId="454DF66C">
      <w:pPr>
        <w:pStyle w:val="48"/>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简要规格描述或项目基本概况介绍、用途：具体详见</w:t>
      </w:r>
      <w:r>
        <w:rPr>
          <w:rFonts w:hint="eastAsia" w:ascii="新宋体" w:hAnsi="新宋体" w:eastAsia="新宋体" w:cs="新宋体"/>
          <w:color w:val="auto"/>
          <w:sz w:val="22"/>
          <w:szCs w:val="22"/>
          <w:highlight w:val="none"/>
          <w:lang w:val="en-US" w:eastAsia="zh-CN"/>
        </w:rPr>
        <w:t>采购</w:t>
      </w:r>
      <w:r>
        <w:rPr>
          <w:rFonts w:hint="eastAsia" w:ascii="新宋体" w:hAnsi="新宋体" w:eastAsia="新宋体" w:cs="新宋体"/>
          <w:color w:val="auto"/>
          <w:sz w:val="22"/>
          <w:szCs w:val="22"/>
          <w:highlight w:val="none"/>
        </w:rPr>
        <w:t>文件</w:t>
      </w:r>
    </w:p>
    <w:p w14:paraId="4028C18E">
      <w:pPr>
        <w:pStyle w:val="48"/>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40" w:firstLineChars="20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备注：</w:t>
      </w:r>
      <w:r>
        <w:rPr>
          <w:rFonts w:hint="eastAsia" w:ascii="新宋体" w:hAnsi="新宋体" w:eastAsia="新宋体" w:cs="新宋体"/>
          <w:b/>
          <w:bCs/>
          <w:color w:val="auto"/>
          <w:sz w:val="22"/>
          <w:szCs w:val="22"/>
          <w:highlight w:val="none"/>
          <w:lang w:val="en-US" w:eastAsia="zh-CN"/>
        </w:rPr>
        <w:t>本项目不允许进口产品投标</w:t>
      </w:r>
    </w:p>
    <w:p w14:paraId="236766F5">
      <w:pPr>
        <w:pStyle w:val="48"/>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合同履约期限：标项 1，具体详见</w:t>
      </w:r>
      <w:r>
        <w:rPr>
          <w:rFonts w:hint="eastAsia" w:ascii="新宋体" w:hAnsi="新宋体" w:eastAsia="新宋体" w:cs="新宋体"/>
          <w:color w:val="auto"/>
          <w:sz w:val="22"/>
          <w:szCs w:val="22"/>
          <w:highlight w:val="none"/>
          <w:lang w:val="en-US" w:eastAsia="zh-CN"/>
        </w:rPr>
        <w:t>采购</w:t>
      </w:r>
      <w:r>
        <w:rPr>
          <w:rFonts w:hint="eastAsia" w:ascii="新宋体" w:hAnsi="新宋体" w:eastAsia="新宋体" w:cs="新宋体"/>
          <w:color w:val="auto"/>
          <w:sz w:val="22"/>
          <w:szCs w:val="22"/>
          <w:highlight w:val="none"/>
        </w:rPr>
        <w:t>文件</w:t>
      </w:r>
    </w:p>
    <w:p w14:paraId="37B3045F">
      <w:pPr>
        <w:pStyle w:val="48"/>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本项目（</w:t>
      </w:r>
      <w:r>
        <w:rPr>
          <w:rFonts w:hint="eastAsia" w:ascii="新宋体" w:hAnsi="新宋体" w:eastAsia="新宋体" w:cs="新宋体"/>
          <w:color w:val="auto"/>
          <w:sz w:val="22"/>
          <w:szCs w:val="22"/>
          <w:highlight w:val="none"/>
          <w:lang w:eastAsia="zh-CN"/>
        </w:rPr>
        <w:t>是</w:t>
      </w:r>
      <w:r>
        <w:rPr>
          <w:rFonts w:hint="eastAsia" w:ascii="新宋体" w:hAnsi="新宋体" w:eastAsia="新宋体" w:cs="新宋体"/>
          <w:color w:val="auto"/>
          <w:sz w:val="22"/>
          <w:szCs w:val="22"/>
          <w:highlight w:val="none"/>
        </w:rPr>
        <w:t>）接受联合体投标。</w:t>
      </w:r>
    </w:p>
    <w:p w14:paraId="63C2454A">
      <w:pPr>
        <w:pStyle w:val="48"/>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二、申请人的资格要求：</w:t>
      </w:r>
    </w:p>
    <w:p w14:paraId="2AEA4C2E">
      <w:pPr>
        <w:pStyle w:val="48"/>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1.满足《中华人民共和国政府采购法》第二十二条规定；未被“信用中国”（www.creditchina.gov.cn</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、中国政府采购网（www.ccgp.gov.cn）列入失信被执行人、重大税收违法案件当事人名单、政府采购严重违法失信行为记录名单。</w:t>
      </w:r>
    </w:p>
    <w:p w14:paraId="24504F1F">
      <w:pPr>
        <w:pStyle w:val="48"/>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40" w:firstLineChars="200"/>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2.落实政府采购政策需满足的资格要求：</w:t>
      </w:r>
      <w:r>
        <w:rPr>
          <w:rFonts w:hint="eastAsia" w:ascii="新宋体" w:hAnsi="新宋体" w:eastAsia="新宋体" w:cs="新宋体"/>
          <w:color w:val="auto"/>
          <w:sz w:val="22"/>
          <w:szCs w:val="22"/>
          <w:highlight w:val="none"/>
          <w:lang w:val="en-US" w:eastAsia="zh-CN"/>
        </w:rPr>
        <w:t>无</w:t>
      </w:r>
    </w:p>
    <w:p w14:paraId="1C616249">
      <w:pPr>
        <w:pStyle w:val="48"/>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3.本项目的特定资格要求：无 </w:t>
      </w:r>
    </w:p>
    <w:p w14:paraId="6CC3D7A5">
      <w:pPr>
        <w:pStyle w:val="48"/>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三、获取</w:t>
      </w:r>
      <w:r>
        <w:rPr>
          <w:rFonts w:hint="eastAsia" w:ascii="新宋体" w:hAnsi="新宋体" w:eastAsia="新宋体" w:cs="新宋体"/>
          <w:b/>
          <w:bCs/>
          <w:color w:val="auto"/>
          <w:sz w:val="22"/>
          <w:szCs w:val="22"/>
          <w:highlight w:val="none"/>
          <w:lang w:eastAsia="zh-CN"/>
        </w:rPr>
        <w:t>采购文件</w:t>
      </w:r>
      <w:r>
        <w:rPr>
          <w:rFonts w:hint="eastAsia" w:ascii="新宋体" w:hAnsi="新宋体" w:eastAsia="新宋体" w:cs="新宋体"/>
          <w:b/>
          <w:bCs/>
          <w:color w:val="auto"/>
          <w:sz w:val="22"/>
          <w:szCs w:val="22"/>
          <w:highlight w:val="none"/>
        </w:rPr>
        <w:t> </w:t>
      </w:r>
    </w:p>
    <w:p w14:paraId="7A5DA7AA">
      <w:pPr>
        <w:pStyle w:val="48"/>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时间：</w:t>
      </w:r>
      <w:r>
        <w:rPr>
          <w:rFonts w:hint="eastAsia" w:ascii="新宋体" w:hAnsi="新宋体" w:eastAsia="新宋体" w:cs="新宋体"/>
          <w:color w:val="auto"/>
          <w:sz w:val="22"/>
          <w:szCs w:val="22"/>
          <w:highlight w:val="none"/>
          <w:lang w:val="en-US" w:eastAsia="zh-CN"/>
        </w:rPr>
        <w:t>/</w:t>
      </w:r>
      <w:r>
        <w:rPr>
          <w:rFonts w:hint="eastAsia" w:ascii="新宋体" w:hAnsi="新宋体" w:eastAsia="新宋体" w:cs="新宋体"/>
          <w:color w:val="auto"/>
          <w:sz w:val="22"/>
          <w:szCs w:val="22"/>
          <w:highlight w:val="none"/>
        </w:rPr>
        <w:t>至</w:t>
      </w:r>
      <w:r>
        <w:rPr>
          <w:rFonts w:hint="eastAsia" w:ascii="新宋体" w:hAnsi="新宋体" w:eastAsia="新宋体" w:cs="新宋体"/>
          <w:color w:val="auto"/>
          <w:sz w:val="22"/>
          <w:szCs w:val="22"/>
          <w:highlight w:val="none"/>
          <w:lang w:eastAsia="zh-CN"/>
        </w:rPr>
        <w:t>2025年</w:t>
      </w: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lang w:eastAsia="zh-CN"/>
        </w:rPr>
        <w:t>月</w:t>
      </w:r>
      <w:r>
        <w:rPr>
          <w:rFonts w:hint="eastAsia" w:ascii="新宋体" w:hAnsi="新宋体" w:eastAsia="新宋体" w:cs="新宋体"/>
          <w:color w:val="auto"/>
          <w:sz w:val="22"/>
          <w:szCs w:val="22"/>
          <w:highlight w:val="none"/>
          <w:lang w:val="en-US" w:eastAsia="zh-CN"/>
        </w:rPr>
        <w:t>14</w:t>
      </w:r>
      <w:r>
        <w:rPr>
          <w:rFonts w:hint="eastAsia" w:ascii="新宋体" w:hAnsi="新宋体" w:eastAsia="新宋体" w:cs="新宋体"/>
          <w:color w:val="auto"/>
          <w:sz w:val="22"/>
          <w:szCs w:val="22"/>
          <w:highlight w:val="none"/>
          <w:lang w:eastAsia="zh-CN"/>
        </w:rPr>
        <w:t>日</w:t>
      </w:r>
      <w:r>
        <w:rPr>
          <w:rFonts w:hint="eastAsia" w:ascii="新宋体" w:hAnsi="新宋体" w:eastAsia="新宋体" w:cs="新宋体"/>
          <w:color w:val="auto"/>
          <w:sz w:val="22"/>
          <w:szCs w:val="22"/>
          <w:highlight w:val="none"/>
        </w:rPr>
        <w:t>，每天上午00</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00至12</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00，下午12</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00至23</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59（北京时间，线上获取法定节假日均可，线下获取文件法定节假日除外）</w:t>
      </w:r>
    </w:p>
    <w:p w14:paraId="4CE6281A">
      <w:pPr>
        <w:pStyle w:val="48"/>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地点（网址）：浙江政府采购网（https</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//zfcg.czt.zj.gov.cn/）</w:t>
      </w:r>
    </w:p>
    <w:p w14:paraId="454347DE">
      <w:pPr>
        <w:pStyle w:val="48"/>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方式：供应商登录政采云平台https</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//www.zcygov.cn/在线申请获取采购文件（进入“项目采购”应用，在获取采购文件菜单中选择项目，申请获取采购文件）</w:t>
      </w:r>
    </w:p>
    <w:p w14:paraId="58AB00F3">
      <w:pPr>
        <w:pStyle w:val="48"/>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售价（元）：0 </w:t>
      </w:r>
    </w:p>
    <w:p w14:paraId="5426F197">
      <w:pPr>
        <w:pStyle w:val="48"/>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四、提交投标文件截止时间、开标时间和地点</w:t>
      </w:r>
    </w:p>
    <w:p w14:paraId="5F5627AC">
      <w:pPr>
        <w:pStyle w:val="48"/>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提交投标文件截止时间：</w:t>
      </w:r>
      <w:r>
        <w:rPr>
          <w:rFonts w:hint="eastAsia" w:ascii="新宋体" w:hAnsi="新宋体" w:eastAsia="新宋体" w:cs="新宋体"/>
          <w:color w:val="auto"/>
          <w:sz w:val="22"/>
          <w:szCs w:val="22"/>
          <w:highlight w:val="none"/>
          <w:lang w:eastAsia="zh-CN"/>
        </w:rPr>
        <w:t>2025年3月14日15：30</w:t>
      </w:r>
      <w:r>
        <w:rPr>
          <w:rFonts w:hint="eastAsia" w:ascii="新宋体" w:hAnsi="新宋体" w:eastAsia="新宋体" w:cs="新宋体"/>
          <w:color w:val="auto"/>
          <w:sz w:val="22"/>
          <w:szCs w:val="22"/>
          <w:highlight w:val="none"/>
        </w:rPr>
        <w:t>（北京时间）</w:t>
      </w:r>
    </w:p>
    <w:p w14:paraId="5B180510">
      <w:pPr>
        <w:pStyle w:val="48"/>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投标地点（网址）：请登录政采云投标客户端投标</w:t>
      </w:r>
    </w:p>
    <w:p w14:paraId="180E0699">
      <w:pPr>
        <w:pStyle w:val="48"/>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40" w:firstLineChars="200"/>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开标时间：</w:t>
      </w:r>
      <w:r>
        <w:rPr>
          <w:rFonts w:hint="eastAsia" w:ascii="新宋体" w:hAnsi="新宋体" w:eastAsia="新宋体" w:cs="新宋体"/>
          <w:color w:val="auto"/>
          <w:sz w:val="22"/>
          <w:szCs w:val="22"/>
          <w:highlight w:val="none"/>
          <w:lang w:eastAsia="zh-CN"/>
        </w:rPr>
        <w:t>2025年3月14日15：30</w:t>
      </w:r>
      <w:bookmarkStart w:id="77" w:name="_GoBack"/>
      <w:bookmarkEnd w:id="77"/>
    </w:p>
    <w:p w14:paraId="289E5B4B">
      <w:pPr>
        <w:pStyle w:val="48"/>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开标地点（网址）：</w:t>
      </w:r>
      <w:r>
        <w:rPr>
          <w:rFonts w:hint="eastAsia" w:ascii="新宋体" w:hAnsi="新宋体" w:eastAsia="新宋体" w:cs="新宋体"/>
          <w:color w:val="auto"/>
          <w:sz w:val="22"/>
          <w:szCs w:val="22"/>
          <w:highlight w:val="none"/>
          <w:u w:val="none"/>
        </w:rPr>
        <w:t>政府采购云平台（www.zcygov.cn）</w:t>
      </w:r>
    </w:p>
    <w:p w14:paraId="00513090">
      <w:pPr>
        <w:pStyle w:val="48"/>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五、公告期限</w:t>
      </w:r>
      <w:r>
        <w:rPr>
          <w:rFonts w:hint="eastAsia" w:ascii="新宋体" w:hAnsi="新宋体" w:eastAsia="新宋体" w:cs="新宋体"/>
          <w:color w:val="auto"/>
          <w:sz w:val="22"/>
          <w:szCs w:val="22"/>
          <w:highlight w:val="none"/>
        </w:rPr>
        <w:t> </w:t>
      </w:r>
    </w:p>
    <w:p w14:paraId="4AC2CD1C">
      <w:pPr>
        <w:pStyle w:val="48"/>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自本公告发布之日起5个工作日。</w:t>
      </w:r>
    </w:p>
    <w:p w14:paraId="204DA66E">
      <w:pPr>
        <w:pStyle w:val="48"/>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六、其他补充事宜</w:t>
      </w:r>
    </w:p>
    <w:p w14:paraId="7D6F601C">
      <w:pPr>
        <w:pStyle w:val="48"/>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711A9254">
      <w:pPr>
        <w:pStyle w:val="48"/>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083AB5D8">
      <w:pPr>
        <w:pStyle w:val="48"/>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464C6E8">
      <w:pPr>
        <w:pStyle w:val="48"/>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.其他事项：</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一</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的获取：使用账号登录或者使用CA登录政采云平台；进入“项目采购”应用，在获取采购文件菜单中选择项目，获取</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④投标文件的制作：在“政采云电子交易客户端”中完成“填写基本信息”、“导入投标文件”、“标书关联”、“标书检查”、“电子签名”、“生成电子标书”等操作；⑤投标文件的传输递交：投标人在投标截止时间前将加密的投标文件上传至政府采购云平台； ⑥投标文件的解密：投标人按照平台提示和</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的规定在半小时内完成在线解密；⑦ 具体操作指南：详见政采云平台“服务中心-帮助文档-项目采购-操作流程-电子招投标-政府采购项目电子交易管理操作指南-供应商”：浙江省政府采购项目政采云平台学习专题https://edu.zcygov.cn/luban/e-biding。（</w:t>
      </w:r>
      <w:r>
        <w:rPr>
          <w:rFonts w:hint="eastAsia" w:ascii="新宋体" w:hAnsi="新宋体" w:eastAsia="新宋体" w:cs="新宋体"/>
          <w:color w:val="auto"/>
          <w:sz w:val="22"/>
          <w:szCs w:val="22"/>
          <w:highlight w:val="none"/>
          <w:lang w:val="en-US" w:eastAsia="zh-CN"/>
        </w:rPr>
        <w:t>二</w:t>
      </w:r>
      <w:r>
        <w:rPr>
          <w:rFonts w:hint="eastAsia" w:ascii="新宋体" w:hAnsi="新宋体" w:eastAsia="新宋体" w:cs="新宋体"/>
          <w:color w:val="auto"/>
          <w:sz w:val="22"/>
          <w:szCs w:val="22"/>
          <w:highlight w:val="none"/>
        </w:rPr>
        <w:t>）招标公告附件的采购文件仅供阅览使用，未按照本公告规定的方式获取采购文件的潜在供应商提起的质疑采购组织机构将不予受理、答复。</w:t>
      </w:r>
      <w:r>
        <w:rPr>
          <w:rFonts w:hint="eastAsia" w:ascii="新宋体" w:hAnsi="新宋体" w:eastAsia="新宋体" w:cs="新宋体"/>
          <w:color w:val="auto"/>
          <w:sz w:val="22"/>
          <w:highlight w:val="none"/>
        </w:rPr>
        <w:t> </w:t>
      </w:r>
    </w:p>
    <w:p w14:paraId="43375FE9">
      <w:pPr>
        <w:keepNext w:val="0"/>
        <w:keepLines w:val="0"/>
        <w:pageBreakBefore w:val="0"/>
        <w:tabs>
          <w:tab w:val="left" w:pos="360"/>
        </w:tabs>
        <w:kinsoku/>
        <w:wordWrap/>
        <w:overflowPunct/>
        <w:topLinePunct w:val="0"/>
        <w:autoSpaceDE/>
        <w:autoSpaceDN/>
        <w:bidi w:val="0"/>
        <w:adjustRightInd/>
        <w:snapToGrid/>
        <w:spacing w:line="44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七、对本次招标提出询问，请按以下方式联系</w:t>
      </w:r>
    </w:p>
    <w:p w14:paraId="3C8AD48E">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1.采购人信息</w:t>
      </w:r>
    </w:p>
    <w:p w14:paraId="67D0547E">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新宋体" w:hAnsi="新宋体" w:eastAsia="新宋体" w:cs="新宋体"/>
          <w:color w:val="auto"/>
          <w:sz w:val="22"/>
          <w:szCs w:val="22"/>
          <w:highlight w:val="none"/>
          <w:u w:val="none"/>
          <w:lang w:eastAsia="zh-CN"/>
        </w:rPr>
      </w:pPr>
      <w:r>
        <w:rPr>
          <w:rFonts w:hint="eastAsia" w:ascii="新宋体" w:hAnsi="新宋体" w:eastAsia="新宋体" w:cs="新宋体"/>
          <w:color w:val="auto"/>
          <w:sz w:val="22"/>
          <w:szCs w:val="22"/>
          <w:highlight w:val="none"/>
          <w:u w:val="none"/>
        </w:rPr>
        <w:t>名  称：</w:t>
      </w:r>
      <w:r>
        <w:rPr>
          <w:rFonts w:hint="eastAsia" w:ascii="新宋体" w:hAnsi="新宋体" w:eastAsia="新宋体" w:cs="新宋体"/>
          <w:color w:val="auto"/>
          <w:sz w:val="22"/>
          <w:szCs w:val="22"/>
          <w:highlight w:val="none"/>
          <w:u w:val="none"/>
          <w:lang w:eastAsia="zh-CN"/>
        </w:rPr>
        <w:t>温州市中心血站</w:t>
      </w:r>
    </w:p>
    <w:p w14:paraId="2F662B91">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地  址：</w:t>
      </w:r>
      <w:r>
        <w:rPr>
          <w:rFonts w:hint="eastAsia" w:ascii="新宋体" w:hAnsi="新宋体" w:eastAsia="新宋体" w:cs="新宋体"/>
          <w:color w:val="auto"/>
          <w:sz w:val="22"/>
          <w:szCs w:val="22"/>
          <w:highlight w:val="none"/>
          <w:u w:val="none"/>
          <w:lang w:val="en-US" w:eastAsia="zh-CN"/>
        </w:rPr>
        <w:t>浙江省温州市瓯江口产业集聚区霓贤路451号</w:t>
      </w:r>
    </w:p>
    <w:p w14:paraId="34EECBD5">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传  真：</w:t>
      </w:r>
      <w:r>
        <w:rPr>
          <w:rFonts w:hint="eastAsia" w:ascii="新宋体" w:hAnsi="新宋体" w:eastAsia="新宋体" w:cs="新宋体"/>
          <w:color w:val="auto"/>
          <w:sz w:val="22"/>
          <w:szCs w:val="22"/>
          <w:highlight w:val="none"/>
          <w:u w:val="none"/>
          <w:lang w:val="en-US" w:eastAsia="zh-CN"/>
        </w:rPr>
        <w:t>/</w:t>
      </w:r>
      <w:r>
        <w:rPr>
          <w:rFonts w:hint="eastAsia" w:ascii="新宋体" w:hAnsi="新宋体" w:eastAsia="新宋体" w:cs="新宋体"/>
          <w:color w:val="auto"/>
          <w:sz w:val="22"/>
          <w:szCs w:val="22"/>
          <w:highlight w:val="none"/>
          <w:u w:val="none"/>
        </w:rPr>
        <w:t xml:space="preserve">   </w:t>
      </w:r>
    </w:p>
    <w:p w14:paraId="36272487">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项目联系人（询问）：</w:t>
      </w:r>
      <w:r>
        <w:rPr>
          <w:rFonts w:hint="eastAsia" w:ascii="新宋体" w:hAnsi="新宋体" w:eastAsia="新宋体" w:cs="新宋体"/>
          <w:color w:val="auto"/>
          <w:sz w:val="22"/>
          <w:szCs w:val="22"/>
          <w:highlight w:val="none"/>
          <w:u w:val="none"/>
          <w:lang w:val="en-US" w:eastAsia="zh-CN"/>
        </w:rPr>
        <w:t>谢先生</w:t>
      </w:r>
    </w:p>
    <w:p w14:paraId="7D9A77BA">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新宋体" w:hAnsi="新宋体" w:eastAsia="新宋体" w:cs="新宋体"/>
          <w:color w:val="auto"/>
          <w:sz w:val="22"/>
          <w:szCs w:val="22"/>
          <w:highlight w:val="none"/>
          <w:u w:val="none"/>
          <w:lang w:eastAsia="zh-CN"/>
        </w:rPr>
      </w:pPr>
      <w:r>
        <w:rPr>
          <w:rFonts w:hint="eastAsia" w:ascii="新宋体" w:hAnsi="新宋体" w:eastAsia="新宋体" w:cs="新宋体"/>
          <w:color w:val="auto"/>
          <w:sz w:val="22"/>
          <w:szCs w:val="22"/>
          <w:highlight w:val="none"/>
          <w:u w:val="none"/>
        </w:rPr>
        <w:t>项目联系方式（询问）：</w:t>
      </w:r>
      <w:r>
        <w:rPr>
          <w:rFonts w:hint="eastAsia" w:ascii="新宋体" w:hAnsi="新宋体" w:eastAsia="新宋体" w:cs="新宋体"/>
          <w:color w:val="auto"/>
          <w:sz w:val="22"/>
          <w:szCs w:val="22"/>
          <w:highlight w:val="none"/>
          <w:u w:val="none"/>
          <w:lang w:val="en-US" w:eastAsia="zh-CN"/>
        </w:rPr>
        <w:t xml:space="preserve">0577-55582706 </w:t>
      </w:r>
    </w:p>
    <w:p w14:paraId="1561863E">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质疑联系人：</w:t>
      </w:r>
      <w:r>
        <w:rPr>
          <w:rFonts w:hint="eastAsia" w:ascii="新宋体" w:hAnsi="新宋体" w:eastAsia="新宋体" w:cs="新宋体"/>
          <w:color w:val="auto"/>
          <w:sz w:val="22"/>
          <w:szCs w:val="22"/>
          <w:highlight w:val="none"/>
          <w:u w:val="none"/>
          <w:lang w:val="en-US" w:eastAsia="zh-CN"/>
        </w:rPr>
        <w:t>温州市中心血站纪检监察室</w:t>
      </w:r>
    </w:p>
    <w:p w14:paraId="01CA5E01">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质疑联系方式：</w:t>
      </w:r>
      <w:r>
        <w:rPr>
          <w:rFonts w:hint="eastAsia" w:ascii="新宋体" w:hAnsi="新宋体" w:eastAsia="新宋体" w:cs="新宋体"/>
          <w:color w:val="auto"/>
          <w:sz w:val="22"/>
          <w:szCs w:val="22"/>
          <w:highlight w:val="none"/>
          <w:u w:val="none"/>
          <w:lang w:val="en-US" w:eastAsia="zh-CN"/>
        </w:rPr>
        <w:t>0577-55582813</w:t>
      </w:r>
    </w:p>
    <w:p w14:paraId="09230D73">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2.采购代理机构信息</w:t>
      </w:r>
    </w:p>
    <w:p w14:paraId="2260FDEC">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名  称：温州历程招标有限公司 </w:t>
      </w:r>
    </w:p>
    <w:p w14:paraId="4B7555BA">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地  址：</w:t>
      </w:r>
      <w:r>
        <w:rPr>
          <w:rFonts w:hint="eastAsia" w:ascii="新宋体" w:hAnsi="新宋体" w:eastAsia="新宋体" w:cs="新宋体"/>
          <w:color w:val="auto"/>
          <w:sz w:val="22"/>
          <w:szCs w:val="22"/>
          <w:highlight w:val="none"/>
          <w:u w:val="none"/>
          <w:lang w:eastAsia="zh-CN"/>
        </w:rPr>
        <w:t>温州市鹿城区勤民路鹿城壹号18幢803室</w:t>
      </w:r>
    </w:p>
    <w:p w14:paraId="27269DBD">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 xml:space="preserve">传  真：0577-89887255   </w:t>
      </w:r>
    </w:p>
    <w:p w14:paraId="413670E9">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项目联系人（询问）： 郑永强 </w:t>
      </w:r>
    </w:p>
    <w:p w14:paraId="4CF22809">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项目联系方式（询问）：0577-89887322、13757727199</w:t>
      </w:r>
    </w:p>
    <w:p w14:paraId="31F62A75">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质疑联系人：肖忠文</w:t>
      </w:r>
    </w:p>
    <w:p w14:paraId="6D561367">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质疑联系方式：13757727199 </w:t>
      </w:r>
    </w:p>
    <w:p w14:paraId="3EBE8923">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3.同级政府采购监督管理部门</w:t>
      </w:r>
    </w:p>
    <w:p w14:paraId="7D7B410E">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名 称：温州市财政局政府采购监管处</w:t>
      </w:r>
    </w:p>
    <w:p w14:paraId="25B91749">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地 址：温州市鹿城区绣山路299号（建议使用邮政EMS寄送材料）</w:t>
      </w:r>
    </w:p>
    <w:p w14:paraId="6CF83273">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传 真：/ </w:t>
      </w:r>
    </w:p>
    <w:p w14:paraId="13804B24">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u w:val="none"/>
        </w:rPr>
      </w:pPr>
      <w:bookmarkStart w:id="2" w:name="_Toc10401"/>
      <w:bookmarkStart w:id="3" w:name="_Toc5772"/>
      <w:r>
        <w:rPr>
          <w:rFonts w:hint="eastAsia" w:ascii="新宋体" w:hAnsi="新宋体" w:eastAsia="新宋体" w:cs="新宋体"/>
          <w:color w:val="auto"/>
          <w:sz w:val="22"/>
          <w:szCs w:val="22"/>
          <w:highlight w:val="none"/>
          <w:u w:val="none"/>
        </w:rPr>
        <w:t>联系人 ：项先生、缪女士</w:t>
      </w:r>
    </w:p>
    <w:p w14:paraId="097EE8F3">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监督投诉电话：0577-88532725、88503817</w:t>
      </w:r>
    </w:p>
    <w:p w14:paraId="3CAC7BB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若对项目采购电子交易系统操作有疑问，可登录政采云（https://www.zcygov.cn/），点击右侧咨询小采，获取采小蜜智能服务管家帮助，或拨打政采云服务热线95763获取热线服务帮助。</w:t>
      </w:r>
    </w:p>
    <w:p w14:paraId="1BE9844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CA问题联系电话（人工）：汇信CA 400-888-4636；天谷CA 400-087-8198。</w:t>
      </w:r>
    </w:p>
    <w:p w14:paraId="101E613B">
      <w:pPr>
        <w:pStyle w:val="3"/>
        <w:rPr>
          <w:rFonts w:hint="eastAsia" w:ascii="新宋体" w:hAnsi="新宋体" w:eastAsia="新宋体" w:cs="新宋体"/>
          <w:color w:val="auto"/>
          <w:highlight w:val="none"/>
        </w:rPr>
      </w:pPr>
      <w:r>
        <w:rPr>
          <w:rFonts w:hint="eastAsia" w:ascii="新宋体" w:hAnsi="新宋体" w:eastAsia="新宋体" w:cs="新宋体"/>
          <w:color w:val="auto"/>
          <w:highlight w:val="none"/>
        </w:rPr>
        <w:t>第一部分</w:t>
      </w:r>
      <w:r>
        <w:rPr>
          <w:rFonts w:hint="eastAsia" w:ascii="新宋体" w:hAnsi="新宋体" w:eastAsia="新宋体" w:cs="新宋体"/>
          <w:color w:val="auto"/>
          <w:highlight w:val="none"/>
          <w:lang w:val="en-US" w:eastAsia="zh-CN"/>
        </w:rPr>
        <w:t xml:space="preserve">   </w:t>
      </w:r>
      <w:r>
        <w:rPr>
          <w:rFonts w:hint="eastAsia" w:ascii="新宋体" w:hAnsi="新宋体" w:eastAsia="新宋体" w:cs="新宋体"/>
          <w:color w:val="auto"/>
          <w:highlight w:val="none"/>
        </w:rPr>
        <w:t>投标人须知</w:t>
      </w:r>
      <w:bookmarkEnd w:id="2"/>
      <w:bookmarkEnd w:id="3"/>
    </w:p>
    <w:p w14:paraId="4F7C9E0C">
      <w:pPr>
        <w:keepNext/>
        <w:keepLines/>
        <w:shd w:val="clear" w:color="auto" w:fill="FFFFFF"/>
        <w:tabs>
          <w:tab w:val="left" w:pos="706"/>
        </w:tabs>
        <w:snapToGrid w:val="0"/>
        <w:spacing w:line="360" w:lineRule="auto"/>
        <w:jc w:val="center"/>
        <w:outlineLvl w:val="1"/>
        <w:rPr>
          <w:rFonts w:hint="eastAsia" w:ascii="新宋体" w:hAnsi="新宋体" w:eastAsia="新宋体" w:cs="新宋体"/>
          <w:b/>
          <w:bCs/>
          <w:color w:val="auto"/>
          <w:sz w:val="24"/>
          <w:highlight w:val="none"/>
        </w:rPr>
      </w:pPr>
      <w:bookmarkStart w:id="4" w:name="_Toc6224"/>
      <w:bookmarkStart w:id="5" w:name="_Toc354996695"/>
      <w:bookmarkStart w:id="6" w:name="_Toc1839"/>
      <w:bookmarkStart w:id="7" w:name="_Toc33194387"/>
      <w:bookmarkStart w:id="8" w:name="_Toc233618971"/>
      <w:r>
        <w:rPr>
          <w:rFonts w:hint="eastAsia" w:ascii="新宋体" w:hAnsi="新宋体" w:eastAsia="新宋体" w:cs="新宋体"/>
          <w:b/>
          <w:bCs/>
          <w:color w:val="auto"/>
          <w:sz w:val="24"/>
          <w:highlight w:val="none"/>
        </w:rPr>
        <w:t>前 附 表</w:t>
      </w:r>
      <w:bookmarkEnd w:id="4"/>
      <w:bookmarkEnd w:id="5"/>
      <w:bookmarkEnd w:id="6"/>
      <w:bookmarkEnd w:id="7"/>
      <w:bookmarkEnd w:id="8"/>
    </w:p>
    <w:tbl>
      <w:tblPr>
        <w:tblStyle w:val="53"/>
        <w:tblW w:w="1015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69"/>
        <w:gridCol w:w="9590"/>
      </w:tblGrid>
      <w:tr w14:paraId="13FAF9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9" w:type="dxa"/>
            <w:tcBorders>
              <w:top w:val="single" w:color="000000" w:sz="8" w:space="0"/>
              <w:left w:val="single" w:color="000000" w:sz="8" w:space="0"/>
              <w:bottom w:val="single" w:color="000000" w:sz="2" w:space="0"/>
              <w:right w:val="single" w:color="000000" w:sz="2" w:space="0"/>
            </w:tcBorders>
            <w:vAlign w:val="center"/>
          </w:tcPr>
          <w:p w14:paraId="3A49AE19">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条款</w:t>
            </w:r>
          </w:p>
        </w:tc>
        <w:tc>
          <w:tcPr>
            <w:tcW w:w="9590" w:type="dxa"/>
            <w:tcBorders>
              <w:top w:val="single" w:color="000000" w:sz="8" w:space="0"/>
              <w:left w:val="single" w:color="000000" w:sz="2" w:space="0"/>
              <w:bottom w:val="single" w:color="000000" w:sz="2" w:space="0"/>
              <w:right w:val="single" w:color="000000" w:sz="8" w:space="0"/>
            </w:tcBorders>
            <w:vAlign w:val="center"/>
          </w:tcPr>
          <w:p w14:paraId="180962BE">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内容规定</w:t>
            </w:r>
          </w:p>
        </w:tc>
      </w:tr>
      <w:tr w14:paraId="62386C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9" w:type="dxa"/>
            <w:tcBorders>
              <w:top w:val="single" w:color="000000" w:sz="2" w:space="0"/>
              <w:left w:val="single" w:color="000000" w:sz="8" w:space="0"/>
              <w:bottom w:val="single" w:color="000000" w:sz="2" w:space="0"/>
              <w:right w:val="single" w:color="000000" w:sz="2" w:space="0"/>
            </w:tcBorders>
            <w:vAlign w:val="center"/>
          </w:tcPr>
          <w:p w14:paraId="075110B4">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w:t>
            </w:r>
          </w:p>
        </w:tc>
        <w:tc>
          <w:tcPr>
            <w:tcW w:w="9590" w:type="dxa"/>
            <w:tcBorders>
              <w:top w:val="single" w:color="000000" w:sz="2" w:space="0"/>
              <w:left w:val="single" w:color="000000" w:sz="2" w:space="0"/>
              <w:bottom w:val="single" w:color="000000" w:sz="2" w:space="0"/>
              <w:right w:val="single" w:color="000000" w:sz="8" w:space="0"/>
            </w:tcBorders>
          </w:tcPr>
          <w:p w14:paraId="3315A649">
            <w:pPr>
              <w:tabs>
                <w:tab w:val="left" w:pos="3780"/>
              </w:tabs>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一、项目名称</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一次性使用去白细胞塑料血袋（重）</w:t>
            </w:r>
          </w:p>
          <w:p w14:paraId="7C8752AC">
            <w:pPr>
              <w:spacing w:line="460" w:lineRule="exact"/>
              <w:rPr>
                <w:rFonts w:hint="eastAsia" w:ascii="新宋体" w:hAnsi="新宋体" w:eastAsia="新宋体" w:cs="新宋体"/>
                <w:b/>
                <w:bCs/>
                <w:color w:val="auto"/>
                <w:sz w:val="22"/>
                <w:szCs w:val="22"/>
                <w:highlight w:val="none"/>
              </w:rPr>
            </w:pPr>
            <w:bookmarkStart w:id="9" w:name="_Hlt75139851"/>
            <w:bookmarkEnd w:id="9"/>
            <w:r>
              <w:rPr>
                <w:rFonts w:hint="eastAsia" w:ascii="新宋体" w:hAnsi="新宋体" w:eastAsia="新宋体" w:cs="新宋体"/>
                <w:b/>
                <w:bCs/>
                <w:color w:val="auto"/>
                <w:sz w:val="22"/>
                <w:szCs w:val="22"/>
                <w:highlight w:val="none"/>
              </w:rPr>
              <w:t>二、采购内容：</w:t>
            </w:r>
          </w:p>
          <w:tbl>
            <w:tblPr>
              <w:tblStyle w:val="53"/>
              <w:tblW w:w="913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4"/>
              <w:gridCol w:w="1920"/>
              <w:gridCol w:w="1219"/>
              <w:gridCol w:w="1380"/>
              <w:gridCol w:w="1935"/>
              <w:gridCol w:w="2016"/>
            </w:tblGrid>
            <w:tr w14:paraId="7596D1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664" w:type="dxa"/>
                  <w:tcBorders>
                    <w:top w:val="single" w:color="auto" w:sz="4" w:space="0"/>
                    <w:left w:val="single" w:color="auto" w:sz="4" w:space="0"/>
                    <w:bottom w:val="single" w:color="auto" w:sz="4" w:space="0"/>
                    <w:right w:val="single" w:color="auto" w:sz="4" w:space="0"/>
                  </w:tcBorders>
                  <w:vAlign w:val="center"/>
                </w:tcPr>
                <w:p w14:paraId="135B1D94">
                  <w:pPr>
                    <w:tabs>
                      <w:tab w:val="left" w:pos="360"/>
                    </w:tabs>
                    <w:spacing w:line="460" w:lineRule="exact"/>
                    <w:jc w:val="center"/>
                    <w:rPr>
                      <w:rFonts w:hint="eastAsia" w:ascii="新宋体" w:hAnsi="新宋体" w:eastAsia="新宋体" w:cs="新宋体"/>
                      <w:color w:val="auto"/>
                      <w:sz w:val="22"/>
                      <w:szCs w:val="22"/>
                      <w:highlight w:val="none"/>
                      <w:shd w:val="clear" w:color="auto" w:fill="FFFFFF"/>
                    </w:rPr>
                  </w:pPr>
                  <w:r>
                    <w:rPr>
                      <w:rFonts w:hint="eastAsia" w:ascii="新宋体" w:hAnsi="新宋体" w:eastAsia="新宋体" w:cs="新宋体"/>
                      <w:color w:val="auto"/>
                      <w:sz w:val="22"/>
                      <w:szCs w:val="22"/>
                      <w:highlight w:val="none"/>
                    </w:rPr>
                    <w:t>序号</w:t>
                  </w:r>
                </w:p>
              </w:tc>
              <w:tc>
                <w:tcPr>
                  <w:tcW w:w="1920" w:type="dxa"/>
                  <w:tcBorders>
                    <w:top w:val="single" w:color="auto" w:sz="4" w:space="0"/>
                    <w:left w:val="single" w:color="auto" w:sz="4" w:space="0"/>
                    <w:bottom w:val="single" w:color="auto" w:sz="4" w:space="0"/>
                    <w:right w:val="single" w:color="auto" w:sz="4" w:space="0"/>
                  </w:tcBorders>
                  <w:vAlign w:val="center"/>
                </w:tcPr>
                <w:p w14:paraId="584462BA">
                  <w:pPr>
                    <w:tabs>
                      <w:tab w:val="left" w:pos="360"/>
                    </w:tabs>
                    <w:spacing w:line="460" w:lineRule="exact"/>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项目</w:t>
                  </w:r>
                  <w:r>
                    <w:rPr>
                      <w:rFonts w:hint="eastAsia" w:ascii="新宋体" w:hAnsi="新宋体" w:eastAsia="新宋体" w:cs="新宋体"/>
                      <w:color w:val="auto"/>
                      <w:sz w:val="22"/>
                      <w:szCs w:val="22"/>
                      <w:highlight w:val="none"/>
                      <w:lang w:val="en-US" w:eastAsia="zh-CN"/>
                    </w:rPr>
                    <w:t>内容</w:t>
                  </w:r>
                </w:p>
              </w:tc>
              <w:tc>
                <w:tcPr>
                  <w:tcW w:w="1219" w:type="dxa"/>
                  <w:tcBorders>
                    <w:top w:val="single" w:color="auto" w:sz="4" w:space="0"/>
                    <w:left w:val="single" w:color="auto" w:sz="4" w:space="0"/>
                    <w:bottom w:val="single" w:color="auto" w:sz="4" w:space="0"/>
                    <w:right w:val="single" w:color="auto" w:sz="4" w:space="0"/>
                  </w:tcBorders>
                  <w:vAlign w:val="center"/>
                </w:tcPr>
                <w:p w14:paraId="68255734">
                  <w:pPr>
                    <w:tabs>
                      <w:tab w:val="left" w:pos="360"/>
                    </w:tabs>
                    <w:spacing w:line="460" w:lineRule="exact"/>
                    <w:jc w:val="center"/>
                    <w:rPr>
                      <w:rFonts w:hint="eastAsia" w:ascii="新宋体" w:hAnsi="新宋体" w:eastAsia="新宋体" w:cs="新宋体"/>
                      <w:color w:val="auto"/>
                      <w:sz w:val="22"/>
                      <w:szCs w:val="22"/>
                      <w:highlight w:val="none"/>
                      <w:shd w:val="clear" w:color="auto" w:fill="FFFFFF"/>
                      <w:lang w:eastAsia="zh-CN"/>
                    </w:rPr>
                  </w:pPr>
                  <w:r>
                    <w:rPr>
                      <w:rFonts w:hint="eastAsia" w:ascii="新宋体" w:hAnsi="新宋体" w:eastAsia="新宋体" w:cs="新宋体"/>
                      <w:color w:val="auto"/>
                      <w:sz w:val="22"/>
                      <w:szCs w:val="22"/>
                      <w:highlight w:val="none"/>
                    </w:rPr>
                    <w:t>单位</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bCs/>
                      <w:color w:val="auto"/>
                      <w:sz w:val="22"/>
                      <w:szCs w:val="22"/>
                      <w:highlight w:val="none"/>
                      <w:lang w:val="en-US" w:eastAsia="zh-CN"/>
                    </w:rPr>
                    <w:t>套</w:t>
                  </w: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14:paraId="7AE2A1BF">
                  <w:pPr>
                    <w:tabs>
                      <w:tab w:val="left" w:pos="360"/>
                    </w:tabs>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highlight w:val="none"/>
                    </w:rPr>
                    <w:t>预算金额（元）</w:t>
                  </w:r>
                </w:p>
              </w:tc>
              <w:tc>
                <w:tcPr>
                  <w:tcW w:w="1935" w:type="dxa"/>
                  <w:tcBorders>
                    <w:top w:val="single" w:color="auto" w:sz="4" w:space="0"/>
                    <w:left w:val="single" w:color="auto" w:sz="4" w:space="0"/>
                    <w:bottom w:val="single" w:color="auto" w:sz="4" w:space="0"/>
                    <w:right w:val="single" w:color="auto" w:sz="4" w:space="0"/>
                  </w:tcBorders>
                  <w:vAlign w:val="center"/>
                </w:tcPr>
                <w:p w14:paraId="5AAC1FDD">
                  <w:pPr>
                    <w:widowControl/>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简要技术要求、用途</w:t>
                  </w:r>
                </w:p>
              </w:tc>
              <w:tc>
                <w:tcPr>
                  <w:tcW w:w="2016" w:type="dxa"/>
                  <w:tcBorders>
                    <w:top w:val="single" w:color="auto" w:sz="4" w:space="0"/>
                    <w:left w:val="single" w:color="auto" w:sz="4" w:space="0"/>
                    <w:bottom w:val="single" w:color="auto" w:sz="4" w:space="0"/>
                    <w:right w:val="single" w:color="auto" w:sz="4" w:space="0"/>
                  </w:tcBorders>
                  <w:vAlign w:val="center"/>
                </w:tcPr>
                <w:p w14:paraId="246EFA18">
                  <w:pPr>
                    <w:widowControl/>
                    <w:snapToGrid w:val="0"/>
                    <w:spacing w:line="460" w:lineRule="exact"/>
                    <w:jc w:val="center"/>
                    <w:rPr>
                      <w:rFonts w:hint="eastAsia"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lang w:val="en-US" w:eastAsia="zh-CN"/>
                    </w:rPr>
                    <w:t>备注</w:t>
                  </w:r>
                </w:p>
              </w:tc>
            </w:tr>
            <w:tr w14:paraId="59EECC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2" w:hRule="atLeast"/>
                <w:jc w:val="center"/>
              </w:trPr>
              <w:tc>
                <w:tcPr>
                  <w:tcW w:w="664" w:type="dxa"/>
                  <w:tcBorders>
                    <w:top w:val="single" w:color="auto" w:sz="4" w:space="0"/>
                    <w:left w:val="single" w:color="auto" w:sz="4" w:space="0"/>
                    <w:right w:val="single" w:color="auto" w:sz="4" w:space="0"/>
                  </w:tcBorders>
                  <w:vAlign w:val="center"/>
                </w:tcPr>
                <w:p w14:paraId="6C8F509F">
                  <w:pPr>
                    <w:tabs>
                      <w:tab w:val="left" w:pos="360"/>
                    </w:tabs>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1920" w:type="dxa"/>
                  <w:tcBorders>
                    <w:top w:val="single" w:color="auto" w:sz="4" w:space="0"/>
                    <w:left w:val="single" w:color="auto" w:sz="4" w:space="0"/>
                    <w:right w:val="single" w:color="auto" w:sz="4" w:space="0"/>
                  </w:tcBorders>
                  <w:vAlign w:val="center"/>
                </w:tcPr>
                <w:p w14:paraId="7C528171">
                  <w:pPr>
                    <w:numPr>
                      <w:ilvl w:val="0"/>
                      <w:numId w:val="0"/>
                    </w:numPr>
                    <w:spacing w:line="460" w:lineRule="exact"/>
                    <w:jc w:val="both"/>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eastAsia="zh-CN"/>
                    </w:rPr>
                    <w:t>一次性使用去白细胞塑料血袋</w:t>
                  </w:r>
                </w:p>
              </w:tc>
              <w:tc>
                <w:tcPr>
                  <w:tcW w:w="1219" w:type="dxa"/>
                  <w:tcBorders>
                    <w:top w:val="single" w:color="auto" w:sz="4" w:space="0"/>
                    <w:left w:val="single" w:color="auto" w:sz="4" w:space="0"/>
                    <w:bottom w:val="single" w:color="auto" w:sz="4" w:space="0"/>
                    <w:right w:val="single" w:color="auto" w:sz="4" w:space="0"/>
                  </w:tcBorders>
                  <w:vAlign w:val="center"/>
                </w:tcPr>
                <w:p w14:paraId="594BE104">
                  <w:pPr>
                    <w:tabs>
                      <w:tab w:val="left" w:pos="360"/>
                    </w:tabs>
                    <w:spacing w:line="460" w:lineRule="exact"/>
                    <w:jc w:val="center"/>
                    <w:rPr>
                      <w:rFonts w:hint="eastAsia" w:ascii="新宋体" w:hAnsi="新宋体" w:eastAsia="新宋体" w:cs="新宋体"/>
                      <w:color w:val="auto"/>
                      <w:sz w:val="22"/>
                      <w:szCs w:val="22"/>
                      <w:highlight w:val="none"/>
                      <w:shd w:val="clear" w:color="auto" w:fill="FFFFFF"/>
                      <w:lang w:val="en-US" w:eastAsia="zh-CN"/>
                    </w:rPr>
                  </w:pPr>
                  <w:r>
                    <w:rPr>
                      <w:rFonts w:hint="eastAsia" w:ascii="新宋体" w:hAnsi="新宋体" w:eastAsia="新宋体" w:cs="新宋体"/>
                      <w:color w:val="auto"/>
                      <w:sz w:val="22"/>
                      <w:szCs w:val="22"/>
                      <w:highlight w:val="none"/>
                      <w:shd w:val="clear" w:color="auto" w:fill="FFFFFF"/>
                      <w:lang w:val="en-US" w:eastAsia="zh-CN"/>
                    </w:rPr>
                    <w:t>23933</w:t>
                  </w:r>
                </w:p>
              </w:tc>
              <w:tc>
                <w:tcPr>
                  <w:tcW w:w="1380" w:type="dxa"/>
                  <w:tcBorders>
                    <w:top w:val="single" w:color="auto" w:sz="4" w:space="0"/>
                    <w:left w:val="single" w:color="auto" w:sz="4" w:space="0"/>
                    <w:right w:val="single" w:color="auto" w:sz="4" w:space="0"/>
                  </w:tcBorders>
                  <w:shd w:val="clear" w:color="auto" w:fill="auto"/>
                  <w:vAlign w:val="center"/>
                </w:tcPr>
                <w:p w14:paraId="2E29DE15">
                  <w:pPr>
                    <w:tabs>
                      <w:tab w:val="left" w:pos="360"/>
                    </w:tabs>
                    <w:spacing w:line="460" w:lineRule="exact"/>
                    <w:jc w:val="center"/>
                    <w:rPr>
                      <w:rFonts w:hint="eastAsia" w:ascii="新宋体" w:hAnsi="新宋体" w:eastAsia="新宋体" w:cs="新宋体"/>
                      <w:color w:val="auto"/>
                      <w:sz w:val="22"/>
                      <w:szCs w:val="22"/>
                      <w:highlight w:val="none"/>
                      <w:shd w:val="clear" w:color="auto" w:fill="FFFFFF"/>
                      <w:lang w:val="en-US"/>
                    </w:rPr>
                  </w:pPr>
                  <w:r>
                    <w:rPr>
                      <w:rFonts w:hint="eastAsia" w:ascii="新宋体" w:hAnsi="新宋体" w:eastAsia="新宋体" w:cs="新宋体"/>
                      <w:color w:val="auto"/>
                      <w:sz w:val="22"/>
                      <w:szCs w:val="22"/>
                      <w:highlight w:val="none"/>
                      <w:lang w:val="en-US" w:eastAsia="zh-CN"/>
                    </w:rPr>
                    <w:t>913087.50</w:t>
                  </w:r>
                </w:p>
              </w:tc>
              <w:tc>
                <w:tcPr>
                  <w:tcW w:w="1935" w:type="dxa"/>
                  <w:tcBorders>
                    <w:top w:val="single" w:color="auto" w:sz="4" w:space="0"/>
                    <w:left w:val="single" w:color="auto" w:sz="4" w:space="0"/>
                    <w:right w:val="single" w:color="auto" w:sz="4" w:space="0"/>
                  </w:tcBorders>
                  <w:vAlign w:val="center"/>
                </w:tcPr>
                <w:p w14:paraId="30A7B6D6">
                  <w:pPr>
                    <w:tabs>
                      <w:tab w:val="left" w:pos="360"/>
                    </w:tabs>
                    <w:spacing w:line="460" w:lineRule="exact"/>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详见“项目技术规范和服务要求”</w:t>
                  </w:r>
                </w:p>
              </w:tc>
              <w:tc>
                <w:tcPr>
                  <w:tcW w:w="2016" w:type="dxa"/>
                  <w:tcBorders>
                    <w:top w:val="single" w:color="auto" w:sz="4" w:space="0"/>
                    <w:left w:val="single" w:color="auto" w:sz="4" w:space="0"/>
                    <w:right w:val="single" w:color="auto" w:sz="4" w:space="0"/>
                  </w:tcBorders>
                  <w:vAlign w:val="center"/>
                </w:tcPr>
                <w:p w14:paraId="648AAAF5">
                  <w:pPr>
                    <w:tabs>
                      <w:tab w:val="left" w:pos="360"/>
                    </w:tabs>
                    <w:spacing w:line="460" w:lineRule="exact"/>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b/>
                      <w:color w:val="auto"/>
                      <w:sz w:val="22"/>
                      <w:szCs w:val="22"/>
                      <w:highlight w:val="none"/>
                      <w:u w:val="single"/>
                    </w:rPr>
                    <w:t>▲</w:t>
                  </w:r>
                  <w:r>
                    <w:rPr>
                      <w:rFonts w:hint="eastAsia" w:ascii="新宋体" w:hAnsi="新宋体" w:eastAsia="新宋体" w:cs="新宋体"/>
                      <w:color w:val="auto"/>
                      <w:sz w:val="22"/>
                      <w:szCs w:val="22"/>
                      <w:highlight w:val="none"/>
                      <w:u w:val="single"/>
                      <w:lang w:val="en-US" w:eastAsia="zh-CN"/>
                    </w:rPr>
                    <w:t>本项目不允许进口产品投标</w:t>
                  </w:r>
                </w:p>
              </w:tc>
            </w:tr>
          </w:tbl>
          <w:p w14:paraId="7B283472">
            <w:pPr>
              <w:tabs>
                <w:tab w:val="left" w:pos="360"/>
              </w:tabs>
              <w:spacing w:line="460" w:lineRule="exact"/>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▲如投标人报价超过预算金额按无效标处理。</w:t>
            </w:r>
          </w:p>
          <w:p w14:paraId="6F19C8C6">
            <w:pPr>
              <w:tabs>
                <w:tab w:val="left" w:pos="360"/>
              </w:tabs>
              <w:spacing w:line="460" w:lineRule="exact"/>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kern w:val="2"/>
                <w:sz w:val="22"/>
                <w:szCs w:val="22"/>
                <w:highlight w:val="none"/>
                <w:lang w:val="en-US" w:eastAsia="zh-CN" w:bidi="ar-SA"/>
              </w:rPr>
              <w:t>三、本项目（是）接受联合体投标，组成的联合体须满足：①出具联合体共同投标协议书（须明确牵头人）；②以联合体形式参加政府采购活动的，联合体各方不得再单独参加或者与其他供应商另外组成联合体参加同一合同项下的政府采购活动。③联合体组成成员（含牵头人）不得超过2家。</w:t>
            </w:r>
          </w:p>
        </w:tc>
      </w:tr>
      <w:tr w14:paraId="54005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9" w:type="dxa"/>
            <w:tcBorders>
              <w:top w:val="single" w:color="000000" w:sz="2" w:space="0"/>
              <w:left w:val="single" w:color="000000" w:sz="8" w:space="0"/>
              <w:bottom w:val="single" w:color="000000" w:sz="2" w:space="0"/>
              <w:right w:val="single" w:color="000000" w:sz="2" w:space="0"/>
            </w:tcBorders>
            <w:vAlign w:val="center"/>
          </w:tcPr>
          <w:p w14:paraId="552BC6A6">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w:t>
            </w:r>
          </w:p>
        </w:tc>
        <w:tc>
          <w:tcPr>
            <w:tcW w:w="9590" w:type="dxa"/>
            <w:tcBorders>
              <w:top w:val="single" w:color="000000" w:sz="2" w:space="0"/>
              <w:left w:val="single" w:color="000000" w:sz="2" w:space="0"/>
              <w:bottom w:val="single" w:color="000000" w:sz="2" w:space="0"/>
              <w:right w:val="single" w:color="000000" w:sz="8" w:space="0"/>
            </w:tcBorders>
            <w:vAlign w:val="center"/>
          </w:tcPr>
          <w:p w14:paraId="0793A4EF">
            <w:pPr>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lang w:val="zh-CN"/>
              </w:rPr>
              <w:t>投标</w:t>
            </w:r>
            <w:r>
              <w:rPr>
                <w:rFonts w:hint="eastAsia" w:ascii="新宋体" w:hAnsi="新宋体" w:eastAsia="新宋体" w:cs="新宋体"/>
                <w:b/>
                <w:bCs/>
                <w:color w:val="auto"/>
                <w:sz w:val="22"/>
                <w:szCs w:val="22"/>
                <w:highlight w:val="none"/>
              </w:rPr>
              <w:t>有效期：</w:t>
            </w:r>
            <w:r>
              <w:rPr>
                <w:rFonts w:hint="eastAsia" w:ascii="新宋体" w:hAnsi="新宋体" w:eastAsia="新宋体" w:cs="新宋体"/>
                <w:color w:val="auto"/>
                <w:sz w:val="22"/>
                <w:szCs w:val="22"/>
                <w:highlight w:val="none"/>
              </w:rPr>
              <w:t>自投标截止日起</w:t>
            </w:r>
            <w:r>
              <w:rPr>
                <w:rFonts w:hint="eastAsia" w:ascii="新宋体" w:hAnsi="新宋体" w:eastAsia="新宋体" w:cs="新宋体"/>
                <w:color w:val="auto"/>
                <w:sz w:val="22"/>
                <w:szCs w:val="22"/>
                <w:highlight w:val="none"/>
                <w:lang w:eastAsia="zh-CN"/>
              </w:rPr>
              <w:t>90天</w:t>
            </w:r>
            <w:r>
              <w:rPr>
                <w:rFonts w:hint="eastAsia" w:ascii="新宋体" w:hAnsi="新宋体" w:eastAsia="新宋体" w:cs="新宋体"/>
                <w:color w:val="auto"/>
                <w:sz w:val="22"/>
                <w:szCs w:val="22"/>
                <w:highlight w:val="none"/>
              </w:rPr>
              <w:t>。</w:t>
            </w:r>
          </w:p>
        </w:tc>
      </w:tr>
      <w:tr w14:paraId="7074FA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9" w:type="dxa"/>
            <w:tcBorders>
              <w:top w:val="single" w:color="000000" w:sz="2" w:space="0"/>
              <w:left w:val="single" w:color="000000" w:sz="8" w:space="0"/>
              <w:bottom w:val="single" w:color="000000" w:sz="2" w:space="0"/>
              <w:right w:val="single" w:color="000000" w:sz="2" w:space="0"/>
            </w:tcBorders>
            <w:vAlign w:val="center"/>
          </w:tcPr>
          <w:p w14:paraId="421B211C">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3</w:t>
            </w:r>
          </w:p>
        </w:tc>
        <w:tc>
          <w:tcPr>
            <w:tcW w:w="9590" w:type="dxa"/>
            <w:tcBorders>
              <w:top w:val="single" w:color="000000" w:sz="2" w:space="0"/>
              <w:left w:val="single" w:color="000000" w:sz="2" w:space="0"/>
              <w:bottom w:val="single" w:color="000000" w:sz="2" w:space="0"/>
              <w:right w:val="single" w:color="000000" w:sz="8" w:space="0"/>
            </w:tcBorders>
            <w:vAlign w:val="center"/>
          </w:tcPr>
          <w:p w14:paraId="3C6FDE55">
            <w:pPr>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投标保证金数额：无</w:t>
            </w:r>
            <w:r>
              <w:rPr>
                <w:rFonts w:hint="eastAsia" w:ascii="新宋体" w:hAnsi="新宋体" w:eastAsia="新宋体" w:cs="新宋体"/>
                <w:color w:val="auto"/>
                <w:sz w:val="22"/>
                <w:szCs w:val="22"/>
                <w:highlight w:val="none"/>
              </w:rPr>
              <w:t>。</w:t>
            </w:r>
          </w:p>
        </w:tc>
      </w:tr>
      <w:tr w14:paraId="068443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9" w:type="dxa"/>
            <w:tcBorders>
              <w:top w:val="single" w:color="000000" w:sz="2" w:space="0"/>
              <w:left w:val="single" w:color="000000" w:sz="8" w:space="0"/>
              <w:bottom w:val="single" w:color="000000" w:sz="2" w:space="0"/>
              <w:right w:val="single" w:color="000000" w:sz="2" w:space="0"/>
            </w:tcBorders>
            <w:vAlign w:val="center"/>
          </w:tcPr>
          <w:p w14:paraId="1913B136">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4</w:t>
            </w:r>
          </w:p>
        </w:tc>
        <w:tc>
          <w:tcPr>
            <w:tcW w:w="9590" w:type="dxa"/>
            <w:tcBorders>
              <w:top w:val="single" w:color="000000" w:sz="2" w:space="0"/>
              <w:left w:val="single" w:color="000000" w:sz="2" w:space="0"/>
              <w:bottom w:val="single" w:color="000000" w:sz="2" w:space="0"/>
              <w:right w:val="single" w:color="000000" w:sz="8" w:space="0"/>
            </w:tcBorders>
            <w:vAlign w:val="center"/>
          </w:tcPr>
          <w:p w14:paraId="39B1B4E2">
            <w:pPr>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招标服务费：根据国家计委计价格【2002】1980号《招标代理服务收费管理暂行办法》规定</w:t>
            </w:r>
            <w:r>
              <w:rPr>
                <w:rFonts w:hint="eastAsia" w:ascii="新宋体" w:hAnsi="新宋体" w:eastAsia="新宋体" w:cs="新宋体"/>
                <w:b/>
                <w:bCs/>
                <w:color w:val="auto"/>
                <w:sz w:val="22"/>
                <w:szCs w:val="22"/>
                <w:highlight w:val="none"/>
                <w:lang w:val="en-US" w:eastAsia="zh-CN"/>
              </w:rPr>
              <w:t>标准</w:t>
            </w:r>
            <w:r>
              <w:rPr>
                <w:rFonts w:hint="eastAsia" w:ascii="新宋体" w:hAnsi="新宋体" w:eastAsia="新宋体" w:cs="新宋体"/>
                <w:b/>
                <w:bCs/>
                <w:color w:val="auto"/>
                <w:sz w:val="22"/>
                <w:szCs w:val="22"/>
                <w:highlight w:val="none"/>
              </w:rPr>
              <w:t>收取</w:t>
            </w:r>
            <w:r>
              <w:rPr>
                <w:rFonts w:hint="eastAsia" w:ascii="新宋体" w:hAnsi="新宋体" w:eastAsia="新宋体" w:cs="新宋体"/>
                <w:b/>
                <w:bCs/>
                <w:color w:val="auto"/>
                <w:sz w:val="22"/>
                <w:szCs w:val="22"/>
                <w:highlight w:val="none"/>
                <w:lang w:eastAsia="zh-CN"/>
              </w:rPr>
              <w:t>，</w:t>
            </w:r>
            <w:r>
              <w:rPr>
                <w:rFonts w:hint="eastAsia" w:ascii="新宋体" w:hAnsi="新宋体" w:eastAsia="新宋体" w:cs="新宋体"/>
                <w:b/>
                <w:bCs/>
                <w:color w:val="auto"/>
                <w:sz w:val="22"/>
                <w:szCs w:val="22"/>
                <w:highlight w:val="none"/>
              </w:rPr>
              <w:t>由</w:t>
            </w:r>
            <w:r>
              <w:rPr>
                <w:rFonts w:hint="eastAsia" w:ascii="新宋体" w:hAnsi="新宋体" w:eastAsia="新宋体" w:cs="新宋体"/>
                <w:b/>
                <w:bCs/>
                <w:color w:val="auto"/>
                <w:sz w:val="22"/>
                <w:szCs w:val="22"/>
                <w:highlight w:val="none"/>
                <w:lang w:val="en-US" w:eastAsia="zh-CN"/>
              </w:rPr>
              <w:t>中标人</w:t>
            </w:r>
            <w:r>
              <w:rPr>
                <w:rFonts w:hint="eastAsia" w:ascii="新宋体" w:hAnsi="新宋体" w:eastAsia="新宋体" w:cs="新宋体"/>
                <w:b/>
                <w:bCs/>
                <w:color w:val="auto"/>
                <w:sz w:val="22"/>
                <w:szCs w:val="22"/>
                <w:highlight w:val="none"/>
              </w:rPr>
              <w:t>在领取</w:t>
            </w:r>
            <w:r>
              <w:rPr>
                <w:rFonts w:hint="eastAsia" w:ascii="新宋体" w:hAnsi="新宋体" w:eastAsia="新宋体" w:cs="新宋体"/>
                <w:b/>
                <w:bCs/>
                <w:color w:val="auto"/>
                <w:sz w:val="22"/>
                <w:szCs w:val="22"/>
                <w:highlight w:val="none"/>
                <w:lang w:val="en-US" w:eastAsia="zh-CN"/>
              </w:rPr>
              <w:t>中标</w:t>
            </w:r>
            <w:r>
              <w:rPr>
                <w:rFonts w:hint="eastAsia" w:ascii="新宋体" w:hAnsi="新宋体" w:eastAsia="新宋体" w:cs="新宋体"/>
                <w:b/>
                <w:bCs/>
                <w:color w:val="auto"/>
                <w:sz w:val="22"/>
                <w:szCs w:val="22"/>
                <w:highlight w:val="none"/>
              </w:rPr>
              <w:t>通知书时支付。</w:t>
            </w:r>
          </w:p>
          <w:p w14:paraId="10E5AE40">
            <w:pPr>
              <w:spacing w:line="460" w:lineRule="exact"/>
              <w:ind w:firstLine="539" w:firstLineChars="245"/>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户  名：温州历程招标有限公司</w:t>
            </w:r>
          </w:p>
          <w:p w14:paraId="339F5F21">
            <w:pPr>
              <w:spacing w:line="460" w:lineRule="exact"/>
              <w:ind w:firstLine="539" w:firstLineChars="245"/>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账  号：33050162870409101001</w:t>
            </w:r>
          </w:p>
          <w:p w14:paraId="3D41E648">
            <w:pPr>
              <w:spacing w:line="460" w:lineRule="exact"/>
              <w:ind w:firstLine="539" w:firstLineChars="245"/>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开户行：中国建设银行股份有限公司温州新城支行</w:t>
            </w:r>
          </w:p>
          <w:p w14:paraId="4645DA4D">
            <w:pPr>
              <w:spacing w:line="460" w:lineRule="exact"/>
              <w:ind w:firstLine="539" w:firstLineChars="245"/>
              <w:rPr>
                <w:rFonts w:hint="eastAsia" w:ascii="新宋体" w:hAnsi="新宋体" w:eastAsia="新宋体" w:cs="新宋体"/>
                <w:color w:val="auto"/>
                <w:highlight w:val="none"/>
              </w:rPr>
            </w:pPr>
            <w:r>
              <w:rPr>
                <w:rFonts w:hint="eastAsia" w:ascii="新宋体" w:hAnsi="新宋体" w:eastAsia="新宋体" w:cs="新宋体"/>
                <w:color w:val="auto"/>
                <w:sz w:val="22"/>
                <w:szCs w:val="22"/>
                <w:highlight w:val="none"/>
                <w:lang w:val="en-US" w:eastAsia="zh-CN"/>
              </w:rPr>
              <w:t>行  号：105333000038</w:t>
            </w:r>
          </w:p>
        </w:tc>
      </w:tr>
      <w:tr w14:paraId="5EA1B2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9" w:type="dxa"/>
            <w:tcBorders>
              <w:top w:val="single" w:color="000000" w:sz="2" w:space="0"/>
              <w:left w:val="single" w:color="000000" w:sz="8" w:space="0"/>
              <w:bottom w:val="single" w:color="000000" w:sz="2" w:space="0"/>
              <w:right w:val="single" w:color="000000" w:sz="2" w:space="0"/>
            </w:tcBorders>
            <w:vAlign w:val="center"/>
          </w:tcPr>
          <w:p w14:paraId="0B30CC5B">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5</w:t>
            </w:r>
          </w:p>
        </w:tc>
        <w:tc>
          <w:tcPr>
            <w:tcW w:w="9590" w:type="dxa"/>
            <w:tcBorders>
              <w:top w:val="single" w:color="000000" w:sz="2" w:space="0"/>
              <w:left w:val="single" w:color="000000" w:sz="2" w:space="0"/>
              <w:bottom w:val="single" w:color="000000" w:sz="2" w:space="0"/>
              <w:right w:val="single" w:color="000000" w:sz="8" w:space="0"/>
            </w:tcBorders>
            <w:vAlign w:val="center"/>
          </w:tcPr>
          <w:p w14:paraId="40514DA3">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投标文件的组成：</w:t>
            </w:r>
            <w:r>
              <w:rPr>
                <w:rFonts w:hint="eastAsia" w:ascii="新宋体" w:hAnsi="新宋体" w:eastAsia="新宋体" w:cs="新宋体"/>
                <w:color w:val="auto"/>
                <w:sz w:val="22"/>
                <w:szCs w:val="22"/>
                <w:highlight w:val="none"/>
              </w:rPr>
              <w:t>完整的《投标文件》由“资格文件”、“报价文件”和“商务技术文件”三个部分组成。</w:t>
            </w:r>
          </w:p>
        </w:tc>
      </w:tr>
      <w:tr w14:paraId="5DD4C1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9" w:type="dxa"/>
            <w:tcBorders>
              <w:top w:val="single" w:color="000000" w:sz="2" w:space="0"/>
              <w:left w:val="single" w:color="000000" w:sz="8" w:space="0"/>
              <w:bottom w:val="single" w:color="000000" w:sz="2" w:space="0"/>
              <w:right w:val="single" w:color="000000" w:sz="2" w:space="0"/>
            </w:tcBorders>
            <w:vAlign w:val="center"/>
          </w:tcPr>
          <w:p w14:paraId="792C80DE">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6</w:t>
            </w:r>
          </w:p>
        </w:tc>
        <w:tc>
          <w:tcPr>
            <w:tcW w:w="9590" w:type="dxa"/>
            <w:tcBorders>
              <w:top w:val="single" w:color="000000" w:sz="2" w:space="0"/>
              <w:left w:val="single" w:color="000000" w:sz="2" w:space="0"/>
              <w:bottom w:val="single" w:color="000000" w:sz="2" w:space="0"/>
              <w:right w:val="single" w:color="000000" w:sz="8" w:space="0"/>
            </w:tcBorders>
            <w:vAlign w:val="center"/>
          </w:tcPr>
          <w:p w14:paraId="781AEB35">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投标文件的编制：</w:t>
            </w:r>
            <w:r>
              <w:rPr>
                <w:rFonts w:hint="eastAsia" w:ascii="新宋体" w:hAnsi="新宋体" w:eastAsia="新宋体" w:cs="新宋体"/>
                <w:color w:val="auto"/>
                <w:sz w:val="22"/>
                <w:szCs w:val="22"/>
                <w:highlight w:val="none"/>
              </w:rPr>
              <w:t>供应商应先安装“政采云电子交易客户端”，并按照本</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和“政府采购云平台”的要求，通过“政采云电子交易客户端”编制并加密投标文件。</w:t>
            </w:r>
          </w:p>
        </w:tc>
      </w:tr>
      <w:tr w14:paraId="230727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9" w:type="dxa"/>
            <w:tcBorders>
              <w:top w:val="single" w:color="000000" w:sz="2" w:space="0"/>
              <w:left w:val="single" w:color="000000" w:sz="8" w:space="0"/>
              <w:bottom w:val="single" w:color="000000" w:sz="2" w:space="0"/>
              <w:right w:val="single" w:color="000000" w:sz="2" w:space="0"/>
            </w:tcBorders>
            <w:vAlign w:val="center"/>
          </w:tcPr>
          <w:p w14:paraId="620CB8D6">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7</w:t>
            </w:r>
          </w:p>
        </w:tc>
        <w:tc>
          <w:tcPr>
            <w:tcW w:w="9590" w:type="dxa"/>
            <w:tcBorders>
              <w:top w:val="single" w:color="000000" w:sz="2" w:space="0"/>
              <w:left w:val="single" w:color="000000" w:sz="2" w:space="0"/>
              <w:bottom w:val="single" w:color="000000" w:sz="2" w:space="0"/>
              <w:right w:val="single" w:color="000000" w:sz="8" w:space="0"/>
            </w:tcBorders>
            <w:vAlign w:val="center"/>
          </w:tcPr>
          <w:p w14:paraId="18E6145A">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投标文件的签章：</w:t>
            </w:r>
            <w:r>
              <w:rPr>
                <w:rFonts w:hint="eastAsia" w:ascii="新宋体" w:hAnsi="新宋体" w:eastAsia="新宋体" w:cs="新宋体"/>
                <w:color w:val="auto"/>
                <w:sz w:val="22"/>
                <w:szCs w:val="22"/>
                <w:highlight w:val="none"/>
              </w:rPr>
              <w:t>电子签章。</w:t>
            </w:r>
            <w:r>
              <w:rPr>
                <w:rFonts w:hint="eastAsia" w:ascii="新宋体" w:hAnsi="新宋体" w:eastAsia="新宋体" w:cs="新宋体"/>
                <w:b/>
                <w:bCs/>
                <w:color w:val="auto"/>
                <w:sz w:val="22"/>
                <w:szCs w:val="22"/>
                <w:highlight w:val="none"/>
                <w:lang w:val="en-US" w:eastAsia="zh-CN"/>
              </w:rPr>
              <w:t>如为联合体投标的，采购文件中需联合体所有成员分别填写的格式，联合体成员（除牵头人外）按采购文件格式分别进行编制（格式中要求提供相关证明材料的还需后附相关证明材料），并按格式要求在指定位置根据要求进行签字（或盖章）后将扫描件提交给牵头人（联合体共同投标协议书须签字或盖章的地方须由联合体双方均签字或盖章）。牵头人在完成投标文件编制后扫描上传加密电子投保文件，电子投标文件中所须加盖公章的地方均加盖牵头人的电子签章。</w:t>
            </w:r>
          </w:p>
        </w:tc>
      </w:tr>
      <w:tr w14:paraId="77729F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9" w:type="dxa"/>
            <w:tcBorders>
              <w:top w:val="single" w:color="000000" w:sz="2" w:space="0"/>
              <w:left w:val="single" w:color="000000" w:sz="8" w:space="0"/>
              <w:bottom w:val="single" w:color="000000" w:sz="2" w:space="0"/>
              <w:right w:val="single" w:color="000000" w:sz="2" w:space="0"/>
            </w:tcBorders>
            <w:vAlign w:val="center"/>
          </w:tcPr>
          <w:p w14:paraId="2B8874A6">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8</w:t>
            </w:r>
          </w:p>
        </w:tc>
        <w:tc>
          <w:tcPr>
            <w:tcW w:w="9590" w:type="dxa"/>
            <w:tcBorders>
              <w:top w:val="single" w:color="000000" w:sz="2" w:space="0"/>
              <w:left w:val="single" w:color="000000" w:sz="2" w:space="0"/>
              <w:bottom w:val="single" w:color="000000" w:sz="2" w:space="0"/>
              <w:right w:val="single" w:color="000000" w:sz="8" w:space="0"/>
            </w:tcBorders>
            <w:vAlign w:val="center"/>
          </w:tcPr>
          <w:p w14:paraId="375EC961">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投标文件的形式：</w:t>
            </w:r>
            <w:r>
              <w:rPr>
                <w:rFonts w:hint="default" w:ascii="Times New Roman" w:hAnsi="Times New Roman" w:eastAsia="新宋体" w:cs="Times New Roman"/>
                <w:color w:val="auto"/>
                <w:sz w:val="22"/>
                <w:szCs w:val="22"/>
                <w:highlight w:val="none"/>
              </w:rPr>
              <w:t>☑</w:t>
            </w:r>
            <w:r>
              <w:rPr>
                <w:rFonts w:hint="eastAsia" w:ascii="新宋体" w:hAnsi="新宋体" w:eastAsia="新宋体" w:cs="新宋体"/>
                <w:color w:val="auto"/>
                <w:sz w:val="22"/>
                <w:szCs w:val="22"/>
                <w:highlight w:val="none"/>
              </w:rPr>
              <w:t>电子投标文件（包括“电子加密投标文件”和“备份投标文件”，在投标文件编制完成后同时生成）；</w:t>
            </w:r>
          </w:p>
          <w:p w14:paraId="442F7925">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（1）“电子加密投标文件”是指通过“政采云电子交易客户端”完成投标文件编制后生成并加密的数据电文形式的投标文件。</w:t>
            </w:r>
          </w:p>
          <w:p w14:paraId="32DE327F">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（2）“备份投标文件”是指与“电子加密投标文件”同时生成的数据电文形式的电子文件（备份标书），其他方式编制的备份投标文件视为无效备份投标文件。</w:t>
            </w:r>
          </w:p>
        </w:tc>
      </w:tr>
      <w:tr w14:paraId="12C171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9" w:type="dxa"/>
            <w:tcBorders>
              <w:top w:val="single" w:color="000000" w:sz="2" w:space="0"/>
              <w:left w:val="single" w:color="000000" w:sz="8" w:space="0"/>
              <w:bottom w:val="single" w:color="000000" w:sz="2" w:space="0"/>
              <w:right w:val="single" w:color="000000" w:sz="2" w:space="0"/>
            </w:tcBorders>
            <w:vAlign w:val="center"/>
          </w:tcPr>
          <w:p w14:paraId="48DE6E79">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9</w:t>
            </w:r>
          </w:p>
        </w:tc>
        <w:tc>
          <w:tcPr>
            <w:tcW w:w="9590" w:type="dxa"/>
            <w:tcBorders>
              <w:top w:val="single" w:color="000000" w:sz="2" w:space="0"/>
              <w:left w:val="single" w:color="000000" w:sz="2" w:space="0"/>
              <w:bottom w:val="single" w:color="000000" w:sz="2" w:space="0"/>
              <w:right w:val="single" w:color="000000" w:sz="8" w:space="0"/>
            </w:tcBorders>
            <w:vAlign w:val="center"/>
          </w:tcPr>
          <w:p w14:paraId="7D34CF6F">
            <w:pPr>
              <w:spacing w:line="460" w:lineRule="exact"/>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投标文件份数：</w:t>
            </w:r>
          </w:p>
          <w:p w14:paraId="6841DA93">
            <w:pPr>
              <w:numPr>
                <w:ilvl w:val="0"/>
                <w:numId w:val="1"/>
              </w:numPr>
              <w:spacing w:line="460" w:lineRule="exact"/>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“电子加密投标文件”：在线上传递交、一份。</w:t>
            </w:r>
          </w:p>
          <w:p w14:paraId="05D3802E">
            <w:pPr>
              <w:numPr>
                <w:ilvl w:val="0"/>
                <w:numId w:val="1"/>
              </w:numPr>
              <w:spacing w:line="460" w:lineRule="exact"/>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“备份投标文件”：密封包装后投标截止时间前递交、一份</w:t>
            </w:r>
          </w:p>
          <w:p w14:paraId="45225F4C">
            <w:pPr>
              <w:spacing w:line="460" w:lineRule="exact"/>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（若不提供备份投标文件，开标当天电子加密投标文件解密失败，投标人自行负责。）</w:t>
            </w:r>
          </w:p>
          <w:p w14:paraId="5450E4EF">
            <w:pPr>
              <w:tabs>
                <w:tab w:val="left" w:pos="360"/>
              </w:tabs>
              <w:spacing w:line="460" w:lineRule="exact"/>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可以（邮寄形式，建议顺丰）在投标截止时间前递交，并需采购代理机构确认是否收到，</w:t>
            </w:r>
          </w:p>
          <w:p w14:paraId="2DCB0A20">
            <w:pPr>
              <w:spacing w:line="460" w:lineRule="exact"/>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邮寄地址：</w:t>
            </w:r>
            <w:r>
              <w:rPr>
                <w:rFonts w:hint="eastAsia" w:ascii="新宋体" w:hAnsi="新宋体" w:eastAsia="新宋体" w:cs="新宋体"/>
                <w:color w:val="auto"/>
                <w:sz w:val="22"/>
                <w:szCs w:val="22"/>
                <w:highlight w:val="none"/>
                <w:lang w:eastAsia="zh-CN"/>
              </w:rPr>
              <w:t>温州市鹿城区勤民路鹿城壹号18幢803室</w:t>
            </w:r>
          </w:p>
          <w:p w14:paraId="2CF43FFE">
            <w:pPr>
              <w:spacing w:line="460" w:lineRule="exact"/>
              <w:rPr>
                <w:rFonts w:hint="eastAsia" w:ascii="新宋体" w:hAnsi="新宋体" w:eastAsia="新宋体" w:cs="新宋体"/>
                <w:color w:val="auto"/>
                <w:highlight w:val="none"/>
                <w:lang w:val="en-US" w:eastAsia="zh-CN"/>
              </w:rPr>
            </w:pPr>
            <w:r>
              <w:rPr>
                <w:rFonts w:hint="eastAsia" w:ascii="新宋体" w:hAnsi="新宋体" w:eastAsia="新宋体" w:cs="新宋体"/>
                <w:color w:val="auto"/>
                <w:sz w:val="22"/>
                <w:szCs w:val="28"/>
                <w:highlight w:val="none"/>
                <w:lang w:val="en-US" w:eastAsia="zh-CN"/>
              </w:rPr>
              <w:t>联系人：肖忠文，联系方式：13757727199</w:t>
            </w:r>
          </w:p>
        </w:tc>
      </w:tr>
      <w:tr w14:paraId="683D17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9" w:type="dxa"/>
            <w:tcBorders>
              <w:top w:val="single" w:color="000000" w:sz="2" w:space="0"/>
              <w:left w:val="single" w:color="000000" w:sz="8" w:space="0"/>
              <w:bottom w:val="single" w:color="000000" w:sz="2" w:space="0"/>
              <w:right w:val="single" w:color="000000" w:sz="2" w:space="0"/>
            </w:tcBorders>
            <w:vAlign w:val="center"/>
          </w:tcPr>
          <w:p w14:paraId="176C29FB">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10</w:t>
            </w:r>
          </w:p>
        </w:tc>
        <w:tc>
          <w:tcPr>
            <w:tcW w:w="9590" w:type="dxa"/>
            <w:tcBorders>
              <w:top w:val="single" w:color="000000" w:sz="2" w:space="0"/>
              <w:left w:val="single" w:color="000000" w:sz="2" w:space="0"/>
              <w:bottom w:val="single" w:color="000000" w:sz="2" w:space="0"/>
              <w:right w:val="single" w:color="000000" w:sz="8" w:space="0"/>
            </w:tcBorders>
            <w:vAlign w:val="center"/>
          </w:tcPr>
          <w:p w14:paraId="72A1DF5A">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投标文件的上传和递交：</w:t>
            </w:r>
          </w:p>
          <w:p w14:paraId="7546F86D">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（1）“电子加密投标文件”的上传、递交：</w:t>
            </w:r>
          </w:p>
          <w:p w14:paraId="57E1C800">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a.投标人应在投标截止时间前将“电子加密投标文件”成功上传递交至“政府采购云平台”，否则投标无效。</w:t>
            </w:r>
          </w:p>
          <w:p w14:paraId="78852DA1">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b.“电子加密投标文件”成功上传递交后，供应商可自行打印投标文件接收回执。</w:t>
            </w:r>
          </w:p>
          <w:p w14:paraId="56A4F689">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（2）“备份投标文件”的密封包装、递交：</w:t>
            </w:r>
          </w:p>
          <w:p w14:paraId="5A6DDC7D">
            <w:pPr>
              <w:tabs>
                <w:tab w:val="left" w:pos="360"/>
              </w:tabs>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a.投标人在“政府采购云平台”完成“电子加密投标文件”的上传递交后，</w:t>
            </w:r>
            <w:r>
              <w:rPr>
                <w:rFonts w:hint="eastAsia" w:ascii="新宋体" w:hAnsi="新宋体" w:eastAsia="新宋体" w:cs="新宋体"/>
                <w:b/>
                <w:bCs/>
                <w:color w:val="auto"/>
                <w:sz w:val="22"/>
                <w:szCs w:val="22"/>
                <w:highlight w:val="none"/>
              </w:rPr>
              <w:t>还可以在投标截止时间前递交以介质（U盘）存储的数据电文形式的“备份投标文件”，（可以</w:t>
            </w:r>
            <w:r>
              <w:rPr>
                <w:rFonts w:hint="eastAsia" w:ascii="新宋体" w:hAnsi="新宋体" w:eastAsia="新宋体" w:cs="新宋体"/>
                <w:b/>
                <w:color w:val="auto"/>
                <w:sz w:val="22"/>
                <w:szCs w:val="22"/>
                <w:highlight w:val="none"/>
                <w:u w:val="single"/>
              </w:rPr>
              <w:t>（邮寄形式，建议顺丰）在投标截止时间前递交，并需采购代理机构确认是否收到</w:t>
            </w:r>
            <w:r>
              <w:rPr>
                <w:rFonts w:hint="eastAsia" w:ascii="新宋体" w:hAnsi="新宋体" w:eastAsia="新宋体" w:cs="新宋体"/>
                <w:b/>
                <w:bCs/>
                <w:color w:val="auto"/>
                <w:sz w:val="22"/>
                <w:szCs w:val="22"/>
                <w:highlight w:val="none"/>
              </w:rPr>
              <w:t>）</w:t>
            </w:r>
          </w:p>
          <w:p w14:paraId="43D3D6D5">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b.“备份投标文件”应当密封包装，并在包装上标注投标项目名称、投标人名称并加盖公章。没有密封包装或者逾期（邮寄）送达至投标地点的“备份投标文件”将不予接收；</w:t>
            </w:r>
          </w:p>
          <w:p w14:paraId="08842A71">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c.通过“政府采购云平台”成功上传递交的“电子加密投标文件”已按时解密的，“备份投标文件”自动失效。投标截止时间前，投标人仅递交了“备份投标文件”而未将“电子加密投标文件”成功上传至“政府采购云平台”的，投标无效。</w:t>
            </w:r>
          </w:p>
          <w:p w14:paraId="67DA4C0D">
            <w:pPr>
              <w:spacing w:line="460" w:lineRule="exact"/>
              <w:rPr>
                <w:rFonts w:hint="eastAsia" w:ascii="新宋体" w:hAnsi="新宋体" w:eastAsia="新宋体" w:cs="新宋体"/>
                <w:color w:val="auto"/>
                <w:sz w:val="22"/>
                <w:szCs w:val="22"/>
                <w:highlight w:val="none"/>
                <w:lang w:val="en-US"/>
              </w:rPr>
            </w:pPr>
            <w:r>
              <w:rPr>
                <w:rFonts w:hint="eastAsia" w:ascii="新宋体" w:hAnsi="新宋体" w:eastAsia="新宋体" w:cs="新宋体"/>
                <w:color w:val="auto"/>
                <w:sz w:val="22"/>
                <w:szCs w:val="22"/>
                <w:highlight w:val="none"/>
                <w:lang w:val="en-US" w:eastAsia="zh-CN"/>
              </w:rPr>
              <w:t>d.供应商（联合体投标的，须由牵头人制作并递交电子加密投标文件）通过“政采云电子投标客户端”完成投标文件编制。</w:t>
            </w:r>
          </w:p>
        </w:tc>
      </w:tr>
      <w:tr w14:paraId="7070DF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9" w:type="dxa"/>
            <w:tcBorders>
              <w:top w:val="single" w:color="000000" w:sz="2" w:space="0"/>
              <w:left w:val="single" w:color="000000" w:sz="8" w:space="0"/>
              <w:bottom w:val="single" w:color="000000" w:sz="2" w:space="0"/>
              <w:right w:val="single" w:color="000000" w:sz="2" w:space="0"/>
            </w:tcBorders>
            <w:vAlign w:val="center"/>
          </w:tcPr>
          <w:p w14:paraId="12DFAD81">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11</w:t>
            </w:r>
          </w:p>
        </w:tc>
        <w:tc>
          <w:tcPr>
            <w:tcW w:w="9590" w:type="dxa"/>
            <w:tcBorders>
              <w:top w:val="single" w:color="000000" w:sz="2" w:space="0"/>
              <w:left w:val="single" w:color="000000" w:sz="2" w:space="0"/>
              <w:bottom w:val="single" w:color="000000" w:sz="2" w:space="0"/>
              <w:right w:val="single" w:color="000000" w:sz="8" w:space="0"/>
            </w:tcBorders>
            <w:vAlign w:val="center"/>
          </w:tcPr>
          <w:p w14:paraId="0C81E69D">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电子加密投标文件的解密和异常情况处理：</w:t>
            </w:r>
          </w:p>
          <w:p w14:paraId="069A1117">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（1）开标后，采购组织机构将向各投标人发出“电子加密投标文件”的解密通知，各投标人代表应当在接到解密通知后在系统规定的时间自行完成“电子加密投标文件”的在线解密。</w:t>
            </w:r>
          </w:p>
          <w:p w14:paraId="5C6598A0">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通过“政府采购云平台”成功上传递交的“电子加密投标文件”无法按时解密，投标人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7BFE7AE0">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（3）投标截止时间前，投标人仅递交了“备份投标文件”而未将电子加密投标文件上传至“政府采购云平台”的，投标无效。</w:t>
            </w:r>
          </w:p>
        </w:tc>
      </w:tr>
      <w:tr w14:paraId="495B55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9" w:type="dxa"/>
            <w:tcBorders>
              <w:top w:val="single" w:color="000000" w:sz="2" w:space="0"/>
              <w:left w:val="single" w:color="000000" w:sz="8" w:space="0"/>
              <w:bottom w:val="single" w:color="000000" w:sz="2" w:space="0"/>
              <w:right w:val="single" w:color="000000" w:sz="2" w:space="0"/>
            </w:tcBorders>
            <w:vAlign w:val="center"/>
          </w:tcPr>
          <w:p w14:paraId="449A3D62">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12</w:t>
            </w:r>
          </w:p>
        </w:tc>
        <w:tc>
          <w:tcPr>
            <w:tcW w:w="9590" w:type="dxa"/>
            <w:tcBorders>
              <w:top w:val="single" w:color="000000" w:sz="2" w:space="0"/>
              <w:left w:val="single" w:color="000000" w:sz="2" w:space="0"/>
              <w:bottom w:val="single" w:color="000000" w:sz="2" w:space="0"/>
              <w:right w:val="single" w:color="000000" w:sz="8" w:space="0"/>
            </w:tcBorders>
            <w:vAlign w:val="center"/>
          </w:tcPr>
          <w:p w14:paraId="0D31EFAE">
            <w:pPr>
              <w:widowControl/>
              <w:snapToGrid w:val="0"/>
              <w:spacing w:line="460" w:lineRule="exact"/>
              <w:jc w:val="left"/>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提交投标文件截止时间：</w:t>
            </w:r>
            <w:r>
              <w:rPr>
                <w:rFonts w:hint="eastAsia" w:ascii="新宋体" w:hAnsi="新宋体" w:eastAsia="新宋体" w:cs="新宋体"/>
                <w:b w:val="0"/>
                <w:bCs w:val="0"/>
                <w:color w:val="auto"/>
                <w:sz w:val="22"/>
                <w:szCs w:val="22"/>
                <w:highlight w:val="none"/>
                <w:lang w:val="en-US" w:eastAsia="zh-CN"/>
              </w:rPr>
              <w:t>详见公告</w:t>
            </w:r>
            <w:r>
              <w:rPr>
                <w:rFonts w:hint="eastAsia" w:ascii="新宋体" w:hAnsi="新宋体" w:eastAsia="新宋体" w:cs="新宋体"/>
                <w:color w:val="auto"/>
                <w:sz w:val="22"/>
                <w:szCs w:val="22"/>
                <w:highlight w:val="none"/>
                <w:lang w:eastAsia="zh-CN"/>
              </w:rPr>
              <w:t> </w:t>
            </w:r>
          </w:p>
          <w:p w14:paraId="08E46D54">
            <w:pPr>
              <w:widowControl/>
              <w:snapToGrid w:val="0"/>
              <w:spacing w:line="460" w:lineRule="exact"/>
              <w:jc w:val="left"/>
              <w:rPr>
                <w:rFonts w:hint="eastAsia" w:ascii="新宋体" w:hAnsi="新宋体" w:eastAsia="新宋体" w:cs="新宋体"/>
                <w:color w:val="auto"/>
                <w:highlight w:val="none"/>
              </w:rPr>
            </w:pPr>
            <w:r>
              <w:rPr>
                <w:rFonts w:hint="eastAsia" w:ascii="新宋体" w:hAnsi="新宋体" w:eastAsia="新宋体" w:cs="新宋体"/>
                <w:color w:val="auto"/>
                <w:sz w:val="22"/>
                <w:szCs w:val="22"/>
                <w:highlight w:val="none"/>
              </w:rPr>
              <w:t>投标地点（网址）：</w:t>
            </w:r>
            <w:r>
              <w:rPr>
                <w:rFonts w:hint="eastAsia" w:ascii="新宋体" w:hAnsi="新宋体" w:eastAsia="新宋体" w:cs="新宋体"/>
                <w:b w:val="0"/>
                <w:bCs w:val="0"/>
                <w:color w:val="auto"/>
                <w:sz w:val="22"/>
                <w:szCs w:val="22"/>
                <w:highlight w:val="none"/>
                <w:lang w:val="en-US" w:eastAsia="zh-CN"/>
              </w:rPr>
              <w:t>详见公告</w:t>
            </w:r>
          </w:p>
        </w:tc>
      </w:tr>
      <w:tr w14:paraId="0BA4B7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9" w:type="dxa"/>
            <w:tcBorders>
              <w:top w:val="single" w:color="000000" w:sz="2" w:space="0"/>
              <w:left w:val="single" w:color="000000" w:sz="8" w:space="0"/>
              <w:bottom w:val="single" w:color="auto" w:sz="4" w:space="0"/>
              <w:right w:val="single" w:color="000000" w:sz="2" w:space="0"/>
            </w:tcBorders>
            <w:vAlign w:val="center"/>
          </w:tcPr>
          <w:p w14:paraId="097ED822">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13</w:t>
            </w:r>
          </w:p>
        </w:tc>
        <w:tc>
          <w:tcPr>
            <w:tcW w:w="9590" w:type="dxa"/>
            <w:tcBorders>
              <w:top w:val="single" w:color="000000" w:sz="2" w:space="0"/>
              <w:left w:val="single" w:color="000000" w:sz="2" w:space="0"/>
              <w:bottom w:val="single" w:color="auto" w:sz="4" w:space="0"/>
              <w:right w:val="single" w:color="000000" w:sz="8" w:space="0"/>
            </w:tcBorders>
            <w:vAlign w:val="center"/>
          </w:tcPr>
          <w:p w14:paraId="7A088764">
            <w:pPr>
              <w:widowControl/>
              <w:snapToGrid w:val="0"/>
              <w:spacing w:line="460" w:lineRule="exact"/>
              <w:jc w:val="left"/>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开标时间：</w:t>
            </w:r>
            <w:r>
              <w:rPr>
                <w:rFonts w:hint="eastAsia" w:ascii="新宋体" w:hAnsi="新宋体" w:eastAsia="新宋体" w:cs="新宋体"/>
                <w:b w:val="0"/>
                <w:bCs w:val="0"/>
                <w:color w:val="auto"/>
                <w:sz w:val="22"/>
                <w:szCs w:val="22"/>
                <w:highlight w:val="none"/>
                <w:lang w:val="en-US" w:eastAsia="zh-CN"/>
              </w:rPr>
              <w:t>详见公告</w:t>
            </w:r>
          </w:p>
          <w:p w14:paraId="7F1EADFF">
            <w:pPr>
              <w:widowControl/>
              <w:snapToGrid w:val="0"/>
              <w:spacing w:line="460" w:lineRule="exact"/>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开标地点（网址）：</w:t>
            </w:r>
            <w:r>
              <w:rPr>
                <w:rFonts w:hint="eastAsia" w:ascii="新宋体" w:hAnsi="新宋体" w:eastAsia="新宋体" w:cs="新宋体"/>
                <w:b w:val="0"/>
                <w:bCs w:val="0"/>
                <w:color w:val="auto"/>
                <w:sz w:val="22"/>
                <w:szCs w:val="22"/>
                <w:highlight w:val="none"/>
                <w:lang w:val="en-US" w:eastAsia="zh-CN"/>
              </w:rPr>
              <w:t>详见公告</w:t>
            </w:r>
          </w:p>
        </w:tc>
      </w:tr>
      <w:tr w14:paraId="5EDA91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9" w:type="dxa"/>
            <w:tcBorders>
              <w:top w:val="single" w:color="000000" w:sz="2" w:space="0"/>
              <w:left w:val="single" w:color="000000" w:sz="8" w:space="0"/>
              <w:bottom w:val="single" w:color="auto" w:sz="4" w:space="0"/>
              <w:right w:val="single" w:color="000000" w:sz="2" w:space="0"/>
            </w:tcBorders>
            <w:vAlign w:val="center"/>
          </w:tcPr>
          <w:p w14:paraId="5334AA5E">
            <w:pPr>
              <w:snapToGrid w:val="0"/>
              <w:spacing w:line="460" w:lineRule="exact"/>
              <w:jc w:val="center"/>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14</w:t>
            </w:r>
          </w:p>
        </w:tc>
        <w:tc>
          <w:tcPr>
            <w:tcW w:w="9590" w:type="dxa"/>
            <w:tcBorders>
              <w:top w:val="single" w:color="000000" w:sz="2" w:space="0"/>
              <w:left w:val="single" w:color="000000" w:sz="2" w:space="0"/>
              <w:bottom w:val="single" w:color="auto" w:sz="4" w:space="0"/>
              <w:right w:val="single" w:color="000000" w:sz="8" w:space="0"/>
            </w:tcBorders>
            <w:vAlign w:val="center"/>
          </w:tcPr>
          <w:p w14:paraId="60384A1B">
            <w:pPr>
              <w:widowControl/>
              <w:snapToGrid w:val="0"/>
              <w:spacing w:line="460" w:lineRule="exact"/>
              <w:jc w:val="left"/>
              <w:rPr>
                <w:rFonts w:hint="eastAsia" w:ascii="新宋体" w:hAnsi="新宋体" w:eastAsia="新宋体" w:cs="新宋体"/>
                <w:color w:val="auto"/>
                <w:sz w:val="22"/>
                <w:szCs w:val="22"/>
                <w:highlight w:val="none"/>
              </w:rPr>
            </w:pPr>
            <w:r>
              <w:rPr>
                <w:rFonts w:hint="eastAsia" w:ascii="新宋体" w:hAnsi="新宋体" w:eastAsia="新宋体" w:cs="新宋体"/>
                <w:b w:val="0"/>
                <w:bCs w:val="0"/>
                <w:color w:val="auto"/>
                <w:sz w:val="22"/>
                <w:szCs w:val="22"/>
                <w:highlight w:val="none"/>
                <w:lang w:val="en-US" w:eastAsia="zh-CN"/>
              </w:rPr>
              <w:t>评审地点：温州市鹿城区勤民路鹿城壹号18幢803室</w:t>
            </w:r>
            <w:r>
              <w:rPr>
                <w:rFonts w:hint="eastAsia" w:ascii="新宋体" w:hAnsi="新宋体" w:eastAsia="新宋体" w:cs="新宋体"/>
                <w:color w:val="auto"/>
                <w:sz w:val="22"/>
                <w:highlight w:val="none"/>
              </w:rPr>
              <w:t>（政采云平台：http</w:t>
            </w:r>
            <w:r>
              <w:rPr>
                <w:rFonts w:hint="eastAsia" w:ascii="新宋体" w:hAnsi="新宋体" w:eastAsia="新宋体" w:cs="新宋体"/>
                <w:color w:val="auto"/>
                <w:sz w:val="22"/>
                <w:highlight w:val="none"/>
                <w:lang w:eastAsia="zh-CN"/>
              </w:rPr>
              <w:t>：</w:t>
            </w:r>
            <w:r>
              <w:rPr>
                <w:rFonts w:hint="eastAsia" w:ascii="新宋体" w:hAnsi="新宋体" w:eastAsia="新宋体" w:cs="新宋体"/>
                <w:color w:val="auto"/>
                <w:sz w:val="22"/>
                <w:highlight w:val="none"/>
              </w:rPr>
              <w:t>//zfcg.czt.zj.gov.cn）</w:t>
            </w:r>
          </w:p>
        </w:tc>
      </w:tr>
      <w:tr w14:paraId="6B61D7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9" w:type="dxa"/>
            <w:tcBorders>
              <w:top w:val="single" w:color="auto" w:sz="4" w:space="0"/>
              <w:left w:val="single" w:color="000000" w:sz="8" w:space="0"/>
              <w:bottom w:val="single" w:color="auto" w:sz="4" w:space="0"/>
              <w:right w:val="single" w:color="000000" w:sz="2" w:space="0"/>
            </w:tcBorders>
            <w:vAlign w:val="center"/>
          </w:tcPr>
          <w:p w14:paraId="09B87624">
            <w:pPr>
              <w:snapToGrid w:val="0"/>
              <w:spacing w:line="460" w:lineRule="exact"/>
              <w:jc w:val="center"/>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b/>
                <w:bCs/>
                <w:color w:val="auto"/>
                <w:sz w:val="22"/>
                <w:szCs w:val="22"/>
                <w:highlight w:val="none"/>
              </w:rPr>
              <w:t>1</w:t>
            </w:r>
            <w:r>
              <w:rPr>
                <w:rFonts w:hint="eastAsia" w:ascii="新宋体" w:hAnsi="新宋体" w:eastAsia="新宋体" w:cs="新宋体"/>
                <w:b/>
                <w:bCs/>
                <w:color w:val="auto"/>
                <w:sz w:val="22"/>
                <w:szCs w:val="22"/>
                <w:highlight w:val="none"/>
                <w:lang w:val="en-US" w:eastAsia="zh-CN"/>
              </w:rPr>
              <w:t>5</w:t>
            </w:r>
          </w:p>
        </w:tc>
        <w:tc>
          <w:tcPr>
            <w:tcW w:w="9590" w:type="dxa"/>
            <w:tcBorders>
              <w:top w:val="single" w:color="auto" w:sz="4" w:space="0"/>
              <w:left w:val="single" w:color="000000" w:sz="2" w:space="0"/>
              <w:bottom w:val="single" w:color="auto" w:sz="4" w:space="0"/>
              <w:right w:val="single" w:color="000000" w:sz="8" w:space="0"/>
            </w:tcBorders>
            <w:vAlign w:val="center"/>
          </w:tcPr>
          <w:p w14:paraId="7343448E">
            <w:pPr>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带“▲”条款系指实质性要求条款。“★”是关键技术参数及要求。</w:t>
            </w:r>
          </w:p>
        </w:tc>
      </w:tr>
      <w:tr w14:paraId="09BA51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9" w:type="dxa"/>
            <w:tcBorders>
              <w:top w:val="single" w:color="auto" w:sz="4" w:space="0"/>
              <w:left w:val="single" w:color="000000" w:sz="8" w:space="0"/>
              <w:bottom w:val="single" w:color="auto" w:sz="4" w:space="0"/>
              <w:right w:val="single" w:color="000000" w:sz="2" w:space="0"/>
            </w:tcBorders>
            <w:vAlign w:val="center"/>
          </w:tcPr>
          <w:p w14:paraId="13B6593B">
            <w:pPr>
              <w:widowControl/>
              <w:snapToGrid w:val="0"/>
              <w:spacing w:line="460" w:lineRule="exact"/>
              <w:jc w:val="center"/>
              <w:textAlignment w:val="center"/>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b/>
                <w:bCs/>
                <w:color w:val="auto"/>
                <w:kern w:val="0"/>
                <w:sz w:val="22"/>
                <w:szCs w:val="22"/>
                <w:highlight w:val="none"/>
              </w:rPr>
              <w:t>1</w:t>
            </w:r>
            <w:r>
              <w:rPr>
                <w:rFonts w:hint="eastAsia" w:ascii="新宋体" w:hAnsi="新宋体" w:eastAsia="新宋体" w:cs="新宋体"/>
                <w:b/>
                <w:bCs/>
                <w:color w:val="auto"/>
                <w:kern w:val="0"/>
                <w:sz w:val="22"/>
                <w:szCs w:val="22"/>
                <w:highlight w:val="none"/>
                <w:lang w:val="en-US" w:eastAsia="zh-CN"/>
              </w:rPr>
              <w:t>6</w:t>
            </w:r>
          </w:p>
        </w:tc>
        <w:tc>
          <w:tcPr>
            <w:tcW w:w="9590" w:type="dxa"/>
            <w:tcBorders>
              <w:top w:val="single" w:color="auto" w:sz="4" w:space="0"/>
              <w:left w:val="single" w:color="000000" w:sz="2" w:space="0"/>
              <w:bottom w:val="single" w:color="auto" w:sz="4" w:space="0"/>
              <w:right w:val="single" w:color="000000" w:sz="8" w:space="0"/>
            </w:tcBorders>
            <w:vAlign w:val="center"/>
          </w:tcPr>
          <w:p w14:paraId="5F8D3E84">
            <w:pPr>
              <w:widowControl/>
              <w:snapToGrid w:val="0"/>
              <w:spacing w:line="460" w:lineRule="exact"/>
              <w:jc w:val="left"/>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为支持和促进中小企业发展，进一步发挥政府采购政策功能，温州市财政局出台了《温州市财政局关于温州市政府采购支持中小企业信用融资的通知》（温财采〔2020〕3号），供应商若有融资意向，可直接登录http</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//jinrong.zcygov.cn，查看信用融资政策文件及各相关银行服务方案，也可直接向各银行咨询相关业务。</w:t>
            </w:r>
          </w:p>
        </w:tc>
      </w:tr>
      <w:tr w14:paraId="4565DA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9" w:type="dxa"/>
            <w:tcBorders>
              <w:top w:val="single" w:color="000000" w:sz="2" w:space="0"/>
              <w:left w:val="single" w:color="000000" w:sz="8" w:space="0"/>
              <w:bottom w:val="single" w:color="000000" w:sz="2" w:space="0"/>
              <w:right w:val="single" w:color="000000" w:sz="2" w:space="0"/>
            </w:tcBorders>
            <w:vAlign w:val="center"/>
          </w:tcPr>
          <w:p w14:paraId="7096C746">
            <w:pPr>
              <w:widowControl/>
              <w:snapToGrid w:val="0"/>
              <w:spacing w:line="460" w:lineRule="exact"/>
              <w:jc w:val="center"/>
              <w:textAlignment w:val="center"/>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b/>
                <w:bCs/>
                <w:color w:val="auto"/>
                <w:kern w:val="0"/>
                <w:sz w:val="22"/>
                <w:szCs w:val="22"/>
                <w:highlight w:val="none"/>
              </w:rPr>
              <w:t>1</w:t>
            </w:r>
            <w:r>
              <w:rPr>
                <w:rFonts w:hint="eastAsia" w:ascii="新宋体" w:hAnsi="新宋体" w:eastAsia="新宋体" w:cs="新宋体"/>
                <w:b/>
                <w:bCs/>
                <w:color w:val="auto"/>
                <w:kern w:val="0"/>
                <w:sz w:val="22"/>
                <w:szCs w:val="22"/>
                <w:highlight w:val="none"/>
                <w:lang w:val="en-US" w:eastAsia="zh-CN"/>
              </w:rPr>
              <w:t>7</w:t>
            </w:r>
          </w:p>
        </w:tc>
        <w:tc>
          <w:tcPr>
            <w:tcW w:w="9590" w:type="dxa"/>
            <w:tcBorders>
              <w:top w:val="single" w:color="000000" w:sz="2" w:space="0"/>
              <w:left w:val="single" w:color="000000" w:sz="2" w:space="0"/>
              <w:bottom w:val="single" w:color="000000" w:sz="2" w:space="0"/>
              <w:right w:val="single" w:color="000000" w:sz="8" w:space="0"/>
            </w:tcBorders>
            <w:vAlign w:val="center"/>
          </w:tcPr>
          <w:p w14:paraId="20323AB4">
            <w:pPr>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color w:val="auto"/>
                <w:kern w:val="10"/>
                <w:sz w:val="22"/>
                <w:szCs w:val="22"/>
                <w:highlight w:val="none"/>
              </w:rPr>
              <w:t>潜在供应商需在浙江政府采购网http</w:t>
            </w:r>
            <w:r>
              <w:rPr>
                <w:rFonts w:hint="eastAsia" w:ascii="新宋体" w:hAnsi="新宋体" w:eastAsia="新宋体" w:cs="新宋体"/>
                <w:b/>
                <w:color w:val="auto"/>
                <w:kern w:val="10"/>
                <w:sz w:val="22"/>
                <w:szCs w:val="22"/>
                <w:highlight w:val="none"/>
                <w:lang w:eastAsia="zh-CN"/>
              </w:rPr>
              <w:t>：</w:t>
            </w:r>
            <w:r>
              <w:rPr>
                <w:rFonts w:hint="eastAsia" w:ascii="新宋体" w:hAnsi="新宋体" w:eastAsia="新宋体" w:cs="新宋体"/>
                <w:b/>
                <w:color w:val="auto"/>
                <w:kern w:val="10"/>
                <w:sz w:val="22"/>
                <w:szCs w:val="22"/>
                <w:highlight w:val="none"/>
              </w:rPr>
              <w:t>//zfcg.czt.zj.gov.cn/进行免费注册，具体详见浙江政府采购网供应商注册要求。</w:t>
            </w:r>
          </w:p>
        </w:tc>
      </w:tr>
      <w:tr w14:paraId="0C853C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9" w:type="dxa"/>
            <w:tcBorders>
              <w:top w:val="single" w:color="000000" w:sz="2" w:space="0"/>
              <w:left w:val="single" w:color="000000" w:sz="8" w:space="0"/>
              <w:bottom w:val="single" w:color="000000" w:sz="2" w:space="0"/>
              <w:right w:val="single" w:color="000000" w:sz="2" w:space="0"/>
            </w:tcBorders>
            <w:vAlign w:val="center"/>
          </w:tcPr>
          <w:p w14:paraId="46951914">
            <w:pPr>
              <w:widowControl/>
              <w:snapToGrid w:val="0"/>
              <w:spacing w:line="460" w:lineRule="exact"/>
              <w:jc w:val="center"/>
              <w:textAlignment w:val="center"/>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b/>
                <w:bCs/>
                <w:color w:val="auto"/>
                <w:kern w:val="0"/>
                <w:sz w:val="22"/>
                <w:szCs w:val="22"/>
                <w:highlight w:val="none"/>
              </w:rPr>
              <w:t>1</w:t>
            </w:r>
            <w:r>
              <w:rPr>
                <w:rFonts w:hint="eastAsia" w:ascii="新宋体" w:hAnsi="新宋体" w:eastAsia="新宋体" w:cs="新宋体"/>
                <w:b/>
                <w:bCs/>
                <w:color w:val="auto"/>
                <w:kern w:val="0"/>
                <w:sz w:val="22"/>
                <w:szCs w:val="22"/>
                <w:highlight w:val="none"/>
                <w:lang w:val="en-US" w:eastAsia="zh-CN"/>
              </w:rPr>
              <w:t>8</w:t>
            </w:r>
          </w:p>
        </w:tc>
        <w:tc>
          <w:tcPr>
            <w:tcW w:w="9590" w:type="dxa"/>
            <w:tcBorders>
              <w:top w:val="single" w:color="000000" w:sz="2" w:space="0"/>
              <w:left w:val="single" w:color="000000" w:sz="2" w:space="0"/>
              <w:bottom w:val="single" w:color="000000" w:sz="2" w:space="0"/>
              <w:right w:val="single" w:color="000000" w:sz="8" w:space="0"/>
            </w:tcBorders>
            <w:vAlign w:val="center"/>
          </w:tcPr>
          <w:p w14:paraId="24162712">
            <w:pPr>
              <w:adjustRightInd w:val="0"/>
              <w:snapToGrid w:val="0"/>
              <w:spacing w:line="460" w:lineRule="exact"/>
              <w:ind w:firstLine="442" w:firstLineChars="200"/>
              <w:rPr>
                <w:rFonts w:hint="eastAsia" w:ascii="新宋体" w:hAnsi="新宋体" w:eastAsia="新宋体" w:cs="新宋体"/>
                <w:b/>
                <w:bCs/>
                <w:color w:val="auto"/>
                <w:sz w:val="22"/>
                <w:szCs w:val="28"/>
                <w:highlight w:val="none"/>
              </w:rPr>
            </w:pPr>
            <w:r>
              <w:rPr>
                <w:rFonts w:hint="eastAsia" w:ascii="新宋体" w:hAnsi="新宋体" w:eastAsia="新宋体" w:cs="新宋体"/>
                <w:b/>
                <w:bCs/>
                <w:color w:val="auto"/>
                <w:sz w:val="22"/>
                <w:szCs w:val="28"/>
                <w:highlight w:val="none"/>
              </w:rPr>
              <w:t>1、扶持中小企业（监狱企业、残疾人福利性单位）：</w:t>
            </w:r>
          </w:p>
          <w:p w14:paraId="6F524B86">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14:paraId="4F2B1BB5">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（1）项目预算：</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u w:val="single"/>
                <w:lang w:val="en-US" w:eastAsia="zh-CN"/>
              </w:rPr>
              <w:t xml:space="preserve">913087.50 </w:t>
            </w:r>
            <w:r>
              <w:rPr>
                <w:rFonts w:hint="eastAsia" w:ascii="新宋体" w:hAnsi="新宋体" w:eastAsia="新宋体" w:cs="新宋体"/>
                <w:color w:val="auto"/>
                <w:sz w:val="22"/>
                <w:szCs w:val="28"/>
                <w:highlight w:val="none"/>
              </w:rPr>
              <w:t>元</w:t>
            </w:r>
          </w:p>
          <w:p w14:paraId="2494139B">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（2）项目属性：</w:t>
            </w:r>
            <w:r>
              <w:rPr>
                <w:rFonts w:hint="eastAsia" w:ascii="新宋体" w:hAnsi="新宋体" w:eastAsia="新宋体" w:cs="新宋体"/>
                <w:color w:val="auto"/>
                <w:sz w:val="22"/>
                <w:szCs w:val="28"/>
                <w:highlight w:val="none"/>
                <w:u w:val="single"/>
              </w:rPr>
              <w:t xml:space="preserve"> ①货物类 </w:t>
            </w:r>
            <w:r>
              <w:rPr>
                <w:rFonts w:hint="eastAsia" w:ascii="新宋体" w:hAnsi="新宋体" w:eastAsia="新宋体" w:cs="新宋体"/>
                <w:color w:val="auto"/>
                <w:sz w:val="22"/>
                <w:szCs w:val="28"/>
                <w:highlight w:val="none"/>
              </w:rPr>
              <w:t xml:space="preserve"> （①货物类/②服务类/③工程类）</w:t>
            </w:r>
          </w:p>
          <w:p w14:paraId="20642BAF">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（3）项目对应的中小企业划分标准所属行业：</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u w:val="single"/>
                <w:lang w:val="en-US" w:eastAsia="zh-CN"/>
              </w:rPr>
              <w:t xml:space="preserve"> 工业 </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rPr>
              <w:t>（具体根据《中小企业划型标准规定》执行）</w:t>
            </w:r>
          </w:p>
          <w:p w14:paraId="515CC687">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备注：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14:paraId="2DEFDA69">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（4）本项目</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u w:val="single"/>
                <w:lang w:val="en-US" w:eastAsia="zh-CN"/>
              </w:rPr>
              <w:t>否</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rPr>
              <w:t>属于预留份额专门面向中小企业采购的项目。</w:t>
            </w:r>
          </w:p>
          <w:p w14:paraId="440C027E">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（5）上述第4项中确定为“是”的采购项目，预留份额通过（</w:t>
            </w:r>
            <w:r>
              <w:rPr>
                <w:rFonts w:hint="eastAsia" w:ascii="新宋体" w:hAnsi="新宋体" w:eastAsia="新宋体" w:cs="新宋体"/>
                <w:color w:val="auto"/>
                <w:sz w:val="22"/>
                <w:szCs w:val="28"/>
                <w:highlight w:val="none"/>
                <w:lang w:val="en-US" w:eastAsia="zh-CN"/>
              </w:rPr>
              <w:t xml:space="preserve">  </w:t>
            </w:r>
            <w:r>
              <w:rPr>
                <w:rFonts w:hint="eastAsia" w:ascii="新宋体" w:hAnsi="新宋体" w:eastAsia="新宋体" w:cs="新宋体"/>
                <w:color w:val="auto"/>
                <w:sz w:val="22"/>
                <w:szCs w:val="28"/>
                <w:highlight w:val="none"/>
              </w:rPr>
              <w:t>）措施进行：</w:t>
            </w:r>
          </w:p>
          <w:p w14:paraId="7E733F6C">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 xml:space="preserve">①将采购项目整体或者设置采购包专门面向中小企业采购； </w:t>
            </w:r>
          </w:p>
          <w:p w14:paraId="6F5EB5D0">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②要求供应商以联合体形式参加采购活动，且联合体中中小企业承担的部分达到</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rPr>
              <w:t xml:space="preserve"> </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比例</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 xml:space="preserve">； </w:t>
            </w:r>
          </w:p>
          <w:p w14:paraId="5D01E654">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 xml:space="preserve">③要求获得采购合同的供应商将采购项目中的 </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比例</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分包给一家或者多家中小企业。</w:t>
            </w:r>
          </w:p>
          <w:p w14:paraId="563EA7DE">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（6）对于经主管预算单位统筹后未预留份额专门面向中小企业采购的采购项目，以及预留份额项目中的非预留部分采购包，请贵单位明确对符合本办法规定的小微企业报价给予</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u w:val="single"/>
                <w:lang w:val="en-US" w:eastAsia="zh-CN"/>
              </w:rPr>
              <w:t>10%</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kern w:val="0"/>
                <w:sz w:val="22"/>
                <w:szCs w:val="22"/>
                <w:highlight w:val="none"/>
              </w:rPr>
              <w:t>（10%—20%）（工程项目为 3%—5%）</w:t>
            </w:r>
            <w:r>
              <w:rPr>
                <w:rFonts w:hint="eastAsia" w:ascii="新宋体" w:hAnsi="新宋体" w:eastAsia="新宋体" w:cs="新宋体"/>
                <w:color w:val="auto"/>
                <w:sz w:val="22"/>
                <w:szCs w:val="28"/>
                <w:highlight w:val="none"/>
              </w:rPr>
              <w:t xml:space="preserve">的扣除，用扣除后的价格参加评审。 </w:t>
            </w:r>
          </w:p>
          <w:p w14:paraId="37A83716">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对于接受大中型企业与小微企业组成联合体或者允许大中型企业向一家或者多家小微企业分包的采购项目，对于联合协议或者分包意向协议约定小微企业的合同份额占到合同总金额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u w:val="single"/>
                <w:lang w:val="en-US" w:eastAsia="zh-CN"/>
              </w:rPr>
              <w:t xml:space="preserve"> 4%</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（4%-6%）</w:t>
            </w:r>
            <w:r>
              <w:rPr>
                <w:rFonts w:hint="eastAsia" w:ascii="新宋体" w:hAnsi="新宋体" w:eastAsia="新宋体" w:cs="新宋体"/>
                <w:color w:val="auto"/>
                <w:sz w:val="22"/>
                <w:szCs w:val="28"/>
                <w:highlight w:val="none"/>
              </w:rPr>
              <w:t>（工程项目为2%）的扣除，用扣除后的价格参加评审。</w:t>
            </w:r>
          </w:p>
          <w:p w14:paraId="146F9ED6">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专门面向中小企业采购的项目或者标项，不再执行价格评审优惠的扶持政策。</w:t>
            </w:r>
          </w:p>
          <w:p w14:paraId="231CC40D">
            <w:pPr>
              <w:widowControl/>
              <w:snapToGrid w:val="0"/>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2、节能产品、环境标志产品的强制采购政策</w:t>
            </w:r>
          </w:p>
          <w:p w14:paraId="6C9EE263">
            <w:pPr>
              <w:widowControl/>
              <w:snapToGrid w:val="0"/>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w:t>
            </w:r>
            <w:r>
              <w:rPr>
                <w:rFonts w:hint="eastAsia" w:ascii="新宋体" w:hAnsi="新宋体" w:eastAsia="新宋体" w:cs="新宋体"/>
                <w:color w:val="auto"/>
                <w:kern w:val="0"/>
                <w:sz w:val="22"/>
                <w:szCs w:val="22"/>
                <w:highlight w:val="none"/>
                <w:lang w:eastAsia="zh-CN"/>
              </w:rPr>
              <w:t>采购人</w:t>
            </w:r>
            <w:r>
              <w:rPr>
                <w:rFonts w:hint="eastAsia" w:ascii="新宋体" w:hAnsi="新宋体" w:eastAsia="新宋体" w:cs="新宋体"/>
                <w:color w:val="auto"/>
                <w:kern w:val="0"/>
                <w:sz w:val="22"/>
                <w:szCs w:val="22"/>
                <w:highlight w:val="none"/>
              </w:rPr>
              <w:t>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p w14:paraId="6FBCE6D5">
            <w:pPr>
              <w:widowControl/>
              <w:snapToGrid w:val="0"/>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3、节能产品、环境标志产品的优先采购政策</w:t>
            </w:r>
          </w:p>
          <w:p w14:paraId="70E2C5BC">
            <w:pPr>
              <w:widowControl/>
              <w:snapToGrid w:val="0"/>
              <w:spacing w:line="460" w:lineRule="exact"/>
              <w:ind w:firstLine="440" w:firstLineChars="200"/>
              <w:jc w:val="left"/>
              <w:rPr>
                <w:rFonts w:hint="eastAsia" w:ascii="新宋体" w:hAnsi="新宋体" w:eastAsia="新宋体" w:cs="新宋体"/>
                <w:b/>
                <w:color w:val="auto"/>
                <w:kern w:val="10"/>
                <w:sz w:val="22"/>
                <w:szCs w:val="22"/>
                <w:highlight w:val="none"/>
              </w:rPr>
            </w:pPr>
            <w:r>
              <w:rPr>
                <w:rFonts w:hint="eastAsia" w:ascii="新宋体" w:hAnsi="新宋体" w:eastAsia="新宋体" w:cs="新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w:t>
            </w:r>
            <w:r>
              <w:rPr>
                <w:rFonts w:hint="eastAsia" w:ascii="新宋体" w:hAnsi="新宋体" w:eastAsia="新宋体" w:cs="新宋体"/>
                <w:color w:val="auto"/>
                <w:kern w:val="0"/>
                <w:sz w:val="22"/>
                <w:szCs w:val="22"/>
                <w:highlight w:val="none"/>
                <w:lang w:eastAsia="zh-CN"/>
              </w:rPr>
              <w:t>采购人</w:t>
            </w:r>
            <w:r>
              <w:rPr>
                <w:rFonts w:hint="eastAsia" w:ascii="新宋体" w:hAnsi="新宋体" w:eastAsia="新宋体" w:cs="新宋体"/>
                <w:color w:val="auto"/>
                <w:kern w:val="0"/>
                <w:sz w:val="22"/>
                <w:szCs w:val="22"/>
                <w:highlight w:val="none"/>
              </w:rPr>
              <w:t>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14:paraId="526EC0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9" w:type="dxa"/>
            <w:tcBorders>
              <w:top w:val="single" w:color="000000" w:sz="2" w:space="0"/>
              <w:left w:val="single" w:color="000000" w:sz="8" w:space="0"/>
              <w:bottom w:val="single" w:color="000000" w:sz="2" w:space="0"/>
              <w:right w:val="single" w:color="000000" w:sz="2" w:space="0"/>
            </w:tcBorders>
            <w:vAlign w:val="center"/>
          </w:tcPr>
          <w:p w14:paraId="77B75F1A">
            <w:pPr>
              <w:widowControl/>
              <w:snapToGrid w:val="0"/>
              <w:spacing w:line="460" w:lineRule="exact"/>
              <w:jc w:val="center"/>
              <w:textAlignment w:val="center"/>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b/>
                <w:bCs/>
                <w:color w:val="auto"/>
                <w:kern w:val="0"/>
                <w:sz w:val="22"/>
                <w:szCs w:val="22"/>
                <w:highlight w:val="none"/>
              </w:rPr>
              <w:t>1</w:t>
            </w:r>
            <w:r>
              <w:rPr>
                <w:rFonts w:hint="eastAsia" w:ascii="新宋体" w:hAnsi="新宋体" w:eastAsia="新宋体" w:cs="新宋体"/>
                <w:b/>
                <w:bCs/>
                <w:color w:val="auto"/>
                <w:kern w:val="0"/>
                <w:sz w:val="22"/>
                <w:szCs w:val="22"/>
                <w:highlight w:val="none"/>
                <w:lang w:val="en-US" w:eastAsia="zh-CN"/>
              </w:rPr>
              <w:t>9</w:t>
            </w:r>
          </w:p>
        </w:tc>
        <w:tc>
          <w:tcPr>
            <w:tcW w:w="9590" w:type="dxa"/>
            <w:tcBorders>
              <w:top w:val="single" w:color="000000" w:sz="2" w:space="0"/>
              <w:left w:val="single" w:color="000000" w:sz="2" w:space="0"/>
              <w:bottom w:val="single" w:color="000000" w:sz="2" w:space="0"/>
              <w:right w:val="single" w:color="000000" w:sz="8" w:space="0"/>
            </w:tcBorders>
            <w:vAlign w:val="center"/>
          </w:tcPr>
          <w:p w14:paraId="732FC637">
            <w:pPr>
              <w:snapToGrid w:val="0"/>
              <w:spacing w:line="460" w:lineRule="exact"/>
              <w:ind w:left="105" w:leftChars="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根据《关于在政府采购活动中查询及使用信用记录有关问题的通知》财库[2016]125号的规定：</w:t>
            </w:r>
          </w:p>
          <w:p w14:paraId="1C6E576E">
            <w:pPr>
              <w:snapToGrid w:val="0"/>
              <w:spacing w:line="460" w:lineRule="exact"/>
              <w:ind w:left="105" w:leftChars="50"/>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或采购代理机构将对本项目供应商的信用记录进行查询。查询渠道为信用中国网站（www.creditchina.gov.cn）、中国政府采购网（www.ccgp.gov.cn）；</w:t>
            </w:r>
          </w:p>
          <w:p w14:paraId="6A325C88">
            <w:pPr>
              <w:snapToGrid w:val="0"/>
              <w:spacing w:line="460" w:lineRule="exact"/>
              <w:ind w:left="105" w:leftChars="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（2）截止时点：提交投标文件（响应文件）截止时间前3年内；</w:t>
            </w:r>
          </w:p>
          <w:p w14:paraId="63350B83">
            <w:pPr>
              <w:snapToGrid w:val="0"/>
              <w:spacing w:line="460" w:lineRule="exact"/>
              <w:ind w:left="105" w:leftChars="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（3）查询记录和证据的留存：信用信息查询记录和证据以网页截图等方式留存。</w:t>
            </w:r>
          </w:p>
          <w:p w14:paraId="656329CF">
            <w:pPr>
              <w:snapToGrid w:val="0"/>
              <w:spacing w:line="460" w:lineRule="exact"/>
              <w:ind w:left="105" w:leftChars="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（4）使用规则：被列入失信被执行人、重大税收违法案件当事人名单、政府采购严重违法失信行为记录名单及其它不符合《中华人民共和国政府采购法》第二十二条规定条件的，其投标将被拒绝。</w:t>
            </w:r>
          </w:p>
          <w:p w14:paraId="79ED3958">
            <w:pPr>
              <w:snapToGrid w:val="0"/>
              <w:spacing w:line="460" w:lineRule="exact"/>
              <w:ind w:left="105" w:leftChars="50"/>
              <w:rPr>
                <w:rFonts w:hint="eastAsia" w:ascii="新宋体" w:hAnsi="新宋体" w:eastAsia="新宋体" w:cs="新宋体"/>
                <w:color w:val="auto"/>
                <w:highlight w:val="none"/>
              </w:rPr>
            </w:pPr>
            <w:r>
              <w:rPr>
                <w:rFonts w:hint="eastAsia" w:ascii="新宋体" w:hAnsi="新宋体" w:eastAsia="新宋体" w:cs="新宋体"/>
                <w:color w:val="auto"/>
                <w:sz w:val="22"/>
                <w:szCs w:val="22"/>
                <w:highlight w:val="none"/>
              </w:rPr>
              <w:t>（5）</w:t>
            </w:r>
            <w:r>
              <w:rPr>
                <w:rFonts w:hint="eastAsia" w:ascii="新宋体" w:hAnsi="新宋体" w:eastAsia="新宋体" w:cs="新宋体"/>
                <w:b/>
                <w:bCs/>
                <w:color w:val="auto"/>
                <w:sz w:val="22"/>
                <w:szCs w:val="22"/>
                <w:highlight w:val="none"/>
                <w:u w:val="single"/>
              </w:rPr>
              <w:t>联合体投标时，对所有联合体成员进行信用记录查询，联合体成员任意一方存在不良信用记录的，视同联合体存在不良信用记录。</w:t>
            </w:r>
          </w:p>
        </w:tc>
      </w:tr>
    </w:tbl>
    <w:p w14:paraId="2F13CC1D">
      <w:pPr>
        <w:rPr>
          <w:rFonts w:hint="eastAsia" w:ascii="新宋体" w:hAnsi="新宋体" w:eastAsia="新宋体" w:cs="新宋体"/>
          <w:b/>
          <w:bCs/>
          <w:color w:val="auto"/>
          <w:sz w:val="26"/>
          <w:szCs w:val="26"/>
          <w:highlight w:val="none"/>
        </w:rPr>
      </w:pPr>
      <w:r>
        <w:rPr>
          <w:rFonts w:hint="eastAsia" w:ascii="新宋体" w:hAnsi="新宋体" w:eastAsia="新宋体" w:cs="新宋体"/>
          <w:b/>
          <w:bCs/>
          <w:color w:val="auto"/>
          <w:sz w:val="26"/>
          <w:szCs w:val="26"/>
          <w:highlight w:val="none"/>
        </w:rPr>
        <w:br w:type="page"/>
      </w:r>
    </w:p>
    <w:p w14:paraId="21481E1D">
      <w:pPr>
        <w:spacing w:before="100" w:beforeAutospacing="1" w:after="100" w:afterAutospacing="1" w:line="460" w:lineRule="exact"/>
        <w:jc w:val="center"/>
        <w:outlineLvl w:val="1"/>
        <w:rPr>
          <w:rFonts w:hint="eastAsia" w:ascii="新宋体" w:hAnsi="新宋体" w:eastAsia="新宋体" w:cs="新宋体"/>
          <w:b/>
          <w:bCs/>
          <w:color w:val="auto"/>
          <w:sz w:val="32"/>
          <w:szCs w:val="32"/>
          <w:highlight w:val="none"/>
        </w:rPr>
      </w:pPr>
      <w:bookmarkStart w:id="10" w:name="_Toc20846"/>
      <w:bookmarkStart w:id="11" w:name="_Toc19070"/>
      <w:r>
        <w:rPr>
          <w:rFonts w:hint="eastAsia" w:ascii="新宋体" w:hAnsi="新宋体" w:eastAsia="新宋体" w:cs="新宋体"/>
          <w:b/>
          <w:bCs/>
          <w:color w:val="auto"/>
          <w:sz w:val="26"/>
          <w:szCs w:val="26"/>
          <w:highlight w:val="none"/>
        </w:rPr>
        <w:t>一、 说   明</w:t>
      </w:r>
      <w:bookmarkEnd w:id="10"/>
      <w:bookmarkEnd w:id="11"/>
    </w:p>
    <w:p w14:paraId="03EB28D5">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本次招标是按照《中华人民共和国政府采购法》、《政府采购货物和服务招标投标管理办法》、《中华人民共和国政府采购法实施条例》和《关于进一步规范政府采购活动的若干意见》等法律及有关法规组织和实施的。</w:t>
      </w:r>
    </w:p>
    <w:p w14:paraId="02C947BC">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2、定义</w:t>
      </w:r>
    </w:p>
    <w:p w14:paraId="1ED91471">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highlight w:val="none"/>
          <w:lang w:eastAsia="zh-CN"/>
        </w:rPr>
      </w:pPr>
      <w:r>
        <w:rPr>
          <w:rFonts w:hint="eastAsia" w:ascii="新宋体" w:hAnsi="新宋体" w:eastAsia="新宋体" w:cs="新宋体"/>
          <w:color w:val="auto"/>
          <w:sz w:val="22"/>
          <w:highlight w:val="none"/>
          <w:lang w:eastAsia="zh-CN"/>
        </w:rPr>
        <w:t>采购人</w:t>
      </w:r>
      <w:r>
        <w:rPr>
          <w:rFonts w:hint="eastAsia" w:ascii="新宋体" w:hAnsi="新宋体" w:eastAsia="新宋体" w:cs="新宋体"/>
          <w:color w:val="auto"/>
          <w:sz w:val="22"/>
          <w:highlight w:val="none"/>
        </w:rPr>
        <w:t>：是指依法进行政府采购的国家机关、事业单位、团体组织</w:t>
      </w:r>
      <w:r>
        <w:rPr>
          <w:rFonts w:hint="eastAsia" w:ascii="新宋体" w:hAnsi="新宋体" w:eastAsia="新宋体" w:cs="新宋体"/>
          <w:color w:val="auto"/>
          <w:sz w:val="22"/>
          <w:highlight w:val="none"/>
          <w:lang w:eastAsia="zh-CN"/>
        </w:rPr>
        <w:t>；</w:t>
      </w:r>
    </w:p>
    <w:p w14:paraId="69CBA591">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lang w:eastAsia="zh-CN"/>
        </w:rPr>
        <w:t>采购代理机构</w:t>
      </w:r>
      <w:r>
        <w:rPr>
          <w:rFonts w:hint="eastAsia" w:ascii="新宋体" w:hAnsi="新宋体" w:eastAsia="新宋体" w:cs="新宋体"/>
          <w:color w:val="auto"/>
          <w:sz w:val="22"/>
          <w:highlight w:val="none"/>
        </w:rPr>
        <w:t>：受</w:t>
      </w:r>
      <w:r>
        <w:rPr>
          <w:rFonts w:hint="eastAsia" w:ascii="新宋体" w:hAnsi="新宋体" w:eastAsia="新宋体" w:cs="新宋体"/>
          <w:color w:val="auto"/>
          <w:sz w:val="22"/>
          <w:highlight w:val="none"/>
          <w:lang w:eastAsia="zh-CN"/>
        </w:rPr>
        <w:t>采购人</w:t>
      </w:r>
      <w:r>
        <w:rPr>
          <w:rFonts w:hint="eastAsia" w:ascii="新宋体" w:hAnsi="新宋体" w:eastAsia="新宋体" w:cs="新宋体"/>
          <w:color w:val="auto"/>
          <w:sz w:val="22"/>
          <w:highlight w:val="none"/>
        </w:rPr>
        <w:t>委托，在委托的范围内办理政府采购事宜的机构；</w:t>
      </w:r>
    </w:p>
    <w:p w14:paraId="75D661AD">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投标人：是指参加本政府采购项目投标的供应商；</w:t>
      </w:r>
    </w:p>
    <w:p w14:paraId="504F47F9">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投标人代表：是指参加本项目投标活动的供应商法定代表人或法定代表人授权代表；</w:t>
      </w:r>
    </w:p>
    <w:p w14:paraId="0E5D2FB3">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投标联合体：是指两个以上供应商组成联合体，以一个供应商的身份参加投标；</w:t>
      </w:r>
    </w:p>
    <w:p w14:paraId="3E57F24A">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甲方：是指合同签订的一方，一般与</w:t>
      </w:r>
      <w:r>
        <w:rPr>
          <w:rFonts w:hint="eastAsia" w:ascii="新宋体" w:hAnsi="新宋体" w:eastAsia="新宋体" w:cs="新宋体"/>
          <w:color w:val="auto"/>
          <w:sz w:val="22"/>
          <w:highlight w:val="none"/>
          <w:lang w:eastAsia="zh-CN"/>
        </w:rPr>
        <w:t>采购人</w:t>
      </w:r>
      <w:r>
        <w:rPr>
          <w:rFonts w:hint="eastAsia" w:ascii="新宋体" w:hAnsi="新宋体" w:eastAsia="新宋体" w:cs="新宋体"/>
          <w:color w:val="auto"/>
          <w:sz w:val="22"/>
          <w:highlight w:val="none"/>
        </w:rPr>
        <w:t>、用户相同；</w:t>
      </w:r>
    </w:p>
    <w:p w14:paraId="5140DCAD">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乙方：是指合同签订的另一方，与中标人相同；</w:t>
      </w:r>
    </w:p>
    <w:p w14:paraId="2B37EA85">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制造商：是指拥有投标产品自主知识产权的单位；</w:t>
      </w:r>
    </w:p>
    <w:p w14:paraId="43414A3F">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原件备查：要求携带原件备查的，供应商应按要求携带备查，如评标委员会发现投标文件资料复印件存有瑕疵，致使内容模糊、关键信息难以辨认、材料真实性存疑等情形的，有权核对原件或评标委员会认为有必有核对原件，若供应商未能提交原件，将会导致评标委员会作出对其不利的评定，一切后果由供应商自行承担。</w:t>
      </w:r>
    </w:p>
    <w:p w14:paraId="42E583CC">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带“▲”条款系指实质性要求条款。“★”是关键技术参数及要求。</w:t>
      </w:r>
    </w:p>
    <w:p w14:paraId="4396B826">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3、投标人代表</w:t>
      </w:r>
    </w:p>
    <w:p w14:paraId="009F55A7">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highlight w:val="none"/>
        </w:rPr>
      </w:pPr>
      <w:r>
        <w:rPr>
          <w:rFonts w:hint="eastAsia" w:ascii="新宋体" w:hAnsi="新宋体" w:eastAsia="新宋体" w:cs="新宋体"/>
          <w:b/>
          <w:color w:val="auto"/>
          <w:sz w:val="22"/>
          <w:szCs w:val="22"/>
          <w:highlight w:val="none"/>
        </w:rPr>
        <w:t>3.1</w:t>
      </w:r>
      <w:r>
        <w:rPr>
          <w:rFonts w:hint="eastAsia" w:ascii="新宋体" w:hAnsi="新宋体" w:eastAsia="新宋体" w:cs="新宋体"/>
          <w:b/>
          <w:color w:val="auto"/>
          <w:sz w:val="22"/>
          <w:highlight w:val="none"/>
        </w:rPr>
        <w:t>指全权代表投标人参加投标活动并签署投标文件的人。如果投标人代表不是法定代表人，须持有《法定代表人授权书》（见附件）</w:t>
      </w:r>
    </w:p>
    <w:p w14:paraId="1F1DE851">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highlight w:val="none"/>
        </w:rPr>
        <w:t>根据政府采购相关法律、法规、规章、文件规定并满足</w:t>
      </w:r>
      <w:r>
        <w:rPr>
          <w:rFonts w:hint="eastAsia" w:ascii="新宋体" w:hAnsi="新宋体" w:eastAsia="新宋体" w:cs="新宋体"/>
          <w:color w:val="auto"/>
          <w:sz w:val="22"/>
          <w:highlight w:val="none"/>
          <w:lang w:eastAsia="zh-CN"/>
        </w:rPr>
        <w:t>采购文件</w:t>
      </w:r>
      <w:r>
        <w:rPr>
          <w:rFonts w:hint="eastAsia" w:ascii="新宋体" w:hAnsi="新宋体" w:eastAsia="新宋体" w:cs="新宋体"/>
          <w:color w:val="auto"/>
          <w:sz w:val="22"/>
          <w:highlight w:val="none"/>
        </w:rPr>
        <w:t>规定资格条件的区域性分支机构、个体工商户、个人独资企业、合伙企业参加本项目投标并由单位负责人签署的相关投标资料与本</w:t>
      </w:r>
      <w:r>
        <w:rPr>
          <w:rFonts w:hint="eastAsia" w:ascii="新宋体" w:hAnsi="新宋体" w:eastAsia="新宋体" w:cs="新宋体"/>
          <w:color w:val="auto"/>
          <w:sz w:val="22"/>
          <w:highlight w:val="none"/>
          <w:lang w:eastAsia="zh-CN"/>
        </w:rPr>
        <w:t>采购文件</w:t>
      </w:r>
      <w:r>
        <w:rPr>
          <w:rFonts w:hint="eastAsia" w:ascii="新宋体" w:hAnsi="新宋体" w:eastAsia="新宋体" w:cs="新宋体"/>
          <w:color w:val="auto"/>
          <w:sz w:val="22"/>
          <w:highlight w:val="none"/>
        </w:rPr>
        <w:t>规定由法定代表人签署的的文件材料具有同等效力</w:t>
      </w:r>
      <w:r>
        <w:rPr>
          <w:rFonts w:hint="eastAsia" w:ascii="新宋体" w:hAnsi="新宋体" w:eastAsia="新宋体" w:cs="新宋体"/>
          <w:b/>
          <w:color w:val="auto"/>
          <w:sz w:val="22"/>
          <w:szCs w:val="22"/>
          <w:highlight w:val="none"/>
        </w:rPr>
        <w:t>。</w:t>
      </w:r>
    </w:p>
    <w:p w14:paraId="5FAE003A">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4、投标费用</w:t>
      </w:r>
    </w:p>
    <w:p w14:paraId="090E244B">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4.1</w:t>
      </w:r>
      <w:r>
        <w:rPr>
          <w:rFonts w:hint="eastAsia" w:ascii="新宋体" w:hAnsi="新宋体" w:eastAsia="新宋体" w:cs="新宋体"/>
          <w:color w:val="auto"/>
          <w:sz w:val="22"/>
          <w:szCs w:val="22"/>
          <w:highlight w:val="none"/>
        </w:rPr>
        <w:t>投标人应承担所有与准备和参加投标有关费用，不论投标的结果如何，</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或</w:t>
      </w:r>
      <w:r>
        <w:rPr>
          <w:rFonts w:hint="eastAsia" w:ascii="新宋体" w:hAnsi="新宋体" w:eastAsia="新宋体" w:cs="新宋体"/>
          <w:color w:val="auto"/>
          <w:sz w:val="22"/>
          <w:szCs w:val="22"/>
          <w:highlight w:val="none"/>
          <w:lang w:eastAsia="zh-CN"/>
        </w:rPr>
        <w:t>采购代理机构</w:t>
      </w:r>
      <w:r>
        <w:rPr>
          <w:rFonts w:hint="eastAsia" w:ascii="新宋体" w:hAnsi="新宋体" w:eastAsia="新宋体" w:cs="新宋体"/>
          <w:color w:val="auto"/>
          <w:sz w:val="22"/>
          <w:szCs w:val="22"/>
          <w:highlight w:val="none"/>
        </w:rPr>
        <w:t>均无义务和责任承担这些费用。</w:t>
      </w:r>
    </w:p>
    <w:p w14:paraId="4698EE52">
      <w:pPr>
        <w:spacing w:before="100" w:beforeAutospacing="1" w:after="100" w:afterAutospacing="1" w:line="460" w:lineRule="exact"/>
        <w:jc w:val="center"/>
        <w:outlineLvl w:val="1"/>
        <w:rPr>
          <w:rFonts w:hint="eastAsia" w:ascii="新宋体" w:hAnsi="新宋体" w:eastAsia="新宋体" w:cs="新宋体"/>
          <w:b/>
          <w:bCs/>
          <w:color w:val="auto"/>
          <w:sz w:val="26"/>
          <w:szCs w:val="26"/>
          <w:highlight w:val="none"/>
          <w:lang w:eastAsia="zh-CN"/>
        </w:rPr>
      </w:pPr>
      <w:bookmarkStart w:id="12" w:name="_Toc28278"/>
      <w:bookmarkStart w:id="13" w:name="_Toc9899"/>
      <w:r>
        <w:rPr>
          <w:rFonts w:hint="eastAsia" w:ascii="新宋体" w:hAnsi="新宋体" w:eastAsia="新宋体" w:cs="新宋体"/>
          <w:b/>
          <w:bCs/>
          <w:color w:val="auto"/>
          <w:sz w:val="26"/>
          <w:szCs w:val="26"/>
          <w:highlight w:val="none"/>
        </w:rPr>
        <w:t xml:space="preserve">二、 </w:t>
      </w:r>
      <w:bookmarkEnd w:id="12"/>
      <w:bookmarkEnd w:id="13"/>
      <w:r>
        <w:rPr>
          <w:rFonts w:hint="eastAsia" w:ascii="新宋体" w:hAnsi="新宋体" w:eastAsia="新宋体" w:cs="新宋体"/>
          <w:b/>
          <w:bCs/>
          <w:color w:val="auto"/>
          <w:sz w:val="26"/>
          <w:szCs w:val="26"/>
          <w:highlight w:val="none"/>
          <w:lang w:eastAsia="zh-CN"/>
        </w:rPr>
        <w:t>采购文件</w:t>
      </w:r>
    </w:p>
    <w:p w14:paraId="740E81ED">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1、</w:t>
      </w:r>
      <w:r>
        <w:rPr>
          <w:rFonts w:hint="eastAsia" w:ascii="新宋体" w:hAnsi="新宋体" w:eastAsia="新宋体" w:cs="新宋体"/>
          <w:color w:val="auto"/>
          <w:sz w:val="22"/>
          <w:highlight w:val="none"/>
          <w:lang w:eastAsia="zh-CN"/>
        </w:rPr>
        <w:t>采购文件</w:t>
      </w:r>
      <w:r>
        <w:rPr>
          <w:rFonts w:hint="eastAsia" w:ascii="新宋体" w:hAnsi="新宋体" w:eastAsia="新宋体" w:cs="新宋体"/>
          <w:color w:val="auto"/>
          <w:sz w:val="22"/>
          <w:highlight w:val="none"/>
        </w:rPr>
        <w:t>由</w:t>
      </w:r>
      <w:r>
        <w:rPr>
          <w:rFonts w:hint="eastAsia" w:ascii="新宋体" w:hAnsi="新宋体" w:eastAsia="新宋体" w:cs="新宋体"/>
          <w:color w:val="auto"/>
          <w:sz w:val="22"/>
          <w:highlight w:val="none"/>
          <w:lang w:eastAsia="zh-CN"/>
        </w:rPr>
        <w:t>采购文件</w:t>
      </w:r>
      <w:r>
        <w:rPr>
          <w:rFonts w:hint="eastAsia" w:ascii="新宋体" w:hAnsi="新宋体" w:eastAsia="新宋体" w:cs="新宋体"/>
          <w:color w:val="auto"/>
          <w:sz w:val="22"/>
          <w:highlight w:val="none"/>
        </w:rPr>
        <w:t>目录所列内容及相关资料组成。</w:t>
      </w:r>
    </w:p>
    <w:p w14:paraId="2EBC7ADD">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2、</w:t>
      </w:r>
      <w:r>
        <w:rPr>
          <w:rFonts w:hint="eastAsia" w:ascii="新宋体" w:hAnsi="新宋体" w:eastAsia="新宋体" w:cs="新宋体"/>
          <w:b/>
          <w:color w:val="auto"/>
          <w:sz w:val="22"/>
          <w:highlight w:val="none"/>
          <w:lang w:eastAsia="zh-CN"/>
        </w:rPr>
        <w:t>采购文件</w:t>
      </w:r>
      <w:r>
        <w:rPr>
          <w:rFonts w:hint="eastAsia" w:ascii="新宋体" w:hAnsi="新宋体" w:eastAsia="新宋体" w:cs="新宋体"/>
          <w:b/>
          <w:color w:val="auto"/>
          <w:sz w:val="22"/>
          <w:highlight w:val="none"/>
        </w:rPr>
        <w:t>的澄清</w:t>
      </w:r>
    </w:p>
    <w:p w14:paraId="666AED1B">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2.1任何要求对</w:t>
      </w:r>
      <w:r>
        <w:rPr>
          <w:rFonts w:hint="eastAsia" w:ascii="新宋体" w:hAnsi="新宋体" w:eastAsia="新宋体" w:cs="新宋体"/>
          <w:color w:val="auto"/>
          <w:sz w:val="22"/>
          <w:highlight w:val="none"/>
          <w:lang w:eastAsia="zh-CN"/>
        </w:rPr>
        <w:t>采购文件</w:t>
      </w:r>
      <w:r>
        <w:rPr>
          <w:rFonts w:hint="eastAsia" w:ascii="新宋体" w:hAnsi="新宋体" w:eastAsia="新宋体" w:cs="新宋体"/>
          <w:color w:val="auto"/>
          <w:sz w:val="22"/>
          <w:highlight w:val="none"/>
        </w:rPr>
        <w:t>进行澄清的投标人，均应以书面形式（信函、传真，下同）通知，但该通知在知道或应知道其权益受到损害之日起七个工作日内以使</w:t>
      </w:r>
      <w:r>
        <w:rPr>
          <w:rFonts w:hint="eastAsia" w:ascii="新宋体" w:hAnsi="新宋体" w:eastAsia="新宋体" w:cs="新宋体"/>
          <w:color w:val="auto"/>
          <w:sz w:val="22"/>
          <w:highlight w:val="none"/>
          <w:lang w:eastAsia="zh-CN"/>
        </w:rPr>
        <w:t>采购人</w:t>
      </w:r>
      <w:r>
        <w:rPr>
          <w:rFonts w:hint="eastAsia" w:ascii="新宋体" w:hAnsi="新宋体" w:eastAsia="新宋体" w:cs="新宋体"/>
          <w:color w:val="auto"/>
          <w:sz w:val="22"/>
          <w:highlight w:val="none"/>
        </w:rPr>
        <w:t>或</w:t>
      </w:r>
      <w:r>
        <w:rPr>
          <w:rFonts w:hint="eastAsia" w:ascii="新宋体" w:hAnsi="新宋体" w:eastAsia="新宋体" w:cs="新宋体"/>
          <w:color w:val="auto"/>
          <w:sz w:val="22"/>
          <w:highlight w:val="none"/>
          <w:lang w:eastAsia="zh-CN"/>
        </w:rPr>
        <w:t>采购代理机构</w:t>
      </w:r>
      <w:r>
        <w:rPr>
          <w:rFonts w:hint="eastAsia" w:ascii="新宋体" w:hAnsi="新宋体" w:eastAsia="新宋体" w:cs="新宋体"/>
          <w:color w:val="auto"/>
          <w:sz w:val="22"/>
          <w:highlight w:val="none"/>
        </w:rPr>
        <w:t>收到，</w:t>
      </w:r>
      <w:r>
        <w:rPr>
          <w:rFonts w:hint="eastAsia" w:ascii="新宋体" w:hAnsi="新宋体" w:eastAsia="新宋体" w:cs="新宋体"/>
          <w:color w:val="auto"/>
          <w:sz w:val="22"/>
          <w:highlight w:val="none"/>
          <w:lang w:eastAsia="zh-CN"/>
        </w:rPr>
        <w:t>采购人</w:t>
      </w:r>
      <w:r>
        <w:rPr>
          <w:rFonts w:hint="eastAsia" w:ascii="新宋体" w:hAnsi="新宋体" w:eastAsia="新宋体" w:cs="新宋体"/>
          <w:color w:val="auto"/>
          <w:sz w:val="22"/>
          <w:highlight w:val="none"/>
        </w:rPr>
        <w:t>或</w:t>
      </w:r>
      <w:r>
        <w:rPr>
          <w:rFonts w:hint="eastAsia" w:ascii="新宋体" w:hAnsi="新宋体" w:eastAsia="新宋体" w:cs="新宋体"/>
          <w:color w:val="auto"/>
          <w:sz w:val="22"/>
          <w:highlight w:val="none"/>
          <w:lang w:eastAsia="zh-CN"/>
        </w:rPr>
        <w:t>采购代理机构</w:t>
      </w:r>
      <w:r>
        <w:rPr>
          <w:rFonts w:hint="eastAsia" w:ascii="新宋体" w:hAnsi="新宋体" w:eastAsia="新宋体" w:cs="新宋体"/>
          <w:color w:val="auto"/>
          <w:sz w:val="22"/>
          <w:highlight w:val="none"/>
        </w:rPr>
        <w:t>将以书面形式予以答复。如果</w:t>
      </w:r>
      <w:r>
        <w:rPr>
          <w:rFonts w:hint="eastAsia" w:ascii="新宋体" w:hAnsi="新宋体" w:eastAsia="新宋体" w:cs="新宋体"/>
          <w:color w:val="auto"/>
          <w:sz w:val="22"/>
          <w:highlight w:val="none"/>
          <w:lang w:eastAsia="zh-CN"/>
        </w:rPr>
        <w:t>采购文件</w:t>
      </w:r>
      <w:r>
        <w:rPr>
          <w:rFonts w:hint="eastAsia" w:ascii="新宋体" w:hAnsi="新宋体" w:eastAsia="新宋体" w:cs="新宋体"/>
          <w:color w:val="auto"/>
          <w:sz w:val="22"/>
          <w:highlight w:val="none"/>
        </w:rPr>
        <w:t>澄清期内未收到有关澄清要求，视为投标人完全同意</w:t>
      </w:r>
      <w:r>
        <w:rPr>
          <w:rFonts w:hint="eastAsia" w:ascii="新宋体" w:hAnsi="新宋体" w:eastAsia="新宋体" w:cs="新宋体"/>
          <w:color w:val="auto"/>
          <w:sz w:val="22"/>
          <w:highlight w:val="none"/>
          <w:lang w:eastAsia="zh-CN"/>
        </w:rPr>
        <w:t>采购文件</w:t>
      </w:r>
      <w:r>
        <w:rPr>
          <w:rFonts w:hint="eastAsia" w:ascii="新宋体" w:hAnsi="新宋体" w:eastAsia="新宋体" w:cs="新宋体"/>
          <w:color w:val="auto"/>
          <w:sz w:val="22"/>
          <w:highlight w:val="none"/>
        </w:rPr>
        <w:t>所有条款，且对于</w:t>
      </w:r>
      <w:r>
        <w:rPr>
          <w:rFonts w:hint="eastAsia" w:ascii="新宋体" w:hAnsi="新宋体" w:eastAsia="新宋体" w:cs="新宋体"/>
          <w:color w:val="auto"/>
          <w:sz w:val="22"/>
          <w:highlight w:val="none"/>
          <w:lang w:eastAsia="zh-CN"/>
        </w:rPr>
        <w:t>采购文件</w:t>
      </w:r>
      <w:r>
        <w:rPr>
          <w:rFonts w:hint="eastAsia" w:ascii="新宋体" w:hAnsi="新宋体" w:eastAsia="新宋体" w:cs="新宋体"/>
          <w:color w:val="auto"/>
          <w:sz w:val="22"/>
          <w:highlight w:val="none"/>
        </w:rPr>
        <w:t>有关表述以及未尽事宜如有异议，以</w:t>
      </w:r>
      <w:r>
        <w:rPr>
          <w:rFonts w:hint="eastAsia" w:ascii="新宋体" w:hAnsi="新宋体" w:eastAsia="新宋体" w:cs="新宋体"/>
          <w:color w:val="auto"/>
          <w:sz w:val="22"/>
          <w:highlight w:val="none"/>
          <w:lang w:eastAsia="zh-CN"/>
        </w:rPr>
        <w:t>采购人</w:t>
      </w:r>
      <w:r>
        <w:rPr>
          <w:rFonts w:hint="eastAsia" w:ascii="新宋体" w:hAnsi="新宋体" w:eastAsia="新宋体" w:cs="新宋体"/>
          <w:color w:val="auto"/>
          <w:sz w:val="22"/>
          <w:highlight w:val="none"/>
        </w:rPr>
        <w:t>或</w:t>
      </w:r>
      <w:r>
        <w:rPr>
          <w:rFonts w:hint="eastAsia" w:ascii="新宋体" w:hAnsi="新宋体" w:eastAsia="新宋体" w:cs="新宋体"/>
          <w:color w:val="auto"/>
          <w:sz w:val="22"/>
          <w:highlight w:val="none"/>
          <w:lang w:eastAsia="zh-CN"/>
        </w:rPr>
        <w:t>采购代理机构</w:t>
      </w:r>
      <w:r>
        <w:rPr>
          <w:rFonts w:hint="eastAsia" w:ascii="新宋体" w:hAnsi="新宋体" w:eastAsia="新宋体" w:cs="新宋体"/>
          <w:color w:val="auto"/>
          <w:sz w:val="22"/>
          <w:highlight w:val="none"/>
        </w:rPr>
        <w:t>解释为准。</w:t>
      </w:r>
    </w:p>
    <w:p w14:paraId="01916358">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3、</w:t>
      </w:r>
      <w:r>
        <w:rPr>
          <w:rFonts w:hint="eastAsia" w:ascii="新宋体" w:hAnsi="新宋体" w:eastAsia="新宋体" w:cs="新宋体"/>
          <w:b/>
          <w:color w:val="auto"/>
          <w:sz w:val="22"/>
          <w:highlight w:val="none"/>
          <w:lang w:eastAsia="zh-CN"/>
        </w:rPr>
        <w:t>采购文件</w:t>
      </w:r>
      <w:r>
        <w:rPr>
          <w:rFonts w:hint="eastAsia" w:ascii="新宋体" w:hAnsi="新宋体" w:eastAsia="新宋体" w:cs="新宋体"/>
          <w:b/>
          <w:color w:val="auto"/>
          <w:sz w:val="22"/>
          <w:highlight w:val="none"/>
        </w:rPr>
        <w:t>的修改</w:t>
      </w:r>
    </w:p>
    <w:p w14:paraId="373FF30B">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3.1</w:t>
      </w:r>
      <w:r>
        <w:rPr>
          <w:rFonts w:hint="eastAsia" w:ascii="新宋体" w:hAnsi="新宋体" w:eastAsia="新宋体" w:cs="新宋体"/>
          <w:color w:val="auto"/>
          <w:sz w:val="22"/>
          <w:highlight w:val="none"/>
          <w:lang w:eastAsia="zh-CN"/>
        </w:rPr>
        <w:t>采购人</w:t>
      </w:r>
      <w:r>
        <w:rPr>
          <w:rFonts w:hint="eastAsia" w:ascii="新宋体" w:hAnsi="新宋体" w:eastAsia="新宋体" w:cs="新宋体"/>
          <w:color w:val="auto"/>
          <w:sz w:val="22"/>
          <w:highlight w:val="none"/>
        </w:rPr>
        <w:t>或</w:t>
      </w:r>
      <w:r>
        <w:rPr>
          <w:rFonts w:hint="eastAsia" w:ascii="新宋体" w:hAnsi="新宋体" w:eastAsia="新宋体" w:cs="新宋体"/>
          <w:color w:val="auto"/>
          <w:sz w:val="22"/>
          <w:highlight w:val="none"/>
          <w:lang w:eastAsia="zh-CN"/>
        </w:rPr>
        <w:t>采购代理机构</w:t>
      </w:r>
      <w:r>
        <w:rPr>
          <w:rFonts w:hint="eastAsia" w:ascii="新宋体" w:hAnsi="新宋体" w:eastAsia="新宋体" w:cs="新宋体"/>
          <w:color w:val="auto"/>
          <w:sz w:val="22"/>
          <w:highlight w:val="none"/>
        </w:rPr>
        <w:t>对已发出的</w:t>
      </w:r>
      <w:r>
        <w:rPr>
          <w:rFonts w:hint="eastAsia" w:ascii="新宋体" w:hAnsi="新宋体" w:eastAsia="新宋体" w:cs="新宋体"/>
          <w:color w:val="auto"/>
          <w:sz w:val="22"/>
          <w:highlight w:val="none"/>
          <w:lang w:eastAsia="zh-CN"/>
        </w:rPr>
        <w:t>采购文件</w:t>
      </w:r>
      <w:r>
        <w:rPr>
          <w:rFonts w:hint="eastAsia" w:ascii="新宋体" w:hAnsi="新宋体" w:eastAsia="新宋体" w:cs="新宋体"/>
          <w:color w:val="auto"/>
          <w:sz w:val="22"/>
          <w:highlight w:val="none"/>
        </w:rPr>
        <w:t>进行必要的澄清或者修改的，应当在</w:t>
      </w:r>
      <w:r>
        <w:rPr>
          <w:rFonts w:hint="eastAsia" w:ascii="新宋体" w:hAnsi="新宋体" w:eastAsia="新宋体" w:cs="新宋体"/>
          <w:color w:val="auto"/>
          <w:sz w:val="22"/>
          <w:highlight w:val="none"/>
          <w:lang w:eastAsia="zh-CN"/>
        </w:rPr>
        <w:t>采购文件</w:t>
      </w:r>
      <w:r>
        <w:rPr>
          <w:rFonts w:hint="eastAsia" w:ascii="新宋体" w:hAnsi="新宋体" w:eastAsia="新宋体" w:cs="新宋体"/>
          <w:color w:val="auto"/>
          <w:sz w:val="22"/>
          <w:highlight w:val="none"/>
        </w:rPr>
        <w:t>要求递交投标文件截止时间十五日前，在财政部门指定的政府采购信息发布媒体上发布更正公告，该澄清或修改内容为</w:t>
      </w:r>
      <w:r>
        <w:rPr>
          <w:rFonts w:hint="eastAsia" w:ascii="新宋体" w:hAnsi="新宋体" w:eastAsia="新宋体" w:cs="新宋体"/>
          <w:color w:val="auto"/>
          <w:sz w:val="22"/>
          <w:highlight w:val="none"/>
          <w:lang w:eastAsia="zh-CN"/>
        </w:rPr>
        <w:t>采购文件</w:t>
      </w:r>
      <w:r>
        <w:rPr>
          <w:rFonts w:hint="eastAsia" w:ascii="新宋体" w:hAnsi="新宋体" w:eastAsia="新宋体" w:cs="新宋体"/>
          <w:color w:val="auto"/>
          <w:sz w:val="22"/>
          <w:highlight w:val="none"/>
        </w:rPr>
        <w:t>的组成部分。</w:t>
      </w:r>
    </w:p>
    <w:p w14:paraId="07207B05">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highlight w:val="none"/>
        </w:rPr>
        <w:t>3.2</w:t>
      </w:r>
      <w:r>
        <w:rPr>
          <w:rFonts w:hint="eastAsia" w:ascii="新宋体" w:hAnsi="新宋体" w:eastAsia="新宋体" w:cs="新宋体"/>
          <w:color w:val="auto"/>
          <w:sz w:val="22"/>
          <w:highlight w:val="none"/>
          <w:lang w:eastAsia="zh-CN"/>
        </w:rPr>
        <w:t>采购人</w:t>
      </w:r>
      <w:r>
        <w:rPr>
          <w:rFonts w:hint="eastAsia" w:ascii="新宋体" w:hAnsi="新宋体" w:eastAsia="新宋体" w:cs="新宋体"/>
          <w:color w:val="auto"/>
          <w:sz w:val="22"/>
          <w:highlight w:val="none"/>
        </w:rPr>
        <w:t>、</w:t>
      </w:r>
      <w:r>
        <w:rPr>
          <w:rFonts w:hint="eastAsia" w:ascii="新宋体" w:hAnsi="新宋体" w:eastAsia="新宋体" w:cs="新宋体"/>
          <w:color w:val="auto"/>
          <w:sz w:val="22"/>
          <w:highlight w:val="none"/>
          <w:lang w:eastAsia="zh-CN"/>
        </w:rPr>
        <w:t>采购代理机构</w:t>
      </w:r>
      <w:r>
        <w:rPr>
          <w:rFonts w:hint="eastAsia" w:ascii="新宋体" w:hAnsi="新宋体" w:eastAsia="新宋体" w:cs="新宋体"/>
          <w:color w:val="auto"/>
          <w:sz w:val="22"/>
          <w:highlight w:val="none"/>
        </w:rPr>
        <w:t>可以视采购的具体情况决定是否延长投标截止时间和开标时间，并在</w:t>
      </w:r>
      <w:r>
        <w:rPr>
          <w:rFonts w:hint="eastAsia" w:ascii="新宋体" w:hAnsi="新宋体" w:eastAsia="新宋体" w:cs="新宋体"/>
          <w:color w:val="auto"/>
          <w:sz w:val="22"/>
          <w:highlight w:val="none"/>
          <w:lang w:eastAsia="zh-CN"/>
        </w:rPr>
        <w:t>采购文件</w:t>
      </w:r>
      <w:r>
        <w:rPr>
          <w:rFonts w:hint="eastAsia" w:ascii="新宋体" w:hAnsi="新宋体" w:eastAsia="新宋体" w:cs="新宋体"/>
          <w:color w:val="auto"/>
          <w:sz w:val="22"/>
          <w:highlight w:val="none"/>
        </w:rPr>
        <w:t>要求递交投标文件的截止时间前，在财政部门指定的政府采购信息发布媒体上发布变更公告。</w:t>
      </w:r>
    </w:p>
    <w:p w14:paraId="4738ACFB">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highlight w:val="none"/>
          <w:lang w:val="en-US" w:eastAsia="zh-CN"/>
        </w:rPr>
        <w:t>注：</w:t>
      </w:r>
      <w:r>
        <w:rPr>
          <w:rFonts w:hint="eastAsia" w:ascii="新宋体" w:hAnsi="新宋体" w:eastAsia="新宋体" w:cs="新宋体"/>
          <w:color w:val="auto"/>
          <w:sz w:val="22"/>
          <w:highlight w:val="none"/>
        </w:rPr>
        <w:t>潜在投标人应自行关注网站公告，</w:t>
      </w:r>
      <w:r>
        <w:rPr>
          <w:rFonts w:hint="eastAsia" w:ascii="新宋体" w:hAnsi="新宋体" w:eastAsia="新宋体" w:cs="新宋体"/>
          <w:color w:val="auto"/>
          <w:sz w:val="22"/>
          <w:highlight w:val="none"/>
          <w:lang w:eastAsia="zh-CN"/>
        </w:rPr>
        <w:t>采购人</w:t>
      </w:r>
      <w:r>
        <w:rPr>
          <w:rFonts w:hint="eastAsia" w:ascii="新宋体" w:hAnsi="新宋体" w:eastAsia="新宋体" w:cs="新宋体"/>
          <w:color w:val="auto"/>
          <w:sz w:val="22"/>
          <w:highlight w:val="none"/>
        </w:rPr>
        <w:t>、</w:t>
      </w:r>
      <w:r>
        <w:rPr>
          <w:rFonts w:hint="eastAsia" w:ascii="新宋体" w:hAnsi="新宋体" w:eastAsia="新宋体" w:cs="新宋体"/>
          <w:color w:val="auto"/>
          <w:sz w:val="22"/>
          <w:highlight w:val="none"/>
          <w:lang w:eastAsia="zh-CN"/>
        </w:rPr>
        <w:t>采购代理机构</w:t>
      </w:r>
      <w:r>
        <w:rPr>
          <w:rFonts w:hint="eastAsia" w:ascii="新宋体" w:hAnsi="新宋体" w:eastAsia="新宋体" w:cs="新宋体"/>
          <w:color w:val="auto"/>
          <w:sz w:val="22"/>
          <w:highlight w:val="none"/>
        </w:rPr>
        <w:t>不再一一通知。投标人因自身贻误行为导致投标失败的，责任自负。</w:t>
      </w:r>
    </w:p>
    <w:p w14:paraId="1527400F">
      <w:pPr>
        <w:spacing w:before="100" w:beforeAutospacing="1" w:after="100" w:afterAutospacing="1" w:line="460" w:lineRule="exact"/>
        <w:jc w:val="center"/>
        <w:outlineLvl w:val="1"/>
        <w:rPr>
          <w:rFonts w:hint="eastAsia" w:ascii="新宋体" w:hAnsi="新宋体" w:eastAsia="新宋体" w:cs="新宋体"/>
          <w:b/>
          <w:bCs/>
          <w:color w:val="auto"/>
          <w:sz w:val="26"/>
          <w:szCs w:val="26"/>
          <w:highlight w:val="none"/>
        </w:rPr>
      </w:pPr>
      <w:bookmarkStart w:id="14" w:name="_Toc12726"/>
      <w:bookmarkStart w:id="15" w:name="_Toc22646"/>
      <w:r>
        <w:rPr>
          <w:rFonts w:hint="eastAsia" w:ascii="新宋体" w:hAnsi="新宋体" w:eastAsia="新宋体" w:cs="新宋体"/>
          <w:b/>
          <w:bCs/>
          <w:color w:val="auto"/>
          <w:sz w:val="26"/>
          <w:szCs w:val="26"/>
          <w:highlight w:val="none"/>
        </w:rPr>
        <w:t>三、 投标文件的编制</w:t>
      </w:r>
      <w:bookmarkEnd w:id="14"/>
      <w:bookmarkEnd w:id="15"/>
    </w:p>
    <w:p w14:paraId="46E68F0B">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1、投标人应认真阅读</w:t>
      </w:r>
      <w:r>
        <w:rPr>
          <w:rFonts w:hint="eastAsia" w:ascii="新宋体" w:hAnsi="新宋体" w:eastAsia="新宋体" w:cs="新宋体"/>
          <w:color w:val="auto"/>
          <w:sz w:val="22"/>
          <w:highlight w:val="none"/>
          <w:lang w:eastAsia="zh-CN"/>
        </w:rPr>
        <w:t>采购文件</w:t>
      </w:r>
      <w:r>
        <w:rPr>
          <w:rFonts w:hint="eastAsia" w:ascii="新宋体" w:hAnsi="新宋体" w:eastAsia="新宋体" w:cs="新宋体"/>
          <w:color w:val="auto"/>
          <w:sz w:val="22"/>
          <w:highlight w:val="none"/>
        </w:rPr>
        <w:t>中所有事项、格式、条款和技术规范等。</w:t>
      </w:r>
      <w:r>
        <w:rPr>
          <w:rFonts w:hint="eastAsia" w:ascii="新宋体" w:hAnsi="新宋体" w:eastAsia="新宋体" w:cs="新宋体"/>
          <w:b/>
          <w:color w:val="auto"/>
          <w:sz w:val="22"/>
          <w:highlight w:val="none"/>
        </w:rPr>
        <w:t>投标人没有按照</w:t>
      </w:r>
      <w:r>
        <w:rPr>
          <w:rFonts w:hint="eastAsia" w:ascii="新宋体" w:hAnsi="新宋体" w:eastAsia="新宋体" w:cs="新宋体"/>
          <w:b/>
          <w:color w:val="auto"/>
          <w:sz w:val="22"/>
          <w:highlight w:val="none"/>
          <w:lang w:eastAsia="zh-CN"/>
        </w:rPr>
        <w:t>采购文件</w:t>
      </w:r>
      <w:r>
        <w:rPr>
          <w:rFonts w:hint="eastAsia" w:ascii="新宋体" w:hAnsi="新宋体" w:eastAsia="新宋体" w:cs="新宋体"/>
          <w:b/>
          <w:color w:val="auto"/>
          <w:sz w:val="22"/>
          <w:highlight w:val="none"/>
        </w:rPr>
        <w:t>要求提交全部资料，或者没有对</w:t>
      </w:r>
      <w:r>
        <w:rPr>
          <w:rFonts w:hint="eastAsia" w:ascii="新宋体" w:hAnsi="新宋体" w:eastAsia="新宋体" w:cs="新宋体"/>
          <w:b/>
          <w:color w:val="auto"/>
          <w:sz w:val="22"/>
          <w:highlight w:val="none"/>
          <w:lang w:eastAsia="zh-CN"/>
        </w:rPr>
        <w:t>采购文件</w:t>
      </w:r>
      <w:r>
        <w:rPr>
          <w:rFonts w:hint="eastAsia" w:ascii="新宋体" w:hAnsi="新宋体" w:eastAsia="新宋体" w:cs="新宋体"/>
          <w:b/>
          <w:color w:val="auto"/>
          <w:sz w:val="22"/>
          <w:highlight w:val="none"/>
        </w:rPr>
        <w:t>各个方面做出实质性响应，导致投标被否决的风险由投标人自行承担。</w:t>
      </w:r>
    </w:p>
    <w:p w14:paraId="223E4BC6">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highlight w:val="none"/>
        </w:rPr>
        <w:t>2、投标人应保证所提供文件资料的真实性，所有文件资料必须是针对本次投标的。如发现投标人提供了虚假文件资料，其投标将被否决，并自行承担相应的法律责任。</w:t>
      </w:r>
    </w:p>
    <w:p w14:paraId="27C5C15D">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3、</w:t>
      </w:r>
      <w:r>
        <w:rPr>
          <w:rFonts w:hint="eastAsia" w:ascii="新宋体" w:hAnsi="新宋体" w:eastAsia="新宋体" w:cs="新宋体"/>
          <w:b/>
          <w:bCs/>
          <w:color w:val="auto"/>
          <w:sz w:val="22"/>
          <w:szCs w:val="22"/>
          <w:highlight w:val="none"/>
        </w:rPr>
        <w:t>投标文件的构成：</w:t>
      </w:r>
    </w:p>
    <w:p w14:paraId="748D1C08">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kern w:val="0"/>
          <w:sz w:val="22"/>
          <w:szCs w:val="22"/>
          <w:highlight w:val="none"/>
        </w:rPr>
        <w:t>投标</w:t>
      </w:r>
      <w:r>
        <w:rPr>
          <w:rFonts w:hint="eastAsia" w:ascii="新宋体" w:hAnsi="新宋体" w:eastAsia="新宋体" w:cs="新宋体"/>
          <w:b/>
          <w:bCs/>
          <w:color w:val="auto"/>
          <w:kern w:val="0"/>
          <w:sz w:val="22"/>
          <w:szCs w:val="22"/>
          <w:highlight w:val="none"/>
          <w:lang w:val="zh-CN"/>
        </w:rPr>
        <w:t>文件应当包括以下主要内容：资格文件、报价文件、商务技术文件。</w:t>
      </w:r>
    </w:p>
    <w:p w14:paraId="57C8B217">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rPr>
        <w:t>3.1</w:t>
      </w:r>
      <w:r>
        <w:rPr>
          <w:rFonts w:hint="eastAsia" w:ascii="新宋体" w:hAnsi="新宋体" w:eastAsia="新宋体" w:cs="新宋体"/>
          <w:b/>
          <w:bCs/>
          <w:color w:val="auto"/>
          <w:kern w:val="0"/>
          <w:sz w:val="22"/>
          <w:szCs w:val="22"/>
          <w:highlight w:val="none"/>
          <w:lang w:val="zh-CN"/>
        </w:rPr>
        <w:t xml:space="preserve">投标人的资格文件至少应包括以下内容： </w:t>
      </w:r>
    </w:p>
    <w:p w14:paraId="042A973C">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kern w:val="0"/>
          <w:sz w:val="22"/>
          <w:szCs w:val="22"/>
          <w:highlight w:val="none"/>
          <w:u w:val="single"/>
          <w:lang w:val="zh-CN"/>
        </w:rPr>
        <w:t>基本资格条件审查材料：即证明供应商参加本次采购活动前3年内满足《中华人民共和国政府采购法》的有关资格证明文件。</w:t>
      </w:r>
      <w:r>
        <w:rPr>
          <w:rFonts w:hint="eastAsia" w:ascii="新宋体" w:hAnsi="新宋体" w:eastAsia="新宋体" w:cs="新宋体"/>
          <w:color w:val="auto"/>
          <w:sz w:val="22"/>
          <w:szCs w:val="22"/>
          <w:highlight w:val="none"/>
          <w:u w:val="single"/>
        </w:rPr>
        <w:t>包括：</w:t>
      </w:r>
    </w:p>
    <w:p w14:paraId="02C17A49">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kern w:val="0"/>
          <w:sz w:val="22"/>
          <w:szCs w:val="22"/>
          <w:highlight w:val="none"/>
          <w:u w:val="single"/>
          <w:lang w:val="zh-CN"/>
        </w:rPr>
      </w:pPr>
      <w:r>
        <w:rPr>
          <w:rFonts w:hint="eastAsia" w:ascii="新宋体" w:hAnsi="新宋体" w:eastAsia="新宋体" w:cs="新宋体"/>
          <w:color w:val="auto"/>
          <w:kern w:val="0"/>
          <w:sz w:val="22"/>
          <w:szCs w:val="22"/>
          <w:highlight w:val="none"/>
          <w:u w:val="single"/>
          <w:lang w:val="zh-CN"/>
        </w:rPr>
        <w:t>（</w:t>
      </w:r>
      <w:r>
        <w:rPr>
          <w:rFonts w:hint="eastAsia" w:ascii="新宋体" w:hAnsi="新宋体" w:eastAsia="新宋体" w:cs="新宋体"/>
          <w:color w:val="auto"/>
          <w:kern w:val="0"/>
          <w:sz w:val="22"/>
          <w:szCs w:val="22"/>
          <w:highlight w:val="none"/>
          <w:u w:val="single"/>
        </w:rPr>
        <w:t>1</w:t>
      </w:r>
      <w:r>
        <w:rPr>
          <w:rFonts w:hint="eastAsia" w:ascii="新宋体" w:hAnsi="新宋体" w:eastAsia="新宋体" w:cs="新宋体"/>
          <w:color w:val="auto"/>
          <w:kern w:val="0"/>
          <w:sz w:val="22"/>
          <w:szCs w:val="22"/>
          <w:highlight w:val="none"/>
          <w:u w:val="single"/>
          <w:lang w:val="zh-CN"/>
        </w:rPr>
        <w:t>）资格条件承诺函；</w:t>
      </w:r>
      <w:r>
        <w:rPr>
          <w:rFonts w:hint="eastAsia" w:ascii="新宋体" w:hAnsi="新宋体" w:eastAsia="新宋体" w:cs="新宋体"/>
          <w:b/>
          <w:bCs/>
          <w:color w:val="auto"/>
          <w:sz w:val="22"/>
          <w:szCs w:val="22"/>
          <w:highlight w:val="none"/>
          <w:u w:val="single"/>
        </w:rPr>
        <w:t>（如为联合体投标，联合体各方均需提供</w:t>
      </w:r>
      <w:r>
        <w:rPr>
          <w:rFonts w:hint="eastAsia" w:ascii="新宋体" w:hAnsi="新宋体" w:eastAsia="新宋体" w:cs="新宋体"/>
          <w:b/>
          <w:bCs/>
          <w:color w:val="auto"/>
          <w:sz w:val="22"/>
          <w:szCs w:val="22"/>
          <w:highlight w:val="none"/>
          <w:u w:val="single"/>
          <w:lang w:eastAsia="zh-CN"/>
        </w:rPr>
        <w:t>）</w:t>
      </w:r>
    </w:p>
    <w:p w14:paraId="6541C70F">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kern w:val="0"/>
          <w:sz w:val="22"/>
          <w:szCs w:val="22"/>
          <w:highlight w:val="none"/>
          <w:u w:val="single"/>
          <w:lang w:val="zh-CN"/>
        </w:rPr>
      </w:pPr>
      <w:r>
        <w:rPr>
          <w:rFonts w:hint="eastAsia" w:ascii="新宋体" w:hAnsi="新宋体" w:eastAsia="新宋体" w:cs="新宋体"/>
          <w:color w:val="auto"/>
          <w:kern w:val="0"/>
          <w:sz w:val="22"/>
          <w:szCs w:val="22"/>
          <w:highlight w:val="none"/>
          <w:u w:val="single"/>
          <w:lang w:val="zh-CN"/>
        </w:rPr>
        <w:t>（</w:t>
      </w:r>
      <w:r>
        <w:rPr>
          <w:rFonts w:hint="eastAsia" w:ascii="新宋体" w:hAnsi="新宋体" w:eastAsia="新宋体" w:cs="新宋体"/>
          <w:color w:val="auto"/>
          <w:kern w:val="0"/>
          <w:sz w:val="22"/>
          <w:szCs w:val="22"/>
          <w:highlight w:val="none"/>
          <w:u w:val="single"/>
        </w:rPr>
        <w:t>2</w:t>
      </w:r>
      <w:r>
        <w:rPr>
          <w:rFonts w:hint="eastAsia" w:ascii="新宋体" w:hAnsi="新宋体" w:eastAsia="新宋体" w:cs="新宋体"/>
          <w:color w:val="auto"/>
          <w:kern w:val="0"/>
          <w:sz w:val="22"/>
          <w:szCs w:val="22"/>
          <w:highlight w:val="none"/>
          <w:u w:val="single"/>
          <w:lang w:val="zh-CN"/>
        </w:rPr>
        <w:t xml:space="preserve">）营业执照（或事业法人登记证书或其它工商等登记证明材料；自然人参与政府采购，提供身份证）复印件； </w:t>
      </w:r>
      <w:r>
        <w:rPr>
          <w:rFonts w:hint="eastAsia" w:ascii="新宋体" w:hAnsi="新宋体" w:eastAsia="新宋体" w:cs="新宋体"/>
          <w:b/>
          <w:bCs/>
          <w:color w:val="auto"/>
          <w:sz w:val="22"/>
          <w:szCs w:val="22"/>
          <w:highlight w:val="none"/>
          <w:u w:val="single"/>
        </w:rPr>
        <w:t>（如为联合体投标，联合体各方均需提供</w:t>
      </w:r>
      <w:r>
        <w:rPr>
          <w:rFonts w:hint="eastAsia" w:ascii="新宋体" w:hAnsi="新宋体" w:eastAsia="新宋体" w:cs="新宋体"/>
          <w:b/>
          <w:bCs/>
          <w:color w:val="auto"/>
          <w:sz w:val="22"/>
          <w:szCs w:val="22"/>
          <w:highlight w:val="none"/>
          <w:u w:val="single"/>
          <w:lang w:eastAsia="zh-CN"/>
        </w:rPr>
        <w:t>）</w:t>
      </w:r>
    </w:p>
    <w:p w14:paraId="753E128B">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kern w:val="0"/>
          <w:sz w:val="22"/>
          <w:szCs w:val="22"/>
          <w:highlight w:val="none"/>
          <w:u w:val="single"/>
          <w:lang w:val="zh-CN"/>
        </w:rPr>
      </w:pPr>
      <w:r>
        <w:rPr>
          <w:rFonts w:hint="eastAsia" w:ascii="新宋体" w:hAnsi="新宋体" w:eastAsia="新宋体" w:cs="新宋体"/>
          <w:color w:val="auto"/>
          <w:kern w:val="0"/>
          <w:sz w:val="22"/>
          <w:szCs w:val="22"/>
          <w:highlight w:val="none"/>
          <w:u w:val="single"/>
          <w:lang w:val="zh-CN"/>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6E67328D">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kern w:val="0"/>
          <w:sz w:val="22"/>
          <w:szCs w:val="22"/>
          <w:highlight w:val="none"/>
          <w:u w:val="single"/>
          <w:lang w:val="zh-CN"/>
        </w:rPr>
      </w:pPr>
      <w:r>
        <w:rPr>
          <w:rFonts w:hint="eastAsia" w:ascii="新宋体" w:hAnsi="新宋体" w:eastAsia="新宋体" w:cs="新宋体"/>
          <w:color w:val="auto"/>
          <w:kern w:val="0"/>
          <w:sz w:val="22"/>
          <w:szCs w:val="22"/>
          <w:highlight w:val="none"/>
          <w:u w:val="single"/>
        </w:rPr>
        <w:t>（3）投标人信用查询；</w:t>
      </w:r>
      <w:r>
        <w:rPr>
          <w:rFonts w:hint="eastAsia" w:ascii="新宋体" w:hAnsi="新宋体" w:eastAsia="新宋体" w:cs="新宋体"/>
          <w:b/>
          <w:bCs/>
          <w:color w:val="auto"/>
          <w:sz w:val="22"/>
          <w:szCs w:val="22"/>
          <w:highlight w:val="none"/>
          <w:u w:val="single"/>
        </w:rPr>
        <w:t>（如为联合体投标，联合体各方均需提供</w:t>
      </w:r>
      <w:r>
        <w:rPr>
          <w:rFonts w:hint="eastAsia" w:ascii="新宋体" w:hAnsi="新宋体" w:eastAsia="新宋体" w:cs="新宋体"/>
          <w:b/>
          <w:bCs/>
          <w:color w:val="auto"/>
          <w:sz w:val="22"/>
          <w:szCs w:val="22"/>
          <w:highlight w:val="none"/>
          <w:u w:val="single"/>
          <w:lang w:eastAsia="zh-CN"/>
        </w:rPr>
        <w:t>）</w:t>
      </w:r>
    </w:p>
    <w:p w14:paraId="5479C833">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bCs/>
          <w:color w:val="auto"/>
          <w:sz w:val="22"/>
          <w:szCs w:val="22"/>
          <w:highlight w:val="none"/>
          <w:u w:val="single"/>
          <w:lang w:eastAsia="zh-CN"/>
        </w:rPr>
      </w:pPr>
      <w:r>
        <w:rPr>
          <w:rFonts w:hint="eastAsia" w:ascii="新宋体" w:hAnsi="新宋体" w:eastAsia="新宋体" w:cs="新宋体"/>
          <w:color w:val="auto"/>
          <w:kern w:val="0"/>
          <w:sz w:val="22"/>
          <w:szCs w:val="22"/>
          <w:highlight w:val="none"/>
          <w:u w:val="single"/>
          <w:lang w:val="zh-CN"/>
        </w:rPr>
        <w:t>（</w:t>
      </w:r>
      <w:r>
        <w:rPr>
          <w:rFonts w:hint="eastAsia" w:ascii="新宋体" w:hAnsi="新宋体" w:eastAsia="新宋体" w:cs="新宋体"/>
          <w:color w:val="auto"/>
          <w:kern w:val="0"/>
          <w:sz w:val="22"/>
          <w:szCs w:val="22"/>
          <w:highlight w:val="none"/>
          <w:u w:val="single"/>
          <w:lang w:val="en-US" w:eastAsia="zh-CN"/>
        </w:rPr>
        <w:t>4</w:t>
      </w:r>
      <w:r>
        <w:rPr>
          <w:rFonts w:hint="eastAsia" w:ascii="新宋体" w:hAnsi="新宋体" w:eastAsia="新宋体" w:cs="新宋体"/>
          <w:color w:val="auto"/>
          <w:kern w:val="0"/>
          <w:sz w:val="22"/>
          <w:szCs w:val="22"/>
          <w:highlight w:val="none"/>
          <w:u w:val="single"/>
          <w:lang w:val="zh-CN"/>
        </w:rPr>
        <w:t>）</w:t>
      </w:r>
      <w:r>
        <w:rPr>
          <w:rFonts w:hint="eastAsia" w:ascii="新宋体" w:hAnsi="新宋体" w:eastAsia="新宋体" w:cs="新宋体"/>
          <w:color w:val="auto"/>
          <w:kern w:val="0"/>
          <w:sz w:val="22"/>
          <w:szCs w:val="22"/>
          <w:highlight w:val="none"/>
          <w:u w:val="single"/>
          <w:lang w:val="en-US" w:eastAsia="zh-CN"/>
        </w:rPr>
        <w:t>政府</w:t>
      </w:r>
      <w:r>
        <w:rPr>
          <w:rFonts w:hint="eastAsia" w:ascii="新宋体" w:hAnsi="新宋体" w:eastAsia="新宋体" w:cs="新宋体"/>
          <w:color w:val="auto"/>
          <w:kern w:val="0"/>
          <w:sz w:val="22"/>
          <w:szCs w:val="22"/>
          <w:highlight w:val="none"/>
          <w:u w:val="single"/>
          <w:lang w:val="zh-CN"/>
        </w:rPr>
        <w:t>采购活动</w:t>
      </w:r>
      <w:r>
        <w:rPr>
          <w:rFonts w:hint="eastAsia" w:ascii="新宋体" w:hAnsi="新宋体" w:eastAsia="新宋体" w:cs="新宋体"/>
          <w:color w:val="auto"/>
          <w:kern w:val="0"/>
          <w:sz w:val="22"/>
          <w:szCs w:val="22"/>
          <w:highlight w:val="none"/>
          <w:u w:val="single"/>
        </w:rPr>
        <w:t>现场</w:t>
      </w:r>
      <w:r>
        <w:rPr>
          <w:rFonts w:hint="eastAsia" w:ascii="新宋体" w:hAnsi="新宋体" w:eastAsia="新宋体" w:cs="新宋体"/>
          <w:color w:val="auto"/>
          <w:kern w:val="0"/>
          <w:sz w:val="22"/>
          <w:szCs w:val="22"/>
          <w:highlight w:val="none"/>
          <w:u w:val="single"/>
          <w:lang w:val="zh-CN"/>
        </w:rPr>
        <w:t>确认声明书；</w:t>
      </w:r>
      <w:r>
        <w:rPr>
          <w:rFonts w:hint="eastAsia" w:ascii="新宋体" w:hAnsi="新宋体" w:eastAsia="新宋体" w:cs="新宋体"/>
          <w:b/>
          <w:bCs/>
          <w:color w:val="auto"/>
          <w:sz w:val="22"/>
          <w:szCs w:val="22"/>
          <w:highlight w:val="none"/>
          <w:u w:val="single"/>
        </w:rPr>
        <w:t>（如为联合体投标，联合体各方均需提供</w:t>
      </w:r>
      <w:r>
        <w:rPr>
          <w:rFonts w:hint="eastAsia" w:ascii="新宋体" w:hAnsi="新宋体" w:eastAsia="新宋体" w:cs="新宋体"/>
          <w:b/>
          <w:bCs/>
          <w:color w:val="auto"/>
          <w:sz w:val="22"/>
          <w:szCs w:val="22"/>
          <w:highlight w:val="none"/>
          <w:u w:val="single"/>
          <w:lang w:eastAsia="zh-CN"/>
        </w:rPr>
        <w:t>）</w:t>
      </w:r>
    </w:p>
    <w:p w14:paraId="198F76BF">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highlight w:val="none"/>
          <w:lang w:val="zh-CN"/>
        </w:rPr>
      </w:pPr>
      <w:r>
        <w:rPr>
          <w:rFonts w:hint="eastAsia" w:ascii="新宋体" w:hAnsi="新宋体" w:eastAsia="新宋体" w:cs="新宋体"/>
          <w:color w:val="auto"/>
          <w:kern w:val="0"/>
          <w:sz w:val="22"/>
          <w:szCs w:val="22"/>
          <w:highlight w:val="none"/>
          <w:u w:val="single"/>
          <w:lang w:val="zh-CN" w:eastAsia="zh-CN"/>
        </w:rPr>
        <w:t>（</w:t>
      </w:r>
      <w:r>
        <w:rPr>
          <w:rFonts w:hint="eastAsia" w:ascii="新宋体" w:hAnsi="新宋体" w:eastAsia="新宋体" w:cs="新宋体"/>
          <w:color w:val="auto"/>
          <w:kern w:val="0"/>
          <w:sz w:val="22"/>
          <w:szCs w:val="22"/>
          <w:highlight w:val="none"/>
          <w:u w:val="single"/>
          <w:lang w:val="en-US" w:eastAsia="zh-CN"/>
        </w:rPr>
        <w:t>5</w:t>
      </w:r>
      <w:r>
        <w:rPr>
          <w:rFonts w:hint="eastAsia" w:ascii="新宋体" w:hAnsi="新宋体" w:eastAsia="新宋体" w:cs="新宋体"/>
          <w:color w:val="auto"/>
          <w:kern w:val="0"/>
          <w:sz w:val="22"/>
          <w:szCs w:val="22"/>
          <w:highlight w:val="none"/>
          <w:u w:val="single"/>
          <w:lang w:val="zh-CN" w:eastAsia="zh-CN"/>
        </w:rPr>
        <w:t>）</w:t>
      </w:r>
      <w:r>
        <w:rPr>
          <w:rFonts w:hint="eastAsia" w:ascii="新宋体" w:hAnsi="新宋体" w:eastAsia="新宋体" w:cs="新宋体"/>
          <w:color w:val="auto"/>
          <w:kern w:val="0"/>
          <w:sz w:val="22"/>
          <w:szCs w:val="22"/>
          <w:highlight w:val="none"/>
          <w:u w:val="single"/>
          <w:lang w:val="zh-CN"/>
        </w:rPr>
        <w:t>联合体协议书（如有）</w:t>
      </w:r>
      <w:r>
        <w:rPr>
          <w:rFonts w:hint="eastAsia" w:ascii="新宋体" w:hAnsi="新宋体" w:eastAsia="新宋体" w:cs="新宋体"/>
          <w:color w:val="auto"/>
          <w:kern w:val="0"/>
          <w:sz w:val="22"/>
          <w:szCs w:val="22"/>
          <w:highlight w:val="none"/>
          <w:u w:val="single"/>
          <w:lang w:val="en-US" w:eastAsia="zh-CN"/>
        </w:rPr>
        <w:t>。</w:t>
      </w:r>
    </w:p>
    <w:p w14:paraId="661025E1">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rPr>
        <w:t>上述资格条件审查材料有一项不提供的，视为资格审查不通过。</w:t>
      </w:r>
    </w:p>
    <w:p w14:paraId="41632C41">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color w:val="auto"/>
          <w:sz w:val="22"/>
          <w:szCs w:val="22"/>
          <w:highlight w:val="none"/>
          <w:u w:val="single"/>
          <w:lang w:val="zh-CN"/>
        </w:rPr>
      </w:pPr>
      <w:r>
        <w:rPr>
          <w:rFonts w:hint="eastAsia" w:ascii="新宋体" w:hAnsi="新宋体" w:eastAsia="新宋体" w:cs="新宋体"/>
          <w:b/>
          <w:bCs/>
          <w:color w:val="auto"/>
          <w:sz w:val="22"/>
          <w:szCs w:val="22"/>
          <w:highlight w:val="none"/>
        </w:rPr>
        <w:t>3.2投标人的报价文件至少应包括以下内容：</w:t>
      </w:r>
    </w:p>
    <w:p w14:paraId="1FDCD439">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）投标报价一览表；</w:t>
      </w:r>
    </w:p>
    <w:p w14:paraId="43B048AD">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）投标分项报价表</w:t>
      </w:r>
      <w:r>
        <w:rPr>
          <w:rFonts w:hint="eastAsia" w:ascii="新宋体" w:hAnsi="新宋体" w:eastAsia="新宋体" w:cs="新宋体"/>
          <w:color w:val="auto"/>
          <w:sz w:val="22"/>
          <w:szCs w:val="22"/>
          <w:highlight w:val="none"/>
          <w:lang w:eastAsia="zh-CN"/>
        </w:rPr>
        <w:t>；</w:t>
      </w:r>
    </w:p>
    <w:p w14:paraId="16750C52">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）中小企业声明函、监狱企业、残疾人福利性单位及其他相关的充分的证明材料。（</w:t>
      </w:r>
      <w:r>
        <w:rPr>
          <w:rFonts w:hint="eastAsia" w:ascii="新宋体" w:hAnsi="新宋体" w:eastAsia="新宋体" w:cs="新宋体"/>
          <w:b/>
          <w:bCs/>
          <w:color w:val="auto"/>
          <w:szCs w:val="21"/>
          <w:highlight w:val="none"/>
        </w:rPr>
        <w:t>如有，联合体各方均需提供</w:t>
      </w:r>
      <w:r>
        <w:rPr>
          <w:rFonts w:hint="eastAsia" w:ascii="新宋体" w:hAnsi="新宋体" w:eastAsia="新宋体" w:cs="新宋体"/>
          <w:color w:val="auto"/>
          <w:szCs w:val="21"/>
          <w:highlight w:val="none"/>
        </w:rPr>
        <w:t>）</w:t>
      </w:r>
    </w:p>
    <w:p w14:paraId="14EC9831">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3.3</w:t>
      </w:r>
      <w:r>
        <w:rPr>
          <w:rFonts w:hint="eastAsia" w:ascii="新宋体" w:hAnsi="新宋体" w:eastAsia="新宋体" w:cs="新宋体"/>
          <w:color w:val="auto"/>
          <w:kern w:val="0"/>
          <w:sz w:val="22"/>
          <w:szCs w:val="22"/>
          <w:highlight w:val="none"/>
          <w:lang w:val="zh-CN"/>
        </w:rPr>
        <w:t>投标人的</w:t>
      </w:r>
      <w:r>
        <w:rPr>
          <w:rFonts w:hint="eastAsia" w:ascii="新宋体" w:hAnsi="新宋体" w:eastAsia="新宋体" w:cs="新宋体"/>
          <w:b/>
          <w:bCs/>
          <w:color w:val="auto"/>
          <w:kern w:val="0"/>
          <w:sz w:val="22"/>
          <w:szCs w:val="22"/>
          <w:highlight w:val="none"/>
          <w:lang w:val="zh-CN"/>
        </w:rPr>
        <w:t>商务技术文件</w:t>
      </w:r>
      <w:r>
        <w:rPr>
          <w:rFonts w:hint="eastAsia" w:ascii="新宋体" w:hAnsi="新宋体" w:eastAsia="新宋体" w:cs="新宋体"/>
          <w:color w:val="auto"/>
          <w:kern w:val="0"/>
          <w:sz w:val="22"/>
          <w:szCs w:val="22"/>
          <w:highlight w:val="none"/>
          <w:lang w:val="zh-CN"/>
        </w:rPr>
        <w:t>应包括以下内容：</w:t>
      </w:r>
    </w:p>
    <w:p w14:paraId="04AF6989">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（1）投标函；</w:t>
      </w:r>
    </w:p>
    <w:p w14:paraId="1E0045C6">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）法定代表人授权委托书（需提供法定代表人及授权委托人的身份证复印件加盖公章）；</w:t>
      </w:r>
    </w:p>
    <w:p w14:paraId="2252E093">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供货清单</w:t>
      </w:r>
    </w:p>
    <w:p w14:paraId="2FBD2818">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lang w:val="zh-CN"/>
        </w:rPr>
      </w:pPr>
      <w:r>
        <w:rPr>
          <w:rFonts w:hint="eastAsia" w:ascii="新宋体" w:hAnsi="新宋体" w:eastAsia="新宋体" w:cs="新宋体"/>
          <w:b w:val="0"/>
          <w:bCs/>
          <w:color w:val="auto"/>
          <w:sz w:val="22"/>
          <w:szCs w:val="22"/>
          <w:highlight w:val="none"/>
          <w:u w:val="none"/>
        </w:rPr>
        <w:t>（</w:t>
      </w:r>
      <w:r>
        <w:rPr>
          <w:rFonts w:hint="eastAsia" w:ascii="新宋体" w:hAnsi="新宋体" w:eastAsia="新宋体" w:cs="新宋体"/>
          <w:b w:val="0"/>
          <w:bCs/>
          <w:color w:val="auto"/>
          <w:sz w:val="22"/>
          <w:szCs w:val="22"/>
          <w:highlight w:val="none"/>
          <w:u w:val="none"/>
          <w:lang w:val="en-US" w:eastAsia="zh-CN"/>
        </w:rPr>
        <w:t>4</w:t>
      </w:r>
      <w:r>
        <w:rPr>
          <w:rFonts w:hint="eastAsia" w:ascii="新宋体" w:hAnsi="新宋体" w:eastAsia="新宋体" w:cs="新宋体"/>
          <w:b w:val="0"/>
          <w:bCs/>
          <w:color w:val="auto"/>
          <w:sz w:val="22"/>
          <w:szCs w:val="22"/>
          <w:highlight w:val="none"/>
          <w:u w:val="none"/>
        </w:rPr>
        <w:t>）</w:t>
      </w:r>
      <w:r>
        <w:rPr>
          <w:rFonts w:hint="eastAsia" w:ascii="新宋体" w:hAnsi="新宋体" w:eastAsia="新宋体" w:cs="新宋体"/>
          <w:color w:val="auto"/>
          <w:sz w:val="22"/>
          <w:szCs w:val="22"/>
          <w:highlight w:val="none"/>
          <w:lang w:val="zh-CN"/>
        </w:rPr>
        <w:t>偏离表（</w:t>
      </w:r>
      <w:r>
        <w:rPr>
          <w:rFonts w:hint="eastAsia" w:ascii="新宋体" w:hAnsi="新宋体" w:eastAsia="新宋体" w:cs="新宋体"/>
          <w:color w:val="auto"/>
          <w:sz w:val="22"/>
          <w:szCs w:val="22"/>
          <w:highlight w:val="none"/>
        </w:rPr>
        <w:t>商务、技术偏离</w:t>
      </w:r>
      <w:r>
        <w:rPr>
          <w:rFonts w:hint="eastAsia" w:ascii="新宋体" w:hAnsi="新宋体" w:eastAsia="新宋体" w:cs="新宋体"/>
          <w:color w:val="auto"/>
          <w:sz w:val="22"/>
          <w:szCs w:val="22"/>
          <w:highlight w:val="none"/>
          <w:lang w:val="zh-CN"/>
        </w:rPr>
        <w:t>）</w:t>
      </w:r>
    </w:p>
    <w:p w14:paraId="2C271C06">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其他必要提供的资料。</w:t>
      </w:r>
    </w:p>
    <w:p w14:paraId="353D7159">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szCs w:val="22"/>
          <w:highlight w:val="none"/>
          <w:lang w:val="zh-CN"/>
        </w:rPr>
      </w:pPr>
      <w:r>
        <w:rPr>
          <w:rFonts w:hint="eastAsia" w:ascii="新宋体" w:hAnsi="新宋体" w:eastAsia="新宋体" w:cs="新宋体"/>
          <w:b/>
          <w:color w:val="auto"/>
          <w:sz w:val="22"/>
          <w:szCs w:val="22"/>
          <w:highlight w:val="none"/>
          <w:lang w:val="zh-CN"/>
        </w:rPr>
        <w:t>投标文件中所需的各种证书、证件、证明资料如是复印件，须在复印件上加盖有效公章。</w:t>
      </w:r>
    </w:p>
    <w:p w14:paraId="7C0A2958">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lang w:val="zh-CN"/>
        </w:rPr>
        <w:t>投标人的</w:t>
      </w:r>
      <w:r>
        <w:rPr>
          <w:rFonts w:hint="eastAsia" w:ascii="新宋体" w:hAnsi="新宋体" w:eastAsia="新宋体" w:cs="新宋体"/>
          <w:b w:val="0"/>
          <w:bCs/>
          <w:color w:val="auto"/>
          <w:sz w:val="22"/>
          <w:szCs w:val="22"/>
          <w:highlight w:val="none"/>
        </w:rPr>
        <w:t>投标文件必须按照</w:t>
      </w:r>
      <w:r>
        <w:rPr>
          <w:rFonts w:hint="eastAsia" w:ascii="新宋体" w:hAnsi="新宋体" w:eastAsia="新宋体" w:cs="新宋体"/>
          <w:b w:val="0"/>
          <w:bCs/>
          <w:color w:val="auto"/>
          <w:sz w:val="22"/>
          <w:szCs w:val="22"/>
          <w:highlight w:val="none"/>
          <w:lang w:eastAsia="zh-CN"/>
        </w:rPr>
        <w:t>采购文件</w:t>
      </w:r>
      <w:r>
        <w:rPr>
          <w:rFonts w:hint="eastAsia" w:ascii="新宋体" w:hAnsi="新宋体" w:eastAsia="新宋体" w:cs="新宋体"/>
          <w:b w:val="0"/>
          <w:bCs/>
          <w:color w:val="auto"/>
          <w:sz w:val="22"/>
          <w:szCs w:val="22"/>
          <w:highlight w:val="none"/>
        </w:rPr>
        <w:t>要求制作。</w:t>
      </w:r>
    </w:p>
    <w:p w14:paraId="46673E4A">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投标人可在</w:t>
      </w:r>
      <w:r>
        <w:rPr>
          <w:rFonts w:hint="eastAsia" w:ascii="新宋体" w:hAnsi="新宋体" w:eastAsia="新宋体" w:cs="新宋体"/>
          <w:b w:val="0"/>
          <w:bCs/>
          <w:color w:val="auto"/>
          <w:sz w:val="22"/>
          <w:szCs w:val="22"/>
          <w:highlight w:val="none"/>
          <w:lang w:eastAsia="zh-CN"/>
        </w:rPr>
        <w:t>采购文件</w:t>
      </w:r>
      <w:r>
        <w:rPr>
          <w:rFonts w:hint="eastAsia" w:ascii="新宋体" w:hAnsi="新宋体" w:eastAsia="新宋体" w:cs="新宋体"/>
          <w:b w:val="0"/>
          <w:bCs/>
          <w:color w:val="auto"/>
          <w:sz w:val="22"/>
          <w:szCs w:val="22"/>
          <w:highlight w:val="none"/>
        </w:rPr>
        <w:t>中对招标货物的技术规格和要求选用替代标准，但这些替代标准必须相当于或优于</w:t>
      </w:r>
      <w:r>
        <w:rPr>
          <w:rFonts w:hint="eastAsia" w:ascii="新宋体" w:hAnsi="新宋体" w:eastAsia="新宋体" w:cs="新宋体"/>
          <w:b w:val="0"/>
          <w:bCs/>
          <w:color w:val="auto"/>
          <w:sz w:val="22"/>
          <w:szCs w:val="22"/>
          <w:highlight w:val="none"/>
          <w:lang w:eastAsia="zh-CN"/>
        </w:rPr>
        <w:t>采购文件</w:t>
      </w:r>
      <w:r>
        <w:rPr>
          <w:rFonts w:hint="eastAsia" w:ascii="新宋体" w:hAnsi="新宋体" w:eastAsia="新宋体" w:cs="新宋体"/>
          <w:b w:val="0"/>
          <w:bCs/>
          <w:color w:val="auto"/>
          <w:sz w:val="22"/>
          <w:szCs w:val="22"/>
          <w:highlight w:val="none"/>
        </w:rPr>
        <w:t>中提出的相应要求，并使</w:t>
      </w:r>
      <w:r>
        <w:rPr>
          <w:rFonts w:hint="eastAsia" w:ascii="新宋体" w:hAnsi="新宋体" w:eastAsia="新宋体" w:cs="新宋体"/>
          <w:b w:val="0"/>
          <w:bCs/>
          <w:color w:val="auto"/>
          <w:sz w:val="22"/>
          <w:szCs w:val="22"/>
          <w:highlight w:val="none"/>
          <w:lang w:eastAsia="zh-CN"/>
        </w:rPr>
        <w:t>采购人</w:t>
      </w:r>
      <w:r>
        <w:rPr>
          <w:rFonts w:hint="eastAsia" w:ascii="新宋体" w:hAnsi="新宋体" w:eastAsia="新宋体" w:cs="新宋体"/>
          <w:b w:val="0"/>
          <w:bCs/>
          <w:color w:val="auto"/>
          <w:sz w:val="22"/>
          <w:szCs w:val="22"/>
          <w:highlight w:val="none"/>
        </w:rPr>
        <w:t>满意，同时在技术偏离表中作出详细说明。</w:t>
      </w:r>
    </w:p>
    <w:p w14:paraId="04F1EACA">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4、投标报价</w:t>
      </w:r>
    </w:p>
    <w:p w14:paraId="7E51F898">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highlight w:val="none"/>
        </w:rPr>
        <w:t>4.1投标报价指供应商为正确地完全履行采购内容及要求的价格体现，包括所有的材料、设备、实施及服务价款，即材料设备费用、运费、施工费、安装调试费、培训费、企业管理费、设计费（如有）、检测费（如有）、风险、利润、税金、等全部费用（包括招标代理服务费），实行固定费用总包干，投标供应商应根据上述因素自行考虑含入总报价。</w:t>
      </w:r>
    </w:p>
    <w:p w14:paraId="0F99E2E5">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4.2投标人必须按附件中的投标报价一览表、投标分项报价表内容填写价格，并由投标人代表签署。</w:t>
      </w:r>
    </w:p>
    <w:p w14:paraId="4E9143C1">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4.3</w:t>
      </w:r>
      <w:r>
        <w:rPr>
          <w:rFonts w:hint="eastAsia" w:ascii="新宋体" w:hAnsi="新宋体" w:eastAsia="新宋体" w:cs="新宋体"/>
          <w:b/>
          <w:color w:val="auto"/>
          <w:sz w:val="22"/>
          <w:highlight w:val="none"/>
        </w:rPr>
        <w:t>投标货币以人民币进行投标</w:t>
      </w:r>
      <w:r>
        <w:rPr>
          <w:rFonts w:hint="eastAsia" w:ascii="新宋体" w:hAnsi="新宋体" w:eastAsia="新宋体" w:cs="新宋体"/>
          <w:b/>
          <w:color w:val="auto"/>
          <w:sz w:val="22"/>
          <w:szCs w:val="22"/>
          <w:highlight w:val="none"/>
        </w:rPr>
        <w:t>。</w:t>
      </w:r>
    </w:p>
    <w:p w14:paraId="4D90D513">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4.4</w:t>
      </w:r>
      <w:r>
        <w:rPr>
          <w:rFonts w:hint="eastAsia" w:ascii="新宋体" w:hAnsi="新宋体" w:eastAsia="新宋体" w:cs="新宋体"/>
          <w:b/>
          <w:color w:val="auto"/>
          <w:sz w:val="22"/>
          <w:highlight w:val="none"/>
          <w:lang w:eastAsia="zh-CN"/>
        </w:rPr>
        <w:t>采购人</w:t>
      </w:r>
      <w:r>
        <w:rPr>
          <w:rFonts w:hint="eastAsia" w:ascii="新宋体" w:hAnsi="新宋体" w:eastAsia="新宋体" w:cs="新宋体"/>
          <w:b/>
          <w:color w:val="auto"/>
          <w:sz w:val="22"/>
          <w:highlight w:val="none"/>
        </w:rPr>
        <w:t>和</w:t>
      </w:r>
      <w:r>
        <w:rPr>
          <w:rFonts w:hint="eastAsia" w:ascii="新宋体" w:hAnsi="新宋体" w:eastAsia="新宋体" w:cs="新宋体"/>
          <w:b/>
          <w:color w:val="auto"/>
          <w:sz w:val="22"/>
          <w:highlight w:val="none"/>
          <w:lang w:eastAsia="zh-CN"/>
        </w:rPr>
        <w:t>采购代理机构</w:t>
      </w:r>
      <w:r>
        <w:rPr>
          <w:rFonts w:hint="eastAsia" w:ascii="新宋体" w:hAnsi="新宋体" w:eastAsia="新宋体" w:cs="新宋体"/>
          <w:b/>
          <w:color w:val="auto"/>
          <w:sz w:val="22"/>
          <w:highlight w:val="none"/>
        </w:rPr>
        <w:t>不接受任何选择投标，对任何</w:t>
      </w:r>
      <w:r>
        <w:rPr>
          <w:rFonts w:hint="eastAsia" w:ascii="新宋体" w:hAnsi="新宋体" w:eastAsia="新宋体" w:cs="新宋体"/>
          <w:b/>
          <w:color w:val="auto"/>
          <w:sz w:val="22"/>
          <w:highlight w:val="none"/>
          <w:lang w:val="en-US" w:eastAsia="zh-CN"/>
        </w:rPr>
        <w:t>货物或</w:t>
      </w:r>
      <w:r>
        <w:rPr>
          <w:rFonts w:hint="eastAsia" w:ascii="新宋体" w:hAnsi="新宋体" w:eastAsia="新宋体" w:cs="新宋体"/>
          <w:b/>
          <w:color w:val="auto"/>
          <w:sz w:val="22"/>
          <w:highlight w:val="none"/>
        </w:rPr>
        <w:t>服务只允许一个价格。</w:t>
      </w:r>
    </w:p>
    <w:p w14:paraId="62FDA5BC">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4.5</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和</w:t>
      </w:r>
      <w:r>
        <w:rPr>
          <w:rFonts w:hint="eastAsia" w:ascii="新宋体" w:hAnsi="新宋体" w:eastAsia="新宋体" w:cs="新宋体"/>
          <w:color w:val="auto"/>
          <w:sz w:val="22"/>
          <w:highlight w:val="none"/>
          <w:lang w:eastAsia="zh-CN"/>
        </w:rPr>
        <w:t>采购代理机构</w:t>
      </w:r>
      <w:r>
        <w:rPr>
          <w:rFonts w:hint="eastAsia" w:ascii="新宋体" w:hAnsi="新宋体" w:eastAsia="新宋体" w:cs="新宋体"/>
          <w:color w:val="auto"/>
          <w:sz w:val="22"/>
          <w:szCs w:val="22"/>
          <w:highlight w:val="none"/>
        </w:rPr>
        <w:t>要求分类报价是为了方便评标，但在任何情况下不限制</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以其认为最合适的条款、条件签订合同的权利。</w:t>
      </w:r>
    </w:p>
    <w:p w14:paraId="4E862606">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4.6投标报价报出后，投标人不得以任何理由予以变更。任何包含价格调整的要求，将被认为是非实质性响应投标而予以否决。</w:t>
      </w:r>
    </w:p>
    <w:p w14:paraId="433B9B94">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4.7最低报价不能作为中标的保证。</w:t>
      </w:r>
    </w:p>
    <w:p w14:paraId="5FD7F482">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5、投标有效期</w:t>
      </w:r>
    </w:p>
    <w:p w14:paraId="5EE33501">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5.1自开标之日起</w:t>
      </w:r>
      <w:r>
        <w:rPr>
          <w:rFonts w:hint="eastAsia" w:ascii="新宋体" w:hAnsi="新宋体" w:eastAsia="新宋体" w:cs="新宋体"/>
          <w:b/>
          <w:bCs/>
          <w:color w:val="auto"/>
          <w:sz w:val="22"/>
          <w:szCs w:val="22"/>
          <w:highlight w:val="none"/>
          <w:lang w:eastAsia="zh-CN"/>
        </w:rPr>
        <w:t>90天</w:t>
      </w:r>
      <w:r>
        <w:rPr>
          <w:rFonts w:hint="eastAsia" w:ascii="新宋体" w:hAnsi="新宋体" w:eastAsia="新宋体" w:cs="新宋体"/>
          <w:b/>
          <w:color w:val="auto"/>
          <w:sz w:val="22"/>
          <w:szCs w:val="22"/>
          <w:highlight w:val="none"/>
        </w:rPr>
        <w:t>内投标应保持有效。</w:t>
      </w:r>
    </w:p>
    <w:p w14:paraId="1E38848F">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5.2特殊情况下，在原投标有效期截止前，</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采购代理机构</w:t>
      </w:r>
      <w:r>
        <w:rPr>
          <w:rFonts w:hint="eastAsia" w:ascii="新宋体" w:hAnsi="新宋体" w:eastAsia="新宋体" w:cs="新宋体"/>
          <w:color w:val="auto"/>
          <w:sz w:val="22"/>
          <w:szCs w:val="22"/>
          <w:highlight w:val="none"/>
        </w:rPr>
        <w:t>可与投标人协商延长投标有效期，这种要求和答复均以书面形式进行。投标人可拒绝接受延期要求。同意延长投标有效期的投标人不得修改投标文件。</w:t>
      </w:r>
    </w:p>
    <w:p w14:paraId="4733A297">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6、投标保证金</w:t>
      </w:r>
    </w:p>
    <w:p w14:paraId="16B06FF2">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无。</w:t>
      </w:r>
    </w:p>
    <w:p w14:paraId="5D3AF7CA">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7、投标文件编制</w:t>
      </w:r>
    </w:p>
    <w:p w14:paraId="7699CDEF">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7.1本项目通过“政府采购云平台（http</w:t>
      </w:r>
      <w:r>
        <w:rPr>
          <w:rFonts w:hint="eastAsia" w:ascii="新宋体" w:hAnsi="新宋体" w:eastAsia="新宋体" w:cs="新宋体"/>
          <w:b/>
          <w:bCs/>
          <w:color w:val="auto"/>
          <w:sz w:val="22"/>
          <w:szCs w:val="22"/>
          <w:highlight w:val="none"/>
          <w:u w:val="single"/>
          <w:lang w:eastAsia="zh-CN"/>
        </w:rPr>
        <w:t>：</w:t>
      </w:r>
      <w:r>
        <w:rPr>
          <w:rFonts w:hint="eastAsia" w:ascii="新宋体" w:hAnsi="新宋体" w:eastAsia="新宋体" w:cs="新宋体"/>
          <w:b/>
          <w:bCs/>
          <w:color w:val="auto"/>
          <w:sz w:val="22"/>
          <w:szCs w:val="22"/>
          <w:highlight w:val="none"/>
          <w:u w:val="single"/>
        </w:rPr>
        <w:t>//zfcg.czt.zj.gov.cn）”实行在线投标响应（电子投标）。供应商应通过“政采云电子交易客户端”，并按照本</w:t>
      </w:r>
      <w:r>
        <w:rPr>
          <w:rFonts w:hint="eastAsia" w:ascii="新宋体" w:hAnsi="新宋体" w:eastAsia="新宋体" w:cs="新宋体"/>
          <w:b/>
          <w:bCs/>
          <w:color w:val="auto"/>
          <w:sz w:val="22"/>
          <w:szCs w:val="22"/>
          <w:highlight w:val="none"/>
          <w:u w:val="single"/>
          <w:lang w:eastAsia="zh-CN"/>
        </w:rPr>
        <w:t>采购文件</w:t>
      </w:r>
      <w:r>
        <w:rPr>
          <w:rFonts w:hint="eastAsia" w:ascii="新宋体" w:hAnsi="新宋体" w:eastAsia="新宋体" w:cs="新宋体"/>
          <w:b/>
          <w:bCs/>
          <w:color w:val="auto"/>
          <w:sz w:val="22"/>
          <w:szCs w:val="22"/>
          <w:highlight w:val="none"/>
          <w:u w:val="single"/>
        </w:rPr>
        <w:t>和“政府采购云平台”的要求编制并加密投标文件。</w:t>
      </w:r>
    </w:p>
    <w:p w14:paraId="6B09524D">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7.2投标人应当按照本章节 “投标文件的构成”规定的内容及顺序在“政采云电子交易客户端”编制投标文件。其中《资格文件》和《商务技术文件》中不得出现本项目投标报价。</w:t>
      </w:r>
    </w:p>
    <w:p w14:paraId="59C7B1ED">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7.3本文件《附件》中有提供格式的，投标人须参照格式进行编制（格式中要求提供相关证明材料的还需后附相关证明材料），并按格式要求在指定位置根据要求进行签章，否则视为未提供；本文件《附件》未提供格式的，请各投标人自行拟定格式，并加盖单位公章并由法定代表人或其授权代表签署（签字或盖章），否则视为未提供。</w:t>
      </w:r>
    </w:p>
    <w:p w14:paraId="690FE56E">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7.4《投标文件》内容不完整、编排混乱导致《投标文件》被误读、漏读或者查找不到相关内容的，投标人自行负责。</w:t>
      </w:r>
    </w:p>
    <w:p w14:paraId="52704BD5">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7.5《投标文件》因字迹潦草或表达不清所引起的后果由投标人负责。</w:t>
      </w:r>
    </w:p>
    <w:p w14:paraId="34FDC4BB">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7.6投标人没有按照本章节 “投标文件的构成”要求提供全部资料，或者没有仔细阅读</w:t>
      </w:r>
      <w:r>
        <w:rPr>
          <w:rFonts w:hint="eastAsia" w:ascii="新宋体" w:hAnsi="新宋体" w:eastAsia="新宋体" w:cs="新宋体"/>
          <w:b/>
          <w:bCs/>
          <w:color w:val="auto"/>
          <w:sz w:val="22"/>
          <w:szCs w:val="22"/>
          <w:highlight w:val="none"/>
          <w:u w:val="single"/>
          <w:lang w:eastAsia="zh-CN"/>
        </w:rPr>
        <w:t>采购文件</w:t>
      </w:r>
      <w:r>
        <w:rPr>
          <w:rFonts w:hint="eastAsia" w:ascii="新宋体" w:hAnsi="新宋体" w:eastAsia="新宋体" w:cs="新宋体"/>
          <w:b/>
          <w:bCs/>
          <w:color w:val="auto"/>
          <w:sz w:val="22"/>
          <w:szCs w:val="22"/>
          <w:highlight w:val="none"/>
          <w:u w:val="single"/>
        </w:rPr>
        <w:t>，或者没有对</w:t>
      </w:r>
      <w:r>
        <w:rPr>
          <w:rFonts w:hint="eastAsia" w:ascii="新宋体" w:hAnsi="新宋体" w:eastAsia="新宋体" w:cs="新宋体"/>
          <w:b/>
          <w:bCs/>
          <w:color w:val="auto"/>
          <w:sz w:val="22"/>
          <w:szCs w:val="22"/>
          <w:highlight w:val="none"/>
          <w:u w:val="single"/>
          <w:lang w:eastAsia="zh-CN"/>
        </w:rPr>
        <w:t>采购文件</w:t>
      </w:r>
      <w:r>
        <w:rPr>
          <w:rFonts w:hint="eastAsia" w:ascii="新宋体" w:hAnsi="新宋体" w:eastAsia="新宋体" w:cs="新宋体"/>
          <w:b/>
          <w:bCs/>
          <w:color w:val="auto"/>
          <w:sz w:val="22"/>
          <w:szCs w:val="22"/>
          <w:highlight w:val="none"/>
          <w:u w:val="single"/>
        </w:rPr>
        <w:t>在各方面的要求作出实质性响应是投标人的风险，由此造成的一切后果由投标人自行承担。</w:t>
      </w:r>
    </w:p>
    <w:p w14:paraId="2415CCE9">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8、投标文件的签章</w:t>
      </w:r>
    </w:p>
    <w:p w14:paraId="086BA3D8">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8.1《投标文件》的签章：见《前附表》；</w:t>
      </w:r>
    </w:p>
    <w:p w14:paraId="3CF52744">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8.2《投标文件》应由投标人法定代表人或其授权代表签字（或盖章），并时加盖投标人公章。</w:t>
      </w:r>
    </w:p>
    <w:p w14:paraId="11AAED46">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8.3电子签章操作指南详见采购公告附件《供应商项目采购-电子招投标操作指南》。</w:t>
      </w:r>
    </w:p>
    <w:p w14:paraId="76A46784">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9、投标文件的形式</w:t>
      </w:r>
    </w:p>
    <w:p w14:paraId="3A1B9F1B">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9.1投标文件的形式：见《前附表》；</w:t>
      </w:r>
    </w:p>
    <w:p w14:paraId="0B5D4F4E">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9.2“电子加密投标文件”：“电子加密投标文件”是指通过“政采云电子交易客户端”完成投标文件编制后生成并加密的数据电文形式的投标文件。</w:t>
      </w:r>
    </w:p>
    <w:p w14:paraId="754AFD14">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9.3“备份投标文件”：“备份投标文件”是指与“电子加密投标文件”同时生成的数据电文形式的电子文件（备份标书），其他方式编制的“备份投标文件”视为无效的“备份投标文件”。</w:t>
      </w:r>
    </w:p>
    <w:p w14:paraId="075775E2">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10、投标文件的份数</w:t>
      </w:r>
    </w:p>
    <w:p w14:paraId="04AE60F2">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10.1投标文件的份数：见《前附表》。</w:t>
      </w:r>
    </w:p>
    <w:p w14:paraId="3F39A366">
      <w:pPr>
        <w:spacing w:before="100" w:beforeAutospacing="1" w:after="100" w:afterAutospacing="1" w:line="440" w:lineRule="exact"/>
        <w:jc w:val="center"/>
        <w:outlineLvl w:val="1"/>
        <w:rPr>
          <w:rFonts w:hint="eastAsia" w:ascii="新宋体" w:hAnsi="新宋体" w:eastAsia="新宋体" w:cs="新宋体"/>
          <w:b/>
          <w:bCs/>
          <w:color w:val="auto"/>
          <w:sz w:val="22"/>
          <w:szCs w:val="22"/>
          <w:highlight w:val="none"/>
        </w:rPr>
      </w:pPr>
      <w:bookmarkStart w:id="16" w:name="_Toc15422"/>
      <w:bookmarkStart w:id="17" w:name="_Toc18542"/>
      <w:r>
        <w:rPr>
          <w:rFonts w:hint="eastAsia" w:ascii="新宋体" w:hAnsi="新宋体" w:eastAsia="新宋体" w:cs="新宋体"/>
          <w:b/>
          <w:bCs/>
          <w:color w:val="auto"/>
          <w:sz w:val="22"/>
          <w:szCs w:val="22"/>
          <w:highlight w:val="none"/>
        </w:rPr>
        <w:t>四、 投标文件的递交</w:t>
      </w:r>
      <w:bookmarkEnd w:id="16"/>
      <w:bookmarkEnd w:id="17"/>
    </w:p>
    <w:p w14:paraId="2CF75AFF">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1、投标文件的上传和递交</w:t>
      </w:r>
    </w:p>
    <w:p w14:paraId="33B4683A">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1.1“投标文件”的上传、递交：见《前附表》。</w:t>
      </w:r>
    </w:p>
    <w:p w14:paraId="7933E6D6">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2、“电子加密投标文件”解密和异常情况处理</w:t>
      </w:r>
    </w:p>
    <w:p w14:paraId="0ABC555B">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2.1“电子加密投标文件”解密：见《前附表》。</w:t>
      </w:r>
    </w:p>
    <w:p w14:paraId="5217D9FA">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3、投标文件的补充、修改或撤回</w:t>
      </w:r>
    </w:p>
    <w:p w14:paraId="4DD62C6A">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070D33C6">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3.2投标截止时间后，投标人不得撤回、修改《投标文件》。</w:t>
      </w:r>
    </w:p>
    <w:p w14:paraId="6D7E2605">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4、投标文件的备选方案</w:t>
      </w:r>
    </w:p>
    <w:p w14:paraId="2CFCFCED">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4.1投标人不得递交任何的投标备选（替代）方案，否则其投标文件将作无效标处理。与“电子加密投标文件”同时生成的“备份投标文件”不是投标备选（替代）方案。</w:t>
      </w:r>
    </w:p>
    <w:p w14:paraId="227DA1B7">
      <w:pPr>
        <w:spacing w:before="100" w:beforeAutospacing="1" w:after="100" w:afterAutospacing="1" w:line="460" w:lineRule="exact"/>
        <w:jc w:val="center"/>
        <w:outlineLvl w:val="1"/>
        <w:rPr>
          <w:rFonts w:hint="eastAsia" w:ascii="新宋体" w:hAnsi="新宋体" w:eastAsia="新宋体" w:cs="新宋体"/>
          <w:b/>
          <w:bCs/>
          <w:color w:val="auto"/>
          <w:sz w:val="22"/>
          <w:szCs w:val="22"/>
          <w:highlight w:val="none"/>
        </w:rPr>
      </w:pPr>
      <w:bookmarkStart w:id="18" w:name="_Toc8079"/>
      <w:bookmarkStart w:id="19" w:name="_Toc30172"/>
      <w:r>
        <w:rPr>
          <w:rFonts w:hint="eastAsia" w:ascii="新宋体" w:hAnsi="新宋体" w:eastAsia="新宋体" w:cs="新宋体"/>
          <w:b/>
          <w:bCs/>
          <w:color w:val="auto"/>
          <w:sz w:val="22"/>
          <w:szCs w:val="22"/>
          <w:highlight w:val="none"/>
        </w:rPr>
        <w:t>五、 开标和评标</w:t>
      </w:r>
      <w:bookmarkEnd w:id="18"/>
      <w:bookmarkEnd w:id="19"/>
    </w:p>
    <w:p w14:paraId="5B581CBF">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1、评标委员会</w:t>
      </w:r>
    </w:p>
    <w:p w14:paraId="752E394B">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Cs/>
          <w:color w:val="auto"/>
          <w:sz w:val="22"/>
          <w:szCs w:val="22"/>
          <w:highlight w:val="none"/>
          <w:lang w:eastAsia="zh-CN"/>
        </w:rPr>
        <w:t>采购人</w:t>
      </w:r>
      <w:r>
        <w:rPr>
          <w:rFonts w:hint="eastAsia" w:ascii="新宋体" w:hAnsi="新宋体" w:eastAsia="新宋体" w:cs="新宋体"/>
          <w:bCs/>
          <w:color w:val="auto"/>
          <w:sz w:val="22"/>
          <w:szCs w:val="22"/>
          <w:highlight w:val="none"/>
        </w:rPr>
        <w:t>和</w:t>
      </w:r>
      <w:r>
        <w:rPr>
          <w:rFonts w:hint="eastAsia" w:ascii="新宋体" w:hAnsi="新宋体" w:eastAsia="新宋体" w:cs="新宋体"/>
          <w:bCs/>
          <w:color w:val="auto"/>
          <w:sz w:val="22"/>
          <w:szCs w:val="22"/>
          <w:highlight w:val="none"/>
          <w:lang w:eastAsia="zh-CN"/>
        </w:rPr>
        <w:t>采购代理机构</w:t>
      </w:r>
      <w:r>
        <w:rPr>
          <w:rFonts w:hint="eastAsia" w:ascii="新宋体" w:hAnsi="新宋体" w:eastAsia="新宋体" w:cs="新宋体"/>
          <w:bCs/>
          <w:color w:val="auto"/>
          <w:sz w:val="22"/>
          <w:szCs w:val="22"/>
          <w:highlight w:val="none"/>
        </w:rPr>
        <w:t>组建评标委员会。评标委员会的成员在评标过程中必须严格遵守《政府采购法》等有关法律、法规的规定。</w:t>
      </w:r>
    </w:p>
    <w:p w14:paraId="2417F6CB">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2、评标过程的保密性</w:t>
      </w:r>
    </w:p>
    <w:p w14:paraId="0F80CB2E">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开标后直至向中标人授予合同时止，凡与评审有关的资料均不得向投标人及与评标无关人员透露。如果投标人在评标过程中试图向</w:t>
      </w:r>
      <w:r>
        <w:rPr>
          <w:rFonts w:hint="eastAsia" w:ascii="新宋体" w:hAnsi="新宋体" w:eastAsia="新宋体" w:cs="新宋体"/>
          <w:bCs/>
          <w:color w:val="auto"/>
          <w:sz w:val="22"/>
          <w:szCs w:val="22"/>
          <w:highlight w:val="none"/>
          <w:lang w:eastAsia="zh-CN"/>
        </w:rPr>
        <w:t>采购人</w:t>
      </w:r>
      <w:r>
        <w:rPr>
          <w:rFonts w:hint="eastAsia" w:ascii="新宋体" w:hAnsi="新宋体" w:eastAsia="新宋体" w:cs="新宋体"/>
          <w:bCs/>
          <w:color w:val="auto"/>
          <w:sz w:val="22"/>
          <w:szCs w:val="22"/>
          <w:highlight w:val="none"/>
        </w:rPr>
        <w:t>和</w:t>
      </w:r>
      <w:r>
        <w:rPr>
          <w:rFonts w:hint="eastAsia" w:ascii="新宋体" w:hAnsi="新宋体" w:eastAsia="新宋体" w:cs="新宋体"/>
          <w:bCs/>
          <w:color w:val="auto"/>
          <w:sz w:val="22"/>
          <w:szCs w:val="22"/>
          <w:highlight w:val="none"/>
          <w:lang w:eastAsia="zh-CN"/>
        </w:rPr>
        <w:t>采购代理机构</w:t>
      </w:r>
      <w:r>
        <w:rPr>
          <w:rFonts w:hint="eastAsia" w:ascii="新宋体" w:hAnsi="新宋体" w:eastAsia="新宋体" w:cs="新宋体"/>
          <w:bCs/>
          <w:color w:val="auto"/>
          <w:sz w:val="22"/>
          <w:szCs w:val="22"/>
          <w:highlight w:val="none"/>
        </w:rPr>
        <w:t>施加影响，其投标将被拒绝。</w:t>
      </w:r>
    </w:p>
    <w:p w14:paraId="77C96F9D">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3、开标形式</w:t>
      </w:r>
    </w:p>
    <w:p w14:paraId="34CFAA4E">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采购组织机构将按照</w:t>
      </w:r>
      <w:r>
        <w:rPr>
          <w:rFonts w:hint="eastAsia" w:ascii="新宋体" w:hAnsi="新宋体" w:eastAsia="新宋体" w:cs="新宋体"/>
          <w:b/>
          <w:color w:val="auto"/>
          <w:sz w:val="22"/>
          <w:szCs w:val="22"/>
          <w:highlight w:val="none"/>
          <w:lang w:eastAsia="zh-CN"/>
        </w:rPr>
        <w:t>采购文件</w:t>
      </w:r>
      <w:r>
        <w:rPr>
          <w:rFonts w:hint="eastAsia" w:ascii="新宋体" w:hAnsi="新宋体" w:eastAsia="新宋体" w:cs="新宋体"/>
          <w:b/>
          <w:color w:val="auto"/>
          <w:sz w:val="22"/>
          <w:szCs w:val="22"/>
          <w:highlight w:val="none"/>
        </w:rPr>
        <w:t>规定的时间通过“政府采购云平台”组织开标、开启投标文件，所有供应商均应当准时</w:t>
      </w:r>
      <w:r>
        <w:rPr>
          <w:rFonts w:hint="eastAsia" w:ascii="新宋体" w:hAnsi="新宋体" w:eastAsia="新宋体" w:cs="新宋体"/>
          <w:b/>
          <w:color w:val="auto"/>
          <w:sz w:val="22"/>
          <w:szCs w:val="22"/>
          <w:highlight w:val="none"/>
          <w:lang w:eastAsia="zh-CN"/>
        </w:rPr>
        <w:t>（</w:t>
      </w:r>
      <w:r>
        <w:rPr>
          <w:rFonts w:hint="eastAsia" w:ascii="新宋体" w:hAnsi="新宋体" w:eastAsia="新宋体" w:cs="新宋体"/>
          <w:b/>
          <w:color w:val="auto"/>
          <w:sz w:val="22"/>
          <w:szCs w:val="22"/>
          <w:highlight w:val="none"/>
        </w:rPr>
        <w:t>在线</w:t>
      </w:r>
      <w:r>
        <w:rPr>
          <w:rFonts w:hint="eastAsia" w:ascii="新宋体" w:hAnsi="新宋体" w:eastAsia="新宋体" w:cs="新宋体"/>
          <w:b/>
          <w:color w:val="auto"/>
          <w:sz w:val="22"/>
          <w:szCs w:val="22"/>
          <w:highlight w:val="none"/>
          <w:lang w:eastAsia="zh-CN"/>
        </w:rPr>
        <w:t>）</w:t>
      </w:r>
      <w:r>
        <w:rPr>
          <w:rFonts w:hint="eastAsia" w:ascii="新宋体" w:hAnsi="新宋体" w:eastAsia="新宋体" w:cs="新宋体"/>
          <w:b/>
          <w:color w:val="auto"/>
          <w:sz w:val="22"/>
          <w:szCs w:val="22"/>
          <w:highlight w:val="none"/>
        </w:rPr>
        <w:t>参加。</w:t>
      </w:r>
    </w:p>
    <w:p w14:paraId="44BC684D">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4、开标准备</w:t>
      </w:r>
    </w:p>
    <w:p w14:paraId="074C9456">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4.1开标的准备工作由采购组织机构负责落实；</w:t>
      </w:r>
    </w:p>
    <w:p w14:paraId="7D723057">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4.2</w:t>
      </w:r>
      <w:r>
        <w:rPr>
          <w:rFonts w:hint="eastAsia" w:ascii="新宋体" w:hAnsi="新宋体" w:eastAsia="新宋体" w:cs="新宋体"/>
          <w:b/>
          <w:color w:val="auto"/>
          <w:sz w:val="22"/>
          <w:szCs w:val="22"/>
          <w:highlight w:val="none"/>
        </w:rPr>
        <w:t>采购组织机构将按照</w:t>
      </w:r>
      <w:r>
        <w:rPr>
          <w:rFonts w:hint="eastAsia" w:ascii="新宋体" w:hAnsi="新宋体" w:eastAsia="新宋体" w:cs="新宋体"/>
          <w:b/>
          <w:color w:val="auto"/>
          <w:sz w:val="22"/>
          <w:szCs w:val="22"/>
          <w:highlight w:val="none"/>
          <w:lang w:eastAsia="zh-CN"/>
        </w:rPr>
        <w:t>采购文件</w:t>
      </w:r>
      <w:r>
        <w:rPr>
          <w:rFonts w:hint="eastAsia" w:ascii="新宋体" w:hAnsi="新宋体" w:eastAsia="新宋体" w:cs="新宋体"/>
          <w:b/>
          <w:color w:val="auto"/>
          <w:sz w:val="22"/>
          <w:szCs w:val="22"/>
          <w:highlight w:val="none"/>
        </w:rPr>
        <w:t>规定的时间通过“政府采购云平台”组织开标、开启投标文件，所有供应商均应当准时</w:t>
      </w:r>
      <w:r>
        <w:rPr>
          <w:rFonts w:hint="eastAsia" w:ascii="新宋体" w:hAnsi="新宋体" w:eastAsia="新宋体" w:cs="新宋体"/>
          <w:b/>
          <w:color w:val="auto"/>
          <w:sz w:val="22"/>
          <w:szCs w:val="22"/>
          <w:highlight w:val="none"/>
          <w:lang w:eastAsia="zh-CN"/>
        </w:rPr>
        <w:t>（</w:t>
      </w:r>
      <w:r>
        <w:rPr>
          <w:rFonts w:hint="eastAsia" w:ascii="新宋体" w:hAnsi="新宋体" w:eastAsia="新宋体" w:cs="新宋体"/>
          <w:b/>
          <w:color w:val="auto"/>
          <w:sz w:val="22"/>
          <w:szCs w:val="22"/>
          <w:highlight w:val="none"/>
        </w:rPr>
        <w:t>在线</w:t>
      </w:r>
      <w:r>
        <w:rPr>
          <w:rFonts w:hint="eastAsia" w:ascii="新宋体" w:hAnsi="新宋体" w:eastAsia="新宋体" w:cs="新宋体"/>
          <w:b/>
          <w:color w:val="auto"/>
          <w:sz w:val="22"/>
          <w:szCs w:val="22"/>
          <w:highlight w:val="none"/>
          <w:lang w:eastAsia="zh-CN"/>
        </w:rPr>
        <w:t>）</w:t>
      </w:r>
      <w:r>
        <w:rPr>
          <w:rFonts w:hint="eastAsia" w:ascii="新宋体" w:hAnsi="新宋体" w:eastAsia="新宋体" w:cs="新宋体"/>
          <w:b/>
          <w:color w:val="auto"/>
          <w:sz w:val="22"/>
          <w:szCs w:val="22"/>
          <w:highlight w:val="none"/>
        </w:rPr>
        <w:t>参加。</w:t>
      </w:r>
      <w:r>
        <w:rPr>
          <w:rFonts w:hint="eastAsia" w:ascii="新宋体" w:hAnsi="新宋体" w:eastAsia="新宋体" w:cs="新宋体"/>
          <w:b/>
          <w:color w:val="auto"/>
          <w:kern w:val="0"/>
          <w:sz w:val="22"/>
          <w:szCs w:val="22"/>
          <w:highlight w:val="none"/>
        </w:rPr>
        <w:t>投标人如不参加开标大会的，视同认可开标结果，事后不得对采购相关人员、开标过程和开标结果提出异议，同时投标人因未在线参加开标而导致投标文件无法按时解密等一切后果由供应商自己承担。</w:t>
      </w:r>
    </w:p>
    <w:p w14:paraId="008F4CE0">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5、开标流程</w:t>
      </w:r>
    </w:p>
    <w:p w14:paraId="04383B4F">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5.1开标、评标</w:t>
      </w:r>
    </w:p>
    <w:p w14:paraId="7BD4D257">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（1）向各投标人发出电子加密投标文件【开始解密】通知，由供应商按</w:t>
      </w:r>
      <w:r>
        <w:rPr>
          <w:rFonts w:hint="eastAsia" w:ascii="新宋体" w:hAnsi="新宋体" w:eastAsia="新宋体" w:cs="新宋体"/>
          <w:color w:val="auto"/>
          <w:kern w:val="0"/>
          <w:sz w:val="22"/>
          <w:szCs w:val="22"/>
          <w:highlight w:val="none"/>
          <w:lang w:eastAsia="zh-CN"/>
        </w:rPr>
        <w:t>采购文件</w:t>
      </w:r>
      <w:r>
        <w:rPr>
          <w:rFonts w:hint="eastAsia" w:ascii="新宋体" w:hAnsi="新宋体" w:eastAsia="新宋体" w:cs="新宋体"/>
          <w:color w:val="auto"/>
          <w:kern w:val="0"/>
          <w:sz w:val="22"/>
          <w:szCs w:val="22"/>
          <w:highlight w:val="none"/>
        </w:rPr>
        <w:t>规定的时间内自行进行投标文件解密。投标人在规定的时间内无法完成已递交的“电子加密投标文件”解密的，如已按规 定递交了备份投标文件的，将由采购组织机构按“政府采购云平台”操作规范将备份投标文件上传至“政府采购云平台”，上传成功后，“电子加密投标文件”自动失效；</w:t>
      </w:r>
    </w:p>
    <w:p w14:paraId="6A26CAAA">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highlight w:val="none"/>
        </w:rPr>
      </w:pPr>
      <w:r>
        <w:rPr>
          <w:rFonts w:hint="eastAsia" w:ascii="新宋体" w:hAnsi="新宋体" w:eastAsia="新宋体" w:cs="新宋体"/>
          <w:bCs/>
          <w:color w:val="auto"/>
          <w:sz w:val="22"/>
          <w:szCs w:val="22"/>
          <w:highlight w:val="none"/>
        </w:rPr>
        <w:t>投标人不足3家的，不得开标。</w:t>
      </w:r>
    </w:p>
    <w:p w14:paraId="56F5053A">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（2）解密成功后，开启投标人的《报价文件》，由供应商对自己报价文件相关内容进行签字确认，（不予确认的应说明理由，否则视为无异议）。</w:t>
      </w:r>
    </w:p>
    <w:p w14:paraId="543E9708">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（3）开启《投标文件》，进入资格审查；</w:t>
      </w:r>
      <w:r>
        <w:rPr>
          <w:rFonts w:hint="eastAsia" w:ascii="新宋体" w:hAnsi="新宋体" w:eastAsia="新宋体" w:cs="新宋体"/>
          <w:bCs/>
          <w:color w:val="auto"/>
          <w:sz w:val="22"/>
          <w:szCs w:val="22"/>
          <w:highlight w:val="none"/>
        </w:rPr>
        <w:t>合格投标人不足3家的，不得评标。</w:t>
      </w:r>
    </w:p>
    <w:p w14:paraId="0146821E">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b/>
          <w:color w:val="auto"/>
          <w:kern w:val="0"/>
          <w:sz w:val="22"/>
          <w:szCs w:val="22"/>
          <w:highlight w:val="none"/>
        </w:rPr>
        <w:t>备注：开标大会的结束后，</w:t>
      </w:r>
      <w:r>
        <w:rPr>
          <w:rFonts w:hint="eastAsia" w:ascii="新宋体" w:hAnsi="新宋体" w:eastAsia="新宋体" w:cs="新宋体"/>
          <w:b/>
          <w:color w:val="auto"/>
          <w:kern w:val="0"/>
          <w:sz w:val="22"/>
          <w:szCs w:val="22"/>
          <w:highlight w:val="none"/>
          <w:lang w:eastAsia="zh-CN"/>
        </w:rPr>
        <w:t>采购人</w:t>
      </w:r>
      <w:r>
        <w:rPr>
          <w:rFonts w:hint="eastAsia" w:ascii="新宋体" w:hAnsi="新宋体" w:eastAsia="新宋体" w:cs="新宋体"/>
          <w:b/>
          <w:color w:val="auto"/>
          <w:kern w:val="0"/>
          <w:sz w:val="22"/>
          <w:szCs w:val="22"/>
          <w:highlight w:val="none"/>
        </w:rPr>
        <w:t>或采购代理机构将对依法对投标人的资格进行审查，资格审查结束后进入符合性审查和商务技术的评审工作，具体见本章节“投标人资格审查”相关规定。</w:t>
      </w:r>
    </w:p>
    <w:p w14:paraId="6FED1C53">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color w:val="auto"/>
          <w:kern w:val="0"/>
          <w:sz w:val="22"/>
          <w:szCs w:val="22"/>
          <w:highlight w:val="none"/>
        </w:rPr>
        <w:t>（4）开启资格审查通过的投标人的商务技术文件进入符合性审查，</w:t>
      </w:r>
      <w:r>
        <w:rPr>
          <w:rFonts w:hint="eastAsia" w:ascii="新宋体" w:hAnsi="新宋体" w:eastAsia="新宋体" w:cs="新宋体"/>
          <w:bCs/>
          <w:color w:val="auto"/>
          <w:sz w:val="22"/>
          <w:szCs w:val="22"/>
          <w:highlight w:val="none"/>
        </w:rPr>
        <w:t>以确定其是否满足</w:t>
      </w:r>
      <w:r>
        <w:rPr>
          <w:rFonts w:hint="eastAsia" w:ascii="新宋体" w:hAnsi="新宋体" w:eastAsia="新宋体" w:cs="新宋体"/>
          <w:bCs/>
          <w:color w:val="auto"/>
          <w:sz w:val="22"/>
          <w:szCs w:val="22"/>
          <w:highlight w:val="none"/>
          <w:lang w:eastAsia="zh-CN"/>
        </w:rPr>
        <w:t>采购文件</w:t>
      </w:r>
      <w:r>
        <w:rPr>
          <w:rFonts w:hint="eastAsia" w:ascii="新宋体" w:hAnsi="新宋体" w:eastAsia="新宋体" w:cs="新宋体"/>
          <w:bCs/>
          <w:color w:val="auto"/>
          <w:sz w:val="22"/>
          <w:szCs w:val="22"/>
          <w:highlight w:val="none"/>
        </w:rPr>
        <w:t>的实质性要求，合格投标人不足3家的，不得评标。</w:t>
      </w:r>
    </w:p>
    <w:p w14:paraId="3E3BD58F">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没有满足</w:t>
      </w:r>
      <w:r>
        <w:rPr>
          <w:rFonts w:hint="eastAsia" w:ascii="新宋体" w:hAnsi="新宋体" w:eastAsia="新宋体" w:cs="新宋体"/>
          <w:bCs/>
          <w:color w:val="auto"/>
          <w:sz w:val="22"/>
          <w:szCs w:val="22"/>
          <w:highlight w:val="none"/>
          <w:lang w:eastAsia="zh-CN"/>
        </w:rPr>
        <w:t>采购文件</w:t>
      </w:r>
      <w:r>
        <w:rPr>
          <w:rFonts w:hint="eastAsia" w:ascii="新宋体" w:hAnsi="新宋体" w:eastAsia="新宋体" w:cs="新宋体"/>
          <w:bCs/>
          <w:color w:val="auto"/>
          <w:sz w:val="22"/>
          <w:szCs w:val="22"/>
          <w:highlight w:val="none"/>
        </w:rPr>
        <w:t>的实质性要求的投标作无效标处理。评标委员会决定投标的实质性要求只根据投标文件本身的内容，而不寻求外部的证据。投标人不得通过修正或撤消不合要求的偏离或保留从而使其投标成为实质上响应的投标。</w:t>
      </w:r>
    </w:p>
    <w:p w14:paraId="4BF0405A">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highlight w:val="none"/>
        </w:rPr>
      </w:pPr>
      <w:r>
        <w:rPr>
          <w:rFonts w:hint="eastAsia" w:ascii="新宋体" w:hAnsi="新宋体" w:eastAsia="新宋体" w:cs="新宋体"/>
          <w:bCs/>
          <w:color w:val="auto"/>
          <w:sz w:val="22"/>
          <w:szCs w:val="22"/>
          <w:highlight w:val="none"/>
        </w:rPr>
        <w:t>（5）对通过资格审查、符合性审查的合格供应商进行商务技术部分的评审。</w:t>
      </w:r>
    </w:p>
    <w:p w14:paraId="2A92BADE">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（6）评标委员会对报价的合理性、准确性等进行审查核实。</w:t>
      </w:r>
    </w:p>
    <w:p w14:paraId="390E7EED">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（7）评审结束后，公布中标（成交）候选供应商名单及</w:t>
      </w:r>
      <w:r>
        <w:rPr>
          <w:rFonts w:hint="eastAsia" w:ascii="新宋体" w:hAnsi="新宋体" w:eastAsia="新宋体" w:cs="新宋体"/>
          <w:color w:val="auto"/>
          <w:kern w:val="0"/>
          <w:sz w:val="22"/>
          <w:szCs w:val="22"/>
          <w:highlight w:val="none"/>
          <w:lang w:eastAsia="zh-CN"/>
        </w:rPr>
        <w:t>采购人</w:t>
      </w:r>
      <w:r>
        <w:rPr>
          <w:rFonts w:hint="eastAsia" w:ascii="新宋体" w:hAnsi="新宋体" w:eastAsia="新宋体" w:cs="新宋体"/>
          <w:color w:val="auto"/>
          <w:kern w:val="0"/>
          <w:sz w:val="22"/>
          <w:szCs w:val="22"/>
          <w:highlight w:val="none"/>
        </w:rPr>
        <w:t>最终确定中标或成交供应商名单的时间和公告方式等，未在场的投标人通过发送邮件形式通知。</w:t>
      </w:r>
    </w:p>
    <w:p w14:paraId="5A9BF63A">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特别说明：如遇“政府采购云平台”电子化开标或评审程序调整的，按调整后程序执行。</w:t>
      </w:r>
    </w:p>
    <w:p w14:paraId="64E51D8C">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bookmarkStart w:id="20" w:name="_Toc24550037"/>
      <w:bookmarkStart w:id="21" w:name="_Toc33194393"/>
      <w:r>
        <w:rPr>
          <w:rFonts w:hint="eastAsia" w:ascii="新宋体" w:hAnsi="新宋体" w:eastAsia="新宋体" w:cs="新宋体"/>
          <w:color w:val="auto"/>
          <w:sz w:val="22"/>
          <w:szCs w:val="22"/>
          <w:highlight w:val="none"/>
        </w:rPr>
        <w:t>6、投标人资格审查</w:t>
      </w:r>
      <w:bookmarkEnd w:id="20"/>
      <w:bookmarkEnd w:id="21"/>
    </w:p>
    <w:p w14:paraId="0642E4D9">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6.1开标大会结束后，</w:t>
      </w:r>
      <w:r>
        <w:rPr>
          <w:rFonts w:hint="eastAsia" w:ascii="新宋体" w:hAnsi="新宋体" w:eastAsia="新宋体" w:cs="新宋体"/>
          <w:b/>
          <w:color w:val="auto"/>
          <w:sz w:val="22"/>
          <w:szCs w:val="22"/>
          <w:highlight w:val="none"/>
          <w:lang w:eastAsia="zh-CN"/>
        </w:rPr>
        <w:t>采购人</w:t>
      </w:r>
      <w:r>
        <w:rPr>
          <w:rFonts w:hint="eastAsia" w:ascii="新宋体" w:hAnsi="新宋体" w:eastAsia="新宋体" w:cs="新宋体"/>
          <w:b/>
          <w:color w:val="auto"/>
          <w:sz w:val="22"/>
          <w:szCs w:val="22"/>
          <w:highlight w:val="none"/>
        </w:rPr>
        <w:t>或采购代理机构首先依法对各投标人的资格进行审查，审查各投标人的资格是否满足</w:t>
      </w:r>
      <w:r>
        <w:rPr>
          <w:rFonts w:hint="eastAsia" w:ascii="新宋体" w:hAnsi="新宋体" w:eastAsia="新宋体" w:cs="新宋体"/>
          <w:b/>
          <w:color w:val="auto"/>
          <w:sz w:val="22"/>
          <w:szCs w:val="22"/>
          <w:highlight w:val="none"/>
          <w:lang w:eastAsia="zh-CN"/>
        </w:rPr>
        <w:t>采购文件</w:t>
      </w:r>
      <w:r>
        <w:rPr>
          <w:rFonts w:hint="eastAsia" w:ascii="新宋体" w:hAnsi="新宋体" w:eastAsia="新宋体" w:cs="新宋体"/>
          <w:b/>
          <w:color w:val="auto"/>
          <w:sz w:val="22"/>
          <w:szCs w:val="22"/>
          <w:highlight w:val="none"/>
        </w:rPr>
        <w:t>的要求。</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或采购代理机构对投标人所提交的资格证明材料仅负审核的责任。如发现投标人所提交的资格证明材料不合法或与事实不符，</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可取消其中标资格并追究投标人的法律责任。</w:t>
      </w:r>
    </w:p>
    <w:p w14:paraId="3893F68A">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sz w:val="22"/>
          <w:szCs w:val="22"/>
          <w:highlight w:val="none"/>
        </w:rPr>
        <w:t>6.2投标人提交的资格证明材料无法证明其符合</w:t>
      </w:r>
      <w:r>
        <w:rPr>
          <w:rFonts w:hint="eastAsia" w:ascii="新宋体" w:hAnsi="新宋体" w:eastAsia="新宋体" w:cs="新宋体"/>
          <w:b/>
          <w:color w:val="auto"/>
          <w:sz w:val="22"/>
          <w:szCs w:val="22"/>
          <w:highlight w:val="none"/>
          <w:lang w:eastAsia="zh-CN"/>
        </w:rPr>
        <w:t>采购文件</w:t>
      </w:r>
      <w:r>
        <w:rPr>
          <w:rFonts w:hint="eastAsia" w:ascii="新宋体" w:hAnsi="新宋体" w:eastAsia="新宋体" w:cs="新宋体"/>
          <w:b/>
          <w:color w:val="auto"/>
          <w:sz w:val="22"/>
          <w:szCs w:val="22"/>
          <w:highlight w:val="none"/>
        </w:rPr>
        <w:t>规定的“投标人资格要求”的，</w:t>
      </w:r>
      <w:r>
        <w:rPr>
          <w:rFonts w:hint="eastAsia" w:ascii="新宋体" w:hAnsi="新宋体" w:eastAsia="新宋体" w:cs="新宋体"/>
          <w:b/>
          <w:color w:val="auto"/>
          <w:sz w:val="22"/>
          <w:szCs w:val="22"/>
          <w:highlight w:val="none"/>
          <w:lang w:eastAsia="zh-CN"/>
        </w:rPr>
        <w:t>采购人</w:t>
      </w:r>
      <w:r>
        <w:rPr>
          <w:rFonts w:hint="eastAsia" w:ascii="新宋体" w:hAnsi="新宋体" w:eastAsia="新宋体" w:cs="新宋体"/>
          <w:b/>
          <w:color w:val="auto"/>
          <w:sz w:val="22"/>
          <w:szCs w:val="22"/>
          <w:highlight w:val="none"/>
        </w:rPr>
        <w:t>或采购代理机构</w:t>
      </w:r>
      <w:r>
        <w:rPr>
          <w:rFonts w:hint="eastAsia" w:ascii="新宋体" w:hAnsi="新宋体" w:eastAsia="新宋体" w:cs="新宋体"/>
          <w:b/>
          <w:color w:val="auto"/>
          <w:kern w:val="0"/>
          <w:sz w:val="22"/>
          <w:szCs w:val="22"/>
          <w:highlight w:val="none"/>
        </w:rPr>
        <w:t>将对其作资格审查不通过处理（无效投标），并不再将其投标提交评标委员会进行后续评审。</w:t>
      </w:r>
    </w:p>
    <w:p w14:paraId="1EBB7439">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color w:val="auto"/>
          <w:sz w:val="22"/>
          <w:szCs w:val="22"/>
          <w:highlight w:val="none"/>
        </w:rPr>
        <w:t>6</w:t>
      </w:r>
      <w:r>
        <w:rPr>
          <w:rFonts w:hint="eastAsia" w:ascii="新宋体" w:hAnsi="新宋体" w:eastAsia="新宋体" w:cs="新宋体"/>
          <w:b/>
          <w:color w:val="auto"/>
          <w:kern w:val="0"/>
          <w:sz w:val="22"/>
          <w:szCs w:val="22"/>
          <w:highlight w:val="none"/>
        </w:rPr>
        <w:t>.3单位负责人为同一人或者存在直接控股、管理关系的不同供应商参加同一合同项下的政府采购活动的，相关投标人均作资格无效处理。</w:t>
      </w:r>
    </w:p>
    <w:p w14:paraId="52263EFA">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7、评标委员按照</w:t>
      </w:r>
      <w:r>
        <w:rPr>
          <w:rFonts w:hint="eastAsia" w:ascii="新宋体" w:hAnsi="新宋体" w:eastAsia="新宋体" w:cs="新宋体"/>
          <w:bCs/>
          <w:color w:val="auto"/>
          <w:sz w:val="22"/>
          <w:szCs w:val="22"/>
          <w:highlight w:val="none"/>
          <w:lang w:eastAsia="zh-CN"/>
        </w:rPr>
        <w:t>采购文件</w:t>
      </w:r>
      <w:r>
        <w:rPr>
          <w:rFonts w:hint="eastAsia" w:ascii="新宋体" w:hAnsi="新宋体" w:eastAsia="新宋体" w:cs="新宋体"/>
          <w:bCs/>
          <w:color w:val="auto"/>
          <w:sz w:val="22"/>
          <w:szCs w:val="22"/>
          <w:highlight w:val="none"/>
        </w:rPr>
        <w:t>中规定的评标方法和标准，对投标文件进行商务和技术评估，综合比较与评价。</w:t>
      </w:r>
    </w:p>
    <w:p w14:paraId="1BF79342">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szCs w:val="22"/>
          <w:highlight w:val="none"/>
          <w:u w:val="single"/>
        </w:rPr>
      </w:pPr>
      <w:r>
        <w:rPr>
          <w:rFonts w:hint="eastAsia" w:ascii="新宋体" w:hAnsi="新宋体" w:eastAsia="新宋体" w:cs="新宋体"/>
          <w:b/>
          <w:color w:val="auto"/>
          <w:sz w:val="22"/>
          <w:szCs w:val="22"/>
          <w:highlight w:val="none"/>
          <w:u w:val="single"/>
        </w:rPr>
        <w:t>8、投标人存在下列情况之一的，投标无效：</w:t>
      </w:r>
    </w:p>
    <w:p w14:paraId="322DC3D0">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（1）投标文件未按</w:t>
      </w:r>
      <w:r>
        <w:rPr>
          <w:rFonts w:hint="eastAsia" w:ascii="新宋体" w:hAnsi="新宋体" w:eastAsia="新宋体" w:cs="新宋体"/>
          <w:bCs/>
          <w:color w:val="auto"/>
          <w:sz w:val="22"/>
          <w:szCs w:val="22"/>
          <w:highlight w:val="none"/>
          <w:lang w:eastAsia="zh-CN"/>
        </w:rPr>
        <w:t>采购文件</w:t>
      </w:r>
      <w:r>
        <w:rPr>
          <w:rFonts w:hint="eastAsia" w:ascii="新宋体" w:hAnsi="新宋体" w:eastAsia="新宋体" w:cs="新宋体"/>
          <w:bCs/>
          <w:color w:val="auto"/>
          <w:sz w:val="22"/>
          <w:szCs w:val="22"/>
          <w:highlight w:val="none"/>
        </w:rPr>
        <w:t>要求签署、盖章的；</w:t>
      </w:r>
    </w:p>
    <w:p w14:paraId="31DBD625">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（2）不具备</w:t>
      </w:r>
      <w:r>
        <w:rPr>
          <w:rFonts w:hint="eastAsia" w:ascii="新宋体" w:hAnsi="新宋体" w:eastAsia="新宋体" w:cs="新宋体"/>
          <w:bCs/>
          <w:color w:val="auto"/>
          <w:sz w:val="22"/>
          <w:szCs w:val="22"/>
          <w:highlight w:val="none"/>
          <w:lang w:eastAsia="zh-CN"/>
        </w:rPr>
        <w:t>采购文件</w:t>
      </w:r>
      <w:r>
        <w:rPr>
          <w:rFonts w:hint="eastAsia" w:ascii="新宋体" w:hAnsi="新宋体" w:eastAsia="新宋体" w:cs="新宋体"/>
          <w:bCs/>
          <w:color w:val="auto"/>
          <w:sz w:val="22"/>
          <w:szCs w:val="22"/>
          <w:highlight w:val="none"/>
        </w:rPr>
        <w:t xml:space="preserve">中规定的资格要求的； </w:t>
      </w:r>
    </w:p>
    <w:p w14:paraId="75861409">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（3）明显不符合</w:t>
      </w:r>
      <w:r>
        <w:rPr>
          <w:rFonts w:hint="eastAsia" w:ascii="新宋体" w:hAnsi="新宋体" w:eastAsia="新宋体" w:cs="新宋体"/>
          <w:bCs/>
          <w:color w:val="auto"/>
          <w:sz w:val="22"/>
          <w:szCs w:val="22"/>
          <w:highlight w:val="none"/>
          <w:lang w:eastAsia="zh-CN"/>
        </w:rPr>
        <w:t>采购文件</w:t>
      </w:r>
      <w:r>
        <w:rPr>
          <w:rFonts w:hint="eastAsia" w:ascii="新宋体" w:hAnsi="新宋体" w:eastAsia="新宋体" w:cs="新宋体"/>
          <w:bCs/>
          <w:color w:val="auto"/>
          <w:sz w:val="22"/>
          <w:szCs w:val="22"/>
          <w:highlight w:val="none"/>
        </w:rPr>
        <w:t>中主要技术规格、技术标准的；</w:t>
      </w:r>
    </w:p>
    <w:p w14:paraId="0A5F5F6C">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（4）“▲”标记条款负偏离或不响应的；</w:t>
      </w:r>
    </w:p>
    <w:p w14:paraId="3DD622AC">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w:t>
      </w:r>
      <w:r>
        <w:rPr>
          <w:rFonts w:hint="eastAsia" w:ascii="新宋体" w:hAnsi="新宋体" w:eastAsia="新宋体" w:cs="新宋体"/>
          <w:bCs/>
          <w:color w:val="auto"/>
          <w:sz w:val="22"/>
          <w:szCs w:val="22"/>
          <w:highlight w:val="none"/>
          <w:lang w:val="en-US" w:eastAsia="zh-CN"/>
        </w:rPr>
        <w:t>5</w:t>
      </w:r>
      <w:r>
        <w:rPr>
          <w:rFonts w:hint="eastAsia" w:ascii="新宋体" w:hAnsi="新宋体" w:eastAsia="新宋体" w:cs="新宋体"/>
          <w:bCs/>
          <w:color w:val="auto"/>
          <w:sz w:val="22"/>
          <w:szCs w:val="22"/>
          <w:highlight w:val="none"/>
        </w:rPr>
        <w:t>）投标文件内容不全或关键字迹模糊无法辨认的；</w:t>
      </w:r>
    </w:p>
    <w:p w14:paraId="2DD93A1A">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w:t>
      </w:r>
      <w:r>
        <w:rPr>
          <w:rFonts w:hint="eastAsia" w:ascii="新宋体" w:hAnsi="新宋体" w:eastAsia="新宋体" w:cs="新宋体"/>
          <w:bCs/>
          <w:color w:val="auto"/>
          <w:sz w:val="22"/>
          <w:szCs w:val="22"/>
          <w:highlight w:val="none"/>
          <w:lang w:val="en-US" w:eastAsia="zh-CN"/>
        </w:rPr>
        <w:t>6</w:t>
      </w:r>
      <w:r>
        <w:rPr>
          <w:rFonts w:hint="eastAsia" w:ascii="新宋体" w:hAnsi="新宋体" w:eastAsia="新宋体" w:cs="新宋体"/>
          <w:bCs/>
          <w:color w:val="auto"/>
          <w:sz w:val="22"/>
          <w:szCs w:val="22"/>
          <w:highlight w:val="none"/>
        </w:rPr>
        <w:t>）报价超过</w:t>
      </w:r>
      <w:r>
        <w:rPr>
          <w:rFonts w:hint="eastAsia" w:ascii="新宋体" w:hAnsi="新宋体" w:eastAsia="新宋体" w:cs="新宋体"/>
          <w:bCs/>
          <w:color w:val="auto"/>
          <w:sz w:val="22"/>
          <w:szCs w:val="22"/>
          <w:highlight w:val="none"/>
          <w:lang w:eastAsia="zh-CN"/>
        </w:rPr>
        <w:t>采购文件</w:t>
      </w:r>
      <w:r>
        <w:rPr>
          <w:rFonts w:hint="eastAsia" w:ascii="新宋体" w:hAnsi="新宋体" w:eastAsia="新宋体" w:cs="新宋体"/>
          <w:bCs/>
          <w:color w:val="auto"/>
          <w:sz w:val="22"/>
          <w:szCs w:val="22"/>
          <w:highlight w:val="none"/>
        </w:rPr>
        <w:t>中规定的预算金额的；</w:t>
      </w:r>
    </w:p>
    <w:p w14:paraId="472138FC">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w:t>
      </w:r>
      <w:r>
        <w:rPr>
          <w:rFonts w:hint="eastAsia" w:ascii="新宋体" w:hAnsi="新宋体" w:eastAsia="新宋体" w:cs="新宋体"/>
          <w:bCs/>
          <w:color w:val="auto"/>
          <w:sz w:val="22"/>
          <w:szCs w:val="22"/>
          <w:highlight w:val="none"/>
          <w:lang w:val="en-US" w:eastAsia="zh-CN"/>
        </w:rPr>
        <w:t>7</w:t>
      </w:r>
      <w:r>
        <w:rPr>
          <w:rFonts w:hint="eastAsia" w:ascii="新宋体" w:hAnsi="新宋体" w:eastAsia="新宋体" w:cs="新宋体"/>
          <w:bCs/>
          <w:color w:val="auto"/>
          <w:sz w:val="22"/>
          <w:szCs w:val="22"/>
          <w:highlight w:val="none"/>
        </w:rPr>
        <w:t>）投标人代表没有法定代表人合法、有效委托的；</w:t>
      </w:r>
    </w:p>
    <w:p w14:paraId="107A0847">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w:t>
      </w:r>
      <w:r>
        <w:rPr>
          <w:rFonts w:hint="eastAsia" w:ascii="新宋体" w:hAnsi="新宋体" w:eastAsia="新宋体" w:cs="新宋体"/>
          <w:bCs/>
          <w:color w:val="auto"/>
          <w:sz w:val="22"/>
          <w:szCs w:val="22"/>
          <w:highlight w:val="none"/>
          <w:lang w:val="en-US" w:eastAsia="zh-CN"/>
        </w:rPr>
        <w:t>8</w:t>
      </w:r>
      <w:r>
        <w:rPr>
          <w:rFonts w:hint="eastAsia" w:ascii="新宋体" w:hAnsi="新宋体" w:eastAsia="新宋体" w:cs="新宋体"/>
          <w:bCs/>
          <w:color w:val="auto"/>
          <w:sz w:val="22"/>
          <w:szCs w:val="22"/>
          <w:highlight w:val="none"/>
        </w:rPr>
        <w:t>）投标文件存在一个或一个以上备选（替代）投标方案的；</w:t>
      </w:r>
    </w:p>
    <w:p w14:paraId="7F17A96D">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w:t>
      </w:r>
      <w:r>
        <w:rPr>
          <w:rFonts w:hint="eastAsia" w:ascii="新宋体" w:hAnsi="新宋体" w:eastAsia="新宋体" w:cs="新宋体"/>
          <w:bCs/>
          <w:color w:val="auto"/>
          <w:sz w:val="22"/>
          <w:szCs w:val="22"/>
          <w:highlight w:val="none"/>
          <w:lang w:val="en-US" w:eastAsia="zh-CN"/>
        </w:rPr>
        <w:t>9</w:t>
      </w:r>
      <w:r>
        <w:rPr>
          <w:rFonts w:hint="eastAsia" w:ascii="新宋体" w:hAnsi="新宋体" w:eastAsia="新宋体" w:cs="新宋体"/>
          <w:bCs/>
          <w:color w:val="auto"/>
          <w:sz w:val="22"/>
          <w:szCs w:val="22"/>
          <w:highlight w:val="none"/>
        </w:rPr>
        <w:t>）仅提交“备份投标文件”的；</w:t>
      </w:r>
    </w:p>
    <w:p w14:paraId="384FD5FE">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 w:val="0"/>
          <w:bCs/>
          <w:color w:val="auto"/>
          <w:sz w:val="22"/>
          <w:szCs w:val="22"/>
          <w:highlight w:val="none"/>
          <w:u w:val="none"/>
        </w:rPr>
        <w:t>（10）</w:t>
      </w:r>
      <w:r>
        <w:rPr>
          <w:rFonts w:hint="eastAsia" w:ascii="新宋体" w:hAnsi="新宋体" w:eastAsia="新宋体" w:cs="新宋体"/>
          <w:bCs/>
          <w:color w:val="auto"/>
          <w:sz w:val="22"/>
          <w:szCs w:val="22"/>
          <w:highlight w:val="none"/>
        </w:rPr>
        <w:t>投标文件含有</w:t>
      </w:r>
      <w:r>
        <w:rPr>
          <w:rFonts w:hint="eastAsia" w:ascii="新宋体" w:hAnsi="新宋体" w:eastAsia="新宋体" w:cs="新宋体"/>
          <w:bCs/>
          <w:color w:val="auto"/>
          <w:sz w:val="22"/>
          <w:szCs w:val="22"/>
          <w:highlight w:val="none"/>
          <w:lang w:eastAsia="zh-CN"/>
        </w:rPr>
        <w:t>采购人</w:t>
      </w:r>
      <w:r>
        <w:rPr>
          <w:rFonts w:hint="eastAsia" w:ascii="新宋体" w:hAnsi="新宋体" w:eastAsia="新宋体" w:cs="新宋体"/>
          <w:bCs/>
          <w:color w:val="auto"/>
          <w:sz w:val="22"/>
          <w:szCs w:val="22"/>
          <w:highlight w:val="none"/>
        </w:rPr>
        <w:t>不能接受的附加条件的；</w:t>
      </w:r>
    </w:p>
    <w:p w14:paraId="733A0C93">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w:t>
      </w:r>
      <w:r>
        <w:rPr>
          <w:rFonts w:hint="eastAsia" w:ascii="新宋体" w:hAnsi="新宋体" w:eastAsia="新宋体" w:cs="新宋体"/>
          <w:bCs/>
          <w:color w:val="auto"/>
          <w:sz w:val="22"/>
          <w:szCs w:val="22"/>
          <w:highlight w:val="none"/>
          <w:lang w:val="en-US" w:eastAsia="zh-CN"/>
        </w:rPr>
        <w:t>11</w:t>
      </w:r>
      <w:r>
        <w:rPr>
          <w:rFonts w:hint="eastAsia" w:ascii="新宋体" w:hAnsi="新宋体" w:eastAsia="新宋体" w:cs="新宋体"/>
          <w:bCs/>
          <w:color w:val="auto"/>
          <w:sz w:val="22"/>
          <w:szCs w:val="22"/>
          <w:highlight w:val="none"/>
        </w:rPr>
        <w:t>）</w:t>
      </w:r>
      <w:r>
        <w:rPr>
          <w:rFonts w:hint="eastAsia" w:ascii="新宋体" w:hAnsi="新宋体" w:eastAsia="新宋体" w:cs="新宋体"/>
          <w:bCs/>
          <w:color w:val="auto"/>
          <w:sz w:val="22"/>
          <w:szCs w:val="22"/>
          <w:highlight w:val="none"/>
          <w:lang w:eastAsia="zh-CN"/>
        </w:rPr>
        <w:t>如为联合体投标，未提供有效的联合体共同投标协议书的</w:t>
      </w:r>
      <w:r>
        <w:rPr>
          <w:rFonts w:hint="eastAsia" w:ascii="新宋体" w:hAnsi="新宋体" w:eastAsia="新宋体" w:cs="新宋体"/>
          <w:bCs/>
          <w:color w:val="auto"/>
          <w:sz w:val="22"/>
          <w:szCs w:val="22"/>
          <w:highlight w:val="none"/>
        </w:rPr>
        <w:t>；</w:t>
      </w:r>
    </w:p>
    <w:p w14:paraId="672DBA44">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w:t>
      </w:r>
      <w:r>
        <w:rPr>
          <w:rFonts w:hint="eastAsia" w:ascii="新宋体" w:hAnsi="新宋体" w:eastAsia="新宋体" w:cs="新宋体"/>
          <w:bCs/>
          <w:color w:val="auto"/>
          <w:sz w:val="22"/>
          <w:szCs w:val="22"/>
          <w:highlight w:val="none"/>
          <w:lang w:val="en-US" w:eastAsia="zh-CN"/>
        </w:rPr>
        <w:t>2</w:t>
      </w:r>
      <w:r>
        <w:rPr>
          <w:rFonts w:hint="eastAsia" w:ascii="新宋体" w:hAnsi="新宋体" w:eastAsia="新宋体" w:cs="新宋体"/>
          <w:bCs/>
          <w:color w:val="auto"/>
          <w:sz w:val="22"/>
          <w:szCs w:val="22"/>
          <w:highlight w:val="none"/>
        </w:rPr>
        <w:t>）法律、法规和</w:t>
      </w:r>
      <w:r>
        <w:rPr>
          <w:rFonts w:hint="eastAsia" w:ascii="新宋体" w:hAnsi="新宋体" w:eastAsia="新宋体" w:cs="新宋体"/>
          <w:bCs/>
          <w:color w:val="auto"/>
          <w:sz w:val="22"/>
          <w:szCs w:val="22"/>
          <w:highlight w:val="none"/>
          <w:lang w:eastAsia="zh-CN"/>
        </w:rPr>
        <w:t>采购文件</w:t>
      </w:r>
      <w:r>
        <w:rPr>
          <w:rFonts w:hint="eastAsia" w:ascii="新宋体" w:hAnsi="新宋体" w:eastAsia="新宋体" w:cs="新宋体"/>
          <w:bCs/>
          <w:color w:val="auto"/>
          <w:sz w:val="22"/>
          <w:szCs w:val="22"/>
          <w:highlight w:val="none"/>
        </w:rPr>
        <w:t>规定的其他无效情形。</w:t>
      </w:r>
    </w:p>
    <w:p w14:paraId="2F50821B">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9、有下列情形之一的，视为投标人串通投标，其投标无效</w:t>
      </w:r>
    </w:p>
    <w:p w14:paraId="593EF66F">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（1）不同投标人的投标文件由同一单位或者个人编制；</w:t>
      </w:r>
    </w:p>
    <w:p w14:paraId="58B09443">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（2）不同投标人委托同一单位或者个人办理投标事宜；</w:t>
      </w:r>
    </w:p>
    <w:p w14:paraId="7399B924">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（3）不同投标人的投标文件载明的项目管理成员或者联系人员为同一人；</w:t>
      </w:r>
    </w:p>
    <w:p w14:paraId="5E529F3B">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（4）不同投标人的投标文件异常一致或者投标报价呈规律性差异；</w:t>
      </w:r>
    </w:p>
    <w:p w14:paraId="2674BD81">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（5）不同投标人的投标文件相互混装。</w:t>
      </w:r>
    </w:p>
    <w:p w14:paraId="1B2C3989">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6</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不同投标</w:t>
      </w:r>
      <w:r>
        <w:rPr>
          <w:rFonts w:hint="eastAsia" w:ascii="新宋体" w:hAnsi="新宋体" w:eastAsia="新宋体" w:cs="新宋体"/>
          <w:color w:val="auto"/>
          <w:sz w:val="22"/>
          <w:szCs w:val="22"/>
          <w:highlight w:val="none"/>
          <w:lang w:val="en-US" w:eastAsia="zh-CN"/>
        </w:rPr>
        <w:t>人</w:t>
      </w:r>
      <w:r>
        <w:rPr>
          <w:rFonts w:hint="eastAsia" w:ascii="新宋体" w:hAnsi="新宋体" w:eastAsia="新宋体" w:cs="新宋体"/>
          <w:color w:val="auto"/>
          <w:sz w:val="22"/>
          <w:szCs w:val="22"/>
          <w:highlight w:val="none"/>
        </w:rPr>
        <w:t>的 IP、MAC、硬件信息相同、响应文件细节错误一致且无合理解释等情形</w:t>
      </w:r>
      <w:r>
        <w:rPr>
          <w:rFonts w:hint="eastAsia" w:ascii="新宋体" w:hAnsi="新宋体" w:eastAsia="新宋体" w:cs="新宋体"/>
          <w:color w:val="auto"/>
          <w:sz w:val="22"/>
          <w:szCs w:val="22"/>
          <w:highlight w:val="none"/>
          <w:lang w:eastAsia="zh-CN"/>
        </w:rPr>
        <w:t>；</w:t>
      </w:r>
    </w:p>
    <w:p w14:paraId="224820EE">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7</w:t>
      </w:r>
      <w:r>
        <w:rPr>
          <w:rFonts w:hint="eastAsia" w:ascii="新宋体" w:hAnsi="新宋体" w:eastAsia="新宋体" w:cs="新宋体"/>
          <w:color w:val="auto"/>
          <w:sz w:val="22"/>
          <w:szCs w:val="22"/>
          <w:highlight w:val="none"/>
          <w:lang w:eastAsia="zh-CN"/>
        </w:rPr>
        <w:t>）不同供应商的电子投标(响应)文件上传时的手机号信息相同且无法合理解释的。</w:t>
      </w:r>
    </w:p>
    <w:p w14:paraId="2AE96930">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10、投标文件报价出现前后不一致的，按照下列规定修正：</w:t>
      </w:r>
    </w:p>
    <w:p w14:paraId="3506DAD2">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（1）系统上传的投标文件中开标一览表（报价表）（加盖公章）内容与投标文件中相应内容不一致的，以系统上传的投标文件中开标一览表（报价表）（加盖公章）为准；</w:t>
      </w:r>
    </w:p>
    <w:p w14:paraId="1D1CC8E7">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（2）大写金额和小写金额不一致的，以大写金额为准；</w:t>
      </w:r>
    </w:p>
    <w:p w14:paraId="7375BD4C">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（3）单价金额小数点或者百分比有明显错位的，以开标一览表的总价为准，并修改单价；</w:t>
      </w:r>
    </w:p>
    <w:p w14:paraId="50C454E6">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（4）总价金额与按单价汇总金额不一致的，以单价金额计算结果为准。</w:t>
      </w:r>
    </w:p>
    <w:p w14:paraId="6469A48B">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同时出现两种以上不一致的，按照前款规定的顺序修正。修正后的报价按照本小节第12条第12.2款的规定经投标人确认后产生约束力，投标人不确认的，其投标无效。</w:t>
      </w:r>
    </w:p>
    <w:p w14:paraId="5B63AB87">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11、标委员会成员对需要共同认定的事项存在争议的，应当按照少数服从多数的原则作出结论。持不同意见的评标委员会成员应当在评标报告上签署不同意见及理由，否则视为同意评标报告。</w:t>
      </w:r>
    </w:p>
    <w:p w14:paraId="6294453C">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12、投标文件的澄清</w:t>
      </w:r>
    </w:p>
    <w:p w14:paraId="2BD78C3B">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12.1在评标期间，评标委员会可要求投标人对于投标文件中含义不明确、同类问题表述不一致或者有明显文字和计算错误的内容，评标委员会应当以书面形式（或通过“政府采购云平台”在线询标）要求投标人在规定的时间内作出必要的澄清、说明或者补正。投标人澄清、说明或补正时间为30分钟。</w:t>
      </w:r>
    </w:p>
    <w:p w14:paraId="49FB1132">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12.2投标人的澄清、说明或者补正应当采用书面形式（或通过“政府采购云平台”在线答复），并加盖公章，或者由法定代表人或其授权的代表签字。投标人的澄清、说明或者补正不得超出投标文件的范围或者改变投标文件的实质性内容。</w:t>
      </w:r>
    </w:p>
    <w:p w14:paraId="3FDBD6BF">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拒不按要求对其投标文件进行澄清，说明或补正的投标人，评标委员会可以否决其投标。</w:t>
      </w:r>
    </w:p>
    <w:p w14:paraId="35C334BA">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12.2</w:t>
      </w:r>
      <w:r>
        <w:rPr>
          <w:rFonts w:hint="eastAsia" w:ascii="新宋体" w:hAnsi="新宋体" w:eastAsia="新宋体" w:cs="新宋体"/>
          <w:b/>
          <w:color w:val="auto"/>
          <w:sz w:val="22"/>
          <w:szCs w:val="22"/>
          <w:highlight w:val="none"/>
        </w:rPr>
        <w:t>经澄清后，若偏差仍存在，且不可接受，投标人则被认为是“没有实质性响应</w:t>
      </w:r>
      <w:r>
        <w:rPr>
          <w:rFonts w:hint="eastAsia" w:ascii="新宋体" w:hAnsi="新宋体" w:eastAsia="新宋体" w:cs="新宋体"/>
          <w:b/>
          <w:color w:val="auto"/>
          <w:sz w:val="22"/>
          <w:szCs w:val="22"/>
          <w:highlight w:val="none"/>
          <w:lang w:eastAsia="zh-CN"/>
        </w:rPr>
        <w:t>采购文件</w:t>
      </w:r>
      <w:r>
        <w:rPr>
          <w:rFonts w:hint="eastAsia" w:ascii="新宋体" w:hAnsi="新宋体" w:eastAsia="新宋体" w:cs="新宋体"/>
          <w:b/>
          <w:color w:val="auto"/>
          <w:sz w:val="22"/>
          <w:szCs w:val="22"/>
          <w:highlight w:val="none"/>
        </w:rPr>
        <w:t>要求”，其投标将被拒绝。</w:t>
      </w:r>
    </w:p>
    <w:p w14:paraId="05F16B94">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13、评审结果的修改</w:t>
      </w:r>
    </w:p>
    <w:p w14:paraId="0948E24A">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13.1评标结果汇总完成后，除下列情形外，任何人不得修改评标结果：</w:t>
      </w:r>
    </w:p>
    <w:p w14:paraId="6281BD36">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（1）分值汇总计算错误的；</w:t>
      </w:r>
    </w:p>
    <w:p w14:paraId="00241AE1">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（2）分项评分超出评分标准范围的；</w:t>
      </w:r>
    </w:p>
    <w:p w14:paraId="07F057D2">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（3）评标委员会成员对客观评审因素评分不一致的；</w:t>
      </w:r>
    </w:p>
    <w:p w14:paraId="3B8C0CD7">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（4）经评标委员会认定评分畸高、畸低的。</w:t>
      </w:r>
    </w:p>
    <w:p w14:paraId="1F8140E5">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highlight w:val="none"/>
        </w:rPr>
      </w:pPr>
      <w:r>
        <w:rPr>
          <w:rFonts w:hint="eastAsia" w:ascii="新宋体" w:hAnsi="新宋体" w:eastAsia="新宋体" w:cs="新宋体"/>
          <w:bCs/>
          <w:color w:val="auto"/>
          <w:sz w:val="22"/>
          <w:szCs w:val="22"/>
          <w:highlight w:val="none"/>
        </w:rPr>
        <w:t>13.2书面评标报告签署前，经复核发现存在以上情形之一的，评标委员会将当场修改评标结果，并在</w:t>
      </w:r>
      <w:r>
        <w:rPr>
          <w:rFonts w:hint="eastAsia" w:ascii="新宋体" w:hAnsi="新宋体" w:eastAsia="新宋体" w:cs="新宋体"/>
          <w:b/>
          <w:color w:val="auto"/>
          <w:sz w:val="22"/>
          <w:szCs w:val="22"/>
          <w:highlight w:val="none"/>
        </w:rPr>
        <w:t>评标报告中记载。</w:t>
      </w:r>
    </w:p>
    <w:p w14:paraId="55FDC583">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14</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确定中标候选人</w:t>
      </w:r>
    </w:p>
    <w:p w14:paraId="3FB636E7">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14.1由评标委员会确定中标候选人。</w:t>
      </w:r>
    </w:p>
    <w:p w14:paraId="43748A15">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14.2评标委员会依据法律、法规及</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有关规定按评审后得分（即商务技术分与报价得分之和）由高到低顺序排序，得分前二名的投标人确定为该项目的第一和第二中标候选人（得分相同的，按投标报价由低到高顺序排列。得分且投标报价相同的并列。）向</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推荐。</w:t>
      </w:r>
    </w:p>
    <w:p w14:paraId="19837F9E">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
          <w:bCs/>
          <w:color w:val="auto"/>
          <w:sz w:val="22"/>
          <w:szCs w:val="22"/>
          <w:highlight w:val="none"/>
        </w:rPr>
        <w:t>15、确定中标人</w:t>
      </w:r>
    </w:p>
    <w:p w14:paraId="7FFA912F">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color w:val="auto"/>
          <w:sz w:val="22"/>
          <w:szCs w:val="22"/>
          <w:highlight w:val="none"/>
        </w:rPr>
        <w:t>15</w:t>
      </w:r>
      <w:r>
        <w:rPr>
          <w:rFonts w:hint="eastAsia" w:ascii="新宋体" w:hAnsi="新宋体" w:eastAsia="新宋体" w:cs="新宋体"/>
          <w:b/>
          <w:bCs/>
          <w:color w:val="auto"/>
          <w:sz w:val="22"/>
          <w:szCs w:val="22"/>
          <w:highlight w:val="none"/>
        </w:rPr>
        <w:t>.1</w:t>
      </w:r>
      <w:r>
        <w:rPr>
          <w:rFonts w:hint="eastAsia" w:ascii="新宋体" w:hAnsi="新宋体" w:eastAsia="新宋体" w:cs="新宋体"/>
          <w:b/>
          <w:bCs/>
          <w:color w:val="auto"/>
          <w:sz w:val="22"/>
          <w:szCs w:val="22"/>
          <w:highlight w:val="none"/>
          <w:lang w:eastAsia="zh-CN"/>
        </w:rPr>
        <w:t>采购人</w:t>
      </w:r>
      <w:r>
        <w:rPr>
          <w:rFonts w:hint="eastAsia" w:ascii="新宋体" w:hAnsi="新宋体" w:eastAsia="新宋体" w:cs="新宋体"/>
          <w:b/>
          <w:bCs/>
          <w:color w:val="auto"/>
          <w:sz w:val="22"/>
          <w:szCs w:val="22"/>
          <w:highlight w:val="none"/>
        </w:rPr>
        <w:t>按照书面评标报告中推荐的中标候选供应商顺序确定中标人；也可以事先授权评标委员会按照推荐的中标候选供应商顺序直接确定中标人。中标候选人并列的，由评标委员会全体成员记名投票按少数服从多数的原则确定排名。</w:t>
      </w:r>
    </w:p>
    <w:p w14:paraId="6980EF78">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15.2如中标人放弃中标；或未能在规定时间内与</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签订合同的；或者经质疑，</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审查后，确因排名第一的候选人在本次采购活动中存在违法违规行为或其他原因使质疑成立的，</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可以视情况直接确定排名第二的候选人为中标人或重新组织招标。</w:t>
      </w:r>
    </w:p>
    <w:p w14:paraId="00E2277B">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16、起草、签署评审报告</w:t>
      </w:r>
    </w:p>
    <w:p w14:paraId="68359860">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14:paraId="1A8857AD">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中标人确定后，</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将在政府指定媒体公告中标结果，</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向中标人发出中标通知书。</w:t>
      </w:r>
    </w:p>
    <w:p w14:paraId="5EBA51C6">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18、</w:t>
      </w:r>
      <w:r>
        <w:rPr>
          <w:rFonts w:hint="eastAsia" w:ascii="新宋体" w:hAnsi="新宋体" w:eastAsia="新宋体" w:cs="新宋体"/>
          <w:b/>
          <w:color w:val="auto"/>
          <w:sz w:val="22"/>
          <w:szCs w:val="22"/>
          <w:highlight w:val="none"/>
          <w:lang w:eastAsia="zh-CN"/>
        </w:rPr>
        <w:t>采购人</w:t>
      </w:r>
      <w:r>
        <w:rPr>
          <w:rFonts w:hint="eastAsia" w:ascii="新宋体" w:hAnsi="新宋体" w:eastAsia="新宋体" w:cs="新宋体"/>
          <w:b/>
          <w:color w:val="auto"/>
          <w:sz w:val="22"/>
          <w:szCs w:val="22"/>
          <w:highlight w:val="none"/>
        </w:rPr>
        <w:t>对决标结果不做任何解释，也不保证最低价中标。</w:t>
      </w:r>
    </w:p>
    <w:p w14:paraId="1BD20BA3">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19、评标细则详见“评标原则及方法”。</w:t>
      </w:r>
    </w:p>
    <w:p w14:paraId="04D9B695">
      <w:pPr>
        <w:spacing w:before="100" w:beforeAutospacing="1" w:after="100" w:afterAutospacing="1" w:line="440" w:lineRule="exact"/>
        <w:jc w:val="center"/>
        <w:outlineLvl w:val="1"/>
        <w:rPr>
          <w:rFonts w:hint="eastAsia" w:ascii="新宋体" w:hAnsi="新宋体" w:eastAsia="新宋体" w:cs="新宋体"/>
          <w:b/>
          <w:bCs/>
          <w:color w:val="auto"/>
          <w:sz w:val="26"/>
          <w:szCs w:val="26"/>
          <w:highlight w:val="none"/>
        </w:rPr>
      </w:pPr>
      <w:bookmarkStart w:id="22" w:name="_Toc26836"/>
      <w:bookmarkStart w:id="23" w:name="_Toc21056"/>
      <w:r>
        <w:rPr>
          <w:rFonts w:hint="eastAsia" w:ascii="新宋体" w:hAnsi="新宋体" w:eastAsia="新宋体" w:cs="新宋体"/>
          <w:b/>
          <w:bCs/>
          <w:color w:val="auto"/>
          <w:sz w:val="26"/>
          <w:szCs w:val="26"/>
          <w:highlight w:val="none"/>
        </w:rPr>
        <w:t>六、 授予合同</w:t>
      </w:r>
      <w:bookmarkEnd w:id="22"/>
      <w:bookmarkEnd w:id="23"/>
    </w:p>
    <w:p w14:paraId="7151C09D">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highlight w:val="none"/>
        </w:rPr>
        <w:t>1、中标通知书</w:t>
      </w:r>
    </w:p>
    <w:p w14:paraId="0FD69E20">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1.1</w:t>
      </w:r>
      <w:r>
        <w:rPr>
          <w:rFonts w:hint="eastAsia" w:ascii="新宋体" w:hAnsi="新宋体" w:eastAsia="新宋体" w:cs="新宋体"/>
          <w:color w:val="auto"/>
          <w:sz w:val="22"/>
          <w:szCs w:val="22"/>
          <w:highlight w:val="none"/>
        </w:rPr>
        <w:t>中标人确定后，</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 xml:space="preserve">将向中标人发出中标通知书。 </w:t>
      </w:r>
    </w:p>
    <w:p w14:paraId="23334FD4">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1.2</w:t>
      </w:r>
      <w:r>
        <w:rPr>
          <w:rFonts w:hint="eastAsia" w:ascii="新宋体" w:hAnsi="新宋体" w:eastAsia="新宋体" w:cs="新宋体"/>
          <w:color w:val="auto"/>
          <w:sz w:val="22"/>
          <w:szCs w:val="22"/>
          <w:highlight w:val="none"/>
        </w:rPr>
        <w:t>中标通知书是合同的一个组成部分,对</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和中标人均具有同等法律效力。</w:t>
      </w:r>
    </w:p>
    <w:p w14:paraId="051EFD73">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highlight w:val="none"/>
        </w:rPr>
        <w:t>2、授标时更改采购货物数量的权力</w:t>
      </w:r>
    </w:p>
    <w:p w14:paraId="73BCC599">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2.1</w:t>
      </w:r>
      <w:r>
        <w:rPr>
          <w:rFonts w:hint="eastAsia" w:ascii="新宋体" w:hAnsi="新宋体" w:eastAsia="新宋体" w:cs="新宋体"/>
          <w:bCs/>
          <w:color w:val="auto"/>
          <w:sz w:val="22"/>
          <w:szCs w:val="22"/>
          <w:highlight w:val="none"/>
          <w:lang w:eastAsia="zh-CN"/>
        </w:rPr>
        <w:t>采购人</w:t>
      </w:r>
      <w:r>
        <w:rPr>
          <w:rFonts w:hint="eastAsia" w:ascii="新宋体" w:hAnsi="新宋体" w:eastAsia="新宋体" w:cs="新宋体"/>
          <w:bCs/>
          <w:color w:val="auto"/>
          <w:sz w:val="22"/>
          <w:szCs w:val="22"/>
          <w:highlight w:val="none"/>
        </w:rPr>
        <w:t>在授予合同时有权对采购货物的数量和服务在一定幅度范围内予以增加或减少,但不得对单价和其他的条款和条件作任何改变。</w:t>
      </w:r>
    </w:p>
    <w:p w14:paraId="0B139744">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highlight w:val="none"/>
        </w:rPr>
        <w:t>3、签订合同</w:t>
      </w:r>
    </w:p>
    <w:p w14:paraId="490BCCF3">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Cs/>
          <w:color w:val="auto"/>
          <w:sz w:val="22"/>
          <w:szCs w:val="22"/>
          <w:highlight w:val="none"/>
        </w:rPr>
        <w:t>3.1中标人应按中标通知书规定的时间、地点与</w:t>
      </w:r>
      <w:r>
        <w:rPr>
          <w:rFonts w:hint="eastAsia" w:ascii="新宋体" w:hAnsi="新宋体" w:eastAsia="新宋体" w:cs="新宋体"/>
          <w:bCs/>
          <w:color w:val="auto"/>
          <w:sz w:val="22"/>
          <w:szCs w:val="22"/>
          <w:highlight w:val="none"/>
          <w:lang w:eastAsia="zh-CN"/>
        </w:rPr>
        <w:t>采购人</w:t>
      </w:r>
      <w:r>
        <w:rPr>
          <w:rFonts w:hint="eastAsia" w:ascii="新宋体" w:hAnsi="新宋体" w:eastAsia="新宋体" w:cs="新宋体"/>
          <w:bCs/>
          <w:color w:val="auto"/>
          <w:sz w:val="22"/>
          <w:szCs w:val="22"/>
          <w:highlight w:val="none"/>
        </w:rPr>
        <w:t>签订合同。</w:t>
      </w:r>
    </w:p>
    <w:p w14:paraId="1F9AC5BE">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3.2</w:t>
      </w:r>
      <w:r>
        <w:rPr>
          <w:rFonts w:hint="eastAsia" w:ascii="新宋体" w:hAnsi="新宋体" w:eastAsia="新宋体" w:cs="新宋体"/>
          <w:b/>
          <w:color w:val="auto"/>
          <w:spacing w:val="6"/>
          <w:sz w:val="22"/>
          <w:szCs w:val="22"/>
          <w:highlight w:val="none"/>
        </w:rPr>
        <w:t>在签订合同前，</w:t>
      </w:r>
      <w:r>
        <w:rPr>
          <w:rFonts w:hint="eastAsia" w:ascii="新宋体" w:hAnsi="新宋体" w:eastAsia="新宋体" w:cs="新宋体"/>
          <w:b/>
          <w:color w:val="auto"/>
          <w:spacing w:val="6"/>
          <w:sz w:val="22"/>
          <w:szCs w:val="22"/>
          <w:highlight w:val="none"/>
          <w:lang w:eastAsia="zh-CN"/>
        </w:rPr>
        <w:t>采购人</w:t>
      </w:r>
      <w:r>
        <w:rPr>
          <w:rFonts w:hint="eastAsia" w:ascii="新宋体" w:hAnsi="新宋体" w:eastAsia="新宋体" w:cs="新宋体"/>
          <w:b/>
          <w:color w:val="auto"/>
          <w:spacing w:val="6"/>
          <w:sz w:val="22"/>
          <w:szCs w:val="22"/>
          <w:highlight w:val="none"/>
        </w:rPr>
        <w:t>有权在中标总价不变的前提下要求中标人对商务报价中的不平衡报价和缺漏项进行调整，如果中标人无合理理由拒绝调整，其中投标资格将被取消，保证金将不予退还，且将导致其它进一步的赔偿和处罚。</w:t>
      </w:r>
    </w:p>
    <w:p w14:paraId="01972A7C">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3.3</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、中标人的投标文件、投标修改文件、评标过程中有关澄清文件及经投标人和评委双方签字的询标纪要和中标通知书均作为合同附件。</w:t>
      </w:r>
    </w:p>
    <w:p w14:paraId="4B074427">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3.4拒签合同的违约责任</w:t>
      </w:r>
    </w:p>
    <w:p w14:paraId="777C82C2">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66" w:firstLineChars="200"/>
        <w:textAlignment w:val="auto"/>
        <w:rPr>
          <w:rFonts w:hint="eastAsia" w:ascii="新宋体" w:hAnsi="新宋体" w:eastAsia="新宋体" w:cs="新宋体"/>
          <w:b/>
          <w:color w:val="auto"/>
          <w:spacing w:val="6"/>
          <w:sz w:val="22"/>
          <w:szCs w:val="22"/>
          <w:highlight w:val="none"/>
        </w:rPr>
      </w:pPr>
      <w:r>
        <w:rPr>
          <w:rFonts w:hint="eastAsia" w:ascii="新宋体" w:hAnsi="新宋体" w:eastAsia="新宋体" w:cs="新宋体"/>
          <w:b/>
          <w:color w:val="auto"/>
          <w:spacing w:val="6"/>
          <w:sz w:val="22"/>
          <w:szCs w:val="22"/>
          <w:highlight w:val="none"/>
        </w:rPr>
        <w:t>中标人接到中标通知书后，在规定时间内借故否认已经承诺的条件而拒签合同的，以违约处理。</w:t>
      </w:r>
    </w:p>
    <w:p w14:paraId="530A9A62">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highlight w:val="none"/>
          <w:lang w:val="en-US" w:eastAsia="zh-CN"/>
        </w:rPr>
        <w:t>4</w:t>
      </w:r>
      <w:r>
        <w:rPr>
          <w:rFonts w:hint="eastAsia" w:ascii="新宋体" w:hAnsi="新宋体" w:eastAsia="新宋体" w:cs="新宋体"/>
          <w:b/>
          <w:color w:val="auto"/>
          <w:sz w:val="22"/>
          <w:highlight w:val="none"/>
        </w:rPr>
        <w:t>、质疑与投诉</w:t>
      </w:r>
    </w:p>
    <w:p w14:paraId="6BB8EFB5">
      <w:pPr>
        <w:tabs>
          <w:tab w:val="left" w:pos="360"/>
        </w:tabs>
        <w:spacing w:line="460" w:lineRule="exact"/>
        <w:ind w:firstLine="464" w:firstLineChars="200"/>
        <w:rPr>
          <w:rFonts w:hint="eastAsia" w:ascii="新宋体" w:hAnsi="新宋体" w:eastAsia="新宋体" w:cs="新宋体"/>
          <w:b/>
          <w:bCs w:val="0"/>
          <w:color w:val="auto"/>
          <w:sz w:val="22"/>
          <w:highlight w:val="none"/>
          <w:lang w:val="en-US" w:eastAsia="zh-CN"/>
        </w:rPr>
      </w:pPr>
      <w:r>
        <w:rPr>
          <w:rFonts w:hint="eastAsia" w:ascii="新宋体" w:hAnsi="新宋体" w:eastAsia="新宋体" w:cs="新宋体"/>
          <w:b w:val="0"/>
          <w:bCs/>
          <w:color w:val="auto"/>
          <w:spacing w:val="6"/>
          <w:sz w:val="22"/>
          <w:szCs w:val="22"/>
          <w:highlight w:val="none"/>
          <w:lang w:val="en-US" w:eastAsia="zh-CN"/>
        </w:rPr>
        <w:t>4</w:t>
      </w:r>
      <w:r>
        <w:rPr>
          <w:rFonts w:hint="eastAsia" w:ascii="新宋体" w:hAnsi="新宋体" w:eastAsia="新宋体" w:cs="新宋体"/>
          <w:b w:val="0"/>
          <w:bCs/>
          <w:color w:val="auto"/>
          <w:spacing w:val="6"/>
          <w:sz w:val="22"/>
          <w:szCs w:val="22"/>
          <w:highlight w:val="none"/>
        </w:rPr>
        <w:t>.1</w:t>
      </w:r>
      <w:r>
        <w:rPr>
          <w:rFonts w:hint="eastAsia" w:ascii="新宋体" w:hAnsi="新宋体" w:eastAsia="新宋体" w:cs="新宋体"/>
          <w:b/>
          <w:bCs w:val="0"/>
          <w:color w:val="auto"/>
          <w:sz w:val="22"/>
          <w:highlight w:val="none"/>
          <w:lang w:val="en-US" w:eastAsia="zh-CN"/>
        </w:rPr>
        <w:t>特别提醒：</w:t>
      </w:r>
      <w:r>
        <w:rPr>
          <w:rFonts w:hint="eastAsia" w:ascii="新宋体" w:hAnsi="新宋体" w:eastAsia="新宋体" w:cs="新宋体"/>
          <w:color w:val="auto"/>
          <w:sz w:val="22"/>
          <w:highlight w:val="none"/>
          <w:lang w:val="en-US" w:eastAsia="zh-CN"/>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w:t>
      </w:r>
      <w:r>
        <w:rPr>
          <w:rFonts w:hint="eastAsia" w:ascii="新宋体" w:hAnsi="新宋体" w:eastAsia="新宋体" w:cs="新宋体"/>
          <w:bCs/>
          <w:color w:val="auto"/>
          <w:sz w:val="22"/>
          <w:highlight w:val="none"/>
          <w:lang w:eastAsia="zh-CN"/>
        </w:rPr>
        <w:t>，</w:t>
      </w:r>
      <w:r>
        <w:rPr>
          <w:rFonts w:hint="eastAsia" w:ascii="新宋体" w:hAnsi="新宋体" w:eastAsia="新宋体" w:cs="新宋体"/>
          <w:b/>
          <w:bCs w:val="0"/>
          <w:color w:val="auto"/>
          <w:sz w:val="22"/>
          <w:highlight w:val="none"/>
          <w:lang w:val="en-US" w:eastAsia="zh-CN"/>
        </w:rPr>
        <w:t>供应商在法定质疑期内应一次性提出针对同一采购程序环节的质疑，否则</w:t>
      </w:r>
      <w:r>
        <w:rPr>
          <w:rFonts w:hint="eastAsia" w:ascii="新宋体" w:hAnsi="新宋体" w:eastAsia="新宋体" w:cs="新宋体"/>
          <w:b/>
          <w:bCs w:val="0"/>
          <w:color w:val="auto"/>
          <w:sz w:val="22"/>
          <w:szCs w:val="22"/>
          <w:highlight w:val="none"/>
        </w:rPr>
        <w:t>不予受理、答复</w:t>
      </w:r>
      <w:r>
        <w:rPr>
          <w:rFonts w:hint="eastAsia" w:ascii="新宋体" w:hAnsi="新宋体" w:eastAsia="新宋体" w:cs="新宋体"/>
          <w:b/>
          <w:bCs w:val="0"/>
          <w:color w:val="auto"/>
          <w:sz w:val="22"/>
          <w:highlight w:val="none"/>
          <w:lang w:val="en-US" w:eastAsia="zh-CN"/>
        </w:rPr>
        <w:t>。</w:t>
      </w:r>
    </w:p>
    <w:p w14:paraId="33A842F4">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highlight w:val="none"/>
          <w:lang w:val="en-US" w:eastAsia="zh-CN"/>
        </w:rPr>
        <w:t>4</w:t>
      </w:r>
      <w:r>
        <w:rPr>
          <w:rFonts w:hint="eastAsia" w:ascii="新宋体" w:hAnsi="新宋体" w:eastAsia="新宋体" w:cs="新宋体"/>
          <w:color w:val="auto"/>
          <w:sz w:val="22"/>
          <w:highlight w:val="none"/>
        </w:rPr>
        <w:t>.2</w:t>
      </w:r>
      <w:r>
        <w:rPr>
          <w:rFonts w:hint="eastAsia" w:ascii="新宋体" w:hAnsi="新宋体" w:eastAsia="新宋体" w:cs="新宋体"/>
          <w:color w:val="auto"/>
          <w:sz w:val="22"/>
          <w:highlight w:val="none"/>
          <w:lang w:eastAsia="zh-CN"/>
        </w:rPr>
        <w:t>采购人</w:t>
      </w:r>
      <w:r>
        <w:rPr>
          <w:rFonts w:hint="eastAsia" w:ascii="新宋体" w:hAnsi="新宋体" w:eastAsia="新宋体" w:cs="新宋体"/>
          <w:color w:val="auto"/>
          <w:sz w:val="22"/>
          <w:highlight w:val="none"/>
        </w:rPr>
        <w:t>或</w:t>
      </w:r>
      <w:r>
        <w:rPr>
          <w:rFonts w:hint="eastAsia" w:ascii="新宋体" w:hAnsi="新宋体" w:eastAsia="新宋体" w:cs="新宋体"/>
          <w:color w:val="auto"/>
          <w:sz w:val="22"/>
          <w:highlight w:val="none"/>
          <w:lang w:eastAsia="zh-CN"/>
        </w:rPr>
        <w:t>采购代理机构</w:t>
      </w:r>
      <w:r>
        <w:rPr>
          <w:rFonts w:hint="eastAsia" w:ascii="新宋体" w:hAnsi="新宋体" w:eastAsia="新宋体" w:cs="新宋体"/>
          <w:color w:val="auto"/>
          <w:sz w:val="22"/>
          <w:highlight w:val="none"/>
        </w:rPr>
        <w:t>在收到投标人的书面质疑后七个工作日内作出答复，但答复的内容不得涉及商业秘密。质疑投标人对</w:t>
      </w:r>
      <w:r>
        <w:rPr>
          <w:rFonts w:hint="eastAsia" w:ascii="新宋体" w:hAnsi="新宋体" w:eastAsia="新宋体" w:cs="新宋体"/>
          <w:color w:val="auto"/>
          <w:sz w:val="22"/>
          <w:highlight w:val="none"/>
          <w:lang w:eastAsia="zh-CN"/>
        </w:rPr>
        <w:t>采购人</w:t>
      </w:r>
      <w:r>
        <w:rPr>
          <w:rFonts w:hint="eastAsia" w:ascii="新宋体" w:hAnsi="新宋体" w:eastAsia="新宋体" w:cs="新宋体"/>
          <w:color w:val="auto"/>
          <w:sz w:val="22"/>
          <w:highlight w:val="none"/>
        </w:rPr>
        <w:t>或</w:t>
      </w:r>
      <w:r>
        <w:rPr>
          <w:rFonts w:hint="eastAsia" w:ascii="新宋体" w:hAnsi="新宋体" w:eastAsia="新宋体" w:cs="新宋体"/>
          <w:color w:val="auto"/>
          <w:sz w:val="22"/>
          <w:highlight w:val="none"/>
          <w:lang w:eastAsia="zh-CN"/>
        </w:rPr>
        <w:t>采购代理机构</w:t>
      </w:r>
      <w:r>
        <w:rPr>
          <w:rFonts w:hint="eastAsia" w:ascii="新宋体" w:hAnsi="新宋体" w:eastAsia="新宋体" w:cs="新宋体"/>
          <w:color w:val="auto"/>
          <w:sz w:val="22"/>
          <w:highlight w:val="none"/>
        </w:rPr>
        <w:t>的答复不满意，可以在答复期满后十五个工作日内向同级政府采购监督管理部门投诉。</w:t>
      </w:r>
    </w:p>
    <w:p w14:paraId="493CBF5C">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lang w:val="en-US" w:eastAsia="zh-CN"/>
        </w:rPr>
        <w:t>4</w:t>
      </w:r>
      <w:r>
        <w:rPr>
          <w:rFonts w:hint="eastAsia" w:ascii="新宋体" w:hAnsi="新宋体" w:eastAsia="新宋体" w:cs="新宋体"/>
          <w:color w:val="auto"/>
          <w:sz w:val="22"/>
          <w:highlight w:val="none"/>
        </w:rPr>
        <w:t>.3投诉人投诉时，应提交投诉书，投诉书应当由本人并由法定代表人签字盖公章，投诉书应说明具体的投诉事项及事实依据。投诉人对投诉书的真实性负责，恶意投诉将承当相应的法律和民事责任。</w:t>
      </w:r>
    </w:p>
    <w:p w14:paraId="72189797">
      <w:pPr>
        <w:rPr>
          <w:rFonts w:hint="eastAsia" w:ascii="新宋体" w:hAnsi="新宋体" w:eastAsia="新宋体" w:cs="新宋体"/>
          <w:color w:val="auto"/>
          <w:highlight w:val="none"/>
        </w:rPr>
      </w:pPr>
      <w:bookmarkStart w:id="24" w:name="_Toc19043"/>
      <w:bookmarkStart w:id="25" w:name="_Toc28194"/>
      <w:r>
        <w:rPr>
          <w:rFonts w:hint="eastAsia" w:ascii="新宋体" w:hAnsi="新宋体" w:eastAsia="新宋体" w:cs="新宋体"/>
          <w:color w:val="auto"/>
          <w:highlight w:val="none"/>
        </w:rPr>
        <w:br w:type="page"/>
      </w:r>
    </w:p>
    <w:p w14:paraId="6007424D">
      <w:pPr>
        <w:pStyle w:val="3"/>
        <w:rPr>
          <w:rFonts w:hint="eastAsia" w:ascii="新宋体" w:hAnsi="新宋体" w:eastAsia="新宋体" w:cs="新宋体"/>
          <w:color w:val="auto"/>
          <w:highlight w:val="none"/>
        </w:rPr>
      </w:pPr>
      <w:r>
        <w:rPr>
          <w:rFonts w:hint="eastAsia" w:ascii="新宋体" w:hAnsi="新宋体" w:eastAsia="新宋体" w:cs="新宋体"/>
          <w:color w:val="auto"/>
          <w:highlight w:val="none"/>
        </w:rPr>
        <w:t>第二部分</w:t>
      </w:r>
      <w:r>
        <w:rPr>
          <w:rFonts w:hint="eastAsia" w:ascii="新宋体" w:hAnsi="新宋体" w:eastAsia="新宋体" w:cs="新宋体"/>
          <w:color w:val="auto"/>
          <w:highlight w:val="none"/>
          <w:lang w:val="en-US" w:eastAsia="zh-CN"/>
        </w:rPr>
        <w:t xml:space="preserve">   </w:t>
      </w:r>
      <w:r>
        <w:rPr>
          <w:rFonts w:hint="eastAsia" w:ascii="新宋体" w:hAnsi="新宋体" w:eastAsia="新宋体" w:cs="新宋体"/>
          <w:color w:val="auto"/>
          <w:highlight w:val="none"/>
        </w:rPr>
        <w:t>合同主要条款</w:t>
      </w:r>
      <w:bookmarkEnd w:id="24"/>
      <w:bookmarkEnd w:id="25"/>
    </w:p>
    <w:p w14:paraId="600B8E89">
      <w:pPr>
        <w:snapToGrid w:val="0"/>
        <w:spacing w:line="360" w:lineRule="auto"/>
        <w:jc w:val="center"/>
        <w:rPr>
          <w:rFonts w:hint="eastAsia" w:ascii="新宋体" w:hAnsi="新宋体" w:eastAsia="新宋体" w:cs="新宋体"/>
          <w:b/>
          <w:color w:val="auto"/>
          <w:sz w:val="30"/>
          <w:szCs w:val="30"/>
          <w:highlight w:val="none"/>
        </w:rPr>
      </w:pPr>
      <w:r>
        <w:rPr>
          <w:rFonts w:hint="eastAsia" w:ascii="新宋体" w:hAnsi="新宋体" w:eastAsia="新宋体" w:cs="新宋体"/>
          <w:b/>
          <w:color w:val="auto"/>
          <w:sz w:val="30"/>
          <w:szCs w:val="30"/>
          <w:highlight w:val="none"/>
        </w:rPr>
        <w:t>（具体条款以甲方为主协商确定）</w:t>
      </w:r>
    </w:p>
    <w:p w14:paraId="6CD48F8E">
      <w:pPr>
        <w:keepNext w:val="0"/>
        <w:keepLines w:val="0"/>
        <w:pageBreakBefore w:val="0"/>
        <w:widowControl w:val="0"/>
        <w:kinsoku/>
        <w:wordWrap/>
        <w:overflowPunct/>
        <w:topLinePunct w:val="0"/>
        <w:autoSpaceDE/>
        <w:autoSpaceDN/>
        <w:bidi w:val="0"/>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发包人（甲方）：温州市中心血站                  </w:t>
      </w:r>
    </w:p>
    <w:p w14:paraId="37DF4B5C">
      <w:pPr>
        <w:keepNext w:val="0"/>
        <w:keepLines w:val="0"/>
        <w:pageBreakBefore w:val="0"/>
        <w:widowControl w:val="0"/>
        <w:kinsoku/>
        <w:wordWrap/>
        <w:overflowPunct/>
        <w:topLinePunct w:val="0"/>
        <w:autoSpaceDE/>
        <w:autoSpaceDN/>
        <w:bidi w:val="0"/>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承包人（乙方）：                                  </w:t>
      </w:r>
    </w:p>
    <w:p w14:paraId="3D98062E">
      <w:pPr>
        <w:keepNext w:val="0"/>
        <w:keepLines w:val="0"/>
        <w:pageBreakBefore w:val="0"/>
        <w:widowControl w:val="0"/>
        <w:kinsoku/>
        <w:wordWrap/>
        <w:overflowPunct/>
        <w:topLinePunct w:val="0"/>
        <w:autoSpaceDE/>
        <w:autoSpaceDN/>
        <w:bidi w:val="0"/>
        <w:spacing w:line="460" w:lineRule="exact"/>
        <w:ind w:right="-306"/>
        <w:textAlignment w:val="auto"/>
        <w:rPr>
          <w:rFonts w:hint="eastAsia" w:ascii="新宋体" w:hAnsi="新宋体" w:eastAsia="新宋体" w:cs="新宋体"/>
          <w:color w:val="auto"/>
          <w:sz w:val="22"/>
          <w:szCs w:val="22"/>
          <w:highlight w:val="none"/>
        </w:rPr>
      </w:pPr>
    </w:p>
    <w:p w14:paraId="429ACD93">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鉴于甲方于</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年</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月</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日接受乙方对</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的投标，双方根据《中华人民共和国民法典》、本项目的</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、投标文件及其他有关规定，经双方协商一致，签订本合同，共同遵守。</w:t>
      </w:r>
    </w:p>
    <w:p w14:paraId="490D3CB3">
      <w:pPr>
        <w:keepNext w:val="0"/>
        <w:keepLines w:val="0"/>
        <w:pageBreakBefore w:val="0"/>
        <w:widowControl w:val="0"/>
        <w:kinsoku/>
        <w:wordWrap/>
        <w:overflowPunct/>
        <w:topLinePunct w:val="0"/>
        <w:autoSpaceDE/>
        <w:autoSpaceDN/>
        <w:bidi w:val="0"/>
        <w:spacing w:line="460" w:lineRule="exact"/>
        <w:ind w:firstLine="442"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一、</w:t>
      </w:r>
      <w:r>
        <w:rPr>
          <w:rFonts w:hint="eastAsia" w:ascii="新宋体" w:hAnsi="新宋体" w:eastAsia="新宋体" w:cs="新宋体"/>
          <w:b/>
          <w:color w:val="auto"/>
          <w:sz w:val="22"/>
          <w:szCs w:val="22"/>
          <w:highlight w:val="none"/>
        </w:rPr>
        <w:t>合同的组成部分</w:t>
      </w:r>
    </w:p>
    <w:p w14:paraId="2CA6DA85">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(1) 合同主要条款                </w:t>
      </w:r>
    </w:p>
    <w:p w14:paraId="3335A8C1">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 中标通知书</w:t>
      </w:r>
    </w:p>
    <w:p w14:paraId="12356773">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(3) 投标分项报价表               </w:t>
      </w:r>
    </w:p>
    <w:p w14:paraId="7CA41038">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(4) 技术规格、商务条款偏离表           </w:t>
      </w:r>
    </w:p>
    <w:p w14:paraId="4A45911F">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 招标内容及要求</w:t>
      </w:r>
    </w:p>
    <w:p w14:paraId="3EDC2B33">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(6) 合同补充条款或说明（如有的话）     </w:t>
      </w:r>
    </w:p>
    <w:p w14:paraId="366A46A1">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(7) 承诺书      （含询标记录和优惠条件）       </w:t>
      </w:r>
    </w:p>
    <w:p w14:paraId="3D0326DD">
      <w:pPr>
        <w:keepNext w:val="0"/>
        <w:keepLines w:val="0"/>
        <w:pageBreakBefore w:val="0"/>
        <w:widowControl w:val="0"/>
        <w:kinsoku/>
        <w:wordWrap/>
        <w:overflowPunct/>
        <w:topLinePunct w:val="0"/>
        <w:autoSpaceDE/>
        <w:autoSpaceDN/>
        <w:bidi w:val="0"/>
        <w:spacing w:line="460" w:lineRule="exact"/>
        <w:ind w:firstLine="442"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二、合同价格</w:t>
      </w:r>
    </w:p>
    <w:p w14:paraId="6CFD2517">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本合同总价为人民币</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万元（大写：</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元整）</w:t>
      </w:r>
    </w:p>
    <w:p w14:paraId="4841106A">
      <w:pPr>
        <w:keepNext w:val="0"/>
        <w:keepLines w:val="0"/>
        <w:pageBreakBefore w:val="0"/>
        <w:widowControl w:val="0"/>
        <w:kinsoku/>
        <w:wordWrap/>
        <w:overflowPunct/>
        <w:topLinePunct w:val="0"/>
        <w:autoSpaceDE/>
        <w:autoSpaceDN/>
        <w:bidi w:val="0"/>
        <w:spacing w:line="460" w:lineRule="exact"/>
        <w:ind w:firstLine="442"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三</w:t>
      </w:r>
      <w:r>
        <w:rPr>
          <w:rFonts w:hint="eastAsia" w:ascii="新宋体" w:hAnsi="新宋体" w:eastAsia="新宋体" w:cs="新宋体"/>
          <w:b/>
          <w:color w:val="auto"/>
          <w:sz w:val="22"/>
          <w:szCs w:val="22"/>
          <w:highlight w:val="none"/>
          <w:lang w:eastAsia="zh-CN"/>
        </w:rPr>
        <w:t>、</w:t>
      </w:r>
      <w:r>
        <w:rPr>
          <w:rFonts w:hint="eastAsia" w:ascii="新宋体" w:hAnsi="新宋体" w:eastAsia="新宋体" w:cs="新宋体"/>
          <w:b/>
          <w:color w:val="auto"/>
          <w:sz w:val="22"/>
          <w:szCs w:val="22"/>
          <w:highlight w:val="none"/>
        </w:rPr>
        <w:t>交货时间和地点</w:t>
      </w:r>
    </w:p>
    <w:p w14:paraId="21E3E323">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b/>
          <w:bCs/>
          <w:color w:val="auto"/>
          <w:kern w:val="0"/>
          <w:sz w:val="22"/>
          <w:szCs w:val="22"/>
          <w:highlight w:val="none"/>
          <w:lang w:val="en-US" w:eastAsia="zh-CN"/>
        </w:rPr>
      </w:pPr>
      <w:r>
        <w:rPr>
          <w:rFonts w:hint="eastAsia" w:ascii="新宋体" w:hAnsi="新宋体" w:eastAsia="新宋体" w:cs="新宋体"/>
          <w:bCs/>
          <w:color w:val="auto"/>
          <w:kern w:val="0"/>
          <w:sz w:val="22"/>
          <w:szCs w:val="22"/>
          <w:highlight w:val="none"/>
        </w:rPr>
        <w:t>1</w:t>
      </w:r>
      <w:r>
        <w:rPr>
          <w:rFonts w:hint="eastAsia" w:ascii="新宋体" w:hAnsi="新宋体" w:eastAsia="新宋体" w:cs="新宋体"/>
          <w:bCs/>
          <w:color w:val="auto"/>
          <w:kern w:val="0"/>
          <w:sz w:val="22"/>
          <w:szCs w:val="22"/>
          <w:highlight w:val="none"/>
          <w:lang w:eastAsia="zh-CN"/>
        </w:rPr>
        <w:t>、</w:t>
      </w:r>
      <w:r>
        <w:rPr>
          <w:rFonts w:hint="eastAsia" w:ascii="新宋体" w:hAnsi="新宋体" w:eastAsia="新宋体" w:cs="新宋体"/>
          <w:b/>
          <w:bCs/>
          <w:color w:val="auto"/>
          <w:kern w:val="0"/>
          <w:sz w:val="22"/>
          <w:szCs w:val="22"/>
          <w:highlight w:val="none"/>
        </w:rPr>
        <w:t>安装、交付使用时间：</w:t>
      </w:r>
      <w:r>
        <w:rPr>
          <w:rFonts w:hint="eastAsia" w:ascii="新宋体" w:hAnsi="新宋体" w:eastAsia="新宋体" w:cs="新宋体"/>
          <w:b/>
          <w:bCs/>
          <w:color w:val="auto"/>
          <w:kern w:val="0"/>
          <w:sz w:val="22"/>
          <w:szCs w:val="22"/>
          <w:highlight w:val="none"/>
          <w:u w:val="single"/>
        </w:rPr>
        <w:t>合同签订后按采购单位要求完成项目所有内容的实施。</w:t>
      </w:r>
      <w:r>
        <w:rPr>
          <w:rFonts w:hint="eastAsia" w:ascii="新宋体" w:hAnsi="新宋体" w:eastAsia="新宋体" w:cs="新宋体"/>
          <w:b/>
          <w:bCs/>
          <w:color w:val="auto"/>
          <w:kern w:val="0"/>
          <w:sz w:val="22"/>
          <w:szCs w:val="22"/>
          <w:highlight w:val="none"/>
          <w:u w:val="single"/>
          <w:lang w:val="en-US" w:eastAsia="zh-CN"/>
        </w:rPr>
        <w:t>供货方式：分批。乙方接到甲方订货通知后，15天内送达。</w:t>
      </w:r>
    </w:p>
    <w:p w14:paraId="2B08AD63">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安装、交付使用地点：甲方指定地点。</w:t>
      </w:r>
    </w:p>
    <w:p w14:paraId="79E4D24B">
      <w:pPr>
        <w:keepNext w:val="0"/>
        <w:keepLines w:val="0"/>
        <w:pageBreakBefore w:val="0"/>
        <w:widowControl w:val="0"/>
        <w:kinsoku/>
        <w:wordWrap/>
        <w:overflowPunct/>
        <w:topLinePunct w:val="0"/>
        <w:autoSpaceDE/>
        <w:autoSpaceDN/>
        <w:bidi w:val="0"/>
        <w:spacing w:line="460" w:lineRule="exact"/>
        <w:ind w:firstLine="442" w:firstLineChars="200"/>
        <w:textAlignment w:val="auto"/>
        <w:rPr>
          <w:rFonts w:hint="eastAsia" w:ascii="新宋体" w:hAnsi="新宋体" w:eastAsia="新宋体" w:cs="新宋体"/>
          <w:b/>
          <w:color w:val="auto"/>
          <w:sz w:val="22"/>
          <w:szCs w:val="22"/>
          <w:highlight w:val="none"/>
        </w:rPr>
      </w:pPr>
      <w:bookmarkStart w:id="26" w:name="_Toc171189368"/>
      <w:bookmarkStart w:id="27" w:name="_Toc188355457"/>
      <w:bookmarkStart w:id="28" w:name="_Toc175826932"/>
      <w:r>
        <w:rPr>
          <w:rFonts w:hint="eastAsia" w:ascii="新宋体" w:hAnsi="新宋体" w:eastAsia="新宋体" w:cs="新宋体"/>
          <w:b/>
          <w:color w:val="auto"/>
          <w:sz w:val="22"/>
          <w:szCs w:val="22"/>
          <w:highlight w:val="none"/>
        </w:rPr>
        <w:t>四</w:t>
      </w:r>
      <w:r>
        <w:rPr>
          <w:rFonts w:hint="eastAsia" w:ascii="新宋体" w:hAnsi="新宋体" w:eastAsia="新宋体" w:cs="新宋体"/>
          <w:b/>
          <w:color w:val="auto"/>
          <w:sz w:val="22"/>
          <w:szCs w:val="22"/>
          <w:highlight w:val="none"/>
          <w:lang w:eastAsia="zh-CN"/>
        </w:rPr>
        <w:t>、</w:t>
      </w:r>
      <w:r>
        <w:rPr>
          <w:rFonts w:hint="eastAsia" w:ascii="新宋体" w:hAnsi="新宋体" w:eastAsia="新宋体" w:cs="新宋体"/>
          <w:b/>
          <w:color w:val="auto"/>
          <w:sz w:val="22"/>
          <w:szCs w:val="22"/>
          <w:highlight w:val="none"/>
        </w:rPr>
        <w:t>到货、安装、调试和验收</w:t>
      </w:r>
      <w:bookmarkEnd w:id="26"/>
      <w:bookmarkEnd w:id="27"/>
      <w:bookmarkEnd w:id="28"/>
    </w:p>
    <w:p w14:paraId="7A53E5D3">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b/>
          <w:color w:val="auto"/>
          <w:spacing w:val="20"/>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b/>
          <w:color w:val="auto"/>
          <w:sz w:val="22"/>
          <w:szCs w:val="22"/>
          <w:highlight w:val="none"/>
        </w:rPr>
        <w:t>到货</w:t>
      </w:r>
      <w:r>
        <w:rPr>
          <w:rFonts w:hint="eastAsia" w:ascii="新宋体" w:hAnsi="新宋体" w:eastAsia="新宋体" w:cs="新宋体"/>
          <w:b/>
          <w:color w:val="auto"/>
          <w:spacing w:val="20"/>
          <w:sz w:val="22"/>
          <w:szCs w:val="22"/>
          <w:highlight w:val="none"/>
        </w:rPr>
        <w:t xml:space="preserve"> </w:t>
      </w:r>
    </w:p>
    <w:p w14:paraId="177ABB9F">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乙方必须在合同规定的时间内完成货物的供货。货物到达现场后，乙方必须派员到现场与甲方一起开箱并按供货清单验收</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若有缺少或损坏，乙方应立即补足或更换全新同规格产品，直至甲方满意为止。</w:t>
      </w:r>
    </w:p>
    <w:p w14:paraId="30F9D6E1">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b/>
          <w:color w:val="auto"/>
          <w:sz w:val="22"/>
          <w:szCs w:val="22"/>
          <w:highlight w:val="none"/>
        </w:rPr>
        <w:t>安装</w:t>
      </w:r>
    </w:p>
    <w:p w14:paraId="6E918D65">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kern w:val="0"/>
          <w:sz w:val="22"/>
          <w:szCs w:val="22"/>
          <w:highlight w:val="none"/>
        </w:rPr>
        <w:t>2.1</w:t>
      </w:r>
      <w:r>
        <w:rPr>
          <w:rFonts w:hint="eastAsia" w:ascii="新宋体" w:hAnsi="新宋体" w:eastAsia="新宋体" w:cs="新宋体"/>
          <w:color w:val="auto"/>
          <w:sz w:val="22"/>
          <w:szCs w:val="22"/>
          <w:highlight w:val="none"/>
        </w:rPr>
        <w:t>货物到达甲方指定地点后，乙方应按甲方规定的日期指派工程技术人员对货物进行安装调试，直至通过验收。货物的安装调试及现场培训应在合同规定的期限内完成。</w:t>
      </w:r>
    </w:p>
    <w:p w14:paraId="61BE7BD5">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2.2设备的安装必须符合有关标准和规范。安装过程中甲方将对货物的安装质量进行监督。</w:t>
      </w:r>
    </w:p>
    <w:p w14:paraId="71E70766">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调试</w:t>
      </w:r>
    </w:p>
    <w:p w14:paraId="5E4E7791">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kern w:val="0"/>
          <w:sz w:val="22"/>
          <w:szCs w:val="22"/>
          <w:highlight w:val="none"/>
        </w:rPr>
        <w:t>货物安装就位、校准后，乙方应按事先被甲方认可的调试验收计划对货物进行调试，并对货物所标注的各项技术参数进行测试，测试报告将在货物验收完毕后提交给甲方，但乙方应对测试的各种数据的真实性负责。</w:t>
      </w:r>
      <w:r>
        <w:rPr>
          <w:rFonts w:hint="eastAsia" w:ascii="新宋体" w:hAnsi="新宋体" w:eastAsia="新宋体" w:cs="新宋体"/>
          <w:color w:val="auto"/>
          <w:sz w:val="22"/>
          <w:szCs w:val="22"/>
          <w:highlight w:val="none"/>
        </w:rPr>
        <w:t>甲方也可以要求具有检测资质的第三方用专用仪器对货物进行功能 、性能测试，乙方负责所需的一切费用。</w:t>
      </w:r>
    </w:p>
    <w:p w14:paraId="7F4ACC34">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验收</w:t>
      </w:r>
    </w:p>
    <w:p w14:paraId="593DB6B4">
      <w:pPr>
        <w:keepNext w:val="0"/>
        <w:keepLines w:val="0"/>
        <w:pageBreakBefore w:val="0"/>
        <w:widowControl w:val="0"/>
        <w:kinsoku/>
        <w:wordWrap/>
        <w:overflowPunct/>
        <w:topLinePunct w:val="0"/>
        <w:autoSpaceDE/>
        <w:autoSpaceDN/>
        <w:bidi w:val="0"/>
        <w:spacing w:line="460" w:lineRule="exact"/>
        <w:ind w:firstLine="442"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甲方根据甲方的样品对乙方所提供的货物进行验收。</w:t>
      </w:r>
    </w:p>
    <w:p w14:paraId="79493563">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货物经过试运行考核无故障（或存在的故障和隐患均已全部排除），并经相关部门检验合格，所有的技术资料和图纸已向甲方提交并被接受，验收视为合格，买卖双方签署验收合格证书。 若因乙方产品质量或安装技术问题导致验收不合格，乙方应及时予以处理，直至验收合格，期间发生的一切相关费用由乙方承担，甲方保留向乙方索赔的权利。</w:t>
      </w:r>
    </w:p>
    <w:p w14:paraId="5C075257">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若因乙方产品质量或安装技术问题导致货物二次验收都不合格，甲方有权选择退货，并保留向乙方索赔的权利。</w:t>
      </w:r>
    </w:p>
    <w:p w14:paraId="0EB737B2">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bCs/>
          <w:color w:val="auto"/>
          <w:kern w:val="0"/>
          <w:sz w:val="22"/>
          <w:szCs w:val="22"/>
          <w:highlight w:val="none"/>
        </w:rPr>
        <w:t>乙方在货物到货、安装、调试和验收期间应接受甲方的协调和管理，乙方应采取严格的防范措施，承担由于自身原因所造成的事故责任及其发生的一切费用。</w:t>
      </w:r>
    </w:p>
    <w:p w14:paraId="3E9FE3EF">
      <w:pPr>
        <w:keepNext w:val="0"/>
        <w:keepLines w:val="0"/>
        <w:pageBreakBefore w:val="0"/>
        <w:widowControl w:val="0"/>
        <w:kinsoku/>
        <w:wordWrap/>
        <w:overflowPunct/>
        <w:topLinePunct w:val="0"/>
        <w:autoSpaceDE/>
        <w:autoSpaceDN/>
        <w:bidi w:val="0"/>
        <w:spacing w:line="460" w:lineRule="exact"/>
        <w:ind w:firstLine="442"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五</w:t>
      </w:r>
      <w:r>
        <w:rPr>
          <w:rFonts w:hint="eastAsia" w:ascii="新宋体" w:hAnsi="新宋体" w:eastAsia="新宋体" w:cs="新宋体"/>
          <w:b/>
          <w:color w:val="auto"/>
          <w:sz w:val="22"/>
          <w:szCs w:val="22"/>
          <w:highlight w:val="none"/>
          <w:lang w:eastAsia="zh-CN"/>
        </w:rPr>
        <w:t>、</w:t>
      </w:r>
      <w:r>
        <w:rPr>
          <w:rFonts w:hint="eastAsia" w:ascii="新宋体" w:hAnsi="新宋体" w:eastAsia="新宋体" w:cs="新宋体"/>
          <w:b/>
          <w:color w:val="auto"/>
          <w:sz w:val="22"/>
          <w:szCs w:val="22"/>
          <w:highlight w:val="none"/>
        </w:rPr>
        <w:t>技术文件资料的交付</w:t>
      </w:r>
    </w:p>
    <w:p w14:paraId="0230AB68">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1</w:t>
      </w:r>
      <w:r>
        <w:rPr>
          <w:rFonts w:hint="eastAsia" w:ascii="新宋体" w:hAnsi="新宋体" w:eastAsia="新宋体" w:cs="新宋体"/>
          <w:bCs/>
          <w:color w:val="auto"/>
          <w:kern w:val="0"/>
          <w:sz w:val="22"/>
          <w:szCs w:val="22"/>
          <w:highlight w:val="none"/>
          <w:lang w:eastAsia="zh-CN"/>
        </w:rPr>
        <w:t>、</w:t>
      </w:r>
      <w:r>
        <w:rPr>
          <w:rFonts w:hint="eastAsia" w:ascii="新宋体" w:hAnsi="新宋体" w:eastAsia="新宋体" w:cs="新宋体"/>
          <w:bCs/>
          <w:color w:val="auto"/>
          <w:kern w:val="0"/>
          <w:sz w:val="22"/>
          <w:szCs w:val="22"/>
          <w:highlight w:val="none"/>
        </w:rPr>
        <w:t>货物交货的同时应提供下列资料：</w:t>
      </w:r>
    </w:p>
    <w:p w14:paraId="30CBA037">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1.1随机的易损件、备品备件及特殊专用工具清单（如有）</w:t>
      </w:r>
    </w:p>
    <w:p w14:paraId="1A24193F">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bCs/>
          <w:color w:val="auto"/>
          <w:kern w:val="0"/>
          <w:sz w:val="22"/>
          <w:szCs w:val="22"/>
          <w:highlight w:val="none"/>
        </w:rPr>
      </w:pPr>
      <w:r>
        <w:rPr>
          <w:rFonts w:hint="eastAsia" w:ascii="新宋体" w:hAnsi="新宋体" w:eastAsia="新宋体" w:cs="新宋体"/>
          <w:color w:val="auto"/>
          <w:sz w:val="22"/>
          <w:szCs w:val="22"/>
          <w:highlight w:val="none"/>
        </w:rPr>
        <w:t>1.2相关的检验检测报告、合格证书、产品说明书、技术资料、操作手册、检修保养手册等技术资</w:t>
      </w:r>
      <w:r>
        <w:rPr>
          <w:rFonts w:hint="eastAsia" w:ascii="新宋体" w:hAnsi="新宋体" w:eastAsia="新宋体" w:cs="新宋体"/>
          <w:bCs/>
          <w:color w:val="auto"/>
          <w:kern w:val="0"/>
          <w:sz w:val="22"/>
          <w:szCs w:val="22"/>
          <w:highlight w:val="none"/>
        </w:rPr>
        <w:t>料。</w:t>
      </w:r>
    </w:p>
    <w:p w14:paraId="77665ED0">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1.3电气原理图，各系统功能及设备制作、安装说明。</w:t>
      </w:r>
    </w:p>
    <w:p w14:paraId="1C6144DE">
      <w:pPr>
        <w:pStyle w:val="21"/>
        <w:keepNext w:val="0"/>
        <w:keepLines w:val="0"/>
        <w:pageBreakBefore w:val="0"/>
        <w:widowControl w:val="0"/>
        <w:kinsoku/>
        <w:wordWrap/>
        <w:overflowPunct/>
        <w:topLinePunct w:val="0"/>
        <w:autoSpaceDE/>
        <w:autoSpaceDN/>
        <w:bidi w:val="0"/>
        <w:adjustRightInd w:val="0"/>
        <w:snapToGrid w:val="0"/>
        <w:spacing w:line="460" w:lineRule="exact"/>
        <w:ind w:firstLine="442" w:firstLineChars="200"/>
        <w:textAlignment w:val="auto"/>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六</w:t>
      </w:r>
      <w:r>
        <w:rPr>
          <w:rFonts w:hint="eastAsia" w:ascii="新宋体" w:hAnsi="新宋体" w:eastAsia="新宋体" w:cs="新宋体"/>
          <w:b/>
          <w:bCs/>
          <w:color w:val="auto"/>
          <w:kern w:val="0"/>
          <w:sz w:val="22"/>
          <w:szCs w:val="22"/>
          <w:highlight w:val="none"/>
          <w:lang w:eastAsia="zh-CN"/>
        </w:rPr>
        <w:t>、</w:t>
      </w:r>
      <w:r>
        <w:rPr>
          <w:rFonts w:hint="eastAsia" w:ascii="新宋体" w:hAnsi="新宋体" w:eastAsia="新宋体" w:cs="新宋体"/>
          <w:b/>
          <w:bCs/>
          <w:color w:val="auto"/>
          <w:kern w:val="0"/>
          <w:sz w:val="22"/>
          <w:szCs w:val="22"/>
          <w:highlight w:val="none"/>
        </w:rPr>
        <w:t>货物质量保证和标准</w:t>
      </w:r>
    </w:p>
    <w:p w14:paraId="46598658">
      <w:pPr>
        <w:keepNext w:val="0"/>
        <w:keepLines w:val="0"/>
        <w:pageBreakBefore w:val="0"/>
        <w:widowControl w:val="0"/>
        <w:kinsoku/>
        <w:wordWrap/>
        <w:overflowPunct/>
        <w:topLinePunct w:val="0"/>
        <w:autoSpaceDE/>
        <w:autoSpaceDN/>
        <w:bidi w:val="0"/>
        <w:spacing w:line="460" w:lineRule="exact"/>
        <w:ind w:firstLine="442"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1</w:t>
      </w:r>
      <w:r>
        <w:rPr>
          <w:rFonts w:hint="eastAsia" w:ascii="新宋体" w:hAnsi="新宋体" w:eastAsia="新宋体" w:cs="新宋体"/>
          <w:b/>
          <w:bCs/>
          <w:color w:val="auto"/>
          <w:sz w:val="22"/>
          <w:szCs w:val="22"/>
          <w:highlight w:val="none"/>
          <w:lang w:eastAsia="zh-CN"/>
        </w:rPr>
        <w:t>、</w:t>
      </w:r>
      <w:r>
        <w:rPr>
          <w:rFonts w:hint="eastAsia" w:ascii="新宋体" w:hAnsi="新宋体" w:eastAsia="新宋体" w:cs="新宋体"/>
          <w:b/>
          <w:bCs/>
          <w:color w:val="auto"/>
          <w:sz w:val="22"/>
          <w:szCs w:val="22"/>
          <w:highlight w:val="none"/>
        </w:rPr>
        <w:t>本</w:t>
      </w:r>
      <w:r>
        <w:rPr>
          <w:rFonts w:hint="eastAsia" w:ascii="新宋体" w:hAnsi="新宋体" w:eastAsia="新宋体" w:cs="新宋体"/>
          <w:b/>
          <w:color w:val="auto"/>
          <w:sz w:val="22"/>
          <w:szCs w:val="22"/>
          <w:highlight w:val="none"/>
        </w:rPr>
        <w:t>项目所有产品应提供自货物验收合格并交付使用后至少1年（12个月）的现场免费质保期，如厂商本身承诺的产品质保期高于此要求的则按照厂商承诺执行在质量保证期内，乙方对由于产品设计、工艺、材料、配套件的缺陷而造成的任何产品质量问题或故障负责。</w:t>
      </w:r>
    </w:p>
    <w:p w14:paraId="40C765F0">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w:t>
      </w:r>
      <w:r>
        <w:rPr>
          <w:rFonts w:hint="eastAsia" w:ascii="新宋体" w:hAnsi="新宋体" w:eastAsia="新宋体" w:cs="新宋体"/>
          <w:bCs/>
          <w:color w:val="auto"/>
          <w:kern w:val="0"/>
          <w:sz w:val="22"/>
          <w:szCs w:val="22"/>
          <w:highlight w:val="none"/>
          <w:lang w:eastAsia="zh-CN"/>
        </w:rPr>
        <w:t>、</w:t>
      </w:r>
      <w:r>
        <w:rPr>
          <w:rFonts w:hint="eastAsia" w:ascii="新宋体" w:hAnsi="新宋体" w:eastAsia="新宋体" w:cs="新宋体"/>
          <w:bCs/>
          <w:color w:val="auto"/>
          <w:kern w:val="0"/>
          <w:sz w:val="22"/>
          <w:szCs w:val="22"/>
          <w:highlight w:val="none"/>
        </w:rPr>
        <w:t>货物的设计、制造、质量验收标准应符合国家（或国际）最新颁布的有关标准/规范要求或相应的国际标准。</w:t>
      </w:r>
    </w:p>
    <w:p w14:paraId="29B6AF1B">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3</w:t>
      </w:r>
      <w:r>
        <w:rPr>
          <w:rFonts w:hint="eastAsia" w:ascii="新宋体" w:hAnsi="新宋体" w:eastAsia="新宋体" w:cs="新宋体"/>
          <w:bCs/>
          <w:color w:val="auto"/>
          <w:kern w:val="0"/>
          <w:sz w:val="22"/>
          <w:szCs w:val="22"/>
          <w:highlight w:val="none"/>
          <w:lang w:eastAsia="zh-CN"/>
        </w:rPr>
        <w:t>、</w:t>
      </w:r>
      <w:r>
        <w:rPr>
          <w:rFonts w:hint="eastAsia" w:ascii="新宋体" w:hAnsi="新宋体" w:eastAsia="新宋体" w:cs="新宋体"/>
          <w:bCs/>
          <w:color w:val="auto"/>
          <w:kern w:val="0"/>
          <w:sz w:val="22"/>
          <w:szCs w:val="22"/>
          <w:highlight w:val="none"/>
        </w:rPr>
        <w:t>凡需国家强制性认证或节能环保认证的产品、需提供国家权威部门出具的证书和认证标志。</w:t>
      </w:r>
    </w:p>
    <w:p w14:paraId="1D90972C">
      <w:pPr>
        <w:keepNext w:val="0"/>
        <w:keepLines w:val="0"/>
        <w:pageBreakBefore w:val="0"/>
        <w:widowControl w:val="0"/>
        <w:kinsoku/>
        <w:wordWrap/>
        <w:overflowPunct/>
        <w:topLinePunct w:val="0"/>
        <w:autoSpaceDE/>
        <w:autoSpaceDN/>
        <w:bidi w:val="0"/>
        <w:spacing w:line="460" w:lineRule="exact"/>
        <w:ind w:firstLine="442" w:firstLineChars="200"/>
        <w:textAlignment w:val="auto"/>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七</w:t>
      </w:r>
      <w:r>
        <w:rPr>
          <w:rFonts w:hint="eastAsia" w:ascii="新宋体" w:hAnsi="新宋体" w:eastAsia="新宋体" w:cs="新宋体"/>
          <w:b/>
          <w:bCs/>
          <w:color w:val="auto"/>
          <w:kern w:val="0"/>
          <w:sz w:val="22"/>
          <w:szCs w:val="22"/>
          <w:highlight w:val="none"/>
          <w:lang w:eastAsia="zh-CN"/>
        </w:rPr>
        <w:t>、</w:t>
      </w:r>
      <w:r>
        <w:rPr>
          <w:rFonts w:hint="eastAsia" w:ascii="新宋体" w:hAnsi="新宋体" w:eastAsia="新宋体" w:cs="新宋体"/>
          <w:b/>
          <w:bCs/>
          <w:color w:val="auto"/>
          <w:kern w:val="0"/>
          <w:sz w:val="22"/>
          <w:szCs w:val="22"/>
          <w:highlight w:val="none"/>
        </w:rPr>
        <w:t>技术服务和人员培训</w:t>
      </w:r>
    </w:p>
    <w:p w14:paraId="563C3AC1">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1</w:t>
      </w:r>
      <w:r>
        <w:rPr>
          <w:rFonts w:hint="eastAsia" w:ascii="新宋体" w:hAnsi="新宋体" w:eastAsia="新宋体" w:cs="新宋体"/>
          <w:bCs/>
          <w:color w:val="auto"/>
          <w:kern w:val="0"/>
          <w:sz w:val="22"/>
          <w:szCs w:val="22"/>
          <w:highlight w:val="none"/>
          <w:lang w:eastAsia="zh-CN"/>
        </w:rPr>
        <w:t>、</w:t>
      </w:r>
      <w:r>
        <w:rPr>
          <w:rFonts w:hint="eastAsia" w:ascii="新宋体" w:hAnsi="新宋体" w:eastAsia="新宋体" w:cs="新宋体"/>
          <w:bCs/>
          <w:color w:val="auto"/>
          <w:kern w:val="0"/>
          <w:sz w:val="22"/>
          <w:szCs w:val="22"/>
          <w:highlight w:val="none"/>
        </w:rPr>
        <w:t>维修技术服务。</w:t>
      </w:r>
      <w:r>
        <w:rPr>
          <w:rFonts w:hint="eastAsia" w:ascii="新宋体" w:hAnsi="新宋体" w:eastAsia="新宋体" w:cs="新宋体"/>
          <w:color w:val="auto"/>
          <w:sz w:val="22"/>
          <w:szCs w:val="22"/>
          <w:highlight w:val="none"/>
        </w:rPr>
        <w:t>厂家在就近有办事处</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全年提供24小时技术咨询服务，仪器故障响应时间小于2小时，到达现场时间小于4时，最长24</w:t>
      </w:r>
      <w:r>
        <w:rPr>
          <w:rFonts w:hint="eastAsia" w:ascii="新宋体" w:hAnsi="新宋体" w:eastAsia="新宋体" w:cs="新宋体"/>
          <w:color w:val="auto"/>
          <w:sz w:val="22"/>
          <w:szCs w:val="22"/>
          <w:highlight w:val="none"/>
          <w:lang w:val="en-US" w:eastAsia="zh-CN"/>
        </w:rPr>
        <w:t>小时</w:t>
      </w:r>
      <w:r>
        <w:rPr>
          <w:rFonts w:hint="eastAsia" w:ascii="新宋体" w:hAnsi="新宋体" w:eastAsia="新宋体" w:cs="新宋体"/>
          <w:color w:val="auto"/>
          <w:sz w:val="22"/>
          <w:szCs w:val="22"/>
          <w:highlight w:val="none"/>
        </w:rPr>
        <w:t>内必须排除故障。</w:t>
      </w:r>
    </w:p>
    <w:p w14:paraId="499DFADB">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w:t>
      </w:r>
      <w:r>
        <w:rPr>
          <w:rFonts w:hint="eastAsia" w:ascii="新宋体" w:hAnsi="新宋体" w:eastAsia="新宋体" w:cs="新宋体"/>
          <w:bCs/>
          <w:color w:val="auto"/>
          <w:kern w:val="0"/>
          <w:sz w:val="22"/>
          <w:szCs w:val="22"/>
          <w:highlight w:val="none"/>
          <w:lang w:eastAsia="zh-CN"/>
        </w:rPr>
        <w:t>、</w:t>
      </w:r>
      <w:r>
        <w:rPr>
          <w:rFonts w:hint="eastAsia" w:ascii="新宋体" w:hAnsi="新宋体" w:eastAsia="新宋体" w:cs="新宋体"/>
          <w:bCs/>
          <w:color w:val="auto"/>
          <w:kern w:val="0"/>
          <w:sz w:val="22"/>
          <w:szCs w:val="22"/>
          <w:highlight w:val="none"/>
        </w:rPr>
        <w:t>合同规定的期限内，乙方应派遣有经验的工程技术人员在安装调试现场对甲方指派人员</w:t>
      </w:r>
      <w:r>
        <w:rPr>
          <w:rFonts w:hint="eastAsia" w:ascii="新宋体" w:hAnsi="新宋体" w:eastAsia="新宋体" w:cs="新宋体"/>
          <w:color w:val="auto"/>
          <w:sz w:val="22"/>
          <w:szCs w:val="22"/>
          <w:highlight w:val="none"/>
        </w:rPr>
        <w:t>提供免费现场操作培训，直至所有工作人员熟练掌握。</w:t>
      </w:r>
      <w:r>
        <w:rPr>
          <w:rFonts w:hint="eastAsia" w:ascii="新宋体" w:hAnsi="新宋体" w:eastAsia="新宋体" w:cs="新宋体"/>
          <w:bCs/>
          <w:color w:val="auto"/>
          <w:kern w:val="0"/>
          <w:sz w:val="22"/>
          <w:szCs w:val="22"/>
          <w:highlight w:val="none"/>
        </w:rPr>
        <w:t>使其能独立操作、维护、包养。培训计划方案（培训人数、时间、地点、教材、费用）应在投标文件中详细说明。</w:t>
      </w:r>
    </w:p>
    <w:p w14:paraId="7F023967">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3</w:t>
      </w:r>
      <w:r>
        <w:rPr>
          <w:rFonts w:hint="eastAsia" w:ascii="新宋体" w:hAnsi="新宋体" w:eastAsia="新宋体" w:cs="新宋体"/>
          <w:bCs/>
          <w:color w:val="auto"/>
          <w:kern w:val="0"/>
          <w:sz w:val="22"/>
          <w:szCs w:val="22"/>
          <w:highlight w:val="none"/>
          <w:lang w:eastAsia="zh-CN"/>
        </w:rPr>
        <w:t>、</w:t>
      </w:r>
      <w:r>
        <w:rPr>
          <w:rFonts w:hint="eastAsia" w:ascii="新宋体" w:hAnsi="新宋体" w:eastAsia="新宋体" w:cs="新宋体"/>
          <w:bCs/>
          <w:color w:val="auto"/>
          <w:kern w:val="0"/>
          <w:sz w:val="22"/>
          <w:szCs w:val="22"/>
          <w:highlight w:val="none"/>
        </w:rPr>
        <w:t>质保期内，乙方需免费提供每年不少于1次的回访维护保养。</w:t>
      </w:r>
    </w:p>
    <w:p w14:paraId="4BAF8B63">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4</w:t>
      </w:r>
      <w:r>
        <w:rPr>
          <w:rFonts w:hint="eastAsia" w:ascii="新宋体" w:hAnsi="新宋体" w:eastAsia="新宋体" w:cs="新宋体"/>
          <w:bCs/>
          <w:color w:val="auto"/>
          <w:kern w:val="0"/>
          <w:sz w:val="22"/>
          <w:szCs w:val="22"/>
          <w:highlight w:val="none"/>
          <w:lang w:eastAsia="zh-CN"/>
        </w:rPr>
        <w:t>、</w:t>
      </w:r>
      <w:r>
        <w:rPr>
          <w:rFonts w:hint="eastAsia" w:ascii="新宋体" w:hAnsi="新宋体" w:eastAsia="新宋体" w:cs="新宋体"/>
          <w:bCs/>
          <w:color w:val="auto"/>
          <w:kern w:val="0"/>
          <w:sz w:val="22"/>
          <w:szCs w:val="22"/>
          <w:highlight w:val="none"/>
        </w:rPr>
        <w:t>质保期满后，乙方工程技术、维修人员也须不定期的进行回访，并为甲方提供优质、优价的终身维修和产品维护保养。</w:t>
      </w:r>
    </w:p>
    <w:p w14:paraId="7986E6EE">
      <w:pPr>
        <w:pStyle w:val="21"/>
        <w:keepNext w:val="0"/>
        <w:keepLines w:val="0"/>
        <w:pageBreakBefore w:val="0"/>
        <w:widowControl w:val="0"/>
        <w:kinsoku/>
        <w:wordWrap/>
        <w:overflowPunct/>
        <w:topLinePunct w:val="0"/>
        <w:autoSpaceDE/>
        <w:autoSpaceDN/>
        <w:bidi w:val="0"/>
        <w:adjustRightInd w:val="0"/>
        <w:snapToGrid w:val="0"/>
        <w:spacing w:line="460" w:lineRule="exact"/>
        <w:ind w:firstLine="442"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八</w:t>
      </w:r>
      <w:r>
        <w:rPr>
          <w:rFonts w:hint="eastAsia" w:ascii="新宋体" w:hAnsi="新宋体" w:eastAsia="新宋体" w:cs="新宋体"/>
          <w:b/>
          <w:color w:val="auto"/>
          <w:sz w:val="22"/>
          <w:szCs w:val="22"/>
          <w:highlight w:val="none"/>
          <w:lang w:eastAsia="zh-CN"/>
        </w:rPr>
        <w:t>、</w:t>
      </w:r>
      <w:r>
        <w:rPr>
          <w:rFonts w:hint="eastAsia" w:ascii="新宋体" w:hAnsi="新宋体" w:eastAsia="新宋体" w:cs="新宋体"/>
          <w:b/>
          <w:color w:val="auto"/>
          <w:sz w:val="22"/>
          <w:szCs w:val="22"/>
          <w:highlight w:val="none"/>
        </w:rPr>
        <w:t>付款方式与结算</w:t>
      </w:r>
    </w:p>
    <w:p w14:paraId="21C1EB6A">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bCs/>
          <w:color w:val="auto"/>
          <w:kern w:val="0"/>
          <w:sz w:val="22"/>
          <w:szCs w:val="22"/>
          <w:highlight w:val="none"/>
          <w:lang w:val="en-US" w:eastAsia="zh-CN"/>
        </w:rPr>
      </w:pPr>
      <w:r>
        <w:rPr>
          <w:rFonts w:hint="eastAsia" w:ascii="新宋体" w:hAnsi="新宋体" w:eastAsia="新宋体" w:cs="新宋体"/>
          <w:bCs/>
          <w:color w:val="auto"/>
          <w:kern w:val="0"/>
          <w:sz w:val="22"/>
          <w:szCs w:val="22"/>
          <w:highlight w:val="none"/>
          <w:lang w:val="en-US" w:eastAsia="zh-CN"/>
        </w:rPr>
        <w:t>合同签订生效及具备实施条件后</w:t>
      </w:r>
      <w:r>
        <w:rPr>
          <w:rFonts w:hint="eastAsia" w:ascii="新宋体" w:hAnsi="新宋体" w:eastAsia="新宋体" w:cs="新宋体"/>
          <w:bCs/>
          <w:color w:val="auto"/>
          <w:kern w:val="0"/>
          <w:sz w:val="22"/>
          <w:szCs w:val="22"/>
          <w:highlight w:val="none"/>
        </w:rPr>
        <w:t>，甲方向乙方支付合同总额的</w:t>
      </w:r>
      <w:r>
        <w:rPr>
          <w:rFonts w:hint="eastAsia" w:ascii="新宋体" w:hAnsi="新宋体" w:eastAsia="新宋体" w:cs="新宋体"/>
          <w:bCs/>
          <w:color w:val="auto"/>
          <w:kern w:val="0"/>
          <w:sz w:val="22"/>
          <w:szCs w:val="22"/>
          <w:highlight w:val="none"/>
          <w:lang w:val="en-US" w:eastAsia="zh-CN"/>
        </w:rPr>
        <w:t>4</w:t>
      </w:r>
      <w:r>
        <w:rPr>
          <w:rFonts w:hint="eastAsia" w:ascii="新宋体" w:hAnsi="新宋体" w:eastAsia="新宋体" w:cs="新宋体"/>
          <w:bCs/>
          <w:color w:val="auto"/>
          <w:kern w:val="0"/>
          <w:sz w:val="22"/>
          <w:szCs w:val="22"/>
          <w:highlight w:val="none"/>
        </w:rPr>
        <w:t>0%</w:t>
      </w:r>
      <w:r>
        <w:rPr>
          <w:rFonts w:hint="eastAsia" w:ascii="新宋体" w:hAnsi="新宋体" w:eastAsia="新宋体" w:cs="新宋体"/>
          <w:bCs/>
          <w:color w:val="auto"/>
          <w:kern w:val="0"/>
          <w:sz w:val="22"/>
          <w:szCs w:val="22"/>
          <w:highlight w:val="none"/>
          <w:lang w:val="en-US" w:eastAsia="zh-CN"/>
        </w:rPr>
        <w:t>预付款</w:t>
      </w:r>
      <w:r>
        <w:rPr>
          <w:rFonts w:hint="eastAsia" w:ascii="新宋体" w:hAnsi="新宋体" w:eastAsia="新宋体" w:cs="新宋体"/>
          <w:bCs/>
          <w:color w:val="auto"/>
          <w:kern w:val="0"/>
          <w:sz w:val="22"/>
          <w:szCs w:val="22"/>
          <w:highlight w:val="none"/>
        </w:rPr>
        <w:t>，</w:t>
      </w:r>
      <w:r>
        <w:rPr>
          <w:rFonts w:hint="eastAsia" w:ascii="新宋体" w:hAnsi="新宋体" w:eastAsia="新宋体" w:cs="新宋体"/>
          <w:bCs/>
          <w:color w:val="auto"/>
          <w:kern w:val="0"/>
          <w:sz w:val="22"/>
          <w:szCs w:val="22"/>
          <w:highlight w:val="none"/>
          <w:lang w:val="en-US" w:eastAsia="zh-CN"/>
        </w:rPr>
        <w:t>货物</w:t>
      </w:r>
      <w:r>
        <w:rPr>
          <w:rFonts w:hint="eastAsia" w:ascii="新宋体" w:hAnsi="新宋体" w:eastAsia="新宋体" w:cs="新宋体"/>
          <w:b w:val="0"/>
          <w:bCs w:val="0"/>
          <w:color w:val="auto"/>
          <w:sz w:val="22"/>
          <w:szCs w:val="22"/>
          <w:highlight w:val="none"/>
        </w:rPr>
        <w:t>分批次供货，</w:t>
      </w:r>
      <w:r>
        <w:rPr>
          <w:rFonts w:hint="eastAsia" w:ascii="新宋体" w:hAnsi="新宋体" w:eastAsia="新宋体" w:cs="新宋体"/>
          <w:b w:val="0"/>
          <w:bCs w:val="0"/>
          <w:color w:val="auto"/>
          <w:sz w:val="22"/>
          <w:szCs w:val="22"/>
          <w:highlight w:val="none"/>
          <w:lang w:val="en-US" w:eastAsia="zh-CN"/>
        </w:rPr>
        <w:t>前期货款由预付款优先扣除，剩余货款</w:t>
      </w:r>
      <w:r>
        <w:rPr>
          <w:rFonts w:hint="eastAsia" w:ascii="新宋体" w:hAnsi="新宋体" w:eastAsia="新宋体" w:cs="新宋体"/>
          <w:b w:val="0"/>
          <w:bCs w:val="0"/>
          <w:color w:val="auto"/>
          <w:sz w:val="22"/>
          <w:szCs w:val="22"/>
          <w:highlight w:val="none"/>
        </w:rPr>
        <w:t>按每</w:t>
      </w:r>
      <w:r>
        <w:rPr>
          <w:rFonts w:hint="eastAsia" w:ascii="新宋体" w:hAnsi="新宋体" w:eastAsia="新宋体" w:cs="新宋体"/>
          <w:b w:val="0"/>
          <w:bCs w:val="0"/>
          <w:color w:val="auto"/>
          <w:sz w:val="22"/>
          <w:szCs w:val="22"/>
          <w:highlight w:val="none"/>
          <w:lang w:val="en-US" w:eastAsia="zh-CN"/>
        </w:rPr>
        <w:t>批次</w:t>
      </w:r>
      <w:r>
        <w:rPr>
          <w:rFonts w:hint="eastAsia" w:ascii="新宋体" w:hAnsi="新宋体" w:eastAsia="新宋体" w:cs="新宋体"/>
          <w:b w:val="0"/>
          <w:bCs w:val="0"/>
          <w:color w:val="auto"/>
          <w:sz w:val="22"/>
          <w:szCs w:val="22"/>
          <w:highlight w:val="none"/>
        </w:rPr>
        <w:t>实际供货量结算支付给乙方</w:t>
      </w:r>
      <w:r>
        <w:rPr>
          <w:rFonts w:hint="eastAsia" w:ascii="新宋体" w:hAnsi="新宋体" w:eastAsia="新宋体" w:cs="新宋体"/>
          <w:b w:val="0"/>
          <w:bCs w:val="0"/>
          <w:color w:val="auto"/>
          <w:sz w:val="22"/>
          <w:szCs w:val="22"/>
          <w:highlight w:val="none"/>
          <w:lang w:eastAsia="zh-CN"/>
        </w:rPr>
        <w:t>，</w:t>
      </w:r>
      <w:r>
        <w:rPr>
          <w:rFonts w:hint="eastAsia" w:ascii="新宋体" w:hAnsi="新宋体" w:eastAsia="新宋体" w:cs="新宋体"/>
          <w:bCs/>
          <w:color w:val="auto"/>
          <w:kern w:val="0"/>
          <w:sz w:val="22"/>
          <w:szCs w:val="22"/>
          <w:highlight w:val="none"/>
          <w:lang w:val="en-US" w:eastAsia="zh-CN"/>
        </w:rPr>
        <w:t>最终按实际采购数量结算</w:t>
      </w:r>
      <w:r>
        <w:rPr>
          <w:rFonts w:hint="eastAsia" w:ascii="新宋体" w:hAnsi="新宋体" w:eastAsia="新宋体" w:cs="新宋体"/>
          <w:bCs/>
          <w:color w:val="auto"/>
          <w:kern w:val="0"/>
          <w:sz w:val="22"/>
          <w:szCs w:val="22"/>
          <w:highlight w:val="none"/>
        </w:rPr>
        <w:t>；</w:t>
      </w:r>
      <w:r>
        <w:rPr>
          <w:rFonts w:hint="eastAsia" w:ascii="新宋体" w:hAnsi="新宋体" w:eastAsia="新宋体" w:cs="新宋体"/>
          <w:bCs/>
          <w:color w:val="auto"/>
          <w:kern w:val="0"/>
          <w:sz w:val="22"/>
          <w:szCs w:val="22"/>
          <w:highlight w:val="none"/>
          <w:lang w:val="en-US" w:eastAsia="zh-CN"/>
        </w:rPr>
        <w:t>每次付款前，乙方须提交等额发票，甲方收到发票后7个工作日内支付。</w:t>
      </w:r>
    </w:p>
    <w:p w14:paraId="10CB6222">
      <w:pPr>
        <w:keepNext w:val="0"/>
        <w:keepLines w:val="0"/>
        <w:pageBreakBefore w:val="0"/>
        <w:widowControl w:val="0"/>
        <w:kinsoku/>
        <w:wordWrap/>
        <w:overflowPunct/>
        <w:topLinePunct w:val="0"/>
        <w:autoSpaceDE/>
        <w:autoSpaceDN/>
        <w:bidi w:val="0"/>
        <w:spacing w:line="460" w:lineRule="exact"/>
        <w:textAlignment w:val="auto"/>
        <w:rPr>
          <w:rFonts w:hint="eastAsia" w:ascii="新宋体" w:hAnsi="新宋体" w:eastAsia="新宋体" w:cs="新宋体"/>
          <w:color w:val="auto"/>
          <w:sz w:val="22"/>
          <w:szCs w:val="22"/>
          <w:highlight w:val="none"/>
          <w:u w:val="single"/>
        </w:rPr>
      </w:pPr>
    </w:p>
    <w:p w14:paraId="4B679934">
      <w:pPr>
        <w:keepNext w:val="0"/>
        <w:keepLines w:val="0"/>
        <w:pageBreakBefore w:val="0"/>
        <w:widowControl w:val="0"/>
        <w:kinsoku/>
        <w:wordWrap/>
        <w:overflowPunct/>
        <w:topLinePunct w:val="0"/>
        <w:autoSpaceDE/>
        <w:autoSpaceDN/>
        <w:bidi w:val="0"/>
        <w:spacing w:line="460" w:lineRule="exact"/>
        <w:textAlignment w:val="auto"/>
        <w:rPr>
          <w:rFonts w:hint="eastAsia" w:ascii="新宋体" w:hAnsi="新宋体" w:eastAsia="新宋体" w:cs="新宋体"/>
          <w:color w:val="auto"/>
          <w:sz w:val="22"/>
          <w:szCs w:val="22"/>
          <w:highlight w:val="none"/>
          <w:u w:val="single"/>
        </w:rPr>
      </w:pPr>
    </w:p>
    <w:p w14:paraId="2B7FA4B3">
      <w:pPr>
        <w:keepNext w:val="0"/>
        <w:keepLines w:val="0"/>
        <w:pageBreakBefore w:val="0"/>
        <w:widowControl w:val="0"/>
        <w:kinsoku/>
        <w:wordWrap/>
        <w:overflowPunct/>
        <w:topLinePunct w:val="0"/>
        <w:autoSpaceDE/>
        <w:autoSpaceDN/>
        <w:bidi w:val="0"/>
        <w:spacing w:line="460" w:lineRule="exact"/>
        <w:textAlignment w:val="auto"/>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注：以上合同条款供采购人及成交供应商作为商务参考，具体签订时，采购人可根据自身项目情况与中标供应商协商另行修改拟定相关合同具体条款。</w:t>
      </w:r>
    </w:p>
    <w:p w14:paraId="1E0B4ACC">
      <w:pPr>
        <w:spacing w:line="460" w:lineRule="exact"/>
        <w:ind w:firstLine="541" w:firstLineChars="245"/>
        <w:rPr>
          <w:rFonts w:hint="eastAsia" w:ascii="新宋体" w:hAnsi="新宋体" w:eastAsia="新宋体" w:cs="新宋体"/>
          <w:b/>
          <w:bCs/>
          <w:color w:val="auto"/>
          <w:sz w:val="22"/>
          <w:szCs w:val="22"/>
          <w:highlight w:val="none"/>
        </w:rPr>
      </w:pPr>
    </w:p>
    <w:p w14:paraId="2DF0FC97">
      <w:pPr>
        <w:pStyle w:val="23"/>
        <w:ind w:left="442" w:hanging="442"/>
        <w:rPr>
          <w:rFonts w:hint="eastAsia" w:ascii="新宋体" w:hAnsi="新宋体" w:eastAsia="新宋体" w:cs="新宋体"/>
          <w:b/>
          <w:bCs/>
          <w:color w:val="auto"/>
          <w:sz w:val="22"/>
          <w:szCs w:val="22"/>
          <w:highlight w:val="none"/>
        </w:rPr>
      </w:pPr>
    </w:p>
    <w:p w14:paraId="5CB08EDC">
      <w:pPr>
        <w:pStyle w:val="23"/>
        <w:ind w:left="442" w:hanging="442"/>
        <w:rPr>
          <w:rFonts w:hint="eastAsia" w:ascii="新宋体" w:hAnsi="新宋体" w:eastAsia="新宋体" w:cs="新宋体"/>
          <w:b/>
          <w:bCs/>
          <w:color w:val="auto"/>
          <w:sz w:val="22"/>
          <w:szCs w:val="22"/>
          <w:highlight w:val="none"/>
        </w:rPr>
      </w:pPr>
    </w:p>
    <w:p w14:paraId="272CD210">
      <w:pPr>
        <w:pStyle w:val="23"/>
        <w:ind w:left="442" w:hanging="442"/>
        <w:rPr>
          <w:rFonts w:hint="eastAsia" w:ascii="新宋体" w:hAnsi="新宋体" w:eastAsia="新宋体" w:cs="新宋体"/>
          <w:b/>
          <w:bCs/>
          <w:color w:val="auto"/>
          <w:sz w:val="22"/>
          <w:szCs w:val="22"/>
          <w:highlight w:val="none"/>
        </w:rPr>
      </w:pPr>
    </w:p>
    <w:p w14:paraId="1EDC550D">
      <w:pPr>
        <w:pStyle w:val="23"/>
        <w:ind w:left="442" w:hanging="442"/>
        <w:rPr>
          <w:rFonts w:hint="eastAsia" w:ascii="新宋体" w:hAnsi="新宋体" w:eastAsia="新宋体" w:cs="新宋体"/>
          <w:b/>
          <w:bCs/>
          <w:color w:val="auto"/>
          <w:sz w:val="22"/>
          <w:szCs w:val="22"/>
          <w:highlight w:val="none"/>
        </w:rPr>
      </w:pPr>
    </w:p>
    <w:p w14:paraId="725E1BB3">
      <w:pPr>
        <w:pStyle w:val="23"/>
        <w:ind w:left="442" w:hanging="442"/>
        <w:rPr>
          <w:rFonts w:hint="eastAsia" w:ascii="新宋体" w:hAnsi="新宋体" w:eastAsia="新宋体" w:cs="新宋体"/>
          <w:b/>
          <w:bCs/>
          <w:color w:val="auto"/>
          <w:sz w:val="22"/>
          <w:szCs w:val="22"/>
          <w:highlight w:val="none"/>
        </w:rPr>
      </w:pPr>
    </w:p>
    <w:p w14:paraId="6E74F910">
      <w:pPr>
        <w:pStyle w:val="23"/>
        <w:rPr>
          <w:rFonts w:hint="eastAsia" w:ascii="新宋体" w:hAnsi="新宋体" w:eastAsia="新宋体" w:cs="新宋体"/>
          <w:color w:val="auto"/>
          <w:szCs w:val="21"/>
          <w:highlight w:val="none"/>
          <w:u w:val="single"/>
        </w:rPr>
      </w:pPr>
    </w:p>
    <w:p w14:paraId="79C7DE13">
      <w:pPr>
        <w:pStyle w:val="23"/>
        <w:rPr>
          <w:rFonts w:hint="eastAsia" w:ascii="新宋体" w:hAnsi="新宋体" w:eastAsia="新宋体" w:cs="新宋体"/>
          <w:color w:val="auto"/>
          <w:szCs w:val="21"/>
          <w:highlight w:val="none"/>
          <w:u w:val="single"/>
        </w:rPr>
      </w:pPr>
    </w:p>
    <w:p w14:paraId="27024000">
      <w:pPr>
        <w:pStyle w:val="23"/>
        <w:rPr>
          <w:rFonts w:hint="eastAsia" w:ascii="新宋体" w:hAnsi="新宋体" w:eastAsia="新宋体" w:cs="新宋体"/>
          <w:color w:val="auto"/>
          <w:szCs w:val="21"/>
          <w:highlight w:val="none"/>
          <w:u w:val="single"/>
        </w:rPr>
      </w:pPr>
    </w:p>
    <w:p w14:paraId="460CFF15">
      <w:pPr>
        <w:pStyle w:val="23"/>
        <w:rPr>
          <w:rFonts w:hint="eastAsia" w:ascii="新宋体" w:hAnsi="新宋体" w:eastAsia="新宋体" w:cs="新宋体"/>
          <w:color w:val="auto"/>
          <w:szCs w:val="21"/>
          <w:highlight w:val="none"/>
          <w:u w:val="single"/>
        </w:rPr>
      </w:pPr>
    </w:p>
    <w:p w14:paraId="06D7F741">
      <w:pPr>
        <w:pStyle w:val="23"/>
        <w:rPr>
          <w:rFonts w:hint="eastAsia" w:ascii="新宋体" w:hAnsi="新宋体" w:eastAsia="新宋体" w:cs="新宋体"/>
          <w:color w:val="auto"/>
          <w:szCs w:val="21"/>
          <w:highlight w:val="none"/>
          <w:u w:val="single"/>
        </w:rPr>
      </w:pPr>
    </w:p>
    <w:p w14:paraId="5BB59687">
      <w:pPr>
        <w:pStyle w:val="23"/>
        <w:rPr>
          <w:rFonts w:hint="eastAsia" w:ascii="新宋体" w:hAnsi="新宋体" w:eastAsia="新宋体" w:cs="新宋体"/>
          <w:color w:val="auto"/>
          <w:szCs w:val="21"/>
          <w:highlight w:val="none"/>
          <w:u w:val="single"/>
        </w:rPr>
      </w:pPr>
    </w:p>
    <w:p w14:paraId="5D01F038">
      <w:pPr>
        <w:pStyle w:val="23"/>
        <w:rPr>
          <w:rFonts w:hint="eastAsia" w:ascii="新宋体" w:hAnsi="新宋体" w:eastAsia="新宋体" w:cs="新宋体"/>
          <w:color w:val="auto"/>
          <w:szCs w:val="21"/>
          <w:highlight w:val="none"/>
          <w:u w:val="single"/>
        </w:rPr>
      </w:pPr>
    </w:p>
    <w:p w14:paraId="7A1EEE67">
      <w:pPr>
        <w:pStyle w:val="23"/>
        <w:rPr>
          <w:rFonts w:hint="eastAsia" w:ascii="新宋体" w:hAnsi="新宋体" w:eastAsia="新宋体" w:cs="新宋体"/>
          <w:color w:val="auto"/>
          <w:szCs w:val="21"/>
          <w:highlight w:val="none"/>
          <w:u w:val="single"/>
        </w:rPr>
      </w:pPr>
    </w:p>
    <w:p w14:paraId="25775C6F">
      <w:pPr>
        <w:pStyle w:val="23"/>
        <w:rPr>
          <w:rFonts w:hint="eastAsia" w:ascii="新宋体" w:hAnsi="新宋体" w:eastAsia="新宋体" w:cs="新宋体"/>
          <w:color w:val="auto"/>
          <w:szCs w:val="21"/>
          <w:highlight w:val="none"/>
          <w:u w:val="single"/>
        </w:rPr>
      </w:pPr>
    </w:p>
    <w:p w14:paraId="139296C9">
      <w:pPr>
        <w:pStyle w:val="23"/>
        <w:rPr>
          <w:rFonts w:hint="eastAsia" w:ascii="新宋体" w:hAnsi="新宋体" w:eastAsia="新宋体" w:cs="新宋体"/>
          <w:color w:val="auto"/>
          <w:szCs w:val="21"/>
          <w:highlight w:val="none"/>
          <w:u w:val="single"/>
        </w:rPr>
      </w:pPr>
    </w:p>
    <w:p w14:paraId="7B8F365C">
      <w:pPr>
        <w:pStyle w:val="23"/>
        <w:rPr>
          <w:rFonts w:hint="eastAsia" w:ascii="新宋体" w:hAnsi="新宋体" w:eastAsia="新宋体" w:cs="新宋体"/>
          <w:color w:val="auto"/>
          <w:szCs w:val="21"/>
          <w:highlight w:val="none"/>
          <w:u w:val="single"/>
        </w:rPr>
      </w:pPr>
    </w:p>
    <w:p w14:paraId="51C25602">
      <w:pPr>
        <w:rPr>
          <w:rFonts w:hint="eastAsia" w:ascii="新宋体" w:hAnsi="新宋体" w:eastAsia="新宋体" w:cs="新宋体"/>
          <w:b/>
          <w:color w:val="auto"/>
          <w:sz w:val="30"/>
          <w:szCs w:val="30"/>
          <w:highlight w:val="none"/>
        </w:rPr>
      </w:pPr>
      <w:bookmarkStart w:id="29" w:name="_Toc28327"/>
      <w:r>
        <w:rPr>
          <w:rFonts w:hint="eastAsia" w:ascii="新宋体" w:hAnsi="新宋体" w:eastAsia="新宋体" w:cs="新宋体"/>
          <w:b/>
          <w:color w:val="auto"/>
          <w:sz w:val="30"/>
          <w:szCs w:val="30"/>
          <w:highlight w:val="none"/>
        </w:rPr>
        <w:br w:type="page"/>
      </w:r>
    </w:p>
    <w:p w14:paraId="0B94D3F3">
      <w:pPr>
        <w:snapToGrid w:val="0"/>
        <w:spacing w:line="360" w:lineRule="auto"/>
        <w:jc w:val="center"/>
        <w:rPr>
          <w:rFonts w:hint="eastAsia" w:ascii="新宋体" w:hAnsi="新宋体" w:eastAsia="新宋体" w:cs="新宋体"/>
          <w:b/>
          <w:color w:val="auto"/>
          <w:sz w:val="30"/>
          <w:szCs w:val="30"/>
          <w:highlight w:val="none"/>
        </w:rPr>
      </w:pPr>
      <w:r>
        <w:rPr>
          <w:rFonts w:hint="eastAsia" w:ascii="新宋体" w:hAnsi="新宋体" w:eastAsia="新宋体" w:cs="新宋体"/>
          <w:b/>
          <w:color w:val="auto"/>
          <w:sz w:val="30"/>
          <w:szCs w:val="30"/>
          <w:highlight w:val="none"/>
        </w:rPr>
        <w:t>廉洁协议书</w:t>
      </w:r>
      <w:bookmarkEnd w:id="29"/>
    </w:p>
    <w:p w14:paraId="6DBAF6B8">
      <w:pPr>
        <w:pStyle w:val="48"/>
        <w:rPr>
          <w:rFonts w:hint="eastAsia" w:ascii="新宋体" w:hAnsi="新宋体" w:eastAsia="新宋体" w:cs="新宋体"/>
          <w:color w:val="auto"/>
          <w:highlight w:val="none"/>
        </w:rPr>
      </w:pPr>
      <w:r>
        <w:rPr>
          <w:rFonts w:hint="eastAsia" w:ascii="新宋体" w:hAnsi="新宋体" w:eastAsia="新宋体" w:cs="新宋体"/>
          <w:color w:val="auto"/>
          <w:highlight w:val="none"/>
        </w:rPr>
        <w:t>甲方：</w:t>
      </w:r>
    </w:p>
    <w:p w14:paraId="56371B24">
      <w:pPr>
        <w:pStyle w:val="48"/>
        <w:rPr>
          <w:rFonts w:hint="eastAsia" w:ascii="新宋体" w:hAnsi="新宋体" w:eastAsia="新宋体" w:cs="新宋体"/>
          <w:color w:val="auto"/>
          <w:highlight w:val="none"/>
        </w:rPr>
      </w:pPr>
      <w:r>
        <w:rPr>
          <w:rFonts w:hint="eastAsia" w:ascii="新宋体" w:hAnsi="新宋体" w:eastAsia="新宋体" w:cs="新宋体"/>
          <w:color w:val="auto"/>
          <w:highlight w:val="none"/>
        </w:rPr>
        <w:t>乙方：</w:t>
      </w:r>
    </w:p>
    <w:p w14:paraId="7EFCB463">
      <w:pPr>
        <w:pStyle w:val="48"/>
        <w:rPr>
          <w:rFonts w:hint="eastAsia" w:ascii="新宋体" w:hAnsi="新宋体" w:eastAsia="新宋体" w:cs="新宋体"/>
          <w:color w:val="auto"/>
          <w:highlight w:val="none"/>
        </w:rPr>
      </w:pPr>
      <w:r>
        <w:rPr>
          <w:rFonts w:hint="eastAsia" w:ascii="新宋体" w:hAnsi="新宋体" w:eastAsia="新宋体" w:cs="新宋体"/>
          <w:color w:val="auto"/>
          <w:highlight w:val="none"/>
        </w:rPr>
        <w:t>为了增强甲乙双方依法经营、廉洁从业意识，完善自我约束、自我监督机制，营造守法诚信、廉洁高效的工作环境，防止发生违法违纪行为，保护国家、集体和当事人的合法权益，根据国家有关法律法规和廉洁自律规定，特订立本廉洁协议书：</w:t>
      </w:r>
    </w:p>
    <w:p w14:paraId="4F3C4AF3">
      <w:pPr>
        <w:pStyle w:val="48"/>
        <w:rPr>
          <w:rFonts w:hint="eastAsia" w:ascii="新宋体" w:hAnsi="新宋体" w:eastAsia="新宋体" w:cs="新宋体"/>
          <w:color w:val="auto"/>
          <w:highlight w:val="none"/>
        </w:rPr>
      </w:pPr>
      <w:r>
        <w:rPr>
          <w:rFonts w:hint="eastAsia" w:ascii="新宋体" w:hAnsi="新宋体" w:eastAsia="新宋体" w:cs="新宋体"/>
          <w:color w:val="auto"/>
          <w:highlight w:val="none"/>
        </w:rPr>
        <w:t>第一条 甲、乙双方的共同责任</w:t>
      </w:r>
    </w:p>
    <w:p w14:paraId="1B7C4648">
      <w:pPr>
        <w:pStyle w:val="48"/>
        <w:rPr>
          <w:rFonts w:hint="eastAsia" w:ascii="新宋体" w:hAnsi="新宋体" w:eastAsia="新宋体" w:cs="新宋体"/>
          <w:color w:val="auto"/>
          <w:highlight w:val="none"/>
        </w:rPr>
      </w:pPr>
      <w:r>
        <w:rPr>
          <w:rFonts w:hint="eastAsia" w:ascii="新宋体" w:hAnsi="新宋体" w:eastAsia="新宋体" w:cs="新宋体"/>
          <w:color w:val="auto"/>
          <w:highlight w:val="none"/>
        </w:rPr>
        <w:t>（一）严格遵守国家有关工程建设、物资采购、招标投标等市场经济活动的法律法规、政策以及廉政建设规定。</w:t>
      </w:r>
    </w:p>
    <w:p w14:paraId="115A0FAB">
      <w:pPr>
        <w:pStyle w:val="48"/>
        <w:rPr>
          <w:rFonts w:hint="eastAsia" w:ascii="新宋体" w:hAnsi="新宋体" w:eastAsia="新宋体" w:cs="新宋体"/>
          <w:color w:val="auto"/>
          <w:highlight w:val="none"/>
        </w:rPr>
      </w:pPr>
      <w:r>
        <w:rPr>
          <w:rFonts w:hint="eastAsia" w:ascii="新宋体" w:hAnsi="新宋体" w:eastAsia="新宋体" w:cs="新宋体"/>
          <w:color w:val="auto"/>
          <w:highlight w:val="none"/>
        </w:rPr>
        <w:t>（二）严格履行合同约定，自觉承担合同义务。</w:t>
      </w:r>
    </w:p>
    <w:p w14:paraId="731EC0F7">
      <w:pPr>
        <w:pStyle w:val="48"/>
        <w:rPr>
          <w:rFonts w:hint="eastAsia" w:ascii="新宋体" w:hAnsi="新宋体" w:eastAsia="新宋体" w:cs="新宋体"/>
          <w:color w:val="auto"/>
          <w:highlight w:val="none"/>
        </w:rPr>
      </w:pPr>
      <w:r>
        <w:rPr>
          <w:rFonts w:hint="eastAsia" w:ascii="新宋体" w:hAnsi="新宋体" w:eastAsia="新宋体" w:cs="新宋体"/>
          <w:color w:val="auto"/>
          <w:highlight w:val="none"/>
        </w:rPr>
        <w:t>（三）业务活动必须坚持公平、公正、公开和诚实守信的原则（除法律法规另有规定者外），不得为获取不正当利益损害国家、集体和对方利益，不违反工程建设管理、物资采购、招标投标等方面的规章制度。</w:t>
      </w:r>
    </w:p>
    <w:p w14:paraId="09665A36">
      <w:pPr>
        <w:pStyle w:val="48"/>
        <w:rPr>
          <w:rFonts w:hint="eastAsia" w:ascii="新宋体" w:hAnsi="新宋体" w:eastAsia="新宋体" w:cs="新宋体"/>
          <w:color w:val="auto"/>
          <w:highlight w:val="none"/>
        </w:rPr>
      </w:pPr>
      <w:r>
        <w:rPr>
          <w:rFonts w:hint="eastAsia" w:ascii="新宋体" w:hAnsi="新宋体" w:eastAsia="新宋体" w:cs="新宋体"/>
          <w:color w:val="auto"/>
          <w:highlight w:val="none"/>
        </w:rPr>
        <w:t>（四）建立健全自我制约制度，开展廉洁教育，公布举报电话，监督并认真查处违法违纪行为。</w:t>
      </w:r>
    </w:p>
    <w:p w14:paraId="2A98D138">
      <w:pPr>
        <w:pStyle w:val="48"/>
        <w:rPr>
          <w:rFonts w:hint="eastAsia" w:ascii="新宋体" w:hAnsi="新宋体" w:eastAsia="新宋体" w:cs="新宋体"/>
          <w:color w:val="auto"/>
          <w:highlight w:val="none"/>
        </w:rPr>
      </w:pPr>
      <w:r>
        <w:rPr>
          <w:rFonts w:hint="eastAsia" w:ascii="新宋体" w:hAnsi="新宋体" w:eastAsia="新宋体" w:cs="新宋体"/>
          <w:color w:val="auto"/>
          <w:highlight w:val="none"/>
        </w:rPr>
        <w:t>（五）发现对方在业务活动中有违规、违纪、违法行为的，应及时提醒对方，情节严重的，应向有关纪检监察部门举报。</w:t>
      </w:r>
    </w:p>
    <w:p w14:paraId="3BDE267A">
      <w:pPr>
        <w:pStyle w:val="48"/>
        <w:rPr>
          <w:rFonts w:hint="eastAsia" w:ascii="新宋体" w:hAnsi="新宋体" w:eastAsia="新宋体" w:cs="新宋体"/>
          <w:color w:val="auto"/>
          <w:highlight w:val="none"/>
        </w:rPr>
      </w:pPr>
      <w:r>
        <w:rPr>
          <w:rFonts w:hint="eastAsia" w:ascii="新宋体" w:hAnsi="新宋体" w:eastAsia="新宋体" w:cs="新宋体"/>
          <w:color w:val="auto"/>
          <w:highlight w:val="none"/>
        </w:rPr>
        <w:t>第二条 甲方的责任：</w:t>
      </w:r>
    </w:p>
    <w:p w14:paraId="5D976968">
      <w:pPr>
        <w:pStyle w:val="48"/>
        <w:rPr>
          <w:rFonts w:hint="eastAsia" w:ascii="新宋体" w:hAnsi="新宋体" w:eastAsia="新宋体" w:cs="新宋体"/>
          <w:color w:val="auto"/>
          <w:highlight w:val="none"/>
        </w:rPr>
      </w:pPr>
      <w:r>
        <w:rPr>
          <w:rFonts w:hint="eastAsia" w:ascii="新宋体" w:hAnsi="新宋体" w:eastAsia="新宋体" w:cs="新宋体"/>
          <w:color w:val="auto"/>
          <w:highlight w:val="none"/>
        </w:rPr>
        <w:t>甲方相关工作人员，在业务活动的事前、事中、事后，应遵守以下规定：</w:t>
      </w:r>
    </w:p>
    <w:p w14:paraId="008A60DC">
      <w:pPr>
        <w:pStyle w:val="48"/>
        <w:rPr>
          <w:rFonts w:hint="eastAsia" w:ascii="新宋体" w:hAnsi="新宋体" w:eastAsia="新宋体" w:cs="新宋体"/>
          <w:color w:val="auto"/>
          <w:highlight w:val="none"/>
        </w:rPr>
      </w:pPr>
      <w:r>
        <w:rPr>
          <w:rFonts w:hint="eastAsia" w:ascii="新宋体" w:hAnsi="新宋体" w:eastAsia="新宋体" w:cs="新宋体"/>
          <w:color w:val="auto"/>
          <w:highlight w:val="none"/>
        </w:rPr>
        <w:t>（一）贯彻落实xx有关党风廉政建设责任制及廉洁从业的规定，建立企业诚信档案；</w:t>
      </w:r>
    </w:p>
    <w:p w14:paraId="523CFFE0">
      <w:pPr>
        <w:pStyle w:val="48"/>
        <w:rPr>
          <w:rFonts w:hint="eastAsia" w:ascii="新宋体" w:hAnsi="新宋体" w:eastAsia="新宋体" w:cs="新宋体"/>
          <w:color w:val="auto"/>
          <w:highlight w:val="none"/>
        </w:rPr>
      </w:pPr>
      <w:r>
        <w:rPr>
          <w:rFonts w:hint="eastAsia" w:ascii="新宋体" w:hAnsi="新宋体" w:eastAsia="新宋体" w:cs="新宋体"/>
          <w:color w:val="auto"/>
          <w:highlight w:val="none"/>
        </w:rPr>
        <w:t>（二）按照公平、公正、公开和诚实守信的原则开展各项业务活动，为乙方提供公平的竞争环境与平台；</w:t>
      </w:r>
    </w:p>
    <w:p w14:paraId="7420B426">
      <w:pPr>
        <w:pStyle w:val="48"/>
        <w:rPr>
          <w:rFonts w:hint="eastAsia" w:ascii="新宋体" w:hAnsi="新宋体" w:eastAsia="新宋体" w:cs="新宋体"/>
          <w:color w:val="auto"/>
          <w:highlight w:val="none"/>
        </w:rPr>
      </w:pPr>
      <w:r>
        <w:rPr>
          <w:rFonts w:hint="eastAsia" w:ascii="新宋体" w:hAnsi="新宋体" w:eastAsia="新宋体" w:cs="新宋体"/>
          <w:color w:val="auto"/>
          <w:highlight w:val="none"/>
        </w:rPr>
        <w:t>（三）不向乙方泄漏涉及有关业务活动的秘密；</w:t>
      </w:r>
    </w:p>
    <w:p w14:paraId="1C841099">
      <w:pPr>
        <w:pStyle w:val="48"/>
        <w:rPr>
          <w:rFonts w:hint="eastAsia" w:ascii="新宋体" w:hAnsi="新宋体" w:eastAsia="新宋体" w:cs="新宋体"/>
          <w:color w:val="auto"/>
          <w:highlight w:val="none"/>
        </w:rPr>
      </w:pPr>
      <w:r>
        <w:rPr>
          <w:rFonts w:hint="eastAsia" w:ascii="新宋体" w:hAnsi="新宋体" w:eastAsia="新宋体" w:cs="新宋体"/>
          <w:color w:val="auto"/>
          <w:highlight w:val="none"/>
        </w:rPr>
        <w:t>（四）不参与影响相关工作正常和公正开展的其他活动；</w:t>
      </w:r>
    </w:p>
    <w:p w14:paraId="13E9C187">
      <w:pPr>
        <w:pStyle w:val="48"/>
        <w:rPr>
          <w:rFonts w:hint="eastAsia" w:ascii="新宋体" w:hAnsi="新宋体" w:eastAsia="新宋体" w:cs="新宋体"/>
          <w:color w:val="auto"/>
          <w:highlight w:val="none"/>
        </w:rPr>
      </w:pPr>
      <w:r>
        <w:rPr>
          <w:rFonts w:hint="eastAsia" w:ascii="新宋体" w:hAnsi="新宋体" w:eastAsia="新宋体" w:cs="新宋体"/>
          <w:color w:val="auto"/>
          <w:highlight w:val="none"/>
        </w:rPr>
        <w:t>（五）不在乙方和相关单位报销任何应由甲方或个人支付的费用；</w:t>
      </w:r>
    </w:p>
    <w:p w14:paraId="584ECFFF">
      <w:pPr>
        <w:pStyle w:val="48"/>
        <w:rPr>
          <w:rFonts w:hint="eastAsia" w:ascii="新宋体" w:hAnsi="新宋体" w:eastAsia="新宋体" w:cs="新宋体"/>
          <w:color w:val="auto"/>
          <w:highlight w:val="none"/>
        </w:rPr>
      </w:pPr>
      <w:r>
        <w:rPr>
          <w:rFonts w:hint="eastAsia" w:ascii="新宋体" w:hAnsi="新宋体" w:eastAsia="新宋体" w:cs="新宋体"/>
          <w:color w:val="auto"/>
          <w:highlight w:val="none"/>
        </w:rPr>
        <w:t>（六）不要求、暗示及接受乙方和相关单位为个人装修住房、婚丧嫁娶、配偶子女的工作安排以及境内外旅游等提供方便；</w:t>
      </w:r>
    </w:p>
    <w:p w14:paraId="08F29575">
      <w:pPr>
        <w:pStyle w:val="48"/>
        <w:rPr>
          <w:rFonts w:hint="eastAsia" w:ascii="新宋体" w:hAnsi="新宋体" w:eastAsia="新宋体" w:cs="新宋体"/>
          <w:color w:val="auto"/>
          <w:highlight w:val="none"/>
        </w:rPr>
      </w:pPr>
      <w:r>
        <w:rPr>
          <w:rFonts w:hint="eastAsia" w:ascii="新宋体" w:hAnsi="新宋体" w:eastAsia="新宋体" w:cs="新宋体"/>
          <w:color w:val="auto"/>
          <w:highlight w:val="none"/>
        </w:rPr>
        <w:t>（七）不收受或索取红包、礼金、购物卡、有价证券、贵重物品、感谢费和好处费等非正当利益；</w:t>
      </w:r>
    </w:p>
    <w:p w14:paraId="47CB2CC4">
      <w:pPr>
        <w:pStyle w:val="48"/>
        <w:rPr>
          <w:rFonts w:hint="eastAsia" w:ascii="新宋体" w:hAnsi="新宋体" w:eastAsia="新宋体" w:cs="新宋体"/>
          <w:color w:val="auto"/>
          <w:highlight w:val="none"/>
        </w:rPr>
      </w:pPr>
      <w:r>
        <w:rPr>
          <w:rFonts w:hint="eastAsia" w:ascii="新宋体" w:hAnsi="新宋体" w:eastAsia="新宋体" w:cs="新宋体"/>
          <w:color w:val="auto"/>
          <w:highlight w:val="none"/>
        </w:rPr>
        <w:t>（八）不向乙方介绍配偶、子女、亲属参与与甲方有关的经济活动，不得以任何理由向乙方和相关单位推荐第三方单位；</w:t>
      </w:r>
    </w:p>
    <w:p w14:paraId="4CB179D6">
      <w:pPr>
        <w:pStyle w:val="48"/>
        <w:rPr>
          <w:rFonts w:hint="eastAsia" w:ascii="新宋体" w:hAnsi="新宋体" w:eastAsia="新宋体" w:cs="新宋体"/>
          <w:color w:val="auto"/>
          <w:highlight w:val="none"/>
        </w:rPr>
      </w:pPr>
      <w:r>
        <w:rPr>
          <w:rFonts w:hint="eastAsia" w:ascii="新宋体" w:hAnsi="新宋体" w:eastAsia="新宋体" w:cs="新宋体"/>
          <w:color w:val="auto"/>
          <w:highlight w:val="none"/>
        </w:rPr>
        <w:t>（九）不违反《中共中央纪委关于严格禁止利用职务上的便利谋取不正当利益的若干规定》的内容。</w:t>
      </w:r>
    </w:p>
    <w:p w14:paraId="1BB40CAA">
      <w:pPr>
        <w:pStyle w:val="48"/>
        <w:rPr>
          <w:rFonts w:hint="eastAsia" w:ascii="新宋体" w:hAnsi="新宋体" w:eastAsia="新宋体" w:cs="新宋体"/>
          <w:color w:val="auto"/>
          <w:highlight w:val="none"/>
        </w:rPr>
      </w:pPr>
      <w:r>
        <w:rPr>
          <w:rFonts w:hint="eastAsia" w:ascii="新宋体" w:hAnsi="新宋体" w:eastAsia="新宋体" w:cs="新宋体"/>
          <w:color w:val="auto"/>
          <w:highlight w:val="none"/>
        </w:rPr>
        <w:t>第三条 乙方的责任：</w:t>
      </w:r>
    </w:p>
    <w:p w14:paraId="18887911">
      <w:pPr>
        <w:pStyle w:val="48"/>
        <w:rPr>
          <w:rFonts w:hint="eastAsia" w:ascii="新宋体" w:hAnsi="新宋体" w:eastAsia="新宋体" w:cs="新宋体"/>
          <w:color w:val="auto"/>
          <w:highlight w:val="none"/>
        </w:rPr>
      </w:pPr>
      <w:r>
        <w:rPr>
          <w:rFonts w:hint="eastAsia" w:ascii="新宋体" w:hAnsi="新宋体" w:eastAsia="新宋体" w:cs="新宋体"/>
          <w:color w:val="auto"/>
          <w:highlight w:val="none"/>
        </w:rPr>
        <w:t>在与甲方业务交往过程中，按照有关法律法规和程序开展工作，严格执行国家的有关方针、政策，并遵守以下规定：</w:t>
      </w:r>
    </w:p>
    <w:p w14:paraId="1DD78CE6">
      <w:pPr>
        <w:pStyle w:val="48"/>
        <w:rPr>
          <w:rFonts w:hint="eastAsia" w:ascii="新宋体" w:hAnsi="新宋体" w:eastAsia="新宋体" w:cs="新宋体"/>
          <w:color w:val="auto"/>
          <w:highlight w:val="none"/>
        </w:rPr>
      </w:pPr>
      <w:r>
        <w:rPr>
          <w:rFonts w:hint="eastAsia" w:ascii="新宋体" w:hAnsi="新宋体" w:eastAsia="新宋体" w:cs="新宋体"/>
          <w:color w:val="auto"/>
          <w:highlight w:val="none"/>
        </w:rPr>
        <w:t>（一）不以任何理由为甲方和相关单位报销应由对方或个人支付的费用；</w:t>
      </w:r>
    </w:p>
    <w:p w14:paraId="35133F1D">
      <w:pPr>
        <w:pStyle w:val="48"/>
        <w:rPr>
          <w:rFonts w:hint="eastAsia" w:ascii="新宋体" w:hAnsi="新宋体" w:eastAsia="新宋体" w:cs="新宋体"/>
          <w:color w:val="auto"/>
          <w:highlight w:val="none"/>
        </w:rPr>
      </w:pPr>
      <w:r>
        <w:rPr>
          <w:rFonts w:hint="eastAsia" w:ascii="新宋体" w:hAnsi="新宋体" w:eastAsia="新宋体" w:cs="新宋体"/>
          <w:color w:val="auto"/>
          <w:highlight w:val="none"/>
        </w:rPr>
        <w:t>（二）不以任何理由向甲方负责人及其工作人员赠送红包、礼金、购物卡、有价证券、贵重物品、感谢费和好处费等非正当利益；</w:t>
      </w:r>
    </w:p>
    <w:p w14:paraId="37AD63AA">
      <w:pPr>
        <w:pStyle w:val="48"/>
        <w:rPr>
          <w:rFonts w:hint="eastAsia" w:ascii="新宋体" w:hAnsi="新宋体" w:eastAsia="新宋体" w:cs="新宋体"/>
          <w:color w:val="auto"/>
          <w:highlight w:val="none"/>
        </w:rPr>
      </w:pPr>
      <w:r>
        <w:rPr>
          <w:rFonts w:hint="eastAsia" w:ascii="新宋体" w:hAnsi="新宋体" w:eastAsia="新宋体" w:cs="新宋体"/>
          <w:color w:val="auto"/>
          <w:highlight w:val="none"/>
        </w:rPr>
        <w:t>（三）不准为甲方、与甲方相关的单位或个人装修住房、婚丧嫁取、配偶子女的工作安排以及境内外旅游等提供方便；</w:t>
      </w:r>
    </w:p>
    <w:p w14:paraId="0810FD61">
      <w:pPr>
        <w:pStyle w:val="48"/>
        <w:rPr>
          <w:rFonts w:hint="eastAsia" w:ascii="新宋体" w:hAnsi="新宋体" w:eastAsia="新宋体" w:cs="新宋体"/>
          <w:color w:val="auto"/>
          <w:highlight w:val="none"/>
        </w:rPr>
      </w:pPr>
      <w:r>
        <w:rPr>
          <w:rFonts w:hint="eastAsia" w:ascii="新宋体" w:hAnsi="新宋体" w:eastAsia="新宋体" w:cs="新宋体"/>
          <w:color w:val="auto"/>
          <w:highlight w:val="none"/>
        </w:rPr>
        <w:t>（四）不得以谋取非正当利益为目的，擅自与甲方工作人员就业务问题进行私下商谈或者达成利益默契；</w:t>
      </w:r>
    </w:p>
    <w:p w14:paraId="38F9E8D5">
      <w:pPr>
        <w:pStyle w:val="48"/>
        <w:rPr>
          <w:rFonts w:hint="eastAsia" w:ascii="新宋体" w:hAnsi="新宋体" w:eastAsia="新宋体" w:cs="新宋体"/>
          <w:color w:val="auto"/>
          <w:highlight w:val="none"/>
        </w:rPr>
      </w:pPr>
      <w:r>
        <w:rPr>
          <w:rFonts w:hint="eastAsia" w:ascii="新宋体" w:hAnsi="新宋体" w:eastAsia="新宋体" w:cs="新宋体"/>
          <w:color w:val="auto"/>
          <w:highlight w:val="none"/>
        </w:rPr>
        <w:t>（五）发现甲方工作人员有违反本廉洁协议书规定的，应向甲方单位举报。 受理部门：纪委、监察部；</w:t>
      </w:r>
    </w:p>
    <w:p w14:paraId="11820C2D">
      <w:pPr>
        <w:pStyle w:val="48"/>
        <w:rPr>
          <w:rFonts w:hint="eastAsia" w:ascii="新宋体" w:hAnsi="新宋体" w:eastAsia="新宋体" w:cs="新宋体"/>
          <w:color w:val="auto"/>
          <w:highlight w:val="none"/>
        </w:rPr>
      </w:pPr>
      <w:r>
        <w:rPr>
          <w:rFonts w:hint="eastAsia" w:ascii="新宋体" w:hAnsi="新宋体" w:eastAsia="新宋体" w:cs="新宋体"/>
          <w:color w:val="auto"/>
          <w:highlight w:val="none"/>
        </w:rPr>
        <w:t>举报电话： ；举报邮箱： 。</w:t>
      </w:r>
    </w:p>
    <w:p w14:paraId="444A4181">
      <w:pPr>
        <w:pStyle w:val="48"/>
        <w:rPr>
          <w:rFonts w:hint="eastAsia" w:ascii="新宋体" w:hAnsi="新宋体" w:eastAsia="新宋体" w:cs="新宋体"/>
          <w:color w:val="auto"/>
          <w:highlight w:val="none"/>
        </w:rPr>
      </w:pPr>
      <w:r>
        <w:rPr>
          <w:rFonts w:hint="eastAsia" w:ascii="新宋体" w:hAnsi="新宋体" w:eastAsia="新宋体" w:cs="新宋体"/>
          <w:color w:val="auto"/>
          <w:highlight w:val="none"/>
        </w:rPr>
        <w:t>第四条 相关责任</w:t>
      </w:r>
    </w:p>
    <w:p w14:paraId="0A0CA17D">
      <w:pPr>
        <w:pStyle w:val="48"/>
        <w:rPr>
          <w:rFonts w:hint="eastAsia" w:ascii="新宋体" w:hAnsi="新宋体" w:eastAsia="新宋体" w:cs="新宋体"/>
          <w:color w:val="auto"/>
          <w:highlight w:val="none"/>
        </w:rPr>
      </w:pPr>
      <w:r>
        <w:rPr>
          <w:rFonts w:hint="eastAsia" w:ascii="新宋体" w:hAnsi="新宋体" w:eastAsia="新宋体" w:cs="新宋体"/>
          <w:color w:val="auto"/>
          <w:highlight w:val="none"/>
        </w:rPr>
        <w:t>（一）甲方违反本廉洁协议书第一、二条规定的，一经查实，严格按照管理权限，依据有关党纪、法律法规、规章制度给予纪律处分或组织处理；涉嫌犯罪的，移送司法机关依法追究刑事责任。</w:t>
      </w:r>
    </w:p>
    <w:p w14:paraId="6F13A15B">
      <w:pPr>
        <w:pStyle w:val="48"/>
        <w:rPr>
          <w:rFonts w:hint="eastAsia" w:ascii="新宋体" w:hAnsi="新宋体" w:eastAsia="新宋体" w:cs="新宋体"/>
          <w:color w:val="auto"/>
          <w:highlight w:val="none"/>
        </w:rPr>
      </w:pPr>
      <w:r>
        <w:rPr>
          <w:rFonts w:hint="eastAsia" w:ascii="新宋体" w:hAnsi="新宋体" w:eastAsia="新宋体" w:cs="新宋体"/>
          <w:color w:val="auto"/>
          <w:highlight w:val="none"/>
        </w:rPr>
        <w:t>（二）乙方违反本廉洁协议书第一、三条规定的，一经查实，根据《关于在xx公司内部公布行贿单位名单的实施意见（试行）》和其他有关规定，对乙方进行处理。涉嫌犯罪的，移送司法机关依法追究刑事责任。</w:t>
      </w:r>
    </w:p>
    <w:p w14:paraId="12C38066">
      <w:pPr>
        <w:pStyle w:val="48"/>
        <w:rPr>
          <w:rFonts w:hint="eastAsia" w:ascii="新宋体" w:hAnsi="新宋体" w:eastAsia="新宋体" w:cs="新宋体"/>
          <w:color w:val="auto"/>
          <w:highlight w:val="none"/>
        </w:rPr>
      </w:pPr>
      <w:r>
        <w:rPr>
          <w:rFonts w:hint="eastAsia" w:ascii="新宋体" w:hAnsi="新宋体" w:eastAsia="新宋体" w:cs="新宋体"/>
          <w:color w:val="auto"/>
          <w:highlight w:val="none"/>
        </w:rPr>
        <w:t>（三）乙方违反本廉洁协议书第一、三条规定，给甲方单位造成经济损失的，应依法予以赔偿。</w:t>
      </w:r>
    </w:p>
    <w:p w14:paraId="2460A0C7">
      <w:pPr>
        <w:pStyle w:val="48"/>
        <w:rPr>
          <w:rFonts w:hint="eastAsia" w:ascii="新宋体" w:hAnsi="新宋体" w:eastAsia="新宋体" w:cs="新宋体"/>
          <w:color w:val="auto"/>
          <w:highlight w:val="none"/>
        </w:rPr>
      </w:pPr>
      <w:r>
        <w:rPr>
          <w:rFonts w:hint="eastAsia" w:ascii="新宋体" w:hAnsi="新宋体" w:eastAsia="新宋体" w:cs="新宋体"/>
          <w:color w:val="auto"/>
          <w:highlight w:val="none"/>
        </w:rPr>
        <w:t>第五条 协议书生效及法律效力</w:t>
      </w:r>
    </w:p>
    <w:p w14:paraId="451A81E5">
      <w:pPr>
        <w:pStyle w:val="48"/>
        <w:rPr>
          <w:rFonts w:hint="eastAsia" w:ascii="新宋体" w:hAnsi="新宋体" w:eastAsia="新宋体" w:cs="新宋体"/>
          <w:color w:val="auto"/>
          <w:highlight w:val="none"/>
        </w:rPr>
      </w:pPr>
      <w:r>
        <w:rPr>
          <w:rFonts w:hint="eastAsia" w:ascii="新宋体" w:hAnsi="新宋体" w:eastAsia="新宋体" w:cs="新宋体"/>
          <w:color w:val="auto"/>
          <w:highlight w:val="none"/>
        </w:rPr>
        <w:t>（一）本廉洁协议书经双方签字盖章后生效。</w:t>
      </w:r>
    </w:p>
    <w:p w14:paraId="3DADCBCF">
      <w:pPr>
        <w:pStyle w:val="48"/>
        <w:rPr>
          <w:rFonts w:hint="eastAsia" w:ascii="新宋体" w:hAnsi="新宋体" w:eastAsia="新宋体" w:cs="新宋体"/>
          <w:color w:val="auto"/>
          <w:highlight w:val="none"/>
        </w:rPr>
      </w:pPr>
      <w:r>
        <w:rPr>
          <w:rFonts w:hint="eastAsia" w:ascii="新宋体" w:hAnsi="新宋体" w:eastAsia="新宋体" w:cs="新宋体"/>
          <w:color w:val="auto"/>
          <w:highlight w:val="none"/>
        </w:rPr>
        <w:t>（二）除非甲乙双方另行签订新的廉洁协议书，否则本廉洁协议书在甲方与乙方存在业务关系期间均对双方产生约束力。</w:t>
      </w:r>
    </w:p>
    <w:p w14:paraId="0220852D">
      <w:pPr>
        <w:pStyle w:val="48"/>
        <w:rPr>
          <w:rFonts w:hint="eastAsia" w:ascii="新宋体" w:hAnsi="新宋体" w:eastAsia="新宋体" w:cs="新宋体"/>
          <w:color w:val="auto"/>
          <w:highlight w:val="none"/>
        </w:rPr>
      </w:pPr>
      <w:r>
        <w:rPr>
          <w:rFonts w:hint="eastAsia" w:ascii="新宋体" w:hAnsi="新宋体" w:eastAsia="新宋体" w:cs="新宋体"/>
          <w:color w:val="auto"/>
          <w:highlight w:val="none"/>
        </w:rPr>
        <w:t>第六条 协议书份数</w:t>
      </w:r>
    </w:p>
    <w:p w14:paraId="4C806ED8">
      <w:pPr>
        <w:pStyle w:val="48"/>
        <w:rPr>
          <w:rFonts w:hint="eastAsia" w:ascii="新宋体" w:hAnsi="新宋体" w:eastAsia="新宋体" w:cs="新宋体"/>
          <w:color w:val="auto"/>
          <w:highlight w:val="none"/>
        </w:rPr>
      </w:pPr>
      <w:r>
        <w:rPr>
          <w:rFonts w:hint="eastAsia" w:ascii="新宋体" w:hAnsi="新宋体" w:eastAsia="新宋体" w:cs="新宋体"/>
          <w:color w:val="auto"/>
          <w:highlight w:val="none"/>
        </w:rPr>
        <w:t>本廉洁协议书一式四份，甲、乙双方各执两份。</w:t>
      </w:r>
    </w:p>
    <w:p w14:paraId="1BF0E555">
      <w:pPr>
        <w:pStyle w:val="48"/>
        <w:rPr>
          <w:rFonts w:hint="eastAsia" w:ascii="新宋体" w:hAnsi="新宋体" w:eastAsia="新宋体" w:cs="新宋体"/>
          <w:color w:val="auto"/>
          <w:highlight w:val="none"/>
        </w:rPr>
      </w:pPr>
      <w:r>
        <w:rPr>
          <w:rFonts w:hint="eastAsia" w:ascii="新宋体" w:hAnsi="新宋体" w:eastAsia="新宋体" w:cs="新宋体"/>
          <w:color w:val="auto"/>
          <w:highlight w:val="none"/>
        </w:rPr>
        <w:t>甲乙双方确认在签订本廉洁协议书前已仔细阅读条款内容，</w:t>
      </w:r>
    </w:p>
    <w:p w14:paraId="20EDE36A">
      <w:pPr>
        <w:pStyle w:val="48"/>
        <w:rPr>
          <w:rFonts w:hint="eastAsia" w:ascii="新宋体" w:hAnsi="新宋体" w:eastAsia="新宋体" w:cs="新宋体"/>
          <w:color w:val="auto"/>
          <w:highlight w:val="none"/>
        </w:rPr>
      </w:pPr>
      <w:r>
        <w:rPr>
          <w:rFonts w:hint="eastAsia" w:ascii="新宋体" w:hAnsi="新宋体" w:eastAsia="新宋体" w:cs="新宋体"/>
          <w:color w:val="auto"/>
          <w:highlight w:val="none"/>
        </w:rPr>
        <w:t>廉洁协议书所产生的法律责任已清楚知悉并承诺遵守。</w:t>
      </w:r>
    </w:p>
    <w:p w14:paraId="3309A600">
      <w:pPr>
        <w:pStyle w:val="48"/>
        <w:rPr>
          <w:rFonts w:hint="eastAsia" w:ascii="新宋体" w:hAnsi="新宋体" w:eastAsia="新宋体" w:cs="新宋体"/>
          <w:color w:val="auto"/>
          <w:highlight w:val="none"/>
        </w:rPr>
      </w:pPr>
      <w:r>
        <w:rPr>
          <w:rFonts w:hint="eastAsia" w:ascii="新宋体" w:hAnsi="新宋体" w:eastAsia="新宋体" w:cs="新宋体"/>
          <w:color w:val="auto"/>
          <w:highlight w:val="none"/>
        </w:rPr>
        <w:t>甲方（盖章）:                           乙方（盖章）：</w:t>
      </w:r>
    </w:p>
    <w:p w14:paraId="644AF2D8">
      <w:pPr>
        <w:pStyle w:val="48"/>
        <w:rPr>
          <w:rFonts w:hint="eastAsia" w:ascii="新宋体" w:hAnsi="新宋体" w:eastAsia="新宋体" w:cs="新宋体"/>
          <w:color w:val="auto"/>
          <w:highlight w:val="none"/>
        </w:rPr>
      </w:pPr>
      <w:r>
        <w:rPr>
          <w:rFonts w:hint="eastAsia" w:ascii="新宋体" w:hAnsi="新宋体" w:eastAsia="新宋体" w:cs="新宋体"/>
          <w:color w:val="auto"/>
          <w:highlight w:val="none"/>
        </w:rPr>
        <w:t>法定代表人                                法定代表人</w:t>
      </w:r>
    </w:p>
    <w:p w14:paraId="16FFD8C5">
      <w:pPr>
        <w:pStyle w:val="48"/>
        <w:rPr>
          <w:rFonts w:hint="eastAsia" w:ascii="新宋体" w:hAnsi="新宋体" w:eastAsia="新宋体" w:cs="新宋体"/>
          <w:color w:val="auto"/>
          <w:highlight w:val="none"/>
        </w:rPr>
      </w:pPr>
      <w:r>
        <w:rPr>
          <w:rFonts w:hint="eastAsia" w:ascii="新宋体" w:hAnsi="新宋体" w:eastAsia="新宋体" w:cs="新宋体"/>
          <w:color w:val="auto"/>
          <w:highlight w:val="none"/>
        </w:rPr>
        <w:t>（或委托代理人）：                     （或委托代理人）：</w:t>
      </w:r>
    </w:p>
    <w:p w14:paraId="0A1F440F">
      <w:pPr>
        <w:pStyle w:val="48"/>
        <w:rPr>
          <w:rFonts w:hint="eastAsia" w:ascii="新宋体" w:hAnsi="新宋体" w:eastAsia="新宋体" w:cs="新宋体"/>
          <w:color w:val="auto"/>
          <w:highlight w:val="none"/>
        </w:rPr>
      </w:pPr>
      <w:r>
        <w:rPr>
          <w:rFonts w:hint="eastAsia" w:ascii="新宋体" w:hAnsi="新宋体" w:eastAsia="新宋体" w:cs="新宋体"/>
          <w:color w:val="auto"/>
          <w:highlight w:val="none"/>
        </w:rPr>
        <w:t>地址：                                   地址：</w:t>
      </w:r>
    </w:p>
    <w:p w14:paraId="4EB36133">
      <w:pPr>
        <w:pStyle w:val="48"/>
        <w:rPr>
          <w:rFonts w:hint="eastAsia" w:ascii="新宋体" w:hAnsi="新宋体" w:eastAsia="新宋体" w:cs="新宋体"/>
          <w:color w:val="auto"/>
          <w:highlight w:val="none"/>
        </w:rPr>
      </w:pPr>
      <w:r>
        <w:rPr>
          <w:rFonts w:hint="eastAsia" w:ascii="新宋体" w:hAnsi="新宋体" w:eastAsia="新宋体" w:cs="新宋体"/>
          <w:color w:val="auto"/>
          <w:highlight w:val="none"/>
        </w:rPr>
        <w:t>电话：                                   电话：</w:t>
      </w:r>
    </w:p>
    <w:p w14:paraId="69AC93D4">
      <w:pPr>
        <w:pStyle w:val="48"/>
        <w:rPr>
          <w:rFonts w:hint="eastAsia" w:ascii="新宋体" w:hAnsi="新宋体" w:eastAsia="新宋体" w:cs="新宋体"/>
          <w:color w:val="auto"/>
          <w:highlight w:val="none"/>
        </w:rPr>
      </w:pPr>
      <w:r>
        <w:rPr>
          <w:rFonts w:hint="eastAsia" w:ascii="新宋体" w:hAnsi="新宋体" w:eastAsia="新宋体" w:cs="新宋体"/>
          <w:color w:val="auto"/>
          <w:highlight w:val="none"/>
        </w:rPr>
        <w:t>年 月 日                                     年 月 日</w:t>
      </w:r>
    </w:p>
    <w:p w14:paraId="6FC1477E">
      <w:pPr>
        <w:pStyle w:val="23"/>
        <w:rPr>
          <w:rFonts w:hint="eastAsia" w:ascii="新宋体" w:hAnsi="新宋体" w:eastAsia="新宋体" w:cs="新宋体"/>
          <w:color w:val="auto"/>
          <w:szCs w:val="21"/>
          <w:highlight w:val="none"/>
          <w:u w:val="single"/>
        </w:rPr>
      </w:pPr>
    </w:p>
    <w:p w14:paraId="37F229B4">
      <w:pPr>
        <w:pStyle w:val="23"/>
        <w:rPr>
          <w:rFonts w:hint="eastAsia" w:ascii="新宋体" w:hAnsi="新宋体" w:eastAsia="新宋体" w:cs="新宋体"/>
          <w:color w:val="auto"/>
          <w:szCs w:val="21"/>
          <w:highlight w:val="none"/>
          <w:u w:val="single"/>
        </w:rPr>
      </w:pPr>
    </w:p>
    <w:p w14:paraId="33152C2B">
      <w:pPr>
        <w:pStyle w:val="23"/>
        <w:rPr>
          <w:rFonts w:hint="eastAsia" w:ascii="新宋体" w:hAnsi="新宋体" w:eastAsia="新宋体" w:cs="新宋体"/>
          <w:color w:val="auto"/>
          <w:szCs w:val="21"/>
          <w:highlight w:val="none"/>
          <w:u w:val="single"/>
        </w:rPr>
      </w:pPr>
    </w:p>
    <w:p w14:paraId="539300FA">
      <w:pPr>
        <w:pStyle w:val="23"/>
        <w:rPr>
          <w:rFonts w:hint="eastAsia" w:ascii="新宋体" w:hAnsi="新宋体" w:eastAsia="新宋体" w:cs="新宋体"/>
          <w:color w:val="auto"/>
          <w:szCs w:val="21"/>
          <w:highlight w:val="none"/>
          <w:u w:val="single"/>
        </w:rPr>
      </w:pPr>
    </w:p>
    <w:p w14:paraId="52E0BE6C">
      <w:pPr>
        <w:pStyle w:val="23"/>
        <w:rPr>
          <w:rFonts w:hint="eastAsia" w:ascii="新宋体" w:hAnsi="新宋体" w:eastAsia="新宋体" w:cs="新宋体"/>
          <w:color w:val="auto"/>
          <w:szCs w:val="21"/>
          <w:highlight w:val="none"/>
          <w:u w:val="single"/>
        </w:rPr>
      </w:pPr>
    </w:p>
    <w:p w14:paraId="0E02FA8E">
      <w:pPr>
        <w:rPr>
          <w:rFonts w:hint="eastAsia" w:ascii="新宋体" w:hAnsi="新宋体" w:eastAsia="新宋体" w:cs="新宋体"/>
          <w:b/>
          <w:color w:val="auto"/>
          <w:sz w:val="30"/>
          <w:highlight w:val="none"/>
        </w:rPr>
      </w:pPr>
    </w:p>
    <w:p w14:paraId="73FFA802">
      <w:pPr>
        <w:rPr>
          <w:rFonts w:hint="eastAsia" w:ascii="新宋体" w:hAnsi="新宋体" w:eastAsia="新宋体" w:cs="新宋体"/>
          <w:color w:val="auto"/>
          <w:highlight w:val="none"/>
        </w:rPr>
      </w:pPr>
      <w:bookmarkStart w:id="30" w:name="_Toc18439"/>
      <w:bookmarkStart w:id="31" w:name="_Toc19081"/>
      <w:r>
        <w:rPr>
          <w:rFonts w:hint="eastAsia" w:ascii="新宋体" w:hAnsi="新宋体" w:eastAsia="新宋体" w:cs="新宋体"/>
          <w:color w:val="auto"/>
          <w:highlight w:val="none"/>
        </w:rPr>
        <w:br w:type="page"/>
      </w:r>
    </w:p>
    <w:p w14:paraId="53C0CEE8">
      <w:pPr>
        <w:pStyle w:val="3"/>
        <w:jc w:val="center"/>
        <w:rPr>
          <w:rFonts w:hint="eastAsia" w:ascii="新宋体" w:hAnsi="新宋体" w:eastAsia="新宋体" w:cs="新宋体"/>
          <w:color w:val="auto"/>
          <w:highlight w:val="none"/>
        </w:rPr>
      </w:pPr>
      <w:r>
        <w:rPr>
          <w:rFonts w:hint="eastAsia" w:ascii="新宋体" w:hAnsi="新宋体" w:eastAsia="新宋体" w:cs="新宋体"/>
          <w:color w:val="auto"/>
          <w:highlight w:val="none"/>
        </w:rPr>
        <w:t>第三部分</w:t>
      </w:r>
      <w:r>
        <w:rPr>
          <w:rFonts w:hint="eastAsia" w:ascii="新宋体" w:hAnsi="新宋体" w:eastAsia="新宋体" w:cs="新宋体"/>
          <w:color w:val="auto"/>
          <w:highlight w:val="none"/>
          <w:lang w:val="en-US" w:eastAsia="zh-CN"/>
        </w:rPr>
        <w:t xml:space="preserve">   </w:t>
      </w:r>
      <w:r>
        <w:rPr>
          <w:rFonts w:hint="eastAsia" w:ascii="新宋体" w:hAnsi="新宋体" w:eastAsia="新宋体" w:cs="新宋体"/>
          <w:color w:val="auto"/>
          <w:highlight w:val="none"/>
        </w:rPr>
        <w:t>附件</w:t>
      </w:r>
      <w:bookmarkEnd w:id="30"/>
      <w:bookmarkEnd w:id="31"/>
    </w:p>
    <w:p w14:paraId="75706B45">
      <w:pPr>
        <w:pStyle w:val="23"/>
        <w:spacing w:line="460" w:lineRule="exact"/>
        <w:ind w:left="433" w:hanging="433" w:hangingChars="196"/>
        <w:outlineLvl w:val="1"/>
        <w:rPr>
          <w:rFonts w:hint="eastAsia" w:ascii="新宋体" w:hAnsi="新宋体" w:eastAsia="新宋体" w:cs="新宋体"/>
          <w:b/>
          <w:color w:val="auto"/>
          <w:sz w:val="22"/>
          <w:highlight w:val="none"/>
        </w:rPr>
      </w:pPr>
      <w:bookmarkStart w:id="32" w:name="_Toc7056"/>
      <w:bookmarkStart w:id="33" w:name="_Toc6368"/>
      <w:r>
        <w:rPr>
          <w:rFonts w:hint="eastAsia" w:ascii="新宋体" w:hAnsi="新宋体" w:eastAsia="新宋体" w:cs="新宋体"/>
          <w:b/>
          <w:color w:val="auto"/>
          <w:sz w:val="22"/>
          <w:highlight w:val="none"/>
        </w:rPr>
        <w:t>附件一</w:t>
      </w:r>
      <w:bookmarkEnd w:id="32"/>
      <w:bookmarkEnd w:id="33"/>
    </w:p>
    <w:p w14:paraId="593427FD">
      <w:pPr>
        <w:spacing w:line="460" w:lineRule="exact"/>
        <w:jc w:val="center"/>
        <w:outlineLvl w:val="2"/>
        <w:rPr>
          <w:rFonts w:hint="eastAsia" w:ascii="新宋体" w:hAnsi="新宋体" w:eastAsia="新宋体" w:cs="新宋体"/>
          <w:color w:val="auto"/>
          <w:sz w:val="28"/>
          <w:szCs w:val="28"/>
          <w:highlight w:val="none"/>
        </w:rPr>
      </w:pPr>
      <w:bookmarkStart w:id="34" w:name="_Toc25309"/>
      <w:bookmarkStart w:id="35" w:name="_Toc4718"/>
      <w:bookmarkStart w:id="36" w:name="_Toc13365"/>
      <w:bookmarkStart w:id="37" w:name="_Toc5430"/>
      <w:r>
        <w:rPr>
          <w:rFonts w:hint="eastAsia" w:ascii="新宋体" w:hAnsi="新宋体" w:eastAsia="新宋体" w:cs="新宋体"/>
          <w:b/>
          <w:bCs/>
          <w:color w:val="auto"/>
          <w:sz w:val="28"/>
          <w:szCs w:val="28"/>
          <w:highlight w:val="none"/>
        </w:rPr>
        <w:t>资格证明文件</w:t>
      </w:r>
      <w:bookmarkEnd w:id="34"/>
      <w:bookmarkEnd w:id="35"/>
      <w:r>
        <w:rPr>
          <w:rFonts w:hint="eastAsia" w:ascii="新宋体" w:hAnsi="新宋体" w:eastAsia="新宋体" w:cs="新宋体"/>
          <w:color w:val="auto"/>
          <w:sz w:val="28"/>
          <w:szCs w:val="28"/>
          <w:highlight w:val="none"/>
        </w:rPr>
        <w:t xml:space="preserve"> </w:t>
      </w:r>
    </w:p>
    <w:p w14:paraId="0ADAB783">
      <w:pPr>
        <w:spacing w:line="400" w:lineRule="exact"/>
        <w:jc w:val="center"/>
        <w:outlineLvl w:val="9"/>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highlight w:val="none"/>
          <w:u w:val="single"/>
        </w:rPr>
        <w:t>（如为联合体投标，则联合体各方均须提供）</w:t>
      </w:r>
    </w:p>
    <w:p w14:paraId="0B91A126">
      <w:pPr>
        <w:spacing w:line="420" w:lineRule="exact"/>
        <w:jc w:val="center"/>
        <w:outlineLvl w:val="3"/>
        <w:rPr>
          <w:rFonts w:hint="eastAsia" w:ascii="新宋体" w:hAnsi="新宋体" w:eastAsia="新宋体" w:cs="新宋体"/>
          <w:b/>
          <w:bCs/>
          <w:color w:val="auto"/>
          <w:sz w:val="28"/>
          <w:szCs w:val="28"/>
          <w:highlight w:val="none"/>
          <w:lang w:val="zh-CN" w:eastAsia="zh-CN"/>
        </w:rPr>
      </w:pPr>
      <w:r>
        <w:rPr>
          <w:rFonts w:hint="eastAsia" w:ascii="新宋体" w:hAnsi="新宋体" w:eastAsia="新宋体" w:cs="新宋体"/>
          <w:b/>
          <w:bCs/>
          <w:color w:val="auto"/>
          <w:sz w:val="28"/>
          <w:szCs w:val="28"/>
          <w:highlight w:val="none"/>
          <w:lang w:val="zh-CN"/>
        </w:rPr>
        <w:t>1、资格条件承诺函</w:t>
      </w:r>
    </w:p>
    <w:p w14:paraId="4EE229C2">
      <w:pPr>
        <w:widowControl/>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eastAsia="zh-CN"/>
        </w:rPr>
        <w:t>温州市中心血站</w:t>
      </w:r>
      <w:r>
        <w:rPr>
          <w:rFonts w:hint="eastAsia" w:ascii="新宋体" w:hAnsi="新宋体" w:eastAsia="新宋体" w:cs="新宋体"/>
          <w:color w:val="auto"/>
          <w:kern w:val="0"/>
          <w:sz w:val="22"/>
          <w:szCs w:val="22"/>
          <w:highlight w:val="none"/>
        </w:rPr>
        <w:t>、温州历程招标有限公司：</w:t>
      </w:r>
    </w:p>
    <w:p w14:paraId="3E695861">
      <w:pPr>
        <w:widowControl/>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我方参与</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（项目名称、编号）投标，现郑重承诺，</w:t>
      </w:r>
      <w:r>
        <w:rPr>
          <w:rFonts w:hint="eastAsia" w:ascii="新宋体" w:hAnsi="新宋体" w:eastAsia="新宋体" w:cs="新宋体"/>
          <w:color w:val="auto"/>
          <w:kern w:val="0"/>
          <w:sz w:val="22"/>
          <w:szCs w:val="22"/>
          <w:highlight w:val="none"/>
        </w:rPr>
        <w:t>参加本次采购活动前3年内</w:t>
      </w:r>
      <w:r>
        <w:rPr>
          <w:rFonts w:hint="eastAsia" w:ascii="新宋体" w:hAnsi="新宋体" w:eastAsia="新宋体" w:cs="新宋体"/>
          <w:color w:val="auto"/>
          <w:sz w:val="22"/>
          <w:szCs w:val="22"/>
          <w:highlight w:val="none"/>
        </w:rPr>
        <w:t>：</w:t>
      </w:r>
    </w:p>
    <w:p w14:paraId="3AF99464">
      <w:pPr>
        <w:widowControl/>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1、我方符合《中华人民共和国政府采购法》第22条规定的资格条件，即</w:t>
      </w:r>
    </w:p>
    <w:p w14:paraId="34F88818">
      <w:pPr>
        <w:widowControl/>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（1）我方具有独立承担民事责任的能力；</w:t>
      </w:r>
    </w:p>
    <w:p w14:paraId="73A2C7C9">
      <w:pPr>
        <w:widowControl/>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（2）我方具有良好的商业信誉和健全的财务会计制度；</w:t>
      </w:r>
    </w:p>
    <w:p w14:paraId="6548FE96">
      <w:pPr>
        <w:widowControl/>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（3）我方具有履行合同所必需的设备和专业技术能力；</w:t>
      </w:r>
    </w:p>
    <w:p w14:paraId="7B4EB9DA">
      <w:pPr>
        <w:widowControl/>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（4）我方有依法缴纳税收和社会保障资金的良好记录；</w:t>
      </w:r>
    </w:p>
    <w:p w14:paraId="0E6FD6FA">
      <w:pPr>
        <w:widowControl/>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我方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6FC052AF">
      <w:pPr>
        <w:widowControl/>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2、到本项目投标截止时间为止，我方未被“信用中国（</w:t>
      </w: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HYPERLINK "http://www.creditchina.gov.cn）、"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kern w:val="0"/>
          <w:sz w:val="22"/>
          <w:szCs w:val="22"/>
          <w:highlight w:val="none"/>
        </w:rPr>
        <w:t>www.creditchina.gov.cn）、</w:t>
      </w:r>
      <w:r>
        <w:rPr>
          <w:rFonts w:hint="eastAsia" w:ascii="新宋体" w:hAnsi="新宋体" w:eastAsia="新宋体" w:cs="新宋体"/>
          <w:color w:val="auto"/>
          <w:kern w:val="0"/>
          <w:sz w:val="22"/>
          <w:szCs w:val="22"/>
          <w:highlight w:val="none"/>
        </w:rPr>
        <w:fldChar w:fldCharType="end"/>
      </w:r>
      <w:r>
        <w:rPr>
          <w:rFonts w:hint="eastAsia" w:ascii="新宋体" w:hAnsi="新宋体" w:eastAsia="新宋体" w:cs="新宋体"/>
          <w:color w:val="auto"/>
          <w:kern w:val="0"/>
          <w:sz w:val="22"/>
          <w:szCs w:val="22"/>
          <w:highlight w:val="none"/>
        </w:rPr>
        <w:t xml:space="preserve"> 中国政府采购网（www.ccgp.gov.cn）列入失信被执行人名单、重大税收违法案件当事人名单、政府采购严重违法失信行为记录名单。</w:t>
      </w:r>
    </w:p>
    <w:p w14:paraId="461A9A1B">
      <w:pPr>
        <w:widowControl/>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3、我方与参加本次项目同一合同项下政府采购活动的其他供应商不存在单位负责人为同一人或者直接控股、管理关系。</w:t>
      </w:r>
    </w:p>
    <w:p w14:paraId="349105F8">
      <w:pPr>
        <w:widowControl/>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4、我方不属于公益一类事业单位。</w:t>
      </w:r>
    </w:p>
    <w:p w14:paraId="2C08ABE5">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p>
    <w:p w14:paraId="3BA474CB">
      <w:pPr>
        <w:widowControl/>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以上承诺如有虚假，愿接受取消我方任何资格（投标/成交/签订合同）及其他任何形式的处理。</w:t>
      </w:r>
    </w:p>
    <w:p w14:paraId="4E4610C5">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p>
    <w:p w14:paraId="42DE86BC">
      <w:pPr>
        <w:snapToGrid w:val="0"/>
        <w:spacing w:line="460" w:lineRule="exact"/>
        <w:ind w:firstLine="5060" w:firstLineChars="2300"/>
        <w:rPr>
          <w:rFonts w:hint="eastAsia" w:ascii="新宋体" w:hAnsi="新宋体" w:eastAsia="新宋体" w:cs="新宋体"/>
          <w:color w:val="auto"/>
          <w:kern w:val="0"/>
          <w:sz w:val="22"/>
          <w:szCs w:val="22"/>
          <w:highlight w:val="none"/>
          <w:lang w:val="zh-CN"/>
        </w:rPr>
      </w:pPr>
    </w:p>
    <w:p w14:paraId="270FFB35">
      <w:pPr>
        <w:widowControl/>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投标人全称（盖章） ：</w:t>
      </w:r>
    </w:p>
    <w:p w14:paraId="39B4C292">
      <w:pPr>
        <w:widowControl/>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法定代表人或其授权代表（签字或盖章）：</w:t>
      </w:r>
    </w:p>
    <w:p w14:paraId="59B8431C">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p>
    <w:p w14:paraId="617F4B14">
      <w:pPr>
        <w:pStyle w:val="23"/>
        <w:spacing w:line="460" w:lineRule="exact"/>
        <w:ind w:left="479" w:leftChars="228" w:firstLine="5280" w:firstLineChars="24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日期：     年  月  日</w:t>
      </w:r>
    </w:p>
    <w:p w14:paraId="18267F4A">
      <w:pPr>
        <w:rPr>
          <w:rFonts w:hint="eastAsia" w:ascii="新宋体" w:hAnsi="新宋体" w:eastAsia="新宋体" w:cs="新宋体"/>
          <w:color w:val="auto"/>
          <w:highlight w:val="none"/>
        </w:rPr>
      </w:pPr>
    </w:p>
    <w:p w14:paraId="1970A09B">
      <w:pPr>
        <w:rPr>
          <w:rFonts w:hint="eastAsia" w:ascii="新宋体" w:hAnsi="新宋体" w:eastAsia="新宋体" w:cs="新宋体"/>
          <w:color w:val="auto"/>
          <w:highlight w:val="none"/>
        </w:rPr>
      </w:pPr>
    </w:p>
    <w:p w14:paraId="652B277A">
      <w:pPr>
        <w:spacing w:line="420" w:lineRule="exact"/>
        <w:jc w:val="center"/>
        <w:outlineLvl w:val="3"/>
        <w:rPr>
          <w:rFonts w:hint="eastAsia" w:ascii="新宋体" w:hAnsi="新宋体" w:eastAsia="新宋体" w:cs="新宋体"/>
          <w:b/>
          <w:bCs/>
          <w:color w:val="auto"/>
          <w:sz w:val="28"/>
          <w:szCs w:val="28"/>
          <w:highlight w:val="none"/>
          <w:lang w:val="zh-CN"/>
        </w:rPr>
      </w:pPr>
      <w:r>
        <w:rPr>
          <w:rFonts w:hint="eastAsia" w:ascii="新宋体" w:hAnsi="新宋体" w:eastAsia="新宋体" w:cs="新宋体"/>
          <w:b/>
          <w:bCs/>
          <w:color w:val="auto"/>
          <w:sz w:val="28"/>
          <w:szCs w:val="28"/>
          <w:highlight w:val="none"/>
          <w:lang w:val="zh-CN"/>
        </w:rPr>
        <w:t>2、有效营业执照</w:t>
      </w:r>
    </w:p>
    <w:p w14:paraId="579887D5">
      <w:pPr>
        <w:pStyle w:val="48"/>
        <w:tabs>
          <w:tab w:val="left" w:pos="630"/>
          <w:tab w:val="left" w:pos="840"/>
          <w:tab w:val="left" w:pos="1050"/>
        </w:tabs>
        <w:adjustRightInd w:val="0"/>
        <w:snapToGrid w:val="0"/>
        <w:spacing w:before="0" w:beforeAutospacing="0" w:after="0" w:afterAutospacing="0" w:line="360" w:lineRule="auto"/>
        <w:ind w:left="420"/>
        <w:rPr>
          <w:rFonts w:hint="eastAsia" w:ascii="新宋体" w:hAnsi="新宋体" w:eastAsia="新宋体" w:cs="新宋体"/>
          <w:bCs/>
          <w:color w:val="auto"/>
          <w:highlight w:val="none"/>
        </w:rPr>
      </w:pPr>
    </w:p>
    <w:p w14:paraId="478C4D1A">
      <w:pPr>
        <w:widowControl/>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投标人须在投标文件中出具符合以下情况的证明材料复印件（五选一）：</w:t>
      </w:r>
    </w:p>
    <w:p w14:paraId="43562742">
      <w:pPr>
        <w:widowControl/>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①如投标人是企业（包括合伙企业），提供在工商部门注册的有效“企业法人营业执照”或“营业执照”；</w:t>
      </w:r>
    </w:p>
    <w:p w14:paraId="0AE983DB">
      <w:pPr>
        <w:widowControl/>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②如投标人是事业单位，提供有效的“事业单位法人证书”；</w:t>
      </w:r>
    </w:p>
    <w:p w14:paraId="4D64761A">
      <w:pPr>
        <w:widowControl/>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③如投标人是非企业专业服务机构的，提供执业许可证等证明文件；</w:t>
      </w:r>
    </w:p>
    <w:p w14:paraId="662408A8">
      <w:pPr>
        <w:widowControl/>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④如投标人是个体工商户，提供有效的“个体工商户营业执照”；</w:t>
      </w:r>
    </w:p>
    <w:p w14:paraId="6D3E567F">
      <w:pPr>
        <w:widowControl/>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⑤如投标人是自然人，提供有效的自然人身份证明（居民身份证正反面或公安机关出具的临时居民身份证正反面或港澳台胞证或护照）。</w:t>
      </w:r>
    </w:p>
    <w:p w14:paraId="4F47FA22">
      <w:pPr>
        <w:pStyle w:val="48"/>
        <w:tabs>
          <w:tab w:val="left" w:pos="312"/>
        </w:tabs>
        <w:adjustRightInd w:val="0"/>
        <w:snapToGrid w:val="0"/>
        <w:spacing w:before="0" w:beforeAutospacing="0" w:after="0" w:afterAutospacing="0" w:line="360" w:lineRule="auto"/>
        <w:rPr>
          <w:rFonts w:hint="eastAsia" w:ascii="新宋体" w:hAnsi="新宋体" w:eastAsia="新宋体" w:cs="新宋体"/>
          <w:bCs/>
          <w:color w:val="auto"/>
          <w:sz w:val="22"/>
          <w:szCs w:val="22"/>
          <w:highlight w:val="none"/>
        </w:rPr>
      </w:pPr>
    </w:p>
    <w:p w14:paraId="4441DE4B">
      <w:pPr>
        <w:widowControl/>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3BAAE564">
      <w:pPr>
        <w:rPr>
          <w:rFonts w:hint="eastAsia" w:ascii="新宋体" w:hAnsi="新宋体" w:eastAsia="新宋体" w:cs="新宋体"/>
          <w:color w:val="auto"/>
          <w:highlight w:val="none"/>
        </w:rPr>
      </w:pPr>
    </w:p>
    <w:p w14:paraId="5EB9EAD8">
      <w:pPr>
        <w:rPr>
          <w:rFonts w:hint="eastAsia" w:ascii="新宋体" w:hAnsi="新宋体" w:eastAsia="新宋体" w:cs="新宋体"/>
          <w:color w:val="auto"/>
          <w:highlight w:val="none"/>
        </w:rPr>
      </w:pPr>
    </w:p>
    <w:p w14:paraId="495B3E83">
      <w:pPr>
        <w:rPr>
          <w:rFonts w:hint="eastAsia" w:ascii="新宋体" w:hAnsi="新宋体" w:eastAsia="新宋体" w:cs="新宋体"/>
          <w:color w:val="auto"/>
          <w:highlight w:val="none"/>
        </w:rPr>
      </w:pPr>
    </w:p>
    <w:p w14:paraId="485B092D">
      <w:pPr>
        <w:rPr>
          <w:rFonts w:hint="eastAsia" w:ascii="新宋体" w:hAnsi="新宋体" w:eastAsia="新宋体" w:cs="新宋体"/>
          <w:color w:val="auto"/>
          <w:highlight w:val="none"/>
        </w:rPr>
      </w:pPr>
    </w:p>
    <w:p w14:paraId="6CEC47EA">
      <w:pPr>
        <w:spacing w:line="420" w:lineRule="exact"/>
        <w:jc w:val="center"/>
        <w:outlineLvl w:val="3"/>
        <w:rPr>
          <w:rFonts w:hint="eastAsia" w:ascii="新宋体" w:hAnsi="新宋体" w:eastAsia="新宋体" w:cs="新宋体"/>
          <w:b/>
          <w:bCs/>
          <w:color w:val="auto"/>
          <w:sz w:val="28"/>
          <w:szCs w:val="28"/>
          <w:highlight w:val="none"/>
          <w:lang w:val="zh-CN"/>
        </w:rPr>
      </w:pPr>
      <w:r>
        <w:rPr>
          <w:rFonts w:hint="eastAsia" w:ascii="新宋体" w:hAnsi="新宋体" w:eastAsia="新宋体" w:cs="新宋体"/>
          <w:b/>
          <w:bCs/>
          <w:color w:val="auto"/>
          <w:sz w:val="28"/>
          <w:szCs w:val="28"/>
          <w:highlight w:val="none"/>
          <w:lang w:val="zh-CN"/>
        </w:rPr>
        <w:t>3、投标人信用查询</w:t>
      </w:r>
    </w:p>
    <w:p w14:paraId="196DE83A">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（1）投标人信用信息查询的查询渠道：“信用中国”（https://www.creditchina.gov.cn/）；“中国政府采购网”（http://www.ccgp.gov.cn/）；</w:t>
      </w:r>
    </w:p>
    <w:p w14:paraId="5DE8267C">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（2）投标人信用信息查询截止时点：招标公告发布之日至投标截止时间前。</w:t>
      </w:r>
    </w:p>
    <w:p w14:paraId="600922E6">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（3）投标人信用信息查询记录和证据留存的具体方式：网页截图；</w:t>
      </w:r>
    </w:p>
    <w:p w14:paraId="30B255E7">
      <w:pPr>
        <w:tabs>
          <w:tab w:val="left" w:pos="360"/>
        </w:tabs>
        <w:spacing w:line="460" w:lineRule="exact"/>
        <w:ind w:firstLine="552" w:firstLineChars="25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highlight w:val="none"/>
          <w:u w:val="single"/>
        </w:rPr>
        <w:t>（4）信用信息的使用规则：对列入失信被执行人、重大税收违法案件当事人名单、政府采购严重违法失信行为记录名单及其他不符合《中华人民共和国政府采购法》第二十二条规定条件的投标人，其投标做无效投标处理。</w:t>
      </w:r>
    </w:p>
    <w:p w14:paraId="6357806B">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（5）联合体成员任意一方存在不良信用记录的，视同联合体存在不良信用记录。（如为联合体投标，则联合体各方均须提供）</w:t>
      </w:r>
    </w:p>
    <w:p w14:paraId="43F9F7BD">
      <w:pPr>
        <w:spacing w:line="460" w:lineRule="exact"/>
        <w:rPr>
          <w:rFonts w:hint="eastAsia" w:ascii="新宋体" w:hAnsi="新宋体" w:eastAsia="新宋体" w:cs="新宋体"/>
          <w:b/>
          <w:bCs/>
          <w:color w:val="auto"/>
          <w:sz w:val="22"/>
          <w:szCs w:val="22"/>
          <w:highlight w:val="none"/>
        </w:rPr>
      </w:pPr>
    </w:p>
    <w:p w14:paraId="2399A9BD">
      <w:pPr>
        <w:spacing w:line="460" w:lineRule="exact"/>
        <w:rPr>
          <w:rFonts w:hint="eastAsia" w:ascii="新宋体" w:hAnsi="新宋体" w:eastAsia="新宋体" w:cs="新宋体"/>
          <w:b/>
          <w:bCs/>
          <w:color w:val="auto"/>
          <w:sz w:val="22"/>
          <w:szCs w:val="22"/>
          <w:highlight w:val="none"/>
        </w:rPr>
      </w:pPr>
    </w:p>
    <w:p w14:paraId="0FFA350C">
      <w:pPr>
        <w:spacing w:line="460" w:lineRule="exact"/>
        <w:rPr>
          <w:rFonts w:hint="eastAsia" w:ascii="新宋体" w:hAnsi="新宋体" w:eastAsia="新宋体" w:cs="新宋体"/>
          <w:b/>
          <w:bCs/>
          <w:color w:val="auto"/>
          <w:sz w:val="22"/>
          <w:szCs w:val="22"/>
          <w:highlight w:val="none"/>
        </w:rPr>
      </w:pPr>
    </w:p>
    <w:p w14:paraId="3522B3FB">
      <w:pPr>
        <w:spacing w:line="460" w:lineRule="exact"/>
        <w:rPr>
          <w:rFonts w:hint="eastAsia" w:ascii="新宋体" w:hAnsi="新宋体" w:eastAsia="新宋体" w:cs="新宋体"/>
          <w:b/>
          <w:bCs/>
          <w:color w:val="auto"/>
          <w:sz w:val="22"/>
          <w:szCs w:val="22"/>
          <w:highlight w:val="none"/>
        </w:rPr>
      </w:pPr>
    </w:p>
    <w:p w14:paraId="0C3CDFAF">
      <w:pPr>
        <w:spacing w:line="420" w:lineRule="exact"/>
        <w:jc w:val="center"/>
        <w:outlineLvl w:val="3"/>
        <w:rPr>
          <w:rFonts w:hint="eastAsia" w:ascii="新宋体" w:hAnsi="新宋体" w:eastAsia="新宋体" w:cs="新宋体"/>
          <w:b/>
          <w:bCs/>
          <w:color w:val="auto"/>
          <w:sz w:val="28"/>
          <w:szCs w:val="28"/>
          <w:highlight w:val="none"/>
          <w:lang w:val="zh-CN"/>
        </w:rPr>
      </w:pPr>
      <w:r>
        <w:rPr>
          <w:rFonts w:hint="eastAsia" w:ascii="新宋体" w:hAnsi="新宋体" w:eastAsia="新宋体" w:cs="新宋体"/>
          <w:b/>
          <w:bCs/>
          <w:color w:val="auto"/>
          <w:sz w:val="28"/>
          <w:szCs w:val="28"/>
          <w:highlight w:val="none"/>
          <w:lang w:val="en-US" w:eastAsia="zh-CN"/>
        </w:rPr>
        <w:t>4</w:t>
      </w:r>
      <w:r>
        <w:rPr>
          <w:rFonts w:hint="eastAsia" w:ascii="新宋体" w:hAnsi="新宋体" w:eastAsia="新宋体" w:cs="新宋体"/>
          <w:b/>
          <w:bCs/>
          <w:color w:val="auto"/>
          <w:sz w:val="28"/>
          <w:szCs w:val="28"/>
          <w:highlight w:val="none"/>
          <w:lang w:val="zh-CN"/>
        </w:rPr>
        <w:t>、政府采购活动现场确认声明书</w:t>
      </w:r>
    </w:p>
    <w:p w14:paraId="50E67582">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kern w:val="0"/>
          <w:sz w:val="22"/>
          <w:szCs w:val="22"/>
          <w:highlight w:val="none"/>
        </w:rPr>
        <w:t>温州历程招标有限公司：</w:t>
      </w:r>
    </w:p>
    <w:p w14:paraId="44B47693">
      <w:pPr>
        <w:spacing w:line="460" w:lineRule="exact"/>
        <w:ind w:firstLine="440" w:firstLineChars="200"/>
        <w:rPr>
          <w:rFonts w:hint="eastAsia" w:ascii="新宋体" w:hAnsi="新宋体" w:eastAsia="新宋体" w:cs="新宋体"/>
          <w:color w:val="auto"/>
          <w:highlight w:val="none"/>
        </w:rPr>
      </w:pPr>
      <w:r>
        <w:rPr>
          <w:rFonts w:hint="eastAsia" w:ascii="新宋体" w:hAnsi="新宋体" w:eastAsia="新宋体" w:cs="新宋体"/>
          <w:color w:val="auto"/>
          <w:kern w:val="0"/>
          <w:sz w:val="22"/>
          <w:szCs w:val="22"/>
          <w:highlight w:val="none"/>
        </w:rPr>
        <w:t>本人经由</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（供应商名称）负责人</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（姓名）合法授权参加</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项目（编号：</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）采购活动，经与本单位法人代表（负责人）联系确认，现就有关公平竞争事项郑重声明如下：</w:t>
      </w:r>
    </w:p>
    <w:p w14:paraId="0FFFE8A2">
      <w:pPr>
        <w:numPr>
          <w:ilvl w:val="0"/>
          <w:numId w:val="0"/>
        </w:num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lang w:val="en-US" w:eastAsia="zh-CN"/>
        </w:rPr>
        <w:t>一</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rPr>
        <w:t>本单位与</w:t>
      </w:r>
      <w:r>
        <w:rPr>
          <w:rFonts w:hint="eastAsia" w:ascii="新宋体" w:hAnsi="新宋体" w:eastAsia="新宋体" w:cs="新宋体"/>
          <w:color w:val="auto"/>
          <w:kern w:val="0"/>
          <w:sz w:val="22"/>
          <w:szCs w:val="22"/>
          <w:highlight w:val="none"/>
          <w:lang w:eastAsia="zh-CN"/>
        </w:rPr>
        <w:t>采购人</w:t>
      </w:r>
      <w:r>
        <w:rPr>
          <w:rFonts w:hint="eastAsia" w:ascii="新宋体" w:hAnsi="新宋体" w:eastAsia="新宋体" w:cs="新宋体"/>
          <w:color w:val="auto"/>
          <w:kern w:val="0"/>
          <w:sz w:val="22"/>
          <w:szCs w:val="22"/>
          <w:highlight w:val="none"/>
        </w:rPr>
        <w:t xml:space="preserve">之间 </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rPr>
        <w:t xml:space="preserve">不存在利害关系 </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rPr>
        <w:t>存在下列利害关系：</w:t>
      </w:r>
    </w:p>
    <w:p w14:paraId="511FDD2B">
      <w:pPr>
        <w:spacing w:line="460" w:lineRule="exact"/>
        <w:ind w:firstLine="660" w:firstLineChars="3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A.投资关系    </w:t>
      </w:r>
    </w:p>
    <w:p w14:paraId="52654761">
      <w:pPr>
        <w:spacing w:line="460" w:lineRule="exact"/>
        <w:ind w:firstLine="660" w:firstLineChars="3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B.行政隶属关系    </w:t>
      </w:r>
    </w:p>
    <w:p w14:paraId="2DC56F71">
      <w:pPr>
        <w:spacing w:line="460" w:lineRule="exact"/>
        <w:ind w:firstLine="660" w:firstLineChars="3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C.业务指导关系  </w:t>
      </w:r>
    </w:p>
    <w:p w14:paraId="7A9990EE">
      <w:pPr>
        <w:spacing w:line="460" w:lineRule="exact"/>
        <w:ind w:firstLine="660" w:firstLineChars="300"/>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D.其他可能影响采购公正的利害关系</w:t>
      </w:r>
      <w:r>
        <w:rPr>
          <w:rStyle w:val="333"/>
          <w:rFonts w:hint="eastAsia" w:ascii="新宋体" w:hAnsi="新宋体" w:eastAsia="新宋体" w:cs="新宋体"/>
          <w:color w:val="auto"/>
          <w:sz w:val="22"/>
          <w:szCs w:val="22"/>
          <w:highlight w:val="none"/>
        </w:rPr>
        <w:t xml:space="preserve">（如有，请如实说明）                 </w:t>
      </w:r>
      <w:r>
        <w:rPr>
          <w:rFonts w:hint="eastAsia" w:ascii="新宋体" w:hAnsi="新宋体" w:eastAsia="新宋体" w:cs="新宋体"/>
          <w:color w:val="auto"/>
          <w:kern w:val="0"/>
          <w:sz w:val="22"/>
          <w:szCs w:val="22"/>
          <w:highlight w:val="none"/>
        </w:rPr>
        <w:t>。</w:t>
      </w:r>
    </w:p>
    <w:p w14:paraId="64081AEC">
      <w:pPr>
        <w:numPr>
          <w:ilvl w:val="0"/>
          <w:numId w:val="0"/>
        </w:num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lang w:val="en-US" w:eastAsia="zh-CN"/>
        </w:rPr>
        <w:t>二</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rPr>
        <w:t xml:space="preserve">现已清楚知道参加本项目采购活动的其他所有供应商名称，本单位 </w:t>
      </w:r>
    </w:p>
    <w:p w14:paraId="4FB65180">
      <w:pPr>
        <w:numPr>
          <w:ilvl w:val="0"/>
          <w:numId w:val="0"/>
        </w:numPr>
        <w:spacing w:line="460" w:lineRule="exact"/>
        <w:ind w:firstLine="660" w:firstLineChars="3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rPr>
        <w:t>与其他所有供应商之间均不存在利害关系</w:t>
      </w:r>
    </w:p>
    <w:p w14:paraId="7E1A222D">
      <w:pPr>
        <w:numPr>
          <w:ilvl w:val="0"/>
          <w:numId w:val="0"/>
        </w:numPr>
        <w:spacing w:line="460" w:lineRule="exact"/>
        <w:ind w:firstLine="660" w:firstLineChars="3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rPr>
        <w:t>与</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供应商名称）之间存在下列利害关系</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w:t>
      </w:r>
    </w:p>
    <w:p w14:paraId="1E91E17B">
      <w:pPr>
        <w:numPr>
          <w:ilvl w:val="0"/>
          <w:numId w:val="0"/>
        </w:numPr>
        <w:spacing w:line="460" w:lineRule="exact"/>
        <w:ind w:firstLine="660" w:firstLineChars="3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en-US" w:eastAsia="zh-CN"/>
        </w:rPr>
        <w:t>A.</w:t>
      </w:r>
      <w:r>
        <w:rPr>
          <w:rFonts w:hint="eastAsia" w:ascii="新宋体" w:hAnsi="新宋体" w:eastAsia="新宋体" w:cs="新宋体"/>
          <w:color w:val="auto"/>
          <w:kern w:val="0"/>
          <w:sz w:val="22"/>
          <w:szCs w:val="22"/>
          <w:highlight w:val="none"/>
        </w:rPr>
        <w:t>法定代表人或负责人或实际控制人是同一人</w:t>
      </w:r>
    </w:p>
    <w:p w14:paraId="2634A8CF">
      <w:pPr>
        <w:numPr>
          <w:ilvl w:val="0"/>
          <w:numId w:val="0"/>
        </w:numPr>
        <w:spacing w:line="460" w:lineRule="exact"/>
        <w:ind w:firstLine="660" w:firstLineChars="3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B.法定代表人或负责人或实际控制人是夫妻关系</w:t>
      </w:r>
    </w:p>
    <w:p w14:paraId="3FD90C23">
      <w:pPr>
        <w:numPr>
          <w:ilvl w:val="0"/>
          <w:numId w:val="0"/>
        </w:numPr>
        <w:spacing w:line="460" w:lineRule="exact"/>
        <w:ind w:firstLine="660" w:firstLineChars="3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C.法定代表人或负责人或实际控制人是直系血亲关系</w:t>
      </w:r>
    </w:p>
    <w:p w14:paraId="3B1077E9">
      <w:pPr>
        <w:numPr>
          <w:ilvl w:val="0"/>
          <w:numId w:val="0"/>
        </w:numPr>
        <w:spacing w:line="460" w:lineRule="exact"/>
        <w:ind w:firstLine="660" w:firstLineChars="3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D.法定代表人或负责人或实际控制人存在三代以内旁系血亲关系</w:t>
      </w:r>
    </w:p>
    <w:p w14:paraId="6D1F6DCF">
      <w:pPr>
        <w:numPr>
          <w:ilvl w:val="0"/>
          <w:numId w:val="0"/>
        </w:numPr>
        <w:spacing w:line="460" w:lineRule="exact"/>
        <w:ind w:firstLine="660" w:firstLineChars="300"/>
        <w:rPr>
          <w:rFonts w:hint="eastAsia"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lang w:val="en-US" w:eastAsia="zh-CN"/>
        </w:rPr>
        <w:t>E.法定代表人或负责人或实际控制人存在近姻亲关系</w:t>
      </w:r>
    </w:p>
    <w:p w14:paraId="025D92F8">
      <w:pPr>
        <w:numPr>
          <w:ilvl w:val="0"/>
          <w:numId w:val="0"/>
        </w:numPr>
        <w:spacing w:line="460" w:lineRule="exact"/>
        <w:ind w:firstLine="660" w:firstLineChars="3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F.法定代表人或负责人或实际控制人存在股份控制或实际控制关系</w:t>
      </w:r>
    </w:p>
    <w:p w14:paraId="222CD965">
      <w:pPr>
        <w:numPr>
          <w:ilvl w:val="0"/>
          <w:numId w:val="0"/>
        </w:numPr>
        <w:spacing w:line="460" w:lineRule="exact"/>
        <w:ind w:firstLine="660" w:firstLineChars="3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G.存在共同直接或间接投资设立子公司、联营企业和合营企业情况</w:t>
      </w:r>
    </w:p>
    <w:p w14:paraId="25C7ADE8">
      <w:pPr>
        <w:numPr>
          <w:ilvl w:val="0"/>
          <w:numId w:val="0"/>
        </w:numPr>
        <w:spacing w:line="460" w:lineRule="exact"/>
        <w:ind w:firstLine="660" w:firstLineChars="3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H.存在分级代理或代销关系、同一生产制造商关系、管理关系、重要业务（占主营业务收入50%以上）或重要财务往来关系（如融资）等其他实质性控制关系</w:t>
      </w:r>
    </w:p>
    <w:p w14:paraId="72A7404B">
      <w:pPr>
        <w:numPr>
          <w:ilvl w:val="0"/>
          <w:numId w:val="0"/>
        </w:numPr>
        <w:spacing w:line="460" w:lineRule="exact"/>
        <w:ind w:firstLine="660" w:firstLineChars="3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I.其他利害关系情况</w:t>
      </w:r>
      <w:r>
        <w:rPr>
          <w:rFonts w:hint="eastAsia" w:ascii="新宋体" w:hAnsi="新宋体" w:eastAsia="新宋体" w:cs="新宋体"/>
          <w:color w:val="auto"/>
          <w:kern w:val="0"/>
          <w:sz w:val="22"/>
          <w:szCs w:val="22"/>
          <w:highlight w:val="none"/>
          <w:u w:val="single"/>
        </w:rPr>
        <w:t xml:space="preserve">                              。</w:t>
      </w:r>
    </w:p>
    <w:p w14:paraId="78228A6F">
      <w:pPr>
        <w:pStyle w:val="23"/>
        <w:spacing w:line="460" w:lineRule="exact"/>
        <w:ind w:left="0" w:firstLine="0" w:firstLineChars="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（三）现已清楚知道并严格遵守政府采购法律法规和现场纪律</w:t>
      </w:r>
    </w:p>
    <w:p w14:paraId="335AED8D">
      <w:pPr>
        <w:pStyle w:val="23"/>
        <w:spacing w:line="460" w:lineRule="exact"/>
        <w:ind w:left="0" w:firstLine="0" w:firstLineChars="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（四）我发现</w:t>
      </w:r>
      <w:r>
        <w:rPr>
          <w:rStyle w:val="333"/>
          <w:rFonts w:hint="eastAsia" w:ascii="新宋体" w:hAnsi="新宋体" w:eastAsia="新宋体" w:cs="新宋体"/>
          <w:color w:val="auto"/>
          <w:sz w:val="22"/>
          <w:szCs w:val="22"/>
          <w:highlight w:val="none"/>
        </w:rPr>
        <w:t xml:space="preserve">                  </w:t>
      </w:r>
      <w:r>
        <w:rPr>
          <w:rStyle w:val="333"/>
          <w:rFonts w:hint="eastAsia" w:ascii="新宋体" w:hAnsi="新宋体" w:eastAsia="新宋体" w:cs="新宋体"/>
          <w:color w:val="auto"/>
          <w:sz w:val="22"/>
          <w:szCs w:val="22"/>
          <w:highlight w:val="none"/>
          <w:u w:val="none"/>
        </w:rPr>
        <w:t>与</w:t>
      </w:r>
      <w:r>
        <w:rPr>
          <w:rStyle w:val="333"/>
          <w:rFonts w:hint="eastAsia" w:ascii="新宋体" w:hAnsi="新宋体" w:eastAsia="新宋体" w:cs="新宋体"/>
          <w:color w:val="auto"/>
          <w:sz w:val="22"/>
          <w:szCs w:val="22"/>
          <w:highlight w:val="none"/>
        </w:rPr>
        <w:t xml:space="preserve">                  （供应商名称）</w:t>
      </w:r>
      <w:r>
        <w:rPr>
          <w:rFonts w:hint="eastAsia" w:ascii="新宋体" w:hAnsi="新宋体" w:eastAsia="新宋体" w:cs="新宋体"/>
          <w:color w:val="auto"/>
          <w:kern w:val="0"/>
          <w:sz w:val="22"/>
          <w:szCs w:val="22"/>
          <w:highlight w:val="none"/>
        </w:rPr>
        <w:t>之间存在或可能存在上述第二条第</w:t>
      </w:r>
      <w:r>
        <w:rPr>
          <w:rStyle w:val="333"/>
          <w:rFonts w:hint="eastAsia" w:ascii="新宋体" w:hAnsi="新宋体" w:eastAsia="新宋体" w:cs="新宋体"/>
          <w:color w:val="auto"/>
          <w:sz w:val="22"/>
          <w:szCs w:val="22"/>
          <w:highlight w:val="none"/>
        </w:rPr>
        <w:t xml:space="preserve">        </w:t>
      </w:r>
      <w:r>
        <w:rPr>
          <w:rFonts w:hint="eastAsia" w:ascii="新宋体" w:hAnsi="新宋体" w:eastAsia="新宋体" w:cs="新宋体"/>
          <w:color w:val="auto"/>
          <w:kern w:val="0"/>
          <w:sz w:val="22"/>
          <w:szCs w:val="22"/>
          <w:highlight w:val="none"/>
        </w:rPr>
        <w:t>项利害关系。</w:t>
      </w:r>
    </w:p>
    <w:p w14:paraId="5E16DC9B">
      <w:pPr>
        <w:pStyle w:val="23"/>
        <w:spacing w:line="460" w:lineRule="exact"/>
        <w:ind w:left="0" w:firstLine="0" w:firstLineChars="0"/>
        <w:rPr>
          <w:rFonts w:hint="eastAsia" w:ascii="新宋体" w:hAnsi="新宋体" w:eastAsia="新宋体" w:cs="新宋体"/>
          <w:b/>
          <w:color w:val="auto"/>
          <w:kern w:val="0"/>
          <w:sz w:val="22"/>
          <w:szCs w:val="22"/>
          <w:highlight w:val="none"/>
          <w:lang w:eastAsia="zh-CN"/>
        </w:rPr>
      </w:pPr>
      <w:r>
        <w:rPr>
          <w:rFonts w:hint="eastAsia" w:ascii="新宋体" w:hAnsi="新宋体" w:eastAsia="新宋体" w:cs="新宋体"/>
          <w:b/>
          <w:color w:val="auto"/>
          <w:kern w:val="0"/>
          <w:sz w:val="22"/>
          <w:szCs w:val="22"/>
          <w:highlight w:val="none"/>
        </w:rPr>
        <w:t>供应商代表签名</w:t>
      </w:r>
      <w:r>
        <w:rPr>
          <w:rFonts w:hint="eastAsia" w:ascii="新宋体" w:hAnsi="新宋体" w:eastAsia="新宋体" w:cs="新宋体"/>
          <w:b/>
          <w:color w:val="auto"/>
          <w:kern w:val="0"/>
          <w:sz w:val="22"/>
          <w:szCs w:val="22"/>
          <w:highlight w:val="none"/>
          <w:lang w:eastAsia="zh-CN"/>
        </w:rPr>
        <w:t>：</w:t>
      </w:r>
    </w:p>
    <w:p w14:paraId="668C6C19">
      <w:pPr>
        <w:pStyle w:val="23"/>
        <w:spacing w:line="460" w:lineRule="exact"/>
        <w:ind w:left="0" w:firstLine="0" w:firstLineChars="0"/>
        <w:jc w:val="right"/>
        <w:rPr>
          <w:rFonts w:hint="eastAsia" w:ascii="新宋体" w:hAnsi="新宋体" w:eastAsia="新宋体" w:cs="新宋体"/>
          <w:b/>
          <w:color w:val="auto"/>
          <w:kern w:val="0"/>
          <w:sz w:val="22"/>
          <w:szCs w:val="22"/>
          <w:highlight w:val="none"/>
        </w:rPr>
      </w:pPr>
    </w:p>
    <w:p w14:paraId="212AB808">
      <w:pPr>
        <w:pStyle w:val="23"/>
        <w:spacing w:line="460" w:lineRule="exact"/>
        <w:ind w:left="0" w:firstLine="0" w:firstLineChars="0"/>
        <w:jc w:val="right"/>
        <w:rPr>
          <w:rFonts w:hint="eastAsia" w:ascii="新宋体" w:hAnsi="新宋体" w:eastAsia="新宋体" w:cs="新宋体"/>
          <w:b/>
          <w:color w:val="auto"/>
          <w:kern w:val="0"/>
          <w:sz w:val="22"/>
          <w:szCs w:val="22"/>
          <w:highlight w:val="none"/>
        </w:rPr>
      </w:pPr>
    </w:p>
    <w:p w14:paraId="31B134AA">
      <w:pPr>
        <w:pStyle w:val="23"/>
        <w:spacing w:line="460" w:lineRule="exact"/>
        <w:ind w:left="0" w:firstLine="0" w:firstLineChars="0"/>
        <w:jc w:val="right"/>
        <w:rPr>
          <w:rFonts w:hint="eastAsia" w:ascii="新宋体" w:hAnsi="新宋体" w:eastAsia="新宋体" w:cs="新宋体"/>
          <w:b/>
          <w:bCs/>
          <w:color w:val="auto"/>
          <w:sz w:val="22"/>
          <w:szCs w:val="22"/>
          <w:highlight w:val="none"/>
        </w:rPr>
      </w:pPr>
      <w:r>
        <w:rPr>
          <w:rFonts w:hint="eastAsia" w:ascii="新宋体" w:hAnsi="新宋体" w:eastAsia="新宋体" w:cs="新宋体"/>
          <w:b/>
          <w:color w:val="auto"/>
          <w:kern w:val="0"/>
          <w:sz w:val="22"/>
          <w:szCs w:val="22"/>
          <w:highlight w:val="none"/>
        </w:rPr>
        <w:t>日期</w:t>
      </w:r>
      <w:r>
        <w:rPr>
          <w:rFonts w:hint="eastAsia" w:ascii="新宋体" w:hAnsi="新宋体" w:eastAsia="新宋体" w:cs="新宋体"/>
          <w:b/>
          <w:color w:val="auto"/>
          <w:kern w:val="0"/>
          <w:sz w:val="22"/>
          <w:szCs w:val="22"/>
          <w:highlight w:val="none"/>
          <w:lang w:eastAsia="zh-CN"/>
        </w:rPr>
        <w:t>：</w:t>
      </w:r>
      <w:r>
        <w:rPr>
          <w:rFonts w:hint="eastAsia" w:ascii="新宋体" w:hAnsi="新宋体" w:eastAsia="新宋体" w:cs="新宋体"/>
          <w:b/>
          <w:color w:val="auto"/>
          <w:kern w:val="0"/>
          <w:sz w:val="22"/>
          <w:szCs w:val="22"/>
          <w:highlight w:val="none"/>
          <w:lang w:val="en-US" w:eastAsia="zh-CN"/>
        </w:rPr>
        <w:t xml:space="preserve">    </w:t>
      </w:r>
      <w:r>
        <w:rPr>
          <w:rFonts w:hint="eastAsia" w:ascii="新宋体" w:hAnsi="新宋体" w:eastAsia="新宋体" w:cs="新宋体"/>
          <w:b/>
          <w:color w:val="auto"/>
          <w:kern w:val="0"/>
          <w:sz w:val="22"/>
          <w:szCs w:val="22"/>
          <w:highlight w:val="none"/>
        </w:rPr>
        <w:t>年    月    日</w:t>
      </w:r>
    </w:p>
    <w:p w14:paraId="4E17CB57">
      <w:pP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br w:type="page"/>
      </w:r>
    </w:p>
    <w:p w14:paraId="50D9E448">
      <w:pPr>
        <w:spacing w:line="420" w:lineRule="exact"/>
        <w:jc w:val="center"/>
        <w:outlineLvl w:val="3"/>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t>5、联合体共同投标协议书（如有）</w:t>
      </w:r>
    </w:p>
    <w:p w14:paraId="656A2FF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牵头人名称：</w:t>
      </w:r>
      <w:r>
        <w:rPr>
          <w:rFonts w:hint="eastAsia" w:ascii="新宋体" w:hAnsi="新宋体" w:eastAsia="新宋体" w:cs="新宋体"/>
          <w:color w:val="auto"/>
          <w:sz w:val="22"/>
          <w:szCs w:val="22"/>
          <w:highlight w:val="none"/>
          <w:u w:val="single"/>
        </w:rPr>
        <w:t xml:space="preserve">                                                        </w:t>
      </w:r>
    </w:p>
    <w:p w14:paraId="5EAFDD5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法定代表人（或企业负责人）</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u w:val="single"/>
        </w:rPr>
        <w:t xml:space="preserve">                                        </w:t>
      </w:r>
    </w:p>
    <w:p w14:paraId="234EB9C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35"/>
          <w:sz w:val="22"/>
          <w:szCs w:val="22"/>
          <w:highlight w:val="none"/>
        </w:rPr>
        <w:t>法定住</w:t>
      </w:r>
      <w:r>
        <w:rPr>
          <w:rFonts w:hint="eastAsia" w:ascii="新宋体" w:hAnsi="新宋体" w:eastAsia="新宋体" w:cs="新宋体"/>
          <w:color w:val="auto"/>
          <w:sz w:val="22"/>
          <w:szCs w:val="22"/>
          <w:highlight w:val="none"/>
        </w:rPr>
        <w:t>所：</w:t>
      </w:r>
      <w:r>
        <w:rPr>
          <w:rFonts w:hint="eastAsia" w:ascii="新宋体" w:hAnsi="新宋体" w:eastAsia="新宋体" w:cs="新宋体"/>
          <w:color w:val="auto"/>
          <w:sz w:val="22"/>
          <w:szCs w:val="22"/>
          <w:highlight w:val="none"/>
          <w:u w:val="single"/>
        </w:rPr>
        <w:t xml:space="preserve">                                                        </w:t>
      </w:r>
    </w:p>
    <w:p w14:paraId="5699455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联合体</w:t>
      </w:r>
      <w:r>
        <w:rPr>
          <w:rFonts w:hint="eastAsia" w:ascii="新宋体" w:hAnsi="新宋体" w:eastAsia="新宋体" w:cs="新宋体"/>
          <w:color w:val="auto"/>
          <w:sz w:val="22"/>
          <w:szCs w:val="22"/>
          <w:highlight w:val="none"/>
        </w:rPr>
        <w:t>成员名称：</w:t>
      </w:r>
      <w:r>
        <w:rPr>
          <w:rFonts w:hint="eastAsia" w:ascii="新宋体" w:hAnsi="新宋体" w:eastAsia="新宋体" w:cs="新宋体"/>
          <w:color w:val="auto"/>
          <w:sz w:val="22"/>
          <w:szCs w:val="22"/>
          <w:highlight w:val="none"/>
          <w:u w:val="single"/>
        </w:rPr>
        <w:t xml:space="preserve">                                                        </w:t>
      </w:r>
    </w:p>
    <w:p w14:paraId="15D024E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法定代表人（或企业负责人）</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u w:val="single"/>
        </w:rPr>
        <w:t xml:space="preserve">                                       </w:t>
      </w:r>
    </w:p>
    <w:p w14:paraId="565F3F6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35"/>
          <w:sz w:val="22"/>
          <w:szCs w:val="22"/>
          <w:highlight w:val="none"/>
        </w:rPr>
        <w:t>法定住</w:t>
      </w:r>
      <w:r>
        <w:rPr>
          <w:rFonts w:hint="eastAsia" w:ascii="新宋体" w:hAnsi="新宋体" w:eastAsia="新宋体" w:cs="新宋体"/>
          <w:color w:val="auto"/>
          <w:sz w:val="22"/>
          <w:szCs w:val="22"/>
          <w:highlight w:val="none"/>
        </w:rPr>
        <w:t>所：</w:t>
      </w:r>
      <w:r>
        <w:rPr>
          <w:rFonts w:hint="eastAsia" w:ascii="新宋体" w:hAnsi="新宋体" w:eastAsia="新宋体" w:cs="新宋体"/>
          <w:color w:val="auto"/>
          <w:sz w:val="22"/>
          <w:szCs w:val="22"/>
          <w:highlight w:val="none"/>
          <w:u w:val="single"/>
        </w:rPr>
        <w:t xml:space="preserve">                                                        </w:t>
      </w:r>
    </w:p>
    <w:p w14:paraId="777D5B23">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p>
    <w:p w14:paraId="77C076D3">
      <w:pPr>
        <w:keepNext w:val="0"/>
        <w:keepLines w:val="0"/>
        <w:pageBreakBefore w:val="0"/>
        <w:widowControl w:val="0"/>
        <w:kinsoku/>
        <w:wordWrap/>
        <w:overflowPunct/>
        <w:topLinePunct w:val="0"/>
        <w:autoSpaceDE/>
        <w:autoSpaceDN/>
        <w:bidi w:val="0"/>
        <w:adjustRightInd/>
        <w:snapToGrid/>
        <w:spacing w:line="460" w:lineRule="exact"/>
        <w:ind w:firstLine="376" w:firstLineChars="171"/>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鉴于上述各成员单位经过友好协商，自愿组成</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（联合体名称）联合体，共同参加</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名称）（以下简称</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（项目名称）（以下简称合同）。现就联合体投标事宜订立如下协议：</w:t>
      </w:r>
    </w:p>
    <w:p w14:paraId="18CCB3FF">
      <w:pPr>
        <w:keepNext w:val="0"/>
        <w:keepLines w:val="0"/>
        <w:pageBreakBefore w:val="0"/>
        <w:widowControl w:val="0"/>
        <w:kinsoku/>
        <w:wordWrap/>
        <w:overflowPunct/>
        <w:topLinePunct w:val="0"/>
        <w:autoSpaceDE/>
        <w:autoSpaceDN/>
        <w:bidi w:val="0"/>
        <w:adjustRightInd/>
        <w:snapToGrid/>
        <w:spacing w:line="460" w:lineRule="exact"/>
        <w:ind w:firstLine="376" w:firstLineChars="171"/>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（某成员单位名称）为</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（联合体名称）牵头人。</w:t>
      </w:r>
    </w:p>
    <w:p w14:paraId="04E425C9">
      <w:pPr>
        <w:keepNext w:val="0"/>
        <w:keepLines w:val="0"/>
        <w:pageBreakBefore w:val="0"/>
        <w:widowControl w:val="0"/>
        <w:kinsoku/>
        <w:wordWrap/>
        <w:overflowPunct/>
        <w:topLinePunct w:val="0"/>
        <w:autoSpaceDE/>
        <w:autoSpaceDN/>
        <w:bidi w:val="0"/>
        <w:adjustRightInd/>
        <w:snapToGrid/>
        <w:spacing w:line="460" w:lineRule="exact"/>
        <w:ind w:firstLine="376" w:firstLineChars="171"/>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2、在本项目投标阶段，联合体牵头人合法代表联合体各成员负责本</w:t>
      </w:r>
      <w:r>
        <w:rPr>
          <w:rFonts w:hint="eastAsia" w:ascii="新宋体" w:hAnsi="新宋体" w:eastAsia="新宋体" w:cs="新宋体"/>
          <w:color w:val="auto"/>
          <w:sz w:val="22"/>
          <w:szCs w:val="22"/>
          <w:highlight w:val="none"/>
          <w:lang w:eastAsia="zh-CN"/>
        </w:rPr>
        <w:t>项目</w:t>
      </w:r>
      <w:r>
        <w:rPr>
          <w:rFonts w:hint="eastAsia" w:ascii="新宋体" w:hAnsi="新宋体" w:eastAsia="新宋体" w:cs="新宋体"/>
          <w:color w:val="auto"/>
          <w:sz w:val="22"/>
          <w:szCs w:val="22"/>
          <w:highlight w:val="none"/>
        </w:rPr>
        <w:t>投标文件编制活动，代表联合体提交和接收相关的资料、信息及指示，并处理投标和中标有关的一切事务；联合体中标后，联合体牵头人负责合同订立和合同实施阶段的主办、组织和协调工作。</w:t>
      </w:r>
    </w:p>
    <w:p w14:paraId="43EB5038">
      <w:pPr>
        <w:keepNext w:val="0"/>
        <w:keepLines w:val="0"/>
        <w:pageBreakBefore w:val="0"/>
        <w:widowControl w:val="0"/>
        <w:kinsoku/>
        <w:wordWrap/>
        <w:overflowPunct/>
        <w:topLinePunct w:val="0"/>
        <w:autoSpaceDE/>
        <w:autoSpaceDN/>
        <w:bidi w:val="0"/>
        <w:adjustRightInd/>
        <w:snapToGrid/>
        <w:spacing w:line="460" w:lineRule="exact"/>
        <w:ind w:firstLine="376" w:firstLineChars="171"/>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3、联合体将严格按照</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的各项要求，递交投标文件，履行投标义务和中标后的合同，共同承担合同规定的一切义务和责任，联合体各成员单位按照内部职责的划分，承担各自所负的责任和风险，并向</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承担连带责任。</w:t>
      </w:r>
    </w:p>
    <w:p w14:paraId="7B58C6DD">
      <w:pPr>
        <w:keepNext w:val="0"/>
        <w:keepLines w:val="0"/>
        <w:pageBreakBefore w:val="0"/>
        <w:widowControl w:val="0"/>
        <w:kinsoku/>
        <w:wordWrap/>
        <w:overflowPunct/>
        <w:topLinePunct w:val="0"/>
        <w:autoSpaceDE/>
        <w:autoSpaceDN/>
        <w:bidi w:val="0"/>
        <w:adjustRightInd/>
        <w:snapToGrid/>
        <w:spacing w:line="460" w:lineRule="exact"/>
        <w:ind w:firstLine="376" w:firstLineChars="171"/>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4、联合体各成员单位内部的职责分工如下：</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w:t>
      </w:r>
    </w:p>
    <w:p w14:paraId="4BCF140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按照本条上述分工，联合体成员单位出资比例如下：</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w:t>
      </w:r>
    </w:p>
    <w:p w14:paraId="28C008A9">
      <w:pPr>
        <w:keepNext w:val="0"/>
        <w:keepLines w:val="0"/>
        <w:pageBreakBefore w:val="0"/>
        <w:widowControl w:val="0"/>
        <w:kinsoku/>
        <w:wordWrap/>
        <w:overflowPunct/>
        <w:topLinePunct w:val="0"/>
        <w:autoSpaceDE/>
        <w:autoSpaceDN/>
        <w:bidi w:val="0"/>
        <w:adjustRightInd/>
        <w:snapToGrid/>
        <w:spacing w:line="460" w:lineRule="exact"/>
        <w:ind w:firstLine="352" w:firstLineChars="16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5、联合体中标后，本联合体协议是合同的附件，对联合体各成员单位有合同约束力。</w:t>
      </w:r>
    </w:p>
    <w:p w14:paraId="63F70530">
      <w:pPr>
        <w:keepNext w:val="0"/>
        <w:keepLines w:val="0"/>
        <w:pageBreakBefore w:val="0"/>
        <w:widowControl w:val="0"/>
        <w:kinsoku/>
        <w:wordWrap/>
        <w:overflowPunct/>
        <w:topLinePunct w:val="0"/>
        <w:autoSpaceDE/>
        <w:autoSpaceDN/>
        <w:bidi w:val="0"/>
        <w:adjustRightInd/>
        <w:snapToGrid/>
        <w:spacing w:line="460" w:lineRule="exact"/>
        <w:ind w:firstLine="352" w:firstLineChars="16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6、本协议书自签署之日起生效，联合体未中标或者中标时合同履行完毕后自动失效。</w:t>
      </w:r>
    </w:p>
    <w:p w14:paraId="436C661D">
      <w:pPr>
        <w:keepNext w:val="0"/>
        <w:keepLines w:val="0"/>
        <w:pageBreakBefore w:val="0"/>
        <w:widowControl w:val="0"/>
        <w:kinsoku/>
        <w:wordWrap/>
        <w:overflowPunct/>
        <w:topLinePunct w:val="0"/>
        <w:autoSpaceDE/>
        <w:autoSpaceDN/>
        <w:bidi w:val="0"/>
        <w:adjustRightInd/>
        <w:snapToGrid/>
        <w:spacing w:line="460" w:lineRule="exact"/>
        <w:ind w:firstLine="352" w:firstLineChars="16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7、本协议书一式</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份，联合体成员和</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各执一份。</w:t>
      </w:r>
    </w:p>
    <w:p w14:paraId="19682E71">
      <w:pPr>
        <w:keepNext w:val="0"/>
        <w:keepLines w:val="0"/>
        <w:pageBreakBefore w:val="0"/>
        <w:widowControl w:val="0"/>
        <w:kinsoku/>
        <w:wordWrap/>
        <w:overflowPunct/>
        <w:topLinePunct w:val="0"/>
        <w:autoSpaceDE/>
        <w:autoSpaceDN/>
        <w:bidi w:val="0"/>
        <w:adjustRightInd/>
        <w:snapToGrid/>
        <w:spacing w:line="460" w:lineRule="exact"/>
        <w:ind w:firstLine="2785" w:firstLineChars="1266"/>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牵头人名称：</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（盖单位公章）</w:t>
      </w:r>
    </w:p>
    <w:p w14:paraId="36CA1FE4">
      <w:pPr>
        <w:keepNext w:val="0"/>
        <w:keepLines w:val="0"/>
        <w:pageBreakBefore w:val="0"/>
        <w:widowControl w:val="0"/>
        <w:kinsoku/>
        <w:wordWrap/>
        <w:overflowPunct/>
        <w:topLinePunct w:val="0"/>
        <w:autoSpaceDE/>
        <w:autoSpaceDN/>
        <w:bidi w:val="0"/>
        <w:adjustRightInd/>
        <w:snapToGrid/>
        <w:spacing w:line="460" w:lineRule="exact"/>
        <w:ind w:firstLine="1100" w:firstLineChars="5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法定代表人（或企业负责人）</w:t>
      </w:r>
      <w:r>
        <w:rPr>
          <w:rFonts w:hint="eastAsia" w:ascii="新宋体" w:hAnsi="新宋体" w:eastAsia="新宋体" w:cs="新宋体"/>
          <w:color w:val="auto"/>
          <w:sz w:val="22"/>
          <w:szCs w:val="22"/>
          <w:highlight w:val="none"/>
        </w:rPr>
        <w:t>或授权代表：</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（签字或盖章）</w:t>
      </w:r>
    </w:p>
    <w:p w14:paraId="63375044">
      <w:pPr>
        <w:keepNext w:val="0"/>
        <w:keepLines w:val="0"/>
        <w:pageBreakBefore w:val="0"/>
        <w:widowControl w:val="0"/>
        <w:kinsoku/>
        <w:wordWrap/>
        <w:overflowPunct/>
        <w:topLinePunct w:val="0"/>
        <w:autoSpaceDE/>
        <w:autoSpaceDN/>
        <w:bidi w:val="0"/>
        <w:adjustRightInd/>
        <w:snapToGrid/>
        <w:spacing w:line="460" w:lineRule="exact"/>
        <w:ind w:firstLine="2785" w:firstLineChars="1266"/>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联合体</w:t>
      </w:r>
      <w:r>
        <w:rPr>
          <w:rFonts w:hint="eastAsia" w:ascii="新宋体" w:hAnsi="新宋体" w:eastAsia="新宋体" w:cs="新宋体"/>
          <w:color w:val="auto"/>
          <w:sz w:val="22"/>
          <w:szCs w:val="22"/>
          <w:highlight w:val="none"/>
        </w:rPr>
        <w:t>成员名称：</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（盖单位公章）</w:t>
      </w:r>
    </w:p>
    <w:p w14:paraId="224DDCF0">
      <w:pPr>
        <w:keepNext w:val="0"/>
        <w:keepLines w:val="0"/>
        <w:pageBreakBefore w:val="0"/>
        <w:widowControl w:val="0"/>
        <w:kinsoku/>
        <w:wordWrap/>
        <w:overflowPunct/>
        <w:topLinePunct w:val="0"/>
        <w:autoSpaceDE/>
        <w:autoSpaceDN/>
        <w:bidi w:val="0"/>
        <w:adjustRightInd/>
        <w:snapToGrid/>
        <w:spacing w:line="460" w:lineRule="exact"/>
        <w:ind w:firstLine="1100" w:firstLineChars="5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法定代表人（或企业负责人）</w:t>
      </w:r>
      <w:r>
        <w:rPr>
          <w:rFonts w:hint="eastAsia" w:ascii="新宋体" w:hAnsi="新宋体" w:eastAsia="新宋体" w:cs="新宋体"/>
          <w:color w:val="auto"/>
          <w:sz w:val="22"/>
          <w:szCs w:val="22"/>
          <w:highlight w:val="none"/>
        </w:rPr>
        <w:t>或授权代表：</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（签字或盖章）</w:t>
      </w:r>
    </w:p>
    <w:p w14:paraId="491C78A8">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年</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月</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日</w:t>
      </w:r>
    </w:p>
    <w:p w14:paraId="47ED67BE">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新宋体" w:hAnsi="新宋体" w:eastAsia="新宋体" w:cs="新宋体"/>
          <w:color w:val="auto"/>
          <w:sz w:val="22"/>
          <w:szCs w:val="22"/>
          <w:highlight w:val="none"/>
        </w:rPr>
      </w:pPr>
    </w:p>
    <w:p w14:paraId="256FE513">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备注：1.本协议书由授权代表签字或盖章的，应附</w:t>
      </w:r>
      <w:r>
        <w:rPr>
          <w:rFonts w:hint="eastAsia" w:ascii="新宋体" w:hAnsi="新宋体" w:eastAsia="新宋体" w:cs="新宋体"/>
          <w:color w:val="auto"/>
          <w:sz w:val="22"/>
          <w:szCs w:val="22"/>
          <w:highlight w:val="none"/>
          <w:lang w:eastAsia="zh-CN"/>
        </w:rPr>
        <w:t>法定代表人（或企业负责人）</w:t>
      </w:r>
      <w:r>
        <w:rPr>
          <w:rFonts w:hint="eastAsia" w:ascii="新宋体" w:hAnsi="新宋体" w:eastAsia="新宋体" w:cs="新宋体"/>
          <w:color w:val="auto"/>
          <w:sz w:val="22"/>
          <w:szCs w:val="22"/>
          <w:highlight w:val="none"/>
        </w:rPr>
        <w:t>签字或盖章的授权委托书。</w:t>
      </w:r>
    </w:p>
    <w:bookmarkEnd w:id="36"/>
    <w:bookmarkEnd w:id="37"/>
    <w:p w14:paraId="7E0E22B8">
      <w:pPr>
        <w:pStyle w:val="23"/>
        <w:spacing w:line="460" w:lineRule="exact"/>
        <w:ind w:left="433" w:hanging="433" w:hangingChars="196"/>
        <w:outlineLvl w:val="1"/>
        <w:rPr>
          <w:rFonts w:hint="eastAsia" w:ascii="新宋体" w:hAnsi="新宋体" w:eastAsia="新宋体" w:cs="新宋体"/>
          <w:b/>
          <w:color w:val="auto"/>
          <w:sz w:val="22"/>
          <w:szCs w:val="22"/>
          <w:highlight w:val="none"/>
        </w:rPr>
      </w:pPr>
      <w:bookmarkStart w:id="38" w:name="_Toc19402"/>
      <w:bookmarkStart w:id="39" w:name="_Toc12035"/>
      <w:r>
        <w:rPr>
          <w:rFonts w:hint="eastAsia" w:ascii="新宋体" w:hAnsi="新宋体" w:eastAsia="新宋体" w:cs="新宋体"/>
          <w:b/>
          <w:color w:val="auto"/>
          <w:sz w:val="22"/>
          <w:szCs w:val="22"/>
          <w:highlight w:val="none"/>
        </w:rPr>
        <w:t>附件二</w:t>
      </w:r>
      <w:bookmarkEnd w:id="38"/>
      <w:bookmarkEnd w:id="39"/>
      <w:bookmarkStart w:id="40" w:name="_Toc31356"/>
      <w:bookmarkStart w:id="41" w:name="_Toc16516"/>
    </w:p>
    <w:p w14:paraId="714F3FFF">
      <w:pPr>
        <w:spacing w:line="460" w:lineRule="exact"/>
        <w:jc w:val="center"/>
        <w:outlineLvl w:val="2"/>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报价文件</w:t>
      </w:r>
    </w:p>
    <w:p w14:paraId="1C788688">
      <w:pPr>
        <w:spacing w:line="420" w:lineRule="exact"/>
        <w:jc w:val="center"/>
        <w:outlineLvl w:val="3"/>
        <w:rPr>
          <w:rFonts w:hint="eastAsia" w:ascii="新宋体" w:hAnsi="新宋体" w:eastAsia="新宋体" w:cs="新宋体"/>
          <w:b/>
          <w:bCs/>
          <w:color w:val="auto"/>
          <w:sz w:val="28"/>
          <w:szCs w:val="28"/>
          <w:highlight w:val="none"/>
          <w:lang w:val="zh-CN"/>
        </w:rPr>
      </w:pPr>
      <w:r>
        <w:rPr>
          <w:rFonts w:hint="eastAsia" w:ascii="新宋体" w:hAnsi="新宋体" w:eastAsia="新宋体" w:cs="新宋体"/>
          <w:b/>
          <w:bCs/>
          <w:color w:val="auto"/>
          <w:sz w:val="28"/>
          <w:szCs w:val="28"/>
          <w:highlight w:val="none"/>
          <w:lang w:val="en-US" w:eastAsia="zh-CN"/>
        </w:rPr>
        <w:t>1</w:t>
      </w:r>
      <w:r>
        <w:rPr>
          <w:rFonts w:hint="eastAsia" w:ascii="新宋体" w:hAnsi="新宋体" w:eastAsia="新宋体" w:cs="新宋体"/>
          <w:b/>
          <w:bCs/>
          <w:color w:val="auto"/>
          <w:sz w:val="28"/>
          <w:szCs w:val="28"/>
          <w:highlight w:val="none"/>
          <w:lang w:val="zh-CN"/>
        </w:rPr>
        <w:t>、投标报价一览表</w:t>
      </w:r>
    </w:p>
    <w:p w14:paraId="422DF86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项目编号：</w:t>
      </w:r>
    </w:p>
    <w:p w14:paraId="3923C92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highlight w:val="none"/>
        </w:rPr>
      </w:pPr>
      <w:r>
        <w:rPr>
          <w:rFonts w:hint="eastAsia" w:ascii="新宋体" w:hAnsi="新宋体" w:eastAsia="新宋体" w:cs="新宋体"/>
          <w:color w:val="auto"/>
          <w:sz w:val="22"/>
          <w:szCs w:val="22"/>
          <w:highlight w:val="none"/>
        </w:rPr>
        <w:t>项目名称：</w:t>
      </w:r>
    </w:p>
    <w:tbl>
      <w:tblPr>
        <w:tblStyle w:val="53"/>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22"/>
        <w:gridCol w:w="5413"/>
        <w:gridCol w:w="868"/>
      </w:tblGrid>
      <w:tr w14:paraId="350DC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5" w:type="dxa"/>
            <w:vAlign w:val="center"/>
          </w:tcPr>
          <w:p w14:paraId="0A698F5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序号</w:t>
            </w:r>
          </w:p>
        </w:tc>
        <w:tc>
          <w:tcPr>
            <w:tcW w:w="2522" w:type="dxa"/>
            <w:vAlign w:val="center"/>
          </w:tcPr>
          <w:p w14:paraId="13EDE58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highlight w:val="none"/>
              </w:rPr>
            </w:pPr>
            <w:r>
              <w:rPr>
                <w:rFonts w:hint="eastAsia" w:ascii="新宋体" w:hAnsi="新宋体" w:eastAsia="新宋体" w:cs="新宋体"/>
                <w:bCs/>
                <w:color w:val="auto"/>
                <w:sz w:val="22"/>
                <w:szCs w:val="22"/>
                <w:highlight w:val="none"/>
              </w:rPr>
              <w:t>项目名称</w:t>
            </w:r>
          </w:p>
        </w:tc>
        <w:tc>
          <w:tcPr>
            <w:tcW w:w="5413" w:type="dxa"/>
            <w:vAlign w:val="center"/>
          </w:tcPr>
          <w:p w14:paraId="7EF2A20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highlight w:val="none"/>
                <w:lang w:val="en-US" w:eastAsia="zh-CN"/>
              </w:rPr>
            </w:pPr>
            <w:r>
              <w:rPr>
                <w:rFonts w:hint="eastAsia" w:ascii="新宋体" w:hAnsi="新宋体" w:eastAsia="新宋体" w:cs="新宋体"/>
                <w:color w:val="auto"/>
                <w:sz w:val="22"/>
                <w:highlight w:val="none"/>
                <w:lang w:val="en-US" w:eastAsia="zh-CN"/>
              </w:rPr>
              <w:t>投标</w:t>
            </w:r>
            <w:r>
              <w:rPr>
                <w:rFonts w:hint="eastAsia" w:ascii="新宋体" w:hAnsi="新宋体" w:eastAsia="新宋体" w:cs="新宋体"/>
                <w:color w:val="auto"/>
                <w:sz w:val="22"/>
                <w:highlight w:val="none"/>
              </w:rPr>
              <w:t>报价（</w:t>
            </w:r>
            <w:r>
              <w:rPr>
                <w:rFonts w:hint="eastAsia" w:ascii="新宋体" w:hAnsi="新宋体" w:eastAsia="新宋体" w:cs="新宋体"/>
                <w:color w:val="auto"/>
                <w:sz w:val="22"/>
                <w:highlight w:val="none"/>
                <w:lang w:val="en-US" w:eastAsia="zh-CN"/>
              </w:rPr>
              <w:t>元</w:t>
            </w:r>
            <w:r>
              <w:rPr>
                <w:rFonts w:hint="eastAsia" w:ascii="新宋体" w:hAnsi="新宋体" w:eastAsia="新宋体" w:cs="新宋体"/>
                <w:color w:val="auto"/>
                <w:sz w:val="22"/>
                <w:highlight w:val="none"/>
              </w:rPr>
              <w:t>）</w:t>
            </w:r>
          </w:p>
        </w:tc>
        <w:tc>
          <w:tcPr>
            <w:tcW w:w="868" w:type="dxa"/>
            <w:vAlign w:val="center"/>
          </w:tcPr>
          <w:p w14:paraId="1ED21DC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备注</w:t>
            </w:r>
          </w:p>
        </w:tc>
      </w:tr>
      <w:tr w14:paraId="41627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815" w:type="dxa"/>
            <w:vMerge w:val="restart"/>
            <w:vAlign w:val="center"/>
          </w:tcPr>
          <w:p w14:paraId="7E4C3EC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highlight w:val="none"/>
              </w:rPr>
            </w:pPr>
          </w:p>
        </w:tc>
        <w:tc>
          <w:tcPr>
            <w:tcW w:w="2522" w:type="dxa"/>
            <w:vMerge w:val="restart"/>
            <w:vAlign w:val="center"/>
          </w:tcPr>
          <w:p w14:paraId="5561965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highlight w:val="none"/>
              </w:rPr>
            </w:pPr>
          </w:p>
        </w:tc>
        <w:tc>
          <w:tcPr>
            <w:tcW w:w="5413" w:type="dxa"/>
            <w:vAlign w:val="center"/>
          </w:tcPr>
          <w:p w14:paraId="539432D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大写：</w:t>
            </w:r>
          </w:p>
        </w:tc>
        <w:tc>
          <w:tcPr>
            <w:tcW w:w="868" w:type="dxa"/>
            <w:vMerge w:val="restart"/>
            <w:vAlign w:val="center"/>
          </w:tcPr>
          <w:p w14:paraId="0427A6E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highlight w:val="none"/>
              </w:rPr>
            </w:pPr>
          </w:p>
        </w:tc>
      </w:tr>
      <w:tr w14:paraId="04B9D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815" w:type="dxa"/>
            <w:vMerge w:val="continue"/>
            <w:vAlign w:val="center"/>
          </w:tcPr>
          <w:p w14:paraId="5ED6B3B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highlight w:val="none"/>
              </w:rPr>
            </w:pPr>
          </w:p>
        </w:tc>
        <w:tc>
          <w:tcPr>
            <w:tcW w:w="2522" w:type="dxa"/>
            <w:vMerge w:val="continue"/>
            <w:vAlign w:val="center"/>
          </w:tcPr>
          <w:p w14:paraId="5BFF3A1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highlight w:val="none"/>
              </w:rPr>
            </w:pPr>
          </w:p>
        </w:tc>
        <w:tc>
          <w:tcPr>
            <w:tcW w:w="5413" w:type="dxa"/>
            <w:vAlign w:val="center"/>
          </w:tcPr>
          <w:p w14:paraId="3183F5A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小写：</w:t>
            </w:r>
          </w:p>
        </w:tc>
        <w:tc>
          <w:tcPr>
            <w:tcW w:w="868" w:type="dxa"/>
            <w:vMerge w:val="continue"/>
            <w:vAlign w:val="center"/>
          </w:tcPr>
          <w:p w14:paraId="438FC55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highlight w:val="none"/>
              </w:rPr>
            </w:pPr>
          </w:p>
        </w:tc>
      </w:tr>
    </w:tbl>
    <w:p w14:paraId="15DBAE01">
      <w:pPr>
        <w:keepNext w:val="0"/>
        <w:keepLines w:val="0"/>
        <w:pageBreakBefore w:val="0"/>
        <w:widowControl w:val="0"/>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说明：</w:t>
      </w:r>
    </w:p>
    <w:p w14:paraId="5F872CBC">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lang w:val="en-US" w:eastAsia="zh-CN"/>
        </w:rPr>
        <w:t>1、</w:t>
      </w:r>
      <w:r>
        <w:rPr>
          <w:rFonts w:hint="eastAsia" w:ascii="新宋体" w:hAnsi="新宋体" w:eastAsia="新宋体" w:cs="新宋体"/>
          <w:b/>
          <w:color w:val="auto"/>
          <w:sz w:val="22"/>
          <w:highlight w:val="none"/>
        </w:rPr>
        <w:t>此栏投标报价应与</w:t>
      </w:r>
      <w:r>
        <w:rPr>
          <w:rFonts w:hint="eastAsia" w:ascii="新宋体" w:hAnsi="新宋体" w:eastAsia="新宋体" w:cs="新宋体"/>
          <w:b/>
          <w:color w:val="auto"/>
          <w:sz w:val="22"/>
          <w:highlight w:val="none"/>
          <w:lang w:val="en-US" w:eastAsia="zh-CN"/>
        </w:rPr>
        <w:t>附件二</w:t>
      </w:r>
      <w:r>
        <w:rPr>
          <w:rFonts w:hint="eastAsia" w:ascii="新宋体" w:hAnsi="新宋体" w:eastAsia="新宋体" w:cs="新宋体"/>
          <w:b/>
          <w:color w:val="auto"/>
          <w:sz w:val="22"/>
          <w:highlight w:val="none"/>
        </w:rPr>
        <w:t>“</w:t>
      </w:r>
      <w:r>
        <w:rPr>
          <w:rFonts w:hint="eastAsia" w:ascii="新宋体" w:hAnsi="新宋体" w:eastAsia="新宋体" w:cs="新宋体"/>
          <w:b/>
          <w:color w:val="auto"/>
          <w:sz w:val="22"/>
          <w:highlight w:val="none"/>
          <w:lang w:val="en-US" w:eastAsia="zh-CN"/>
        </w:rPr>
        <w:t>2</w:t>
      </w:r>
      <w:r>
        <w:rPr>
          <w:rFonts w:hint="eastAsia" w:ascii="新宋体" w:hAnsi="新宋体" w:eastAsia="新宋体" w:cs="新宋体"/>
          <w:b/>
          <w:color w:val="auto"/>
          <w:sz w:val="22"/>
          <w:highlight w:val="none"/>
        </w:rPr>
        <w:t>、投标分项报价表”中的总计价相一致。</w:t>
      </w:r>
    </w:p>
    <w:p w14:paraId="5177328C">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highlight w:val="none"/>
          <w:lang w:eastAsia="zh-CN"/>
        </w:rPr>
      </w:pPr>
      <w:r>
        <w:rPr>
          <w:rFonts w:hint="eastAsia" w:ascii="新宋体" w:hAnsi="新宋体" w:eastAsia="新宋体" w:cs="新宋体"/>
          <w:b/>
          <w:color w:val="auto"/>
          <w:sz w:val="22"/>
          <w:highlight w:val="none"/>
          <w:lang w:val="en-US" w:eastAsia="zh-CN"/>
        </w:rPr>
        <w:t>2、</w:t>
      </w:r>
      <w:r>
        <w:rPr>
          <w:rFonts w:hint="eastAsia" w:ascii="新宋体" w:hAnsi="新宋体" w:eastAsia="新宋体" w:cs="新宋体"/>
          <w:b/>
          <w:color w:val="auto"/>
          <w:sz w:val="22"/>
          <w:highlight w:val="none"/>
        </w:rPr>
        <w:t>不提供此表格将被视为没有实质性响应</w:t>
      </w:r>
      <w:r>
        <w:rPr>
          <w:rFonts w:hint="eastAsia" w:ascii="新宋体" w:hAnsi="新宋体" w:eastAsia="新宋体" w:cs="新宋体"/>
          <w:b/>
          <w:color w:val="auto"/>
          <w:sz w:val="22"/>
          <w:highlight w:val="none"/>
          <w:lang w:eastAsia="zh-CN"/>
        </w:rPr>
        <w:t>采购文件</w:t>
      </w:r>
    </w:p>
    <w:p w14:paraId="53A1754A">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新宋体" w:hAnsi="新宋体" w:eastAsia="新宋体" w:cs="新宋体"/>
          <w:color w:val="auto"/>
          <w:sz w:val="22"/>
          <w:szCs w:val="22"/>
          <w:highlight w:val="none"/>
        </w:rPr>
      </w:pPr>
    </w:p>
    <w:p w14:paraId="4F0DDDB7">
      <w:pPr>
        <w:keepNext w:val="0"/>
        <w:keepLines w:val="0"/>
        <w:pageBreakBefore w:val="0"/>
        <w:widowControl w:val="0"/>
        <w:kinsoku/>
        <w:wordWrap/>
        <w:overflowPunct/>
        <w:topLinePunct w:val="0"/>
        <w:autoSpaceDE/>
        <w:autoSpaceDN/>
        <w:bidi w:val="0"/>
        <w:adjustRightInd/>
        <w:snapToGrid/>
        <w:spacing w:line="460" w:lineRule="exact"/>
        <w:ind w:firstLine="5060" w:firstLineChars="2300"/>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58E27D2D">
      <w:pPr>
        <w:keepNext w:val="0"/>
        <w:keepLines w:val="0"/>
        <w:pageBreakBefore w:val="0"/>
        <w:widowControl w:val="0"/>
        <w:kinsoku/>
        <w:wordWrap/>
        <w:overflowPunct/>
        <w:topLinePunct w:val="0"/>
        <w:autoSpaceDE/>
        <w:autoSpaceDN/>
        <w:bidi w:val="0"/>
        <w:adjustRightInd/>
        <w:snapToGrid/>
        <w:spacing w:line="460" w:lineRule="exact"/>
        <w:ind w:firstLine="5060" w:firstLineChars="2300"/>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46D2C941">
      <w:pPr>
        <w:keepNext w:val="0"/>
        <w:keepLines w:val="0"/>
        <w:pageBreakBefore w:val="0"/>
        <w:widowControl w:val="0"/>
        <w:kinsoku/>
        <w:wordWrap/>
        <w:overflowPunct/>
        <w:topLinePunct w:val="0"/>
        <w:autoSpaceDE/>
        <w:autoSpaceDN/>
        <w:bidi w:val="0"/>
        <w:adjustRightInd/>
        <w:snapToGrid/>
        <w:spacing w:line="460" w:lineRule="exact"/>
        <w:ind w:firstLine="5060" w:firstLineChars="2300"/>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2A961CB4">
      <w:pPr>
        <w:keepNext w:val="0"/>
        <w:keepLines w:val="0"/>
        <w:pageBreakBefore w:val="0"/>
        <w:widowControl w:val="0"/>
        <w:kinsoku/>
        <w:wordWrap/>
        <w:overflowPunct/>
        <w:topLinePunct w:val="0"/>
        <w:autoSpaceDE/>
        <w:autoSpaceDN/>
        <w:bidi w:val="0"/>
        <w:adjustRightInd/>
        <w:snapToGrid/>
        <w:spacing w:line="460" w:lineRule="exact"/>
        <w:ind w:firstLine="220" w:firstLineChars="1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p w14:paraId="749E4FDD">
      <w:pPr>
        <w:pStyle w:val="52"/>
        <w:ind w:left="860" w:hanging="440"/>
        <w:rPr>
          <w:rFonts w:hint="eastAsia" w:ascii="新宋体" w:hAnsi="新宋体" w:eastAsia="新宋体" w:cs="新宋体"/>
          <w:color w:val="auto"/>
          <w:sz w:val="22"/>
          <w:szCs w:val="22"/>
          <w:highlight w:val="none"/>
        </w:rPr>
      </w:pPr>
    </w:p>
    <w:p w14:paraId="3BD978E0">
      <w:pPr>
        <w:pStyle w:val="52"/>
        <w:ind w:left="860" w:hanging="440"/>
        <w:rPr>
          <w:rFonts w:hint="eastAsia" w:ascii="新宋体" w:hAnsi="新宋体" w:eastAsia="新宋体" w:cs="新宋体"/>
          <w:color w:val="auto"/>
          <w:sz w:val="22"/>
          <w:szCs w:val="22"/>
          <w:highlight w:val="none"/>
        </w:rPr>
      </w:pPr>
    </w:p>
    <w:p w14:paraId="27AB6003">
      <w:pPr>
        <w:pStyle w:val="52"/>
        <w:ind w:left="860" w:hanging="440"/>
        <w:rPr>
          <w:rFonts w:hint="eastAsia" w:ascii="新宋体" w:hAnsi="新宋体" w:eastAsia="新宋体" w:cs="新宋体"/>
          <w:color w:val="auto"/>
          <w:sz w:val="22"/>
          <w:szCs w:val="22"/>
          <w:highlight w:val="none"/>
        </w:rPr>
      </w:pPr>
    </w:p>
    <w:p w14:paraId="1FAD2896">
      <w:pPr>
        <w:pStyle w:val="52"/>
        <w:ind w:left="860" w:hanging="440"/>
        <w:rPr>
          <w:rFonts w:hint="eastAsia" w:ascii="新宋体" w:hAnsi="新宋体" w:eastAsia="新宋体" w:cs="新宋体"/>
          <w:color w:val="auto"/>
          <w:sz w:val="22"/>
          <w:szCs w:val="22"/>
          <w:highlight w:val="none"/>
        </w:rPr>
      </w:pPr>
    </w:p>
    <w:p w14:paraId="5B9EE421">
      <w:pPr>
        <w:pStyle w:val="52"/>
        <w:ind w:left="860" w:hanging="440"/>
        <w:rPr>
          <w:rFonts w:hint="eastAsia" w:ascii="新宋体" w:hAnsi="新宋体" w:eastAsia="新宋体" w:cs="新宋体"/>
          <w:color w:val="auto"/>
          <w:sz w:val="22"/>
          <w:szCs w:val="22"/>
          <w:highlight w:val="none"/>
        </w:rPr>
      </w:pPr>
    </w:p>
    <w:p w14:paraId="5F64001B">
      <w:pPr>
        <w:pStyle w:val="52"/>
        <w:ind w:left="860" w:hanging="440"/>
        <w:rPr>
          <w:rFonts w:hint="eastAsia" w:ascii="新宋体" w:hAnsi="新宋体" w:eastAsia="新宋体" w:cs="新宋体"/>
          <w:color w:val="auto"/>
          <w:sz w:val="22"/>
          <w:szCs w:val="22"/>
          <w:highlight w:val="none"/>
        </w:rPr>
      </w:pPr>
    </w:p>
    <w:p w14:paraId="55C6BEA7">
      <w:pPr>
        <w:pStyle w:val="52"/>
        <w:ind w:left="860" w:hanging="440"/>
        <w:rPr>
          <w:rFonts w:hint="eastAsia" w:ascii="新宋体" w:hAnsi="新宋体" w:eastAsia="新宋体" w:cs="新宋体"/>
          <w:color w:val="auto"/>
          <w:sz w:val="22"/>
          <w:szCs w:val="22"/>
          <w:highlight w:val="none"/>
        </w:rPr>
      </w:pPr>
    </w:p>
    <w:p w14:paraId="414484AF">
      <w:pPr>
        <w:pStyle w:val="52"/>
        <w:ind w:left="860" w:hanging="440"/>
        <w:rPr>
          <w:rFonts w:hint="eastAsia" w:ascii="新宋体" w:hAnsi="新宋体" w:eastAsia="新宋体" w:cs="新宋体"/>
          <w:color w:val="auto"/>
          <w:sz w:val="22"/>
          <w:szCs w:val="22"/>
          <w:highlight w:val="none"/>
        </w:rPr>
      </w:pPr>
    </w:p>
    <w:p w14:paraId="283EFAAC">
      <w:pPr>
        <w:pStyle w:val="52"/>
        <w:ind w:left="860" w:hanging="440"/>
        <w:rPr>
          <w:rFonts w:hint="eastAsia" w:ascii="新宋体" w:hAnsi="新宋体" w:eastAsia="新宋体" w:cs="新宋体"/>
          <w:color w:val="auto"/>
          <w:sz w:val="22"/>
          <w:szCs w:val="22"/>
          <w:highlight w:val="none"/>
        </w:rPr>
      </w:pPr>
    </w:p>
    <w:p w14:paraId="28EE502E">
      <w:pPr>
        <w:pStyle w:val="52"/>
        <w:ind w:left="860" w:hanging="440"/>
        <w:rPr>
          <w:rFonts w:hint="eastAsia" w:ascii="新宋体" w:hAnsi="新宋体" w:eastAsia="新宋体" w:cs="新宋体"/>
          <w:color w:val="auto"/>
          <w:sz w:val="22"/>
          <w:szCs w:val="22"/>
          <w:highlight w:val="none"/>
        </w:rPr>
      </w:pPr>
    </w:p>
    <w:p w14:paraId="6E1ACE67">
      <w:pPr>
        <w:pStyle w:val="52"/>
        <w:ind w:left="860" w:hanging="440"/>
        <w:rPr>
          <w:rFonts w:hint="eastAsia" w:ascii="新宋体" w:hAnsi="新宋体" w:eastAsia="新宋体" w:cs="新宋体"/>
          <w:color w:val="auto"/>
          <w:sz w:val="22"/>
          <w:szCs w:val="22"/>
          <w:highlight w:val="none"/>
        </w:rPr>
      </w:pPr>
    </w:p>
    <w:p w14:paraId="53619846">
      <w:pPr>
        <w:pStyle w:val="52"/>
        <w:ind w:left="860" w:hanging="440"/>
        <w:rPr>
          <w:rFonts w:hint="eastAsia" w:ascii="新宋体" w:hAnsi="新宋体" w:eastAsia="新宋体" w:cs="新宋体"/>
          <w:color w:val="auto"/>
          <w:sz w:val="22"/>
          <w:szCs w:val="22"/>
          <w:highlight w:val="none"/>
        </w:rPr>
      </w:pPr>
    </w:p>
    <w:p w14:paraId="093BC180">
      <w:pPr>
        <w:pStyle w:val="52"/>
        <w:ind w:left="0" w:leftChars="0" w:firstLine="0" w:firstLineChars="0"/>
        <w:rPr>
          <w:rFonts w:hint="eastAsia" w:ascii="新宋体" w:hAnsi="新宋体" w:eastAsia="新宋体" w:cs="新宋体"/>
          <w:color w:val="auto"/>
          <w:sz w:val="22"/>
          <w:szCs w:val="22"/>
          <w:highlight w:val="none"/>
        </w:rPr>
      </w:pPr>
    </w:p>
    <w:p w14:paraId="7A408071">
      <w:pPr>
        <w:pStyle w:val="52"/>
        <w:ind w:left="860" w:hanging="440"/>
        <w:rPr>
          <w:rFonts w:hint="eastAsia" w:ascii="新宋体" w:hAnsi="新宋体" w:eastAsia="新宋体" w:cs="新宋体"/>
          <w:color w:val="auto"/>
          <w:sz w:val="22"/>
          <w:szCs w:val="22"/>
          <w:highlight w:val="none"/>
        </w:rPr>
      </w:pPr>
    </w:p>
    <w:p w14:paraId="4792E605">
      <w:pPr>
        <w:rPr>
          <w:rFonts w:hint="eastAsia" w:ascii="新宋体" w:hAnsi="新宋体" w:eastAsia="新宋体" w:cs="新宋体"/>
          <w:b/>
          <w:color w:val="auto"/>
          <w:sz w:val="22"/>
          <w:szCs w:val="22"/>
          <w:highlight w:val="none"/>
          <w:lang w:val="zh-CN"/>
        </w:rPr>
      </w:pPr>
      <w:r>
        <w:rPr>
          <w:rFonts w:hint="eastAsia" w:ascii="新宋体" w:hAnsi="新宋体" w:eastAsia="新宋体" w:cs="新宋体"/>
          <w:b/>
          <w:color w:val="auto"/>
          <w:sz w:val="22"/>
          <w:szCs w:val="22"/>
          <w:highlight w:val="none"/>
          <w:lang w:val="zh-CN"/>
        </w:rPr>
        <w:br w:type="page"/>
      </w:r>
    </w:p>
    <w:p w14:paraId="6E7D6A0B">
      <w:pPr>
        <w:spacing w:line="420" w:lineRule="exact"/>
        <w:jc w:val="center"/>
        <w:outlineLvl w:val="3"/>
        <w:rPr>
          <w:rFonts w:hint="eastAsia" w:ascii="新宋体" w:hAnsi="新宋体" w:eastAsia="新宋体" w:cs="新宋体"/>
          <w:b/>
          <w:bCs/>
          <w:color w:val="auto"/>
          <w:sz w:val="28"/>
          <w:szCs w:val="28"/>
          <w:highlight w:val="none"/>
          <w:lang w:val="zh-CN"/>
        </w:rPr>
      </w:pPr>
      <w:r>
        <w:rPr>
          <w:rFonts w:hint="eastAsia" w:ascii="新宋体" w:hAnsi="新宋体" w:eastAsia="新宋体" w:cs="新宋体"/>
          <w:b/>
          <w:bCs/>
          <w:color w:val="auto"/>
          <w:sz w:val="28"/>
          <w:szCs w:val="28"/>
          <w:highlight w:val="none"/>
          <w:lang w:val="en-US" w:eastAsia="zh-CN"/>
        </w:rPr>
        <w:t>2</w:t>
      </w:r>
      <w:r>
        <w:rPr>
          <w:rFonts w:hint="eastAsia" w:ascii="新宋体" w:hAnsi="新宋体" w:eastAsia="新宋体" w:cs="新宋体"/>
          <w:b/>
          <w:bCs/>
          <w:color w:val="auto"/>
          <w:sz w:val="28"/>
          <w:szCs w:val="28"/>
          <w:highlight w:val="none"/>
          <w:lang w:val="zh-CN"/>
        </w:rPr>
        <w:t>、分项报价表</w:t>
      </w:r>
    </w:p>
    <w:p w14:paraId="4D9EB0A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项目编号：</w:t>
      </w:r>
    </w:p>
    <w:p w14:paraId="4342B77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项目名称：</w:t>
      </w:r>
    </w:p>
    <w:tbl>
      <w:tblPr>
        <w:tblStyle w:val="53"/>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3307"/>
        <w:gridCol w:w="1620"/>
        <w:gridCol w:w="1515"/>
        <w:gridCol w:w="1804"/>
        <w:gridCol w:w="1189"/>
      </w:tblGrid>
      <w:tr w14:paraId="1641E5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2" w:hRule="atLeast"/>
        </w:trPr>
        <w:tc>
          <w:tcPr>
            <w:tcW w:w="3307" w:type="dxa"/>
            <w:noWrap w:val="0"/>
            <w:vAlign w:val="center"/>
          </w:tcPr>
          <w:p w14:paraId="61948289">
            <w:pPr>
              <w:keepNext w:val="0"/>
              <w:keepLines w:val="0"/>
              <w:pageBreakBefore w:val="0"/>
              <w:widowControl w:val="0"/>
              <w:kinsoku/>
              <w:wordWrap/>
              <w:overflowPunct/>
              <w:topLinePunct w:val="0"/>
              <w:autoSpaceDE/>
              <w:autoSpaceDN/>
              <w:bidi w:val="0"/>
              <w:adjustRightInd/>
              <w:snapToGrid/>
              <w:spacing w:line="460" w:lineRule="exact"/>
              <w:ind w:right="-11"/>
              <w:jc w:val="center"/>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项目</w:t>
            </w:r>
          </w:p>
        </w:tc>
        <w:tc>
          <w:tcPr>
            <w:tcW w:w="1620" w:type="dxa"/>
            <w:tcBorders>
              <w:right w:val="single" w:color="auto" w:sz="4" w:space="0"/>
            </w:tcBorders>
            <w:noWrap w:val="0"/>
            <w:vAlign w:val="center"/>
          </w:tcPr>
          <w:p w14:paraId="046B322E">
            <w:pPr>
              <w:keepNext w:val="0"/>
              <w:keepLines w:val="0"/>
              <w:pageBreakBefore w:val="0"/>
              <w:widowControl w:val="0"/>
              <w:kinsoku/>
              <w:wordWrap/>
              <w:overflowPunct/>
              <w:topLinePunct w:val="0"/>
              <w:autoSpaceDE/>
              <w:autoSpaceDN/>
              <w:bidi w:val="0"/>
              <w:adjustRightInd/>
              <w:snapToGrid/>
              <w:spacing w:line="460" w:lineRule="exact"/>
              <w:ind w:right="-11"/>
              <w:jc w:val="center"/>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单价（元</w:t>
            </w:r>
            <w:r>
              <w:rPr>
                <w:rFonts w:hint="eastAsia" w:ascii="新宋体" w:hAnsi="新宋体" w:eastAsia="新宋体" w:cs="新宋体"/>
                <w:color w:val="auto"/>
                <w:sz w:val="22"/>
                <w:szCs w:val="22"/>
                <w:highlight w:val="none"/>
                <w:lang w:eastAsia="zh-CN"/>
              </w:rPr>
              <w:t>）</w:t>
            </w:r>
          </w:p>
        </w:tc>
        <w:tc>
          <w:tcPr>
            <w:tcW w:w="1515" w:type="dxa"/>
            <w:tcBorders>
              <w:right w:val="single" w:color="auto" w:sz="4" w:space="0"/>
            </w:tcBorders>
            <w:noWrap w:val="0"/>
            <w:vAlign w:val="center"/>
          </w:tcPr>
          <w:p w14:paraId="67151DD3">
            <w:pPr>
              <w:keepNext w:val="0"/>
              <w:keepLines w:val="0"/>
              <w:pageBreakBefore w:val="0"/>
              <w:widowControl w:val="0"/>
              <w:kinsoku/>
              <w:wordWrap/>
              <w:overflowPunct/>
              <w:topLinePunct w:val="0"/>
              <w:autoSpaceDE/>
              <w:autoSpaceDN/>
              <w:bidi w:val="0"/>
              <w:adjustRightInd/>
              <w:snapToGrid/>
              <w:spacing w:line="460" w:lineRule="exact"/>
              <w:ind w:right="-11"/>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数量</w:t>
            </w:r>
          </w:p>
        </w:tc>
        <w:tc>
          <w:tcPr>
            <w:tcW w:w="1804" w:type="dxa"/>
            <w:tcBorders>
              <w:right w:val="single" w:color="auto" w:sz="4" w:space="0"/>
            </w:tcBorders>
            <w:noWrap w:val="0"/>
            <w:vAlign w:val="center"/>
          </w:tcPr>
          <w:p w14:paraId="50B5DDCB">
            <w:pPr>
              <w:keepNext w:val="0"/>
              <w:keepLines w:val="0"/>
              <w:pageBreakBefore w:val="0"/>
              <w:widowControl w:val="0"/>
              <w:kinsoku/>
              <w:wordWrap/>
              <w:overflowPunct/>
              <w:topLinePunct w:val="0"/>
              <w:autoSpaceDE/>
              <w:autoSpaceDN/>
              <w:bidi w:val="0"/>
              <w:adjustRightInd/>
              <w:snapToGrid/>
              <w:spacing w:line="460" w:lineRule="exact"/>
              <w:ind w:right="-11"/>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总价</w:t>
            </w:r>
            <w:r>
              <w:rPr>
                <w:rFonts w:hint="eastAsia" w:ascii="新宋体" w:hAnsi="新宋体" w:eastAsia="新宋体" w:cs="新宋体"/>
                <w:color w:val="auto"/>
                <w:sz w:val="22"/>
                <w:szCs w:val="22"/>
                <w:highlight w:val="none"/>
              </w:rPr>
              <w:t>（含税）</w:t>
            </w:r>
          </w:p>
        </w:tc>
        <w:tc>
          <w:tcPr>
            <w:tcW w:w="1189" w:type="dxa"/>
            <w:tcBorders>
              <w:left w:val="single" w:color="auto" w:sz="4" w:space="0"/>
            </w:tcBorders>
            <w:noWrap w:val="0"/>
            <w:vAlign w:val="center"/>
          </w:tcPr>
          <w:p w14:paraId="7A94BB51">
            <w:pPr>
              <w:keepNext w:val="0"/>
              <w:keepLines w:val="0"/>
              <w:pageBreakBefore w:val="0"/>
              <w:widowControl w:val="0"/>
              <w:kinsoku/>
              <w:wordWrap/>
              <w:overflowPunct/>
              <w:topLinePunct w:val="0"/>
              <w:autoSpaceDE/>
              <w:autoSpaceDN/>
              <w:bidi w:val="0"/>
              <w:adjustRightInd/>
              <w:snapToGrid/>
              <w:spacing w:line="460" w:lineRule="exact"/>
              <w:ind w:right="-11"/>
              <w:jc w:val="center"/>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备注</w:t>
            </w:r>
          </w:p>
        </w:tc>
      </w:tr>
      <w:tr w14:paraId="79A64F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19" w:hRule="atLeast"/>
        </w:trPr>
        <w:tc>
          <w:tcPr>
            <w:tcW w:w="3307" w:type="dxa"/>
            <w:noWrap w:val="0"/>
            <w:vAlign w:val="center"/>
          </w:tcPr>
          <w:p w14:paraId="60C9B7E5">
            <w:pPr>
              <w:keepLines w:val="0"/>
              <w:pageBreakBefore w:val="0"/>
              <w:kinsoku/>
              <w:wordWrap/>
              <w:overflowPunct/>
              <w:topLinePunct w:val="0"/>
              <w:autoSpaceDE/>
              <w:autoSpaceDN/>
              <w:bidi w:val="0"/>
              <w:adjustRightInd/>
              <w:snapToGrid/>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200ML</w:t>
            </w:r>
            <w:r>
              <w:rPr>
                <w:rFonts w:hint="eastAsia" w:ascii="新宋体" w:hAnsi="新宋体" w:eastAsia="新宋体" w:cs="新宋体"/>
                <w:color w:val="auto"/>
                <w:kern w:val="0"/>
                <w:sz w:val="22"/>
                <w:szCs w:val="22"/>
                <w:highlight w:val="none"/>
              </w:rPr>
              <w:t>一次性使用去白细胞塑料血袋</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lang w:val="en-US" w:eastAsia="zh-CN"/>
              </w:rPr>
              <w:t>采输血器</w:t>
            </w:r>
            <w:r>
              <w:rPr>
                <w:rFonts w:hint="eastAsia" w:ascii="新宋体" w:hAnsi="新宋体" w:eastAsia="新宋体" w:cs="新宋体"/>
                <w:color w:val="auto"/>
                <w:kern w:val="0"/>
                <w:sz w:val="22"/>
                <w:szCs w:val="22"/>
                <w:highlight w:val="none"/>
                <w:lang w:eastAsia="zh-CN"/>
              </w:rPr>
              <w:t>）</w:t>
            </w:r>
          </w:p>
        </w:tc>
        <w:tc>
          <w:tcPr>
            <w:tcW w:w="1620" w:type="dxa"/>
            <w:tcBorders>
              <w:right w:val="single" w:color="auto" w:sz="4" w:space="0"/>
            </w:tcBorders>
            <w:noWrap w:val="0"/>
            <w:vAlign w:val="top"/>
          </w:tcPr>
          <w:p w14:paraId="5C12DB24">
            <w:pPr>
              <w:keepNext w:val="0"/>
              <w:keepLines w:val="0"/>
              <w:pageBreakBefore w:val="0"/>
              <w:widowControl w:val="0"/>
              <w:kinsoku/>
              <w:wordWrap/>
              <w:overflowPunct/>
              <w:topLinePunct w:val="0"/>
              <w:autoSpaceDE/>
              <w:autoSpaceDN/>
              <w:bidi w:val="0"/>
              <w:adjustRightInd/>
              <w:snapToGrid/>
              <w:spacing w:before="120" w:beforeLines="50" w:after="120" w:afterLines="50" w:line="460" w:lineRule="exact"/>
              <w:ind w:right="-10"/>
              <w:jc w:val="center"/>
              <w:textAlignment w:val="auto"/>
              <w:rPr>
                <w:rFonts w:hint="eastAsia" w:ascii="新宋体" w:hAnsi="新宋体" w:eastAsia="新宋体" w:cs="新宋体"/>
                <w:color w:val="auto"/>
                <w:sz w:val="22"/>
                <w:szCs w:val="22"/>
                <w:highlight w:val="none"/>
              </w:rPr>
            </w:pPr>
          </w:p>
        </w:tc>
        <w:tc>
          <w:tcPr>
            <w:tcW w:w="1515" w:type="dxa"/>
            <w:tcBorders>
              <w:right w:val="single" w:color="auto" w:sz="4" w:space="0"/>
            </w:tcBorders>
            <w:noWrap w:val="0"/>
            <w:vAlign w:val="center"/>
          </w:tcPr>
          <w:p w14:paraId="606BBBCE">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i w:val="0"/>
                <w:iCs w:val="0"/>
                <w:color w:val="auto"/>
                <w:kern w:val="0"/>
                <w:sz w:val="22"/>
                <w:szCs w:val="22"/>
                <w:highlight w:val="none"/>
                <w:u w:val="none"/>
                <w:lang w:val="en-US" w:eastAsia="zh-CN" w:bidi="ar"/>
              </w:rPr>
              <w:t>2413套</w:t>
            </w:r>
          </w:p>
        </w:tc>
        <w:tc>
          <w:tcPr>
            <w:tcW w:w="1804" w:type="dxa"/>
            <w:tcBorders>
              <w:right w:val="single" w:color="auto" w:sz="4" w:space="0"/>
            </w:tcBorders>
            <w:noWrap w:val="0"/>
            <w:vAlign w:val="top"/>
          </w:tcPr>
          <w:p w14:paraId="53995B0F">
            <w:pPr>
              <w:keepNext w:val="0"/>
              <w:keepLines w:val="0"/>
              <w:pageBreakBefore w:val="0"/>
              <w:widowControl w:val="0"/>
              <w:kinsoku/>
              <w:wordWrap/>
              <w:overflowPunct/>
              <w:topLinePunct w:val="0"/>
              <w:autoSpaceDE/>
              <w:autoSpaceDN/>
              <w:bidi w:val="0"/>
              <w:adjustRightInd/>
              <w:snapToGrid/>
              <w:spacing w:before="120" w:beforeLines="50" w:after="120" w:afterLines="50" w:line="460" w:lineRule="exact"/>
              <w:ind w:right="-10"/>
              <w:jc w:val="center"/>
              <w:textAlignment w:val="auto"/>
              <w:rPr>
                <w:rFonts w:hint="eastAsia" w:ascii="新宋体" w:hAnsi="新宋体" w:eastAsia="新宋体" w:cs="新宋体"/>
                <w:color w:val="auto"/>
                <w:sz w:val="22"/>
                <w:szCs w:val="22"/>
                <w:highlight w:val="none"/>
              </w:rPr>
            </w:pPr>
          </w:p>
        </w:tc>
        <w:tc>
          <w:tcPr>
            <w:tcW w:w="1189" w:type="dxa"/>
            <w:tcBorders>
              <w:left w:val="single" w:color="auto" w:sz="4" w:space="0"/>
            </w:tcBorders>
            <w:noWrap w:val="0"/>
            <w:vAlign w:val="top"/>
          </w:tcPr>
          <w:p w14:paraId="45B4133D">
            <w:pPr>
              <w:keepNext w:val="0"/>
              <w:keepLines w:val="0"/>
              <w:pageBreakBefore w:val="0"/>
              <w:widowControl w:val="0"/>
              <w:kinsoku/>
              <w:wordWrap/>
              <w:overflowPunct/>
              <w:topLinePunct w:val="0"/>
              <w:autoSpaceDE/>
              <w:autoSpaceDN/>
              <w:bidi w:val="0"/>
              <w:adjustRightInd/>
              <w:snapToGrid/>
              <w:spacing w:before="120" w:beforeLines="50" w:after="120" w:afterLines="50" w:line="460" w:lineRule="exact"/>
              <w:ind w:right="-10"/>
              <w:jc w:val="center"/>
              <w:textAlignment w:val="auto"/>
              <w:rPr>
                <w:rFonts w:hint="eastAsia" w:ascii="新宋体" w:hAnsi="新宋体" w:eastAsia="新宋体" w:cs="新宋体"/>
                <w:color w:val="auto"/>
                <w:sz w:val="22"/>
                <w:szCs w:val="22"/>
                <w:highlight w:val="none"/>
              </w:rPr>
            </w:pPr>
          </w:p>
        </w:tc>
      </w:tr>
      <w:tr w14:paraId="3F7CEE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19" w:hRule="atLeast"/>
        </w:trPr>
        <w:tc>
          <w:tcPr>
            <w:tcW w:w="3307" w:type="dxa"/>
            <w:noWrap w:val="0"/>
            <w:vAlign w:val="center"/>
          </w:tcPr>
          <w:p w14:paraId="7390CEF1">
            <w:pPr>
              <w:keepLines w:val="0"/>
              <w:pageBreakBefore w:val="0"/>
              <w:kinsoku/>
              <w:wordWrap/>
              <w:overflowPunct/>
              <w:topLinePunct w:val="0"/>
              <w:autoSpaceDE/>
              <w:autoSpaceDN/>
              <w:bidi w:val="0"/>
              <w:adjustRightInd/>
              <w:snapToGrid/>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00ML</w:t>
            </w:r>
            <w:r>
              <w:rPr>
                <w:rFonts w:hint="eastAsia" w:ascii="新宋体" w:hAnsi="新宋体" w:eastAsia="新宋体" w:cs="新宋体"/>
                <w:color w:val="auto"/>
                <w:kern w:val="0"/>
                <w:sz w:val="22"/>
                <w:szCs w:val="22"/>
                <w:highlight w:val="none"/>
              </w:rPr>
              <w:t>一次性使用去白细胞塑料血袋</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lang w:val="en-US" w:eastAsia="zh-CN"/>
              </w:rPr>
              <w:t>采输血器</w:t>
            </w:r>
            <w:r>
              <w:rPr>
                <w:rFonts w:hint="eastAsia" w:ascii="新宋体" w:hAnsi="新宋体" w:eastAsia="新宋体" w:cs="新宋体"/>
                <w:color w:val="auto"/>
                <w:kern w:val="0"/>
                <w:sz w:val="22"/>
                <w:szCs w:val="22"/>
                <w:highlight w:val="none"/>
                <w:lang w:eastAsia="zh-CN"/>
              </w:rPr>
              <w:t>）</w:t>
            </w:r>
          </w:p>
        </w:tc>
        <w:tc>
          <w:tcPr>
            <w:tcW w:w="1620" w:type="dxa"/>
            <w:tcBorders>
              <w:right w:val="single" w:color="auto" w:sz="4" w:space="0"/>
            </w:tcBorders>
            <w:noWrap w:val="0"/>
            <w:vAlign w:val="top"/>
          </w:tcPr>
          <w:p w14:paraId="26C0EA18">
            <w:pPr>
              <w:keepNext w:val="0"/>
              <w:keepLines w:val="0"/>
              <w:pageBreakBefore w:val="0"/>
              <w:widowControl w:val="0"/>
              <w:kinsoku/>
              <w:wordWrap/>
              <w:overflowPunct/>
              <w:topLinePunct w:val="0"/>
              <w:autoSpaceDE/>
              <w:autoSpaceDN/>
              <w:bidi w:val="0"/>
              <w:adjustRightInd/>
              <w:snapToGrid/>
              <w:spacing w:before="120" w:beforeLines="50" w:after="120" w:afterLines="50" w:line="460" w:lineRule="exact"/>
              <w:ind w:right="-10"/>
              <w:jc w:val="center"/>
              <w:textAlignment w:val="auto"/>
              <w:rPr>
                <w:rFonts w:hint="eastAsia" w:ascii="新宋体" w:hAnsi="新宋体" w:eastAsia="新宋体" w:cs="新宋体"/>
                <w:color w:val="auto"/>
                <w:sz w:val="22"/>
                <w:szCs w:val="22"/>
                <w:highlight w:val="none"/>
              </w:rPr>
            </w:pPr>
          </w:p>
        </w:tc>
        <w:tc>
          <w:tcPr>
            <w:tcW w:w="1515" w:type="dxa"/>
            <w:tcBorders>
              <w:right w:val="single" w:color="auto" w:sz="4" w:space="0"/>
            </w:tcBorders>
            <w:noWrap w:val="0"/>
            <w:vAlign w:val="center"/>
          </w:tcPr>
          <w:p w14:paraId="36BD8AA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i w:val="0"/>
                <w:iCs w:val="0"/>
                <w:color w:val="auto"/>
                <w:kern w:val="0"/>
                <w:sz w:val="22"/>
                <w:szCs w:val="22"/>
                <w:highlight w:val="none"/>
                <w:u w:val="none"/>
                <w:lang w:val="en-US" w:eastAsia="zh-CN" w:bidi="ar"/>
              </w:rPr>
              <w:t>7014套</w:t>
            </w:r>
          </w:p>
        </w:tc>
        <w:tc>
          <w:tcPr>
            <w:tcW w:w="1804" w:type="dxa"/>
            <w:tcBorders>
              <w:right w:val="single" w:color="auto" w:sz="4" w:space="0"/>
            </w:tcBorders>
            <w:noWrap w:val="0"/>
            <w:vAlign w:val="top"/>
          </w:tcPr>
          <w:p w14:paraId="6BCCBFBB">
            <w:pPr>
              <w:keepNext w:val="0"/>
              <w:keepLines w:val="0"/>
              <w:pageBreakBefore w:val="0"/>
              <w:widowControl w:val="0"/>
              <w:kinsoku/>
              <w:wordWrap/>
              <w:overflowPunct/>
              <w:topLinePunct w:val="0"/>
              <w:autoSpaceDE/>
              <w:autoSpaceDN/>
              <w:bidi w:val="0"/>
              <w:adjustRightInd/>
              <w:snapToGrid/>
              <w:spacing w:before="120" w:beforeLines="50" w:after="120" w:afterLines="50" w:line="460" w:lineRule="exact"/>
              <w:ind w:right="-10"/>
              <w:jc w:val="center"/>
              <w:textAlignment w:val="auto"/>
              <w:rPr>
                <w:rFonts w:hint="eastAsia" w:ascii="新宋体" w:hAnsi="新宋体" w:eastAsia="新宋体" w:cs="新宋体"/>
                <w:color w:val="auto"/>
                <w:sz w:val="22"/>
                <w:szCs w:val="22"/>
                <w:highlight w:val="none"/>
              </w:rPr>
            </w:pPr>
          </w:p>
        </w:tc>
        <w:tc>
          <w:tcPr>
            <w:tcW w:w="1189" w:type="dxa"/>
            <w:tcBorders>
              <w:left w:val="single" w:color="auto" w:sz="4" w:space="0"/>
            </w:tcBorders>
            <w:noWrap w:val="0"/>
            <w:vAlign w:val="top"/>
          </w:tcPr>
          <w:p w14:paraId="3BF05D4B">
            <w:pPr>
              <w:keepNext w:val="0"/>
              <w:keepLines w:val="0"/>
              <w:pageBreakBefore w:val="0"/>
              <w:widowControl w:val="0"/>
              <w:kinsoku/>
              <w:wordWrap/>
              <w:overflowPunct/>
              <w:topLinePunct w:val="0"/>
              <w:autoSpaceDE/>
              <w:autoSpaceDN/>
              <w:bidi w:val="0"/>
              <w:adjustRightInd/>
              <w:snapToGrid/>
              <w:spacing w:before="120" w:beforeLines="50" w:after="120" w:afterLines="50" w:line="460" w:lineRule="exact"/>
              <w:ind w:right="-10"/>
              <w:jc w:val="center"/>
              <w:textAlignment w:val="auto"/>
              <w:rPr>
                <w:rFonts w:hint="eastAsia" w:ascii="新宋体" w:hAnsi="新宋体" w:eastAsia="新宋体" w:cs="新宋体"/>
                <w:color w:val="auto"/>
                <w:sz w:val="22"/>
                <w:szCs w:val="22"/>
                <w:highlight w:val="none"/>
              </w:rPr>
            </w:pPr>
          </w:p>
        </w:tc>
      </w:tr>
      <w:tr w14:paraId="1109B8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19" w:hRule="atLeast"/>
        </w:trPr>
        <w:tc>
          <w:tcPr>
            <w:tcW w:w="3307" w:type="dxa"/>
            <w:noWrap w:val="0"/>
            <w:vAlign w:val="center"/>
          </w:tcPr>
          <w:p w14:paraId="7AD99E9B">
            <w:pPr>
              <w:keepLines w:val="0"/>
              <w:pageBreakBefore w:val="0"/>
              <w:kinsoku/>
              <w:wordWrap/>
              <w:overflowPunct/>
              <w:topLinePunct w:val="0"/>
              <w:autoSpaceDE/>
              <w:autoSpaceDN/>
              <w:bidi w:val="0"/>
              <w:adjustRightInd/>
              <w:snapToGrid/>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00ML</w:t>
            </w:r>
            <w:r>
              <w:rPr>
                <w:rFonts w:hint="eastAsia" w:ascii="新宋体" w:hAnsi="新宋体" w:eastAsia="新宋体" w:cs="新宋体"/>
                <w:color w:val="auto"/>
                <w:kern w:val="0"/>
                <w:sz w:val="22"/>
                <w:szCs w:val="22"/>
                <w:highlight w:val="none"/>
              </w:rPr>
              <w:t>一次性使用去白细胞塑料血袋</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lang w:val="en-US" w:eastAsia="zh-CN"/>
              </w:rPr>
              <w:t>采输血器</w:t>
            </w:r>
            <w:r>
              <w:rPr>
                <w:rFonts w:hint="eastAsia" w:ascii="新宋体" w:hAnsi="新宋体" w:eastAsia="新宋体" w:cs="新宋体"/>
                <w:color w:val="auto"/>
                <w:kern w:val="0"/>
                <w:sz w:val="22"/>
                <w:szCs w:val="22"/>
                <w:highlight w:val="none"/>
                <w:lang w:eastAsia="zh-CN"/>
              </w:rPr>
              <w:t>）</w:t>
            </w:r>
          </w:p>
        </w:tc>
        <w:tc>
          <w:tcPr>
            <w:tcW w:w="1620" w:type="dxa"/>
            <w:tcBorders>
              <w:right w:val="single" w:color="auto" w:sz="4" w:space="0"/>
            </w:tcBorders>
            <w:noWrap w:val="0"/>
            <w:vAlign w:val="top"/>
          </w:tcPr>
          <w:p w14:paraId="6C7A5571">
            <w:pPr>
              <w:keepNext w:val="0"/>
              <w:keepLines w:val="0"/>
              <w:pageBreakBefore w:val="0"/>
              <w:widowControl w:val="0"/>
              <w:kinsoku/>
              <w:wordWrap/>
              <w:overflowPunct/>
              <w:topLinePunct w:val="0"/>
              <w:autoSpaceDE/>
              <w:autoSpaceDN/>
              <w:bidi w:val="0"/>
              <w:adjustRightInd/>
              <w:snapToGrid/>
              <w:spacing w:before="120" w:beforeLines="50" w:after="120" w:afterLines="50" w:line="460" w:lineRule="exact"/>
              <w:ind w:right="-10"/>
              <w:jc w:val="center"/>
              <w:textAlignment w:val="auto"/>
              <w:rPr>
                <w:rFonts w:hint="eastAsia" w:ascii="新宋体" w:hAnsi="新宋体" w:eastAsia="新宋体" w:cs="新宋体"/>
                <w:color w:val="auto"/>
                <w:sz w:val="22"/>
                <w:szCs w:val="22"/>
                <w:highlight w:val="none"/>
              </w:rPr>
            </w:pPr>
          </w:p>
        </w:tc>
        <w:tc>
          <w:tcPr>
            <w:tcW w:w="1515" w:type="dxa"/>
            <w:tcBorders>
              <w:right w:val="single" w:color="auto" w:sz="4" w:space="0"/>
            </w:tcBorders>
            <w:noWrap w:val="0"/>
            <w:vAlign w:val="center"/>
          </w:tcPr>
          <w:p w14:paraId="49A2FD4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i w:val="0"/>
                <w:iCs w:val="0"/>
                <w:color w:val="auto"/>
                <w:kern w:val="0"/>
                <w:sz w:val="22"/>
                <w:szCs w:val="22"/>
                <w:highlight w:val="none"/>
                <w:u w:val="none"/>
                <w:lang w:val="en-US" w:eastAsia="zh-CN" w:bidi="ar"/>
              </w:rPr>
              <w:t>14506套</w:t>
            </w:r>
          </w:p>
        </w:tc>
        <w:tc>
          <w:tcPr>
            <w:tcW w:w="1804" w:type="dxa"/>
            <w:tcBorders>
              <w:right w:val="single" w:color="auto" w:sz="4" w:space="0"/>
            </w:tcBorders>
            <w:noWrap w:val="0"/>
            <w:vAlign w:val="top"/>
          </w:tcPr>
          <w:p w14:paraId="1607FD3D">
            <w:pPr>
              <w:keepNext w:val="0"/>
              <w:keepLines w:val="0"/>
              <w:pageBreakBefore w:val="0"/>
              <w:widowControl w:val="0"/>
              <w:kinsoku/>
              <w:wordWrap/>
              <w:overflowPunct/>
              <w:topLinePunct w:val="0"/>
              <w:autoSpaceDE/>
              <w:autoSpaceDN/>
              <w:bidi w:val="0"/>
              <w:adjustRightInd/>
              <w:snapToGrid/>
              <w:spacing w:before="120" w:beforeLines="50" w:after="120" w:afterLines="50" w:line="460" w:lineRule="exact"/>
              <w:ind w:right="-10"/>
              <w:jc w:val="center"/>
              <w:textAlignment w:val="auto"/>
              <w:rPr>
                <w:rFonts w:hint="eastAsia" w:ascii="新宋体" w:hAnsi="新宋体" w:eastAsia="新宋体" w:cs="新宋体"/>
                <w:color w:val="auto"/>
                <w:sz w:val="22"/>
                <w:szCs w:val="22"/>
                <w:highlight w:val="none"/>
              </w:rPr>
            </w:pPr>
          </w:p>
        </w:tc>
        <w:tc>
          <w:tcPr>
            <w:tcW w:w="1189" w:type="dxa"/>
            <w:tcBorders>
              <w:left w:val="single" w:color="auto" w:sz="4" w:space="0"/>
            </w:tcBorders>
            <w:noWrap w:val="0"/>
            <w:vAlign w:val="top"/>
          </w:tcPr>
          <w:p w14:paraId="7C2B4FDC">
            <w:pPr>
              <w:keepNext w:val="0"/>
              <w:keepLines w:val="0"/>
              <w:pageBreakBefore w:val="0"/>
              <w:widowControl w:val="0"/>
              <w:kinsoku/>
              <w:wordWrap/>
              <w:overflowPunct/>
              <w:topLinePunct w:val="0"/>
              <w:autoSpaceDE/>
              <w:autoSpaceDN/>
              <w:bidi w:val="0"/>
              <w:adjustRightInd/>
              <w:snapToGrid/>
              <w:spacing w:before="120" w:beforeLines="50" w:after="120" w:afterLines="50" w:line="460" w:lineRule="exact"/>
              <w:ind w:right="-10"/>
              <w:jc w:val="center"/>
              <w:textAlignment w:val="auto"/>
              <w:rPr>
                <w:rFonts w:hint="eastAsia" w:ascii="新宋体" w:hAnsi="新宋体" w:eastAsia="新宋体" w:cs="新宋体"/>
                <w:color w:val="auto"/>
                <w:sz w:val="22"/>
                <w:szCs w:val="22"/>
                <w:highlight w:val="none"/>
              </w:rPr>
            </w:pPr>
          </w:p>
        </w:tc>
      </w:tr>
      <w:tr w14:paraId="0F0284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19" w:hRule="atLeast"/>
        </w:trPr>
        <w:tc>
          <w:tcPr>
            <w:tcW w:w="3307" w:type="dxa"/>
            <w:noWrap w:val="0"/>
            <w:vAlign w:val="center"/>
          </w:tcPr>
          <w:p w14:paraId="16861B4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易损件、专用工具（如有）</w:t>
            </w:r>
          </w:p>
        </w:tc>
        <w:tc>
          <w:tcPr>
            <w:tcW w:w="4939" w:type="dxa"/>
            <w:gridSpan w:val="3"/>
            <w:tcBorders>
              <w:right w:val="single" w:color="auto" w:sz="4" w:space="0"/>
            </w:tcBorders>
            <w:noWrap w:val="0"/>
            <w:vAlign w:val="center"/>
          </w:tcPr>
          <w:p w14:paraId="77FCCBC9">
            <w:pPr>
              <w:keepNext w:val="0"/>
              <w:keepLines w:val="0"/>
              <w:pageBreakBefore w:val="0"/>
              <w:widowControl w:val="0"/>
              <w:kinsoku/>
              <w:wordWrap/>
              <w:overflowPunct/>
              <w:topLinePunct w:val="0"/>
              <w:autoSpaceDE/>
              <w:autoSpaceDN/>
              <w:bidi w:val="0"/>
              <w:adjustRightInd/>
              <w:snapToGrid/>
              <w:spacing w:before="120" w:beforeLines="50" w:after="120" w:afterLines="50" w:line="460" w:lineRule="exact"/>
              <w:ind w:right="-10"/>
              <w:jc w:val="center"/>
              <w:textAlignment w:val="auto"/>
              <w:rPr>
                <w:rFonts w:hint="eastAsia" w:ascii="新宋体" w:hAnsi="新宋体" w:eastAsia="新宋体" w:cs="新宋体"/>
                <w:color w:val="auto"/>
                <w:sz w:val="22"/>
                <w:szCs w:val="22"/>
                <w:highlight w:val="none"/>
              </w:rPr>
            </w:pPr>
          </w:p>
        </w:tc>
        <w:tc>
          <w:tcPr>
            <w:tcW w:w="1189" w:type="dxa"/>
            <w:tcBorders>
              <w:left w:val="single" w:color="auto" w:sz="4" w:space="0"/>
            </w:tcBorders>
            <w:noWrap w:val="0"/>
            <w:vAlign w:val="center"/>
          </w:tcPr>
          <w:p w14:paraId="727F1A42">
            <w:pPr>
              <w:keepNext w:val="0"/>
              <w:keepLines w:val="0"/>
              <w:pageBreakBefore w:val="0"/>
              <w:widowControl w:val="0"/>
              <w:kinsoku/>
              <w:wordWrap/>
              <w:overflowPunct/>
              <w:topLinePunct w:val="0"/>
              <w:autoSpaceDE/>
              <w:autoSpaceDN/>
              <w:bidi w:val="0"/>
              <w:adjustRightInd/>
              <w:snapToGrid/>
              <w:spacing w:before="120" w:beforeLines="50" w:after="120" w:afterLines="50" w:line="460" w:lineRule="exact"/>
              <w:ind w:right="-10"/>
              <w:jc w:val="center"/>
              <w:textAlignment w:val="auto"/>
              <w:rPr>
                <w:rFonts w:hint="eastAsia" w:ascii="新宋体" w:hAnsi="新宋体" w:eastAsia="新宋体" w:cs="新宋体"/>
                <w:color w:val="auto"/>
                <w:sz w:val="22"/>
                <w:szCs w:val="22"/>
                <w:highlight w:val="none"/>
              </w:rPr>
            </w:pPr>
          </w:p>
        </w:tc>
      </w:tr>
      <w:tr w14:paraId="605A13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19" w:hRule="atLeast"/>
        </w:trPr>
        <w:tc>
          <w:tcPr>
            <w:tcW w:w="3307" w:type="dxa"/>
            <w:noWrap w:val="0"/>
            <w:vAlign w:val="center"/>
          </w:tcPr>
          <w:p w14:paraId="7A8ED0F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安装、检验费（含第三方检验费）</w:t>
            </w:r>
          </w:p>
        </w:tc>
        <w:tc>
          <w:tcPr>
            <w:tcW w:w="4939" w:type="dxa"/>
            <w:gridSpan w:val="3"/>
            <w:tcBorders>
              <w:right w:val="single" w:color="auto" w:sz="4" w:space="0"/>
            </w:tcBorders>
            <w:noWrap w:val="0"/>
            <w:vAlign w:val="top"/>
          </w:tcPr>
          <w:p w14:paraId="56711EAE">
            <w:pPr>
              <w:keepNext w:val="0"/>
              <w:keepLines w:val="0"/>
              <w:pageBreakBefore w:val="0"/>
              <w:widowControl w:val="0"/>
              <w:kinsoku/>
              <w:wordWrap/>
              <w:overflowPunct/>
              <w:topLinePunct w:val="0"/>
              <w:autoSpaceDE/>
              <w:autoSpaceDN/>
              <w:bidi w:val="0"/>
              <w:adjustRightInd/>
              <w:snapToGrid/>
              <w:spacing w:before="120" w:beforeLines="50" w:after="120" w:afterLines="50" w:line="460" w:lineRule="exact"/>
              <w:ind w:right="-10"/>
              <w:jc w:val="center"/>
              <w:textAlignment w:val="auto"/>
              <w:rPr>
                <w:rFonts w:hint="eastAsia" w:ascii="新宋体" w:hAnsi="新宋体" w:eastAsia="新宋体" w:cs="新宋体"/>
                <w:color w:val="auto"/>
                <w:sz w:val="22"/>
                <w:szCs w:val="22"/>
                <w:highlight w:val="none"/>
              </w:rPr>
            </w:pPr>
          </w:p>
        </w:tc>
        <w:tc>
          <w:tcPr>
            <w:tcW w:w="1189" w:type="dxa"/>
            <w:tcBorders>
              <w:left w:val="single" w:color="auto" w:sz="4" w:space="0"/>
            </w:tcBorders>
            <w:noWrap w:val="0"/>
            <w:vAlign w:val="top"/>
          </w:tcPr>
          <w:p w14:paraId="701C2A26">
            <w:pPr>
              <w:keepNext w:val="0"/>
              <w:keepLines w:val="0"/>
              <w:pageBreakBefore w:val="0"/>
              <w:widowControl w:val="0"/>
              <w:kinsoku/>
              <w:wordWrap/>
              <w:overflowPunct/>
              <w:topLinePunct w:val="0"/>
              <w:autoSpaceDE/>
              <w:autoSpaceDN/>
              <w:bidi w:val="0"/>
              <w:adjustRightInd/>
              <w:snapToGrid/>
              <w:spacing w:before="120" w:beforeLines="50" w:after="120" w:afterLines="50" w:line="460" w:lineRule="exact"/>
              <w:ind w:right="-10"/>
              <w:jc w:val="center"/>
              <w:textAlignment w:val="auto"/>
              <w:rPr>
                <w:rFonts w:hint="eastAsia" w:ascii="新宋体" w:hAnsi="新宋体" w:eastAsia="新宋体" w:cs="新宋体"/>
                <w:color w:val="auto"/>
                <w:sz w:val="22"/>
                <w:szCs w:val="22"/>
                <w:highlight w:val="none"/>
              </w:rPr>
            </w:pPr>
          </w:p>
        </w:tc>
      </w:tr>
      <w:tr w14:paraId="08B12E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19" w:hRule="atLeast"/>
        </w:trPr>
        <w:tc>
          <w:tcPr>
            <w:tcW w:w="3307" w:type="dxa"/>
            <w:noWrap w:val="0"/>
            <w:vAlign w:val="center"/>
          </w:tcPr>
          <w:p w14:paraId="18832F74">
            <w:pPr>
              <w:spacing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人员培训费（如有）</w:t>
            </w:r>
          </w:p>
        </w:tc>
        <w:tc>
          <w:tcPr>
            <w:tcW w:w="4939" w:type="dxa"/>
            <w:gridSpan w:val="3"/>
            <w:tcBorders>
              <w:right w:val="single" w:color="auto" w:sz="4" w:space="0"/>
            </w:tcBorders>
            <w:noWrap w:val="0"/>
            <w:vAlign w:val="top"/>
          </w:tcPr>
          <w:p w14:paraId="666CE64F">
            <w:pPr>
              <w:spacing w:before="120" w:beforeLines="50" w:after="120" w:afterLines="50" w:line="360" w:lineRule="exact"/>
              <w:ind w:right="-10"/>
              <w:jc w:val="center"/>
              <w:rPr>
                <w:rFonts w:hint="eastAsia" w:ascii="新宋体" w:hAnsi="新宋体" w:eastAsia="新宋体" w:cs="新宋体"/>
                <w:color w:val="auto"/>
                <w:sz w:val="22"/>
                <w:szCs w:val="22"/>
                <w:highlight w:val="none"/>
              </w:rPr>
            </w:pPr>
          </w:p>
        </w:tc>
        <w:tc>
          <w:tcPr>
            <w:tcW w:w="1189" w:type="dxa"/>
            <w:tcBorders>
              <w:left w:val="single" w:color="auto" w:sz="4" w:space="0"/>
            </w:tcBorders>
            <w:noWrap w:val="0"/>
            <w:vAlign w:val="top"/>
          </w:tcPr>
          <w:p w14:paraId="078DD201">
            <w:pPr>
              <w:spacing w:before="120" w:beforeLines="50" w:after="120" w:afterLines="50" w:line="360" w:lineRule="exact"/>
              <w:ind w:right="-10"/>
              <w:jc w:val="center"/>
              <w:rPr>
                <w:rFonts w:hint="eastAsia" w:ascii="新宋体" w:hAnsi="新宋体" w:eastAsia="新宋体" w:cs="新宋体"/>
                <w:color w:val="auto"/>
                <w:sz w:val="22"/>
                <w:szCs w:val="22"/>
                <w:highlight w:val="none"/>
              </w:rPr>
            </w:pPr>
          </w:p>
        </w:tc>
      </w:tr>
      <w:tr w14:paraId="093E32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19" w:hRule="atLeast"/>
        </w:trPr>
        <w:tc>
          <w:tcPr>
            <w:tcW w:w="3307" w:type="dxa"/>
            <w:noWrap w:val="0"/>
            <w:vAlign w:val="center"/>
          </w:tcPr>
          <w:p w14:paraId="797B2C7D">
            <w:pPr>
              <w:spacing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至最终目的地的运费、保险费</w:t>
            </w:r>
          </w:p>
        </w:tc>
        <w:tc>
          <w:tcPr>
            <w:tcW w:w="4939" w:type="dxa"/>
            <w:gridSpan w:val="3"/>
            <w:tcBorders>
              <w:right w:val="single" w:color="auto" w:sz="4" w:space="0"/>
            </w:tcBorders>
            <w:noWrap w:val="0"/>
            <w:vAlign w:val="top"/>
          </w:tcPr>
          <w:p w14:paraId="7327DAFD">
            <w:pPr>
              <w:spacing w:before="120" w:beforeLines="50" w:after="120" w:afterLines="50" w:line="360" w:lineRule="exact"/>
              <w:ind w:right="-10"/>
              <w:jc w:val="center"/>
              <w:rPr>
                <w:rFonts w:hint="eastAsia" w:ascii="新宋体" w:hAnsi="新宋体" w:eastAsia="新宋体" w:cs="新宋体"/>
                <w:color w:val="auto"/>
                <w:sz w:val="22"/>
                <w:szCs w:val="22"/>
                <w:highlight w:val="none"/>
              </w:rPr>
            </w:pPr>
          </w:p>
        </w:tc>
        <w:tc>
          <w:tcPr>
            <w:tcW w:w="1189" w:type="dxa"/>
            <w:tcBorders>
              <w:left w:val="single" w:color="auto" w:sz="4" w:space="0"/>
            </w:tcBorders>
            <w:noWrap w:val="0"/>
            <w:vAlign w:val="top"/>
          </w:tcPr>
          <w:p w14:paraId="72FA53FF">
            <w:pPr>
              <w:spacing w:before="120" w:beforeLines="50" w:after="120" w:afterLines="50" w:line="360" w:lineRule="exact"/>
              <w:ind w:right="-10"/>
              <w:jc w:val="center"/>
              <w:rPr>
                <w:rFonts w:hint="eastAsia" w:ascii="新宋体" w:hAnsi="新宋体" w:eastAsia="新宋体" w:cs="新宋体"/>
                <w:color w:val="auto"/>
                <w:sz w:val="22"/>
                <w:szCs w:val="22"/>
                <w:highlight w:val="none"/>
              </w:rPr>
            </w:pPr>
          </w:p>
        </w:tc>
      </w:tr>
      <w:tr w14:paraId="7FC05C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19" w:hRule="atLeast"/>
        </w:trPr>
        <w:tc>
          <w:tcPr>
            <w:tcW w:w="3307" w:type="dxa"/>
            <w:noWrap w:val="0"/>
            <w:vAlign w:val="center"/>
          </w:tcPr>
          <w:p w14:paraId="13E97851">
            <w:pPr>
              <w:spacing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招标代理服务费</w:t>
            </w:r>
          </w:p>
        </w:tc>
        <w:tc>
          <w:tcPr>
            <w:tcW w:w="4939" w:type="dxa"/>
            <w:gridSpan w:val="3"/>
            <w:tcBorders>
              <w:right w:val="single" w:color="auto" w:sz="4" w:space="0"/>
            </w:tcBorders>
            <w:noWrap w:val="0"/>
            <w:vAlign w:val="top"/>
          </w:tcPr>
          <w:p w14:paraId="5E96B30C">
            <w:pPr>
              <w:spacing w:before="120" w:beforeLines="50" w:after="120" w:afterLines="50" w:line="360" w:lineRule="exact"/>
              <w:ind w:right="-10"/>
              <w:jc w:val="center"/>
              <w:rPr>
                <w:rFonts w:hint="eastAsia" w:ascii="新宋体" w:hAnsi="新宋体" w:eastAsia="新宋体" w:cs="新宋体"/>
                <w:color w:val="auto"/>
                <w:sz w:val="22"/>
                <w:szCs w:val="22"/>
                <w:highlight w:val="none"/>
              </w:rPr>
            </w:pPr>
          </w:p>
        </w:tc>
        <w:tc>
          <w:tcPr>
            <w:tcW w:w="1189" w:type="dxa"/>
            <w:tcBorders>
              <w:left w:val="single" w:color="auto" w:sz="4" w:space="0"/>
            </w:tcBorders>
            <w:noWrap w:val="0"/>
            <w:vAlign w:val="top"/>
          </w:tcPr>
          <w:p w14:paraId="01702CD3">
            <w:pPr>
              <w:spacing w:before="120" w:beforeLines="50" w:after="120" w:afterLines="50" w:line="360" w:lineRule="exact"/>
              <w:ind w:right="-10"/>
              <w:jc w:val="center"/>
              <w:rPr>
                <w:rFonts w:hint="eastAsia" w:ascii="新宋体" w:hAnsi="新宋体" w:eastAsia="新宋体" w:cs="新宋体"/>
                <w:color w:val="auto"/>
                <w:sz w:val="22"/>
                <w:szCs w:val="22"/>
                <w:highlight w:val="none"/>
              </w:rPr>
            </w:pPr>
          </w:p>
        </w:tc>
      </w:tr>
      <w:tr w14:paraId="0F33C8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19" w:hRule="atLeast"/>
        </w:trPr>
        <w:tc>
          <w:tcPr>
            <w:tcW w:w="3307" w:type="dxa"/>
            <w:noWrap w:val="0"/>
            <w:vAlign w:val="center"/>
          </w:tcPr>
          <w:p w14:paraId="761E5A8B">
            <w:pPr>
              <w:spacing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其他</w:t>
            </w:r>
          </w:p>
        </w:tc>
        <w:tc>
          <w:tcPr>
            <w:tcW w:w="4939" w:type="dxa"/>
            <w:gridSpan w:val="3"/>
            <w:tcBorders>
              <w:right w:val="single" w:color="auto" w:sz="4" w:space="0"/>
            </w:tcBorders>
            <w:noWrap w:val="0"/>
            <w:vAlign w:val="top"/>
          </w:tcPr>
          <w:p w14:paraId="4AE3001E">
            <w:pPr>
              <w:spacing w:before="120" w:beforeLines="50" w:after="120" w:afterLines="50" w:line="360" w:lineRule="exact"/>
              <w:ind w:right="-10"/>
              <w:jc w:val="center"/>
              <w:rPr>
                <w:rFonts w:hint="eastAsia" w:ascii="新宋体" w:hAnsi="新宋体" w:eastAsia="新宋体" w:cs="新宋体"/>
                <w:color w:val="auto"/>
                <w:sz w:val="22"/>
                <w:szCs w:val="22"/>
                <w:highlight w:val="none"/>
              </w:rPr>
            </w:pPr>
          </w:p>
        </w:tc>
        <w:tc>
          <w:tcPr>
            <w:tcW w:w="1189" w:type="dxa"/>
            <w:tcBorders>
              <w:left w:val="single" w:color="auto" w:sz="4" w:space="0"/>
            </w:tcBorders>
            <w:noWrap w:val="0"/>
            <w:vAlign w:val="top"/>
          </w:tcPr>
          <w:p w14:paraId="34A03BCA">
            <w:pPr>
              <w:spacing w:before="120" w:beforeLines="50" w:after="120" w:afterLines="50" w:line="360" w:lineRule="exact"/>
              <w:ind w:right="-10"/>
              <w:jc w:val="center"/>
              <w:rPr>
                <w:rFonts w:hint="eastAsia" w:ascii="新宋体" w:hAnsi="新宋体" w:eastAsia="新宋体" w:cs="新宋体"/>
                <w:color w:val="auto"/>
                <w:sz w:val="22"/>
                <w:szCs w:val="22"/>
                <w:highlight w:val="none"/>
              </w:rPr>
            </w:pPr>
          </w:p>
        </w:tc>
      </w:tr>
      <w:tr w14:paraId="58EC41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23" w:hRule="atLeast"/>
        </w:trPr>
        <w:tc>
          <w:tcPr>
            <w:tcW w:w="3307" w:type="dxa"/>
            <w:noWrap w:val="0"/>
            <w:vAlign w:val="top"/>
          </w:tcPr>
          <w:p w14:paraId="3D22A8B3">
            <w:pPr>
              <w:spacing w:before="120" w:beforeLines="50" w:after="120" w:afterLines="50" w:line="360" w:lineRule="exact"/>
              <w:ind w:right="-1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总计价</w:t>
            </w:r>
          </w:p>
        </w:tc>
        <w:tc>
          <w:tcPr>
            <w:tcW w:w="6128" w:type="dxa"/>
            <w:gridSpan w:val="4"/>
            <w:noWrap w:val="0"/>
            <w:vAlign w:val="top"/>
          </w:tcPr>
          <w:p w14:paraId="1E0C8E2F">
            <w:pPr>
              <w:spacing w:before="120" w:beforeLines="50" w:after="120" w:afterLines="50" w:line="360" w:lineRule="exact"/>
              <w:ind w:right="-10"/>
              <w:jc w:val="center"/>
              <w:rPr>
                <w:rFonts w:hint="eastAsia" w:ascii="新宋体" w:hAnsi="新宋体" w:eastAsia="新宋体" w:cs="新宋体"/>
                <w:color w:val="auto"/>
                <w:sz w:val="22"/>
                <w:szCs w:val="22"/>
                <w:highlight w:val="none"/>
              </w:rPr>
            </w:pPr>
          </w:p>
        </w:tc>
      </w:tr>
    </w:tbl>
    <w:p w14:paraId="4B34B62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color w:val="auto"/>
          <w:sz w:val="22"/>
          <w:szCs w:val="22"/>
          <w:highlight w:val="none"/>
        </w:rPr>
      </w:pPr>
    </w:p>
    <w:p w14:paraId="01373753">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color w:val="auto"/>
          <w:sz w:val="22"/>
          <w:szCs w:val="22"/>
          <w:highlight w:val="none"/>
        </w:rPr>
        <w:t>说明：</w:t>
      </w:r>
      <w:r>
        <w:rPr>
          <w:rFonts w:hint="eastAsia" w:ascii="新宋体" w:hAnsi="新宋体" w:eastAsia="新宋体" w:cs="新宋体"/>
          <w:b/>
          <w:bCs/>
          <w:color w:val="auto"/>
          <w:sz w:val="22"/>
          <w:szCs w:val="22"/>
          <w:highlight w:val="none"/>
        </w:rPr>
        <w:t>1、此表总计价应与</w:t>
      </w:r>
      <w:r>
        <w:rPr>
          <w:rFonts w:hint="eastAsia" w:ascii="新宋体" w:hAnsi="新宋体" w:eastAsia="新宋体" w:cs="新宋体"/>
          <w:b/>
          <w:bCs/>
          <w:color w:val="auto"/>
          <w:sz w:val="22"/>
          <w:szCs w:val="22"/>
          <w:highlight w:val="none"/>
          <w:lang w:val="en-US" w:eastAsia="zh-CN"/>
        </w:rPr>
        <w:t>附件二</w:t>
      </w:r>
      <w:r>
        <w:rPr>
          <w:rFonts w:hint="eastAsia" w:ascii="新宋体" w:hAnsi="新宋体" w:eastAsia="新宋体" w:cs="新宋体"/>
          <w:b/>
          <w:bCs/>
          <w:color w:val="auto"/>
          <w:sz w:val="22"/>
          <w:szCs w:val="22"/>
          <w:highlight w:val="none"/>
        </w:rPr>
        <w:t>“</w:t>
      </w:r>
      <w:r>
        <w:rPr>
          <w:rFonts w:hint="eastAsia" w:ascii="新宋体" w:hAnsi="新宋体" w:eastAsia="新宋体" w:cs="新宋体"/>
          <w:b/>
          <w:bCs/>
          <w:color w:val="auto"/>
          <w:sz w:val="22"/>
          <w:szCs w:val="22"/>
          <w:highlight w:val="none"/>
          <w:lang w:val="en-US" w:eastAsia="zh-CN"/>
        </w:rPr>
        <w:t>1</w:t>
      </w:r>
      <w:r>
        <w:rPr>
          <w:rFonts w:hint="eastAsia" w:ascii="新宋体" w:hAnsi="新宋体" w:eastAsia="新宋体" w:cs="新宋体"/>
          <w:b/>
          <w:bCs/>
          <w:color w:val="auto"/>
          <w:sz w:val="22"/>
          <w:szCs w:val="22"/>
          <w:highlight w:val="none"/>
        </w:rPr>
        <w:t>、</w:t>
      </w:r>
      <w:r>
        <w:rPr>
          <w:rFonts w:hint="eastAsia" w:ascii="新宋体" w:hAnsi="新宋体" w:eastAsia="新宋体" w:cs="新宋体"/>
          <w:b/>
          <w:bCs/>
          <w:color w:val="auto"/>
          <w:sz w:val="22"/>
          <w:szCs w:val="22"/>
          <w:highlight w:val="none"/>
          <w:lang w:val="en-US" w:eastAsia="zh-CN"/>
        </w:rPr>
        <w:t>投标</w:t>
      </w:r>
      <w:r>
        <w:rPr>
          <w:rFonts w:hint="eastAsia" w:ascii="新宋体" w:hAnsi="新宋体" w:eastAsia="新宋体" w:cs="新宋体"/>
          <w:b/>
          <w:bCs/>
          <w:color w:val="auto"/>
          <w:sz w:val="22"/>
          <w:szCs w:val="22"/>
          <w:highlight w:val="none"/>
        </w:rPr>
        <w:t>报价一览表”中报价相一致。</w:t>
      </w:r>
    </w:p>
    <w:p w14:paraId="0A562E4E">
      <w:pPr>
        <w:keepNext w:val="0"/>
        <w:keepLines w:val="0"/>
        <w:pageBreakBefore w:val="0"/>
        <w:widowControl w:val="0"/>
        <w:kinsoku/>
        <w:wordWrap/>
        <w:overflowPunct/>
        <w:topLinePunct w:val="0"/>
        <w:autoSpaceDE/>
        <w:autoSpaceDN/>
        <w:bidi w:val="0"/>
        <w:adjustRightInd/>
        <w:snapToGrid/>
        <w:spacing w:line="460" w:lineRule="exact"/>
        <w:ind w:firstLine="663" w:firstLineChars="3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2、不提供详细分项报价将视为没有实质性响应</w:t>
      </w:r>
      <w:r>
        <w:rPr>
          <w:rFonts w:hint="eastAsia" w:ascii="新宋体" w:hAnsi="新宋体" w:eastAsia="新宋体" w:cs="新宋体"/>
          <w:b/>
          <w:bCs/>
          <w:color w:val="auto"/>
          <w:sz w:val="22"/>
          <w:szCs w:val="22"/>
          <w:highlight w:val="none"/>
          <w:lang w:eastAsia="zh-CN"/>
        </w:rPr>
        <w:t>采购文件</w:t>
      </w:r>
      <w:r>
        <w:rPr>
          <w:rFonts w:hint="eastAsia" w:ascii="新宋体" w:hAnsi="新宋体" w:eastAsia="新宋体" w:cs="新宋体"/>
          <w:b/>
          <w:bCs/>
          <w:color w:val="auto"/>
          <w:sz w:val="22"/>
          <w:szCs w:val="22"/>
          <w:highlight w:val="none"/>
        </w:rPr>
        <w:t>。</w:t>
      </w:r>
    </w:p>
    <w:p w14:paraId="09880ACB">
      <w:pPr>
        <w:keepNext w:val="0"/>
        <w:keepLines w:val="0"/>
        <w:pageBreakBefore w:val="0"/>
        <w:widowControl w:val="0"/>
        <w:kinsoku/>
        <w:wordWrap/>
        <w:overflowPunct/>
        <w:topLinePunct w:val="0"/>
        <w:autoSpaceDE/>
        <w:autoSpaceDN/>
        <w:bidi w:val="0"/>
        <w:adjustRightInd/>
        <w:snapToGrid/>
        <w:spacing w:line="460" w:lineRule="exact"/>
        <w:ind w:firstLine="663" w:firstLineChars="3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3、如果免费请在该项内容栏内注明“免”，如果含在产品价格中则填“含”，如无此项内容则填“无”。</w:t>
      </w:r>
    </w:p>
    <w:p w14:paraId="0896C052">
      <w:pPr>
        <w:keepNext w:val="0"/>
        <w:keepLines w:val="0"/>
        <w:pageBreakBefore w:val="0"/>
        <w:widowControl w:val="0"/>
        <w:kinsoku/>
        <w:wordWrap/>
        <w:overflowPunct/>
        <w:topLinePunct w:val="0"/>
        <w:autoSpaceDE/>
        <w:autoSpaceDN/>
        <w:bidi w:val="0"/>
        <w:adjustRightInd/>
        <w:snapToGrid/>
        <w:spacing w:line="460" w:lineRule="exact"/>
        <w:ind w:firstLine="5060" w:firstLineChars="2300"/>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3105D9E3">
      <w:pPr>
        <w:keepNext w:val="0"/>
        <w:keepLines w:val="0"/>
        <w:pageBreakBefore w:val="0"/>
        <w:widowControl w:val="0"/>
        <w:kinsoku/>
        <w:wordWrap/>
        <w:overflowPunct/>
        <w:topLinePunct w:val="0"/>
        <w:autoSpaceDE/>
        <w:autoSpaceDN/>
        <w:bidi w:val="0"/>
        <w:adjustRightInd/>
        <w:snapToGrid/>
        <w:spacing w:line="460" w:lineRule="exact"/>
        <w:ind w:firstLine="5060" w:firstLineChars="2300"/>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28E5BD86">
      <w:pPr>
        <w:keepNext w:val="0"/>
        <w:keepLines w:val="0"/>
        <w:pageBreakBefore w:val="0"/>
        <w:widowControl w:val="0"/>
        <w:kinsoku/>
        <w:wordWrap/>
        <w:overflowPunct/>
        <w:topLinePunct w:val="0"/>
        <w:autoSpaceDE/>
        <w:autoSpaceDN/>
        <w:bidi w:val="0"/>
        <w:adjustRightInd/>
        <w:snapToGrid/>
        <w:spacing w:line="460" w:lineRule="exact"/>
        <w:ind w:firstLine="5060" w:firstLineChars="2300"/>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6A5BE0B3">
      <w:pPr>
        <w:rPr>
          <w:rFonts w:hint="eastAsia" w:ascii="新宋体" w:hAnsi="新宋体" w:eastAsia="新宋体" w:cs="新宋体"/>
          <w:color w:val="auto"/>
          <w:sz w:val="22"/>
          <w:szCs w:val="22"/>
          <w:highlight w:val="none"/>
        </w:rPr>
      </w:pPr>
    </w:p>
    <w:p w14:paraId="185CE359">
      <w:pPr>
        <w:rPr>
          <w:rFonts w:hint="eastAsia" w:ascii="新宋体" w:hAnsi="新宋体" w:eastAsia="新宋体" w:cs="新宋体"/>
          <w:b/>
          <w:bCs/>
          <w:color w:val="auto"/>
          <w:sz w:val="28"/>
          <w:szCs w:val="28"/>
          <w:highlight w:val="none"/>
        </w:rPr>
      </w:pPr>
    </w:p>
    <w:p w14:paraId="0827DC75">
      <w:pPr>
        <w:spacing w:line="400" w:lineRule="exact"/>
        <w:jc w:val="center"/>
        <w:outlineLvl w:val="3"/>
        <w:rPr>
          <w:rFonts w:hint="eastAsia" w:ascii="新宋体" w:hAnsi="新宋体" w:eastAsia="新宋体" w:cs="新宋体"/>
          <w:b/>
          <w:color w:val="auto"/>
          <w:sz w:val="28"/>
          <w:szCs w:val="28"/>
          <w:highlight w:val="none"/>
          <w:lang w:val="en-US" w:eastAsia="zh-CN"/>
        </w:rPr>
      </w:pPr>
      <w:r>
        <w:rPr>
          <w:rFonts w:hint="eastAsia" w:ascii="新宋体" w:hAnsi="新宋体" w:eastAsia="新宋体" w:cs="新宋体"/>
          <w:b/>
          <w:color w:val="auto"/>
          <w:sz w:val="28"/>
          <w:szCs w:val="28"/>
          <w:highlight w:val="none"/>
          <w:lang w:val="en-US" w:eastAsia="zh-CN"/>
        </w:rPr>
        <w:t>3、落实政府采购政策需满足的资格要求证明材料</w:t>
      </w:r>
    </w:p>
    <w:p w14:paraId="45C629D8">
      <w:pPr>
        <w:bidi w:val="0"/>
        <w:rPr>
          <w:rFonts w:hint="eastAsia" w:ascii="新宋体" w:hAnsi="新宋体" w:eastAsia="新宋体" w:cs="新宋体"/>
          <w:b/>
          <w:bCs/>
          <w:color w:val="auto"/>
          <w:szCs w:val="28"/>
          <w:highlight w:val="none"/>
          <w:lang w:val="en-US" w:eastAsia="zh-CN"/>
        </w:rPr>
      </w:pPr>
      <w:r>
        <w:rPr>
          <w:rFonts w:hint="eastAsia" w:ascii="新宋体" w:hAnsi="新宋体" w:eastAsia="新宋体" w:cs="新宋体"/>
          <w:color w:val="auto"/>
          <w:highlight w:val="none"/>
        </w:rPr>
        <w:t>（根据</w:t>
      </w:r>
      <w:r>
        <w:rPr>
          <w:rFonts w:hint="eastAsia" w:ascii="新宋体" w:hAnsi="新宋体" w:eastAsia="新宋体" w:cs="新宋体"/>
          <w:color w:val="auto"/>
          <w:highlight w:val="none"/>
          <w:lang w:val="en-US" w:eastAsia="zh-CN"/>
        </w:rPr>
        <w:t>招标</w:t>
      </w:r>
      <w:r>
        <w:rPr>
          <w:rFonts w:hint="eastAsia" w:ascii="新宋体" w:hAnsi="新宋体" w:eastAsia="新宋体" w:cs="新宋体"/>
          <w:color w:val="auto"/>
          <w:highlight w:val="none"/>
        </w:rPr>
        <w:t>公告落实政府采购政策需满足的资格要求选择提供相应的材料；未要求的，无需提供）</w:t>
      </w:r>
    </w:p>
    <w:p w14:paraId="2698AAF2">
      <w:pPr>
        <w:spacing w:line="460" w:lineRule="exact"/>
        <w:jc w:val="center"/>
        <w:outlineLvl w:val="4"/>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t>（1）中小企业的相关证明材料</w:t>
      </w:r>
    </w:p>
    <w:p w14:paraId="0030140F">
      <w:pPr>
        <w:spacing w:line="460" w:lineRule="exact"/>
        <w:jc w:val="both"/>
        <w:rPr>
          <w:rFonts w:hint="eastAsia" w:ascii="新宋体" w:hAnsi="新宋体" w:eastAsia="新宋体" w:cs="新宋体"/>
          <w:b/>
          <w:bCs/>
          <w:color w:val="auto"/>
          <w:sz w:val="22"/>
          <w:szCs w:val="22"/>
          <w:highlight w:val="none"/>
        </w:rPr>
      </w:pPr>
    </w:p>
    <w:p w14:paraId="401AE423">
      <w:pPr>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w:t>
      </w:r>
      <w:r>
        <w:rPr>
          <w:rFonts w:hint="eastAsia" w:ascii="新宋体" w:hAnsi="新宋体" w:eastAsia="新宋体" w:cs="新宋体"/>
          <w:b/>
          <w:bCs/>
          <w:color w:val="auto"/>
          <w:spacing w:val="20"/>
          <w:sz w:val="22"/>
          <w:szCs w:val="22"/>
          <w:highlight w:val="none"/>
        </w:rPr>
        <w:t>中小企业声明函（货物</w:t>
      </w:r>
      <w:r>
        <w:rPr>
          <w:rFonts w:hint="eastAsia" w:ascii="新宋体" w:hAnsi="新宋体" w:eastAsia="新宋体" w:cs="新宋体"/>
          <w:b/>
          <w:bCs/>
          <w:color w:val="auto"/>
          <w:spacing w:val="20"/>
          <w:sz w:val="22"/>
          <w:szCs w:val="22"/>
          <w:highlight w:val="none"/>
          <w:lang w:eastAsia="zh-CN"/>
        </w:rPr>
        <w:t>）</w:t>
      </w:r>
      <w:r>
        <w:rPr>
          <w:rFonts w:hint="eastAsia" w:ascii="新宋体" w:hAnsi="新宋体" w:eastAsia="新宋体" w:cs="新宋体"/>
          <w:b/>
          <w:bCs/>
          <w:color w:val="auto"/>
          <w:sz w:val="22"/>
          <w:szCs w:val="22"/>
          <w:highlight w:val="none"/>
        </w:rPr>
        <w:t>》</w:t>
      </w:r>
    </w:p>
    <w:p w14:paraId="4ABBB47E">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【不属于中小企业单位的无需填写、递交】</w:t>
      </w:r>
    </w:p>
    <w:p w14:paraId="274DDB22">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z w:val="22"/>
          <w:szCs w:val="22"/>
          <w:highlight w:val="none"/>
        </w:rPr>
        <w:t>本公司（联合体）郑重声明，根据《政府采购促进中小企业发展管理办法》（财库﹝2020﹞46 号）的规定，本公司（联合体）参加</w:t>
      </w:r>
      <w:r>
        <w:rPr>
          <w:rFonts w:hint="eastAsia" w:ascii="新宋体" w:hAnsi="新宋体" w:eastAsia="新宋体" w:cs="新宋体"/>
          <w:color w:val="auto"/>
          <w:sz w:val="22"/>
          <w:szCs w:val="22"/>
          <w:highlight w:val="none"/>
          <w:u w:val="single"/>
        </w:rPr>
        <w:t>（单位名称）</w:t>
      </w:r>
      <w:r>
        <w:rPr>
          <w:rFonts w:hint="eastAsia" w:ascii="新宋体" w:hAnsi="新宋体" w:eastAsia="新宋体" w:cs="新宋体"/>
          <w:color w:val="auto"/>
          <w:sz w:val="22"/>
          <w:szCs w:val="22"/>
          <w:highlight w:val="none"/>
        </w:rPr>
        <w:t>的</w:t>
      </w:r>
      <w:r>
        <w:rPr>
          <w:rFonts w:hint="eastAsia" w:ascii="新宋体" w:hAnsi="新宋体" w:eastAsia="新宋体" w:cs="新宋体"/>
          <w:color w:val="auto"/>
          <w:sz w:val="22"/>
          <w:szCs w:val="22"/>
          <w:highlight w:val="none"/>
          <w:u w:val="single"/>
        </w:rPr>
        <w:t>（项目名称）</w:t>
      </w:r>
      <w:r>
        <w:rPr>
          <w:rFonts w:hint="eastAsia" w:ascii="新宋体" w:hAnsi="新宋体" w:eastAsia="新宋体" w:cs="新宋体"/>
          <w:color w:val="auto"/>
          <w:sz w:val="22"/>
          <w:szCs w:val="22"/>
          <w:highlight w:val="none"/>
        </w:rPr>
        <w:t>采购活动，提供的货物全部由符合政策要求的中小企业制造。相关企业（含联合体中的中小企业、签订分包意向协议的中小企业）的具体情况如下：</w:t>
      </w:r>
    </w:p>
    <w:p w14:paraId="442AA694">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z w:val="22"/>
          <w:szCs w:val="22"/>
          <w:highlight w:val="none"/>
          <w:lang w:val="zh-CN"/>
        </w:rPr>
        <w:t>1.</w:t>
      </w:r>
      <w:r>
        <w:rPr>
          <w:rFonts w:hint="eastAsia" w:ascii="新宋体" w:hAnsi="新宋体" w:eastAsia="新宋体" w:cs="新宋体"/>
          <w:color w:val="auto"/>
          <w:sz w:val="22"/>
          <w:szCs w:val="22"/>
          <w:highlight w:val="none"/>
          <w:u w:val="single"/>
          <w:lang w:val="zh-CN"/>
        </w:rPr>
        <w:t xml:space="preserve">（标的名称） </w:t>
      </w:r>
      <w:r>
        <w:rPr>
          <w:rFonts w:hint="eastAsia" w:ascii="新宋体" w:hAnsi="新宋体" w:eastAsia="新宋体" w:cs="新宋体"/>
          <w:color w:val="auto"/>
          <w:sz w:val="22"/>
          <w:szCs w:val="22"/>
          <w:highlight w:val="none"/>
          <w:lang w:val="zh-CN"/>
        </w:rPr>
        <w:t>，属于</w:t>
      </w:r>
      <w:r>
        <w:rPr>
          <w:rFonts w:hint="eastAsia" w:ascii="新宋体" w:hAnsi="新宋体" w:eastAsia="新宋体" w:cs="新宋体"/>
          <w:color w:val="auto"/>
          <w:sz w:val="22"/>
          <w:szCs w:val="22"/>
          <w:highlight w:val="none"/>
          <w:u w:val="single"/>
          <w:lang w:val="en-US" w:eastAsia="zh-CN"/>
        </w:rPr>
        <w:t xml:space="preserve"> </w:t>
      </w:r>
      <w:r>
        <w:rPr>
          <w:rFonts w:hint="eastAsia" w:ascii="新宋体" w:hAnsi="新宋体" w:eastAsia="新宋体" w:cs="新宋体"/>
          <w:color w:val="auto"/>
          <w:sz w:val="22"/>
          <w:szCs w:val="22"/>
          <w:highlight w:val="none"/>
          <w:u w:val="single"/>
        </w:rPr>
        <w:t>（采购文件中明确的所属行业）</w:t>
      </w:r>
      <w:r>
        <w:rPr>
          <w:rFonts w:hint="eastAsia" w:ascii="新宋体" w:hAnsi="新宋体" w:eastAsia="新宋体" w:cs="新宋体"/>
          <w:color w:val="auto"/>
          <w:sz w:val="22"/>
          <w:szCs w:val="22"/>
          <w:highlight w:val="none"/>
          <w:u w:val="single"/>
          <w:lang w:val="en-US" w:eastAsia="zh-CN"/>
        </w:rPr>
        <w:t xml:space="preserve"> </w:t>
      </w:r>
      <w:r>
        <w:rPr>
          <w:rFonts w:hint="eastAsia" w:ascii="新宋体" w:hAnsi="新宋体" w:eastAsia="新宋体" w:cs="新宋体"/>
          <w:color w:val="auto"/>
          <w:sz w:val="22"/>
          <w:szCs w:val="22"/>
          <w:highlight w:val="none"/>
        </w:rPr>
        <w:t>行业；制造商为</w:t>
      </w:r>
      <w:r>
        <w:rPr>
          <w:rFonts w:hint="eastAsia" w:ascii="新宋体" w:hAnsi="新宋体" w:eastAsia="新宋体" w:cs="新宋体"/>
          <w:color w:val="auto"/>
          <w:sz w:val="22"/>
          <w:szCs w:val="22"/>
          <w:highlight w:val="none"/>
          <w:u w:val="single"/>
        </w:rPr>
        <w:t>（企业名称）</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从业人员</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u w:val="single"/>
          <w:lang w:val="en-US" w:eastAsia="zh-CN"/>
        </w:rPr>
        <w:t xml:space="preserve">   </w:t>
      </w:r>
      <w:r>
        <w:rPr>
          <w:rFonts w:hint="eastAsia" w:ascii="新宋体" w:hAnsi="新宋体" w:eastAsia="新宋体" w:cs="新宋体"/>
          <w:color w:val="auto"/>
          <w:sz w:val="22"/>
          <w:szCs w:val="22"/>
          <w:highlight w:val="none"/>
        </w:rPr>
        <w:t>人，营业收入为</w:t>
      </w:r>
      <w:r>
        <w:rPr>
          <w:rFonts w:hint="eastAsia" w:ascii="新宋体" w:hAnsi="新宋体" w:eastAsia="新宋体" w:cs="新宋体"/>
          <w:color w:val="auto"/>
          <w:spacing w:val="20"/>
          <w:sz w:val="22"/>
          <w:szCs w:val="22"/>
          <w:highlight w:val="none"/>
          <w:u w:val="single"/>
          <w:lang w:val="en-US" w:eastAsia="zh-CN"/>
        </w:rPr>
        <w:t xml:space="preserve">     </w:t>
      </w:r>
      <w:r>
        <w:rPr>
          <w:rFonts w:hint="eastAsia" w:ascii="新宋体" w:hAnsi="新宋体" w:eastAsia="新宋体" w:cs="新宋体"/>
          <w:color w:val="auto"/>
          <w:sz w:val="22"/>
          <w:szCs w:val="22"/>
          <w:highlight w:val="none"/>
        </w:rPr>
        <w:t>万元，资产总额为</w:t>
      </w:r>
      <w:r>
        <w:rPr>
          <w:rFonts w:hint="eastAsia" w:ascii="新宋体" w:hAnsi="新宋体" w:eastAsia="新宋体" w:cs="新宋体"/>
          <w:color w:val="auto"/>
          <w:spacing w:val="20"/>
          <w:sz w:val="22"/>
          <w:szCs w:val="22"/>
          <w:highlight w:val="none"/>
          <w:u w:val="single"/>
          <w:lang w:val="en-US" w:eastAsia="zh-CN"/>
        </w:rPr>
        <w:t xml:space="preserve">    </w:t>
      </w:r>
      <w:r>
        <w:rPr>
          <w:rFonts w:hint="eastAsia" w:ascii="新宋体" w:hAnsi="新宋体" w:eastAsia="新宋体" w:cs="新宋体"/>
          <w:color w:val="auto"/>
          <w:sz w:val="22"/>
          <w:szCs w:val="22"/>
          <w:highlight w:val="none"/>
        </w:rPr>
        <w:t>万元，属于</w:t>
      </w:r>
      <w:r>
        <w:rPr>
          <w:rFonts w:hint="eastAsia" w:ascii="新宋体" w:hAnsi="新宋体" w:eastAsia="新宋体" w:cs="新宋体"/>
          <w:color w:val="auto"/>
          <w:sz w:val="22"/>
          <w:szCs w:val="22"/>
          <w:highlight w:val="none"/>
          <w:u w:val="single"/>
        </w:rPr>
        <w:t>（中型企业、小型企业、微型企业）；</w:t>
      </w:r>
    </w:p>
    <w:p w14:paraId="69FB32A7">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z w:val="22"/>
          <w:szCs w:val="22"/>
          <w:highlight w:val="none"/>
          <w:u w:val="single"/>
          <w:lang w:val="en-US" w:eastAsia="zh-CN"/>
        </w:rPr>
        <w:t>2.</w:t>
      </w:r>
      <w:r>
        <w:rPr>
          <w:rFonts w:hint="eastAsia" w:ascii="新宋体" w:hAnsi="新宋体" w:eastAsia="新宋体" w:cs="新宋体"/>
          <w:color w:val="auto"/>
          <w:sz w:val="22"/>
          <w:szCs w:val="22"/>
          <w:highlight w:val="none"/>
          <w:u w:val="single"/>
          <w:lang w:val="zh-CN"/>
        </w:rPr>
        <w:t xml:space="preserve">（标的名称） </w:t>
      </w:r>
      <w:r>
        <w:rPr>
          <w:rFonts w:hint="eastAsia" w:ascii="新宋体" w:hAnsi="新宋体" w:eastAsia="新宋体" w:cs="新宋体"/>
          <w:color w:val="auto"/>
          <w:sz w:val="22"/>
          <w:szCs w:val="22"/>
          <w:highlight w:val="none"/>
          <w:lang w:val="zh-CN"/>
        </w:rPr>
        <w:t>，属于</w:t>
      </w:r>
      <w:r>
        <w:rPr>
          <w:rFonts w:hint="eastAsia" w:ascii="新宋体" w:hAnsi="新宋体" w:eastAsia="新宋体" w:cs="新宋体"/>
          <w:color w:val="auto"/>
          <w:sz w:val="22"/>
          <w:szCs w:val="22"/>
          <w:highlight w:val="none"/>
          <w:u w:val="single"/>
          <w:lang w:val="en-US" w:eastAsia="zh-CN"/>
        </w:rPr>
        <w:t xml:space="preserve"> </w:t>
      </w:r>
      <w:r>
        <w:rPr>
          <w:rFonts w:hint="eastAsia" w:ascii="新宋体" w:hAnsi="新宋体" w:eastAsia="新宋体" w:cs="新宋体"/>
          <w:color w:val="auto"/>
          <w:sz w:val="22"/>
          <w:szCs w:val="22"/>
          <w:highlight w:val="none"/>
          <w:u w:val="single"/>
        </w:rPr>
        <w:t>（采购文件中明确的所属行业）</w:t>
      </w:r>
      <w:r>
        <w:rPr>
          <w:rFonts w:hint="eastAsia" w:ascii="新宋体" w:hAnsi="新宋体" w:eastAsia="新宋体" w:cs="新宋体"/>
          <w:color w:val="auto"/>
          <w:sz w:val="22"/>
          <w:szCs w:val="22"/>
          <w:highlight w:val="none"/>
          <w:u w:val="single"/>
          <w:lang w:val="en-US" w:eastAsia="zh-CN"/>
        </w:rPr>
        <w:t xml:space="preserve"> </w:t>
      </w:r>
      <w:r>
        <w:rPr>
          <w:rFonts w:hint="eastAsia" w:ascii="新宋体" w:hAnsi="新宋体" w:eastAsia="新宋体" w:cs="新宋体"/>
          <w:color w:val="auto"/>
          <w:sz w:val="22"/>
          <w:szCs w:val="22"/>
          <w:highlight w:val="none"/>
        </w:rPr>
        <w:t>行业；制造商为</w:t>
      </w:r>
      <w:r>
        <w:rPr>
          <w:rFonts w:hint="eastAsia" w:ascii="新宋体" w:hAnsi="新宋体" w:eastAsia="新宋体" w:cs="新宋体"/>
          <w:color w:val="auto"/>
          <w:sz w:val="22"/>
          <w:szCs w:val="22"/>
          <w:highlight w:val="none"/>
          <w:u w:val="single"/>
        </w:rPr>
        <w:t>（企业名称）</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从业人员</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u w:val="single"/>
          <w:lang w:val="en-US" w:eastAsia="zh-CN"/>
        </w:rPr>
        <w:t xml:space="preserve">   </w:t>
      </w:r>
      <w:r>
        <w:rPr>
          <w:rFonts w:hint="eastAsia" w:ascii="新宋体" w:hAnsi="新宋体" w:eastAsia="新宋体" w:cs="新宋体"/>
          <w:color w:val="auto"/>
          <w:sz w:val="22"/>
          <w:szCs w:val="22"/>
          <w:highlight w:val="none"/>
        </w:rPr>
        <w:t>人，营业收入为</w:t>
      </w:r>
      <w:r>
        <w:rPr>
          <w:rFonts w:hint="eastAsia" w:ascii="新宋体" w:hAnsi="新宋体" w:eastAsia="新宋体" w:cs="新宋体"/>
          <w:color w:val="auto"/>
          <w:spacing w:val="20"/>
          <w:sz w:val="22"/>
          <w:szCs w:val="22"/>
          <w:highlight w:val="none"/>
          <w:u w:val="single"/>
          <w:lang w:val="en-US" w:eastAsia="zh-CN"/>
        </w:rPr>
        <w:t xml:space="preserve">     </w:t>
      </w:r>
      <w:r>
        <w:rPr>
          <w:rFonts w:hint="eastAsia" w:ascii="新宋体" w:hAnsi="新宋体" w:eastAsia="新宋体" w:cs="新宋体"/>
          <w:color w:val="auto"/>
          <w:sz w:val="22"/>
          <w:szCs w:val="22"/>
          <w:highlight w:val="none"/>
        </w:rPr>
        <w:t>万元，资产总额为</w:t>
      </w:r>
      <w:r>
        <w:rPr>
          <w:rFonts w:hint="eastAsia" w:ascii="新宋体" w:hAnsi="新宋体" w:eastAsia="新宋体" w:cs="新宋体"/>
          <w:color w:val="auto"/>
          <w:spacing w:val="20"/>
          <w:sz w:val="22"/>
          <w:szCs w:val="22"/>
          <w:highlight w:val="none"/>
          <w:u w:val="single"/>
          <w:lang w:val="en-US" w:eastAsia="zh-CN"/>
        </w:rPr>
        <w:t xml:space="preserve">    </w:t>
      </w:r>
      <w:r>
        <w:rPr>
          <w:rFonts w:hint="eastAsia" w:ascii="新宋体" w:hAnsi="新宋体" w:eastAsia="新宋体" w:cs="新宋体"/>
          <w:color w:val="auto"/>
          <w:sz w:val="22"/>
          <w:szCs w:val="22"/>
          <w:highlight w:val="none"/>
        </w:rPr>
        <w:t>万元，属于</w:t>
      </w:r>
      <w:r>
        <w:rPr>
          <w:rFonts w:hint="eastAsia" w:ascii="新宋体" w:hAnsi="新宋体" w:eastAsia="新宋体" w:cs="新宋体"/>
          <w:color w:val="auto"/>
          <w:sz w:val="22"/>
          <w:szCs w:val="22"/>
          <w:highlight w:val="none"/>
          <w:u w:val="single"/>
        </w:rPr>
        <w:t>（中型企业、小型企业、微型企业）；</w:t>
      </w:r>
    </w:p>
    <w:p w14:paraId="51AF8943">
      <w:pPr>
        <w:keepNext w:val="0"/>
        <w:keepLines w:val="0"/>
        <w:pageBreakBefore w:val="0"/>
        <w:widowControl w:val="0"/>
        <w:kinsoku/>
        <w:wordWrap/>
        <w:overflowPunct/>
        <w:topLinePunct w:val="0"/>
        <w:autoSpaceDE/>
        <w:autoSpaceDN/>
        <w:bidi w:val="0"/>
        <w:snapToGrid/>
        <w:spacing w:line="460" w:lineRule="exact"/>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w:t>
      </w:r>
    </w:p>
    <w:p w14:paraId="548BAE79">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以上企业，不属于大企业的分支机构，不存在控股股东为大企业的情形，也不存在与大企业的负责人为同一人的情形。</w:t>
      </w:r>
    </w:p>
    <w:p w14:paraId="2785022A">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z w:val="22"/>
          <w:szCs w:val="22"/>
          <w:highlight w:val="none"/>
        </w:rPr>
        <w:t>本企业对上述声明内容的真实性负责。如有虚假，将依法承担相应责任。</w:t>
      </w:r>
    </w:p>
    <w:p w14:paraId="1B7B7CC1">
      <w:pPr>
        <w:keepNext w:val="0"/>
        <w:keepLines w:val="0"/>
        <w:pageBreakBefore w:val="0"/>
        <w:widowControl w:val="0"/>
        <w:kinsoku/>
        <w:wordWrap/>
        <w:overflowPunct/>
        <w:topLinePunct w:val="0"/>
        <w:autoSpaceDE/>
        <w:autoSpaceDN/>
        <w:bidi w:val="0"/>
        <w:snapToGrid/>
        <w:spacing w:line="460" w:lineRule="exact"/>
        <w:rPr>
          <w:rFonts w:hint="eastAsia" w:ascii="新宋体" w:hAnsi="新宋体" w:eastAsia="新宋体" w:cs="新宋体"/>
          <w:color w:val="auto"/>
          <w:spacing w:val="20"/>
          <w:sz w:val="22"/>
          <w:szCs w:val="22"/>
          <w:highlight w:val="none"/>
        </w:rPr>
      </w:pPr>
    </w:p>
    <w:p w14:paraId="0C995C30">
      <w:pPr>
        <w:pStyle w:val="9"/>
        <w:keepNext w:val="0"/>
        <w:keepLines w:val="0"/>
        <w:pageBreakBefore w:val="0"/>
        <w:widowControl w:val="0"/>
        <w:kinsoku/>
        <w:wordWrap/>
        <w:overflowPunct/>
        <w:topLinePunct w:val="0"/>
        <w:autoSpaceDE/>
        <w:autoSpaceDN/>
        <w:bidi w:val="0"/>
        <w:snapToGrid/>
        <w:spacing w:line="460" w:lineRule="exact"/>
        <w:rPr>
          <w:rFonts w:hint="eastAsia" w:ascii="新宋体" w:hAnsi="新宋体" w:eastAsia="新宋体" w:cs="新宋体"/>
          <w:color w:val="auto"/>
          <w:sz w:val="22"/>
          <w:szCs w:val="22"/>
          <w:highlight w:val="none"/>
        </w:rPr>
      </w:pPr>
    </w:p>
    <w:p w14:paraId="00D04AA7">
      <w:pPr>
        <w:keepNext w:val="0"/>
        <w:keepLines w:val="0"/>
        <w:pageBreakBefore w:val="0"/>
        <w:widowControl w:val="0"/>
        <w:kinsoku/>
        <w:wordWrap/>
        <w:overflowPunct/>
        <w:topLinePunct w:val="0"/>
        <w:autoSpaceDE/>
        <w:autoSpaceDN/>
        <w:bidi w:val="0"/>
        <w:snapToGrid/>
        <w:spacing w:line="460" w:lineRule="exact"/>
        <w:ind w:firstLine="4680" w:firstLineChars="1800"/>
        <w:jc w:val="both"/>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企业名称（盖章）：</w:t>
      </w:r>
    </w:p>
    <w:p w14:paraId="7FD222EA">
      <w:pPr>
        <w:keepNext w:val="0"/>
        <w:keepLines w:val="0"/>
        <w:pageBreakBefore w:val="0"/>
        <w:widowControl w:val="0"/>
        <w:kinsoku/>
        <w:wordWrap/>
        <w:overflowPunct/>
        <w:topLinePunct w:val="0"/>
        <w:autoSpaceDE/>
        <w:autoSpaceDN/>
        <w:bidi w:val="0"/>
        <w:snapToGrid/>
        <w:spacing w:line="460" w:lineRule="exact"/>
        <w:ind w:firstLine="4680" w:firstLineChars="1800"/>
        <w:jc w:val="both"/>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日 期：</w:t>
      </w:r>
    </w:p>
    <w:p w14:paraId="38C69C43">
      <w:pPr>
        <w:spacing w:line="460" w:lineRule="exact"/>
        <w:jc w:val="center"/>
        <w:rPr>
          <w:rFonts w:hint="eastAsia" w:ascii="新宋体" w:hAnsi="新宋体" w:eastAsia="新宋体" w:cs="新宋体"/>
          <w:color w:val="auto"/>
          <w:spacing w:val="20"/>
          <w:sz w:val="22"/>
          <w:szCs w:val="22"/>
          <w:highlight w:val="none"/>
        </w:rPr>
      </w:pPr>
    </w:p>
    <w:p w14:paraId="0E57E609">
      <w:pPr>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br w:type="page"/>
      </w:r>
    </w:p>
    <w:p w14:paraId="7A65DB6B">
      <w:pPr>
        <w:spacing w:line="460" w:lineRule="exact"/>
        <w:jc w:val="center"/>
        <w:outlineLvl w:val="4"/>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t>（2）残疾人福利性单位的相关证明材料</w:t>
      </w:r>
    </w:p>
    <w:p w14:paraId="5BD1BF40">
      <w:pPr>
        <w:spacing w:line="460" w:lineRule="exact"/>
        <w:ind w:firstLine="520" w:firstLineChars="200"/>
        <w:rPr>
          <w:rFonts w:hint="eastAsia" w:ascii="新宋体" w:hAnsi="新宋体" w:eastAsia="新宋体" w:cs="新宋体"/>
          <w:color w:val="auto"/>
          <w:spacing w:val="20"/>
          <w:sz w:val="22"/>
          <w:szCs w:val="22"/>
          <w:highlight w:val="none"/>
        </w:rPr>
      </w:pPr>
    </w:p>
    <w:p w14:paraId="0F3ACFFD">
      <w:pPr>
        <w:spacing w:line="460" w:lineRule="exact"/>
        <w:rPr>
          <w:rFonts w:hint="eastAsia" w:ascii="新宋体" w:hAnsi="新宋体" w:eastAsia="新宋体" w:cs="新宋体"/>
          <w:color w:val="auto"/>
          <w:spacing w:val="20"/>
          <w:sz w:val="22"/>
          <w:szCs w:val="22"/>
          <w:highlight w:val="none"/>
        </w:rPr>
      </w:pPr>
    </w:p>
    <w:p w14:paraId="4494A9DD">
      <w:pPr>
        <w:spacing w:line="460" w:lineRule="exact"/>
        <w:rPr>
          <w:rFonts w:hint="eastAsia" w:ascii="新宋体" w:hAnsi="新宋体" w:eastAsia="新宋体" w:cs="新宋体"/>
          <w:color w:val="auto"/>
          <w:spacing w:val="20"/>
          <w:sz w:val="22"/>
          <w:szCs w:val="22"/>
          <w:highlight w:val="none"/>
        </w:rPr>
      </w:pPr>
    </w:p>
    <w:p w14:paraId="39090F80">
      <w:pPr>
        <w:spacing w:line="460" w:lineRule="exact"/>
        <w:jc w:val="center"/>
        <w:rPr>
          <w:rFonts w:hint="eastAsia" w:ascii="新宋体" w:hAnsi="新宋体" w:eastAsia="新宋体" w:cs="新宋体"/>
          <w:color w:val="auto"/>
          <w:spacing w:val="6"/>
          <w:sz w:val="22"/>
          <w:szCs w:val="22"/>
          <w:highlight w:val="none"/>
        </w:rPr>
      </w:pPr>
      <w:r>
        <w:rPr>
          <w:rFonts w:hint="eastAsia" w:ascii="新宋体" w:hAnsi="新宋体" w:eastAsia="新宋体" w:cs="新宋体"/>
          <w:b/>
          <w:color w:val="auto"/>
          <w:spacing w:val="6"/>
          <w:sz w:val="22"/>
          <w:szCs w:val="22"/>
          <w:highlight w:val="none"/>
        </w:rPr>
        <w:t>残疾人福利性单位声明函</w:t>
      </w:r>
    </w:p>
    <w:p w14:paraId="115ACC96">
      <w:pPr>
        <w:widowControl/>
        <w:adjustRightInd w:val="0"/>
        <w:snapToGrid w:val="0"/>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【不属于残疾人福利性单位的无需填写、递交】</w:t>
      </w:r>
    </w:p>
    <w:p w14:paraId="166BA69C">
      <w:pPr>
        <w:snapToGrid w:val="0"/>
        <w:spacing w:line="460" w:lineRule="exact"/>
        <w:jc w:val="center"/>
        <w:rPr>
          <w:rFonts w:hint="eastAsia" w:ascii="新宋体" w:hAnsi="新宋体" w:eastAsia="新宋体" w:cs="新宋体"/>
          <w:b/>
          <w:bCs/>
          <w:color w:val="auto"/>
          <w:sz w:val="22"/>
          <w:szCs w:val="22"/>
          <w:highlight w:val="none"/>
        </w:rPr>
      </w:pPr>
    </w:p>
    <w:p w14:paraId="596484F7">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本单位郑重声明，根据《财政部民政部中国残疾人联合会关于促进残疾人就业政府采购政策的通知》（财库</w:t>
      </w:r>
      <w:r>
        <w:rPr>
          <w:rFonts w:hint="eastAsia" w:ascii="新宋体" w:hAnsi="新宋体" w:eastAsia="新宋体" w:cs="新宋体"/>
          <w:color w:val="auto"/>
          <w:sz w:val="22"/>
          <w:szCs w:val="22"/>
          <w:highlight w:val="none"/>
        </w:rPr>
        <w:t>〔2017〕141</w:t>
      </w:r>
      <w:r>
        <w:rPr>
          <w:rFonts w:hint="eastAsia" w:ascii="新宋体" w:hAnsi="新宋体" w:eastAsia="新宋体" w:cs="新宋体"/>
          <w:color w:val="auto"/>
          <w:spacing w:val="6"/>
          <w:sz w:val="22"/>
          <w:szCs w:val="22"/>
          <w:highlight w:val="none"/>
        </w:rPr>
        <w:t>号）的规定，本单位为符合条件的残疾人福利性单位，且本单位参加</w:t>
      </w:r>
      <w:r>
        <w:rPr>
          <w:rFonts w:hint="eastAsia" w:ascii="新宋体" w:hAnsi="新宋体" w:eastAsia="新宋体" w:cs="新宋体"/>
          <w:color w:val="auto"/>
          <w:spacing w:val="6"/>
          <w:sz w:val="22"/>
          <w:szCs w:val="22"/>
          <w:highlight w:val="none"/>
          <w:u w:val="single"/>
        </w:rPr>
        <w:t>（</w:t>
      </w:r>
      <w:r>
        <w:rPr>
          <w:rFonts w:hint="eastAsia" w:ascii="新宋体" w:hAnsi="新宋体" w:eastAsia="新宋体" w:cs="新宋体"/>
          <w:color w:val="auto"/>
          <w:spacing w:val="6"/>
          <w:sz w:val="22"/>
          <w:szCs w:val="22"/>
          <w:highlight w:val="none"/>
          <w:u w:val="single"/>
          <w:lang w:eastAsia="zh-CN"/>
        </w:rPr>
        <w:t>采购人</w:t>
      </w:r>
      <w:r>
        <w:rPr>
          <w:rFonts w:hint="eastAsia" w:ascii="新宋体" w:hAnsi="新宋体" w:eastAsia="新宋体" w:cs="新宋体"/>
          <w:color w:val="auto"/>
          <w:spacing w:val="6"/>
          <w:sz w:val="22"/>
          <w:szCs w:val="22"/>
          <w:highlight w:val="none"/>
          <w:u w:val="single"/>
        </w:rPr>
        <w:t>名称）</w:t>
      </w:r>
      <w:r>
        <w:rPr>
          <w:rFonts w:hint="eastAsia" w:ascii="新宋体" w:hAnsi="新宋体" w:eastAsia="新宋体" w:cs="新宋体"/>
          <w:color w:val="auto"/>
          <w:spacing w:val="6"/>
          <w:sz w:val="22"/>
          <w:szCs w:val="22"/>
          <w:highlight w:val="none"/>
        </w:rPr>
        <w:t>单位的</w:t>
      </w:r>
      <w:r>
        <w:rPr>
          <w:rFonts w:hint="eastAsia" w:ascii="新宋体" w:hAnsi="新宋体" w:eastAsia="新宋体" w:cs="新宋体"/>
          <w:color w:val="auto"/>
          <w:spacing w:val="6"/>
          <w:sz w:val="22"/>
          <w:szCs w:val="22"/>
          <w:highlight w:val="none"/>
          <w:u w:val="single"/>
        </w:rPr>
        <w:t>（招标项目名称）</w:t>
      </w:r>
      <w:r>
        <w:rPr>
          <w:rFonts w:hint="eastAsia" w:ascii="新宋体" w:hAnsi="新宋体" w:eastAsia="新宋体" w:cs="新宋体"/>
          <w:color w:val="auto"/>
          <w:spacing w:val="6"/>
          <w:sz w:val="22"/>
          <w:szCs w:val="22"/>
          <w:highlight w:val="none"/>
        </w:rPr>
        <w:t>项目采购活动提供本单位制造的货物（由本单位承担工程/提供服务），或者提供其他残疾人福利性单位制造的货物（不包括使用非残疾人福利性单位注册商标的货物）。</w:t>
      </w:r>
    </w:p>
    <w:p w14:paraId="45E826F7">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本单位对上述声明的真实性负责。如有虚假，将依法承担相应责任。</w:t>
      </w:r>
    </w:p>
    <w:p w14:paraId="3375A09F">
      <w:pPr>
        <w:snapToGrid w:val="0"/>
        <w:spacing w:line="460" w:lineRule="exact"/>
        <w:ind w:firstLine="464" w:firstLineChars="200"/>
        <w:rPr>
          <w:rFonts w:hint="eastAsia" w:ascii="新宋体" w:hAnsi="新宋体" w:eastAsia="新宋体" w:cs="新宋体"/>
          <w:color w:val="auto"/>
          <w:spacing w:val="6"/>
          <w:sz w:val="22"/>
          <w:szCs w:val="22"/>
          <w:highlight w:val="none"/>
        </w:rPr>
      </w:pPr>
    </w:p>
    <w:p w14:paraId="09C171D2">
      <w:pPr>
        <w:snapToGrid w:val="0"/>
        <w:spacing w:line="460" w:lineRule="exact"/>
        <w:ind w:firstLine="464" w:firstLineChars="200"/>
        <w:rPr>
          <w:rFonts w:hint="eastAsia" w:ascii="新宋体" w:hAnsi="新宋体" w:eastAsia="新宋体" w:cs="新宋体"/>
          <w:color w:val="auto"/>
          <w:spacing w:val="6"/>
          <w:sz w:val="22"/>
          <w:szCs w:val="22"/>
          <w:highlight w:val="none"/>
        </w:rPr>
      </w:pPr>
    </w:p>
    <w:p w14:paraId="4BB2912E">
      <w:pPr>
        <w:adjustRightInd w:val="0"/>
        <w:snapToGrid w:val="0"/>
        <w:spacing w:line="460" w:lineRule="exact"/>
        <w:ind w:firstLine="440" w:firstLineChars="20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rPr>
        <w:t>投标人全称（盖章）：</w:t>
      </w:r>
      <w:r>
        <w:rPr>
          <w:rFonts w:hint="eastAsia" w:ascii="新宋体" w:hAnsi="新宋体" w:eastAsia="新宋体" w:cs="新宋体"/>
          <w:color w:val="auto"/>
          <w:kern w:val="0"/>
          <w:sz w:val="22"/>
          <w:szCs w:val="22"/>
          <w:highlight w:val="none"/>
          <w:u w:val="single"/>
        </w:rPr>
        <w:t xml:space="preserve">                    </w:t>
      </w:r>
    </w:p>
    <w:p w14:paraId="662575E1">
      <w:pPr>
        <w:pStyle w:val="23"/>
        <w:spacing w:line="460" w:lineRule="exact"/>
        <w:ind w:left="437" w:leftChars="208" w:firstLine="0" w:firstLineChars="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日期：    年   月  日</w:t>
      </w:r>
    </w:p>
    <w:p w14:paraId="6D596610">
      <w:pPr>
        <w:pStyle w:val="23"/>
        <w:spacing w:line="460" w:lineRule="exact"/>
        <w:ind w:left="440" w:hanging="440"/>
        <w:rPr>
          <w:rFonts w:hint="eastAsia" w:ascii="新宋体" w:hAnsi="新宋体" w:eastAsia="新宋体" w:cs="新宋体"/>
          <w:color w:val="auto"/>
          <w:kern w:val="0"/>
          <w:sz w:val="22"/>
          <w:szCs w:val="22"/>
          <w:highlight w:val="none"/>
        </w:rPr>
      </w:pPr>
    </w:p>
    <w:p w14:paraId="248682DF">
      <w:pPr>
        <w:pStyle w:val="23"/>
        <w:ind w:left="440" w:hanging="440"/>
        <w:rPr>
          <w:rFonts w:hint="eastAsia" w:ascii="新宋体" w:hAnsi="新宋体" w:eastAsia="新宋体" w:cs="新宋体"/>
          <w:color w:val="auto"/>
          <w:kern w:val="0"/>
          <w:sz w:val="22"/>
          <w:szCs w:val="22"/>
          <w:highlight w:val="none"/>
        </w:rPr>
      </w:pPr>
    </w:p>
    <w:p w14:paraId="3D6729D6">
      <w:pPr>
        <w:pStyle w:val="23"/>
        <w:ind w:left="440" w:hanging="440"/>
        <w:rPr>
          <w:rFonts w:hint="eastAsia" w:ascii="新宋体" w:hAnsi="新宋体" w:eastAsia="新宋体" w:cs="新宋体"/>
          <w:color w:val="auto"/>
          <w:kern w:val="0"/>
          <w:sz w:val="22"/>
          <w:szCs w:val="22"/>
          <w:highlight w:val="none"/>
        </w:rPr>
      </w:pPr>
    </w:p>
    <w:p w14:paraId="640A96EE">
      <w:pPr>
        <w:pStyle w:val="23"/>
        <w:ind w:left="440" w:hanging="440"/>
        <w:rPr>
          <w:rFonts w:hint="eastAsia" w:ascii="新宋体" w:hAnsi="新宋体" w:eastAsia="新宋体" w:cs="新宋体"/>
          <w:color w:val="auto"/>
          <w:kern w:val="0"/>
          <w:sz w:val="22"/>
          <w:szCs w:val="22"/>
          <w:highlight w:val="none"/>
        </w:rPr>
      </w:pPr>
    </w:p>
    <w:p w14:paraId="6B5A1722">
      <w:pPr>
        <w:pStyle w:val="23"/>
        <w:ind w:left="440" w:hanging="440"/>
        <w:rPr>
          <w:rFonts w:hint="eastAsia" w:ascii="新宋体" w:hAnsi="新宋体" w:eastAsia="新宋体" w:cs="新宋体"/>
          <w:color w:val="auto"/>
          <w:kern w:val="0"/>
          <w:sz w:val="22"/>
          <w:szCs w:val="22"/>
          <w:highlight w:val="none"/>
        </w:rPr>
      </w:pPr>
    </w:p>
    <w:p w14:paraId="58083088">
      <w:pPr>
        <w:pStyle w:val="23"/>
        <w:ind w:left="440" w:hanging="440"/>
        <w:rPr>
          <w:rFonts w:hint="eastAsia" w:ascii="新宋体" w:hAnsi="新宋体" w:eastAsia="新宋体" w:cs="新宋体"/>
          <w:color w:val="auto"/>
          <w:kern w:val="0"/>
          <w:sz w:val="22"/>
          <w:szCs w:val="22"/>
          <w:highlight w:val="none"/>
        </w:rPr>
      </w:pPr>
    </w:p>
    <w:p w14:paraId="6FFC2C7F">
      <w:pPr>
        <w:pStyle w:val="23"/>
        <w:ind w:left="440" w:hanging="440"/>
        <w:rPr>
          <w:rFonts w:hint="eastAsia" w:ascii="新宋体" w:hAnsi="新宋体" w:eastAsia="新宋体" w:cs="新宋体"/>
          <w:color w:val="auto"/>
          <w:kern w:val="0"/>
          <w:sz w:val="22"/>
          <w:szCs w:val="22"/>
          <w:highlight w:val="none"/>
        </w:rPr>
      </w:pPr>
    </w:p>
    <w:p w14:paraId="0FBB4F7C">
      <w:pPr>
        <w:pStyle w:val="23"/>
        <w:ind w:left="440" w:hanging="440"/>
        <w:rPr>
          <w:rFonts w:hint="eastAsia" w:ascii="新宋体" w:hAnsi="新宋体" w:eastAsia="新宋体" w:cs="新宋体"/>
          <w:color w:val="auto"/>
          <w:kern w:val="0"/>
          <w:sz w:val="22"/>
          <w:szCs w:val="22"/>
          <w:highlight w:val="none"/>
        </w:rPr>
      </w:pPr>
    </w:p>
    <w:p w14:paraId="417C35D2">
      <w:pPr>
        <w:pStyle w:val="23"/>
        <w:ind w:left="440" w:hanging="440"/>
        <w:rPr>
          <w:rFonts w:hint="eastAsia" w:ascii="新宋体" w:hAnsi="新宋体" w:eastAsia="新宋体" w:cs="新宋体"/>
          <w:color w:val="auto"/>
          <w:kern w:val="0"/>
          <w:sz w:val="22"/>
          <w:szCs w:val="22"/>
          <w:highlight w:val="none"/>
        </w:rPr>
      </w:pPr>
    </w:p>
    <w:p w14:paraId="7C1F6802">
      <w:pPr>
        <w:rPr>
          <w:rFonts w:hint="eastAsia" w:ascii="新宋体" w:hAnsi="新宋体" w:eastAsia="新宋体" w:cs="新宋体"/>
          <w:color w:val="auto"/>
          <w:highlight w:val="none"/>
        </w:rPr>
      </w:pPr>
      <w:r>
        <w:rPr>
          <w:rFonts w:hint="eastAsia" w:ascii="新宋体" w:hAnsi="新宋体" w:eastAsia="新宋体" w:cs="新宋体"/>
          <w:color w:val="auto"/>
          <w:highlight w:val="none"/>
        </w:rPr>
        <w:br w:type="page"/>
      </w:r>
    </w:p>
    <w:p w14:paraId="4A4B9061">
      <w:pPr>
        <w:spacing w:line="460" w:lineRule="exact"/>
        <w:jc w:val="center"/>
        <w:outlineLvl w:val="4"/>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t>（3）监狱企业的相关证明材料</w:t>
      </w:r>
    </w:p>
    <w:p w14:paraId="76E21665">
      <w:pPr>
        <w:spacing w:line="460" w:lineRule="exact"/>
        <w:ind w:firstLine="466" w:firstLineChars="200"/>
        <w:rPr>
          <w:rFonts w:hint="eastAsia" w:ascii="新宋体" w:hAnsi="新宋体" w:eastAsia="新宋体" w:cs="新宋体"/>
          <w:b/>
          <w:bCs/>
          <w:color w:val="auto"/>
          <w:sz w:val="22"/>
          <w:szCs w:val="22"/>
          <w:highlight w:val="none"/>
          <w:u w:val="single"/>
          <w:lang w:val="zh-CN"/>
        </w:rPr>
      </w:pPr>
      <w:r>
        <w:rPr>
          <w:rFonts w:hint="eastAsia" w:ascii="新宋体" w:hAnsi="新宋体" w:eastAsia="新宋体" w:cs="新宋体"/>
          <w:b/>
          <w:color w:val="auto"/>
          <w:spacing w:val="6"/>
          <w:sz w:val="22"/>
          <w:szCs w:val="22"/>
          <w:highlight w:val="none"/>
        </w:rPr>
        <w:t>需提供相关证明材料，</w:t>
      </w:r>
      <w:r>
        <w:rPr>
          <w:rFonts w:hint="eastAsia" w:ascii="新宋体" w:hAnsi="新宋体" w:eastAsia="新宋体" w:cs="新宋体"/>
          <w:b/>
          <w:bCs/>
          <w:color w:val="auto"/>
          <w:sz w:val="22"/>
          <w:szCs w:val="22"/>
          <w:highlight w:val="none"/>
          <w:u w:val="single"/>
          <w:lang w:val="zh-CN"/>
        </w:rPr>
        <w:t>未提供证明材料或不能清楚辨析</w:t>
      </w:r>
      <w:r>
        <w:rPr>
          <w:rFonts w:hint="eastAsia" w:ascii="新宋体" w:hAnsi="新宋体" w:eastAsia="新宋体" w:cs="新宋体"/>
          <w:b/>
          <w:bCs/>
          <w:color w:val="auto"/>
          <w:sz w:val="22"/>
          <w:szCs w:val="22"/>
          <w:highlight w:val="none"/>
          <w:u w:val="single"/>
        </w:rPr>
        <w:t>是监狱企业的按非监狱企业处理，所提供的证明材料应为最新的最近的</w:t>
      </w:r>
      <w:r>
        <w:rPr>
          <w:rFonts w:hint="eastAsia" w:ascii="新宋体" w:hAnsi="新宋体" w:eastAsia="新宋体" w:cs="新宋体"/>
          <w:b/>
          <w:bCs/>
          <w:color w:val="auto"/>
          <w:sz w:val="22"/>
          <w:szCs w:val="22"/>
          <w:highlight w:val="none"/>
          <w:u w:val="single"/>
          <w:lang w:val="zh-CN"/>
        </w:rPr>
        <w:t>。</w:t>
      </w:r>
    </w:p>
    <w:p w14:paraId="7E345857">
      <w:pPr>
        <w:adjustRightInd w:val="0"/>
        <w:snapToGrid w:val="0"/>
        <w:spacing w:line="300" w:lineRule="auto"/>
        <w:jc w:val="center"/>
        <w:rPr>
          <w:rFonts w:hint="eastAsia" w:ascii="新宋体" w:hAnsi="新宋体" w:eastAsia="新宋体" w:cs="新宋体"/>
          <w:b/>
          <w:color w:val="auto"/>
          <w:spacing w:val="6"/>
          <w:sz w:val="22"/>
          <w:szCs w:val="22"/>
          <w:highlight w:val="none"/>
        </w:rPr>
      </w:pPr>
    </w:p>
    <w:p w14:paraId="6BAF5A5B">
      <w:pPr>
        <w:adjustRightInd w:val="0"/>
        <w:snapToGrid w:val="0"/>
        <w:spacing w:line="300" w:lineRule="auto"/>
        <w:jc w:val="center"/>
        <w:rPr>
          <w:rFonts w:hint="eastAsia" w:ascii="新宋体" w:hAnsi="新宋体" w:eastAsia="新宋体" w:cs="新宋体"/>
          <w:b/>
          <w:color w:val="auto"/>
          <w:spacing w:val="6"/>
          <w:sz w:val="22"/>
          <w:szCs w:val="22"/>
          <w:highlight w:val="none"/>
        </w:rPr>
      </w:pPr>
    </w:p>
    <w:p w14:paraId="3E8BDE0C">
      <w:pPr>
        <w:adjustRightInd w:val="0"/>
        <w:snapToGrid w:val="0"/>
        <w:spacing w:line="300" w:lineRule="auto"/>
        <w:jc w:val="center"/>
        <w:rPr>
          <w:rFonts w:hint="eastAsia" w:ascii="新宋体" w:hAnsi="新宋体" w:eastAsia="新宋体" w:cs="新宋体"/>
          <w:b/>
          <w:color w:val="auto"/>
          <w:spacing w:val="6"/>
          <w:sz w:val="22"/>
          <w:szCs w:val="22"/>
          <w:highlight w:val="none"/>
        </w:rPr>
      </w:pPr>
    </w:p>
    <w:p w14:paraId="420E708D">
      <w:pPr>
        <w:adjustRightInd w:val="0"/>
        <w:snapToGrid w:val="0"/>
        <w:spacing w:line="300" w:lineRule="auto"/>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b/>
          <w:color w:val="auto"/>
          <w:spacing w:val="6"/>
          <w:sz w:val="22"/>
          <w:szCs w:val="22"/>
          <w:highlight w:val="none"/>
        </w:rPr>
        <w:t>监狱企业声明函</w:t>
      </w:r>
    </w:p>
    <w:p w14:paraId="0D25E7B0">
      <w:pPr>
        <w:snapToGrid w:val="0"/>
        <w:spacing w:line="460" w:lineRule="exact"/>
        <w:jc w:val="center"/>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【非监狱企业不用提供】</w:t>
      </w:r>
    </w:p>
    <w:p w14:paraId="2BC4FD1A">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 xml:space="preserve">本企业郑重声明，根据《关于政府采购支持监狱企业发展有关问题的通知》（财库[2014]68号）的规定，本企业为监狱企业。 </w:t>
      </w:r>
    </w:p>
    <w:p w14:paraId="1F6AFCBD">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根据上述标准，我企业属于监狱企业的理由为：</w:t>
      </w:r>
      <w:r>
        <w:rPr>
          <w:rFonts w:hint="eastAsia" w:ascii="新宋体" w:hAnsi="新宋体" w:eastAsia="新宋体" w:cs="新宋体"/>
          <w:color w:val="auto"/>
          <w:spacing w:val="6"/>
          <w:sz w:val="22"/>
          <w:szCs w:val="22"/>
          <w:highlight w:val="none"/>
          <w:u w:val="single"/>
        </w:rPr>
        <w:t xml:space="preserve">                                   </w:t>
      </w:r>
      <w:r>
        <w:rPr>
          <w:rFonts w:hint="eastAsia" w:ascii="新宋体" w:hAnsi="新宋体" w:eastAsia="新宋体" w:cs="新宋体"/>
          <w:color w:val="auto"/>
          <w:spacing w:val="6"/>
          <w:sz w:val="22"/>
          <w:szCs w:val="22"/>
          <w:highlight w:val="none"/>
        </w:rPr>
        <w:t xml:space="preserve">。 </w:t>
      </w:r>
    </w:p>
    <w:p w14:paraId="3F234E5C">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本企业为参加（招标项目名称：</w:t>
      </w:r>
      <w:r>
        <w:rPr>
          <w:rFonts w:hint="eastAsia" w:ascii="新宋体" w:hAnsi="新宋体" w:eastAsia="新宋体" w:cs="新宋体"/>
          <w:color w:val="auto"/>
          <w:spacing w:val="6"/>
          <w:sz w:val="22"/>
          <w:szCs w:val="22"/>
          <w:highlight w:val="none"/>
          <w:u w:val="single"/>
        </w:rPr>
        <w:t xml:space="preserve">         </w:t>
      </w:r>
      <w:r>
        <w:rPr>
          <w:rFonts w:hint="eastAsia" w:ascii="新宋体" w:hAnsi="新宋体" w:eastAsia="新宋体" w:cs="新宋体"/>
          <w:color w:val="auto"/>
          <w:spacing w:val="6"/>
          <w:sz w:val="22"/>
          <w:szCs w:val="22"/>
          <w:highlight w:val="none"/>
        </w:rPr>
        <w:t>）（招标编号</w:t>
      </w:r>
      <w:r>
        <w:rPr>
          <w:rFonts w:hint="eastAsia" w:ascii="新宋体" w:hAnsi="新宋体" w:eastAsia="新宋体" w:cs="新宋体"/>
          <w:color w:val="auto"/>
          <w:spacing w:val="6"/>
          <w:sz w:val="22"/>
          <w:szCs w:val="22"/>
          <w:highlight w:val="none"/>
          <w:u w:val="none"/>
        </w:rPr>
        <w:t>：</w:t>
      </w:r>
      <w:r>
        <w:rPr>
          <w:rFonts w:hint="eastAsia" w:ascii="新宋体" w:hAnsi="新宋体" w:eastAsia="新宋体" w:cs="新宋体"/>
          <w:color w:val="auto"/>
          <w:spacing w:val="6"/>
          <w:sz w:val="22"/>
          <w:szCs w:val="22"/>
          <w:highlight w:val="none"/>
          <w:u w:val="single"/>
        </w:rPr>
        <w:t xml:space="preserve">         </w:t>
      </w:r>
      <w:r>
        <w:rPr>
          <w:rFonts w:hint="eastAsia" w:ascii="新宋体" w:hAnsi="新宋体" w:eastAsia="新宋体" w:cs="新宋体"/>
          <w:color w:val="auto"/>
          <w:spacing w:val="6"/>
          <w:sz w:val="22"/>
          <w:szCs w:val="22"/>
          <w:highlight w:val="none"/>
        </w:rPr>
        <w:t>）采购活动并承担本工程。</w:t>
      </w:r>
    </w:p>
    <w:p w14:paraId="4F1D54FD">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本企业对上述声明的真实性负责。如有虚假，将依法承担相应责任。</w:t>
      </w:r>
    </w:p>
    <w:p w14:paraId="001ED26A">
      <w:pPr>
        <w:adjustRightInd w:val="0"/>
        <w:snapToGrid w:val="0"/>
        <w:spacing w:line="460" w:lineRule="exact"/>
        <w:ind w:firstLine="464"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pacing w:val="6"/>
          <w:sz w:val="22"/>
          <w:szCs w:val="22"/>
          <w:highlight w:val="none"/>
        </w:rPr>
        <w:t>投标人全称（盖章）：</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 xml:space="preserve">  </w:t>
      </w:r>
    </w:p>
    <w:p w14:paraId="2D9576E9">
      <w:pPr>
        <w:adjustRightInd w:val="0"/>
        <w:snapToGrid w:val="0"/>
        <w:spacing w:line="460" w:lineRule="exact"/>
        <w:ind w:firstLine="464"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pacing w:val="6"/>
          <w:sz w:val="22"/>
          <w:szCs w:val="22"/>
          <w:highlight w:val="none"/>
        </w:rPr>
        <w:t>日期：    年    月   日</w:t>
      </w:r>
    </w:p>
    <w:p w14:paraId="32732FAB">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监狱企业参加政府采购活动时，应当提供由省级以上监狱管理局、戒毒管理局（含新疆生产建设兵团）出具的属于监狱企业的证明文件。</w:t>
      </w:r>
    </w:p>
    <w:p w14:paraId="553C7E74">
      <w:pPr>
        <w:adjustRightInd w:val="0"/>
        <w:snapToGrid w:val="0"/>
        <w:spacing w:line="460" w:lineRule="exact"/>
        <w:ind w:firstLine="464"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pacing w:val="6"/>
          <w:sz w:val="22"/>
          <w:szCs w:val="22"/>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D969EC1">
      <w:pPr>
        <w:spacing w:line="460" w:lineRule="exact"/>
        <w:rPr>
          <w:rFonts w:hint="eastAsia" w:ascii="新宋体" w:hAnsi="新宋体" w:eastAsia="新宋体" w:cs="新宋体"/>
          <w:color w:val="auto"/>
          <w:spacing w:val="20"/>
          <w:sz w:val="22"/>
          <w:szCs w:val="22"/>
          <w:highlight w:val="none"/>
        </w:rPr>
      </w:pPr>
    </w:p>
    <w:p w14:paraId="5E7F227F">
      <w:pPr>
        <w:pStyle w:val="23"/>
        <w:rPr>
          <w:rFonts w:hint="eastAsia" w:ascii="新宋体" w:hAnsi="新宋体" w:eastAsia="新宋体" w:cs="新宋体"/>
          <w:color w:val="auto"/>
          <w:highlight w:val="none"/>
        </w:rPr>
      </w:pPr>
    </w:p>
    <w:p w14:paraId="0365655F">
      <w:pPr>
        <w:rPr>
          <w:rFonts w:hint="eastAsia" w:ascii="新宋体" w:hAnsi="新宋体" w:eastAsia="新宋体" w:cs="新宋体"/>
          <w:color w:val="auto"/>
          <w:highlight w:val="none"/>
        </w:rPr>
      </w:pPr>
    </w:p>
    <w:p w14:paraId="56969DC2">
      <w:pPr>
        <w:rPr>
          <w:rFonts w:hint="eastAsia" w:ascii="新宋体" w:hAnsi="新宋体" w:eastAsia="新宋体" w:cs="新宋体"/>
          <w:b/>
          <w:bCs w:val="0"/>
          <w:color w:val="auto"/>
          <w:kern w:val="0"/>
          <w:sz w:val="28"/>
          <w:szCs w:val="28"/>
          <w:highlight w:val="none"/>
          <w:lang w:val="en-US" w:eastAsia="zh-CN" w:bidi="ar-SA"/>
        </w:rPr>
      </w:pPr>
    </w:p>
    <w:p w14:paraId="3778E9F8">
      <w:pPr>
        <w:rPr>
          <w:rFonts w:hint="eastAsia" w:ascii="新宋体" w:hAnsi="新宋体" w:eastAsia="新宋体" w:cs="新宋体"/>
          <w:b/>
          <w:bCs/>
          <w:color w:val="auto"/>
          <w:sz w:val="22"/>
          <w:szCs w:val="22"/>
          <w:highlight w:val="none"/>
        </w:rPr>
      </w:pPr>
    </w:p>
    <w:p w14:paraId="1E4DCA1B">
      <w:pPr>
        <w:pStyle w:val="23"/>
        <w:ind w:left="440" w:hanging="440"/>
        <w:rPr>
          <w:rFonts w:hint="eastAsia" w:ascii="新宋体" w:hAnsi="新宋体" w:eastAsia="新宋体" w:cs="新宋体"/>
          <w:color w:val="auto"/>
          <w:kern w:val="0"/>
          <w:sz w:val="22"/>
          <w:szCs w:val="22"/>
          <w:highlight w:val="none"/>
        </w:rPr>
      </w:pPr>
    </w:p>
    <w:p w14:paraId="3310F720">
      <w:pPr>
        <w:pStyle w:val="23"/>
        <w:ind w:left="440" w:hanging="440"/>
        <w:rPr>
          <w:rFonts w:hint="eastAsia" w:ascii="新宋体" w:hAnsi="新宋体" w:eastAsia="新宋体" w:cs="新宋体"/>
          <w:color w:val="auto"/>
          <w:kern w:val="0"/>
          <w:sz w:val="22"/>
          <w:szCs w:val="22"/>
          <w:highlight w:val="none"/>
        </w:rPr>
      </w:pPr>
    </w:p>
    <w:p w14:paraId="2787B953">
      <w:pPr>
        <w:pStyle w:val="23"/>
        <w:ind w:left="440" w:hanging="440"/>
        <w:rPr>
          <w:rFonts w:hint="eastAsia" w:ascii="新宋体" w:hAnsi="新宋体" w:eastAsia="新宋体" w:cs="新宋体"/>
          <w:color w:val="auto"/>
          <w:kern w:val="0"/>
          <w:sz w:val="22"/>
          <w:szCs w:val="22"/>
          <w:highlight w:val="none"/>
        </w:rPr>
      </w:pPr>
    </w:p>
    <w:p w14:paraId="2FA23315">
      <w:pPr>
        <w:pStyle w:val="23"/>
        <w:ind w:left="440" w:hanging="440"/>
        <w:rPr>
          <w:rFonts w:hint="eastAsia" w:ascii="新宋体" w:hAnsi="新宋体" w:eastAsia="新宋体" w:cs="新宋体"/>
          <w:color w:val="auto"/>
          <w:kern w:val="0"/>
          <w:sz w:val="22"/>
          <w:szCs w:val="22"/>
          <w:highlight w:val="none"/>
        </w:rPr>
      </w:pPr>
    </w:p>
    <w:p w14:paraId="700FE6BD">
      <w:pPr>
        <w:pStyle w:val="23"/>
        <w:ind w:left="440" w:hanging="440"/>
        <w:rPr>
          <w:rFonts w:hint="eastAsia" w:ascii="新宋体" w:hAnsi="新宋体" w:eastAsia="新宋体" w:cs="新宋体"/>
          <w:color w:val="auto"/>
          <w:kern w:val="0"/>
          <w:sz w:val="22"/>
          <w:szCs w:val="22"/>
          <w:highlight w:val="none"/>
        </w:rPr>
      </w:pPr>
    </w:p>
    <w:p w14:paraId="4B15F194">
      <w:pPr>
        <w:pStyle w:val="23"/>
        <w:ind w:left="440" w:hanging="440"/>
        <w:rPr>
          <w:rFonts w:hint="eastAsia" w:ascii="新宋体" w:hAnsi="新宋体" w:eastAsia="新宋体" w:cs="新宋体"/>
          <w:color w:val="auto"/>
          <w:kern w:val="0"/>
          <w:sz w:val="22"/>
          <w:szCs w:val="22"/>
          <w:highlight w:val="none"/>
        </w:rPr>
      </w:pPr>
    </w:p>
    <w:p w14:paraId="7ED8C1D0">
      <w:pPr>
        <w:pStyle w:val="23"/>
        <w:ind w:left="440" w:hanging="440"/>
        <w:rPr>
          <w:rFonts w:hint="eastAsia" w:ascii="新宋体" w:hAnsi="新宋体" w:eastAsia="新宋体" w:cs="新宋体"/>
          <w:color w:val="auto"/>
          <w:kern w:val="0"/>
          <w:sz w:val="22"/>
          <w:szCs w:val="22"/>
          <w:highlight w:val="none"/>
        </w:rPr>
      </w:pPr>
    </w:p>
    <w:p w14:paraId="52850EC7">
      <w:pPr>
        <w:rPr>
          <w:rFonts w:hint="eastAsia" w:ascii="新宋体" w:hAnsi="新宋体" w:eastAsia="新宋体" w:cs="新宋体"/>
          <w:b/>
          <w:bCs/>
          <w:color w:val="auto"/>
          <w:sz w:val="22"/>
          <w:szCs w:val="22"/>
          <w:highlight w:val="none"/>
        </w:rPr>
      </w:pPr>
    </w:p>
    <w:p w14:paraId="1419856C">
      <w:pPr>
        <w:outlineLvl w:val="1"/>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附件三</w:t>
      </w:r>
      <w:bookmarkEnd w:id="40"/>
      <w:bookmarkEnd w:id="41"/>
    </w:p>
    <w:p w14:paraId="15FDAAE6">
      <w:pPr>
        <w:spacing w:line="460" w:lineRule="exact"/>
        <w:jc w:val="center"/>
        <w:outlineLvl w:val="2"/>
        <w:rPr>
          <w:rFonts w:hint="eastAsia" w:ascii="新宋体" w:hAnsi="新宋体" w:eastAsia="新宋体" w:cs="新宋体"/>
          <w:b/>
          <w:bCs/>
          <w:color w:val="auto"/>
          <w:sz w:val="28"/>
          <w:szCs w:val="28"/>
          <w:highlight w:val="none"/>
          <w:lang w:val="zh-CN"/>
        </w:rPr>
      </w:pPr>
      <w:bookmarkStart w:id="42" w:name="_Toc13639"/>
      <w:bookmarkStart w:id="43" w:name="_Toc29102"/>
      <w:r>
        <w:rPr>
          <w:rFonts w:hint="eastAsia" w:ascii="新宋体" w:hAnsi="新宋体" w:eastAsia="新宋体" w:cs="新宋体"/>
          <w:b/>
          <w:bCs/>
          <w:color w:val="auto"/>
          <w:sz w:val="28"/>
          <w:szCs w:val="28"/>
          <w:highlight w:val="none"/>
          <w:lang w:val="zh-CN"/>
        </w:rPr>
        <w:t>商务技术文件</w:t>
      </w:r>
      <w:bookmarkEnd w:id="42"/>
      <w:bookmarkEnd w:id="43"/>
    </w:p>
    <w:p w14:paraId="4B6162AC">
      <w:pPr>
        <w:spacing w:line="420" w:lineRule="exact"/>
        <w:jc w:val="center"/>
        <w:outlineLvl w:val="3"/>
        <w:rPr>
          <w:rFonts w:hint="eastAsia" w:ascii="新宋体" w:hAnsi="新宋体" w:eastAsia="新宋体" w:cs="新宋体"/>
          <w:b/>
          <w:bCs/>
          <w:color w:val="auto"/>
          <w:sz w:val="28"/>
          <w:szCs w:val="28"/>
          <w:highlight w:val="none"/>
          <w:lang w:val="zh-CN" w:eastAsia="zh-CN"/>
        </w:rPr>
      </w:pPr>
      <w:r>
        <w:rPr>
          <w:rFonts w:hint="eastAsia" w:ascii="新宋体" w:hAnsi="新宋体" w:eastAsia="新宋体" w:cs="新宋体"/>
          <w:b/>
          <w:bCs/>
          <w:color w:val="auto"/>
          <w:sz w:val="28"/>
          <w:szCs w:val="28"/>
          <w:highlight w:val="none"/>
          <w:lang w:val="zh-CN" w:eastAsia="zh-CN"/>
        </w:rPr>
        <w:t>1、投标函</w:t>
      </w:r>
    </w:p>
    <w:p w14:paraId="4859E440">
      <w:pPr>
        <w:spacing w:line="460" w:lineRule="exact"/>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致：</w:t>
      </w:r>
      <w:r>
        <w:rPr>
          <w:rFonts w:hint="eastAsia" w:ascii="新宋体" w:hAnsi="新宋体" w:eastAsia="新宋体" w:cs="新宋体"/>
          <w:color w:val="auto"/>
          <w:sz w:val="22"/>
          <w:szCs w:val="22"/>
          <w:highlight w:val="none"/>
          <w:lang w:eastAsia="zh-CN"/>
        </w:rPr>
        <w:t>温州市中心血站</w:t>
      </w:r>
    </w:p>
    <w:p w14:paraId="1929F455">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根据贵方为</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项目（招标编号：</w:t>
      </w:r>
      <w:r>
        <w:rPr>
          <w:rFonts w:hint="eastAsia" w:ascii="新宋体" w:hAnsi="新宋体" w:eastAsia="新宋体" w:cs="新宋体"/>
          <w:b w:val="0"/>
          <w:bCs/>
          <w:color w:val="auto"/>
          <w:sz w:val="22"/>
          <w:szCs w:val="22"/>
          <w:highlight w:val="none"/>
          <w:u w:val="single"/>
        </w:rPr>
        <w:t xml:space="preserve">         </w:t>
      </w:r>
      <w:r>
        <w:rPr>
          <w:rFonts w:hint="eastAsia" w:ascii="新宋体" w:hAnsi="新宋体" w:eastAsia="新宋体" w:cs="新宋体"/>
          <w:color w:val="auto"/>
          <w:sz w:val="22"/>
          <w:szCs w:val="22"/>
          <w:highlight w:val="none"/>
        </w:rPr>
        <w:t>）的投标邀请，我方</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（投标人名称）作为投标人正式授权</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（授权代表全名，职务）代表我方处理有关本投标的一切事宜。为此：</w:t>
      </w:r>
    </w:p>
    <w:p w14:paraId="2788C9F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1、我方同意在投标人</w:t>
      </w:r>
      <w:r>
        <w:rPr>
          <w:rFonts w:hint="eastAsia" w:ascii="新宋体" w:hAnsi="新宋体" w:eastAsia="新宋体" w:cs="新宋体"/>
          <w:color w:val="auto"/>
          <w:kern w:val="44"/>
          <w:sz w:val="22"/>
          <w:szCs w:val="22"/>
          <w:highlight w:val="none"/>
        </w:rPr>
        <w:t>编制和提交投标文件须知</w:t>
      </w:r>
      <w:r>
        <w:rPr>
          <w:rFonts w:hint="eastAsia" w:ascii="新宋体" w:hAnsi="新宋体" w:eastAsia="新宋体" w:cs="新宋体"/>
          <w:color w:val="auto"/>
          <w:sz w:val="22"/>
          <w:szCs w:val="22"/>
          <w:highlight w:val="none"/>
        </w:rPr>
        <w:t>规定的开标日期起遵守本投标书中的承诺且在投标有效期满之前均具有约束力。</w:t>
      </w:r>
    </w:p>
    <w:p w14:paraId="03CEE694">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2、我方承诺已经具备《中华人民共和国政府采购法》中规定的参加政府采购活动的供应商应当具备的条件：</w:t>
      </w:r>
    </w:p>
    <w:p w14:paraId="4088116E">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具有独立承担民事责任的能力；</w:t>
      </w:r>
    </w:p>
    <w:p w14:paraId="32E8BCB6">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2</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遵守国家法律、行政法规，具有良好的信誉和商业道德；</w:t>
      </w:r>
    </w:p>
    <w:p w14:paraId="0204FAE4">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具有履行合同的能力和良好的履行合同记录；</w:t>
      </w:r>
    </w:p>
    <w:p w14:paraId="776B2C8B">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4</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良好的资金、财务状况；</w:t>
      </w:r>
    </w:p>
    <w:p w14:paraId="2F15DB20">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5</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提供的产品和服务符合中国政府规定的相应标准和环保标准；</w:t>
      </w:r>
    </w:p>
    <w:p w14:paraId="78FE93A1">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6</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没有违反政府采购法规、政策的记录；</w:t>
      </w:r>
    </w:p>
    <w:p w14:paraId="4A75F3C6">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7</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没有发生重大经济纠纷和走私犯罪记录。</w:t>
      </w:r>
    </w:p>
    <w:p w14:paraId="20CF124C">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3、提供编制和提交投标文件须知规定的全部投标文件，包括资格文件、报价文件、商务技术文件。具体内容为：</w:t>
      </w:r>
    </w:p>
    <w:p w14:paraId="4427058B">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资格文件</w:t>
      </w:r>
    </w:p>
    <w:p w14:paraId="0AF8AA77">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2</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报价文件；</w:t>
      </w:r>
    </w:p>
    <w:p w14:paraId="58F21B09">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zh-CN"/>
        </w:rPr>
        <w:t>商务技术文件</w:t>
      </w:r>
      <w:r>
        <w:rPr>
          <w:rFonts w:hint="eastAsia" w:ascii="新宋体" w:hAnsi="新宋体" w:eastAsia="新宋体" w:cs="新宋体"/>
          <w:color w:val="auto"/>
          <w:sz w:val="22"/>
          <w:szCs w:val="22"/>
          <w:highlight w:val="none"/>
        </w:rPr>
        <w:t>；</w:t>
      </w:r>
    </w:p>
    <w:p w14:paraId="56670E2C">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4</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编制和提交投标文件须知要求投标人提交的全部文件；</w:t>
      </w:r>
    </w:p>
    <w:p w14:paraId="7BF23C81">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5</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按</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要求提供和交付的货物和服务的投标报价详见开标一览表；</w:t>
      </w:r>
    </w:p>
    <w:p w14:paraId="2499CBA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6</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保证忠实地执行双方所签订的合同，并承担合同规定的责任和义务；</w:t>
      </w:r>
    </w:p>
    <w:p w14:paraId="3C19CA60">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7</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保证遵守</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中的其他有关规定。</w:t>
      </w:r>
    </w:p>
    <w:p w14:paraId="6E84FCD1">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4、投标有效期内不撤销投标文件，如中标，有效期将延至合同终止日为止。</w:t>
      </w:r>
    </w:p>
    <w:p w14:paraId="57C2AF59">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5、我方完全理解贵方不一定要接受最低价的投标。</w:t>
      </w:r>
    </w:p>
    <w:p w14:paraId="125E6B4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6、如中标，按</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规定与</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签订合同。如拒绝签订合同，承诺按本项目预算金额的2%对</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进行赔偿；赔偿金额不足以弥补</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损失的，承诺继续承担超过部分的损失。</w:t>
      </w:r>
    </w:p>
    <w:p w14:paraId="248F6C39">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7、如中标，按</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规定的招标代理服务费标准，在领取中标通知书时向</w:t>
      </w:r>
      <w:r>
        <w:rPr>
          <w:rFonts w:hint="eastAsia" w:ascii="新宋体" w:hAnsi="新宋体" w:eastAsia="新宋体" w:cs="新宋体"/>
          <w:color w:val="auto"/>
          <w:sz w:val="22"/>
          <w:szCs w:val="22"/>
          <w:highlight w:val="none"/>
          <w:lang w:eastAsia="zh-CN"/>
        </w:rPr>
        <w:t>采购代理机构</w:t>
      </w:r>
      <w:r>
        <w:rPr>
          <w:rFonts w:hint="eastAsia" w:ascii="新宋体" w:hAnsi="新宋体" w:eastAsia="新宋体" w:cs="新宋体"/>
          <w:color w:val="auto"/>
          <w:sz w:val="22"/>
          <w:szCs w:val="22"/>
          <w:highlight w:val="none"/>
        </w:rPr>
        <w:t>支付招标代理服务费。</w:t>
      </w:r>
    </w:p>
    <w:p w14:paraId="42F127CE">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8、我方愿意向贵方提供任何与该项投标有关的数据、情况和服务资料。若贵方需要，我方愿意提供我方作出的一切承诺的证明材料。</w:t>
      </w:r>
    </w:p>
    <w:p w14:paraId="281E0446">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9、我方已详细审核全部</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，包括</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修改书（如有的话）、参考资料及有关附件，确认无误。我方完全理解并接受</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的各项规定和要求，对</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的合理性、合法性不再有异议。</w:t>
      </w:r>
    </w:p>
    <w:p w14:paraId="243EFD5C">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7175729C">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提供虚假材料谋取中标、成交的；</w:t>
      </w:r>
    </w:p>
    <w:p w14:paraId="167C72A1">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2</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采取不正当手段诋毁、排挤其他供应商的；</w:t>
      </w:r>
    </w:p>
    <w:p w14:paraId="7C67AD64">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与</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、其它供应商或者</w:t>
      </w:r>
      <w:r>
        <w:rPr>
          <w:rFonts w:hint="eastAsia" w:ascii="新宋体" w:hAnsi="新宋体" w:eastAsia="新宋体" w:cs="新宋体"/>
          <w:color w:val="auto"/>
          <w:sz w:val="22"/>
          <w:szCs w:val="22"/>
          <w:highlight w:val="none"/>
          <w:lang w:eastAsia="zh-CN"/>
        </w:rPr>
        <w:t>采购代理机构</w:t>
      </w:r>
      <w:r>
        <w:rPr>
          <w:rFonts w:hint="eastAsia" w:ascii="新宋体" w:hAnsi="新宋体" w:eastAsia="新宋体" w:cs="新宋体"/>
          <w:color w:val="auto"/>
          <w:sz w:val="22"/>
          <w:szCs w:val="22"/>
          <w:highlight w:val="none"/>
        </w:rPr>
        <w:t>恶意串通的；</w:t>
      </w:r>
    </w:p>
    <w:p w14:paraId="2F6135D6">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4</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向</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采购代理机构</w:t>
      </w:r>
      <w:r>
        <w:rPr>
          <w:rFonts w:hint="eastAsia" w:ascii="新宋体" w:hAnsi="新宋体" w:eastAsia="新宋体" w:cs="新宋体"/>
          <w:color w:val="auto"/>
          <w:sz w:val="22"/>
          <w:szCs w:val="22"/>
          <w:highlight w:val="none"/>
        </w:rPr>
        <w:t>行贿或者提供其他不正当利益的；</w:t>
      </w:r>
    </w:p>
    <w:p w14:paraId="40F70A6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5</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在招标采购过程中与</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进行协商谈判的；</w:t>
      </w:r>
    </w:p>
    <w:p w14:paraId="3EE06184">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6</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拒绝有关部门监督检查或提供虚假情况的。</w:t>
      </w:r>
    </w:p>
    <w:p w14:paraId="6F052108">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供应商有前款第</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至</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5</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项情形之一的，中标、成交无效。</w:t>
      </w:r>
    </w:p>
    <w:p w14:paraId="7DBDDE15">
      <w:pPr>
        <w:spacing w:line="460" w:lineRule="exact"/>
        <w:ind w:firstLine="440" w:firstLineChars="200"/>
        <w:rPr>
          <w:rFonts w:hint="eastAsia" w:ascii="新宋体" w:hAnsi="新宋体" w:eastAsia="新宋体" w:cs="新宋体"/>
          <w:color w:val="auto"/>
          <w:kern w:val="0"/>
          <w:sz w:val="22"/>
          <w:szCs w:val="22"/>
          <w:highlight w:val="none"/>
          <w:lang w:val="zh-CN"/>
        </w:rPr>
      </w:pPr>
    </w:p>
    <w:p w14:paraId="6E817013">
      <w:pPr>
        <w:spacing w:line="460" w:lineRule="exact"/>
        <w:ind w:firstLine="440" w:firstLineChars="20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lang w:val="zh-CN"/>
        </w:rPr>
        <w:t>法定（授权）代表人（签字）：</w:t>
      </w:r>
      <w:r>
        <w:rPr>
          <w:rFonts w:hint="eastAsia" w:ascii="新宋体" w:hAnsi="新宋体" w:eastAsia="新宋体" w:cs="新宋体"/>
          <w:color w:val="auto"/>
          <w:kern w:val="0"/>
          <w:sz w:val="22"/>
          <w:szCs w:val="22"/>
          <w:highlight w:val="none"/>
          <w:u w:val="single"/>
          <w:lang w:val="zh-CN"/>
        </w:rPr>
        <w:t xml:space="preserve">                </w:t>
      </w:r>
      <w:r>
        <w:rPr>
          <w:rFonts w:hint="eastAsia" w:ascii="新宋体" w:hAnsi="新宋体" w:eastAsia="新宋体" w:cs="新宋体"/>
          <w:color w:val="auto"/>
          <w:kern w:val="0"/>
          <w:sz w:val="22"/>
          <w:szCs w:val="22"/>
          <w:highlight w:val="none"/>
          <w:u w:val="single"/>
          <w:lang w:val="en-US" w:eastAsia="zh-CN"/>
        </w:rPr>
        <w:t xml:space="preserve">      </w:t>
      </w:r>
      <w:r>
        <w:rPr>
          <w:rFonts w:hint="eastAsia" w:ascii="新宋体" w:hAnsi="新宋体" w:eastAsia="新宋体" w:cs="新宋体"/>
          <w:color w:val="auto"/>
          <w:kern w:val="0"/>
          <w:sz w:val="22"/>
          <w:szCs w:val="22"/>
          <w:highlight w:val="none"/>
          <w:u w:val="single"/>
          <w:lang w:val="zh-CN"/>
        </w:rPr>
        <w:t xml:space="preserve">    </w:t>
      </w:r>
      <w:r>
        <w:rPr>
          <w:rFonts w:hint="eastAsia" w:ascii="新宋体" w:hAnsi="新宋体" w:eastAsia="新宋体" w:cs="新宋体"/>
          <w:color w:val="auto"/>
          <w:kern w:val="0"/>
          <w:sz w:val="22"/>
          <w:szCs w:val="22"/>
          <w:highlight w:val="none"/>
          <w:u w:val="single"/>
        </w:rPr>
        <w:tab/>
      </w:r>
    </w:p>
    <w:p w14:paraId="7B6FD99A">
      <w:pPr>
        <w:spacing w:line="460" w:lineRule="exact"/>
        <w:ind w:firstLine="440" w:firstLineChars="200"/>
        <w:rPr>
          <w:rFonts w:hint="eastAsia" w:ascii="新宋体" w:hAnsi="新宋体" w:eastAsia="新宋体" w:cs="新宋体"/>
          <w:color w:val="auto"/>
          <w:kern w:val="0"/>
          <w:sz w:val="22"/>
          <w:szCs w:val="22"/>
          <w:highlight w:val="none"/>
          <w:u w:val="single"/>
          <w:lang w:val="en-US" w:eastAsia="zh-CN"/>
        </w:rPr>
      </w:pPr>
      <w:r>
        <w:rPr>
          <w:rFonts w:hint="eastAsia" w:ascii="新宋体" w:hAnsi="新宋体" w:eastAsia="新宋体" w:cs="新宋体"/>
          <w:color w:val="auto"/>
          <w:kern w:val="0"/>
          <w:sz w:val="22"/>
          <w:szCs w:val="22"/>
          <w:highlight w:val="none"/>
          <w:lang w:val="zh-CN"/>
        </w:rPr>
        <w:t>投标人盖 章：</w:t>
      </w:r>
      <w:r>
        <w:rPr>
          <w:rFonts w:hint="eastAsia" w:ascii="新宋体" w:hAnsi="新宋体" w:eastAsia="新宋体" w:cs="新宋体"/>
          <w:color w:val="auto"/>
          <w:kern w:val="0"/>
          <w:sz w:val="22"/>
          <w:szCs w:val="22"/>
          <w:highlight w:val="none"/>
          <w:u w:val="single"/>
          <w:lang w:val="zh-CN"/>
        </w:rPr>
        <w:t xml:space="preserve">                     </w:t>
      </w:r>
      <w:r>
        <w:rPr>
          <w:rFonts w:hint="eastAsia" w:ascii="新宋体" w:hAnsi="新宋体" w:eastAsia="新宋体" w:cs="新宋体"/>
          <w:color w:val="auto"/>
          <w:kern w:val="0"/>
          <w:sz w:val="22"/>
          <w:szCs w:val="22"/>
          <w:highlight w:val="none"/>
          <w:u w:val="single"/>
        </w:rPr>
        <w:tab/>
      </w:r>
      <w:r>
        <w:rPr>
          <w:rFonts w:hint="eastAsia" w:ascii="新宋体" w:hAnsi="新宋体" w:eastAsia="新宋体" w:cs="新宋体"/>
          <w:color w:val="auto"/>
          <w:kern w:val="0"/>
          <w:sz w:val="22"/>
          <w:szCs w:val="22"/>
          <w:highlight w:val="none"/>
          <w:u w:val="single"/>
          <w:lang w:val="zh-CN"/>
        </w:rPr>
        <w:t xml:space="preserve">                      </w:t>
      </w:r>
      <w:r>
        <w:rPr>
          <w:rFonts w:hint="eastAsia" w:ascii="新宋体" w:hAnsi="新宋体" w:eastAsia="新宋体" w:cs="新宋体"/>
          <w:color w:val="auto"/>
          <w:kern w:val="0"/>
          <w:sz w:val="22"/>
          <w:szCs w:val="22"/>
          <w:highlight w:val="none"/>
          <w:u w:val="single"/>
          <w:lang w:val="en-US" w:eastAsia="zh-CN"/>
        </w:rPr>
        <w:t xml:space="preserve"> </w:t>
      </w:r>
    </w:p>
    <w:p w14:paraId="4B850FBE">
      <w:pPr>
        <w:spacing w:line="460" w:lineRule="exact"/>
        <w:ind w:firstLine="440" w:firstLineChars="200"/>
        <w:rPr>
          <w:rFonts w:hint="eastAsia"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lang w:val="zh-CN"/>
        </w:rPr>
        <w:t xml:space="preserve">联系电话： </w:t>
      </w:r>
      <w:r>
        <w:rPr>
          <w:rFonts w:hint="eastAsia" w:ascii="新宋体" w:hAnsi="新宋体" w:eastAsia="新宋体" w:cs="新宋体"/>
          <w:color w:val="auto"/>
          <w:kern w:val="0"/>
          <w:sz w:val="22"/>
          <w:szCs w:val="22"/>
          <w:highlight w:val="none"/>
          <w:u w:val="single"/>
          <w:lang w:val="zh-CN"/>
        </w:rPr>
        <w:t xml:space="preserve">       </w:t>
      </w:r>
      <w:r>
        <w:rPr>
          <w:rFonts w:hint="eastAsia" w:ascii="新宋体" w:hAnsi="新宋体" w:eastAsia="新宋体" w:cs="新宋体"/>
          <w:color w:val="auto"/>
          <w:kern w:val="0"/>
          <w:sz w:val="22"/>
          <w:szCs w:val="22"/>
          <w:highlight w:val="none"/>
          <w:u w:val="single"/>
          <w:lang w:val="en-US" w:eastAsia="zh-CN"/>
        </w:rPr>
        <w:t xml:space="preserve">          </w:t>
      </w:r>
      <w:r>
        <w:rPr>
          <w:rFonts w:hint="eastAsia" w:ascii="新宋体" w:hAnsi="新宋体" w:eastAsia="新宋体" w:cs="新宋体"/>
          <w:color w:val="auto"/>
          <w:kern w:val="0"/>
          <w:sz w:val="22"/>
          <w:szCs w:val="22"/>
          <w:highlight w:val="none"/>
          <w:u w:val="single"/>
          <w:lang w:val="zh-CN"/>
        </w:rPr>
        <w:t xml:space="preserve">   </w:t>
      </w:r>
      <w:r>
        <w:rPr>
          <w:rFonts w:hint="eastAsia" w:ascii="新宋体" w:hAnsi="新宋体" w:eastAsia="新宋体" w:cs="新宋体"/>
          <w:color w:val="auto"/>
          <w:kern w:val="0"/>
          <w:sz w:val="22"/>
          <w:szCs w:val="22"/>
          <w:highlight w:val="none"/>
          <w:lang w:val="zh-CN"/>
        </w:rPr>
        <w:t>电子邮件：</w:t>
      </w:r>
      <w:r>
        <w:rPr>
          <w:rFonts w:hint="eastAsia" w:ascii="新宋体" w:hAnsi="新宋体" w:eastAsia="新宋体" w:cs="新宋体"/>
          <w:color w:val="auto"/>
          <w:kern w:val="0"/>
          <w:sz w:val="22"/>
          <w:szCs w:val="22"/>
          <w:highlight w:val="none"/>
          <w:u w:val="single"/>
          <w:lang w:val="zh-CN"/>
        </w:rPr>
        <w:t xml:space="preserve">                </w:t>
      </w:r>
      <w:r>
        <w:rPr>
          <w:rFonts w:hint="eastAsia" w:ascii="新宋体" w:hAnsi="新宋体" w:eastAsia="新宋体" w:cs="新宋体"/>
          <w:color w:val="auto"/>
          <w:kern w:val="0"/>
          <w:sz w:val="22"/>
          <w:szCs w:val="22"/>
          <w:highlight w:val="none"/>
          <w:u w:val="single"/>
          <w:lang w:val="en-US" w:eastAsia="zh-CN"/>
        </w:rPr>
        <w:t xml:space="preserve">   </w:t>
      </w:r>
    </w:p>
    <w:p w14:paraId="2DBA7883">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zh-CN"/>
        </w:rPr>
        <w:t>联系地址：</w:t>
      </w:r>
      <w:r>
        <w:rPr>
          <w:rFonts w:hint="eastAsia" w:ascii="新宋体" w:hAnsi="新宋体" w:eastAsia="新宋体" w:cs="新宋体"/>
          <w:color w:val="auto"/>
          <w:kern w:val="0"/>
          <w:sz w:val="22"/>
          <w:szCs w:val="22"/>
          <w:highlight w:val="none"/>
          <w:u w:val="single"/>
          <w:lang w:val="zh-CN"/>
        </w:rPr>
        <w:t xml:space="preserve">                    </w:t>
      </w:r>
      <w:r>
        <w:rPr>
          <w:rFonts w:hint="eastAsia" w:ascii="新宋体" w:hAnsi="新宋体" w:eastAsia="新宋体" w:cs="新宋体"/>
          <w:color w:val="auto"/>
          <w:kern w:val="0"/>
          <w:sz w:val="22"/>
          <w:szCs w:val="22"/>
          <w:highlight w:val="none"/>
          <w:u w:val="single"/>
        </w:rPr>
        <w:tab/>
      </w:r>
      <w:r>
        <w:rPr>
          <w:rFonts w:hint="eastAsia" w:ascii="新宋体" w:hAnsi="新宋体" w:eastAsia="新宋体" w:cs="新宋体"/>
          <w:color w:val="auto"/>
          <w:kern w:val="0"/>
          <w:sz w:val="22"/>
          <w:szCs w:val="22"/>
          <w:highlight w:val="none"/>
          <w:u w:val="single"/>
          <w:lang w:val="zh-CN"/>
        </w:rPr>
        <w:t xml:space="preserve">                              </w:t>
      </w:r>
    </w:p>
    <w:p w14:paraId="5F630B3A">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zh-CN"/>
        </w:rPr>
        <w:t>邮政编码：</w:t>
      </w:r>
      <w:r>
        <w:rPr>
          <w:rFonts w:hint="eastAsia" w:ascii="新宋体" w:hAnsi="新宋体" w:eastAsia="新宋体" w:cs="新宋体"/>
          <w:color w:val="auto"/>
          <w:kern w:val="0"/>
          <w:sz w:val="22"/>
          <w:szCs w:val="22"/>
          <w:highlight w:val="none"/>
          <w:u w:val="single"/>
          <w:lang w:val="zh-CN"/>
        </w:rPr>
        <w:t xml:space="preserve">                     </w:t>
      </w:r>
      <w:r>
        <w:rPr>
          <w:rFonts w:hint="eastAsia" w:ascii="新宋体" w:hAnsi="新宋体" w:eastAsia="新宋体" w:cs="新宋体"/>
          <w:color w:val="auto"/>
          <w:kern w:val="0"/>
          <w:sz w:val="22"/>
          <w:szCs w:val="22"/>
          <w:highlight w:val="none"/>
          <w:lang w:val="zh-CN"/>
        </w:rPr>
        <w:t>传真号码：</w:t>
      </w:r>
      <w:r>
        <w:rPr>
          <w:rFonts w:hint="eastAsia" w:ascii="新宋体" w:hAnsi="新宋体" w:eastAsia="新宋体" w:cs="新宋体"/>
          <w:color w:val="auto"/>
          <w:kern w:val="0"/>
          <w:sz w:val="22"/>
          <w:szCs w:val="22"/>
          <w:highlight w:val="none"/>
          <w:u w:val="single"/>
          <w:lang w:val="zh-CN"/>
        </w:rPr>
        <w:t xml:space="preserve">                    </w:t>
      </w:r>
    </w:p>
    <w:p w14:paraId="2FC1D17D">
      <w:pPr>
        <w:spacing w:line="460" w:lineRule="exact"/>
        <w:ind w:firstLine="440" w:firstLineChars="20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lang w:val="zh-CN"/>
        </w:rPr>
        <w:t>日</w:t>
      </w:r>
      <w:r>
        <w:rPr>
          <w:rFonts w:hint="eastAsia" w:ascii="新宋体" w:hAnsi="新宋体" w:eastAsia="新宋体" w:cs="新宋体"/>
          <w:color w:val="auto"/>
          <w:kern w:val="0"/>
          <w:sz w:val="22"/>
          <w:szCs w:val="22"/>
          <w:highlight w:val="none"/>
        </w:rPr>
        <w:t xml:space="preserve">    </w:t>
      </w:r>
      <w:r>
        <w:rPr>
          <w:rFonts w:hint="eastAsia" w:ascii="新宋体" w:hAnsi="新宋体" w:eastAsia="新宋体" w:cs="新宋体"/>
          <w:color w:val="auto"/>
          <w:kern w:val="0"/>
          <w:sz w:val="22"/>
          <w:szCs w:val="22"/>
          <w:highlight w:val="none"/>
          <w:lang w:val="zh-CN"/>
        </w:rPr>
        <w:t>期</w:t>
      </w:r>
      <w:r>
        <w:rPr>
          <w:rFonts w:hint="eastAsia" w:ascii="新宋体" w:hAnsi="新宋体" w:eastAsia="新宋体" w:cs="新宋体"/>
          <w:color w:val="auto"/>
          <w:kern w:val="0"/>
          <w:sz w:val="22"/>
          <w:szCs w:val="22"/>
          <w:highlight w:val="none"/>
        </w:rPr>
        <w:t xml:space="preserve">： </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lang w:val="zh-CN"/>
        </w:rPr>
        <w:t>年</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u w:val="single"/>
        </w:rPr>
        <w:tab/>
      </w:r>
      <w:r>
        <w:rPr>
          <w:rFonts w:hint="eastAsia" w:ascii="新宋体" w:hAnsi="新宋体" w:eastAsia="新宋体" w:cs="新宋体"/>
          <w:color w:val="auto"/>
          <w:kern w:val="0"/>
          <w:sz w:val="22"/>
          <w:szCs w:val="22"/>
          <w:highlight w:val="none"/>
          <w:lang w:val="zh-CN"/>
        </w:rPr>
        <w:t>月</w:t>
      </w:r>
      <w:r>
        <w:rPr>
          <w:rFonts w:hint="eastAsia" w:ascii="新宋体" w:hAnsi="新宋体" w:eastAsia="新宋体" w:cs="新宋体"/>
          <w:color w:val="auto"/>
          <w:kern w:val="0"/>
          <w:sz w:val="22"/>
          <w:szCs w:val="22"/>
          <w:highlight w:val="none"/>
          <w:u w:val="single"/>
          <w:lang w:val="zh-CN"/>
        </w:rPr>
        <w:t xml:space="preserve">    </w:t>
      </w:r>
      <w:r>
        <w:rPr>
          <w:rFonts w:hint="eastAsia" w:ascii="新宋体" w:hAnsi="新宋体" w:eastAsia="新宋体" w:cs="新宋体"/>
          <w:color w:val="auto"/>
          <w:kern w:val="0"/>
          <w:sz w:val="22"/>
          <w:szCs w:val="22"/>
          <w:highlight w:val="none"/>
          <w:lang w:val="zh-CN"/>
        </w:rPr>
        <w:t>日</w:t>
      </w:r>
    </w:p>
    <w:p w14:paraId="7AF0BB69">
      <w:pPr>
        <w:spacing w:line="44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kern w:val="0"/>
          <w:sz w:val="22"/>
          <w:szCs w:val="22"/>
          <w:highlight w:val="none"/>
          <w:lang w:val="zh-CN"/>
        </w:rPr>
        <w:t>注：未按照本投标响应函要求填报的将被视为非实质性响应，从而可能导致该投标文件被拒绝。</w:t>
      </w:r>
    </w:p>
    <w:p w14:paraId="74B208A3">
      <w:pPr>
        <w:pStyle w:val="23"/>
        <w:ind w:left="442" w:hanging="442"/>
        <w:rPr>
          <w:rFonts w:hint="eastAsia" w:ascii="新宋体" w:hAnsi="新宋体" w:eastAsia="新宋体" w:cs="新宋体"/>
          <w:b/>
          <w:bCs/>
          <w:color w:val="auto"/>
          <w:sz w:val="22"/>
          <w:szCs w:val="22"/>
          <w:highlight w:val="none"/>
        </w:rPr>
      </w:pPr>
    </w:p>
    <w:p w14:paraId="25FCE91A">
      <w:pPr>
        <w:pStyle w:val="23"/>
        <w:ind w:left="442" w:hanging="442"/>
        <w:rPr>
          <w:rFonts w:hint="eastAsia" w:ascii="新宋体" w:hAnsi="新宋体" w:eastAsia="新宋体" w:cs="新宋体"/>
          <w:b/>
          <w:bCs/>
          <w:color w:val="auto"/>
          <w:sz w:val="22"/>
          <w:szCs w:val="22"/>
          <w:highlight w:val="none"/>
        </w:rPr>
      </w:pPr>
    </w:p>
    <w:p w14:paraId="5B6D94F9">
      <w:pPr>
        <w:pStyle w:val="23"/>
        <w:ind w:left="442" w:hanging="442"/>
        <w:rPr>
          <w:rFonts w:hint="eastAsia" w:ascii="新宋体" w:hAnsi="新宋体" w:eastAsia="新宋体" w:cs="新宋体"/>
          <w:b/>
          <w:bCs/>
          <w:color w:val="auto"/>
          <w:sz w:val="22"/>
          <w:szCs w:val="22"/>
          <w:highlight w:val="none"/>
        </w:rPr>
      </w:pPr>
    </w:p>
    <w:p w14:paraId="4B8E0325">
      <w:pPr>
        <w:pStyle w:val="23"/>
        <w:ind w:left="442" w:hanging="442"/>
        <w:rPr>
          <w:rFonts w:hint="eastAsia" w:ascii="新宋体" w:hAnsi="新宋体" w:eastAsia="新宋体" w:cs="新宋体"/>
          <w:b/>
          <w:bCs/>
          <w:color w:val="auto"/>
          <w:sz w:val="22"/>
          <w:szCs w:val="22"/>
          <w:highlight w:val="none"/>
        </w:rPr>
      </w:pPr>
    </w:p>
    <w:p w14:paraId="20FD2EBD">
      <w:pPr>
        <w:pStyle w:val="23"/>
        <w:ind w:left="442" w:hanging="442"/>
        <w:rPr>
          <w:rFonts w:hint="eastAsia" w:ascii="新宋体" w:hAnsi="新宋体" w:eastAsia="新宋体" w:cs="新宋体"/>
          <w:b/>
          <w:bCs/>
          <w:color w:val="auto"/>
          <w:sz w:val="22"/>
          <w:szCs w:val="22"/>
          <w:highlight w:val="none"/>
        </w:rPr>
      </w:pPr>
    </w:p>
    <w:p w14:paraId="1F531C07">
      <w:pPr>
        <w:pStyle w:val="23"/>
        <w:ind w:left="442" w:hanging="442"/>
        <w:rPr>
          <w:rFonts w:hint="eastAsia" w:ascii="新宋体" w:hAnsi="新宋体" w:eastAsia="新宋体" w:cs="新宋体"/>
          <w:b/>
          <w:bCs/>
          <w:color w:val="auto"/>
          <w:sz w:val="22"/>
          <w:szCs w:val="22"/>
          <w:highlight w:val="none"/>
        </w:rPr>
      </w:pPr>
    </w:p>
    <w:p w14:paraId="1786D7D1">
      <w:pPr>
        <w:spacing w:line="400" w:lineRule="exact"/>
        <w:jc w:val="center"/>
        <w:rPr>
          <w:rFonts w:hint="eastAsia" w:ascii="新宋体" w:hAnsi="新宋体" w:eastAsia="新宋体" w:cs="新宋体"/>
          <w:b/>
          <w:bCs/>
          <w:color w:val="auto"/>
          <w:sz w:val="28"/>
          <w:szCs w:val="28"/>
          <w:highlight w:val="none"/>
        </w:rPr>
      </w:pPr>
    </w:p>
    <w:p w14:paraId="10C333B3">
      <w:pPr>
        <w:spacing w:line="420" w:lineRule="exact"/>
        <w:jc w:val="center"/>
        <w:outlineLvl w:val="3"/>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t>2、法定代表人授权书</w:t>
      </w:r>
    </w:p>
    <w:p w14:paraId="364BCC13">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温州市中心血站</w:t>
      </w:r>
      <w:r>
        <w:rPr>
          <w:rFonts w:hint="eastAsia" w:ascii="新宋体" w:hAnsi="新宋体" w:eastAsia="新宋体" w:cs="新宋体"/>
          <w:color w:val="auto"/>
          <w:sz w:val="22"/>
          <w:szCs w:val="22"/>
          <w:highlight w:val="none"/>
        </w:rPr>
        <w:t>：</w:t>
      </w:r>
    </w:p>
    <w:p w14:paraId="5F5D4FBB">
      <w:pPr>
        <w:spacing w:line="460" w:lineRule="exact"/>
        <w:rPr>
          <w:rFonts w:hint="eastAsia" w:ascii="新宋体" w:hAnsi="新宋体" w:eastAsia="新宋体" w:cs="新宋体"/>
          <w:color w:val="auto"/>
          <w:sz w:val="22"/>
          <w:szCs w:val="22"/>
          <w:highlight w:val="none"/>
          <w:u w:val="single"/>
        </w:rPr>
      </w:pPr>
    </w:p>
    <w:p w14:paraId="70211F9E">
      <w:pPr>
        <w:spacing w:line="460" w:lineRule="exact"/>
        <w:ind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（投标人全称）法定代表人</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授权</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（全权代表姓名）为全权代表，参加贵处组织的（项目名称</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、编号</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）的招标活动，全权代表我方处理招标活动中的一切事宜。</w:t>
      </w:r>
    </w:p>
    <w:p w14:paraId="1308E063">
      <w:pPr>
        <w:spacing w:line="460" w:lineRule="exact"/>
        <w:ind w:firstLine="2955"/>
        <w:rPr>
          <w:rFonts w:hint="eastAsia" w:ascii="新宋体" w:hAnsi="新宋体" w:eastAsia="新宋体" w:cs="新宋体"/>
          <w:color w:val="auto"/>
          <w:sz w:val="22"/>
          <w:szCs w:val="22"/>
          <w:highlight w:val="none"/>
        </w:rPr>
      </w:pPr>
    </w:p>
    <w:p w14:paraId="6A90086B">
      <w:pPr>
        <w:spacing w:line="460" w:lineRule="exact"/>
        <w:ind w:firstLine="295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p w14:paraId="7581EE2F">
      <w:pPr>
        <w:spacing w:line="460" w:lineRule="exact"/>
        <w:ind w:firstLine="4081" w:firstLineChars="185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签字或盖章</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w:t>
      </w:r>
    </w:p>
    <w:p w14:paraId="16E4BFA5">
      <w:pPr>
        <w:spacing w:line="460" w:lineRule="exact"/>
        <w:ind w:firstLine="295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投标人全称（公章）：</w:t>
      </w:r>
    </w:p>
    <w:p w14:paraId="0F3AAA09">
      <w:pPr>
        <w:spacing w:line="460" w:lineRule="exact"/>
        <w:ind w:firstLine="295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日   期：  </w:t>
      </w:r>
    </w:p>
    <w:p w14:paraId="7A50D07E">
      <w:pPr>
        <w:spacing w:line="380" w:lineRule="exact"/>
        <w:rPr>
          <w:rFonts w:hint="eastAsia" w:ascii="新宋体" w:hAnsi="新宋体" w:eastAsia="新宋体" w:cs="新宋体"/>
          <w:color w:val="auto"/>
          <w:sz w:val="22"/>
          <w:szCs w:val="22"/>
          <w:highlight w:val="none"/>
        </w:rPr>
      </w:pPr>
    </w:p>
    <w:p w14:paraId="6789E095">
      <w:pPr>
        <w:spacing w:line="380" w:lineRule="exact"/>
        <w:rPr>
          <w:rFonts w:hint="eastAsia" w:ascii="新宋体" w:hAnsi="新宋体" w:eastAsia="新宋体" w:cs="新宋体"/>
          <w:color w:val="auto"/>
          <w:sz w:val="22"/>
          <w:szCs w:val="22"/>
          <w:highlight w:val="none"/>
        </w:rPr>
      </w:pPr>
    </w:p>
    <w:p w14:paraId="3AC8F619">
      <w:pPr>
        <w:spacing w:line="380" w:lineRule="exact"/>
        <w:rPr>
          <w:rFonts w:hint="eastAsia" w:ascii="新宋体" w:hAnsi="新宋体" w:eastAsia="新宋体" w:cs="新宋体"/>
          <w:color w:val="auto"/>
          <w:sz w:val="22"/>
          <w:szCs w:val="22"/>
          <w:highlight w:val="none"/>
        </w:rPr>
      </w:pPr>
    </w:p>
    <w:p w14:paraId="221255C8">
      <w:pPr>
        <w:spacing w:line="460" w:lineRule="exact"/>
        <w:ind w:firstLine="541"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附：</w:t>
      </w:r>
    </w:p>
    <w:p w14:paraId="4C0256EC">
      <w:pPr>
        <w:spacing w:line="460" w:lineRule="exact"/>
        <w:ind w:firstLine="539"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 xml:space="preserve">授权代表姓名：                               </w:t>
      </w:r>
    </w:p>
    <w:p w14:paraId="5C4F249C">
      <w:pPr>
        <w:spacing w:line="460" w:lineRule="exact"/>
        <w:ind w:firstLine="539"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职务：</w:t>
      </w:r>
    </w:p>
    <w:p w14:paraId="7DC691AB">
      <w:pPr>
        <w:spacing w:line="460" w:lineRule="exact"/>
        <w:ind w:firstLine="539"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详细通讯地址：</w:t>
      </w:r>
    </w:p>
    <w:p w14:paraId="201CB20D">
      <w:pPr>
        <w:spacing w:line="460" w:lineRule="exact"/>
        <w:ind w:firstLine="539"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电话：</w:t>
      </w:r>
    </w:p>
    <w:p w14:paraId="4D92C565">
      <w:pPr>
        <w:spacing w:line="460" w:lineRule="exact"/>
        <w:ind w:firstLine="539"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传真：</w:t>
      </w:r>
    </w:p>
    <w:p w14:paraId="492B4345">
      <w:pPr>
        <w:spacing w:line="460" w:lineRule="exact"/>
        <w:ind w:firstLine="539" w:firstLineChars="245"/>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color w:val="auto"/>
          <w:sz w:val="22"/>
          <w:szCs w:val="22"/>
          <w:highlight w:val="none"/>
        </w:rPr>
        <w:t>邮政编码</w:t>
      </w:r>
      <w:r>
        <w:rPr>
          <w:rFonts w:hint="eastAsia" w:ascii="新宋体" w:hAnsi="新宋体" w:eastAsia="新宋体" w:cs="新宋体"/>
          <w:color w:val="auto"/>
          <w:sz w:val="22"/>
          <w:szCs w:val="22"/>
          <w:highlight w:val="none"/>
          <w:lang w:eastAsia="zh-CN"/>
        </w:rPr>
        <w:t>：</w:t>
      </w:r>
    </w:p>
    <w:p w14:paraId="7711E1AF">
      <w:pPr>
        <w:spacing w:line="380" w:lineRule="exact"/>
        <w:rPr>
          <w:rFonts w:hint="eastAsia" w:ascii="新宋体" w:hAnsi="新宋体" w:eastAsia="新宋体" w:cs="新宋体"/>
          <w:color w:val="auto"/>
          <w:sz w:val="22"/>
          <w:szCs w:val="22"/>
          <w:highlight w:val="none"/>
        </w:rPr>
      </w:pPr>
    </w:p>
    <w:p w14:paraId="2161FC15">
      <w:pPr>
        <w:spacing w:line="460" w:lineRule="exact"/>
        <w:jc w:val="center"/>
        <w:rPr>
          <w:rFonts w:hint="eastAsia" w:ascii="新宋体" w:hAnsi="新宋体" w:eastAsia="新宋体" w:cs="新宋体"/>
          <w:b/>
          <w:bCs/>
          <w:color w:val="auto"/>
          <w:sz w:val="28"/>
          <w:szCs w:val="28"/>
          <w:highlight w:val="none"/>
        </w:rPr>
      </w:pPr>
    </w:p>
    <w:p w14:paraId="128AFE61">
      <w:pPr>
        <w:spacing w:line="460" w:lineRule="exact"/>
        <w:jc w:val="center"/>
        <w:rPr>
          <w:rFonts w:hint="eastAsia" w:ascii="新宋体" w:hAnsi="新宋体" w:eastAsia="新宋体" w:cs="新宋体"/>
          <w:b/>
          <w:bCs/>
          <w:color w:val="auto"/>
          <w:sz w:val="28"/>
          <w:szCs w:val="28"/>
          <w:highlight w:val="none"/>
        </w:rPr>
      </w:pPr>
    </w:p>
    <w:p w14:paraId="796CBC4B">
      <w:pPr>
        <w:spacing w:line="460" w:lineRule="exact"/>
        <w:jc w:val="center"/>
        <w:rPr>
          <w:rFonts w:hint="eastAsia" w:ascii="新宋体" w:hAnsi="新宋体" w:eastAsia="新宋体" w:cs="新宋体"/>
          <w:b/>
          <w:bCs/>
          <w:color w:val="auto"/>
          <w:sz w:val="28"/>
          <w:szCs w:val="28"/>
          <w:highlight w:val="none"/>
        </w:rPr>
      </w:pPr>
    </w:p>
    <w:p w14:paraId="1B324F1D">
      <w:pPr>
        <w:spacing w:line="460" w:lineRule="exact"/>
        <w:jc w:val="center"/>
        <w:rPr>
          <w:rFonts w:hint="eastAsia" w:ascii="新宋体" w:hAnsi="新宋体" w:eastAsia="新宋体" w:cs="新宋体"/>
          <w:b/>
          <w:bCs/>
          <w:color w:val="auto"/>
          <w:sz w:val="28"/>
          <w:szCs w:val="28"/>
          <w:highlight w:val="none"/>
        </w:rPr>
      </w:pPr>
    </w:p>
    <w:p w14:paraId="58787A83">
      <w:pPr>
        <w:spacing w:line="460" w:lineRule="exact"/>
        <w:jc w:val="center"/>
        <w:rPr>
          <w:rFonts w:hint="eastAsia" w:ascii="新宋体" w:hAnsi="新宋体" w:eastAsia="新宋体" w:cs="新宋体"/>
          <w:b/>
          <w:bCs/>
          <w:color w:val="auto"/>
          <w:sz w:val="28"/>
          <w:szCs w:val="28"/>
          <w:highlight w:val="none"/>
        </w:rPr>
      </w:pPr>
    </w:p>
    <w:p w14:paraId="30E51F40">
      <w:pPr>
        <w:spacing w:line="460" w:lineRule="exact"/>
        <w:jc w:val="center"/>
        <w:rPr>
          <w:rFonts w:hint="eastAsia" w:ascii="新宋体" w:hAnsi="新宋体" w:eastAsia="新宋体" w:cs="新宋体"/>
          <w:b/>
          <w:bCs/>
          <w:color w:val="auto"/>
          <w:sz w:val="28"/>
          <w:szCs w:val="28"/>
          <w:highlight w:val="none"/>
        </w:rPr>
      </w:pPr>
    </w:p>
    <w:p w14:paraId="1FE8E47B">
      <w:pPr>
        <w:spacing w:line="460" w:lineRule="exact"/>
        <w:jc w:val="center"/>
        <w:rPr>
          <w:rFonts w:hint="eastAsia" w:ascii="新宋体" w:hAnsi="新宋体" w:eastAsia="新宋体" w:cs="新宋体"/>
          <w:b/>
          <w:bCs/>
          <w:color w:val="auto"/>
          <w:sz w:val="28"/>
          <w:szCs w:val="28"/>
          <w:highlight w:val="none"/>
        </w:rPr>
      </w:pPr>
    </w:p>
    <w:p w14:paraId="61E2EAE5">
      <w:pPr>
        <w:spacing w:line="460" w:lineRule="exact"/>
        <w:jc w:val="center"/>
        <w:rPr>
          <w:rFonts w:hint="eastAsia" w:ascii="新宋体" w:hAnsi="新宋体" w:eastAsia="新宋体" w:cs="新宋体"/>
          <w:b/>
          <w:bCs/>
          <w:color w:val="auto"/>
          <w:sz w:val="28"/>
          <w:szCs w:val="28"/>
          <w:highlight w:val="none"/>
        </w:rPr>
      </w:pPr>
    </w:p>
    <w:p w14:paraId="40D2E92D">
      <w:pPr>
        <w:spacing w:line="460" w:lineRule="exact"/>
        <w:jc w:val="center"/>
        <w:rPr>
          <w:rFonts w:hint="eastAsia" w:ascii="新宋体" w:hAnsi="新宋体" w:eastAsia="新宋体" w:cs="新宋体"/>
          <w:b/>
          <w:bCs/>
          <w:color w:val="auto"/>
          <w:sz w:val="28"/>
          <w:szCs w:val="28"/>
          <w:highlight w:val="none"/>
        </w:rPr>
      </w:pPr>
    </w:p>
    <w:p w14:paraId="4243D01B">
      <w:pPr>
        <w:spacing w:line="460" w:lineRule="exact"/>
        <w:jc w:val="center"/>
        <w:rPr>
          <w:rFonts w:hint="eastAsia" w:ascii="新宋体" w:hAnsi="新宋体" w:eastAsia="新宋体" w:cs="新宋体"/>
          <w:b/>
          <w:bCs/>
          <w:color w:val="auto"/>
          <w:sz w:val="28"/>
          <w:szCs w:val="28"/>
          <w:highlight w:val="none"/>
        </w:rPr>
      </w:pPr>
    </w:p>
    <w:p w14:paraId="05FACFDE">
      <w:pPr>
        <w:pStyle w:val="23"/>
        <w:ind w:left="0" w:leftChars="0" w:firstLine="0" w:firstLineChars="0"/>
        <w:rPr>
          <w:rFonts w:hint="eastAsia" w:ascii="新宋体" w:hAnsi="新宋体" w:eastAsia="新宋体" w:cs="新宋体"/>
          <w:b/>
          <w:bCs/>
          <w:color w:val="auto"/>
          <w:sz w:val="28"/>
          <w:szCs w:val="28"/>
          <w:highlight w:val="none"/>
        </w:rPr>
      </w:pPr>
    </w:p>
    <w:p w14:paraId="1136F8E7">
      <w:pPr>
        <w:spacing w:line="460" w:lineRule="exact"/>
        <w:jc w:val="center"/>
        <w:rPr>
          <w:rFonts w:hint="eastAsia" w:ascii="新宋体" w:hAnsi="新宋体" w:eastAsia="新宋体" w:cs="新宋体"/>
          <w:b/>
          <w:bCs/>
          <w:color w:val="auto"/>
          <w:sz w:val="28"/>
          <w:szCs w:val="28"/>
          <w:highlight w:val="none"/>
        </w:rPr>
      </w:pPr>
      <w:r>
        <w:rPr>
          <w:rFonts w:hint="eastAsia" w:ascii="新宋体" w:hAnsi="新宋体" w:eastAsia="新宋体" w:cs="新宋体"/>
          <w:color w:val="auto"/>
          <w:sz w:val="22"/>
          <w:szCs w:val="22"/>
          <w:highlight w:val="none"/>
        </w:rPr>
        <mc:AlternateContent>
          <mc:Choice Requires="wps">
            <w:drawing>
              <wp:anchor distT="0" distB="0" distL="114300" distR="114300" simplePos="0" relativeHeight="251659264" behindDoc="0" locked="0" layoutInCell="1" allowOverlap="1">
                <wp:simplePos x="0" y="0"/>
                <wp:positionH relativeFrom="column">
                  <wp:posOffset>113665</wp:posOffset>
                </wp:positionH>
                <wp:positionV relativeFrom="paragraph">
                  <wp:posOffset>320675</wp:posOffset>
                </wp:positionV>
                <wp:extent cx="6254115" cy="3004185"/>
                <wp:effectExtent l="5080" t="4445" r="8255" b="20320"/>
                <wp:wrapNone/>
                <wp:docPr id="6" name="Text Box 2"/>
                <wp:cNvGraphicFramePr/>
                <a:graphic xmlns:a="http://schemas.openxmlformats.org/drawingml/2006/main">
                  <a:graphicData uri="http://schemas.microsoft.com/office/word/2010/wordprocessingShape">
                    <wps:wsp>
                      <wps:cNvSpPr txBox="1"/>
                      <wps:spPr>
                        <a:xfrm>
                          <a:off x="0" y="0"/>
                          <a:ext cx="6254115" cy="30041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FF68925">
                            <w:r>
                              <w:rPr>
                                <w:rFonts w:hint="eastAsia" w:ascii="新宋体" w:hAnsi="新宋体" w:eastAsia="新宋体"/>
                                <w:sz w:val="22"/>
                                <w:szCs w:val="22"/>
                              </w:rPr>
                              <w:t xml:space="preserve">  法定代表人身份证（正反面）：</w:t>
                            </w:r>
                          </w:p>
                        </w:txbxContent>
                      </wps:txbx>
                      <wps:bodyPr upright="1"/>
                    </wps:wsp>
                  </a:graphicData>
                </a:graphic>
              </wp:anchor>
            </w:drawing>
          </mc:Choice>
          <mc:Fallback>
            <w:pict>
              <v:shape id="Text Box 2" o:spid="_x0000_s1026" o:spt="202" type="#_x0000_t202" style="position:absolute;left:0pt;margin-left:8.95pt;margin-top:25.25pt;height:236.55pt;width:492.45pt;z-index:251659264;mso-width-relative:page;mso-height-relative:page;" fillcolor="#FFFFFF" filled="t" stroked="t" coordsize="21600,21600" o:gfxdata="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l9wjaNgAAAAKAQAADwAAAAAAAAABACAAAAAiAAAAZHJzL2Rv&#10;d25yZXYueG1sUEsBAhQAFAAAAAgAh07iQCalZX0BAgAARAQAAA4AAAAAAAAAAQAgAAAAJwEAAGRy&#10;cy9lMm9Eb2MueG1sUEsFBgAAAAAGAAYAWQEAAJoFAAAAAA==&#10;">
                <v:fill on="t" focussize="0,0"/>
                <v:stroke color="#000000" joinstyle="miter"/>
                <v:imagedata o:title=""/>
                <o:lock v:ext="edit" aspectratio="f"/>
                <v:textbox>
                  <w:txbxContent>
                    <w:p w14:paraId="7FF68925">
                      <w:r>
                        <w:rPr>
                          <w:rFonts w:hint="eastAsia" w:ascii="新宋体" w:hAnsi="新宋体" w:eastAsia="新宋体"/>
                          <w:sz w:val="22"/>
                          <w:szCs w:val="22"/>
                        </w:rPr>
                        <w:t xml:space="preserve">  法定代表人身份证（正反面）：</w:t>
                      </w:r>
                    </w:p>
                  </w:txbxContent>
                </v:textbox>
              </v:shape>
            </w:pict>
          </mc:Fallback>
        </mc:AlternateContent>
      </w:r>
    </w:p>
    <w:p w14:paraId="00EFD7E4">
      <w:pPr>
        <w:spacing w:line="460" w:lineRule="exact"/>
        <w:jc w:val="center"/>
        <w:rPr>
          <w:rFonts w:hint="eastAsia" w:ascii="新宋体" w:hAnsi="新宋体" w:eastAsia="新宋体" w:cs="新宋体"/>
          <w:b/>
          <w:bCs/>
          <w:color w:val="auto"/>
          <w:sz w:val="28"/>
          <w:szCs w:val="28"/>
          <w:highlight w:val="none"/>
        </w:rPr>
      </w:pPr>
    </w:p>
    <w:p w14:paraId="07B7C049">
      <w:pPr>
        <w:spacing w:line="460" w:lineRule="exact"/>
        <w:jc w:val="center"/>
        <w:rPr>
          <w:rFonts w:hint="eastAsia" w:ascii="新宋体" w:hAnsi="新宋体" w:eastAsia="新宋体" w:cs="新宋体"/>
          <w:b/>
          <w:bCs/>
          <w:color w:val="auto"/>
          <w:sz w:val="28"/>
          <w:szCs w:val="28"/>
          <w:highlight w:val="none"/>
        </w:rPr>
      </w:pPr>
    </w:p>
    <w:p w14:paraId="49FFB69B">
      <w:pPr>
        <w:spacing w:line="460" w:lineRule="exact"/>
        <w:jc w:val="center"/>
        <w:rPr>
          <w:rFonts w:hint="eastAsia" w:ascii="新宋体" w:hAnsi="新宋体" w:eastAsia="新宋体" w:cs="新宋体"/>
          <w:b/>
          <w:bCs/>
          <w:color w:val="auto"/>
          <w:sz w:val="28"/>
          <w:szCs w:val="28"/>
          <w:highlight w:val="none"/>
        </w:rPr>
      </w:pPr>
    </w:p>
    <w:p w14:paraId="3D3B9E38">
      <w:pPr>
        <w:spacing w:line="460" w:lineRule="exact"/>
        <w:jc w:val="center"/>
        <w:rPr>
          <w:rFonts w:hint="eastAsia" w:ascii="新宋体" w:hAnsi="新宋体" w:eastAsia="新宋体" w:cs="新宋体"/>
          <w:b/>
          <w:bCs/>
          <w:color w:val="auto"/>
          <w:sz w:val="28"/>
          <w:szCs w:val="28"/>
          <w:highlight w:val="none"/>
        </w:rPr>
      </w:pPr>
    </w:p>
    <w:p w14:paraId="11C38082">
      <w:pPr>
        <w:spacing w:line="460" w:lineRule="exact"/>
        <w:jc w:val="center"/>
        <w:rPr>
          <w:rFonts w:hint="eastAsia" w:ascii="新宋体" w:hAnsi="新宋体" w:eastAsia="新宋体" w:cs="新宋体"/>
          <w:b/>
          <w:bCs/>
          <w:color w:val="auto"/>
          <w:sz w:val="28"/>
          <w:szCs w:val="28"/>
          <w:highlight w:val="none"/>
        </w:rPr>
      </w:pPr>
    </w:p>
    <w:p w14:paraId="1905B22F">
      <w:pPr>
        <w:spacing w:line="460" w:lineRule="exact"/>
        <w:jc w:val="center"/>
        <w:rPr>
          <w:rFonts w:hint="eastAsia" w:ascii="新宋体" w:hAnsi="新宋体" w:eastAsia="新宋体" w:cs="新宋体"/>
          <w:b/>
          <w:bCs/>
          <w:color w:val="auto"/>
          <w:sz w:val="28"/>
          <w:szCs w:val="28"/>
          <w:highlight w:val="none"/>
        </w:rPr>
      </w:pPr>
    </w:p>
    <w:p w14:paraId="0EE4E3C1">
      <w:pPr>
        <w:spacing w:line="460" w:lineRule="exact"/>
        <w:jc w:val="center"/>
        <w:rPr>
          <w:rFonts w:hint="eastAsia" w:ascii="新宋体" w:hAnsi="新宋体" w:eastAsia="新宋体" w:cs="新宋体"/>
          <w:b/>
          <w:bCs/>
          <w:color w:val="auto"/>
          <w:sz w:val="28"/>
          <w:szCs w:val="28"/>
          <w:highlight w:val="none"/>
        </w:rPr>
      </w:pPr>
    </w:p>
    <w:p w14:paraId="3929E9E5">
      <w:pPr>
        <w:spacing w:line="460" w:lineRule="exact"/>
        <w:jc w:val="center"/>
        <w:rPr>
          <w:rFonts w:hint="eastAsia" w:ascii="新宋体" w:hAnsi="新宋体" w:eastAsia="新宋体" w:cs="新宋体"/>
          <w:b/>
          <w:bCs/>
          <w:color w:val="auto"/>
          <w:sz w:val="28"/>
          <w:szCs w:val="28"/>
          <w:highlight w:val="none"/>
        </w:rPr>
      </w:pPr>
    </w:p>
    <w:p w14:paraId="63F01B83">
      <w:pPr>
        <w:spacing w:line="460" w:lineRule="exact"/>
        <w:jc w:val="center"/>
        <w:rPr>
          <w:rFonts w:hint="eastAsia" w:ascii="新宋体" w:hAnsi="新宋体" w:eastAsia="新宋体" w:cs="新宋体"/>
          <w:b/>
          <w:bCs/>
          <w:color w:val="auto"/>
          <w:sz w:val="28"/>
          <w:szCs w:val="28"/>
          <w:highlight w:val="none"/>
        </w:rPr>
      </w:pPr>
    </w:p>
    <w:p w14:paraId="5A9187DC">
      <w:pPr>
        <w:spacing w:line="460" w:lineRule="exact"/>
        <w:jc w:val="center"/>
        <w:rPr>
          <w:rFonts w:hint="eastAsia" w:ascii="新宋体" w:hAnsi="新宋体" w:eastAsia="新宋体" w:cs="新宋体"/>
          <w:b/>
          <w:bCs/>
          <w:color w:val="auto"/>
          <w:sz w:val="28"/>
          <w:szCs w:val="28"/>
          <w:highlight w:val="none"/>
        </w:rPr>
      </w:pPr>
    </w:p>
    <w:p w14:paraId="5418DC3A">
      <w:pPr>
        <w:spacing w:line="460" w:lineRule="exact"/>
        <w:jc w:val="center"/>
        <w:rPr>
          <w:rFonts w:hint="eastAsia" w:ascii="新宋体" w:hAnsi="新宋体" w:eastAsia="新宋体" w:cs="新宋体"/>
          <w:b/>
          <w:bCs/>
          <w:color w:val="auto"/>
          <w:sz w:val="28"/>
          <w:szCs w:val="28"/>
          <w:highlight w:val="none"/>
        </w:rPr>
      </w:pPr>
    </w:p>
    <w:p w14:paraId="7C2C43E2">
      <w:pPr>
        <w:spacing w:line="460" w:lineRule="exact"/>
        <w:jc w:val="center"/>
        <w:rPr>
          <w:rFonts w:hint="eastAsia" w:ascii="新宋体" w:hAnsi="新宋体" w:eastAsia="新宋体" w:cs="新宋体"/>
          <w:b/>
          <w:bCs/>
          <w:color w:val="auto"/>
          <w:sz w:val="28"/>
          <w:szCs w:val="28"/>
          <w:highlight w:val="none"/>
        </w:rPr>
      </w:pPr>
    </w:p>
    <w:p w14:paraId="5FC4846F">
      <w:pPr>
        <w:spacing w:line="460" w:lineRule="exact"/>
        <w:jc w:val="center"/>
        <w:rPr>
          <w:rFonts w:hint="eastAsia" w:ascii="新宋体" w:hAnsi="新宋体" w:eastAsia="新宋体" w:cs="新宋体"/>
          <w:b/>
          <w:bCs/>
          <w:color w:val="auto"/>
          <w:sz w:val="28"/>
          <w:szCs w:val="28"/>
          <w:highlight w:val="none"/>
        </w:rPr>
      </w:pPr>
      <w:r>
        <w:rPr>
          <w:rFonts w:hint="eastAsia" w:ascii="新宋体" w:hAnsi="新宋体" w:eastAsia="新宋体" w:cs="新宋体"/>
          <w:color w:val="auto"/>
          <w:sz w:val="22"/>
          <w:szCs w:val="22"/>
          <w:highlight w:val="none"/>
        </w:rPr>
        <mc:AlternateContent>
          <mc:Choice Requires="wps">
            <w:drawing>
              <wp:anchor distT="0" distB="0" distL="114300" distR="114300" simplePos="0" relativeHeight="251660288" behindDoc="0" locked="0" layoutInCell="1" allowOverlap="1">
                <wp:simplePos x="0" y="0"/>
                <wp:positionH relativeFrom="column">
                  <wp:posOffset>88265</wp:posOffset>
                </wp:positionH>
                <wp:positionV relativeFrom="paragraph">
                  <wp:posOffset>-53975</wp:posOffset>
                </wp:positionV>
                <wp:extent cx="6303645" cy="3875405"/>
                <wp:effectExtent l="4445" t="5080" r="16510" b="5715"/>
                <wp:wrapNone/>
                <wp:docPr id="7" name="文本框 26"/>
                <wp:cNvGraphicFramePr/>
                <a:graphic xmlns:a="http://schemas.openxmlformats.org/drawingml/2006/main">
                  <a:graphicData uri="http://schemas.microsoft.com/office/word/2010/wordprocessingShape">
                    <wps:wsp>
                      <wps:cNvSpPr txBox="1"/>
                      <wps:spPr>
                        <a:xfrm>
                          <a:off x="0" y="0"/>
                          <a:ext cx="6303645" cy="38754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0D77D37">
                            <w:r>
                              <w:rPr>
                                <w:rFonts w:hint="eastAsia" w:ascii="新宋体" w:hAnsi="新宋体" w:eastAsia="新宋体"/>
                                <w:sz w:val="22"/>
                                <w:szCs w:val="22"/>
                              </w:rPr>
                              <w:t xml:space="preserve">  授权代表身份证（正反面）：</w:t>
                            </w:r>
                          </w:p>
                        </w:txbxContent>
                      </wps:txbx>
                      <wps:bodyPr upright="1"/>
                    </wps:wsp>
                  </a:graphicData>
                </a:graphic>
              </wp:anchor>
            </w:drawing>
          </mc:Choice>
          <mc:Fallback>
            <w:pict>
              <v:shape id="文本框 26" o:spid="_x0000_s1026" o:spt="202" type="#_x0000_t202" style="position:absolute;left:0pt;margin-left:6.95pt;margin-top:-4.25pt;height:305.15pt;width:496.35pt;z-index:251660288;mso-width-relative:page;mso-height-relative:page;" fillcolor="#FFFFFF" filled="t" stroked="t" coordsize="21600,21600" o:gfxdata="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mGqLXdgAAAAKAQAADwAAAAAA&#10;AAABACAAAAAiAAAAZHJzL2Rvd25yZXYueG1sUEsBAhQAFAAAAAgAh07iQELca5wTAgAARgQAAA4A&#10;AAAAAAAAAQAgAAAAJwEAAGRycy9lMm9Eb2MueG1sUEsFBgAAAAAGAAYAWQEAAKwFAAAAAA==&#10;">
                <v:fill on="t" focussize="0,0"/>
                <v:stroke color="#000000" joinstyle="miter"/>
                <v:imagedata o:title=""/>
                <o:lock v:ext="edit" aspectratio="f"/>
                <v:textbox>
                  <w:txbxContent>
                    <w:p w14:paraId="10D77D37">
                      <w:r>
                        <w:rPr>
                          <w:rFonts w:hint="eastAsia" w:ascii="新宋体" w:hAnsi="新宋体" w:eastAsia="新宋体"/>
                          <w:sz w:val="22"/>
                          <w:szCs w:val="22"/>
                        </w:rPr>
                        <w:t xml:space="preserve">  授权代表身份证（正反面）：</w:t>
                      </w:r>
                    </w:p>
                  </w:txbxContent>
                </v:textbox>
              </v:shape>
            </w:pict>
          </mc:Fallback>
        </mc:AlternateContent>
      </w:r>
    </w:p>
    <w:p w14:paraId="288571F3">
      <w:pPr>
        <w:spacing w:line="460" w:lineRule="exact"/>
        <w:jc w:val="center"/>
        <w:rPr>
          <w:rFonts w:hint="eastAsia" w:ascii="新宋体" w:hAnsi="新宋体" w:eastAsia="新宋体" w:cs="新宋体"/>
          <w:b/>
          <w:bCs/>
          <w:color w:val="auto"/>
          <w:sz w:val="28"/>
          <w:szCs w:val="28"/>
          <w:highlight w:val="none"/>
        </w:rPr>
      </w:pPr>
    </w:p>
    <w:p w14:paraId="689749CE">
      <w:pPr>
        <w:spacing w:line="460" w:lineRule="exact"/>
        <w:jc w:val="center"/>
        <w:rPr>
          <w:rFonts w:hint="eastAsia" w:ascii="新宋体" w:hAnsi="新宋体" w:eastAsia="新宋体" w:cs="新宋体"/>
          <w:b/>
          <w:bCs/>
          <w:color w:val="auto"/>
          <w:sz w:val="28"/>
          <w:szCs w:val="28"/>
          <w:highlight w:val="none"/>
        </w:rPr>
      </w:pPr>
    </w:p>
    <w:p w14:paraId="076B6A74">
      <w:pPr>
        <w:spacing w:line="460" w:lineRule="exact"/>
        <w:jc w:val="center"/>
        <w:rPr>
          <w:rFonts w:hint="eastAsia" w:ascii="新宋体" w:hAnsi="新宋体" w:eastAsia="新宋体" w:cs="新宋体"/>
          <w:b/>
          <w:bCs/>
          <w:color w:val="auto"/>
          <w:sz w:val="28"/>
          <w:szCs w:val="28"/>
          <w:highlight w:val="none"/>
        </w:rPr>
      </w:pPr>
    </w:p>
    <w:p w14:paraId="593F3907">
      <w:pPr>
        <w:spacing w:line="460" w:lineRule="exact"/>
        <w:jc w:val="center"/>
        <w:rPr>
          <w:rFonts w:hint="eastAsia" w:ascii="新宋体" w:hAnsi="新宋体" w:eastAsia="新宋体" w:cs="新宋体"/>
          <w:b/>
          <w:bCs/>
          <w:color w:val="auto"/>
          <w:sz w:val="28"/>
          <w:szCs w:val="28"/>
          <w:highlight w:val="none"/>
        </w:rPr>
      </w:pPr>
    </w:p>
    <w:p w14:paraId="5B5E14D0">
      <w:pPr>
        <w:spacing w:line="460" w:lineRule="exact"/>
        <w:jc w:val="center"/>
        <w:rPr>
          <w:rFonts w:hint="eastAsia" w:ascii="新宋体" w:hAnsi="新宋体" w:eastAsia="新宋体" w:cs="新宋体"/>
          <w:b/>
          <w:bCs/>
          <w:color w:val="auto"/>
          <w:sz w:val="28"/>
          <w:szCs w:val="28"/>
          <w:highlight w:val="none"/>
        </w:rPr>
      </w:pPr>
    </w:p>
    <w:p w14:paraId="380F195D">
      <w:pPr>
        <w:spacing w:line="460" w:lineRule="exact"/>
        <w:jc w:val="center"/>
        <w:rPr>
          <w:rFonts w:hint="eastAsia" w:ascii="新宋体" w:hAnsi="新宋体" w:eastAsia="新宋体" w:cs="新宋体"/>
          <w:b/>
          <w:bCs/>
          <w:color w:val="auto"/>
          <w:sz w:val="28"/>
          <w:szCs w:val="28"/>
          <w:highlight w:val="none"/>
        </w:rPr>
      </w:pPr>
    </w:p>
    <w:p w14:paraId="12F1EC96">
      <w:pPr>
        <w:spacing w:line="460" w:lineRule="exact"/>
        <w:jc w:val="center"/>
        <w:rPr>
          <w:rFonts w:hint="eastAsia" w:ascii="新宋体" w:hAnsi="新宋体" w:eastAsia="新宋体" w:cs="新宋体"/>
          <w:b/>
          <w:bCs/>
          <w:color w:val="auto"/>
          <w:sz w:val="28"/>
          <w:szCs w:val="28"/>
          <w:highlight w:val="none"/>
        </w:rPr>
      </w:pPr>
    </w:p>
    <w:p w14:paraId="7DB63F49">
      <w:pPr>
        <w:spacing w:line="460" w:lineRule="exact"/>
        <w:jc w:val="center"/>
        <w:rPr>
          <w:rFonts w:hint="eastAsia" w:ascii="新宋体" w:hAnsi="新宋体" w:eastAsia="新宋体" w:cs="新宋体"/>
          <w:b/>
          <w:bCs/>
          <w:color w:val="auto"/>
          <w:sz w:val="28"/>
          <w:szCs w:val="28"/>
          <w:highlight w:val="none"/>
        </w:rPr>
      </w:pPr>
    </w:p>
    <w:p w14:paraId="2DBBD17E">
      <w:pPr>
        <w:spacing w:line="460" w:lineRule="exact"/>
        <w:jc w:val="center"/>
        <w:rPr>
          <w:rFonts w:hint="eastAsia" w:ascii="新宋体" w:hAnsi="新宋体" w:eastAsia="新宋体" w:cs="新宋体"/>
          <w:b/>
          <w:bCs/>
          <w:color w:val="auto"/>
          <w:sz w:val="28"/>
          <w:szCs w:val="28"/>
          <w:highlight w:val="none"/>
        </w:rPr>
      </w:pPr>
    </w:p>
    <w:p w14:paraId="5CBCEDE5">
      <w:pPr>
        <w:spacing w:line="460" w:lineRule="exact"/>
        <w:jc w:val="center"/>
        <w:rPr>
          <w:rFonts w:hint="eastAsia" w:ascii="新宋体" w:hAnsi="新宋体" w:eastAsia="新宋体" w:cs="新宋体"/>
          <w:b/>
          <w:bCs/>
          <w:color w:val="auto"/>
          <w:sz w:val="28"/>
          <w:szCs w:val="28"/>
          <w:highlight w:val="none"/>
        </w:rPr>
      </w:pPr>
    </w:p>
    <w:p w14:paraId="3CDCF2F0">
      <w:pPr>
        <w:spacing w:line="460" w:lineRule="exact"/>
        <w:jc w:val="center"/>
        <w:rPr>
          <w:rFonts w:hint="eastAsia" w:ascii="新宋体" w:hAnsi="新宋体" w:eastAsia="新宋体" w:cs="新宋体"/>
          <w:b/>
          <w:bCs/>
          <w:color w:val="auto"/>
          <w:sz w:val="28"/>
          <w:szCs w:val="28"/>
          <w:highlight w:val="none"/>
        </w:rPr>
      </w:pPr>
    </w:p>
    <w:p w14:paraId="792FF19E">
      <w:pPr>
        <w:spacing w:line="460" w:lineRule="exact"/>
        <w:jc w:val="center"/>
        <w:rPr>
          <w:rFonts w:hint="eastAsia" w:ascii="新宋体" w:hAnsi="新宋体" w:eastAsia="新宋体" w:cs="新宋体"/>
          <w:b/>
          <w:bCs/>
          <w:color w:val="auto"/>
          <w:sz w:val="28"/>
          <w:szCs w:val="28"/>
          <w:highlight w:val="none"/>
        </w:rPr>
      </w:pPr>
    </w:p>
    <w:p w14:paraId="7CAFF1F7">
      <w:pPr>
        <w:spacing w:line="460" w:lineRule="exact"/>
        <w:jc w:val="center"/>
        <w:rPr>
          <w:rFonts w:hint="eastAsia" w:ascii="新宋体" w:hAnsi="新宋体" w:eastAsia="新宋体" w:cs="新宋体"/>
          <w:b/>
          <w:bCs/>
          <w:color w:val="auto"/>
          <w:sz w:val="28"/>
          <w:szCs w:val="28"/>
          <w:highlight w:val="none"/>
        </w:rPr>
      </w:pPr>
    </w:p>
    <w:p w14:paraId="50EA1038">
      <w:pPr>
        <w:spacing w:line="460" w:lineRule="exact"/>
        <w:jc w:val="center"/>
        <w:rPr>
          <w:rFonts w:hint="eastAsia" w:ascii="新宋体" w:hAnsi="新宋体" w:eastAsia="新宋体" w:cs="新宋体"/>
          <w:b/>
          <w:bCs/>
          <w:color w:val="auto"/>
          <w:sz w:val="28"/>
          <w:szCs w:val="28"/>
          <w:highlight w:val="none"/>
        </w:rPr>
      </w:pPr>
    </w:p>
    <w:p w14:paraId="1A34CF06">
      <w:pPr>
        <w:spacing w:line="460" w:lineRule="exact"/>
        <w:jc w:val="center"/>
        <w:rPr>
          <w:rFonts w:hint="eastAsia" w:ascii="新宋体" w:hAnsi="新宋体" w:eastAsia="新宋体" w:cs="新宋体"/>
          <w:b/>
          <w:bCs/>
          <w:color w:val="auto"/>
          <w:sz w:val="28"/>
          <w:szCs w:val="28"/>
          <w:highlight w:val="none"/>
        </w:rPr>
      </w:pPr>
    </w:p>
    <w:p w14:paraId="42AEA33B">
      <w:pPr>
        <w:spacing w:line="460" w:lineRule="exact"/>
        <w:jc w:val="center"/>
        <w:outlineLvl w:val="3"/>
        <w:rPr>
          <w:rFonts w:hint="eastAsia" w:ascii="新宋体" w:hAnsi="新宋体" w:eastAsia="新宋体" w:cs="新宋体"/>
          <w:b/>
          <w:bCs/>
          <w:color w:val="auto"/>
          <w:sz w:val="22"/>
          <w:szCs w:val="22"/>
          <w:highlight w:val="none"/>
        </w:rPr>
        <w:sectPr>
          <w:headerReference r:id="rId4" w:type="first"/>
          <w:headerReference r:id="rId3" w:type="default"/>
          <w:footerReference r:id="rId5" w:type="default"/>
          <w:pgSz w:w="11906" w:h="16838"/>
          <w:pgMar w:top="1134" w:right="1134" w:bottom="1134" w:left="1134" w:header="850" w:footer="992" w:gutter="0"/>
          <w:cols w:space="720" w:num="1"/>
          <w:titlePg/>
          <w:docGrid w:type="lines" w:linePitch="312" w:charSpace="0"/>
        </w:sectPr>
      </w:pPr>
    </w:p>
    <w:p w14:paraId="28A410CE">
      <w:pPr>
        <w:spacing w:line="420" w:lineRule="exact"/>
        <w:jc w:val="center"/>
        <w:outlineLvl w:val="3"/>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t>3、供货清单</w:t>
      </w:r>
    </w:p>
    <w:p w14:paraId="3B69C471">
      <w:pPr>
        <w:numPr>
          <w:ilvl w:val="0"/>
          <w:numId w:val="2"/>
        </w:numPr>
        <w:spacing w:line="440" w:lineRule="exact"/>
        <w:jc w:val="left"/>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成套供货清单（或详细配置清单）</w:t>
      </w:r>
    </w:p>
    <w:p w14:paraId="4413EB5A">
      <w:pPr>
        <w:spacing w:line="360" w:lineRule="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项目编号：</w:t>
      </w:r>
    </w:p>
    <w:p w14:paraId="3E3D60B7">
      <w:pPr>
        <w:bidi w:val="0"/>
        <w:rPr>
          <w:rFonts w:hint="eastAsia" w:ascii="新宋体" w:hAnsi="新宋体" w:eastAsia="新宋体" w:cs="新宋体"/>
          <w:color w:val="auto"/>
          <w:highlight w:val="none"/>
        </w:rPr>
      </w:pPr>
      <w:r>
        <w:rPr>
          <w:rFonts w:hint="eastAsia" w:ascii="新宋体" w:hAnsi="新宋体" w:eastAsia="新宋体" w:cs="新宋体"/>
          <w:color w:val="auto"/>
          <w:sz w:val="22"/>
          <w:szCs w:val="22"/>
          <w:highlight w:val="none"/>
        </w:rPr>
        <w:t>项目名称：</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1980"/>
        <w:gridCol w:w="720"/>
        <w:gridCol w:w="900"/>
        <w:gridCol w:w="1440"/>
        <w:gridCol w:w="1440"/>
        <w:gridCol w:w="1080"/>
      </w:tblGrid>
      <w:tr w14:paraId="0E95C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shd w:val="clear" w:color="auto" w:fill="D9D9D9"/>
            <w:noWrap w:val="0"/>
            <w:vAlign w:val="center"/>
          </w:tcPr>
          <w:p w14:paraId="20826AF8">
            <w:pPr>
              <w:spacing w:line="44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序号</w:t>
            </w:r>
          </w:p>
        </w:tc>
        <w:tc>
          <w:tcPr>
            <w:tcW w:w="1260" w:type="dxa"/>
            <w:shd w:val="clear" w:color="auto" w:fill="D9D9D9"/>
            <w:noWrap w:val="0"/>
            <w:vAlign w:val="center"/>
          </w:tcPr>
          <w:p w14:paraId="38D19349">
            <w:pPr>
              <w:spacing w:line="38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名  称</w:t>
            </w:r>
          </w:p>
        </w:tc>
        <w:tc>
          <w:tcPr>
            <w:tcW w:w="1980" w:type="dxa"/>
            <w:shd w:val="clear" w:color="auto" w:fill="D9D9D9"/>
            <w:noWrap w:val="0"/>
            <w:vAlign w:val="center"/>
          </w:tcPr>
          <w:p w14:paraId="3997B1E5">
            <w:pPr>
              <w:spacing w:line="38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品牌、规格型号</w:t>
            </w:r>
          </w:p>
        </w:tc>
        <w:tc>
          <w:tcPr>
            <w:tcW w:w="720" w:type="dxa"/>
            <w:shd w:val="clear" w:color="auto" w:fill="D9D9D9"/>
            <w:noWrap w:val="0"/>
            <w:vAlign w:val="center"/>
          </w:tcPr>
          <w:p w14:paraId="564AB1B5">
            <w:pPr>
              <w:spacing w:line="38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单位</w:t>
            </w:r>
          </w:p>
        </w:tc>
        <w:tc>
          <w:tcPr>
            <w:tcW w:w="900" w:type="dxa"/>
            <w:shd w:val="clear" w:color="auto" w:fill="D9D9D9"/>
            <w:noWrap w:val="0"/>
            <w:vAlign w:val="center"/>
          </w:tcPr>
          <w:p w14:paraId="3616C250">
            <w:pPr>
              <w:spacing w:line="38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数量</w:t>
            </w:r>
          </w:p>
        </w:tc>
        <w:tc>
          <w:tcPr>
            <w:tcW w:w="1440" w:type="dxa"/>
            <w:shd w:val="clear" w:color="auto" w:fill="D9D9D9"/>
            <w:noWrap w:val="0"/>
            <w:vAlign w:val="center"/>
          </w:tcPr>
          <w:p w14:paraId="4FE00026">
            <w:pPr>
              <w:spacing w:line="38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原产地</w:t>
            </w:r>
          </w:p>
        </w:tc>
        <w:tc>
          <w:tcPr>
            <w:tcW w:w="1440" w:type="dxa"/>
            <w:shd w:val="clear" w:color="auto" w:fill="D9D9D9"/>
            <w:noWrap w:val="0"/>
            <w:vAlign w:val="center"/>
          </w:tcPr>
          <w:p w14:paraId="1101D04A">
            <w:pPr>
              <w:spacing w:line="38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制造商</w:t>
            </w:r>
          </w:p>
        </w:tc>
        <w:tc>
          <w:tcPr>
            <w:tcW w:w="1080" w:type="dxa"/>
            <w:shd w:val="clear" w:color="auto" w:fill="D9D9D9"/>
            <w:noWrap w:val="0"/>
            <w:vAlign w:val="center"/>
          </w:tcPr>
          <w:p w14:paraId="6F381610">
            <w:pPr>
              <w:spacing w:line="38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质保期</w:t>
            </w:r>
          </w:p>
        </w:tc>
      </w:tr>
      <w:tr w14:paraId="516C9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noWrap w:val="0"/>
            <w:vAlign w:val="center"/>
          </w:tcPr>
          <w:p w14:paraId="60499C38">
            <w:pPr>
              <w:spacing w:line="380" w:lineRule="exact"/>
              <w:jc w:val="center"/>
              <w:rPr>
                <w:rFonts w:hint="eastAsia" w:ascii="新宋体" w:hAnsi="新宋体" w:eastAsia="新宋体" w:cs="新宋体"/>
                <w:b/>
                <w:bCs/>
                <w:color w:val="auto"/>
                <w:sz w:val="22"/>
                <w:szCs w:val="22"/>
                <w:highlight w:val="none"/>
              </w:rPr>
            </w:pPr>
          </w:p>
        </w:tc>
        <w:tc>
          <w:tcPr>
            <w:tcW w:w="1260" w:type="dxa"/>
            <w:noWrap w:val="0"/>
            <w:vAlign w:val="center"/>
          </w:tcPr>
          <w:p w14:paraId="700863F2">
            <w:pPr>
              <w:spacing w:line="380" w:lineRule="exact"/>
              <w:jc w:val="center"/>
              <w:rPr>
                <w:rFonts w:hint="eastAsia" w:ascii="新宋体" w:hAnsi="新宋体" w:eastAsia="新宋体" w:cs="新宋体"/>
                <w:b/>
                <w:bCs/>
                <w:color w:val="auto"/>
                <w:sz w:val="22"/>
                <w:szCs w:val="22"/>
                <w:highlight w:val="none"/>
              </w:rPr>
            </w:pPr>
          </w:p>
        </w:tc>
        <w:tc>
          <w:tcPr>
            <w:tcW w:w="1980" w:type="dxa"/>
            <w:noWrap w:val="0"/>
            <w:vAlign w:val="center"/>
          </w:tcPr>
          <w:p w14:paraId="7D71DAD2">
            <w:pPr>
              <w:spacing w:line="380" w:lineRule="exact"/>
              <w:jc w:val="center"/>
              <w:rPr>
                <w:rFonts w:hint="eastAsia" w:ascii="新宋体" w:hAnsi="新宋体" w:eastAsia="新宋体" w:cs="新宋体"/>
                <w:b/>
                <w:bCs/>
                <w:color w:val="auto"/>
                <w:sz w:val="22"/>
                <w:szCs w:val="22"/>
                <w:highlight w:val="none"/>
              </w:rPr>
            </w:pPr>
          </w:p>
        </w:tc>
        <w:tc>
          <w:tcPr>
            <w:tcW w:w="720" w:type="dxa"/>
            <w:noWrap w:val="0"/>
            <w:vAlign w:val="center"/>
          </w:tcPr>
          <w:p w14:paraId="50274679">
            <w:pPr>
              <w:spacing w:line="380" w:lineRule="exact"/>
              <w:jc w:val="center"/>
              <w:rPr>
                <w:rFonts w:hint="eastAsia" w:ascii="新宋体" w:hAnsi="新宋体" w:eastAsia="新宋体" w:cs="新宋体"/>
                <w:b/>
                <w:bCs/>
                <w:color w:val="auto"/>
                <w:sz w:val="22"/>
                <w:szCs w:val="22"/>
                <w:highlight w:val="none"/>
              </w:rPr>
            </w:pPr>
          </w:p>
        </w:tc>
        <w:tc>
          <w:tcPr>
            <w:tcW w:w="900" w:type="dxa"/>
            <w:noWrap w:val="0"/>
            <w:vAlign w:val="center"/>
          </w:tcPr>
          <w:p w14:paraId="5FD785C7">
            <w:pPr>
              <w:spacing w:line="380" w:lineRule="exact"/>
              <w:jc w:val="center"/>
              <w:rPr>
                <w:rFonts w:hint="eastAsia" w:ascii="新宋体" w:hAnsi="新宋体" w:eastAsia="新宋体" w:cs="新宋体"/>
                <w:b/>
                <w:bCs/>
                <w:color w:val="auto"/>
                <w:sz w:val="22"/>
                <w:szCs w:val="22"/>
                <w:highlight w:val="none"/>
              </w:rPr>
            </w:pPr>
          </w:p>
        </w:tc>
        <w:tc>
          <w:tcPr>
            <w:tcW w:w="1440" w:type="dxa"/>
            <w:noWrap w:val="0"/>
            <w:vAlign w:val="center"/>
          </w:tcPr>
          <w:p w14:paraId="70D44677">
            <w:pPr>
              <w:spacing w:line="380" w:lineRule="exact"/>
              <w:jc w:val="center"/>
              <w:rPr>
                <w:rFonts w:hint="eastAsia" w:ascii="新宋体" w:hAnsi="新宋体" w:eastAsia="新宋体" w:cs="新宋体"/>
                <w:b/>
                <w:bCs/>
                <w:color w:val="auto"/>
                <w:sz w:val="22"/>
                <w:szCs w:val="22"/>
                <w:highlight w:val="none"/>
              </w:rPr>
            </w:pPr>
          </w:p>
        </w:tc>
        <w:tc>
          <w:tcPr>
            <w:tcW w:w="1440" w:type="dxa"/>
            <w:noWrap w:val="0"/>
            <w:vAlign w:val="center"/>
          </w:tcPr>
          <w:p w14:paraId="40D0547C">
            <w:pPr>
              <w:spacing w:line="380" w:lineRule="exact"/>
              <w:jc w:val="center"/>
              <w:rPr>
                <w:rFonts w:hint="eastAsia" w:ascii="新宋体" w:hAnsi="新宋体" w:eastAsia="新宋体" w:cs="新宋体"/>
                <w:b/>
                <w:bCs/>
                <w:color w:val="auto"/>
                <w:sz w:val="22"/>
                <w:szCs w:val="22"/>
                <w:highlight w:val="none"/>
              </w:rPr>
            </w:pPr>
          </w:p>
        </w:tc>
        <w:tc>
          <w:tcPr>
            <w:tcW w:w="1080" w:type="dxa"/>
            <w:noWrap w:val="0"/>
            <w:vAlign w:val="center"/>
          </w:tcPr>
          <w:p w14:paraId="132561DB">
            <w:pPr>
              <w:spacing w:line="380" w:lineRule="exact"/>
              <w:jc w:val="center"/>
              <w:rPr>
                <w:rFonts w:hint="eastAsia" w:ascii="新宋体" w:hAnsi="新宋体" w:eastAsia="新宋体" w:cs="新宋体"/>
                <w:b/>
                <w:bCs/>
                <w:color w:val="auto"/>
                <w:sz w:val="22"/>
                <w:szCs w:val="22"/>
                <w:highlight w:val="none"/>
              </w:rPr>
            </w:pPr>
          </w:p>
        </w:tc>
      </w:tr>
      <w:tr w14:paraId="7D951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noWrap w:val="0"/>
            <w:vAlign w:val="center"/>
          </w:tcPr>
          <w:p w14:paraId="68C47661">
            <w:pPr>
              <w:spacing w:line="380" w:lineRule="exact"/>
              <w:jc w:val="center"/>
              <w:rPr>
                <w:rFonts w:hint="eastAsia" w:ascii="新宋体" w:hAnsi="新宋体" w:eastAsia="新宋体" w:cs="新宋体"/>
                <w:b/>
                <w:bCs/>
                <w:color w:val="auto"/>
                <w:sz w:val="22"/>
                <w:szCs w:val="22"/>
                <w:highlight w:val="none"/>
              </w:rPr>
            </w:pPr>
          </w:p>
        </w:tc>
        <w:tc>
          <w:tcPr>
            <w:tcW w:w="1260" w:type="dxa"/>
            <w:noWrap w:val="0"/>
            <w:vAlign w:val="center"/>
          </w:tcPr>
          <w:p w14:paraId="24BE00F2">
            <w:pPr>
              <w:spacing w:line="380" w:lineRule="exact"/>
              <w:jc w:val="center"/>
              <w:rPr>
                <w:rFonts w:hint="eastAsia" w:ascii="新宋体" w:hAnsi="新宋体" w:eastAsia="新宋体" w:cs="新宋体"/>
                <w:b/>
                <w:bCs/>
                <w:color w:val="auto"/>
                <w:sz w:val="22"/>
                <w:szCs w:val="22"/>
                <w:highlight w:val="none"/>
              </w:rPr>
            </w:pPr>
          </w:p>
        </w:tc>
        <w:tc>
          <w:tcPr>
            <w:tcW w:w="1980" w:type="dxa"/>
            <w:noWrap w:val="0"/>
            <w:vAlign w:val="center"/>
          </w:tcPr>
          <w:p w14:paraId="4EEDFDE3">
            <w:pPr>
              <w:spacing w:line="380" w:lineRule="exact"/>
              <w:jc w:val="center"/>
              <w:rPr>
                <w:rFonts w:hint="eastAsia" w:ascii="新宋体" w:hAnsi="新宋体" w:eastAsia="新宋体" w:cs="新宋体"/>
                <w:b/>
                <w:bCs/>
                <w:color w:val="auto"/>
                <w:sz w:val="22"/>
                <w:szCs w:val="22"/>
                <w:highlight w:val="none"/>
              </w:rPr>
            </w:pPr>
          </w:p>
        </w:tc>
        <w:tc>
          <w:tcPr>
            <w:tcW w:w="720" w:type="dxa"/>
            <w:noWrap w:val="0"/>
            <w:vAlign w:val="center"/>
          </w:tcPr>
          <w:p w14:paraId="5374160B">
            <w:pPr>
              <w:spacing w:line="380" w:lineRule="exact"/>
              <w:jc w:val="center"/>
              <w:rPr>
                <w:rFonts w:hint="eastAsia" w:ascii="新宋体" w:hAnsi="新宋体" w:eastAsia="新宋体" w:cs="新宋体"/>
                <w:b/>
                <w:bCs/>
                <w:color w:val="auto"/>
                <w:sz w:val="22"/>
                <w:szCs w:val="22"/>
                <w:highlight w:val="none"/>
              </w:rPr>
            </w:pPr>
          </w:p>
        </w:tc>
        <w:tc>
          <w:tcPr>
            <w:tcW w:w="900" w:type="dxa"/>
            <w:noWrap w:val="0"/>
            <w:vAlign w:val="center"/>
          </w:tcPr>
          <w:p w14:paraId="78E6DCE4">
            <w:pPr>
              <w:spacing w:line="380" w:lineRule="exact"/>
              <w:jc w:val="center"/>
              <w:rPr>
                <w:rFonts w:hint="eastAsia" w:ascii="新宋体" w:hAnsi="新宋体" w:eastAsia="新宋体" w:cs="新宋体"/>
                <w:b/>
                <w:bCs/>
                <w:color w:val="auto"/>
                <w:sz w:val="22"/>
                <w:szCs w:val="22"/>
                <w:highlight w:val="none"/>
              </w:rPr>
            </w:pPr>
          </w:p>
        </w:tc>
        <w:tc>
          <w:tcPr>
            <w:tcW w:w="1440" w:type="dxa"/>
            <w:noWrap w:val="0"/>
            <w:vAlign w:val="center"/>
          </w:tcPr>
          <w:p w14:paraId="525AE69A">
            <w:pPr>
              <w:spacing w:line="380" w:lineRule="exact"/>
              <w:jc w:val="center"/>
              <w:rPr>
                <w:rFonts w:hint="eastAsia" w:ascii="新宋体" w:hAnsi="新宋体" w:eastAsia="新宋体" w:cs="新宋体"/>
                <w:b/>
                <w:bCs/>
                <w:color w:val="auto"/>
                <w:sz w:val="22"/>
                <w:szCs w:val="22"/>
                <w:highlight w:val="none"/>
              </w:rPr>
            </w:pPr>
          </w:p>
        </w:tc>
        <w:tc>
          <w:tcPr>
            <w:tcW w:w="1440" w:type="dxa"/>
            <w:noWrap w:val="0"/>
            <w:vAlign w:val="center"/>
          </w:tcPr>
          <w:p w14:paraId="7298A1F3">
            <w:pPr>
              <w:spacing w:line="380" w:lineRule="exact"/>
              <w:jc w:val="center"/>
              <w:rPr>
                <w:rFonts w:hint="eastAsia" w:ascii="新宋体" w:hAnsi="新宋体" w:eastAsia="新宋体" w:cs="新宋体"/>
                <w:b/>
                <w:bCs/>
                <w:color w:val="auto"/>
                <w:sz w:val="22"/>
                <w:szCs w:val="22"/>
                <w:highlight w:val="none"/>
              </w:rPr>
            </w:pPr>
          </w:p>
        </w:tc>
        <w:tc>
          <w:tcPr>
            <w:tcW w:w="1080" w:type="dxa"/>
            <w:noWrap w:val="0"/>
            <w:vAlign w:val="center"/>
          </w:tcPr>
          <w:p w14:paraId="78F45298">
            <w:pPr>
              <w:spacing w:line="380" w:lineRule="exact"/>
              <w:jc w:val="center"/>
              <w:rPr>
                <w:rFonts w:hint="eastAsia" w:ascii="新宋体" w:hAnsi="新宋体" w:eastAsia="新宋体" w:cs="新宋体"/>
                <w:b/>
                <w:bCs/>
                <w:color w:val="auto"/>
                <w:sz w:val="22"/>
                <w:szCs w:val="22"/>
                <w:highlight w:val="none"/>
              </w:rPr>
            </w:pPr>
          </w:p>
        </w:tc>
      </w:tr>
      <w:tr w14:paraId="28DF6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noWrap w:val="0"/>
            <w:vAlign w:val="center"/>
          </w:tcPr>
          <w:p w14:paraId="16BBB443">
            <w:pPr>
              <w:spacing w:line="380" w:lineRule="exact"/>
              <w:jc w:val="center"/>
              <w:rPr>
                <w:rFonts w:hint="eastAsia" w:ascii="新宋体" w:hAnsi="新宋体" w:eastAsia="新宋体" w:cs="新宋体"/>
                <w:b/>
                <w:bCs/>
                <w:color w:val="auto"/>
                <w:sz w:val="22"/>
                <w:szCs w:val="22"/>
                <w:highlight w:val="none"/>
              </w:rPr>
            </w:pPr>
          </w:p>
        </w:tc>
        <w:tc>
          <w:tcPr>
            <w:tcW w:w="1260" w:type="dxa"/>
            <w:noWrap w:val="0"/>
            <w:vAlign w:val="center"/>
          </w:tcPr>
          <w:p w14:paraId="725FC5CF">
            <w:pPr>
              <w:spacing w:line="380" w:lineRule="exact"/>
              <w:jc w:val="center"/>
              <w:rPr>
                <w:rFonts w:hint="eastAsia" w:ascii="新宋体" w:hAnsi="新宋体" w:eastAsia="新宋体" w:cs="新宋体"/>
                <w:b/>
                <w:bCs/>
                <w:color w:val="auto"/>
                <w:sz w:val="22"/>
                <w:szCs w:val="22"/>
                <w:highlight w:val="none"/>
              </w:rPr>
            </w:pPr>
          </w:p>
        </w:tc>
        <w:tc>
          <w:tcPr>
            <w:tcW w:w="1980" w:type="dxa"/>
            <w:noWrap w:val="0"/>
            <w:vAlign w:val="center"/>
          </w:tcPr>
          <w:p w14:paraId="3C424509">
            <w:pPr>
              <w:spacing w:line="380" w:lineRule="exact"/>
              <w:jc w:val="center"/>
              <w:rPr>
                <w:rFonts w:hint="eastAsia" w:ascii="新宋体" w:hAnsi="新宋体" w:eastAsia="新宋体" w:cs="新宋体"/>
                <w:b/>
                <w:bCs/>
                <w:color w:val="auto"/>
                <w:sz w:val="22"/>
                <w:szCs w:val="22"/>
                <w:highlight w:val="none"/>
              </w:rPr>
            </w:pPr>
          </w:p>
        </w:tc>
        <w:tc>
          <w:tcPr>
            <w:tcW w:w="720" w:type="dxa"/>
            <w:noWrap w:val="0"/>
            <w:vAlign w:val="center"/>
          </w:tcPr>
          <w:p w14:paraId="3C086DDB">
            <w:pPr>
              <w:spacing w:line="380" w:lineRule="exact"/>
              <w:jc w:val="center"/>
              <w:rPr>
                <w:rFonts w:hint="eastAsia" w:ascii="新宋体" w:hAnsi="新宋体" w:eastAsia="新宋体" w:cs="新宋体"/>
                <w:b/>
                <w:bCs/>
                <w:color w:val="auto"/>
                <w:sz w:val="22"/>
                <w:szCs w:val="22"/>
                <w:highlight w:val="none"/>
              </w:rPr>
            </w:pPr>
          </w:p>
        </w:tc>
        <w:tc>
          <w:tcPr>
            <w:tcW w:w="900" w:type="dxa"/>
            <w:noWrap w:val="0"/>
            <w:vAlign w:val="center"/>
          </w:tcPr>
          <w:p w14:paraId="2B16CBF5">
            <w:pPr>
              <w:spacing w:line="380" w:lineRule="exact"/>
              <w:jc w:val="center"/>
              <w:rPr>
                <w:rFonts w:hint="eastAsia" w:ascii="新宋体" w:hAnsi="新宋体" w:eastAsia="新宋体" w:cs="新宋体"/>
                <w:b/>
                <w:bCs/>
                <w:color w:val="auto"/>
                <w:sz w:val="22"/>
                <w:szCs w:val="22"/>
                <w:highlight w:val="none"/>
              </w:rPr>
            </w:pPr>
          </w:p>
        </w:tc>
        <w:tc>
          <w:tcPr>
            <w:tcW w:w="1440" w:type="dxa"/>
            <w:noWrap w:val="0"/>
            <w:vAlign w:val="center"/>
          </w:tcPr>
          <w:p w14:paraId="35E82F24">
            <w:pPr>
              <w:spacing w:line="380" w:lineRule="exact"/>
              <w:jc w:val="center"/>
              <w:rPr>
                <w:rFonts w:hint="eastAsia" w:ascii="新宋体" w:hAnsi="新宋体" w:eastAsia="新宋体" w:cs="新宋体"/>
                <w:b/>
                <w:bCs/>
                <w:color w:val="auto"/>
                <w:sz w:val="22"/>
                <w:szCs w:val="22"/>
                <w:highlight w:val="none"/>
              </w:rPr>
            </w:pPr>
          </w:p>
        </w:tc>
        <w:tc>
          <w:tcPr>
            <w:tcW w:w="1440" w:type="dxa"/>
            <w:noWrap w:val="0"/>
            <w:vAlign w:val="center"/>
          </w:tcPr>
          <w:p w14:paraId="1761D542">
            <w:pPr>
              <w:spacing w:line="380" w:lineRule="exact"/>
              <w:jc w:val="center"/>
              <w:rPr>
                <w:rFonts w:hint="eastAsia" w:ascii="新宋体" w:hAnsi="新宋体" w:eastAsia="新宋体" w:cs="新宋体"/>
                <w:b/>
                <w:bCs/>
                <w:color w:val="auto"/>
                <w:sz w:val="22"/>
                <w:szCs w:val="22"/>
                <w:highlight w:val="none"/>
              </w:rPr>
            </w:pPr>
          </w:p>
        </w:tc>
        <w:tc>
          <w:tcPr>
            <w:tcW w:w="1080" w:type="dxa"/>
            <w:noWrap w:val="0"/>
            <w:vAlign w:val="center"/>
          </w:tcPr>
          <w:p w14:paraId="49616D5C">
            <w:pPr>
              <w:spacing w:line="380" w:lineRule="exact"/>
              <w:jc w:val="center"/>
              <w:rPr>
                <w:rFonts w:hint="eastAsia" w:ascii="新宋体" w:hAnsi="新宋体" w:eastAsia="新宋体" w:cs="新宋体"/>
                <w:b/>
                <w:bCs/>
                <w:color w:val="auto"/>
                <w:sz w:val="22"/>
                <w:szCs w:val="22"/>
                <w:highlight w:val="none"/>
              </w:rPr>
            </w:pPr>
          </w:p>
        </w:tc>
      </w:tr>
      <w:tr w14:paraId="4E849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noWrap w:val="0"/>
            <w:vAlign w:val="center"/>
          </w:tcPr>
          <w:p w14:paraId="1F3AA338">
            <w:pPr>
              <w:spacing w:line="380" w:lineRule="exact"/>
              <w:jc w:val="center"/>
              <w:rPr>
                <w:rFonts w:hint="eastAsia" w:ascii="新宋体" w:hAnsi="新宋体" w:eastAsia="新宋体" w:cs="新宋体"/>
                <w:b/>
                <w:bCs/>
                <w:color w:val="auto"/>
                <w:sz w:val="22"/>
                <w:szCs w:val="22"/>
                <w:highlight w:val="none"/>
              </w:rPr>
            </w:pPr>
          </w:p>
        </w:tc>
        <w:tc>
          <w:tcPr>
            <w:tcW w:w="1260" w:type="dxa"/>
            <w:noWrap w:val="0"/>
            <w:vAlign w:val="center"/>
          </w:tcPr>
          <w:p w14:paraId="737EA5F0">
            <w:pPr>
              <w:spacing w:line="380" w:lineRule="exact"/>
              <w:jc w:val="center"/>
              <w:rPr>
                <w:rFonts w:hint="eastAsia" w:ascii="新宋体" w:hAnsi="新宋体" w:eastAsia="新宋体" w:cs="新宋体"/>
                <w:b/>
                <w:bCs/>
                <w:color w:val="auto"/>
                <w:sz w:val="22"/>
                <w:szCs w:val="22"/>
                <w:highlight w:val="none"/>
              </w:rPr>
            </w:pPr>
          </w:p>
        </w:tc>
        <w:tc>
          <w:tcPr>
            <w:tcW w:w="1980" w:type="dxa"/>
            <w:noWrap w:val="0"/>
            <w:vAlign w:val="center"/>
          </w:tcPr>
          <w:p w14:paraId="54BF3CE1">
            <w:pPr>
              <w:spacing w:line="380" w:lineRule="exact"/>
              <w:jc w:val="center"/>
              <w:rPr>
                <w:rFonts w:hint="eastAsia" w:ascii="新宋体" w:hAnsi="新宋体" w:eastAsia="新宋体" w:cs="新宋体"/>
                <w:b/>
                <w:bCs/>
                <w:color w:val="auto"/>
                <w:sz w:val="22"/>
                <w:szCs w:val="22"/>
                <w:highlight w:val="none"/>
              </w:rPr>
            </w:pPr>
          </w:p>
        </w:tc>
        <w:tc>
          <w:tcPr>
            <w:tcW w:w="720" w:type="dxa"/>
            <w:noWrap w:val="0"/>
            <w:vAlign w:val="center"/>
          </w:tcPr>
          <w:p w14:paraId="522C2B99">
            <w:pPr>
              <w:spacing w:line="380" w:lineRule="exact"/>
              <w:jc w:val="center"/>
              <w:rPr>
                <w:rFonts w:hint="eastAsia" w:ascii="新宋体" w:hAnsi="新宋体" w:eastAsia="新宋体" w:cs="新宋体"/>
                <w:b/>
                <w:bCs/>
                <w:color w:val="auto"/>
                <w:sz w:val="22"/>
                <w:szCs w:val="22"/>
                <w:highlight w:val="none"/>
              </w:rPr>
            </w:pPr>
          </w:p>
        </w:tc>
        <w:tc>
          <w:tcPr>
            <w:tcW w:w="900" w:type="dxa"/>
            <w:noWrap w:val="0"/>
            <w:vAlign w:val="center"/>
          </w:tcPr>
          <w:p w14:paraId="560182B9">
            <w:pPr>
              <w:spacing w:line="380" w:lineRule="exact"/>
              <w:jc w:val="center"/>
              <w:rPr>
                <w:rFonts w:hint="eastAsia" w:ascii="新宋体" w:hAnsi="新宋体" w:eastAsia="新宋体" w:cs="新宋体"/>
                <w:b/>
                <w:bCs/>
                <w:color w:val="auto"/>
                <w:sz w:val="22"/>
                <w:szCs w:val="22"/>
                <w:highlight w:val="none"/>
              </w:rPr>
            </w:pPr>
          </w:p>
        </w:tc>
        <w:tc>
          <w:tcPr>
            <w:tcW w:w="1440" w:type="dxa"/>
            <w:noWrap w:val="0"/>
            <w:vAlign w:val="center"/>
          </w:tcPr>
          <w:p w14:paraId="19F34C56">
            <w:pPr>
              <w:spacing w:line="380" w:lineRule="exact"/>
              <w:jc w:val="center"/>
              <w:rPr>
                <w:rFonts w:hint="eastAsia" w:ascii="新宋体" w:hAnsi="新宋体" w:eastAsia="新宋体" w:cs="新宋体"/>
                <w:b/>
                <w:bCs/>
                <w:color w:val="auto"/>
                <w:sz w:val="22"/>
                <w:szCs w:val="22"/>
                <w:highlight w:val="none"/>
              </w:rPr>
            </w:pPr>
          </w:p>
        </w:tc>
        <w:tc>
          <w:tcPr>
            <w:tcW w:w="1440" w:type="dxa"/>
            <w:noWrap w:val="0"/>
            <w:vAlign w:val="center"/>
          </w:tcPr>
          <w:p w14:paraId="214EAF0B">
            <w:pPr>
              <w:spacing w:line="380" w:lineRule="exact"/>
              <w:jc w:val="center"/>
              <w:rPr>
                <w:rFonts w:hint="eastAsia" w:ascii="新宋体" w:hAnsi="新宋体" w:eastAsia="新宋体" w:cs="新宋体"/>
                <w:b/>
                <w:bCs/>
                <w:color w:val="auto"/>
                <w:sz w:val="22"/>
                <w:szCs w:val="22"/>
                <w:highlight w:val="none"/>
              </w:rPr>
            </w:pPr>
          </w:p>
        </w:tc>
        <w:tc>
          <w:tcPr>
            <w:tcW w:w="1080" w:type="dxa"/>
            <w:noWrap w:val="0"/>
            <w:vAlign w:val="center"/>
          </w:tcPr>
          <w:p w14:paraId="12B9E51C">
            <w:pPr>
              <w:spacing w:line="380" w:lineRule="exact"/>
              <w:jc w:val="center"/>
              <w:rPr>
                <w:rFonts w:hint="eastAsia" w:ascii="新宋体" w:hAnsi="新宋体" w:eastAsia="新宋体" w:cs="新宋体"/>
                <w:b/>
                <w:bCs/>
                <w:color w:val="auto"/>
                <w:sz w:val="22"/>
                <w:szCs w:val="22"/>
                <w:highlight w:val="none"/>
              </w:rPr>
            </w:pPr>
          </w:p>
        </w:tc>
      </w:tr>
      <w:tr w14:paraId="7E44F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noWrap w:val="0"/>
            <w:vAlign w:val="center"/>
          </w:tcPr>
          <w:p w14:paraId="1173A02F">
            <w:pPr>
              <w:spacing w:line="380" w:lineRule="exact"/>
              <w:jc w:val="center"/>
              <w:rPr>
                <w:rFonts w:hint="eastAsia" w:ascii="新宋体" w:hAnsi="新宋体" w:eastAsia="新宋体" w:cs="新宋体"/>
                <w:b/>
                <w:bCs/>
                <w:color w:val="auto"/>
                <w:sz w:val="22"/>
                <w:szCs w:val="22"/>
                <w:highlight w:val="none"/>
              </w:rPr>
            </w:pPr>
          </w:p>
        </w:tc>
        <w:tc>
          <w:tcPr>
            <w:tcW w:w="1260" w:type="dxa"/>
            <w:noWrap w:val="0"/>
            <w:vAlign w:val="center"/>
          </w:tcPr>
          <w:p w14:paraId="064E2CC9">
            <w:pPr>
              <w:spacing w:line="380" w:lineRule="exact"/>
              <w:jc w:val="center"/>
              <w:rPr>
                <w:rFonts w:hint="eastAsia" w:ascii="新宋体" w:hAnsi="新宋体" w:eastAsia="新宋体" w:cs="新宋体"/>
                <w:b/>
                <w:bCs/>
                <w:color w:val="auto"/>
                <w:sz w:val="22"/>
                <w:szCs w:val="22"/>
                <w:highlight w:val="none"/>
              </w:rPr>
            </w:pPr>
          </w:p>
        </w:tc>
        <w:tc>
          <w:tcPr>
            <w:tcW w:w="1980" w:type="dxa"/>
            <w:noWrap w:val="0"/>
            <w:vAlign w:val="center"/>
          </w:tcPr>
          <w:p w14:paraId="60C69A77">
            <w:pPr>
              <w:spacing w:line="380" w:lineRule="exact"/>
              <w:jc w:val="center"/>
              <w:rPr>
                <w:rFonts w:hint="eastAsia" w:ascii="新宋体" w:hAnsi="新宋体" w:eastAsia="新宋体" w:cs="新宋体"/>
                <w:b/>
                <w:bCs/>
                <w:color w:val="auto"/>
                <w:sz w:val="22"/>
                <w:szCs w:val="22"/>
                <w:highlight w:val="none"/>
              </w:rPr>
            </w:pPr>
          </w:p>
        </w:tc>
        <w:tc>
          <w:tcPr>
            <w:tcW w:w="720" w:type="dxa"/>
            <w:noWrap w:val="0"/>
            <w:vAlign w:val="center"/>
          </w:tcPr>
          <w:p w14:paraId="57FBDAD6">
            <w:pPr>
              <w:spacing w:line="380" w:lineRule="exact"/>
              <w:jc w:val="center"/>
              <w:rPr>
                <w:rFonts w:hint="eastAsia" w:ascii="新宋体" w:hAnsi="新宋体" w:eastAsia="新宋体" w:cs="新宋体"/>
                <w:b/>
                <w:bCs/>
                <w:color w:val="auto"/>
                <w:sz w:val="22"/>
                <w:szCs w:val="22"/>
                <w:highlight w:val="none"/>
              </w:rPr>
            </w:pPr>
          </w:p>
        </w:tc>
        <w:tc>
          <w:tcPr>
            <w:tcW w:w="900" w:type="dxa"/>
            <w:noWrap w:val="0"/>
            <w:vAlign w:val="center"/>
          </w:tcPr>
          <w:p w14:paraId="5B0B18B2">
            <w:pPr>
              <w:spacing w:line="380" w:lineRule="exact"/>
              <w:jc w:val="center"/>
              <w:rPr>
                <w:rFonts w:hint="eastAsia" w:ascii="新宋体" w:hAnsi="新宋体" w:eastAsia="新宋体" w:cs="新宋体"/>
                <w:b/>
                <w:bCs/>
                <w:color w:val="auto"/>
                <w:sz w:val="22"/>
                <w:szCs w:val="22"/>
                <w:highlight w:val="none"/>
              </w:rPr>
            </w:pPr>
          </w:p>
        </w:tc>
        <w:tc>
          <w:tcPr>
            <w:tcW w:w="1440" w:type="dxa"/>
            <w:noWrap w:val="0"/>
            <w:vAlign w:val="center"/>
          </w:tcPr>
          <w:p w14:paraId="245D3F85">
            <w:pPr>
              <w:spacing w:line="380" w:lineRule="exact"/>
              <w:jc w:val="center"/>
              <w:rPr>
                <w:rFonts w:hint="eastAsia" w:ascii="新宋体" w:hAnsi="新宋体" w:eastAsia="新宋体" w:cs="新宋体"/>
                <w:b/>
                <w:bCs/>
                <w:color w:val="auto"/>
                <w:sz w:val="22"/>
                <w:szCs w:val="22"/>
                <w:highlight w:val="none"/>
              </w:rPr>
            </w:pPr>
          </w:p>
        </w:tc>
        <w:tc>
          <w:tcPr>
            <w:tcW w:w="1440" w:type="dxa"/>
            <w:noWrap w:val="0"/>
            <w:vAlign w:val="center"/>
          </w:tcPr>
          <w:p w14:paraId="68F3C4BD">
            <w:pPr>
              <w:spacing w:line="380" w:lineRule="exact"/>
              <w:jc w:val="center"/>
              <w:rPr>
                <w:rFonts w:hint="eastAsia" w:ascii="新宋体" w:hAnsi="新宋体" w:eastAsia="新宋体" w:cs="新宋体"/>
                <w:b/>
                <w:bCs/>
                <w:color w:val="auto"/>
                <w:sz w:val="22"/>
                <w:szCs w:val="22"/>
                <w:highlight w:val="none"/>
              </w:rPr>
            </w:pPr>
          </w:p>
        </w:tc>
        <w:tc>
          <w:tcPr>
            <w:tcW w:w="1080" w:type="dxa"/>
            <w:noWrap w:val="0"/>
            <w:vAlign w:val="center"/>
          </w:tcPr>
          <w:p w14:paraId="70D60CBC">
            <w:pPr>
              <w:spacing w:line="380" w:lineRule="exact"/>
              <w:jc w:val="center"/>
              <w:rPr>
                <w:rFonts w:hint="eastAsia" w:ascii="新宋体" w:hAnsi="新宋体" w:eastAsia="新宋体" w:cs="新宋体"/>
                <w:b/>
                <w:bCs/>
                <w:color w:val="auto"/>
                <w:sz w:val="22"/>
                <w:szCs w:val="22"/>
                <w:highlight w:val="none"/>
              </w:rPr>
            </w:pPr>
          </w:p>
        </w:tc>
      </w:tr>
      <w:tr w14:paraId="64163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noWrap w:val="0"/>
            <w:vAlign w:val="center"/>
          </w:tcPr>
          <w:p w14:paraId="020D22D3">
            <w:pPr>
              <w:spacing w:line="380" w:lineRule="exact"/>
              <w:jc w:val="center"/>
              <w:rPr>
                <w:rFonts w:hint="eastAsia" w:ascii="新宋体" w:hAnsi="新宋体" w:eastAsia="新宋体" w:cs="新宋体"/>
                <w:b/>
                <w:bCs/>
                <w:color w:val="auto"/>
                <w:sz w:val="22"/>
                <w:szCs w:val="22"/>
                <w:highlight w:val="none"/>
              </w:rPr>
            </w:pPr>
          </w:p>
        </w:tc>
        <w:tc>
          <w:tcPr>
            <w:tcW w:w="1260" w:type="dxa"/>
            <w:noWrap w:val="0"/>
            <w:vAlign w:val="center"/>
          </w:tcPr>
          <w:p w14:paraId="5A61C172">
            <w:pPr>
              <w:spacing w:line="380" w:lineRule="exact"/>
              <w:jc w:val="center"/>
              <w:rPr>
                <w:rFonts w:hint="eastAsia" w:ascii="新宋体" w:hAnsi="新宋体" w:eastAsia="新宋体" w:cs="新宋体"/>
                <w:b/>
                <w:bCs/>
                <w:color w:val="auto"/>
                <w:sz w:val="22"/>
                <w:szCs w:val="22"/>
                <w:highlight w:val="none"/>
              </w:rPr>
            </w:pPr>
          </w:p>
        </w:tc>
        <w:tc>
          <w:tcPr>
            <w:tcW w:w="1980" w:type="dxa"/>
            <w:noWrap w:val="0"/>
            <w:vAlign w:val="center"/>
          </w:tcPr>
          <w:p w14:paraId="69D382E4">
            <w:pPr>
              <w:spacing w:line="380" w:lineRule="exact"/>
              <w:jc w:val="center"/>
              <w:rPr>
                <w:rFonts w:hint="eastAsia" w:ascii="新宋体" w:hAnsi="新宋体" w:eastAsia="新宋体" w:cs="新宋体"/>
                <w:b/>
                <w:bCs/>
                <w:color w:val="auto"/>
                <w:sz w:val="22"/>
                <w:szCs w:val="22"/>
                <w:highlight w:val="none"/>
              </w:rPr>
            </w:pPr>
          </w:p>
        </w:tc>
        <w:tc>
          <w:tcPr>
            <w:tcW w:w="720" w:type="dxa"/>
            <w:noWrap w:val="0"/>
            <w:vAlign w:val="center"/>
          </w:tcPr>
          <w:p w14:paraId="77EB7D04">
            <w:pPr>
              <w:spacing w:line="380" w:lineRule="exact"/>
              <w:jc w:val="center"/>
              <w:rPr>
                <w:rFonts w:hint="eastAsia" w:ascii="新宋体" w:hAnsi="新宋体" w:eastAsia="新宋体" w:cs="新宋体"/>
                <w:b/>
                <w:bCs/>
                <w:color w:val="auto"/>
                <w:sz w:val="22"/>
                <w:szCs w:val="22"/>
                <w:highlight w:val="none"/>
              </w:rPr>
            </w:pPr>
          </w:p>
        </w:tc>
        <w:tc>
          <w:tcPr>
            <w:tcW w:w="900" w:type="dxa"/>
            <w:noWrap w:val="0"/>
            <w:vAlign w:val="center"/>
          </w:tcPr>
          <w:p w14:paraId="30CB97A6">
            <w:pPr>
              <w:spacing w:line="380" w:lineRule="exact"/>
              <w:jc w:val="center"/>
              <w:rPr>
                <w:rFonts w:hint="eastAsia" w:ascii="新宋体" w:hAnsi="新宋体" w:eastAsia="新宋体" w:cs="新宋体"/>
                <w:b/>
                <w:bCs/>
                <w:color w:val="auto"/>
                <w:sz w:val="22"/>
                <w:szCs w:val="22"/>
                <w:highlight w:val="none"/>
              </w:rPr>
            </w:pPr>
          </w:p>
        </w:tc>
        <w:tc>
          <w:tcPr>
            <w:tcW w:w="1440" w:type="dxa"/>
            <w:noWrap w:val="0"/>
            <w:vAlign w:val="center"/>
          </w:tcPr>
          <w:p w14:paraId="78F49EE5">
            <w:pPr>
              <w:spacing w:line="380" w:lineRule="exact"/>
              <w:jc w:val="center"/>
              <w:rPr>
                <w:rFonts w:hint="eastAsia" w:ascii="新宋体" w:hAnsi="新宋体" w:eastAsia="新宋体" w:cs="新宋体"/>
                <w:b/>
                <w:bCs/>
                <w:color w:val="auto"/>
                <w:sz w:val="22"/>
                <w:szCs w:val="22"/>
                <w:highlight w:val="none"/>
              </w:rPr>
            </w:pPr>
          </w:p>
        </w:tc>
        <w:tc>
          <w:tcPr>
            <w:tcW w:w="1440" w:type="dxa"/>
            <w:noWrap w:val="0"/>
            <w:vAlign w:val="center"/>
          </w:tcPr>
          <w:p w14:paraId="6ECBE637">
            <w:pPr>
              <w:spacing w:line="380" w:lineRule="exact"/>
              <w:jc w:val="center"/>
              <w:rPr>
                <w:rFonts w:hint="eastAsia" w:ascii="新宋体" w:hAnsi="新宋体" w:eastAsia="新宋体" w:cs="新宋体"/>
                <w:b/>
                <w:bCs/>
                <w:color w:val="auto"/>
                <w:sz w:val="22"/>
                <w:szCs w:val="22"/>
                <w:highlight w:val="none"/>
              </w:rPr>
            </w:pPr>
          </w:p>
        </w:tc>
        <w:tc>
          <w:tcPr>
            <w:tcW w:w="1080" w:type="dxa"/>
            <w:noWrap w:val="0"/>
            <w:vAlign w:val="center"/>
          </w:tcPr>
          <w:p w14:paraId="6F3C6EDC">
            <w:pPr>
              <w:spacing w:line="380" w:lineRule="exact"/>
              <w:jc w:val="center"/>
              <w:rPr>
                <w:rFonts w:hint="eastAsia" w:ascii="新宋体" w:hAnsi="新宋体" w:eastAsia="新宋体" w:cs="新宋体"/>
                <w:b/>
                <w:bCs/>
                <w:color w:val="auto"/>
                <w:sz w:val="22"/>
                <w:szCs w:val="22"/>
                <w:highlight w:val="none"/>
              </w:rPr>
            </w:pPr>
          </w:p>
        </w:tc>
      </w:tr>
      <w:tr w14:paraId="464DC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noWrap w:val="0"/>
            <w:vAlign w:val="center"/>
          </w:tcPr>
          <w:p w14:paraId="695C7620">
            <w:pPr>
              <w:spacing w:line="380" w:lineRule="exact"/>
              <w:jc w:val="center"/>
              <w:rPr>
                <w:rFonts w:hint="eastAsia" w:ascii="新宋体" w:hAnsi="新宋体" w:eastAsia="新宋体" w:cs="新宋体"/>
                <w:b/>
                <w:bCs/>
                <w:color w:val="auto"/>
                <w:sz w:val="22"/>
                <w:szCs w:val="22"/>
                <w:highlight w:val="none"/>
              </w:rPr>
            </w:pPr>
          </w:p>
        </w:tc>
        <w:tc>
          <w:tcPr>
            <w:tcW w:w="1260" w:type="dxa"/>
            <w:noWrap w:val="0"/>
            <w:vAlign w:val="center"/>
          </w:tcPr>
          <w:p w14:paraId="393D648D">
            <w:pPr>
              <w:spacing w:line="380" w:lineRule="exact"/>
              <w:jc w:val="center"/>
              <w:rPr>
                <w:rFonts w:hint="eastAsia" w:ascii="新宋体" w:hAnsi="新宋体" w:eastAsia="新宋体" w:cs="新宋体"/>
                <w:b/>
                <w:bCs/>
                <w:color w:val="auto"/>
                <w:sz w:val="22"/>
                <w:szCs w:val="22"/>
                <w:highlight w:val="none"/>
              </w:rPr>
            </w:pPr>
          </w:p>
        </w:tc>
        <w:tc>
          <w:tcPr>
            <w:tcW w:w="1980" w:type="dxa"/>
            <w:noWrap w:val="0"/>
            <w:vAlign w:val="center"/>
          </w:tcPr>
          <w:p w14:paraId="7E21515E">
            <w:pPr>
              <w:spacing w:line="380" w:lineRule="exact"/>
              <w:jc w:val="center"/>
              <w:rPr>
                <w:rFonts w:hint="eastAsia" w:ascii="新宋体" w:hAnsi="新宋体" w:eastAsia="新宋体" w:cs="新宋体"/>
                <w:b/>
                <w:bCs/>
                <w:color w:val="auto"/>
                <w:sz w:val="22"/>
                <w:szCs w:val="22"/>
                <w:highlight w:val="none"/>
              </w:rPr>
            </w:pPr>
          </w:p>
        </w:tc>
        <w:tc>
          <w:tcPr>
            <w:tcW w:w="720" w:type="dxa"/>
            <w:noWrap w:val="0"/>
            <w:vAlign w:val="center"/>
          </w:tcPr>
          <w:p w14:paraId="6028D540">
            <w:pPr>
              <w:spacing w:line="380" w:lineRule="exact"/>
              <w:jc w:val="center"/>
              <w:rPr>
                <w:rFonts w:hint="eastAsia" w:ascii="新宋体" w:hAnsi="新宋体" w:eastAsia="新宋体" w:cs="新宋体"/>
                <w:b/>
                <w:bCs/>
                <w:color w:val="auto"/>
                <w:sz w:val="22"/>
                <w:szCs w:val="22"/>
                <w:highlight w:val="none"/>
              </w:rPr>
            </w:pPr>
          </w:p>
        </w:tc>
        <w:tc>
          <w:tcPr>
            <w:tcW w:w="900" w:type="dxa"/>
            <w:noWrap w:val="0"/>
            <w:vAlign w:val="center"/>
          </w:tcPr>
          <w:p w14:paraId="5050E62B">
            <w:pPr>
              <w:spacing w:line="380" w:lineRule="exact"/>
              <w:jc w:val="center"/>
              <w:rPr>
                <w:rFonts w:hint="eastAsia" w:ascii="新宋体" w:hAnsi="新宋体" w:eastAsia="新宋体" w:cs="新宋体"/>
                <w:b/>
                <w:bCs/>
                <w:color w:val="auto"/>
                <w:sz w:val="22"/>
                <w:szCs w:val="22"/>
                <w:highlight w:val="none"/>
              </w:rPr>
            </w:pPr>
          </w:p>
        </w:tc>
        <w:tc>
          <w:tcPr>
            <w:tcW w:w="1440" w:type="dxa"/>
            <w:noWrap w:val="0"/>
            <w:vAlign w:val="center"/>
          </w:tcPr>
          <w:p w14:paraId="181FD81C">
            <w:pPr>
              <w:spacing w:line="380" w:lineRule="exact"/>
              <w:jc w:val="center"/>
              <w:rPr>
                <w:rFonts w:hint="eastAsia" w:ascii="新宋体" w:hAnsi="新宋体" w:eastAsia="新宋体" w:cs="新宋体"/>
                <w:b/>
                <w:bCs/>
                <w:color w:val="auto"/>
                <w:sz w:val="22"/>
                <w:szCs w:val="22"/>
                <w:highlight w:val="none"/>
              </w:rPr>
            </w:pPr>
          </w:p>
        </w:tc>
        <w:tc>
          <w:tcPr>
            <w:tcW w:w="1440" w:type="dxa"/>
            <w:noWrap w:val="0"/>
            <w:vAlign w:val="center"/>
          </w:tcPr>
          <w:p w14:paraId="409AA837">
            <w:pPr>
              <w:spacing w:line="380" w:lineRule="exact"/>
              <w:jc w:val="center"/>
              <w:rPr>
                <w:rFonts w:hint="eastAsia" w:ascii="新宋体" w:hAnsi="新宋体" w:eastAsia="新宋体" w:cs="新宋体"/>
                <w:b/>
                <w:bCs/>
                <w:color w:val="auto"/>
                <w:sz w:val="22"/>
                <w:szCs w:val="22"/>
                <w:highlight w:val="none"/>
              </w:rPr>
            </w:pPr>
          </w:p>
        </w:tc>
        <w:tc>
          <w:tcPr>
            <w:tcW w:w="1080" w:type="dxa"/>
            <w:noWrap w:val="0"/>
            <w:vAlign w:val="center"/>
          </w:tcPr>
          <w:p w14:paraId="5A8AA8CE">
            <w:pPr>
              <w:spacing w:line="380" w:lineRule="exact"/>
              <w:jc w:val="center"/>
              <w:rPr>
                <w:rFonts w:hint="eastAsia" w:ascii="新宋体" w:hAnsi="新宋体" w:eastAsia="新宋体" w:cs="新宋体"/>
                <w:b/>
                <w:bCs/>
                <w:color w:val="auto"/>
                <w:sz w:val="22"/>
                <w:szCs w:val="22"/>
                <w:highlight w:val="none"/>
              </w:rPr>
            </w:pPr>
          </w:p>
        </w:tc>
      </w:tr>
    </w:tbl>
    <w:p w14:paraId="72227595">
      <w:pPr>
        <w:spacing w:line="460" w:lineRule="exact"/>
        <w:ind w:firstLine="5060" w:firstLineChars="23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4A29396A">
      <w:pPr>
        <w:spacing w:line="460" w:lineRule="exact"/>
        <w:ind w:firstLine="5060" w:firstLineChars="23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5E956A81">
      <w:pPr>
        <w:spacing w:line="460" w:lineRule="exact"/>
        <w:ind w:firstLine="5060" w:firstLineChars="23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447632DB">
      <w:pPr>
        <w:spacing w:line="460" w:lineRule="exact"/>
        <w:ind w:firstLine="5269" w:firstLineChars="2395"/>
        <w:rPr>
          <w:rFonts w:hint="eastAsia" w:ascii="新宋体" w:hAnsi="新宋体" w:eastAsia="新宋体" w:cs="新宋体"/>
          <w:color w:val="auto"/>
          <w:sz w:val="22"/>
          <w:szCs w:val="22"/>
          <w:highlight w:val="none"/>
        </w:rPr>
      </w:pPr>
    </w:p>
    <w:p w14:paraId="61E8AF61">
      <w:pPr>
        <w:numPr>
          <w:ilvl w:val="0"/>
          <w:numId w:val="2"/>
        </w:numPr>
        <w:spacing w:line="440" w:lineRule="exact"/>
        <w:jc w:val="left"/>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备品备件清单（如有）</w:t>
      </w:r>
    </w:p>
    <w:p w14:paraId="0941952B">
      <w:pPr>
        <w:spacing w:line="360" w:lineRule="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项目编号：</w:t>
      </w:r>
    </w:p>
    <w:p w14:paraId="597B84BD">
      <w:pPr>
        <w:bidi w:val="0"/>
        <w:rPr>
          <w:rFonts w:hint="eastAsia" w:ascii="新宋体" w:hAnsi="新宋体" w:eastAsia="新宋体" w:cs="新宋体"/>
          <w:color w:val="auto"/>
          <w:highlight w:val="none"/>
        </w:rPr>
      </w:pPr>
      <w:r>
        <w:rPr>
          <w:rFonts w:hint="eastAsia" w:ascii="新宋体" w:hAnsi="新宋体" w:eastAsia="新宋体" w:cs="新宋体"/>
          <w:color w:val="auto"/>
          <w:sz w:val="22"/>
          <w:szCs w:val="22"/>
          <w:highlight w:val="none"/>
        </w:rPr>
        <w:t>项目名称：</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1837"/>
        <w:gridCol w:w="863"/>
        <w:gridCol w:w="900"/>
        <w:gridCol w:w="1046"/>
        <w:gridCol w:w="1023"/>
        <w:gridCol w:w="1055"/>
        <w:gridCol w:w="836"/>
      </w:tblGrid>
      <w:tr w14:paraId="224B1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shd w:val="clear" w:color="auto" w:fill="D9D9D9"/>
            <w:noWrap w:val="0"/>
            <w:vAlign w:val="center"/>
          </w:tcPr>
          <w:p w14:paraId="291DD93E">
            <w:pPr>
              <w:spacing w:line="38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序号</w:t>
            </w:r>
          </w:p>
        </w:tc>
        <w:tc>
          <w:tcPr>
            <w:tcW w:w="1260" w:type="dxa"/>
            <w:shd w:val="clear" w:color="auto" w:fill="D9D9D9"/>
            <w:noWrap w:val="0"/>
            <w:vAlign w:val="center"/>
          </w:tcPr>
          <w:p w14:paraId="009320BC">
            <w:pPr>
              <w:spacing w:line="38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名  称</w:t>
            </w:r>
          </w:p>
        </w:tc>
        <w:tc>
          <w:tcPr>
            <w:tcW w:w="1837" w:type="dxa"/>
            <w:shd w:val="clear" w:color="auto" w:fill="D9D9D9"/>
            <w:noWrap w:val="0"/>
            <w:vAlign w:val="center"/>
          </w:tcPr>
          <w:p w14:paraId="1BC35D2E">
            <w:pPr>
              <w:spacing w:line="38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品牌、规格型号</w:t>
            </w:r>
          </w:p>
        </w:tc>
        <w:tc>
          <w:tcPr>
            <w:tcW w:w="863" w:type="dxa"/>
            <w:shd w:val="clear" w:color="auto" w:fill="D9D9D9"/>
            <w:noWrap w:val="0"/>
            <w:vAlign w:val="center"/>
          </w:tcPr>
          <w:p w14:paraId="0DA14F5C">
            <w:pPr>
              <w:spacing w:line="38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单位</w:t>
            </w:r>
          </w:p>
        </w:tc>
        <w:tc>
          <w:tcPr>
            <w:tcW w:w="900" w:type="dxa"/>
            <w:shd w:val="clear" w:color="auto" w:fill="D9D9D9"/>
            <w:noWrap w:val="0"/>
            <w:vAlign w:val="center"/>
          </w:tcPr>
          <w:p w14:paraId="2EE522D3">
            <w:pPr>
              <w:spacing w:line="38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数量</w:t>
            </w:r>
          </w:p>
        </w:tc>
        <w:tc>
          <w:tcPr>
            <w:tcW w:w="1046" w:type="dxa"/>
            <w:shd w:val="clear" w:color="auto" w:fill="D9D9D9"/>
            <w:noWrap w:val="0"/>
            <w:vAlign w:val="center"/>
          </w:tcPr>
          <w:p w14:paraId="343EF824">
            <w:pPr>
              <w:spacing w:line="38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原产地</w:t>
            </w:r>
          </w:p>
        </w:tc>
        <w:tc>
          <w:tcPr>
            <w:tcW w:w="1023" w:type="dxa"/>
            <w:shd w:val="clear" w:color="auto" w:fill="D9D9D9"/>
            <w:noWrap w:val="0"/>
            <w:vAlign w:val="center"/>
          </w:tcPr>
          <w:p w14:paraId="36436DC3">
            <w:pPr>
              <w:spacing w:line="38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制造商</w:t>
            </w:r>
          </w:p>
        </w:tc>
        <w:tc>
          <w:tcPr>
            <w:tcW w:w="1055" w:type="dxa"/>
            <w:shd w:val="clear" w:color="auto" w:fill="D9D9D9"/>
            <w:noWrap w:val="0"/>
            <w:vAlign w:val="center"/>
          </w:tcPr>
          <w:p w14:paraId="25834DD1">
            <w:pPr>
              <w:spacing w:line="38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质保期</w:t>
            </w:r>
          </w:p>
        </w:tc>
        <w:tc>
          <w:tcPr>
            <w:tcW w:w="836" w:type="dxa"/>
            <w:shd w:val="clear" w:color="auto" w:fill="D9D9D9"/>
            <w:noWrap w:val="0"/>
            <w:vAlign w:val="center"/>
          </w:tcPr>
          <w:p w14:paraId="41EC72C3">
            <w:pPr>
              <w:spacing w:line="38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单价</w:t>
            </w:r>
          </w:p>
        </w:tc>
      </w:tr>
      <w:tr w14:paraId="6ED8F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noWrap w:val="0"/>
            <w:vAlign w:val="center"/>
          </w:tcPr>
          <w:p w14:paraId="62A7931A">
            <w:pPr>
              <w:spacing w:line="380" w:lineRule="exact"/>
              <w:jc w:val="center"/>
              <w:rPr>
                <w:rFonts w:hint="eastAsia" w:ascii="新宋体" w:hAnsi="新宋体" w:eastAsia="新宋体" w:cs="新宋体"/>
                <w:b/>
                <w:bCs/>
                <w:color w:val="auto"/>
                <w:sz w:val="22"/>
                <w:szCs w:val="22"/>
                <w:highlight w:val="none"/>
              </w:rPr>
            </w:pPr>
          </w:p>
        </w:tc>
        <w:tc>
          <w:tcPr>
            <w:tcW w:w="1260" w:type="dxa"/>
            <w:noWrap w:val="0"/>
            <w:vAlign w:val="center"/>
          </w:tcPr>
          <w:p w14:paraId="17985A66">
            <w:pPr>
              <w:spacing w:line="380" w:lineRule="exact"/>
              <w:jc w:val="center"/>
              <w:rPr>
                <w:rFonts w:hint="eastAsia" w:ascii="新宋体" w:hAnsi="新宋体" w:eastAsia="新宋体" w:cs="新宋体"/>
                <w:b/>
                <w:bCs/>
                <w:color w:val="auto"/>
                <w:sz w:val="22"/>
                <w:szCs w:val="22"/>
                <w:highlight w:val="none"/>
              </w:rPr>
            </w:pPr>
          </w:p>
        </w:tc>
        <w:tc>
          <w:tcPr>
            <w:tcW w:w="1837" w:type="dxa"/>
            <w:noWrap w:val="0"/>
            <w:vAlign w:val="center"/>
          </w:tcPr>
          <w:p w14:paraId="3CBF0D01">
            <w:pPr>
              <w:spacing w:line="380" w:lineRule="exact"/>
              <w:jc w:val="center"/>
              <w:rPr>
                <w:rFonts w:hint="eastAsia" w:ascii="新宋体" w:hAnsi="新宋体" w:eastAsia="新宋体" w:cs="新宋体"/>
                <w:b/>
                <w:bCs/>
                <w:color w:val="auto"/>
                <w:sz w:val="22"/>
                <w:szCs w:val="22"/>
                <w:highlight w:val="none"/>
              </w:rPr>
            </w:pPr>
          </w:p>
        </w:tc>
        <w:tc>
          <w:tcPr>
            <w:tcW w:w="863" w:type="dxa"/>
            <w:noWrap w:val="0"/>
            <w:vAlign w:val="center"/>
          </w:tcPr>
          <w:p w14:paraId="55B96835">
            <w:pPr>
              <w:spacing w:line="380" w:lineRule="exact"/>
              <w:jc w:val="center"/>
              <w:rPr>
                <w:rFonts w:hint="eastAsia" w:ascii="新宋体" w:hAnsi="新宋体" w:eastAsia="新宋体" w:cs="新宋体"/>
                <w:b/>
                <w:bCs/>
                <w:color w:val="auto"/>
                <w:sz w:val="22"/>
                <w:szCs w:val="22"/>
                <w:highlight w:val="none"/>
              </w:rPr>
            </w:pPr>
          </w:p>
        </w:tc>
        <w:tc>
          <w:tcPr>
            <w:tcW w:w="900" w:type="dxa"/>
            <w:noWrap w:val="0"/>
            <w:vAlign w:val="center"/>
          </w:tcPr>
          <w:p w14:paraId="21571F96">
            <w:pPr>
              <w:spacing w:line="380" w:lineRule="exact"/>
              <w:jc w:val="center"/>
              <w:rPr>
                <w:rFonts w:hint="eastAsia" w:ascii="新宋体" w:hAnsi="新宋体" w:eastAsia="新宋体" w:cs="新宋体"/>
                <w:b/>
                <w:bCs/>
                <w:color w:val="auto"/>
                <w:sz w:val="22"/>
                <w:szCs w:val="22"/>
                <w:highlight w:val="none"/>
              </w:rPr>
            </w:pPr>
          </w:p>
        </w:tc>
        <w:tc>
          <w:tcPr>
            <w:tcW w:w="1046" w:type="dxa"/>
            <w:noWrap w:val="0"/>
            <w:vAlign w:val="center"/>
          </w:tcPr>
          <w:p w14:paraId="676FB7C8">
            <w:pPr>
              <w:spacing w:line="380" w:lineRule="exact"/>
              <w:jc w:val="center"/>
              <w:rPr>
                <w:rFonts w:hint="eastAsia" w:ascii="新宋体" w:hAnsi="新宋体" w:eastAsia="新宋体" w:cs="新宋体"/>
                <w:b/>
                <w:bCs/>
                <w:color w:val="auto"/>
                <w:sz w:val="22"/>
                <w:szCs w:val="22"/>
                <w:highlight w:val="none"/>
              </w:rPr>
            </w:pPr>
          </w:p>
        </w:tc>
        <w:tc>
          <w:tcPr>
            <w:tcW w:w="1023" w:type="dxa"/>
            <w:noWrap w:val="0"/>
            <w:vAlign w:val="center"/>
          </w:tcPr>
          <w:p w14:paraId="7D14C8ED">
            <w:pPr>
              <w:spacing w:line="380" w:lineRule="exact"/>
              <w:jc w:val="center"/>
              <w:rPr>
                <w:rFonts w:hint="eastAsia" w:ascii="新宋体" w:hAnsi="新宋体" w:eastAsia="新宋体" w:cs="新宋体"/>
                <w:b/>
                <w:bCs/>
                <w:color w:val="auto"/>
                <w:sz w:val="22"/>
                <w:szCs w:val="22"/>
                <w:highlight w:val="none"/>
              </w:rPr>
            </w:pPr>
          </w:p>
        </w:tc>
        <w:tc>
          <w:tcPr>
            <w:tcW w:w="1055" w:type="dxa"/>
            <w:noWrap w:val="0"/>
            <w:vAlign w:val="center"/>
          </w:tcPr>
          <w:p w14:paraId="1D529021">
            <w:pPr>
              <w:spacing w:line="380" w:lineRule="exact"/>
              <w:jc w:val="center"/>
              <w:rPr>
                <w:rFonts w:hint="eastAsia" w:ascii="新宋体" w:hAnsi="新宋体" w:eastAsia="新宋体" w:cs="新宋体"/>
                <w:b/>
                <w:bCs/>
                <w:color w:val="auto"/>
                <w:sz w:val="22"/>
                <w:szCs w:val="22"/>
                <w:highlight w:val="none"/>
              </w:rPr>
            </w:pPr>
          </w:p>
        </w:tc>
        <w:tc>
          <w:tcPr>
            <w:tcW w:w="836" w:type="dxa"/>
            <w:noWrap w:val="0"/>
            <w:vAlign w:val="center"/>
          </w:tcPr>
          <w:p w14:paraId="5332303B">
            <w:pPr>
              <w:spacing w:line="380" w:lineRule="exact"/>
              <w:jc w:val="center"/>
              <w:rPr>
                <w:rFonts w:hint="eastAsia" w:ascii="新宋体" w:hAnsi="新宋体" w:eastAsia="新宋体" w:cs="新宋体"/>
                <w:b/>
                <w:bCs/>
                <w:color w:val="auto"/>
                <w:sz w:val="22"/>
                <w:szCs w:val="22"/>
                <w:highlight w:val="none"/>
              </w:rPr>
            </w:pPr>
          </w:p>
        </w:tc>
      </w:tr>
      <w:tr w14:paraId="14CAA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noWrap w:val="0"/>
            <w:vAlign w:val="center"/>
          </w:tcPr>
          <w:p w14:paraId="494A2DDD">
            <w:pPr>
              <w:spacing w:line="380" w:lineRule="exact"/>
              <w:jc w:val="center"/>
              <w:rPr>
                <w:rFonts w:hint="eastAsia" w:ascii="新宋体" w:hAnsi="新宋体" w:eastAsia="新宋体" w:cs="新宋体"/>
                <w:b/>
                <w:bCs/>
                <w:color w:val="auto"/>
                <w:sz w:val="22"/>
                <w:szCs w:val="22"/>
                <w:highlight w:val="none"/>
              </w:rPr>
            </w:pPr>
          </w:p>
        </w:tc>
        <w:tc>
          <w:tcPr>
            <w:tcW w:w="1260" w:type="dxa"/>
            <w:noWrap w:val="0"/>
            <w:vAlign w:val="center"/>
          </w:tcPr>
          <w:p w14:paraId="21AB0F08">
            <w:pPr>
              <w:spacing w:line="380" w:lineRule="exact"/>
              <w:jc w:val="center"/>
              <w:rPr>
                <w:rFonts w:hint="eastAsia" w:ascii="新宋体" w:hAnsi="新宋体" w:eastAsia="新宋体" w:cs="新宋体"/>
                <w:b/>
                <w:bCs/>
                <w:color w:val="auto"/>
                <w:sz w:val="22"/>
                <w:szCs w:val="22"/>
                <w:highlight w:val="none"/>
              </w:rPr>
            </w:pPr>
          </w:p>
        </w:tc>
        <w:tc>
          <w:tcPr>
            <w:tcW w:w="1837" w:type="dxa"/>
            <w:noWrap w:val="0"/>
            <w:vAlign w:val="center"/>
          </w:tcPr>
          <w:p w14:paraId="638C3E98">
            <w:pPr>
              <w:spacing w:line="380" w:lineRule="exact"/>
              <w:jc w:val="center"/>
              <w:rPr>
                <w:rFonts w:hint="eastAsia" w:ascii="新宋体" w:hAnsi="新宋体" w:eastAsia="新宋体" w:cs="新宋体"/>
                <w:b/>
                <w:bCs/>
                <w:color w:val="auto"/>
                <w:sz w:val="22"/>
                <w:szCs w:val="22"/>
                <w:highlight w:val="none"/>
              </w:rPr>
            </w:pPr>
          </w:p>
        </w:tc>
        <w:tc>
          <w:tcPr>
            <w:tcW w:w="863" w:type="dxa"/>
            <w:noWrap w:val="0"/>
            <w:vAlign w:val="center"/>
          </w:tcPr>
          <w:p w14:paraId="3A74228D">
            <w:pPr>
              <w:spacing w:line="380" w:lineRule="exact"/>
              <w:jc w:val="center"/>
              <w:rPr>
                <w:rFonts w:hint="eastAsia" w:ascii="新宋体" w:hAnsi="新宋体" w:eastAsia="新宋体" w:cs="新宋体"/>
                <w:b/>
                <w:bCs/>
                <w:color w:val="auto"/>
                <w:sz w:val="22"/>
                <w:szCs w:val="22"/>
                <w:highlight w:val="none"/>
              </w:rPr>
            </w:pPr>
          </w:p>
        </w:tc>
        <w:tc>
          <w:tcPr>
            <w:tcW w:w="900" w:type="dxa"/>
            <w:noWrap w:val="0"/>
            <w:vAlign w:val="center"/>
          </w:tcPr>
          <w:p w14:paraId="481D5A45">
            <w:pPr>
              <w:spacing w:line="380" w:lineRule="exact"/>
              <w:jc w:val="center"/>
              <w:rPr>
                <w:rFonts w:hint="eastAsia" w:ascii="新宋体" w:hAnsi="新宋体" w:eastAsia="新宋体" w:cs="新宋体"/>
                <w:b/>
                <w:bCs/>
                <w:color w:val="auto"/>
                <w:sz w:val="22"/>
                <w:szCs w:val="22"/>
                <w:highlight w:val="none"/>
              </w:rPr>
            </w:pPr>
          </w:p>
        </w:tc>
        <w:tc>
          <w:tcPr>
            <w:tcW w:w="1046" w:type="dxa"/>
            <w:noWrap w:val="0"/>
            <w:vAlign w:val="center"/>
          </w:tcPr>
          <w:p w14:paraId="41A89C00">
            <w:pPr>
              <w:spacing w:line="380" w:lineRule="exact"/>
              <w:jc w:val="center"/>
              <w:rPr>
                <w:rFonts w:hint="eastAsia" w:ascii="新宋体" w:hAnsi="新宋体" w:eastAsia="新宋体" w:cs="新宋体"/>
                <w:b/>
                <w:bCs/>
                <w:color w:val="auto"/>
                <w:sz w:val="22"/>
                <w:szCs w:val="22"/>
                <w:highlight w:val="none"/>
              </w:rPr>
            </w:pPr>
          </w:p>
        </w:tc>
        <w:tc>
          <w:tcPr>
            <w:tcW w:w="1023" w:type="dxa"/>
            <w:noWrap w:val="0"/>
            <w:vAlign w:val="center"/>
          </w:tcPr>
          <w:p w14:paraId="57978D24">
            <w:pPr>
              <w:spacing w:line="380" w:lineRule="exact"/>
              <w:jc w:val="center"/>
              <w:rPr>
                <w:rFonts w:hint="eastAsia" w:ascii="新宋体" w:hAnsi="新宋体" w:eastAsia="新宋体" w:cs="新宋体"/>
                <w:b/>
                <w:bCs/>
                <w:color w:val="auto"/>
                <w:sz w:val="22"/>
                <w:szCs w:val="22"/>
                <w:highlight w:val="none"/>
              </w:rPr>
            </w:pPr>
          </w:p>
        </w:tc>
        <w:tc>
          <w:tcPr>
            <w:tcW w:w="1055" w:type="dxa"/>
            <w:noWrap w:val="0"/>
            <w:vAlign w:val="center"/>
          </w:tcPr>
          <w:p w14:paraId="4557ABF2">
            <w:pPr>
              <w:spacing w:line="380" w:lineRule="exact"/>
              <w:jc w:val="center"/>
              <w:rPr>
                <w:rFonts w:hint="eastAsia" w:ascii="新宋体" w:hAnsi="新宋体" w:eastAsia="新宋体" w:cs="新宋体"/>
                <w:b/>
                <w:bCs/>
                <w:color w:val="auto"/>
                <w:sz w:val="22"/>
                <w:szCs w:val="22"/>
                <w:highlight w:val="none"/>
              </w:rPr>
            </w:pPr>
          </w:p>
        </w:tc>
        <w:tc>
          <w:tcPr>
            <w:tcW w:w="836" w:type="dxa"/>
            <w:noWrap w:val="0"/>
            <w:vAlign w:val="center"/>
          </w:tcPr>
          <w:p w14:paraId="5C77A1E2">
            <w:pPr>
              <w:spacing w:line="380" w:lineRule="exact"/>
              <w:jc w:val="center"/>
              <w:rPr>
                <w:rFonts w:hint="eastAsia" w:ascii="新宋体" w:hAnsi="新宋体" w:eastAsia="新宋体" w:cs="新宋体"/>
                <w:b/>
                <w:bCs/>
                <w:color w:val="auto"/>
                <w:sz w:val="22"/>
                <w:szCs w:val="22"/>
                <w:highlight w:val="none"/>
              </w:rPr>
            </w:pPr>
          </w:p>
        </w:tc>
      </w:tr>
      <w:tr w14:paraId="64C85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noWrap w:val="0"/>
            <w:vAlign w:val="center"/>
          </w:tcPr>
          <w:p w14:paraId="68965DEA">
            <w:pPr>
              <w:spacing w:line="380" w:lineRule="exact"/>
              <w:jc w:val="center"/>
              <w:rPr>
                <w:rFonts w:hint="eastAsia" w:ascii="新宋体" w:hAnsi="新宋体" w:eastAsia="新宋体" w:cs="新宋体"/>
                <w:b/>
                <w:bCs/>
                <w:color w:val="auto"/>
                <w:sz w:val="22"/>
                <w:szCs w:val="22"/>
                <w:highlight w:val="none"/>
              </w:rPr>
            </w:pPr>
          </w:p>
        </w:tc>
        <w:tc>
          <w:tcPr>
            <w:tcW w:w="1260" w:type="dxa"/>
            <w:noWrap w:val="0"/>
            <w:vAlign w:val="center"/>
          </w:tcPr>
          <w:p w14:paraId="0ED18A03">
            <w:pPr>
              <w:spacing w:line="380" w:lineRule="exact"/>
              <w:jc w:val="center"/>
              <w:rPr>
                <w:rFonts w:hint="eastAsia" w:ascii="新宋体" w:hAnsi="新宋体" w:eastAsia="新宋体" w:cs="新宋体"/>
                <w:b/>
                <w:bCs/>
                <w:color w:val="auto"/>
                <w:sz w:val="22"/>
                <w:szCs w:val="22"/>
                <w:highlight w:val="none"/>
              </w:rPr>
            </w:pPr>
          </w:p>
        </w:tc>
        <w:tc>
          <w:tcPr>
            <w:tcW w:w="1837" w:type="dxa"/>
            <w:noWrap w:val="0"/>
            <w:vAlign w:val="center"/>
          </w:tcPr>
          <w:p w14:paraId="1156B9E1">
            <w:pPr>
              <w:spacing w:line="380" w:lineRule="exact"/>
              <w:jc w:val="center"/>
              <w:rPr>
                <w:rFonts w:hint="eastAsia" w:ascii="新宋体" w:hAnsi="新宋体" w:eastAsia="新宋体" w:cs="新宋体"/>
                <w:b/>
                <w:bCs/>
                <w:color w:val="auto"/>
                <w:sz w:val="22"/>
                <w:szCs w:val="22"/>
                <w:highlight w:val="none"/>
              </w:rPr>
            </w:pPr>
          </w:p>
        </w:tc>
        <w:tc>
          <w:tcPr>
            <w:tcW w:w="863" w:type="dxa"/>
            <w:noWrap w:val="0"/>
            <w:vAlign w:val="center"/>
          </w:tcPr>
          <w:p w14:paraId="79518D8D">
            <w:pPr>
              <w:spacing w:line="380" w:lineRule="exact"/>
              <w:jc w:val="center"/>
              <w:rPr>
                <w:rFonts w:hint="eastAsia" w:ascii="新宋体" w:hAnsi="新宋体" w:eastAsia="新宋体" w:cs="新宋体"/>
                <w:b/>
                <w:bCs/>
                <w:color w:val="auto"/>
                <w:sz w:val="22"/>
                <w:szCs w:val="22"/>
                <w:highlight w:val="none"/>
              </w:rPr>
            </w:pPr>
          </w:p>
        </w:tc>
        <w:tc>
          <w:tcPr>
            <w:tcW w:w="900" w:type="dxa"/>
            <w:noWrap w:val="0"/>
            <w:vAlign w:val="center"/>
          </w:tcPr>
          <w:p w14:paraId="11A9A825">
            <w:pPr>
              <w:spacing w:line="380" w:lineRule="exact"/>
              <w:jc w:val="center"/>
              <w:rPr>
                <w:rFonts w:hint="eastAsia" w:ascii="新宋体" w:hAnsi="新宋体" w:eastAsia="新宋体" w:cs="新宋体"/>
                <w:b/>
                <w:bCs/>
                <w:color w:val="auto"/>
                <w:sz w:val="22"/>
                <w:szCs w:val="22"/>
                <w:highlight w:val="none"/>
              </w:rPr>
            </w:pPr>
          </w:p>
        </w:tc>
        <w:tc>
          <w:tcPr>
            <w:tcW w:w="1046" w:type="dxa"/>
            <w:noWrap w:val="0"/>
            <w:vAlign w:val="center"/>
          </w:tcPr>
          <w:p w14:paraId="0A88DCCC">
            <w:pPr>
              <w:spacing w:line="380" w:lineRule="exact"/>
              <w:jc w:val="center"/>
              <w:rPr>
                <w:rFonts w:hint="eastAsia" w:ascii="新宋体" w:hAnsi="新宋体" w:eastAsia="新宋体" w:cs="新宋体"/>
                <w:b/>
                <w:bCs/>
                <w:color w:val="auto"/>
                <w:sz w:val="22"/>
                <w:szCs w:val="22"/>
                <w:highlight w:val="none"/>
              </w:rPr>
            </w:pPr>
          </w:p>
        </w:tc>
        <w:tc>
          <w:tcPr>
            <w:tcW w:w="1023" w:type="dxa"/>
            <w:noWrap w:val="0"/>
            <w:vAlign w:val="center"/>
          </w:tcPr>
          <w:p w14:paraId="1AA2BE40">
            <w:pPr>
              <w:spacing w:line="380" w:lineRule="exact"/>
              <w:jc w:val="center"/>
              <w:rPr>
                <w:rFonts w:hint="eastAsia" w:ascii="新宋体" w:hAnsi="新宋体" w:eastAsia="新宋体" w:cs="新宋体"/>
                <w:b/>
                <w:bCs/>
                <w:color w:val="auto"/>
                <w:sz w:val="22"/>
                <w:szCs w:val="22"/>
                <w:highlight w:val="none"/>
              </w:rPr>
            </w:pPr>
          </w:p>
        </w:tc>
        <w:tc>
          <w:tcPr>
            <w:tcW w:w="1055" w:type="dxa"/>
            <w:noWrap w:val="0"/>
            <w:vAlign w:val="center"/>
          </w:tcPr>
          <w:p w14:paraId="42E5494A">
            <w:pPr>
              <w:spacing w:line="380" w:lineRule="exact"/>
              <w:jc w:val="center"/>
              <w:rPr>
                <w:rFonts w:hint="eastAsia" w:ascii="新宋体" w:hAnsi="新宋体" w:eastAsia="新宋体" w:cs="新宋体"/>
                <w:b/>
                <w:bCs/>
                <w:color w:val="auto"/>
                <w:sz w:val="22"/>
                <w:szCs w:val="22"/>
                <w:highlight w:val="none"/>
              </w:rPr>
            </w:pPr>
          </w:p>
        </w:tc>
        <w:tc>
          <w:tcPr>
            <w:tcW w:w="836" w:type="dxa"/>
            <w:noWrap w:val="0"/>
            <w:vAlign w:val="center"/>
          </w:tcPr>
          <w:p w14:paraId="4902F8B2">
            <w:pPr>
              <w:spacing w:line="380" w:lineRule="exact"/>
              <w:jc w:val="center"/>
              <w:rPr>
                <w:rFonts w:hint="eastAsia" w:ascii="新宋体" w:hAnsi="新宋体" w:eastAsia="新宋体" w:cs="新宋体"/>
                <w:b/>
                <w:bCs/>
                <w:color w:val="auto"/>
                <w:sz w:val="22"/>
                <w:szCs w:val="22"/>
                <w:highlight w:val="none"/>
              </w:rPr>
            </w:pPr>
          </w:p>
        </w:tc>
      </w:tr>
      <w:tr w14:paraId="5BDCA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noWrap w:val="0"/>
            <w:vAlign w:val="center"/>
          </w:tcPr>
          <w:p w14:paraId="34DE5505">
            <w:pPr>
              <w:spacing w:line="380" w:lineRule="exact"/>
              <w:jc w:val="center"/>
              <w:rPr>
                <w:rFonts w:hint="eastAsia" w:ascii="新宋体" w:hAnsi="新宋体" w:eastAsia="新宋体" w:cs="新宋体"/>
                <w:b/>
                <w:bCs/>
                <w:color w:val="auto"/>
                <w:sz w:val="22"/>
                <w:szCs w:val="22"/>
                <w:highlight w:val="none"/>
              </w:rPr>
            </w:pPr>
          </w:p>
        </w:tc>
        <w:tc>
          <w:tcPr>
            <w:tcW w:w="1260" w:type="dxa"/>
            <w:noWrap w:val="0"/>
            <w:vAlign w:val="center"/>
          </w:tcPr>
          <w:p w14:paraId="168B8D35">
            <w:pPr>
              <w:spacing w:line="380" w:lineRule="exact"/>
              <w:jc w:val="center"/>
              <w:rPr>
                <w:rFonts w:hint="eastAsia" w:ascii="新宋体" w:hAnsi="新宋体" w:eastAsia="新宋体" w:cs="新宋体"/>
                <w:b/>
                <w:bCs/>
                <w:color w:val="auto"/>
                <w:sz w:val="22"/>
                <w:szCs w:val="22"/>
                <w:highlight w:val="none"/>
              </w:rPr>
            </w:pPr>
          </w:p>
        </w:tc>
        <w:tc>
          <w:tcPr>
            <w:tcW w:w="1837" w:type="dxa"/>
            <w:noWrap w:val="0"/>
            <w:vAlign w:val="center"/>
          </w:tcPr>
          <w:p w14:paraId="4C31CD3D">
            <w:pPr>
              <w:spacing w:line="380" w:lineRule="exact"/>
              <w:jc w:val="center"/>
              <w:rPr>
                <w:rFonts w:hint="eastAsia" w:ascii="新宋体" w:hAnsi="新宋体" w:eastAsia="新宋体" w:cs="新宋体"/>
                <w:b/>
                <w:bCs/>
                <w:color w:val="auto"/>
                <w:sz w:val="22"/>
                <w:szCs w:val="22"/>
                <w:highlight w:val="none"/>
              </w:rPr>
            </w:pPr>
          </w:p>
        </w:tc>
        <w:tc>
          <w:tcPr>
            <w:tcW w:w="863" w:type="dxa"/>
            <w:noWrap w:val="0"/>
            <w:vAlign w:val="center"/>
          </w:tcPr>
          <w:p w14:paraId="6C97BE22">
            <w:pPr>
              <w:spacing w:line="380" w:lineRule="exact"/>
              <w:jc w:val="center"/>
              <w:rPr>
                <w:rFonts w:hint="eastAsia" w:ascii="新宋体" w:hAnsi="新宋体" w:eastAsia="新宋体" w:cs="新宋体"/>
                <w:b/>
                <w:bCs/>
                <w:color w:val="auto"/>
                <w:sz w:val="22"/>
                <w:szCs w:val="22"/>
                <w:highlight w:val="none"/>
              </w:rPr>
            </w:pPr>
          </w:p>
        </w:tc>
        <w:tc>
          <w:tcPr>
            <w:tcW w:w="900" w:type="dxa"/>
            <w:noWrap w:val="0"/>
            <w:vAlign w:val="center"/>
          </w:tcPr>
          <w:p w14:paraId="52030009">
            <w:pPr>
              <w:spacing w:line="380" w:lineRule="exact"/>
              <w:jc w:val="center"/>
              <w:rPr>
                <w:rFonts w:hint="eastAsia" w:ascii="新宋体" w:hAnsi="新宋体" w:eastAsia="新宋体" w:cs="新宋体"/>
                <w:b/>
                <w:bCs/>
                <w:color w:val="auto"/>
                <w:sz w:val="22"/>
                <w:szCs w:val="22"/>
                <w:highlight w:val="none"/>
              </w:rPr>
            </w:pPr>
          </w:p>
        </w:tc>
        <w:tc>
          <w:tcPr>
            <w:tcW w:w="1046" w:type="dxa"/>
            <w:noWrap w:val="0"/>
            <w:vAlign w:val="center"/>
          </w:tcPr>
          <w:p w14:paraId="23E37182">
            <w:pPr>
              <w:spacing w:line="380" w:lineRule="exact"/>
              <w:jc w:val="center"/>
              <w:rPr>
                <w:rFonts w:hint="eastAsia" w:ascii="新宋体" w:hAnsi="新宋体" w:eastAsia="新宋体" w:cs="新宋体"/>
                <w:b/>
                <w:bCs/>
                <w:color w:val="auto"/>
                <w:sz w:val="22"/>
                <w:szCs w:val="22"/>
                <w:highlight w:val="none"/>
              </w:rPr>
            </w:pPr>
          </w:p>
        </w:tc>
        <w:tc>
          <w:tcPr>
            <w:tcW w:w="1023" w:type="dxa"/>
            <w:noWrap w:val="0"/>
            <w:vAlign w:val="center"/>
          </w:tcPr>
          <w:p w14:paraId="42270428">
            <w:pPr>
              <w:spacing w:line="380" w:lineRule="exact"/>
              <w:jc w:val="center"/>
              <w:rPr>
                <w:rFonts w:hint="eastAsia" w:ascii="新宋体" w:hAnsi="新宋体" w:eastAsia="新宋体" w:cs="新宋体"/>
                <w:b/>
                <w:bCs/>
                <w:color w:val="auto"/>
                <w:sz w:val="22"/>
                <w:szCs w:val="22"/>
                <w:highlight w:val="none"/>
              </w:rPr>
            </w:pPr>
          </w:p>
        </w:tc>
        <w:tc>
          <w:tcPr>
            <w:tcW w:w="1055" w:type="dxa"/>
            <w:noWrap w:val="0"/>
            <w:vAlign w:val="center"/>
          </w:tcPr>
          <w:p w14:paraId="0DF94109">
            <w:pPr>
              <w:spacing w:line="380" w:lineRule="exact"/>
              <w:jc w:val="center"/>
              <w:rPr>
                <w:rFonts w:hint="eastAsia" w:ascii="新宋体" w:hAnsi="新宋体" w:eastAsia="新宋体" w:cs="新宋体"/>
                <w:b/>
                <w:bCs/>
                <w:color w:val="auto"/>
                <w:sz w:val="22"/>
                <w:szCs w:val="22"/>
                <w:highlight w:val="none"/>
              </w:rPr>
            </w:pPr>
          </w:p>
        </w:tc>
        <w:tc>
          <w:tcPr>
            <w:tcW w:w="836" w:type="dxa"/>
            <w:noWrap w:val="0"/>
            <w:vAlign w:val="center"/>
          </w:tcPr>
          <w:p w14:paraId="059F9690">
            <w:pPr>
              <w:spacing w:line="380" w:lineRule="exact"/>
              <w:jc w:val="center"/>
              <w:rPr>
                <w:rFonts w:hint="eastAsia" w:ascii="新宋体" w:hAnsi="新宋体" w:eastAsia="新宋体" w:cs="新宋体"/>
                <w:b/>
                <w:bCs/>
                <w:color w:val="auto"/>
                <w:sz w:val="22"/>
                <w:szCs w:val="22"/>
                <w:highlight w:val="none"/>
              </w:rPr>
            </w:pPr>
          </w:p>
        </w:tc>
      </w:tr>
    </w:tbl>
    <w:p w14:paraId="759DCB2D">
      <w:pPr>
        <w:spacing w:line="460" w:lineRule="exact"/>
        <w:ind w:firstLine="5060" w:firstLineChars="23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0417DD70">
      <w:pPr>
        <w:spacing w:line="460" w:lineRule="exact"/>
        <w:ind w:firstLine="5060" w:firstLineChars="23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24E7C109">
      <w:pPr>
        <w:spacing w:line="460" w:lineRule="exact"/>
        <w:ind w:firstLine="5060" w:firstLineChars="23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5BE540F3">
      <w:pPr>
        <w:spacing w:line="460" w:lineRule="exact"/>
        <w:rPr>
          <w:rFonts w:hint="eastAsia" w:ascii="新宋体" w:hAnsi="新宋体" w:eastAsia="新宋体" w:cs="新宋体"/>
          <w:color w:val="auto"/>
          <w:sz w:val="22"/>
          <w:szCs w:val="22"/>
          <w:highlight w:val="none"/>
        </w:rPr>
      </w:pPr>
    </w:p>
    <w:p w14:paraId="100BBBE8">
      <w:pPr>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br w:type="page"/>
      </w:r>
    </w:p>
    <w:p w14:paraId="5FE25490">
      <w:pPr>
        <w:spacing w:line="420" w:lineRule="exact"/>
        <w:jc w:val="center"/>
        <w:outlineLvl w:val="3"/>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t>4、</w:t>
      </w:r>
      <w:r>
        <w:rPr>
          <w:rFonts w:hint="eastAsia" w:ascii="新宋体" w:hAnsi="新宋体" w:eastAsia="新宋体" w:cs="新宋体"/>
          <w:b/>
          <w:bCs/>
          <w:color w:val="auto"/>
          <w:sz w:val="28"/>
          <w:szCs w:val="28"/>
          <w:highlight w:val="none"/>
          <w:lang w:val="zh-CN" w:eastAsia="zh-CN"/>
        </w:rPr>
        <w:t>偏离表（</w:t>
      </w:r>
      <w:r>
        <w:rPr>
          <w:rFonts w:hint="eastAsia" w:ascii="新宋体" w:hAnsi="新宋体" w:eastAsia="新宋体" w:cs="新宋体"/>
          <w:b/>
          <w:bCs/>
          <w:color w:val="auto"/>
          <w:sz w:val="28"/>
          <w:szCs w:val="28"/>
          <w:highlight w:val="none"/>
          <w:lang w:val="en-US" w:eastAsia="zh-CN"/>
        </w:rPr>
        <w:t>商务、技术偏离</w:t>
      </w:r>
      <w:r>
        <w:rPr>
          <w:rFonts w:hint="eastAsia" w:ascii="新宋体" w:hAnsi="新宋体" w:eastAsia="新宋体" w:cs="新宋体"/>
          <w:b/>
          <w:bCs/>
          <w:color w:val="auto"/>
          <w:sz w:val="28"/>
          <w:szCs w:val="28"/>
          <w:highlight w:val="none"/>
          <w:lang w:val="zh-CN" w:eastAsia="zh-CN"/>
        </w:rPr>
        <w:t>）</w:t>
      </w:r>
    </w:p>
    <w:p w14:paraId="722E0E5B">
      <w:pPr>
        <w:spacing w:line="360" w:lineRule="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项目编号：</w:t>
      </w:r>
    </w:p>
    <w:p w14:paraId="61E05566">
      <w:pPr>
        <w:bidi w:val="0"/>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项目名称：</w:t>
      </w:r>
    </w:p>
    <w:tbl>
      <w:tblPr>
        <w:tblStyle w:val="53"/>
        <w:tblW w:w="96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3687"/>
        <w:gridCol w:w="3402"/>
        <w:gridCol w:w="1580"/>
      </w:tblGrid>
      <w:tr w14:paraId="0AA4B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991" w:type="dxa"/>
            <w:shd w:val="clear" w:color="auto" w:fill="FFFFFF"/>
            <w:vAlign w:val="center"/>
          </w:tcPr>
          <w:p w14:paraId="5DCD2C09">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序  号</w:t>
            </w:r>
          </w:p>
        </w:tc>
        <w:tc>
          <w:tcPr>
            <w:tcW w:w="3687" w:type="dxa"/>
            <w:shd w:val="clear" w:color="auto" w:fill="FFFFFF"/>
            <w:vAlign w:val="center"/>
          </w:tcPr>
          <w:p w14:paraId="7D1E3A1F">
            <w:pPr>
              <w:jc w:val="center"/>
              <w:rPr>
                <w:rFonts w:hint="eastAsia" w:ascii="新宋体" w:hAnsi="新宋体" w:eastAsia="新宋体" w:cs="新宋体"/>
                <w:b/>
                <w:color w:val="auto"/>
                <w:sz w:val="22"/>
                <w:szCs w:val="22"/>
                <w:highlight w:val="none"/>
                <w:lang w:eastAsia="zh-CN"/>
              </w:rPr>
            </w:pPr>
            <w:r>
              <w:rPr>
                <w:rFonts w:hint="eastAsia" w:ascii="新宋体" w:hAnsi="新宋体" w:eastAsia="新宋体" w:cs="新宋体"/>
                <w:b/>
                <w:color w:val="auto"/>
                <w:sz w:val="22"/>
                <w:szCs w:val="22"/>
                <w:highlight w:val="none"/>
                <w:lang w:eastAsia="zh-CN"/>
              </w:rPr>
              <w:t>采购文件</w:t>
            </w:r>
          </w:p>
          <w:p w14:paraId="57605AEF">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规格要求</w:t>
            </w:r>
          </w:p>
        </w:tc>
        <w:tc>
          <w:tcPr>
            <w:tcW w:w="3402" w:type="dxa"/>
            <w:shd w:val="clear" w:color="auto" w:fill="FFFFFF"/>
            <w:vAlign w:val="center"/>
          </w:tcPr>
          <w:p w14:paraId="27CF1961">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投标文件</w:t>
            </w:r>
          </w:p>
          <w:p w14:paraId="53F46BB3">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对应规格</w:t>
            </w:r>
          </w:p>
        </w:tc>
        <w:tc>
          <w:tcPr>
            <w:tcW w:w="1580" w:type="dxa"/>
            <w:shd w:val="clear" w:color="auto" w:fill="FFFFFF"/>
            <w:vAlign w:val="center"/>
          </w:tcPr>
          <w:p w14:paraId="00F88C28">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说   明</w:t>
            </w:r>
          </w:p>
        </w:tc>
      </w:tr>
      <w:tr w14:paraId="33599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991" w:type="dxa"/>
            <w:vAlign w:val="center"/>
          </w:tcPr>
          <w:p w14:paraId="4170E7C9">
            <w:pPr>
              <w:ind w:firstLine="220" w:firstLine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tc>
        <w:tc>
          <w:tcPr>
            <w:tcW w:w="3687" w:type="dxa"/>
            <w:vAlign w:val="center"/>
          </w:tcPr>
          <w:p w14:paraId="62AEA07C">
            <w:pPr>
              <w:jc w:val="center"/>
              <w:rPr>
                <w:rFonts w:hint="eastAsia" w:ascii="新宋体" w:hAnsi="新宋体" w:eastAsia="新宋体" w:cs="新宋体"/>
                <w:color w:val="auto"/>
                <w:sz w:val="22"/>
                <w:szCs w:val="22"/>
                <w:highlight w:val="none"/>
              </w:rPr>
            </w:pPr>
          </w:p>
        </w:tc>
        <w:tc>
          <w:tcPr>
            <w:tcW w:w="3402" w:type="dxa"/>
            <w:vAlign w:val="center"/>
          </w:tcPr>
          <w:p w14:paraId="165B52D3">
            <w:pPr>
              <w:jc w:val="center"/>
              <w:rPr>
                <w:rFonts w:hint="eastAsia" w:ascii="新宋体" w:hAnsi="新宋体" w:eastAsia="新宋体" w:cs="新宋体"/>
                <w:color w:val="auto"/>
                <w:sz w:val="22"/>
                <w:szCs w:val="22"/>
                <w:highlight w:val="none"/>
              </w:rPr>
            </w:pPr>
          </w:p>
        </w:tc>
        <w:tc>
          <w:tcPr>
            <w:tcW w:w="1580" w:type="dxa"/>
            <w:vAlign w:val="center"/>
          </w:tcPr>
          <w:p w14:paraId="55B25425">
            <w:pPr>
              <w:jc w:val="center"/>
              <w:rPr>
                <w:rFonts w:hint="eastAsia" w:ascii="新宋体" w:hAnsi="新宋体" w:eastAsia="新宋体" w:cs="新宋体"/>
                <w:color w:val="auto"/>
                <w:sz w:val="22"/>
                <w:szCs w:val="22"/>
                <w:highlight w:val="none"/>
              </w:rPr>
            </w:pPr>
          </w:p>
        </w:tc>
      </w:tr>
      <w:tr w14:paraId="740D6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4A09440C">
            <w:pPr>
              <w:jc w:val="center"/>
              <w:rPr>
                <w:rFonts w:hint="eastAsia" w:ascii="新宋体" w:hAnsi="新宋体" w:eastAsia="新宋体" w:cs="新宋体"/>
                <w:color w:val="auto"/>
                <w:sz w:val="22"/>
                <w:szCs w:val="22"/>
                <w:highlight w:val="none"/>
              </w:rPr>
            </w:pPr>
          </w:p>
        </w:tc>
        <w:tc>
          <w:tcPr>
            <w:tcW w:w="3687" w:type="dxa"/>
            <w:vAlign w:val="center"/>
          </w:tcPr>
          <w:p w14:paraId="19179EC9">
            <w:pPr>
              <w:jc w:val="center"/>
              <w:rPr>
                <w:rFonts w:hint="eastAsia" w:ascii="新宋体" w:hAnsi="新宋体" w:eastAsia="新宋体" w:cs="新宋体"/>
                <w:color w:val="auto"/>
                <w:sz w:val="22"/>
                <w:szCs w:val="22"/>
                <w:highlight w:val="none"/>
              </w:rPr>
            </w:pPr>
          </w:p>
        </w:tc>
        <w:tc>
          <w:tcPr>
            <w:tcW w:w="3402" w:type="dxa"/>
            <w:vAlign w:val="center"/>
          </w:tcPr>
          <w:p w14:paraId="3A4001EC">
            <w:pPr>
              <w:jc w:val="center"/>
              <w:rPr>
                <w:rFonts w:hint="eastAsia" w:ascii="新宋体" w:hAnsi="新宋体" w:eastAsia="新宋体" w:cs="新宋体"/>
                <w:color w:val="auto"/>
                <w:sz w:val="22"/>
                <w:szCs w:val="22"/>
                <w:highlight w:val="none"/>
              </w:rPr>
            </w:pPr>
          </w:p>
        </w:tc>
        <w:tc>
          <w:tcPr>
            <w:tcW w:w="1580" w:type="dxa"/>
            <w:vAlign w:val="center"/>
          </w:tcPr>
          <w:p w14:paraId="4D771558">
            <w:pPr>
              <w:jc w:val="center"/>
              <w:rPr>
                <w:rFonts w:hint="eastAsia" w:ascii="新宋体" w:hAnsi="新宋体" w:eastAsia="新宋体" w:cs="新宋体"/>
                <w:color w:val="auto"/>
                <w:sz w:val="22"/>
                <w:szCs w:val="22"/>
                <w:highlight w:val="none"/>
              </w:rPr>
            </w:pPr>
          </w:p>
        </w:tc>
      </w:tr>
      <w:tr w14:paraId="1157E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2BF91292">
            <w:pPr>
              <w:jc w:val="center"/>
              <w:rPr>
                <w:rFonts w:hint="eastAsia" w:ascii="新宋体" w:hAnsi="新宋体" w:eastAsia="新宋体" w:cs="新宋体"/>
                <w:color w:val="auto"/>
                <w:sz w:val="22"/>
                <w:szCs w:val="22"/>
                <w:highlight w:val="none"/>
              </w:rPr>
            </w:pPr>
          </w:p>
        </w:tc>
        <w:tc>
          <w:tcPr>
            <w:tcW w:w="3687" w:type="dxa"/>
            <w:vAlign w:val="center"/>
          </w:tcPr>
          <w:p w14:paraId="6900CD31">
            <w:pPr>
              <w:jc w:val="center"/>
              <w:rPr>
                <w:rFonts w:hint="eastAsia" w:ascii="新宋体" w:hAnsi="新宋体" w:eastAsia="新宋体" w:cs="新宋体"/>
                <w:color w:val="auto"/>
                <w:sz w:val="22"/>
                <w:szCs w:val="22"/>
                <w:highlight w:val="none"/>
              </w:rPr>
            </w:pPr>
          </w:p>
        </w:tc>
        <w:tc>
          <w:tcPr>
            <w:tcW w:w="3402" w:type="dxa"/>
            <w:vAlign w:val="center"/>
          </w:tcPr>
          <w:p w14:paraId="65E46059">
            <w:pPr>
              <w:jc w:val="center"/>
              <w:rPr>
                <w:rFonts w:hint="eastAsia" w:ascii="新宋体" w:hAnsi="新宋体" w:eastAsia="新宋体" w:cs="新宋体"/>
                <w:color w:val="auto"/>
                <w:sz w:val="22"/>
                <w:szCs w:val="22"/>
                <w:highlight w:val="none"/>
              </w:rPr>
            </w:pPr>
          </w:p>
        </w:tc>
        <w:tc>
          <w:tcPr>
            <w:tcW w:w="1580" w:type="dxa"/>
            <w:vAlign w:val="center"/>
          </w:tcPr>
          <w:p w14:paraId="409F74A6">
            <w:pPr>
              <w:jc w:val="center"/>
              <w:rPr>
                <w:rFonts w:hint="eastAsia" w:ascii="新宋体" w:hAnsi="新宋体" w:eastAsia="新宋体" w:cs="新宋体"/>
                <w:color w:val="auto"/>
                <w:sz w:val="22"/>
                <w:szCs w:val="22"/>
                <w:highlight w:val="none"/>
              </w:rPr>
            </w:pPr>
          </w:p>
        </w:tc>
      </w:tr>
      <w:tr w14:paraId="65435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2B7731A9">
            <w:pPr>
              <w:jc w:val="center"/>
              <w:rPr>
                <w:rFonts w:hint="eastAsia" w:ascii="新宋体" w:hAnsi="新宋体" w:eastAsia="新宋体" w:cs="新宋体"/>
                <w:color w:val="auto"/>
                <w:sz w:val="22"/>
                <w:szCs w:val="22"/>
                <w:highlight w:val="none"/>
              </w:rPr>
            </w:pPr>
          </w:p>
        </w:tc>
        <w:tc>
          <w:tcPr>
            <w:tcW w:w="3687" w:type="dxa"/>
            <w:vAlign w:val="center"/>
          </w:tcPr>
          <w:p w14:paraId="6E646B31">
            <w:pPr>
              <w:jc w:val="center"/>
              <w:rPr>
                <w:rFonts w:hint="eastAsia" w:ascii="新宋体" w:hAnsi="新宋体" w:eastAsia="新宋体" w:cs="新宋体"/>
                <w:color w:val="auto"/>
                <w:sz w:val="22"/>
                <w:szCs w:val="22"/>
                <w:highlight w:val="none"/>
              </w:rPr>
            </w:pPr>
          </w:p>
        </w:tc>
        <w:tc>
          <w:tcPr>
            <w:tcW w:w="3402" w:type="dxa"/>
            <w:vAlign w:val="center"/>
          </w:tcPr>
          <w:p w14:paraId="600D2DBD">
            <w:pPr>
              <w:jc w:val="center"/>
              <w:rPr>
                <w:rFonts w:hint="eastAsia" w:ascii="新宋体" w:hAnsi="新宋体" w:eastAsia="新宋体" w:cs="新宋体"/>
                <w:color w:val="auto"/>
                <w:sz w:val="22"/>
                <w:szCs w:val="22"/>
                <w:highlight w:val="none"/>
              </w:rPr>
            </w:pPr>
          </w:p>
        </w:tc>
        <w:tc>
          <w:tcPr>
            <w:tcW w:w="1580" w:type="dxa"/>
            <w:vAlign w:val="center"/>
          </w:tcPr>
          <w:p w14:paraId="7EC82E16">
            <w:pPr>
              <w:jc w:val="center"/>
              <w:rPr>
                <w:rFonts w:hint="eastAsia" w:ascii="新宋体" w:hAnsi="新宋体" w:eastAsia="新宋体" w:cs="新宋体"/>
                <w:color w:val="auto"/>
                <w:sz w:val="22"/>
                <w:szCs w:val="22"/>
                <w:highlight w:val="none"/>
              </w:rPr>
            </w:pPr>
          </w:p>
        </w:tc>
      </w:tr>
      <w:tr w14:paraId="0B31D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71637D9F">
            <w:pPr>
              <w:jc w:val="center"/>
              <w:rPr>
                <w:rFonts w:hint="eastAsia" w:ascii="新宋体" w:hAnsi="新宋体" w:eastAsia="新宋体" w:cs="新宋体"/>
                <w:color w:val="auto"/>
                <w:sz w:val="22"/>
                <w:szCs w:val="22"/>
                <w:highlight w:val="none"/>
              </w:rPr>
            </w:pPr>
          </w:p>
        </w:tc>
        <w:tc>
          <w:tcPr>
            <w:tcW w:w="3687" w:type="dxa"/>
            <w:vAlign w:val="center"/>
          </w:tcPr>
          <w:p w14:paraId="12A15522">
            <w:pPr>
              <w:jc w:val="center"/>
              <w:rPr>
                <w:rFonts w:hint="eastAsia" w:ascii="新宋体" w:hAnsi="新宋体" w:eastAsia="新宋体" w:cs="新宋体"/>
                <w:color w:val="auto"/>
                <w:sz w:val="22"/>
                <w:szCs w:val="22"/>
                <w:highlight w:val="none"/>
              </w:rPr>
            </w:pPr>
          </w:p>
        </w:tc>
        <w:tc>
          <w:tcPr>
            <w:tcW w:w="3402" w:type="dxa"/>
            <w:vAlign w:val="center"/>
          </w:tcPr>
          <w:p w14:paraId="7C8AA5C9">
            <w:pPr>
              <w:jc w:val="center"/>
              <w:rPr>
                <w:rFonts w:hint="eastAsia" w:ascii="新宋体" w:hAnsi="新宋体" w:eastAsia="新宋体" w:cs="新宋体"/>
                <w:color w:val="auto"/>
                <w:sz w:val="22"/>
                <w:szCs w:val="22"/>
                <w:highlight w:val="none"/>
              </w:rPr>
            </w:pPr>
          </w:p>
        </w:tc>
        <w:tc>
          <w:tcPr>
            <w:tcW w:w="1580" w:type="dxa"/>
            <w:vAlign w:val="center"/>
          </w:tcPr>
          <w:p w14:paraId="1B7437FD">
            <w:pPr>
              <w:jc w:val="center"/>
              <w:rPr>
                <w:rFonts w:hint="eastAsia" w:ascii="新宋体" w:hAnsi="新宋体" w:eastAsia="新宋体" w:cs="新宋体"/>
                <w:color w:val="auto"/>
                <w:sz w:val="22"/>
                <w:szCs w:val="22"/>
                <w:highlight w:val="none"/>
              </w:rPr>
            </w:pPr>
          </w:p>
        </w:tc>
      </w:tr>
      <w:tr w14:paraId="2DE7B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26E72289">
            <w:pPr>
              <w:ind w:firstLine="220" w:firstLine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tc>
        <w:tc>
          <w:tcPr>
            <w:tcW w:w="3687" w:type="dxa"/>
            <w:vAlign w:val="center"/>
          </w:tcPr>
          <w:p w14:paraId="2C7C2E0E">
            <w:pPr>
              <w:jc w:val="center"/>
              <w:rPr>
                <w:rFonts w:hint="eastAsia" w:ascii="新宋体" w:hAnsi="新宋体" w:eastAsia="新宋体" w:cs="新宋体"/>
                <w:color w:val="auto"/>
                <w:sz w:val="22"/>
                <w:szCs w:val="22"/>
                <w:highlight w:val="none"/>
              </w:rPr>
            </w:pPr>
          </w:p>
        </w:tc>
        <w:tc>
          <w:tcPr>
            <w:tcW w:w="3402" w:type="dxa"/>
            <w:vAlign w:val="center"/>
          </w:tcPr>
          <w:p w14:paraId="4A756197">
            <w:pPr>
              <w:jc w:val="center"/>
              <w:rPr>
                <w:rFonts w:hint="eastAsia" w:ascii="新宋体" w:hAnsi="新宋体" w:eastAsia="新宋体" w:cs="新宋体"/>
                <w:color w:val="auto"/>
                <w:sz w:val="22"/>
                <w:szCs w:val="22"/>
                <w:highlight w:val="none"/>
              </w:rPr>
            </w:pPr>
          </w:p>
        </w:tc>
        <w:tc>
          <w:tcPr>
            <w:tcW w:w="1580" w:type="dxa"/>
            <w:vAlign w:val="center"/>
          </w:tcPr>
          <w:p w14:paraId="0F344CB3">
            <w:pPr>
              <w:jc w:val="center"/>
              <w:rPr>
                <w:rFonts w:hint="eastAsia" w:ascii="新宋体" w:hAnsi="新宋体" w:eastAsia="新宋体" w:cs="新宋体"/>
                <w:color w:val="auto"/>
                <w:sz w:val="22"/>
                <w:szCs w:val="22"/>
                <w:highlight w:val="none"/>
              </w:rPr>
            </w:pPr>
          </w:p>
        </w:tc>
      </w:tr>
      <w:tr w14:paraId="42394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57AB7AB8">
            <w:pPr>
              <w:jc w:val="center"/>
              <w:rPr>
                <w:rFonts w:hint="eastAsia" w:ascii="新宋体" w:hAnsi="新宋体" w:eastAsia="新宋体" w:cs="新宋体"/>
                <w:color w:val="auto"/>
                <w:sz w:val="22"/>
                <w:szCs w:val="22"/>
                <w:highlight w:val="none"/>
              </w:rPr>
            </w:pPr>
          </w:p>
        </w:tc>
        <w:tc>
          <w:tcPr>
            <w:tcW w:w="3687" w:type="dxa"/>
            <w:vAlign w:val="center"/>
          </w:tcPr>
          <w:p w14:paraId="70EC1D05">
            <w:pPr>
              <w:jc w:val="center"/>
              <w:rPr>
                <w:rFonts w:hint="eastAsia" w:ascii="新宋体" w:hAnsi="新宋体" w:eastAsia="新宋体" w:cs="新宋体"/>
                <w:color w:val="auto"/>
                <w:sz w:val="22"/>
                <w:szCs w:val="22"/>
                <w:highlight w:val="none"/>
              </w:rPr>
            </w:pPr>
          </w:p>
        </w:tc>
        <w:tc>
          <w:tcPr>
            <w:tcW w:w="3402" w:type="dxa"/>
            <w:vAlign w:val="center"/>
          </w:tcPr>
          <w:p w14:paraId="3C787A7E">
            <w:pPr>
              <w:jc w:val="center"/>
              <w:rPr>
                <w:rFonts w:hint="eastAsia" w:ascii="新宋体" w:hAnsi="新宋体" w:eastAsia="新宋体" w:cs="新宋体"/>
                <w:color w:val="auto"/>
                <w:sz w:val="22"/>
                <w:szCs w:val="22"/>
                <w:highlight w:val="none"/>
              </w:rPr>
            </w:pPr>
          </w:p>
        </w:tc>
        <w:tc>
          <w:tcPr>
            <w:tcW w:w="1580" w:type="dxa"/>
            <w:vAlign w:val="center"/>
          </w:tcPr>
          <w:p w14:paraId="09D97327">
            <w:pPr>
              <w:jc w:val="center"/>
              <w:rPr>
                <w:rFonts w:hint="eastAsia" w:ascii="新宋体" w:hAnsi="新宋体" w:eastAsia="新宋体" w:cs="新宋体"/>
                <w:color w:val="auto"/>
                <w:sz w:val="22"/>
                <w:szCs w:val="22"/>
                <w:highlight w:val="none"/>
              </w:rPr>
            </w:pPr>
          </w:p>
        </w:tc>
      </w:tr>
      <w:tr w14:paraId="07ED8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131E58D2">
            <w:pPr>
              <w:jc w:val="center"/>
              <w:rPr>
                <w:rFonts w:hint="eastAsia" w:ascii="新宋体" w:hAnsi="新宋体" w:eastAsia="新宋体" w:cs="新宋体"/>
                <w:color w:val="auto"/>
                <w:sz w:val="22"/>
                <w:szCs w:val="22"/>
                <w:highlight w:val="none"/>
              </w:rPr>
            </w:pPr>
          </w:p>
        </w:tc>
        <w:tc>
          <w:tcPr>
            <w:tcW w:w="3687" w:type="dxa"/>
            <w:vAlign w:val="center"/>
          </w:tcPr>
          <w:p w14:paraId="5E27D039">
            <w:pPr>
              <w:jc w:val="center"/>
              <w:rPr>
                <w:rFonts w:hint="eastAsia" w:ascii="新宋体" w:hAnsi="新宋体" w:eastAsia="新宋体" w:cs="新宋体"/>
                <w:color w:val="auto"/>
                <w:sz w:val="22"/>
                <w:szCs w:val="22"/>
                <w:highlight w:val="none"/>
              </w:rPr>
            </w:pPr>
          </w:p>
        </w:tc>
        <w:tc>
          <w:tcPr>
            <w:tcW w:w="3402" w:type="dxa"/>
            <w:vAlign w:val="center"/>
          </w:tcPr>
          <w:p w14:paraId="68AC0E48">
            <w:pPr>
              <w:jc w:val="center"/>
              <w:rPr>
                <w:rFonts w:hint="eastAsia" w:ascii="新宋体" w:hAnsi="新宋体" w:eastAsia="新宋体" w:cs="新宋体"/>
                <w:color w:val="auto"/>
                <w:sz w:val="22"/>
                <w:szCs w:val="22"/>
                <w:highlight w:val="none"/>
              </w:rPr>
            </w:pPr>
          </w:p>
        </w:tc>
        <w:tc>
          <w:tcPr>
            <w:tcW w:w="1580" w:type="dxa"/>
            <w:vAlign w:val="center"/>
          </w:tcPr>
          <w:p w14:paraId="679A63F5">
            <w:pPr>
              <w:jc w:val="center"/>
              <w:rPr>
                <w:rFonts w:hint="eastAsia" w:ascii="新宋体" w:hAnsi="新宋体" w:eastAsia="新宋体" w:cs="新宋体"/>
                <w:color w:val="auto"/>
                <w:sz w:val="22"/>
                <w:szCs w:val="22"/>
                <w:highlight w:val="none"/>
              </w:rPr>
            </w:pPr>
          </w:p>
        </w:tc>
      </w:tr>
      <w:tr w14:paraId="6E548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6B73DA1C">
            <w:pPr>
              <w:jc w:val="center"/>
              <w:rPr>
                <w:rFonts w:hint="eastAsia" w:ascii="新宋体" w:hAnsi="新宋体" w:eastAsia="新宋体" w:cs="新宋体"/>
                <w:color w:val="auto"/>
                <w:sz w:val="22"/>
                <w:szCs w:val="22"/>
                <w:highlight w:val="none"/>
              </w:rPr>
            </w:pPr>
          </w:p>
        </w:tc>
        <w:tc>
          <w:tcPr>
            <w:tcW w:w="3687" w:type="dxa"/>
            <w:vAlign w:val="center"/>
          </w:tcPr>
          <w:p w14:paraId="04DED318">
            <w:pPr>
              <w:jc w:val="center"/>
              <w:rPr>
                <w:rFonts w:hint="eastAsia" w:ascii="新宋体" w:hAnsi="新宋体" w:eastAsia="新宋体" w:cs="新宋体"/>
                <w:color w:val="auto"/>
                <w:sz w:val="22"/>
                <w:szCs w:val="22"/>
                <w:highlight w:val="none"/>
              </w:rPr>
            </w:pPr>
          </w:p>
        </w:tc>
        <w:tc>
          <w:tcPr>
            <w:tcW w:w="3402" w:type="dxa"/>
            <w:vAlign w:val="center"/>
          </w:tcPr>
          <w:p w14:paraId="6EC71825">
            <w:pPr>
              <w:jc w:val="center"/>
              <w:rPr>
                <w:rFonts w:hint="eastAsia" w:ascii="新宋体" w:hAnsi="新宋体" w:eastAsia="新宋体" w:cs="新宋体"/>
                <w:color w:val="auto"/>
                <w:sz w:val="22"/>
                <w:szCs w:val="22"/>
                <w:highlight w:val="none"/>
              </w:rPr>
            </w:pPr>
          </w:p>
        </w:tc>
        <w:tc>
          <w:tcPr>
            <w:tcW w:w="1580" w:type="dxa"/>
            <w:vAlign w:val="center"/>
          </w:tcPr>
          <w:p w14:paraId="5946FE77">
            <w:pPr>
              <w:jc w:val="center"/>
              <w:rPr>
                <w:rFonts w:hint="eastAsia" w:ascii="新宋体" w:hAnsi="新宋体" w:eastAsia="新宋体" w:cs="新宋体"/>
                <w:color w:val="auto"/>
                <w:sz w:val="22"/>
                <w:szCs w:val="22"/>
                <w:highlight w:val="none"/>
              </w:rPr>
            </w:pPr>
          </w:p>
        </w:tc>
      </w:tr>
      <w:tr w14:paraId="6F16A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0160D43D">
            <w:pPr>
              <w:jc w:val="center"/>
              <w:rPr>
                <w:rFonts w:hint="eastAsia" w:ascii="新宋体" w:hAnsi="新宋体" w:eastAsia="新宋体" w:cs="新宋体"/>
                <w:color w:val="auto"/>
                <w:sz w:val="22"/>
                <w:szCs w:val="22"/>
                <w:highlight w:val="none"/>
              </w:rPr>
            </w:pPr>
          </w:p>
        </w:tc>
        <w:tc>
          <w:tcPr>
            <w:tcW w:w="3687" w:type="dxa"/>
            <w:vAlign w:val="center"/>
          </w:tcPr>
          <w:p w14:paraId="0EA3EE3E">
            <w:pPr>
              <w:jc w:val="center"/>
              <w:rPr>
                <w:rFonts w:hint="eastAsia" w:ascii="新宋体" w:hAnsi="新宋体" w:eastAsia="新宋体" w:cs="新宋体"/>
                <w:color w:val="auto"/>
                <w:sz w:val="22"/>
                <w:szCs w:val="22"/>
                <w:highlight w:val="none"/>
              </w:rPr>
            </w:pPr>
          </w:p>
        </w:tc>
        <w:tc>
          <w:tcPr>
            <w:tcW w:w="3402" w:type="dxa"/>
            <w:vAlign w:val="center"/>
          </w:tcPr>
          <w:p w14:paraId="3089A8C3">
            <w:pPr>
              <w:jc w:val="center"/>
              <w:rPr>
                <w:rFonts w:hint="eastAsia" w:ascii="新宋体" w:hAnsi="新宋体" w:eastAsia="新宋体" w:cs="新宋体"/>
                <w:color w:val="auto"/>
                <w:sz w:val="22"/>
                <w:szCs w:val="22"/>
                <w:highlight w:val="none"/>
              </w:rPr>
            </w:pPr>
          </w:p>
        </w:tc>
        <w:tc>
          <w:tcPr>
            <w:tcW w:w="1580" w:type="dxa"/>
            <w:vAlign w:val="center"/>
          </w:tcPr>
          <w:p w14:paraId="4ED7AE1F">
            <w:pPr>
              <w:jc w:val="center"/>
              <w:rPr>
                <w:rFonts w:hint="eastAsia" w:ascii="新宋体" w:hAnsi="新宋体" w:eastAsia="新宋体" w:cs="新宋体"/>
                <w:color w:val="auto"/>
                <w:sz w:val="22"/>
                <w:szCs w:val="22"/>
                <w:highlight w:val="none"/>
              </w:rPr>
            </w:pPr>
          </w:p>
        </w:tc>
      </w:tr>
      <w:tr w14:paraId="34D21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5D8B41A2">
            <w:pPr>
              <w:jc w:val="center"/>
              <w:rPr>
                <w:rFonts w:hint="eastAsia" w:ascii="新宋体" w:hAnsi="新宋体" w:eastAsia="新宋体" w:cs="新宋体"/>
                <w:color w:val="auto"/>
                <w:sz w:val="22"/>
                <w:szCs w:val="22"/>
                <w:highlight w:val="none"/>
              </w:rPr>
            </w:pPr>
          </w:p>
        </w:tc>
        <w:tc>
          <w:tcPr>
            <w:tcW w:w="3687" w:type="dxa"/>
            <w:vAlign w:val="center"/>
          </w:tcPr>
          <w:p w14:paraId="0BB752E2">
            <w:pPr>
              <w:jc w:val="center"/>
              <w:rPr>
                <w:rFonts w:hint="eastAsia" w:ascii="新宋体" w:hAnsi="新宋体" w:eastAsia="新宋体" w:cs="新宋体"/>
                <w:color w:val="auto"/>
                <w:sz w:val="22"/>
                <w:szCs w:val="22"/>
                <w:highlight w:val="none"/>
              </w:rPr>
            </w:pPr>
          </w:p>
        </w:tc>
        <w:tc>
          <w:tcPr>
            <w:tcW w:w="3402" w:type="dxa"/>
            <w:vAlign w:val="center"/>
          </w:tcPr>
          <w:p w14:paraId="1DC096F3">
            <w:pPr>
              <w:jc w:val="center"/>
              <w:rPr>
                <w:rFonts w:hint="eastAsia" w:ascii="新宋体" w:hAnsi="新宋体" w:eastAsia="新宋体" w:cs="新宋体"/>
                <w:color w:val="auto"/>
                <w:sz w:val="22"/>
                <w:szCs w:val="22"/>
                <w:highlight w:val="none"/>
              </w:rPr>
            </w:pPr>
          </w:p>
        </w:tc>
        <w:tc>
          <w:tcPr>
            <w:tcW w:w="1580" w:type="dxa"/>
            <w:vAlign w:val="center"/>
          </w:tcPr>
          <w:p w14:paraId="7FD01D8A">
            <w:pPr>
              <w:jc w:val="center"/>
              <w:rPr>
                <w:rFonts w:hint="eastAsia" w:ascii="新宋体" w:hAnsi="新宋体" w:eastAsia="新宋体" w:cs="新宋体"/>
                <w:color w:val="auto"/>
                <w:sz w:val="22"/>
                <w:szCs w:val="22"/>
                <w:highlight w:val="none"/>
              </w:rPr>
            </w:pPr>
          </w:p>
        </w:tc>
      </w:tr>
    </w:tbl>
    <w:p w14:paraId="40E8F3A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注：如有偏离，必须在偏离表中进行详细对比说明并注明正偏离和负偏离，如不说明偏离情况，视为完全响应采购文件要求无偏离</w:t>
      </w:r>
    </w:p>
    <w:p w14:paraId="086631DF">
      <w:pPr>
        <w:spacing w:line="460" w:lineRule="exact"/>
        <w:ind w:firstLine="5060" w:firstLineChars="2300"/>
        <w:rPr>
          <w:rFonts w:hint="eastAsia" w:ascii="新宋体" w:hAnsi="新宋体" w:eastAsia="新宋体" w:cs="新宋体"/>
          <w:color w:val="auto"/>
          <w:sz w:val="22"/>
          <w:szCs w:val="22"/>
          <w:highlight w:val="none"/>
        </w:rPr>
      </w:pPr>
      <w:bookmarkStart w:id="44" w:name="_Toc415152386"/>
      <w:r>
        <w:rPr>
          <w:rFonts w:hint="eastAsia" w:ascii="新宋体" w:hAnsi="新宋体" w:eastAsia="新宋体" w:cs="新宋体"/>
          <w:color w:val="auto"/>
          <w:sz w:val="22"/>
          <w:szCs w:val="22"/>
          <w:highlight w:val="none"/>
        </w:rPr>
        <w:t>投标人全称（盖章）：</w:t>
      </w:r>
    </w:p>
    <w:p w14:paraId="61BB19EF">
      <w:pPr>
        <w:spacing w:line="460" w:lineRule="exact"/>
        <w:ind w:firstLine="5060" w:firstLineChars="23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6AB45741">
      <w:pPr>
        <w:spacing w:line="460" w:lineRule="exact"/>
        <w:ind w:firstLine="5060" w:firstLineChars="23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3A6A26BD">
      <w:pPr>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4"/>
          <w:highlight w:val="none"/>
        </w:rPr>
        <w:br w:type="page"/>
      </w:r>
      <w:bookmarkEnd w:id="44"/>
    </w:p>
    <w:p w14:paraId="27F65ED2">
      <w:pPr>
        <w:spacing w:line="420" w:lineRule="exact"/>
        <w:jc w:val="center"/>
        <w:outlineLvl w:val="3"/>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t>5、其他必要提供的资料</w:t>
      </w:r>
    </w:p>
    <w:p w14:paraId="35259CF4">
      <w:pPr>
        <w:spacing w:line="360" w:lineRule="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项目编号：</w:t>
      </w:r>
    </w:p>
    <w:p w14:paraId="4125D665">
      <w:pPr>
        <w:bidi w:val="0"/>
        <w:rPr>
          <w:rFonts w:hint="eastAsia" w:ascii="新宋体" w:hAnsi="新宋体" w:eastAsia="新宋体" w:cs="新宋体"/>
          <w:color w:val="auto"/>
          <w:highlight w:val="none"/>
        </w:rPr>
      </w:pPr>
      <w:r>
        <w:rPr>
          <w:rFonts w:hint="eastAsia" w:ascii="新宋体" w:hAnsi="新宋体" w:eastAsia="新宋体" w:cs="新宋体"/>
          <w:color w:val="auto"/>
          <w:sz w:val="22"/>
          <w:szCs w:val="22"/>
          <w:highlight w:val="none"/>
        </w:rPr>
        <w:t>项目名称：</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0"/>
      </w:tblGrid>
      <w:tr w14:paraId="67DAB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5" w:hRule="atLeast"/>
        </w:trPr>
        <w:tc>
          <w:tcPr>
            <w:tcW w:w="9820" w:type="dxa"/>
            <w:noWrap w:val="0"/>
            <w:vAlign w:val="top"/>
          </w:tcPr>
          <w:p w14:paraId="04C17097">
            <w:pPr>
              <w:jc w:val="center"/>
              <w:rPr>
                <w:rFonts w:hint="eastAsia" w:ascii="新宋体" w:hAnsi="新宋体" w:eastAsia="新宋体" w:cs="新宋体"/>
                <w:color w:val="auto"/>
                <w:highlight w:val="none"/>
              </w:rPr>
            </w:pPr>
            <w:r>
              <w:rPr>
                <w:rFonts w:hint="eastAsia" w:ascii="新宋体" w:hAnsi="新宋体" w:eastAsia="新宋体" w:cs="新宋体"/>
                <w:b/>
                <w:bCs/>
                <w:color w:val="auto"/>
                <w:sz w:val="22"/>
                <w:szCs w:val="22"/>
                <w:highlight w:val="none"/>
                <w:u w:val="single"/>
                <w:lang w:val="en-US" w:eastAsia="zh-CN"/>
              </w:rPr>
              <w:t>根据</w:t>
            </w:r>
            <w:r>
              <w:rPr>
                <w:rFonts w:hint="eastAsia" w:ascii="新宋体" w:hAnsi="新宋体" w:eastAsia="新宋体" w:cs="新宋体"/>
                <w:b/>
                <w:bCs/>
                <w:color w:val="auto"/>
                <w:sz w:val="22"/>
                <w:szCs w:val="22"/>
                <w:highlight w:val="none"/>
                <w:u w:val="single"/>
              </w:rPr>
              <w:t>评标标准</w:t>
            </w:r>
            <w:r>
              <w:rPr>
                <w:rFonts w:hint="eastAsia" w:ascii="新宋体" w:hAnsi="新宋体" w:eastAsia="新宋体" w:cs="新宋体"/>
                <w:b/>
                <w:bCs/>
                <w:color w:val="auto"/>
                <w:sz w:val="22"/>
                <w:szCs w:val="22"/>
                <w:highlight w:val="none"/>
                <w:u w:val="single"/>
                <w:lang w:val="en-US" w:eastAsia="zh-CN"/>
              </w:rPr>
              <w:t>自行提供</w:t>
            </w:r>
          </w:p>
        </w:tc>
      </w:tr>
    </w:tbl>
    <w:p w14:paraId="143EC5CF">
      <w:pPr>
        <w:rPr>
          <w:rFonts w:hint="eastAsia" w:ascii="新宋体" w:hAnsi="新宋体" w:eastAsia="新宋体" w:cs="新宋体"/>
          <w:color w:val="auto"/>
          <w:highlight w:val="none"/>
        </w:rPr>
      </w:pPr>
    </w:p>
    <w:p w14:paraId="62DE4C70">
      <w:pPr>
        <w:rPr>
          <w:rFonts w:hint="eastAsia" w:ascii="新宋体" w:hAnsi="新宋体" w:eastAsia="新宋体" w:cs="新宋体"/>
          <w:color w:val="auto"/>
          <w:highlight w:val="none"/>
        </w:rPr>
      </w:pPr>
    </w:p>
    <w:p w14:paraId="2A49A915">
      <w:pPr>
        <w:spacing w:line="460" w:lineRule="exact"/>
        <w:ind w:firstLine="5060" w:firstLineChars="23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5D1BB61B">
      <w:pPr>
        <w:spacing w:line="460" w:lineRule="exact"/>
        <w:ind w:firstLine="5060" w:firstLineChars="23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276A8702">
      <w:pPr>
        <w:spacing w:line="460" w:lineRule="exact"/>
        <w:ind w:firstLine="5060" w:firstLineChars="23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5B01D1FE">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br w:type="page"/>
      </w:r>
    </w:p>
    <w:p w14:paraId="7C594A46">
      <w:pPr>
        <w:rPr>
          <w:rFonts w:hint="eastAsia" w:ascii="新宋体" w:hAnsi="新宋体" w:eastAsia="新宋体" w:cs="新宋体"/>
          <w:color w:val="auto"/>
          <w:sz w:val="22"/>
          <w:szCs w:val="22"/>
          <w:highlight w:val="none"/>
        </w:rPr>
        <w:sectPr>
          <w:pgSz w:w="11906" w:h="16838"/>
          <w:pgMar w:top="1134" w:right="1134" w:bottom="1134" w:left="1134" w:header="850" w:footer="992" w:gutter="0"/>
          <w:cols w:space="720" w:num="1"/>
          <w:docGrid w:type="lines" w:linePitch="321" w:charSpace="0"/>
        </w:sectPr>
      </w:pPr>
    </w:p>
    <w:p w14:paraId="28E22894">
      <w:pPr>
        <w:pStyle w:val="3"/>
        <w:numPr>
          <w:ilvl w:val="0"/>
          <w:numId w:val="0"/>
        </w:numPr>
        <w:jc w:val="center"/>
        <w:rPr>
          <w:rFonts w:hint="eastAsia" w:ascii="新宋体" w:hAnsi="新宋体" w:eastAsia="新宋体" w:cs="新宋体"/>
          <w:color w:val="auto"/>
          <w:highlight w:val="none"/>
        </w:rPr>
      </w:pPr>
      <w:bookmarkStart w:id="45" w:name="_Toc10142"/>
      <w:bookmarkStart w:id="46" w:name="_Toc3381"/>
      <w:bookmarkStart w:id="47" w:name="_Toc221356958"/>
      <w:bookmarkStart w:id="48" w:name="_Toc221356895"/>
      <w:r>
        <w:rPr>
          <w:rFonts w:hint="eastAsia" w:ascii="新宋体" w:hAnsi="新宋体" w:eastAsia="新宋体" w:cs="新宋体"/>
          <w:color w:val="auto"/>
          <w:highlight w:val="none"/>
          <w:lang w:val="en-US" w:eastAsia="zh-CN"/>
        </w:rPr>
        <w:t xml:space="preserve">第四部分   </w:t>
      </w:r>
      <w:r>
        <w:rPr>
          <w:rFonts w:hint="eastAsia" w:ascii="新宋体" w:hAnsi="新宋体" w:eastAsia="新宋体" w:cs="新宋体"/>
          <w:color w:val="auto"/>
          <w:highlight w:val="none"/>
        </w:rPr>
        <w:t>项目技术规范和服务要求</w:t>
      </w:r>
      <w:bookmarkEnd w:id="45"/>
      <w:bookmarkEnd w:id="46"/>
    </w:p>
    <w:bookmarkEnd w:id="47"/>
    <w:bookmarkEnd w:id="48"/>
    <w:p w14:paraId="6808B1D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rPr>
      </w:pPr>
      <w:bookmarkStart w:id="49" w:name="jinjicd"/>
      <w:bookmarkEnd w:id="49"/>
      <w:bookmarkStart w:id="50" w:name="csmb"/>
      <w:bookmarkEnd w:id="50"/>
      <w:bookmarkStart w:id="51" w:name="_Toc18194"/>
      <w:bookmarkStart w:id="52" w:name="_Toc30323"/>
      <w:r>
        <w:rPr>
          <w:rFonts w:hint="eastAsia" w:ascii="新宋体" w:hAnsi="新宋体" w:eastAsia="新宋体" w:cs="新宋体"/>
          <w:b/>
          <w:bCs/>
          <w:color w:val="auto"/>
          <w:sz w:val="22"/>
          <w:szCs w:val="22"/>
          <w:highlight w:val="none"/>
        </w:rPr>
        <w:t>一、相关说明</w:t>
      </w:r>
    </w:p>
    <w:p w14:paraId="497C79F8">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投标供应商应对招标标段范围内的所有内容进行投标，提供产品及其附件的设计、采购、制造、检测、试验、至最终目的地的运输和保险、现场仓储以及安装、验收、技术服务及相关文件的提交、质保期维护等服务。</w:t>
      </w:r>
    </w:p>
    <w:p w14:paraId="398D4D22">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投标供应商所投产品及主要部件的名称、品牌、型号、技术参数、性能、数量、单价、合价、制造商、质保期等应在投标文件中明确，对采购文件的技术条款及要求应予以实质性响应，如有偏离应在偏离表中注明。</w:t>
      </w:r>
    </w:p>
    <w:p w14:paraId="60776705">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上述技术标准和规范如果有不足之处或者未能达到国际和国家最新标准的时候，投标供应商应使选用的设备和材料符合最新版本的国际和国家的标准、规范，并提供采用的国家和国际标准、规范以及所采用的版本的有关技术资料。</w:t>
      </w:r>
    </w:p>
    <w:p w14:paraId="4A42F4DD">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投标供应商采用其它标准和规范时，应在投标书中注明是采用何种标准，并应保证设备达到或优于国家规定的现行相关标准。</w:t>
      </w:r>
    </w:p>
    <w:p w14:paraId="48F8DDD2">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对国家规定有强制性规范或条例或认证要求的设备或材料，投标供应商提供的设备或材料应符合该类要求。</w:t>
      </w:r>
    </w:p>
    <w:p w14:paraId="0BF37B50">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招标内容中要求出具原厂售后服务或者原厂授权的，投标供应商可以承诺在中标后7个工作日内提供，如逾期无法提供，将视为自动放弃中标资格处理。</w:t>
      </w:r>
    </w:p>
    <w:p w14:paraId="6E2C0FF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二、项目名称</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5125"/>
        <w:gridCol w:w="1656"/>
        <w:gridCol w:w="1752"/>
      </w:tblGrid>
      <w:tr w14:paraId="2AA70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50" w:type="dxa"/>
            <w:noWrap w:val="0"/>
            <w:vAlign w:val="center"/>
          </w:tcPr>
          <w:p w14:paraId="14CD5CF4">
            <w:pPr>
              <w:keepNext w:val="0"/>
              <w:keepLines w:val="0"/>
              <w:pageBreakBefore w:val="0"/>
              <w:kinsoku/>
              <w:wordWrap/>
              <w:overflowPunct/>
              <w:topLinePunct w:val="0"/>
              <w:autoSpaceDE/>
              <w:autoSpaceDN/>
              <w:bidi w:val="0"/>
              <w:adjustRightInd/>
              <w:snapToGrid/>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序号</w:t>
            </w:r>
          </w:p>
        </w:tc>
        <w:tc>
          <w:tcPr>
            <w:tcW w:w="5125" w:type="dxa"/>
            <w:noWrap w:val="0"/>
            <w:vAlign w:val="center"/>
          </w:tcPr>
          <w:p w14:paraId="01E19FF2">
            <w:pPr>
              <w:keepNext w:val="0"/>
              <w:keepLines w:val="0"/>
              <w:pageBreakBefore w:val="0"/>
              <w:kinsoku/>
              <w:wordWrap/>
              <w:overflowPunct/>
              <w:topLinePunct w:val="0"/>
              <w:autoSpaceDE/>
              <w:autoSpaceDN/>
              <w:bidi w:val="0"/>
              <w:adjustRightInd/>
              <w:snapToGrid/>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产品</w:t>
            </w:r>
            <w:r>
              <w:rPr>
                <w:rFonts w:hint="eastAsia" w:ascii="新宋体" w:hAnsi="新宋体" w:eastAsia="新宋体" w:cs="新宋体"/>
                <w:color w:val="auto"/>
                <w:sz w:val="22"/>
                <w:szCs w:val="22"/>
                <w:highlight w:val="none"/>
                <w:lang w:val="en-US" w:eastAsia="zh-CN"/>
              </w:rPr>
              <w:t>清单</w:t>
            </w:r>
            <w:r>
              <w:rPr>
                <w:rFonts w:hint="eastAsia" w:ascii="新宋体" w:hAnsi="新宋体" w:eastAsia="新宋体" w:cs="新宋体"/>
                <w:color w:val="auto"/>
                <w:sz w:val="22"/>
                <w:szCs w:val="22"/>
                <w:highlight w:val="none"/>
              </w:rPr>
              <w:t>名称</w:t>
            </w:r>
          </w:p>
        </w:tc>
        <w:tc>
          <w:tcPr>
            <w:tcW w:w="1656" w:type="dxa"/>
            <w:noWrap w:val="0"/>
            <w:vAlign w:val="center"/>
          </w:tcPr>
          <w:p w14:paraId="2CC57600">
            <w:pPr>
              <w:keepNext w:val="0"/>
              <w:keepLines w:val="0"/>
              <w:pageBreakBefore w:val="0"/>
              <w:kinsoku/>
              <w:wordWrap/>
              <w:overflowPunct/>
              <w:topLinePunct w:val="0"/>
              <w:autoSpaceDE/>
              <w:autoSpaceDN/>
              <w:bidi w:val="0"/>
              <w:adjustRightInd/>
              <w:snapToGrid/>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数量</w:t>
            </w:r>
          </w:p>
        </w:tc>
        <w:tc>
          <w:tcPr>
            <w:tcW w:w="1752" w:type="dxa"/>
            <w:noWrap w:val="0"/>
            <w:vAlign w:val="center"/>
          </w:tcPr>
          <w:p w14:paraId="698A45BC">
            <w:pPr>
              <w:keepNext w:val="0"/>
              <w:keepLines w:val="0"/>
              <w:pageBreakBefore w:val="0"/>
              <w:kinsoku/>
              <w:wordWrap/>
              <w:overflowPunct/>
              <w:topLinePunct w:val="0"/>
              <w:autoSpaceDE/>
              <w:autoSpaceDN/>
              <w:bidi w:val="0"/>
              <w:adjustRightInd/>
              <w:snapToGrid/>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产品预算</w:t>
            </w:r>
            <w:r>
              <w:rPr>
                <w:rFonts w:hint="eastAsia" w:ascii="新宋体" w:hAnsi="新宋体" w:eastAsia="新宋体" w:cs="新宋体"/>
                <w:i w:val="0"/>
                <w:iCs w:val="0"/>
                <w:color w:val="auto"/>
                <w:kern w:val="0"/>
                <w:sz w:val="22"/>
                <w:szCs w:val="22"/>
                <w:highlight w:val="none"/>
                <w:u w:val="none"/>
                <w:lang w:val="en-US" w:eastAsia="zh-CN" w:bidi="ar"/>
              </w:rPr>
              <w:t>（元）</w:t>
            </w:r>
          </w:p>
        </w:tc>
      </w:tr>
      <w:tr w14:paraId="4B158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750" w:type="dxa"/>
            <w:noWrap w:val="0"/>
            <w:vAlign w:val="center"/>
          </w:tcPr>
          <w:p w14:paraId="5B465C8A">
            <w:pPr>
              <w:keepNext w:val="0"/>
              <w:keepLines w:val="0"/>
              <w:pageBreakBefore w:val="0"/>
              <w:kinsoku/>
              <w:wordWrap/>
              <w:overflowPunct/>
              <w:topLinePunct w:val="0"/>
              <w:autoSpaceDE/>
              <w:autoSpaceDN/>
              <w:bidi w:val="0"/>
              <w:adjustRightInd/>
              <w:snapToGrid/>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5125" w:type="dxa"/>
            <w:noWrap w:val="0"/>
            <w:vAlign w:val="center"/>
          </w:tcPr>
          <w:p w14:paraId="06BB6BC4">
            <w:pPr>
              <w:keepNext w:val="0"/>
              <w:keepLines w:val="0"/>
              <w:pageBreakBefore w:val="0"/>
              <w:kinsoku/>
              <w:wordWrap/>
              <w:overflowPunct/>
              <w:topLinePunct w:val="0"/>
              <w:autoSpaceDE/>
              <w:autoSpaceDN/>
              <w:bidi w:val="0"/>
              <w:adjustRightInd/>
              <w:snapToGrid/>
              <w:spacing w:line="460" w:lineRule="exact"/>
              <w:jc w:val="center"/>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sz w:val="22"/>
                <w:szCs w:val="22"/>
                <w:highlight w:val="none"/>
              </w:rPr>
              <w:t>200ML</w:t>
            </w:r>
            <w:r>
              <w:rPr>
                <w:rFonts w:hint="eastAsia" w:ascii="新宋体" w:hAnsi="新宋体" w:eastAsia="新宋体" w:cs="新宋体"/>
                <w:color w:val="auto"/>
                <w:kern w:val="0"/>
                <w:sz w:val="22"/>
                <w:szCs w:val="22"/>
                <w:highlight w:val="none"/>
              </w:rPr>
              <w:t>一次性使用去白细胞塑料血袋</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lang w:val="en-US" w:eastAsia="zh-CN"/>
              </w:rPr>
              <w:t>采输血器</w:t>
            </w:r>
            <w:r>
              <w:rPr>
                <w:rFonts w:hint="eastAsia" w:ascii="新宋体" w:hAnsi="新宋体" w:eastAsia="新宋体" w:cs="新宋体"/>
                <w:color w:val="auto"/>
                <w:kern w:val="0"/>
                <w:sz w:val="22"/>
                <w:szCs w:val="22"/>
                <w:highlight w:val="none"/>
                <w:lang w:eastAsia="zh-CN"/>
              </w:rPr>
              <w:t>）</w:t>
            </w:r>
          </w:p>
        </w:tc>
        <w:tc>
          <w:tcPr>
            <w:tcW w:w="1656" w:type="dxa"/>
            <w:noWrap w:val="0"/>
            <w:vAlign w:val="center"/>
          </w:tcPr>
          <w:p w14:paraId="5045E75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i w:val="0"/>
                <w:iCs w:val="0"/>
                <w:color w:val="auto"/>
                <w:kern w:val="0"/>
                <w:sz w:val="22"/>
                <w:szCs w:val="22"/>
                <w:highlight w:val="none"/>
                <w:u w:val="none"/>
                <w:lang w:val="en-US" w:eastAsia="zh-CN" w:bidi="ar"/>
              </w:rPr>
              <w:t>2413套</w:t>
            </w:r>
          </w:p>
        </w:tc>
        <w:tc>
          <w:tcPr>
            <w:tcW w:w="1752" w:type="dxa"/>
            <w:noWrap w:val="0"/>
            <w:vAlign w:val="center"/>
          </w:tcPr>
          <w:p w14:paraId="01454AD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auto"/>
                <w:sz w:val="22"/>
                <w:szCs w:val="22"/>
                <w:highlight w:val="none"/>
                <w:lang w:val="en-US"/>
              </w:rPr>
            </w:pPr>
            <w:r>
              <w:rPr>
                <w:rFonts w:hint="eastAsia" w:ascii="新宋体" w:hAnsi="新宋体" w:eastAsia="新宋体" w:cs="新宋体"/>
                <w:i w:val="0"/>
                <w:iCs w:val="0"/>
                <w:color w:val="auto"/>
                <w:kern w:val="0"/>
                <w:sz w:val="22"/>
                <w:szCs w:val="22"/>
                <w:highlight w:val="none"/>
                <w:u w:val="none"/>
                <w:lang w:val="en-US" w:eastAsia="zh-CN" w:bidi="ar"/>
              </w:rPr>
              <w:t>88074.50</w:t>
            </w:r>
          </w:p>
        </w:tc>
      </w:tr>
      <w:tr w14:paraId="73438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750" w:type="dxa"/>
            <w:noWrap w:val="0"/>
            <w:vAlign w:val="center"/>
          </w:tcPr>
          <w:p w14:paraId="3F5AF06B">
            <w:pPr>
              <w:keepNext w:val="0"/>
              <w:keepLines w:val="0"/>
              <w:pageBreakBefore w:val="0"/>
              <w:kinsoku/>
              <w:wordWrap/>
              <w:overflowPunct/>
              <w:topLinePunct w:val="0"/>
              <w:autoSpaceDE/>
              <w:autoSpaceDN/>
              <w:bidi w:val="0"/>
              <w:adjustRightInd/>
              <w:snapToGrid/>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5125" w:type="dxa"/>
            <w:noWrap w:val="0"/>
            <w:vAlign w:val="center"/>
          </w:tcPr>
          <w:p w14:paraId="66C7C9D2">
            <w:pPr>
              <w:keepNext w:val="0"/>
              <w:keepLines w:val="0"/>
              <w:pageBreakBefore w:val="0"/>
              <w:kinsoku/>
              <w:wordWrap/>
              <w:overflowPunct/>
              <w:topLinePunct w:val="0"/>
              <w:autoSpaceDE/>
              <w:autoSpaceDN/>
              <w:bidi w:val="0"/>
              <w:adjustRightInd/>
              <w:snapToGrid/>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00ML</w:t>
            </w:r>
            <w:r>
              <w:rPr>
                <w:rFonts w:hint="eastAsia" w:ascii="新宋体" w:hAnsi="新宋体" w:eastAsia="新宋体" w:cs="新宋体"/>
                <w:color w:val="auto"/>
                <w:kern w:val="0"/>
                <w:sz w:val="22"/>
                <w:szCs w:val="22"/>
                <w:highlight w:val="none"/>
              </w:rPr>
              <w:t>一次性使用去白细胞塑料血袋</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lang w:val="en-US" w:eastAsia="zh-CN"/>
              </w:rPr>
              <w:t>采输血器</w:t>
            </w:r>
            <w:r>
              <w:rPr>
                <w:rFonts w:hint="eastAsia" w:ascii="新宋体" w:hAnsi="新宋体" w:eastAsia="新宋体" w:cs="新宋体"/>
                <w:color w:val="auto"/>
                <w:kern w:val="0"/>
                <w:sz w:val="22"/>
                <w:szCs w:val="22"/>
                <w:highlight w:val="none"/>
                <w:lang w:eastAsia="zh-CN"/>
              </w:rPr>
              <w:t>）</w:t>
            </w:r>
          </w:p>
        </w:tc>
        <w:tc>
          <w:tcPr>
            <w:tcW w:w="1656" w:type="dxa"/>
            <w:noWrap w:val="0"/>
            <w:vAlign w:val="center"/>
          </w:tcPr>
          <w:p w14:paraId="61FC177E">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i w:val="0"/>
                <w:iCs w:val="0"/>
                <w:color w:val="auto"/>
                <w:kern w:val="0"/>
                <w:sz w:val="22"/>
                <w:szCs w:val="22"/>
                <w:highlight w:val="none"/>
                <w:u w:val="none"/>
                <w:lang w:val="en-US" w:eastAsia="zh-CN" w:bidi="ar"/>
              </w:rPr>
              <w:t>7014套</w:t>
            </w:r>
          </w:p>
        </w:tc>
        <w:tc>
          <w:tcPr>
            <w:tcW w:w="1752" w:type="dxa"/>
            <w:noWrap w:val="0"/>
            <w:vAlign w:val="center"/>
          </w:tcPr>
          <w:p w14:paraId="3ADD101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auto"/>
                <w:sz w:val="22"/>
                <w:szCs w:val="22"/>
                <w:highlight w:val="none"/>
                <w:lang w:val="en-US"/>
              </w:rPr>
            </w:pPr>
            <w:r>
              <w:rPr>
                <w:rFonts w:hint="eastAsia" w:ascii="新宋体" w:hAnsi="新宋体" w:eastAsia="新宋体" w:cs="新宋体"/>
                <w:i w:val="0"/>
                <w:iCs w:val="0"/>
                <w:color w:val="auto"/>
                <w:kern w:val="0"/>
                <w:sz w:val="22"/>
                <w:szCs w:val="22"/>
                <w:highlight w:val="none"/>
                <w:u w:val="none"/>
                <w:lang w:val="en-US" w:eastAsia="zh-CN" w:bidi="ar"/>
              </w:rPr>
              <w:t>266532.00</w:t>
            </w:r>
          </w:p>
        </w:tc>
      </w:tr>
      <w:tr w14:paraId="0A343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50" w:type="dxa"/>
            <w:noWrap w:val="0"/>
            <w:vAlign w:val="center"/>
          </w:tcPr>
          <w:p w14:paraId="0D95589C">
            <w:pPr>
              <w:keepNext w:val="0"/>
              <w:keepLines w:val="0"/>
              <w:pageBreakBefore w:val="0"/>
              <w:kinsoku/>
              <w:wordWrap/>
              <w:overflowPunct/>
              <w:topLinePunct w:val="0"/>
              <w:autoSpaceDE/>
              <w:autoSpaceDN/>
              <w:bidi w:val="0"/>
              <w:adjustRightInd/>
              <w:snapToGrid/>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5125" w:type="dxa"/>
            <w:noWrap w:val="0"/>
            <w:vAlign w:val="center"/>
          </w:tcPr>
          <w:p w14:paraId="10C89624">
            <w:pPr>
              <w:keepNext w:val="0"/>
              <w:keepLines w:val="0"/>
              <w:pageBreakBefore w:val="0"/>
              <w:kinsoku/>
              <w:wordWrap/>
              <w:overflowPunct/>
              <w:topLinePunct w:val="0"/>
              <w:autoSpaceDE/>
              <w:autoSpaceDN/>
              <w:bidi w:val="0"/>
              <w:adjustRightInd/>
              <w:snapToGrid/>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00ML</w:t>
            </w:r>
            <w:r>
              <w:rPr>
                <w:rFonts w:hint="eastAsia" w:ascii="新宋体" w:hAnsi="新宋体" w:eastAsia="新宋体" w:cs="新宋体"/>
                <w:color w:val="auto"/>
                <w:kern w:val="0"/>
                <w:sz w:val="22"/>
                <w:szCs w:val="22"/>
                <w:highlight w:val="none"/>
              </w:rPr>
              <w:t>一次性使用去白细胞塑料血袋</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lang w:val="en-US" w:eastAsia="zh-CN"/>
              </w:rPr>
              <w:t>采输血器</w:t>
            </w:r>
            <w:r>
              <w:rPr>
                <w:rFonts w:hint="eastAsia" w:ascii="新宋体" w:hAnsi="新宋体" w:eastAsia="新宋体" w:cs="新宋体"/>
                <w:color w:val="auto"/>
                <w:kern w:val="0"/>
                <w:sz w:val="22"/>
                <w:szCs w:val="22"/>
                <w:highlight w:val="none"/>
                <w:lang w:eastAsia="zh-CN"/>
              </w:rPr>
              <w:t>）</w:t>
            </w:r>
          </w:p>
        </w:tc>
        <w:tc>
          <w:tcPr>
            <w:tcW w:w="1656" w:type="dxa"/>
            <w:noWrap w:val="0"/>
            <w:vAlign w:val="center"/>
          </w:tcPr>
          <w:p w14:paraId="0BC8AFA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i w:val="0"/>
                <w:iCs w:val="0"/>
                <w:color w:val="auto"/>
                <w:kern w:val="0"/>
                <w:sz w:val="22"/>
                <w:szCs w:val="22"/>
                <w:highlight w:val="none"/>
                <w:u w:val="none"/>
                <w:lang w:val="en-US" w:eastAsia="zh-CN" w:bidi="ar"/>
              </w:rPr>
              <w:t>14506套</w:t>
            </w:r>
          </w:p>
        </w:tc>
        <w:tc>
          <w:tcPr>
            <w:tcW w:w="1752" w:type="dxa"/>
            <w:noWrap w:val="0"/>
            <w:vAlign w:val="center"/>
          </w:tcPr>
          <w:p w14:paraId="223D2C5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auto"/>
                <w:sz w:val="22"/>
                <w:szCs w:val="22"/>
                <w:highlight w:val="none"/>
                <w:lang w:val="en-US"/>
              </w:rPr>
            </w:pPr>
            <w:r>
              <w:rPr>
                <w:rFonts w:hint="eastAsia" w:ascii="新宋体" w:hAnsi="新宋体" w:eastAsia="新宋体" w:cs="新宋体"/>
                <w:i w:val="0"/>
                <w:iCs w:val="0"/>
                <w:color w:val="auto"/>
                <w:kern w:val="0"/>
                <w:sz w:val="22"/>
                <w:szCs w:val="22"/>
                <w:highlight w:val="none"/>
                <w:u w:val="none"/>
                <w:lang w:val="en-US" w:eastAsia="zh-CN" w:bidi="ar"/>
              </w:rPr>
              <w:t>558481.00</w:t>
            </w:r>
          </w:p>
        </w:tc>
      </w:tr>
      <w:tr w14:paraId="332D5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50" w:type="dxa"/>
            <w:noWrap w:val="0"/>
            <w:vAlign w:val="center"/>
          </w:tcPr>
          <w:p w14:paraId="5B354F60">
            <w:pPr>
              <w:keepNext w:val="0"/>
              <w:keepLines w:val="0"/>
              <w:pageBreakBefore w:val="0"/>
              <w:kinsoku/>
              <w:wordWrap/>
              <w:overflowPunct/>
              <w:topLinePunct w:val="0"/>
              <w:autoSpaceDE/>
              <w:autoSpaceDN/>
              <w:bidi w:val="0"/>
              <w:adjustRightInd/>
              <w:snapToGrid/>
              <w:spacing w:line="460" w:lineRule="exact"/>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4</w:t>
            </w:r>
          </w:p>
        </w:tc>
        <w:tc>
          <w:tcPr>
            <w:tcW w:w="5125" w:type="dxa"/>
            <w:noWrap w:val="0"/>
            <w:vAlign w:val="center"/>
          </w:tcPr>
          <w:p w14:paraId="11621A6E">
            <w:pPr>
              <w:keepNext w:val="0"/>
              <w:keepLines w:val="0"/>
              <w:pageBreakBefore w:val="0"/>
              <w:kinsoku/>
              <w:wordWrap/>
              <w:overflowPunct/>
              <w:topLinePunct w:val="0"/>
              <w:autoSpaceDE/>
              <w:autoSpaceDN/>
              <w:bidi w:val="0"/>
              <w:adjustRightInd/>
              <w:snapToGrid/>
              <w:spacing w:line="460" w:lineRule="exact"/>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合计</w:t>
            </w:r>
          </w:p>
        </w:tc>
        <w:tc>
          <w:tcPr>
            <w:tcW w:w="1656" w:type="dxa"/>
            <w:noWrap w:val="0"/>
            <w:vAlign w:val="center"/>
          </w:tcPr>
          <w:p w14:paraId="24D3408E">
            <w:pPr>
              <w:tabs>
                <w:tab w:val="left" w:pos="360"/>
              </w:tabs>
              <w:spacing w:line="460" w:lineRule="exact"/>
              <w:jc w:val="center"/>
              <w:rPr>
                <w:rFonts w:hint="eastAsia" w:ascii="新宋体" w:hAnsi="新宋体" w:eastAsia="新宋体" w:cs="新宋体"/>
                <w:i w:val="0"/>
                <w:iCs w:val="0"/>
                <w:color w:val="auto"/>
                <w:kern w:val="0"/>
                <w:sz w:val="22"/>
                <w:szCs w:val="22"/>
                <w:highlight w:val="none"/>
                <w:u w:val="none"/>
                <w:lang w:val="en-US" w:eastAsia="zh-CN" w:bidi="ar"/>
              </w:rPr>
            </w:pPr>
            <w:r>
              <w:rPr>
                <w:rFonts w:hint="eastAsia" w:ascii="新宋体" w:hAnsi="新宋体" w:eastAsia="新宋体" w:cs="新宋体"/>
                <w:color w:val="auto"/>
                <w:sz w:val="22"/>
                <w:szCs w:val="22"/>
                <w:highlight w:val="none"/>
                <w:shd w:val="clear" w:color="auto" w:fill="FFFFFF"/>
                <w:lang w:val="en-US" w:eastAsia="zh-CN"/>
              </w:rPr>
              <w:t>23933套</w:t>
            </w:r>
          </w:p>
        </w:tc>
        <w:tc>
          <w:tcPr>
            <w:tcW w:w="1752" w:type="dxa"/>
            <w:noWrap w:val="0"/>
            <w:vAlign w:val="center"/>
          </w:tcPr>
          <w:p w14:paraId="2ED7F31B">
            <w:pPr>
              <w:tabs>
                <w:tab w:val="left" w:pos="360"/>
              </w:tabs>
              <w:spacing w:line="460" w:lineRule="exact"/>
              <w:jc w:val="center"/>
              <w:rPr>
                <w:rFonts w:hint="eastAsia" w:ascii="新宋体" w:hAnsi="新宋体" w:eastAsia="新宋体" w:cs="新宋体"/>
                <w:i w:val="0"/>
                <w:iCs w:val="0"/>
                <w:color w:val="auto"/>
                <w:kern w:val="0"/>
                <w:sz w:val="22"/>
                <w:szCs w:val="22"/>
                <w:highlight w:val="none"/>
                <w:u w:val="none"/>
                <w:lang w:val="en-US" w:eastAsia="zh-CN" w:bidi="ar"/>
              </w:rPr>
            </w:pPr>
            <w:r>
              <w:rPr>
                <w:rFonts w:hint="eastAsia" w:ascii="新宋体" w:hAnsi="新宋体" w:eastAsia="新宋体" w:cs="新宋体"/>
                <w:color w:val="auto"/>
                <w:sz w:val="22"/>
                <w:szCs w:val="22"/>
                <w:highlight w:val="none"/>
                <w:lang w:val="en-US" w:eastAsia="zh-CN"/>
              </w:rPr>
              <w:t>913087.50</w:t>
            </w:r>
          </w:p>
        </w:tc>
      </w:tr>
      <w:tr w14:paraId="45407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9283" w:type="dxa"/>
            <w:gridSpan w:val="4"/>
            <w:noWrap w:val="0"/>
            <w:vAlign w:val="center"/>
          </w:tcPr>
          <w:p w14:paraId="56DE7CEA">
            <w:pPr>
              <w:tabs>
                <w:tab w:val="left" w:pos="360"/>
              </w:tabs>
              <w:spacing w:line="460" w:lineRule="exact"/>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b/>
                <w:color w:val="auto"/>
                <w:sz w:val="22"/>
                <w:szCs w:val="22"/>
                <w:highlight w:val="none"/>
              </w:rPr>
              <w:t>▲如投标人报价超过预算金额按无效标处理。</w:t>
            </w:r>
          </w:p>
        </w:tc>
      </w:tr>
    </w:tbl>
    <w:p w14:paraId="19E6A1CA">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lang w:val="en-US" w:eastAsia="zh-CN"/>
        </w:rPr>
        <w:t>三、</w:t>
      </w:r>
      <w:r>
        <w:rPr>
          <w:rFonts w:hint="eastAsia" w:ascii="新宋体" w:hAnsi="新宋体" w:eastAsia="新宋体" w:cs="新宋体"/>
          <w:b/>
          <w:bCs/>
          <w:color w:val="auto"/>
          <w:sz w:val="22"/>
          <w:szCs w:val="22"/>
          <w:highlight w:val="none"/>
        </w:rPr>
        <w:t>技术规格</w:t>
      </w:r>
    </w:p>
    <w:p w14:paraId="62A77D03">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lang w:val="en-US" w:eastAsia="zh-CN"/>
        </w:rPr>
      </w:pPr>
      <w:bookmarkStart w:id="53" w:name="_Toc22364"/>
      <w:r>
        <w:rPr>
          <w:rFonts w:hint="eastAsia" w:ascii="新宋体" w:hAnsi="新宋体" w:eastAsia="新宋体" w:cs="新宋体"/>
          <w:b/>
          <w:bCs/>
          <w:color w:val="auto"/>
          <w:sz w:val="22"/>
          <w:szCs w:val="22"/>
          <w:highlight w:val="none"/>
        </w:rPr>
        <w:t>200ML一次性使用去白细胞塑料血袋</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lang w:val="en-US" w:eastAsia="zh-CN"/>
        </w:rPr>
        <w:t>采输血器</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b/>
          <w:bCs/>
          <w:color w:val="auto"/>
          <w:sz w:val="22"/>
          <w:szCs w:val="22"/>
          <w:highlight w:val="none"/>
        </w:rPr>
        <w:t>：</w:t>
      </w:r>
      <w:bookmarkEnd w:id="53"/>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6"/>
        <w:gridCol w:w="8868"/>
      </w:tblGrid>
      <w:tr w14:paraId="01851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54" w:type="dxa"/>
            <w:gridSpan w:val="2"/>
            <w:vAlign w:val="top"/>
          </w:tcPr>
          <w:p w14:paraId="172B4C8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参数规格</w:t>
            </w:r>
          </w:p>
        </w:tc>
      </w:tr>
      <w:tr w14:paraId="4D460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top"/>
          </w:tcPr>
          <w:p w14:paraId="58398EA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w:t>
            </w:r>
          </w:p>
        </w:tc>
        <w:tc>
          <w:tcPr>
            <w:tcW w:w="8954" w:type="dxa"/>
            <w:vAlign w:val="top"/>
          </w:tcPr>
          <w:p w14:paraId="3A7E4E5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相关法规、管理条例与技术标准、行业规范</w:t>
            </w:r>
          </w:p>
        </w:tc>
      </w:tr>
      <w:tr w14:paraId="3DC91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top"/>
          </w:tcPr>
          <w:p w14:paraId="667FFD5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1.1</w:t>
            </w:r>
          </w:p>
        </w:tc>
        <w:tc>
          <w:tcPr>
            <w:tcW w:w="8954" w:type="dxa"/>
            <w:vAlign w:val="top"/>
          </w:tcPr>
          <w:p w14:paraId="66FF3CE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国家规定的标准和规范，有新标准按新标准执行；</w:t>
            </w:r>
          </w:p>
        </w:tc>
      </w:tr>
      <w:tr w14:paraId="0D269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top"/>
          </w:tcPr>
          <w:p w14:paraId="08BDEF03">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1.2</w:t>
            </w:r>
          </w:p>
        </w:tc>
        <w:tc>
          <w:tcPr>
            <w:tcW w:w="8954" w:type="dxa"/>
            <w:vAlign w:val="top"/>
          </w:tcPr>
          <w:p w14:paraId="08DF3C5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行业标准及规范，有新标准按新标准执行；</w:t>
            </w:r>
          </w:p>
        </w:tc>
      </w:tr>
      <w:tr w14:paraId="7BBB1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top"/>
          </w:tcPr>
          <w:p w14:paraId="62E04EE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1.3</w:t>
            </w:r>
          </w:p>
        </w:tc>
        <w:tc>
          <w:tcPr>
            <w:tcW w:w="8954" w:type="dxa"/>
            <w:vAlign w:val="top"/>
          </w:tcPr>
          <w:p w14:paraId="503E794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其他相关标准。</w:t>
            </w:r>
          </w:p>
        </w:tc>
      </w:tr>
      <w:tr w14:paraId="788DF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top"/>
          </w:tcPr>
          <w:p w14:paraId="159E359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w:t>
            </w:r>
          </w:p>
        </w:tc>
        <w:tc>
          <w:tcPr>
            <w:tcW w:w="8954" w:type="dxa"/>
            <w:vAlign w:val="top"/>
          </w:tcPr>
          <w:p w14:paraId="377C793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通用技术要求</w:t>
            </w:r>
          </w:p>
        </w:tc>
      </w:tr>
      <w:tr w14:paraId="1C5E3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top"/>
          </w:tcPr>
          <w:p w14:paraId="0EE52E7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2.1</w:t>
            </w:r>
          </w:p>
        </w:tc>
        <w:tc>
          <w:tcPr>
            <w:tcW w:w="8954" w:type="dxa"/>
            <w:vAlign w:val="top"/>
          </w:tcPr>
          <w:p w14:paraId="09564DE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以下所列仅为产品的基本要求，供应商须按有关标准及规范完成本次采购产品的供货、运输（含装卸车等）、清关、纳税、检验、产品质晕保证措施及保险等各项工作，并保证其使用的安全性与有效性。具体说明、指标参数由供应商在投标文件中提供（必须提供）。</w:t>
            </w:r>
          </w:p>
        </w:tc>
      </w:tr>
      <w:tr w14:paraId="6E17C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top"/>
          </w:tcPr>
          <w:p w14:paraId="73D0842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w:t>
            </w:r>
          </w:p>
        </w:tc>
        <w:tc>
          <w:tcPr>
            <w:tcW w:w="8954" w:type="dxa"/>
            <w:vAlign w:val="top"/>
          </w:tcPr>
          <w:p w14:paraId="337723C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200ML一次性使用去白细胞塑料血袋</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lang w:val="en-US" w:eastAsia="zh-CN"/>
              </w:rPr>
              <w:t>采输血器</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sz w:val="22"/>
                <w:szCs w:val="22"/>
                <w:highlight w:val="none"/>
              </w:rPr>
              <w:t>的详细技术要求</w:t>
            </w:r>
          </w:p>
        </w:tc>
      </w:tr>
      <w:tr w14:paraId="000F8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top"/>
          </w:tcPr>
          <w:p w14:paraId="648AD13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1</w:t>
            </w:r>
          </w:p>
        </w:tc>
        <w:tc>
          <w:tcPr>
            <w:tcW w:w="8954" w:type="dxa"/>
            <w:vAlign w:val="top"/>
          </w:tcPr>
          <w:p w14:paraId="728E68E1">
            <w:pPr>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b/>
                <w:bCs/>
                <w:color w:val="auto"/>
                <w:kern w:val="2"/>
                <w:sz w:val="22"/>
                <w:szCs w:val="22"/>
                <w:highlight w:val="none"/>
                <w:u w:val="single"/>
                <w:lang w:val="en-US" w:eastAsia="zh-CN"/>
              </w:rPr>
            </w:pPr>
            <w:r>
              <w:rPr>
                <w:rFonts w:hint="eastAsia" w:ascii="新宋体" w:hAnsi="新宋体" w:eastAsia="新宋体" w:cs="新宋体"/>
                <w:b/>
                <w:bCs/>
                <w:color w:val="auto"/>
                <w:kern w:val="2"/>
                <w:sz w:val="22"/>
                <w:szCs w:val="22"/>
                <w:highlight w:val="none"/>
                <w:u w:val="single"/>
              </w:rPr>
              <w:t>符合滤白血袋涉及的国家相关资质和</w:t>
            </w:r>
            <w:r>
              <w:rPr>
                <w:rFonts w:hint="eastAsia" w:ascii="新宋体" w:hAnsi="新宋体" w:eastAsia="新宋体" w:cs="新宋体"/>
                <w:b/>
                <w:bCs/>
                <w:color w:val="auto"/>
                <w:kern w:val="2"/>
                <w:sz w:val="22"/>
                <w:szCs w:val="22"/>
                <w:highlight w:val="none"/>
                <w:u w:val="single"/>
                <w:lang w:val="en-US" w:eastAsia="zh-CN"/>
              </w:rPr>
              <w:t>质量</w:t>
            </w:r>
            <w:r>
              <w:rPr>
                <w:rFonts w:hint="eastAsia" w:ascii="新宋体" w:hAnsi="新宋体" w:eastAsia="新宋体" w:cs="新宋体"/>
                <w:b/>
                <w:bCs/>
                <w:color w:val="auto"/>
                <w:kern w:val="2"/>
                <w:sz w:val="22"/>
                <w:szCs w:val="22"/>
                <w:highlight w:val="none"/>
                <w:u w:val="single"/>
              </w:rPr>
              <w:t>要求；滤后产品符合《全血及成分血质量要求》。</w:t>
            </w:r>
          </w:p>
        </w:tc>
      </w:tr>
      <w:tr w14:paraId="40B36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top"/>
          </w:tcPr>
          <w:p w14:paraId="143C85C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3.2</w:t>
            </w:r>
          </w:p>
        </w:tc>
        <w:tc>
          <w:tcPr>
            <w:tcW w:w="8954" w:type="dxa"/>
            <w:vAlign w:val="top"/>
          </w:tcPr>
          <w:p w14:paraId="5EAE5FC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滤白血袋袋体组成：4个袋体</w:t>
            </w:r>
          </w:p>
          <w:p w14:paraId="5E0A77B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1×200mL主袋</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50mLACD-B</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 xml:space="preserve"> +1×200mL滤后空袋＋1×200mL尾袋（50mLMAP</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 xml:space="preserve"> +1×200mL转移袋（空袋）。</w:t>
            </w:r>
          </w:p>
        </w:tc>
      </w:tr>
      <w:tr w14:paraId="42323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top"/>
          </w:tcPr>
          <w:p w14:paraId="59ED103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3.3</w:t>
            </w:r>
          </w:p>
        </w:tc>
        <w:tc>
          <w:tcPr>
            <w:tcW w:w="8954" w:type="dxa"/>
            <w:vAlign w:val="top"/>
          </w:tcPr>
          <w:p w14:paraId="5AC4F22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袋体</w:t>
            </w:r>
            <w:r>
              <w:rPr>
                <w:rFonts w:hint="eastAsia" w:ascii="新宋体" w:hAnsi="新宋体" w:eastAsia="新宋体" w:cs="新宋体"/>
                <w:color w:val="auto"/>
                <w:sz w:val="22"/>
                <w:szCs w:val="22"/>
                <w:highlight w:val="none"/>
                <w:lang w:val="en-US" w:eastAsia="zh-CN"/>
              </w:rPr>
              <w:t>装置</w:t>
            </w:r>
          </w:p>
        </w:tc>
      </w:tr>
      <w:tr w14:paraId="2A034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top"/>
          </w:tcPr>
          <w:p w14:paraId="3476822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1</w:t>
            </w:r>
          </w:p>
        </w:tc>
        <w:tc>
          <w:tcPr>
            <w:tcW w:w="8954" w:type="dxa"/>
            <w:vAlign w:val="top"/>
          </w:tcPr>
          <w:p w14:paraId="2E0AE68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安全采样装置：采样装置带一容量约35mL的留样袋，可通过采样针与各类型真空采血管相连，实现安全采样目的，避免血液污染 。安采针手持套筒无盖帽。</w:t>
            </w:r>
          </w:p>
        </w:tc>
      </w:tr>
      <w:tr w14:paraId="1F354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top"/>
          </w:tcPr>
          <w:p w14:paraId="33D2B14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.2</w:t>
            </w:r>
          </w:p>
        </w:tc>
        <w:tc>
          <w:tcPr>
            <w:tcW w:w="8954" w:type="dxa"/>
            <w:vAlign w:val="top"/>
          </w:tcPr>
          <w:p w14:paraId="08CC1F3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针刺保护装置 ：与血袋系统献血管路集成为一体 ，其设计是防止采血针使用后发生意外针刺。能够有效地减少操作人员的针刺概率，有效保护操作人员操作安全。</w:t>
            </w:r>
          </w:p>
        </w:tc>
      </w:tr>
      <w:tr w14:paraId="1C545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top"/>
          </w:tcPr>
          <w:p w14:paraId="20DF2C1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3.4</w:t>
            </w:r>
          </w:p>
        </w:tc>
        <w:tc>
          <w:tcPr>
            <w:tcW w:w="8954" w:type="dxa"/>
            <w:vAlign w:val="top"/>
          </w:tcPr>
          <w:p w14:paraId="1845C595">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袋体材料：输血输液用软聚氯乙烯</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DEHP 增塑）；袋体成型方式：压延成型；袋体外观：半透明 ，无杂质；血袋膜厚度：单层0.39-0.42mm；袋体水蒸气透出性能 ：在指定温湿度条件下（2- 6°C；50%RH~60%RH）</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42d，血袋损耗质量分数不大于2%；在血袋及内容物要求存储条件下，血袋寿命期内</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2年），水分损耗不大于5%。</w:t>
            </w:r>
          </w:p>
        </w:tc>
      </w:tr>
      <w:tr w14:paraId="78D6A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top"/>
          </w:tcPr>
          <w:p w14:paraId="3C99A0A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3.5</w:t>
            </w:r>
          </w:p>
        </w:tc>
        <w:tc>
          <w:tcPr>
            <w:tcW w:w="8954" w:type="dxa"/>
            <w:vAlign w:val="top"/>
          </w:tcPr>
          <w:p w14:paraId="4A14A99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采血袋配置成品的针头、导管上具有追溯功能的一致性编号、袋体标签等符合国家相关要求，带有血袋批号和规格的识别码。（须提供配件品牌来源证明：购置发票或出厂证明）。</w:t>
            </w:r>
          </w:p>
        </w:tc>
      </w:tr>
      <w:tr w14:paraId="5EECA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top"/>
          </w:tcPr>
          <w:p w14:paraId="766E00F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3.5</w:t>
            </w:r>
            <w:r>
              <w:rPr>
                <w:rFonts w:hint="eastAsia" w:ascii="新宋体" w:hAnsi="新宋体" w:eastAsia="新宋体" w:cs="新宋体"/>
                <w:color w:val="auto"/>
                <w:sz w:val="22"/>
                <w:szCs w:val="22"/>
                <w:highlight w:val="none"/>
              </w:rPr>
              <w:t>.1</w:t>
            </w:r>
          </w:p>
        </w:tc>
        <w:tc>
          <w:tcPr>
            <w:tcW w:w="8954" w:type="dxa"/>
            <w:vAlign w:val="top"/>
          </w:tcPr>
          <w:p w14:paraId="5E69CAA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采血针：材料：医用不锈钢；其他：有针帽防护，使用安全，有防止脱落装置；采血针锋利、管壁光滑，采血针与采血管为一体并有保护套，确保防止抗凝剂或保养液泄露；</w:t>
            </w:r>
          </w:p>
        </w:tc>
      </w:tr>
      <w:tr w14:paraId="77712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top"/>
          </w:tcPr>
          <w:p w14:paraId="0D73AB2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3.5</w:t>
            </w:r>
            <w:r>
              <w:rPr>
                <w:rFonts w:hint="eastAsia" w:ascii="新宋体" w:hAnsi="新宋体" w:eastAsia="新宋体" w:cs="新宋体"/>
                <w:color w:val="auto"/>
                <w:sz w:val="22"/>
                <w:szCs w:val="22"/>
                <w:highlight w:val="none"/>
              </w:rPr>
              <w:t>.2</w:t>
            </w:r>
          </w:p>
        </w:tc>
        <w:tc>
          <w:tcPr>
            <w:tcW w:w="8954" w:type="dxa"/>
            <w:vAlign w:val="top"/>
          </w:tcPr>
          <w:p w14:paraId="669DCD9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导管材料：PVC；外观：透明、柔软、不打折；管长：采血主管大于等于95cm</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符合 GB14232. 1要求；管径：3.2×4.6mm；拉力：承受20N拉力，15s不产生泄漏，采血导管与转移导管可带有开关式止液装置。</w:t>
            </w:r>
          </w:p>
        </w:tc>
      </w:tr>
      <w:tr w14:paraId="78280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top"/>
          </w:tcPr>
          <w:p w14:paraId="5BAABE7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3.6</w:t>
            </w:r>
          </w:p>
        </w:tc>
        <w:tc>
          <w:tcPr>
            <w:tcW w:w="8954" w:type="dxa"/>
            <w:vAlign w:val="top"/>
          </w:tcPr>
          <w:p w14:paraId="1503D4D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不同规格血袋分别可以按业主需求配置留样小袋、针冒伸缩套和适合G5 全自动分离机自动拥塞的阻塞件。</w:t>
            </w:r>
          </w:p>
        </w:tc>
      </w:tr>
      <w:tr w14:paraId="4704D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top"/>
          </w:tcPr>
          <w:p w14:paraId="02E96C4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3.7</w:t>
            </w:r>
          </w:p>
        </w:tc>
        <w:tc>
          <w:tcPr>
            <w:tcW w:w="8954" w:type="dxa"/>
            <w:vAlign w:val="top"/>
          </w:tcPr>
          <w:p w14:paraId="0D97A1B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标签：热转印标签，无脱落风险。牢固、醒目、字迹清楚、易于辨认，项目齐全。或标签为非纸质（不会产生霉菌、低温脱落、离心破裂）。标签应有下列内容：血液保存液的名称、配方和容量、公称容量（采血量）、无菌有效期及不需通气的说明、“无菌”、“无热原”限定条件的说明，“一次性使用” 、“用后销毁 ”字样，使用说明，保存条件，注意事项：发现渗漏、长霉、浑浊等变质现象，禁止使用。产品名称和标记，生产厂家名称、地址和商标，产品批号，不同规格的标签区分明显 ；</w:t>
            </w:r>
          </w:p>
        </w:tc>
      </w:tr>
      <w:tr w14:paraId="36821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top"/>
          </w:tcPr>
          <w:p w14:paraId="2CA205F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3.8</w:t>
            </w:r>
          </w:p>
        </w:tc>
        <w:tc>
          <w:tcPr>
            <w:tcW w:w="8954" w:type="dxa"/>
            <w:vAlign w:val="top"/>
          </w:tcPr>
          <w:p w14:paraId="375F44B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滤器（须提供配件品牌来源证明：购置发票或出厂证明）；</w:t>
            </w:r>
          </w:p>
          <w:p w14:paraId="278688D5">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如中途更换其它进品滤器或改变袋体参数等时，需与使用方沟通，并提供相关的参数和客观证据。</w:t>
            </w:r>
          </w:p>
        </w:tc>
      </w:tr>
      <w:tr w14:paraId="6088C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top"/>
          </w:tcPr>
          <w:p w14:paraId="733B680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3.9</w:t>
            </w:r>
          </w:p>
        </w:tc>
        <w:tc>
          <w:tcPr>
            <w:tcW w:w="8954" w:type="dxa"/>
            <w:vAlign w:val="top"/>
          </w:tcPr>
          <w:p w14:paraId="023AE2D5">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过滤环境在18—25 °C，适用常温或冷藏后血液的过滤。</w:t>
            </w:r>
          </w:p>
        </w:tc>
      </w:tr>
      <w:tr w14:paraId="07F17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top"/>
          </w:tcPr>
          <w:p w14:paraId="7A967C9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3.10</w:t>
            </w:r>
          </w:p>
        </w:tc>
        <w:tc>
          <w:tcPr>
            <w:tcW w:w="8954" w:type="dxa"/>
            <w:vAlign w:val="top"/>
          </w:tcPr>
          <w:p w14:paraId="114185A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过滤后血容最损失小于10%。</w:t>
            </w:r>
          </w:p>
        </w:tc>
      </w:tr>
      <w:tr w14:paraId="1FA5B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top"/>
          </w:tcPr>
          <w:p w14:paraId="70DE98F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1</w:t>
            </w:r>
          </w:p>
        </w:tc>
        <w:tc>
          <w:tcPr>
            <w:tcW w:w="8954" w:type="dxa"/>
            <w:vAlign w:val="top"/>
          </w:tcPr>
          <w:p w14:paraId="1CA11BC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过滤时间平均小于等于10分钟。</w:t>
            </w:r>
          </w:p>
        </w:tc>
      </w:tr>
      <w:tr w14:paraId="06608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top"/>
          </w:tcPr>
          <w:p w14:paraId="68B3494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2</w:t>
            </w:r>
          </w:p>
        </w:tc>
        <w:tc>
          <w:tcPr>
            <w:tcW w:w="8954" w:type="dxa"/>
            <w:vAlign w:val="top"/>
          </w:tcPr>
          <w:p w14:paraId="2511004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非血液质量引起的滤器堵塞率小于等于</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0.2% 。</w:t>
            </w:r>
          </w:p>
        </w:tc>
      </w:tr>
      <w:tr w14:paraId="0648D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top"/>
          </w:tcPr>
          <w:p w14:paraId="6D577953">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3.13</w:t>
            </w:r>
          </w:p>
        </w:tc>
        <w:tc>
          <w:tcPr>
            <w:tcW w:w="8954" w:type="dxa"/>
            <w:vAlign w:val="top"/>
          </w:tcPr>
          <w:p w14:paraId="19E6DB5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过滤结束后，靠近主袋热合端至血袋滤器下端保证充满过滤后血液的导管至少40cm。</w:t>
            </w:r>
          </w:p>
        </w:tc>
      </w:tr>
      <w:tr w14:paraId="709AC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top"/>
          </w:tcPr>
          <w:p w14:paraId="571540A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4</w:t>
            </w:r>
          </w:p>
        </w:tc>
        <w:tc>
          <w:tcPr>
            <w:tcW w:w="8954" w:type="dxa"/>
            <w:vAlign w:val="top"/>
          </w:tcPr>
          <w:p w14:paraId="2FE935A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提供所有滤白血袋使用及制备过程中的培训和全程指导工作。</w:t>
            </w:r>
          </w:p>
        </w:tc>
      </w:tr>
    </w:tbl>
    <w:p w14:paraId="76ABB6F2">
      <w:pPr>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rPr>
      </w:pPr>
      <w:bookmarkStart w:id="54" w:name="_Toc17881"/>
      <w:r>
        <w:rPr>
          <w:rFonts w:hint="eastAsia" w:ascii="新宋体" w:hAnsi="新宋体" w:eastAsia="新宋体" w:cs="新宋体"/>
          <w:b/>
          <w:bCs/>
          <w:color w:val="auto"/>
          <w:sz w:val="22"/>
          <w:szCs w:val="22"/>
          <w:highlight w:val="none"/>
          <w:lang w:val="en-US" w:eastAsia="zh-CN"/>
        </w:rPr>
        <w:t>3</w:t>
      </w:r>
      <w:r>
        <w:rPr>
          <w:rFonts w:hint="eastAsia" w:ascii="新宋体" w:hAnsi="新宋体" w:eastAsia="新宋体" w:cs="新宋体"/>
          <w:b/>
          <w:bCs/>
          <w:color w:val="auto"/>
          <w:sz w:val="22"/>
          <w:szCs w:val="22"/>
          <w:highlight w:val="none"/>
        </w:rPr>
        <w:t>00ML一次性使用去白细胞塑料血袋</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lang w:val="en-US" w:eastAsia="zh-CN"/>
        </w:rPr>
        <w:t>采输血器</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b/>
          <w:bCs/>
          <w:color w:val="auto"/>
          <w:sz w:val="22"/>
          <w:szCs w:val="22"/>
          <w:highlight w:val="none"/>
        </w:rPr>
        <w:t>：</w:t>
      </w:r>
      <w:bookmarkEnd w:id="54"/>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6"/>
        <w:gridCol w:w="8868"/>
      </w:tblGrid>
      <w:tr w14:paraId="0F76F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2"/>
            <w:vAlign w:val="top"/>
          </w:tcPr>
          <w:p w14:paraId="10C9E38F">
            <w:pPr>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b w:val="0"/>
                <w:color w:val="auto"/>
                <w:kern w:val="2"/>
                <w:sz w:val="22"/>
                <w:szCs w:val="22"/>
                <w:highlight w:val="none"/>
              </w:rPr>
              <w:t>参数规格</w:t>
            </w:r>
          </w:p>
        </w:tc>
      </w:tr>
      <w:tr w14:paraId="1ADAF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top"/>
          </w:tcPr>
          <w:p w14:paraId="49342738">
            <w:pPr>
              <w:pStyle w:val="3"/>
              <w:keepLines w:val="0"/>
              <w:pageBreakBefore w:val="0"/>
              <w:widowControl w:val="0"/>
              <w:tabs>
                <w:tab w:val="left" w:pos="840"/>
              </w:tabs>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b w:val="0"/>
                <w:color w:val="auto"/>
                <w:kern w:val="2"/>
                <w:sz w:val="22"/>
                <w:szCs w:val="22"/>
                <w:highlight w:val="none"/>
                <w:lang w:val="en-US" w:eastAsia="zh-CN" w:bidi="ar-SA"/>
              </w:rPr>
              <w:t>1</w:t>
            </w:r>
          </w:p>
        </w:tc>
        <w:tc>
          <w:tcPr>
            <w:tcW w:w="8868" w:type="dxa"/>
            <w:vAlign w:val="top"/>
          </w:tcPr>
          <w:p w14:paraId="6201BB0F">
            <w:pPr>
              <w:pStyle w:val="3"/>
              <w:keepLines w:val="0"/>
              <w:pageBreakBefore w:val="0"/>
              <w:widowControl w:val="0"/>
              <w:tabs>
                <w:tab w:val="left" w:pos="840"/>
              </w:tabs>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b w:val="0"/>
                <w:color w:val="auto"/>
                <w:kern w:val="2"/>
                <w:sz w:val="22"/>
                <w:szCs w:val="22"/>
                <w:highlight w:val="none"/>
              </w:rPr>
              <w:t>相关法规、管理条例与技术标准、行业规范</w:t>
            </w:r>
          </w:p>
        </w:tc>
      </w:tr>
      <w:tr w14:paraId="24558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top"/>
          </w:tcPr>
          <w:p w14:paraId="2B266FBD">
            <w:pPr>
              <w:pStyle w:val="3"/>
              <w:keepLines w:val="0"/>
              <w:pageBreakBefore w:val="0"/>
              <w:widowControl w:val="0"/>
              <w:tabs>
                <w:tab w:val="left" w:pos="840"/>
              </w:tabs>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b w:val="0"/>
                <w:color w:val="auto"/>
                <w:kern w:val="2"/>
                <w:sz w:val="22"/>
                <w:szCs w:val="22"/>
                <w:highlight w:val="none"/>
                <w:lang w:val="en-US" w:eastAsia="zh-CN" w:bidi="ar-SA"/>
              </w:rPr>
              <w:t>1.1</w:t>
            </w:r>
          </w:p>
        </w:tc>
        <w:tc>
          <w:tcPr>
            <w:tcW w:w="8868" w:type="dxa"/>
            <w:vAlign w:val="top"/>
          </w:tcPr>
          <w:p w14:paraId="75379BC0">
            <w:pPr>
              <w:pStyle w:val="3"/>
              <w:keepLines w:val="0"/>
              <w:pageBreakBefore w:val="0"/>
              <w:widowControl w:val="0"/>
              <w:tabs>
                <w:tab w:val="left" w:pos="840"/>
              </w:tabs>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b w:val="0"/>
                <w:color w:val="auto"/>
                <w:kern w:val="2"/>
                <w:sz w:val="22"/>
                <w:szCs w:val="22"/>
                <w:highlight w:val="none"/>
              </w:rPr>
              <w:t>国家规定的标准和规范，有新标准按新标准执行；</w:t>
            </w:r>
          </w:p>
        </w:tc>
      </w:tr>
      <w:tr w14:paraId="29E62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top"/>
          </w:tcPr>
          <w:p w14:paraId="34FA9A55">
            <w:pPr>
              <w:pStyle w:val="3"/>
              <w:keepLines w:val="0"/>
              <w:pageBreakBefore w:val="0"/>
              <w:widowControl w:val="0"/>
              <w:tabs>
                <w:tab w:val="left" w:pos="840"/>
              </w:tabs>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b w:val="0"/>
                <w:color w:val="auto"/>
                <w:kern w:val="2"/>
                <w:sz w:val="22"/>
                <w:szCs w:val="22"/>
                <w:highlight w:val="none"/>
                <w:lang w:val="en-US" w:eastAsia="zh-CN" w:bidi="ar-SA"/>
              </w:rPr>
              <w:t>1.2</w:t>
            </w:r>
          </w:p>
        </w:tc>
        <w:tc>
          <w:tcPr>
            <w:tcW w:w="8868" w:type="dxa"/>
            <w:vAlign w:val="top"/>
          </w:tcPr>
          <w:p w14:paraId="59670085">
            <w:pPr>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b w:val="0"/>
                <w:color w:val="auto"/>
                <w:kern w:val="2"/>
                <w:sz w:val="22"/>
                <w:szCs w:val="22"/>
                <w:highlight w:val="none"/>
              </w:rPr>
              <w:t>行业标准及规范，有新标准按新标准执行；</w:t>
            </w:r>
          </w:p>
        </w:tc>
      </w:tr>
      <w:tr w14:paraId="00491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top"/>
          </w:tcPr>
          <w:p w14:paraId="6DFBC8C7">
            <w:pPr>
              <w:pStyle w:val="3"/>
              <w:keepLines w:val="0"/>
              <w:pageBreakBefore w:val="0"/>
              <w:widowControl w:val="0"/>
              <w:tabs>
                <w:tab w:val="left" w:pos="840"/>
              </w:tabs>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b w:val="0"/>
                <w:color w:val="auto"/>
                <w:kern w:val="2"/>
                <w:sz w:val="22"/>
                <w:szCs w:val="22"/>
                <w:highlight w:val="none"/>
                <w:lang w:val="en-US" w:eastAsia="zh-CN" w:bidi="ar-SA"/>
              </w:rPr>
              <w:t>1.3</w:t>
            </w:r>
          </w:p>
        </w:tc>
        <w:tc>
          <w:tcPr>
            <w:tcW w:w="8868" w:type="dxa"/>
            <w:vAlign w:val="top"/>
          </w:tcPr>
          <w:p w14:paraId="180E5C2A">
            <w:pPr>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b w:val="0"/>
                <w:color w:val="auto"/>
                <w:kern w:val="2"/>
                <w:sz w:val="22"/>
                <w:szCs w:val="22"/>
                <w:highlight w:val="none"/>
              </w:rPr>
              <w:t>其他相关标准。</w:t>
            </w:r>
          </w:p>
        </w:tc>
      </w:tr>
      <w:tr w14:paraId="5D841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top"/>
          </w:tcPr>
          <w:p w14:paraId="12E23CFA">
            <w:pPr>
              <w:pStyle w:val="3"/>
              <w:keepLines w:val="0"/>
              <w:pageBreakBefore w:val="0"/>
              <w:widowControl w:val="0"/>
              <w:tabs>
                <w:tab w:val="left" w:pos="840"/>
              </w:tabs>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b w:val="0"/>
                <w:color w:val="auto"/>
                <w:kern w:val="2"/>
                <w:sz w:val="22"/>
                <w:szCs w:val="22"/>
                <w:highlight w:val="none"/>
                <w:lang w:val="en-US" w:eastAsia="zh-CN" w:bidi="ar-SA"/>
              </w:rPr>
              <w:t>2</w:t>
            </w:r>
          </w:p>
        </w:tc>
        <w:tc>
          <w:tcPr>
            <w:tcW w:w="8868" w:type="dxa"/>
            <w:vAlign w:val="top"/>
          </w:tcPr>
          <w:p w14:paraId="6DF6EB6E">
            <w:pPr>
              <w:pStyle w:val="3"/>
              <w:keepLines w:val="0"/>
              <w:pageBreakBefore w:val="0"/>
              <w:widowControl w:val="0"/>
              <w:tabs>
                <w:tab w:val="left" w:pos="840"/>
              </w:tabs>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b w:val="0"/>
                <w:color w:val="auto"/>
                <w:kern w:val="2"/>
                <w:sz w:val="22"/>
                <w:szCs w:val="22"/>
                <w:highlight w:val="none"/>
              </w:rPr>
              <w:t>通用技术要求</w:t>
            </w:r>
          </w:p>
        </w:tc>
      </w:tr>
      <w:tr w14:paraId="0EAC5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top"/>
          </w:tcPr>
          <w:p w14:paraId="4176CE9E">
            <w:pPr>
              <w:pStyle w:val="3"/>
              <w:keepLines w:val="0"/>
              <w:pageBreakBefore w:val="0"/>
              <w:widowControl w:val="0"/>
              <w:tabs>
                <w:tab w:val="left" w:pos="840"/>
              </w:tabs>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b w:val="0"/>
                <w:color w:val="auto"/>
                <w:kern w:val="2"/>
                <w:sz w:val="22"/>
                <w:szCs w:val="22"/>
                <w:highlight w:val="none"/>
                <w:lang w:val="en-US" w:eastAsia="zh-CN" w:bidi="ar-SA"/>
              </w:rPr>
              <w:t>2.1</w:t>
            </w:r>
          </w:p>
        </w:tc>
        <w:tc>
          <w:tcPr>
            <w:tcW w:w="8868" w:type="dxa"/>
            <w:vAlign w:val="top"/>
          </w:tcPr>
          <w:p w14:paraId="3BDC65BF">
            <w:pPr>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b w:val="0"/>
                <w:color w:val="auto"/>
                <w:kern w:val="2"/>
                <w:sz w:val="22"/>
                <w:szCs w:val="22"/>
                <w:highlight w:val="none"/>
              </w:rPr>
              <w:t>以下所列仅为产品的基本要求，供应商须按有关标准及规范完成本次采购产品的供货、运输（含装卸车等）、清关、纳税、检验、产品质晕保证措施及保险等各项工作，并保证其使用的安全性与有效性。具体说明、指标参数由供应商在投标文件中提供（必须提供）。</w:t>
            </w:r>
          </w:p>
        </w:tc>
      </w:tr>
      <w:tr w14:paraId="77616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top"/>
          </w:tcPr>
          <w:p w14:paraId="43942335">
            <w:pPr>
              <w:pStyle w:val="3"/>
              <w:keepLines w:val="0"/>
              <w:pageBreakBefore w:val="0"/>
              <w:widowControl w:val="0"/>
              <w:tabs>
                <w:tab w:val="left" w:pos="840"/>
              </w:tabs>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b w:val="0"/>
                <w:color w:val="auto"/>
                <w:kern w:val="2"/>
                <w:sz w:val="22"/>
                <w:szCs w:val="22"/>
                <w:highlight w:val="none"/>
                <w:lang w:val="en-US" w:eastAsia="zh-CN"/>
              </w:rPr>
              <w:t>3</w:t>
            </w:r>
          </w:p>
        </w:tc>
        <w:tc>
          <w:tcPr>
            <w:tcW w:w="8868" w:type="dxa"/>
            <w:vAlign w:val="top"/>
          </w:tcPr>
          <w:p w14:paraId="640DB513">
            <w:pPr>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b w:val="0"/>
                <w:bCs w:val="0"/>
                <w:color w:val="auto"/>
                <w:sz w:val="22"/>
                <w:szCs w:val="22"/>
                <w:highlight w:val="none"/>
                <w:lang w:val="en-US" w:eastAsia="zh-CN"/>
              </w:rPr>
            </w:pPr>
            <w:r>
              <w:rPr>
                <w:rFonts w:hint="eastAsia" w:ascii="新宋体" w:hAnsi="新宋体" w:eastAsia="新宋体" w:cs="新宋体"/>
                <w:b w:val="0"/>
                <w:bCs w:val="0"/>
                <w:color w:val="auto"/>
                <w:sz w:val="22"/>
                <w:szCs w:val="22"/>
                <w:highlight w:val="none"/>
                <w:lang w:val="en-US" w:eastAsia="zh-CN"/>
              </w:rPr>
              <w:t>3</w:t>
            </w:r>
            <w:r>
              <w:rPr>
                <w:rFonts w:hint="eastAsia" w:ascii="新宋体" w:hAnsi="新宋体" w:eastAsia="新宋体" w:cs="新宋体"/>
                <w:b w:val="0"/>
                <w:bCs w:val="0"/>
                <w:color w:val="auto"/>
                <w:sz w:val="22"/>
                <w:szCs w:val="22"/>
                <w:highlight w:val="none"/>
              </w:rPr>
              <w:t>00ML一次性使用去白细胞塑料血袋</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lang w:val="en-US" w:eastAsia="zh-CN"/>
              </w:rPr>
              <w:t>采输血器</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b w:val="0"/>
                <w:bCs w:val="0"/>
                <w:color w:val="auto"/>
                <w:kern w:val="2"/>
                <w:sz w:val="22"/>
                <w:szCs w:val="22"/>
                <w:highlight w:val="none"/>
              </w:rPr>
              <w:t>的详细技术要求</w:t>
            </w:r>
          </w:p>
        </w:tc>
      </w:tr>
      <w:tr w14:paraId="42E68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top"/>
          </w:tcPr>
          <w:p w14:paraId="001AC24D">
            <w:pPr>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u w:val="none"/>
              </w:rPr>
              <w:t>▲</w:t>
            </w:r>
            <w:r>
              <w:rPr>
                <w:rFonts w:hint="eastAsia" w:ascii="新宋体" w:hAnsi="新宋体" w:eastAsia="新宋体" w:cs="新宋体"/>
                <w:color w:val="auto"/>
                <w:sz w:val="22"/>
                <w:szCs w:val="22"/>
                <w:highlight w:val="none"/>
                <w:u w:val="none"/>
                <w:lang w:val="en-US" w:eastAsia="zh-CN"/>
              </w:rPr>
              <w:t>3</w:t>
            </w:r>
            <w:r>
              <w:rPr>
                <w:rFonts w:hint="eastAsia" w:ascii="新宋体" w:hAnsi="新宋体" w:eastAsia="新宋体" w:cs="新宋体"/>
                <w:color w:val="auto"/>
                <w:kern w:val="2"/>
                <w:sz w:val="22"/>
                <w:szCs w:val="22"/>
                <w:highlight w:val="none"/>
                <w:u w:val="none"/>
                <w:lang w:val="en-US" w:eastAsia="zh-CN"/>
              </w:rPr>
              <w:t>.</w:t>
            </w:r>
            <w:r>
              <w:rPr>
                <w:rFonts w:hint="eastAsia" w:ascii="新宋体" w:hAnsi="新宋体" w:eastAsia="新宋体" w:cs="新宋体"/>
                <w:color w:val="auto"/>
                <w:kern w:val="2"/>
                <w:sz w:val="22"/>
                <w:szCs w:val="22"/>
                <w:highlight w:val="none"/>
                <w:u w:val="none"/>
              </w:rPr>
              <w:t>1</w:t>
            </w:r>
          </w:p>
        </w:tc>
        <w:tc>
          <w:tcPr>
            <w:tcW w:w="8868" w:type="dxa"/>
            <w:vAlign w:val="top"/>
          </w:tcPr>
          <w:p w14:paraId="333CEFD2">
            <w:pPr>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u w:val="single"/>
                <w:lang w:val="en-US" w:eastAsia="zh-CN"/>
              </w:rPr>
            </w:pPr>
            <w:r>
              <w:rPr>
                <w:rFonts w:hint="eastAsia" w:ascii="新宋体" w:hAnsi="新宋体" w:eastAsia="新宋体" w:cs="新宋体"/>
                <w:b/>
                <w:bCs/>
                <w:color w:val="auto"/>
                <w:kern w:val="2"/>
                <w:sz w:val="22"/>
                <w:szCs w:val="22"/>
                <w:highlight w:val="none"/>
                <w:u w:val="single"/>
              </w:rPr>
              <w:t>符合滤白血袋涉及的国家相关资质和</w:t>
            </w:r>
            <w:r>
              <w:rPr>
                <w:rFonts w:hint="eastAsia" w:ascii="新宋体" w:hAnsi="新宋体" w:eastAsia="新宋体" w:cs="新宋体"/>
                <w:b/>
                <w:bCs/>
                <w:color w:val="auto"/>
                <w:kern w:val="2"/>
                <w:sz w:val="22"/>
                <w:szCs w:val="22"/>
                <w:highlight w:val="none"/>
                <w:u w:val="single"/>
                <w:lang w:val="en-US" w:eastAsia="zh-CN"/>
              </w:rPr>
              <w:t>质量</w:t>
            </w:r>
            <w:r>
              <w:rPr>
                <w:rFonts w:hint="eastAsia" w:ascii="新宋体" w:hAnsi="新宋体" w:eastAsia="新宋体" w:cs="新宋体"/>
                <w:b/>
                <w:bCs/>
                <w:color w:val="auto"/>
                <w:kern w:val="2"/>
                <w:sz w:val="22"/>
                <w:szCs w:val="22"/>
                <w:highlight w:val="none"/>
                <w:u w:val="single"/>
              </w:rPr>
              <w:t>要求； 滤后产品符合《全血及成分血质量要求》。</w:t>
            </w:r>
          </w:p>
        </w:tc>
      </w:tr>
      <w:tr w14:paraId="25D41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6" w:type="dxa"/>
            <w:vAlign w:val="top"/>
          </w:tcPr>
          <w:p w14:paraId="0E38415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lang w:eastAsia="zh-CN"/>
              </w:rPr>
              <w:t>2</w:t>
            </w:r>
          </w:p>
        </w:tc>
        <w:tc>
          <w:tcPr>
            <w:tcW w:w="8868" w:type="dxa"/>
            <w:vAlign w:val="top"/>
          </w:tcPr>
          <w:p w14:paraId="1F81576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eastAsia="zh-CN"/>
              </w:rPr>
              <w:t>滤白血袋袋体组成：4个袋体</w:t>
            </w:r>
          </w:p>
          <w:p w14:paraId="53283BC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eastAsia="zh-CN"/>
              </w:rPr>
              <w:t>1×300mL主袋（75mLACD-B） +1×300mL滤后空袋＋1×300mL尾袋（75mLMAP） +1×300mL转移袋（空袋）。</w:t>
            </w:r>
          </w:p>
        </w:tc>
      </w:tr>
      <w:tr w14:paraId="7835E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6" w:type="dxa"/>
            <w:vAlign w:val="top"/>
          </w:tcPr>
          <w:p w14:paraId="179ED39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3.3</w:t>
            </w:r>
          </w:p>
        </w:tc>
        <w:tc>
          <w:tcPr>
            <w:tcW w:w="8868" w:type="dxa"/>
            <w:vAlign w:val="top"/>
          </w:tcPr>
          <w:p w14:paraId="23772D7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eastAsia="zh-CN"/>
              </w:rPr>
              <w:t>袋体</w:t>
            </w:r>
            <w:r>
              <w:rPr>
                <w:rFonts w:hint="eastAsia" w:ascii="新宋体" w:hAnsi="新宋体" w:eastAsia="新宋体" w:cs="新宋体"/>
                <w:color w:val="auto"/>
                <w:sz w:val="22"/>
                <w:szCs w:val="22"/>
                <w:highlight w:val="none"/>
                <w:lang w:val="en-US" w:eastAsia="zh-CN"/>
              </w:rPr>
              <w:t>装置</w:t>
            </w:r>
          </w:p>
        </w:tc>
      </w:tr>
      <w:tr w14:paraId="0C66A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86" w:type="dxa"/>
            <w:shd w:val="clear" w:color="auto" w:fill="auto"/>
            <w:vAlign w:val="top"/>
          </w:tcPr>
          <w:p w14:paraId="4979600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lang w:eastAsia="zh-CN"/>
              </w:rPr>
              <w:t>3.1</w:t>
            </w:r>
          </w:p>
        </w:tc>
        <w:tc>
          <w:tcPr>
            <w:tcW w:w="8868" w:type="dxa"/>
            <w:shd w:val="clear" w:color="auto" w:fill="auto"/>
            <w:vAlign w:val="top"/>
          </w:tcPr>
          <w:p w14:paraId="695D05A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eastAsia="zh-CN"/>
              </w:rPr>
              <w:t>安全采样装置：采样装置带一容量约35mL的留样袋，可通过采样针与各类型真空采血管相连，实现安全采样目的，避免血液污染 。安采针手持套筒无盖帽。</w:t>
            </w:r>
          </w:p>
        </w:tc>
      </w:tr>
      <w:tr w14:paraId="265B4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6" w:type="dxa"/>
            <w:vAlign w:val="top"/>
          </w:tcPr>
          <w:p w14:paraId="3AD4A72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lang w:eastAsia="zh-CN"/>
              </w:rPr>
              <w:t>3.2</w:t>
            </w:r>
          </w:p>
        </w:tc>
        <w:tc>
          <w:tcPr>
            <w:tcW w:w="8868" w:type="dxa"/>
            <w:vAlign w:val="top"/>
          </w:tcPr>
          <w:p w14:paraId="60420063">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eastAsia="zh-CN"/>
              </w:rPr>
              <w:t>针刺保护装置 ：与血袋系统献血管路集成为一体 ，其设计是防止采血针使用后发生意外针刺。能够有效地减少操作人员的针刺概率，有效保护操作人员操作安全。</w:t>
            </w:r>
          </w:p>
        </w:tc>
      </w:tr>
      <w:tr w14:paraId="5D76C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86" w:type="dxa"/>
            <w:vAlign w:val="top"/>
          </w:tcPr>
          <w:p w14:paraId="773773F5">
            <w:pPr>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b w:val="0"/>
                <w:color w:val="auto"/>
                <w:kern w:val="2"/>
                <w:sz w:val="22"/>
                <w:szCs w:val="22"/>
                <w:highlight w:val="none"/>
                <w:lang w:val="en-US" w:eastAsia="zh-CN"/>
              </w:rPr>
              <w:t>3.</w:t>
            </w:r>
            <w:r>
              <w:rPr>
                <w:rFonts w:hint="eastAsia" w:ascii="新宋体" w:hAnsi="新宋体" w:eastAsia="新宋体" w:cs="新宋体"/>
                <w:b w:val="0"/>
                <w:color w:val="auto"/>
                <w:kern w:val="2"/>
                <w:sz w:val="22"/>
                <w:szCs w:val="22"/>
                <w:highlight w:val="none"/>
              </w:rPr>
              <w:t>4</w:t>
            </w:r>
          </w:p>
        </w:tc>
        <w:tc>
          <w:tcPr>
            <w:tcW w:w="8868" w:type="dxa"/>
            <w:vAlign w:val="top"/>
          </w:tcPr>
          <w:p w14:paraId="522D1D28">
            <w:pPr>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b w:val="0"/>
                <w:color w:val="auto"/>
                <w:kern w:val="2"/>
                <w:sz w:val="22"/>
                <w:szCs w:val="22"/>
                <w:highlight w:val="none"/>
              </w:rPr>
              <w:t>袋体材料：输血输液用软聚氯乙烯</w:t>
            </w:r>
            <w:r>
              <w:rPr>
                <w:rFonts w:hint="eastAsia" w:ascii="新宋体" w:hAnsi="新宋体" w:eastAsia="新宋体" w:cs="新宋体"/>
                <w:b w:val="0"/>
                <w:color w:val="auto"/>
                <w:kern w:val="2"/>
                <w:sz w:val="22"/>
                <w:szCs w:val="22"/>
                <w:highlight w:val="none"/>
                <w:lang w:eastAsia="zh-CN"/>
              </w:rPr>
              <w:t>（</w:t>
            </w:r>
            <w:r>
              <w:rPr>
                <w:rFonts w:hint="eastAsia" w:ascii="新宋体" w:hAnsi="新宋体" w:eastAsia="新宋体" w:cs="新宋体"/>
                <w:b w:val="0"/>
                <w:color w:val="auto"/>
                <w:kern w:val="2"/>
                <w:sz w:val="22"/>
                <w:szCs w:val="22"/>
                <w:highlight w:val="none"/>
              </w:rPr>
              <w:t>DEHP增塑）；袋体成型方式：压延成型；袋体外观：半透明，无杂质；血袋膜厚度：单层0.39-0.42mm；袋体水蒸气透出性能 ：在指定温湿度条件下（2- 6°C；50%RH~60%RH）</w:t>
            </w:r>
            <w:r>
              <w:rPr>
                <w:rFonts w:hint="eastAsia" w:ascii="新宋体" w:hAnsi="新宋体" w:eastAsia="新宋体" w:cs="新宋体"/>
                <w:b w:val="0"/>
                <w:color w:val="auto"/>
                <w:kern w:val="2"/>
                <w:sz w:val="22"/>
                <w:szCs w:val="22"/>
                <w:highlight w:val="none"/>
                <w:lang w:eastAsia="zh-CN"/>
              </w:rPr>
              <w:t>，</w:t>
            </w:r>
            <w:r>
              <w:rPr>
                <w:rFonts w:hint="eastAsia" w:ascii="新宋体" w:hAnsi="新宋体" w:eastAsia="新宋体" w:cs="新宋体"/>
                <w:b w:val="0"/>
                <w:color w:val="auto"/>
                <w:kern w:val="2"/>
                <w:sz w:val="22"/>
                <w:szCs w:val="22"/>
                <w:highlight w:val="none"/>
              </w:rPr>
              <w:t>42d，血袋损耗质量分数不大于2%；在血袋及内容物要求存储条件下，血袋寿命期内</w:t>
            </w:r>
            <w:r>
              <w:rPr>
                <w:rFonts w:hint="eastAsia" w:ascii="新宋体" w:hAnsi="新宋体" w:eastAsia="新宋体" w:cs="新宋体"/>
                <w:b w:val="0"/>
                <w:color w:val="auto"/>
                <w:kern w:val="2"/>
                <w:sz w:val="22"/>
                <w:szCs w:val="22"/>
                <w:highlight w:val="none"/>
                <w:lang w:eastAsia="zh-CN"/>
              </w:rPr>
              <w:t>（</w:t>
            </w:r>
            <w:r>
              <w:rPr>
                <w:rFonts w:hint="eastAsia" w:ascii="新宋体" w:hAnsi="新宋体" w:eastAsia="新宋体" w:cs="新宋体"/>
                <w:b w:val="0"/>
                <w:color w:val="auto"/>
                <w:kern w:val="2"/>
                <w:sz w:val="22"/>
                <w:szCs w:val="22"/>
                <w:highlight w:val="none"/>
              </w:rPr>
              <w:t>2年），水分损耗不大于5%。</w:t>
            </w:r>
          </w:p>
        </w:tc>
      </w:tr>
      <w:tr w14:paraId="4B277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6" w:type="dxa"/>
            <w:vAlign w:val="top"/>
          </w:tcPr>
          <w:p w14:paraId="2C8A6462">
            <w:pPr>
              <w:pStyle w:val="3"/>
              <w:keepLines w:val="0"/>
              <w:pageBreakBefore w:val="0"/>
              <w:widowControl w:val="0"/>
              <w:tabs>
                <w:tab w:val="left" w:pos="840"/>
              </w:tabs>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b w:val="0"/>
                <w:color w:val="auto"/>
                <w:kern w:val="2"/>
                <w:sz w:val="22"/>
                <w:szCs w:val="22"/>
                <w:highlight w:val="none"/>
                <w:lang w:val="en-US" w:eastAsia="zh-CN"/>
              </w:rPr>
              <w:t>3.</w:t>
            </w:r>
            <w:r>
              <w:rPr>
                <w:rFonts w:hint="eastAsia" w:ascii="新宋体" w:hAnsi="新宋体" w:eastAsia="新宋体" w:cs="新宋体"/>
                <w:b w:val="0"/>
                <w:color w:val="auto"/>
                <w:kern w:val="2"/>
                <w:sz w:val="22"/>
                <w:szCs w:val="22"/>
                <w:highlight w:val="none"/>
              </w:rPr>
              <w:t>5</w:t>
            </w:r>
          </w:p>
        </w:tc>
        <w:tc>
          <w:tcPr>
            <w:tcW w:w="8868" w:type="dxa"/>
            <w:vAlign w:val="top"/>
          </w:tcPr>
          <w:p w14:paraId="3D431523">
            <w:pPr>
              <w:pStyle w:val="3"/>
              <w:keepLines w:val="0"/>
              <w:pageBreakBefore w:val="0"/>
              <w:widowControl w:val="0"/>
              <w:tabs>
                <w:tab w:val="left" w:pos="840"/>
              </w:tabs>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b w:val="0"/>
                <w:color w:val="auto"/>
                <w:kern w:val="2"/>
                <w:sz w:val="22"/>
                <w:szCs w:val="22"/>
                <w:highlight w:val="none"/>
              </w:rPr>
              <w:t>采血袋配置成品的针头、导管上具有追溯功能的一致性编号、袋体标签等符合国家相关要求，带有血袋批号和规格的识别码。（须提供配件品牌来源证明：购置发票或出厂证明）。</w:t>
            </w:r>
          </w:p>
        </w:tc>
      </w:tr>
      <w:tr w14:paraId="13215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top"/>
          </w:tcPr>
          <w:p w14:paraId="3369CBE9">
            <w:pPr>
              <w:pStyle w:val="3"/>
              <w:keepLines w:val="0"/>
              <w:pageBreakBefore w:val="0"/>
              <w:widowControl w:val="0"/>
              <w:tabs>
                <w:tab w:val="left" w:pos="840"/>
              </w:tabs>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b w:val="0"/>
                <w:color w:val="auto"/>
                <w:kern w:val="2"/>
                <w:sz w:val="22"/>
                <w:szCs w:val="22"/>
                <w:highlight w:val="none"/>
                <w:lang w:val="en-US" w:eastAsia="zh-CN"/>
              </w:rPr>
              <w:t>3.</w:t>
            </w:r>
            <w:r>
              <w:rPr>
                <w:rFonts w:hint="eastAsia" w:ascii="新宋体" w:hAnsi="新宋体" w:eastAsia="新宋体" w:cs="新宋体"/>
                <w:b w:val="0"/>
                <w:color w:val="auto"/>
                <w:kern w:val="2"/>
                <w:sz w:val="22"/>
                <w:szCs w:val="22"/>
                <w:highlight w:val="none"/>
              </w:rPr>
              <w:t>5.1</w:t>
            </w:r>
          </w:p>
        </w:tc>
        <w:tc>
          <w:tcPr>
            <w:tcW w:w="8868" w:type="dxa"/>
            <w:vAlign w:val="top"/>
          </w:tcPr>
          <w:p w14:paraId="472A1633">
            <w:pPr>
              <w:pStyle w:val="3"/>
              <w:keepLines w:val="0"/>
              <w:pageBreakBefore w:val="0"/>
              <w:widowControl w:val="0"/>
              <w:tabs>
                <w:tab w:val="left" w:pos="840"/>
              </w:tabs>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b w:val="0"/>
                <w:color w:val="auto"/>
                <w:kern w:val="2"/>
                <w:sz w:val="22"/>
                <w:szCs w:val="22"/>
                <w:highlight w:val="none"/>
              </w:rPr>
              <w:t>采血针：材料：医用不锈钢；其他：有针帽防护，使用安全，有防止脱落装置；采血针锋利、管壁光滑，采血针与采血管为一体并有保护套，确保防止抗凝剂或保养液泄露；</w:t>
            </w:r>
          </w:p>
        </w:tc>
      </w:tr>
      <w:tr w14:paraId="67781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top"/>
          </w:tcPr>
          <w:p w14:paraId="19266D0C">
            <w:pPr>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b w:val="0"/>
                <w:color w:val="auto"/>
                <w:kern w:val="2"/>
                <w:sz w:val="22"/>
                <w:szCs w:val="22"/>
                <w:highlight w:val="none"/>
                <w:lang w:val="en-US" w:eastAsia="zh-CN"/>
              </w:rPr>
              <w:t>3.</w:t>
            </w:r>
            <w:r>
              <w:rPr>
                <w:rFonts w:hint="eastAsia" w:ascii="新宋体" w:hAnsi="新宋体" w:eastAsia="新宋体" w:cs="新宋体"/>
                <w:b w:val="0"/>
                <w:color w:val="auto"/>
                <w:kern w:val="2"/>
                <w:sz w:val="22"/>
                <w:szCs w:val="22"/>
                <w:highlight w:val="none"/>
              </w:rPr>
              <w:t>5.2</w:t>
            </w:r>
          </w:p>
        </w:tc>
        <w:tc>
          <w:tcPr>
            <w:tcW w:w="8868" w:type="dxa"/>
            <w:vAlign w:val="top"/>
          </w:tcPr>
          <w:p w14:paraId="264EDB0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Cs w:val="22"/>
                <w:highlight w:val="none"/>
                <w:lang w:val="en-US" w:eastAsia="zh-CN"/>
              </w:rPr>
            </w:pPr>
            <w:r>
              <w:rPr>
                <w:rFonts w:hint="eastAsia" w:ascii="新宋体" w:hAnsi="新宋体" w:eastAsia="新宋体" w:cs="新宋体"/>
                <w:color w:val="auto"/>
                <w:sz w:val="22"/>
                <w:szCs w:val="22"/>
                <w:highlight w:val="none"/>
              </w:rPr>
              <w:t>导管材料：PVC；外观：透明、柔软</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不打折；管长：采血主管大于等于95cm</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符合 GB14232. 1要求；管径：3.2×4.6mm；拉力：承受20N拉力，15s不产生泄漏，采血导管与转移导管可带有开关式止液装置。</w:t>
            </w:r>
          </w:p>
        </w:tc>
      </w:tr>
      <w:tr w14:paraId="491B3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top"/>
          </w:tcPr>
          <w:p w14:paraId="6EBADFC5">
            <w:pPr>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b w:val="0"/>
                <w:color w:val="auto"/>
                <w:kern w:val="2"/>
                <w:sz w:val="22"/>
                <w:szCs w:val="22"/>
                <w:highlight w:val="none"/>
                <w:lang w:val="en-US" w:eastAsia="zh-CN"/>
              </w:rPr>
              <w:t>3.</w:t>
            </w:r>
            <w:r>
              <w:rPr>
                <w:rFonts w:hint="eastAsia" w:ascii="新宋体" w:hAnsi="新宋体" w:eastAsia="新宋体" w:cs="新宋体"/>
                <w:b w:val="0"/>
                <w:color w:val="auto"/>
                <w:kern w:val="2"/>
                <w:sz w:val="22"/>
                <w:szCs w:val="22"/>
                <w:highlight w:val="none"/>
              </w:rPr>
              <w:t>6</w:t>
            </w:r>
          </w:p>
        </w:tc>
        <w:tc>
          <w:tcPr>
            <w:tcW w:w="8868" w:type="dxa"/>
            <w:vAlign w:val="top"/>
          </w:tcPr>
          <w:p w14:paraId="36D8869E">
            <w:pPr>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b w:val="0"/>
                <w:color w:val="auto"/>
                <w:kern w:val="2"/>
                <w:sz w:val="22"/>
                <w:szCs w:val="22"/>
                <w:highlight w:val="none"/>
              </w:rPr>
              <w:t>不同规格血袋分别可以按业主需求配置留样小袋、针冒伸缩套和适合G5 全自动分离机自动拥塞的阻塞件。</w:t>
            </w:r>
          </w:p>
        </w:tc>
      </w:tr>
      <w:tr w14:paraId="7A2B5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top"/>
          </w:tcPr>
          <w:p w14:paraId="0AA9C34D">
            <w:pPr>
              <w:pStyle w:val="3"/>
              <w:keepLines w:val="0"/>
              <w:pageBreakBefore w:val="0"/>
              <w:widowControl w:val="0"/>
              <w:tabs>
                <w:tab w:val="left" w:pos="840"/>
              </w:tabs>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color w:val="auto"/>
                <w:kern w:val="2"/>
                <w:sz w:val="22"/>
                <w:szCs w:val="22"/>
                <w:highlight w:val="none"/>
                <w:lang w:eastAsia="zh-CN"/>
              </w:rPr>
              <w:t>★</w:t>
            </w:r>
            <w:r>
              <w:rPr>
                <w:rFonts w:hint="eastAsia" w:ascii="新宋体" w:hAnsi="新宋体" w:eastAsia="新宋体" w:cs="新宋体"/>
                <w:b w:val="0"/>
                <w:color w:val="auto"/>
                <w:kern w:val="2"/>
                <w:sz w:val="22"/>
                <w:szCs w:val="22"/>
                <w:highlight w:val="none"/>
                <w:lang w:val="en-US" w:eastAsia="zh-CN"/>
              </w:rPr>
              <w:t>3.</w:t>
            </w:r>
            <w:r>
              <w:rPr>
                <w:rFonts w:hint="eastAsia" w:ascii="新宋体" w:hAnsi="新宋体" w:eastAsia="新宋体" w:cs="新宋体"/>
                <w:b w:val="0"/>
                <w:color w:val="auto"/>
                <w:kern w:val="2"/>
                <w:sz w:val="22"/>
                <w:szCs w:val="22"/>
                <w:highlight w:val="none"/>
              </w:rPr>
              <w:t>7</w:t>
            </w:r>
          </w:p>
        </w:tc>
        <w:tc>
          <w:tcPr>
            <w:tcW w:w="8868" w:type="dxa"/>
            <w:vAlign w:val="top"/>
          </w:tcPr>
          <w:p w14:paraId="7C36BD9E">
            <w:pPr>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color w:val="auto"/>
                <w:kern w:val="2"/>
                <w:sz w:val="22"/>
                <w:szCs w:val="22"/>
                <w:highlight w:val="none"/>
              </w:rPr>
              <w:t>标签：热转印标签，无脱落风险。牢固、醒目、字迹清楚、易于辨认，项目齐全。或标签为非纸质（不会产生霉菌、低温脱落、离心破裂）。标签应有下列内容：血液保存液的名称、配方和容量、公称容量（采血量）、无菌有效期及不需通气的说明、“无菌”、“无热原”限定条件的说明，“一次性使用” 、“用后销毁 ”字样，使用说明，保存条件，注意事项：发现渗漏、长霉、浑浊等变质现象，禁止使用。产品名称和标记， 生产厂家名称、地址和商标，产品批号，不同规格的标签区分明显 ；</w:t>
            </w:r>
          </w:p>
        </w:tc>
      </w:tr>
      <w:tr w14:paraId="537B8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top"/>
          </w:tcPr>
          <w:p w14:paraId="505F8B2A">
            <w:pPr>
              <w:pStyle w:val="3"/>
              <w:keepLines w:val="0"/>
              <w:pageBreakBefore w:val="0"/>
              <w:widowControl w:val="0"/>
              <w:tabs>
                <w:tab w:val="left" w:pos="840"/>
              </w:tabs>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color w:val="auto"/>
                <w:kern w:val="2"/>
                <w:sz w:val="22"/>
                <w:szCs w:val="22"/>
                <w:highlight w:val="none"/>
                <w:lang w:val="en-US" w:eastAsia="zh-CN"/>
              </w:rPr>
              <w:t>3.</w:t>
            </w:r>
            <w:r>
              <w:rPr>
                <w:rFonts w:hint="eastAsia" w:ascii="新宋体" w:hAnsi="新宋体" w:eastAsia="新宋体" w:cs="新宋体"/>
                <w:b w:val="0"/>
                <w:color w:val="auto"/>
                <w:kern w:val="2"/>
                <w:sz w:val="22"/>
                <w:szCs w:val="22"/>
                <w:highlight w:val="none"/>
              </w:rPr>
              <w:t>8</w:t>
            </w:r>
          </w:p>
        </w:tc>
        <w:tc>
          <w:tcPr>
            <w:tcW w:w="8868" w:type="dxa"/>
            <w:vAlign w:val="top"/>
          </w:tcPr>
          <w:p w14:paraId="7E3F5D23">
            <w:pPr>
              <w:pStyle w:val="3"/>
              <w:keepLines w:val="0"/>
              <w:pageBreakBefore w:val="0"/>
              <w:widowControl w:val="0"/>
              <w:tabs>
                <w:tab w:val="left" w:pos="840"/>
              </w:tabs>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b w:val="0"/>
                <w:color w:val="auto"/>
                <w:kern w:val="2"/>
                <w:sz w:val="22"/>
                <w:szCs w:val="22"/>
                <w:highlight w:val="none"/>
              </w:rPr>
            </w:pPr>
            <w:r>
              <w:rPr>
                <w:rFonts w:hint="eastAsia" w:ascii="新宋体" w:hAnsi="新宋体" w:eastAsia="新宋体" w:cs="新宋体"/>
                <w:b w:val="0"/>
                <w:color w:val="auto"/>
                <w:kern w:val="2"/>
                <w:sz w:val="22"/>
                <w:szCs w:val="22"/>
                <w:highlight w:val="none"/>
              </w:rPr>
              <w:t>滤器（须提供配件品牌来源证明：购置发票或出厂证明）；</w:t>
            </w:r>
          </w:p>
          <w:p w14:paraId="357657A1">
            <w:pPr>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color w:val="auto"/>
                <w:kern w:val="2"/>
                <w:sz w:val="22"/>
                <w:szCs w:val="22"/>
                <w:highlight w:val="none"/>
              </w:rPr>
              <w:t>如中途更换其它进品滤器或改变袋体参数等时，需与使用方沟通，并提供相关的参数和客观证据。</w:t>
            </w:r>
          </w:p>
        </w:tc>
      </w:tr>
      <w:tr w14:paraId="644B1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top"/>
          </w:tcPr>
          <w:p w14:paraId="6E2E3202">
            <w:pPr>
              <w:pStyle w:val="3"/>
              <w:keepLines w:val="0"/>
              <w:pageBreakBefore w:val="0"/>
              <w:widowControl w:val="0"/>
              <w:tabs>
                <w:tab w:val="left" w:pos="840"/>
              </w:tabs>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color w:val="auto"/>
                <w:kern w:val="2"/>
                <w:sz w:val="22"/>
                <w:szCs w:val="22"/>
                <w:highlight w:val="none"/>
                <w:lang w:eastAsia="zh-CN"/>
              </w:rPr>
              <w:t>★</w:t>
            </w:r>
            <w:r>
              <w:rPr>
                <w:rFonts w:hint="eastAsia" w:ascii="新宋体" w:hAnsi="新宋体" w:eastAsia="新宋体" w:cs="新宋体"/>
                <w:b w:val="0"/>
                <w:color w:val="auto"/>
                <w:kern w:val="2"/>
                <w:sz w:val="22"/>
                <w:szCs w:val="22"/>
                <w:highlight w:val="none"/>
                <w:lang w:val="en-US" w:eastAsia="zh-CN"/>
              </w:rPr>
              <w:t>3.</w:t>
            </w:r>
            <w:r>
              <w:rPr>
                <w:rFonts w:hint="eastAsia" w:ascii="新宋体" w:hAnsi="新宋体" w:eastAsia="新宋体" w:cs="新宋体"/>
                <w:b w:val="0"/>
                <w:color w:val="auto"/>
                <w:kern w:val="2"/>
                <w:sz w:val="22"/>
                <w:szCs w:val="22"/>
                <w:highlight w:val="none"/>
              </w:rPr>
              <w:t>9</w:t>
            </w:r>
          </w:p>
        </w:tc>
        <w:tc>
          <w:tcPr>
            <w:tcW w:w="8868" w:type="dxa"/>
            <w:vAlign w:val="top"/>
          </w:tcPr>
          <w:p w14:paraId="1C866774">
            <w:pPr>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color w:val="auto"/>
                <w:kern w:val="2"/>
                <w:sz w:val="22"/>
                <w:szCs w:val="22"/>
                <w:highlight w:val="none"/>
              </w:rPr>
              <w:t>过滤环境在 18—25 °C，适用常温或冷藏后血液的过滤。</w:t>
            </w:r>
          </w:p>
        </w:tc>
      </w:tr>
      <w:tr w14:paraId="4A811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top"/>
          </w:tcPr>
          <w:p w14:paraId="7F0B48E4">
            <w:pPr>
              <w:pStyle w:val="3"/>
              <w:keepLines w:val="0"/>
              <w:pageBreakBefore w:val="0"/>
              <w:widowControl w:val="0"/>
              <w:tabs>
                <w:tab w:val="left" w:pos="840"/>
              </w:tabs>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color w:val="auto"/>
                <w:kern w:val="2"/>
                <w:sz w:val="22"/>
                <w:szCs w:val="22"/>
                <w:highlight w:val="none"/>
                <w:lang w:val="en-US" w:eastAsia="zh-CN"/>
              </w:rPr>
              <w:t>3.</w:t>
            </w:r>
            <w:r>
              <w:rPr>
                <w:rFonts w:hint="eastAsia" w:ascii="新宋体" w:hAnsi="新宋体" w:eastAsia="新宋体" w:cs="新宋体"/>
                <w:b w:val="0"/>
                <w:color w:val="auto"/>
                <w:kern w:val="2"/>
                <w:sz w:val="22"/>
                <w:szCs w:val="22"/>
                <w:highlight w:val="none"/>
              </w:rPr>
              <w:t>10</w:t>
            </w:r>
          </w:p>
        </w:tc>
        <w:tc>
          <w:tcPr>
            <w:tcW w:w="8868" w:type="dxa"/>
            <w:vAlign w:val="top"/>
          </w:tcPr>
          <w:p w14:paraId="6B688F17">
            <w:pPr>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color w:val="auto"/>
                <w:kern w:val="2"/>
                <w:sz w:val="22"/>
                <w:szCs w:val="22"/>
                <w:highlight w:val="none"/>
              </w:rPr>
              <w:t>过滤后血容最损失小于10%。</w:t>
            </w:r>
          </w:p>
        </w:tc>
      </w:tr>
      <w:tr w14:paraId="277EB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top"/>
          </w:tcPr>
          <w:p w14:paraId="612CA383">
            <w:pPr>
              <w:pStyle w:val="3"/>
              <w:keepLines w:val="0"/>
              <w:pageBreakBefore w:val="0"/>
              <w:widowControl w:val="0"/>
              <w:tabs>
                <w:tab w:val="left" w:pos="840"/>
              </w:tabs>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color w:val="auto"/>
                <w:kern w:val="2"/>
                <w:sz w:val="22"/>
                <w:szCs w:val="22"/>
                <w:highlight w:val="none"/>
                <w:lang w:val="en-US" w:eastAsia="zh-CN"/>
              </w:rPr>
              <w:t>3.</w:t>
            </w:r>
            <w:r>
              <w:rPr>
                <w:rFonts w:hint="eastAsia" w:ascii="新宋体" w:hAnsi="新宋体" w:eastAsia="新宋体" w:cs="新宋体"/>
                <w:b w:val="0"/>
                <w:color w:val="auto"/>
                <w:kern w:val="2"/>
                <w:sz w:val="22"/>
                <w:szCs w:val="22"/>
                <w:highlight w:val="none"/>
              </w:rPr>
              <w:t>11</w:t>
            </w:r>
          </w:p>
        </w:tc>
        <w:tc>
          <w:tcPr>
            <w:tcW w:w="8868" w:type="dxa"/>
            <w:vAlign w:val="top"/>
          </w:tcPr>
          <w:p w14:paraId="5D84BDF2">
            <w:pPr>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color w:val="auto"/>
                <w:kern w:val="2"/>
                <w:sz w:val="22"/>
                <w:szCs w:val="22"/>
                <w:highlight w:val="none"/>
              </w:rPr>
              <w:t>过滤时间平均小于等于15分钟。</w:t>
            </w:r>
          </w:p>
        </w:tc>
      </w:tr>
      <w:tr w14:paraId="4A100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top"/>
          </w:tcPr>
          <w:p w14:paraId="3DF9226E">
            <w:pPr>
              <w:pStyle w:val="3"/>
              <w:keepLines w:val="0"/>
              <w:pageBreakBefore w:val="0"/>
              <w:widowControl w:val="0"/>
              <w:tabs>
                <w:tab w:val="left" w:pos="840"/>
              </w:tabs>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color w:val="auto"/>
                <w:kern w:val="2"/>
                <w:sz w:val="22"/>
                <w:szCs w:val="22"/>
                <w:highlight w:val="none"/>
                <w:lang w:val="en-US" w:eastAsia="zh-CN"/>
              </w:rPr>
              <w:t>3.</w:t>
            </w:r>
            <w:r>
              <w:rPr>
                <w:rFonts w:hint="eastAsia" w:ascii="新宋体" w:hAnsi="新宋体" w:eastAsia="新宋体" w:cs="新宋体"/>
                <w:b w:val="0"/>
                <w:color w:val="auto"/>
                <w:kern w:val="2"/>
                <w:sz w:val="22"/>
                <w:szCs w:val="22"/>
                <w:highlight w:val="none"/>
              </w:rPr>
              <w:t>12</w:t>
            </w:r>
          </w:p>
        </w:tc>
        <w:tc>
          <w:tcPr>
            <w:tcW w:w="8868" w:type="dxa"/>
            <w:vAlign w:val="top"/>
          </w:tcPr>
          <w:p w14:paraId="656BD4A0">
            <w:pPr>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color w:val="auto"/>
                <w:kern w:val="2"/>
                <w:sz w:val="22"/>
                <w:szCs w:val="22"/>
                <w:highlight w:val="none"/>
              </w:rPr>
              <w:t>非血液质量引起的滤器堵塞率小于等于</w:t>
            </w:r>
            <w:r>
              <w:rPr>
                <w:rFonts w:hint="eastAsia" w:ascii="新宋体" w:hAnsi="新宋体" w:eastAsia="新宋体" w:cs="新宋体"/>
                <w:b w:val="0"/>
                <w:color w:val="auto"/>
                <w:kern w:val="2"/>
                <w:sz w:val="22"/>
                <w:szCs w:val="22"/>
                <w:highlight w:val="none"/>
              </w:rPr>
              <w:tab/>
            </w:r>
            <w:r>
              <w:rPr>
                <w:rFonts w:hint="eastAsia" w:ascii="新宋体" w:hAnsi="新宋体" w:eastAsia="新宋体" w:cs="新宋体"/>
                <w:b w:val="0"/>
                <w:color w:val="auto"/>
                <w:kern w:val="2"/>
                <w:sz w:val="22"/>
                <w:szCs w:val="22"/>
                <w:highlight w:val="none"/>
              </w:rPr>
              <w:t>0.2% 。</w:t>
            </w:r>
          </w:p>
        </w:tc>
      </w:tr>
      <w:tr w14:paraId="7FFA1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top"/>
          </w:tcPr>
          <w:p w14:paraId="2418E012">
            <w:pPr>
              <w:pStyle w:val="3"/>
              <w:keepLines w:val="0"/>
              <w:pageBreakBefore w:val="0"/>
              <w:widowControl w:val="0"/>
              <w:tabs>
                <w:tab w:val="left" w:pos="840"/>
              </w:tabs>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b w:val="0"/>
                <w:color w:val="auto"/>
                <w:kern w:val="2"/>
                <w:sz w:val="22"/>
                <w:szCs w:val="22"/>
                <w:highlight w:val="none"/>
                <w:lang w:val="en-US" w:eastAsia="zh-CN"/>
              </w:rPr>
            </w:pPr>
            <w:r>
              <w:rPr>
                <w:rFonts w:hint="eastAsia" w:ascii="新宋体" w:hAnsi="新宋体" w:eastAsia="新宋体" w:cs="新宋体"/>
                <w:b w:val="0"/>
                <w:color w:val="auto"/>
                <w:kern w:val="2"/>
                <w:sz w:val="22"/>
                <w:szCs w:val="22"/>
                <w:highlight w:val="none"/>
                <w:lang w:val="en-US" w:eastAsia="zh-CN"/>
              </w:rPr>
              <w:t>3.13</w:t>
            </w:r>
          </w:p>
        </w:tc>
        <w:tc>
          <w:tcPr>
            <w:tcW w:w="8868" w:type="dxa"/>
            <w:vAlign w:val="top"/>
          </w:tcPr>
          <w:p w14:paraId="0F85909E">
            <w:pPr>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color w:val="auto"/>
                <w:kern w:val="2"/>
                <w:sz w:val="22"/>
                <w:szCs w:val="22"/>
                <w:highlight w:val="none"/>
              </w:rPr>
              <w:t>过滤结束后，靠近主袋热合端至血袋滤器下端保证充满过滤后血液的导管至少40cm。</w:t>
            </w:r>
          </w:p>
        </w:tc>
      </w:tr>
      <w:tr w14:paraId="10C33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top"/>
          </w:tcPr>
          <w:p w14:paraId="3FFF2B52">
            <w:pPr>
              <w:pStyle w:val="3"/>
              <w:keepLines w:val="0"/>
              <w:pageBreakBefore w:val="0"/>
              <w:widowControl w:val="0"/>
              <w:tabs>
                <w:tab w:val="left" w:pos="840"/>
              </w:tabs>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color w:val="auto"/>
                <w:kern w:val="2"/>
                <w:sz w:val="22"/>
                <w:szCs w:val="22"/>
                <w:highlight w:val="none"/>
                <w:lang w:val="en-US" w:eastAsia="zh-CN"/>
              </w:rPr>
              <w:t>3.</w:t>
            </w:r>
            <w:r>
              <w:rPr>
                <w:rFonts w:hint="eastAsia" w:ascii="新宋体" w:hAnsi="新宋体" w:eastAsia="新宋体" w:cs="新宋体"/>
                <w:b w:val="0"/>
                <w:color w:val="auto"/>
                <w:kern w:val="2"/>
                <w:sz w:val="22"/>
                <w:szCs w:val="22"/>
                <w:highlight w:val="none"/>
              </w:rPr>
              <w:t>14</w:t>
            </w:r>
          </w:p>
        </w:tc>
        <w:tc>
          <w:tcPr>
            <w:tcW w:w="8868" w:type="dxa"/>
            <w:vAlign w:val="top"/>
          </w:tcPr>
          <w:p w14:paraId="317C32AB">
            <w:pPr>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color w:val="auto"/>
                <w:kern w:val="2"/>
                <w:sz w:val="22"/>
                <w:szCs w:val="22"/>
                <w:highlight w:val="none"/>
              </w:rPr>
              <w:t>提供所有滤白血袋使用及制备过程中的培训和全程指导工作。</w:t>
            </w:r>
          </w:p>
        </w:tc>
      </w:tr>
    </w:tbl>
    <w:p w14:paraId="009E3ED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bookmarkStart w:id="55" w:name="_Toc19439"/>
      <w:r>
        <w:rPr>
          <w:rFonts w:hint="eastAsia" w:ascii="新宋体" w:hAnsi="新宋体" w:eastAsia="新宋体" w:cs="新宋体"/>
          <w:b/>
          <w:bCs/>
          <w:color w:val="auto"/>
          <w:sz w:val="22"/>
          <w:szCs w:val="22"/>
          <w:highlight w:val="none"/>
          <w:lang w:val="en-US" w:eastAsia="zh-CN"/>
        </w:rPr>
        <w:t>4</w:t>
      </w:r>
      <w:r>
        <w:rPr>
          <w:rFonts w:hint="eastAsia" w:ascii="新宋体" w:hAnsi="新宋体" w:eastAsia="新宋体" w:cs="新宋体"/>
          <w:b/>
          <w:bCs/>
          <w:color w:val="auto"/>
          <w:sz w:val="22"/>
          <w:szCs w:val="22"/>
          <w:highlight w:val="none"/>
        </w:rPr>
        <w:t>00ML一次性使用去白细胞塑料血袋</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lang w:val="en-US" w:eastAsia="zh-CN"/>
        </w:rPr>
        <w:t>采输血器</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sz w:val="22"/>
          <w:szCs w:val="22"/>
          <w:highlight w:val="none"/>
        </w:rPr>
        <w:t>：</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6"/>
        <w:gridCol w:w="8868"/>
      </w:tblGrid>
      <w:tr w14:paraId="14409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2"/>
            <w:vAlign w:val="top"/>
          </w:tcPr>
          <w:p w14:paraId="4E26DBB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参数规格</w:t>
            </w:r>
          </w:p>
        </w:tc>
      </w:tr>
      <w:tr w14:paraId="649D8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top"/>
          </w:tcPr>
          <w:p w14:paraId="123B54A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w:t>
            </w:r>
          </w:p>
        </w:tc>
        <w:tc>
          <w:tcPr>
            <w:tcW w:w="8954" w:type="dxa"/>
            <w:vAlign w:val="top"/>
          </w:tcPr>
          <w:p w14:paraId="78FB981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相关法规、管理条例与技术标准、行业规范</w:t>
            </w:r>
          </w:p>
        </w:tc>
      </w:tr>
      <w:tr w14:paraId="3A5F0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top"/>
          </w:tcPr>
          <w:p w14:paraId="763BE6E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1.1</w:t>
            </w:r>
          </w:p>
        </w:tc>
        <w:tc>
          <w:tcPr>
            <w:tcW w:w="8954" w:type="dxa"/>
            <w:vAlign w:val="top"/>
          </w:tcPr>
          <w:p w14:paraId="67EE63C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国家规定的标准和规范，有新标准按新标准执行；</w:t>
            </w:r>
          </w:p>
        </w:tc>
      </w:tr>
      <w:tr w14:paraId="27DDA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top"/>
          </w:tcPr>
          <w:p w14:paraId="5CEEA7F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1.2</w:t>
            </w:r>
          </w:p>
        </w:tc>
        <w:tc>
          <w:tcPr>
            <w:tcW w:w="8954" w:type="dxa"/>
            <w:vAlign w:val="top"/>
          </w:tcPr>
          <w:p w14:paraId="1D23952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 xml:space="preserve">行业标准及规范，有新标准按新标准执行； </w:t>
            </w:r>
          </w:p>
        </w:tc>
      </w:tr>
      <w:tr w14:paraId="5F6C9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top"/>
          </w:tcPr>
          <w:p w14:paraId="1F59D52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1.3</w:t>
            </w:r>
          </w:p>
        </w:tc>
        <w:tc>
          <w:tcPr>
            <w:tcW w:w="8954" w:type="dxa"/>
            <w:vAlign w:val="top"/>
          </w:tcPr>
          <w:p w14:paraId="58D9AA9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其他相关标准。</w:t>
            </w:r>
          </w:p>
        </w:tc>
      </w:tr>
      <w:tr w14:paraId="6DE1A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top"/>
          </w:tcPr>
          <w:p w14:paraId="6FCDBD0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w:t>
            </w:r>
          </w:p>
        </w:tc>
        <w:tc>
          <w:tcPr>
            <w:tcW w:w="8954" w:type="dxa"/>
            <w:vAlign w:val="top"/>
          </w:tcPr>
          <w:p w14:paraId="67F9FF6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通用技术要求</w:t>
            </w:r>
          </w:p>
        </w:tc>
      </w:tr>
      <w:tr w14:paraId="15A47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top"/>
          </w:tcPr>
          <w:p w14:paraId="280881B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2.1</w:t>
            </w:r>
          </w:p>
        </w:tc>
        <w:tc>
          <w:tcPr>
            <w:tcW w:w="8954" w:type="dxa"/>
            <w:vAlign w:val="top"/>
          </w:tcPr>
          <w:p w14:paraId="33E9024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以下所列仅为产品的基本要求，供应商须按有关标准及规范完成本次采购产品的供货、运输（含装卸车等）、清关、纳税、检验、产品质晕保证措施及保险等各项工作，并保证其使用的安全性与有效性。具体说明、指标参数由供应商在投标文件中提供（必须提供）。</w:t>
            </w:r>
          </w:p>
        </w:tc>
      </w:tr>
      <w:tr w14:paraId="5F45B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top"/>
          </w:tcPr>
          <w:p w14:paraId="5CE3F67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w:t>
            </w:r>
          </w:p>
        </w:tc>
        <w:tc>
          <w:tcPr>
            <w:tcW w:w="8954" w:type="dxa"/>
            <w:vAlign w:val="top"/>
          </w:tcPr>
          <w:p w14:paraId="7EACAF0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00ML一次性使用去白细胞塑料血袋</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lang w:val="en-US" w:eastAsia="zh-CN"/>
              </w:rPr>
              <w:t>采输血器</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sz w:val="22"/>
                <w:szCs w:val="22"/>
                <w:highlight w:val="none"/>
              </w:rPr>
              <w:t>的详细技术要求</w:t>
            </w:r>
          </w:p>
        </w:tc>
      </w:tr>
      <w:tr w14:paraId="0732B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top"/>
          </w:tcPr>
          <w:p w14:paraId="06E4BAC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3.1</w:t>
            </w:r>
          </w:p>
        </w:tc>
        <w:tc>
          <w:tcPr>
            <w:tcW w:w="8954" w:type="dxa"/>
            <w:vAlign w:val="top"/>
          </w:tcPr>
          <w:p w14:paraId="17061C1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kern w:val="2"/>
                <w:sz w:val="22"/>
                <w:szCs w:val="22"/>
                <w:highlight w:val="none"/>
                <w:u w:val="single"/>
                <w:lang w:val="en-US" w:eastAsia="zh-CN"/>
              </w:rPr>
            </w:pPr>
            <w:r>
              <w:rPr>
                <w:rFonts w:hint="eastAsia" w:ascii="新宋体" w:hAnsi="新宋体" w:eastAsia="新宋体" w:cs="新宋体"/>
                <w:b/>
                <w:bCs/>
                <w:color w:val="auto"/>
                <w:kern w:val="2"/>
                <w:sz w:val="22"/>
                <w:szCs w:val="22"/>
                <w:highlight w:val="none"/>
                <w:u w:val="single"/>
                <w:lang w:val="en-US" w:eastAsia="zh-CN"/>
              </w:rPr>
              <w:t>符合滤白血袋涉及的国家相关资质和质量要求 ； 滤后产品符合《全血及成分血质量要求》。</w:t>
            </w:r>
          </w:p>
        </w:tc>
      </w:tr>
      <w:tr w14:paraId="0B2EC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top"/>
          </w:tcPr>
          <w:p w14:paraId="32264C3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2</w:t>
            </w:r>
          </w:p>
        </w:tc>
        <w:tc>
          <w:tcPr>
            <w:tcW w:w="8954" w:type="dxa"/>
            <w:vAlign w:val="top"/>
          </w:tcPr>
          <w:p w14:paraId="1EBAF61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滤白血袋袋体组成：4个袋体</w:t>
            </w:r>
          </w:p>
          <w:p w14:paraId="17B71E6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1×400mL主袋</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100mLACD-B</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+1×400mL滤后空袋＋1×400mL尾袋（100mLMAP</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 xml:space="preserve"> +1×400mL转移袋（空袋）。</w:t>
            </w:r>
          </w:p>
        </w:tc>
      </w:tr>
      <w:tr w14:paraId="2BA22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top"/>
          </w:tcPr>
          <w:p w14:paraId="63E03D5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3.3</w:t>
            </w:r>
          </w:p>
        </w:tc>
        <w:tc>
          <w:tcPr>
            <w:tcW w:w="8954" w:type="dxa"/>
            <w:vAlign w:val="top"/>
          </w:tcPr>
          <w:p w14:paraId="0F8E60C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袋体</w:t>
            </w:r>
            <w:r>
              <w:rPr>
                <w:rFonts w:hint="eastAsia" w:ascii="新宋体" w:hAnsi="新宋体" w:eastAsia="新宋体" w:cs="新宋体"/>
                <w:color w:val="auto"/>
                <w:sz w:val="22"/>
                <w:szCs w:val="22"/>
                <w:highlight w:val="none"/>
                <w:lang w:val="en-US" w:eastAsia="zh-CN"/>
              </w:rPr>
              <w:t>装置</w:t>
            </w:r>
          </w:p>
        </w:tc>
      </w:tr>
      <w:tr w14:paraId="584EB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top"/>
          </w:tcPr>
          <w:p w14:paraId="39F5C833">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3.1</w:t>
            </w:r>
          </w:p>
        </w:tc>
        <w:tc>
          <w:tcPr>
            <w:tcW w:w="8954" w:type="dxa"/>
            <w:vAlign w:val="top"/>
          </w:tcPr>
          <w:p w14:paraId="57DB557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安全采样装置：采样装置带一容量约35mL的留样袋，可通过采样针与各类型真空采血管相连，实现安全采样目的，避免血液污染。安采针手持套筒无盖帽。</w:t>
            </w:r>
          </w:p>
        </w:tc>
      </w:tr>
      <w:tr w14:paraId="51EC2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top"/>
          </w:tcPr>
          <w:p w14:paraId="555BB55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3.2</w:t>
            </w:r>
          </w:p>
        </w:tc>
        <w:tc>
          <w:tcPr>
            <w:tcW w:w="8954" w:type="dxa"/>
            <w:vAlign w:val="top"/>
          </w:tcPr>
          <w:p w14:paraId="0CBB4A1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针刺保护装置 ：与血袋系统献血管路集成为一体 ，其设计是防止采血针使用后发生意外针刺。能够有效地减少操作人员的针刺概率，有效保护操作人员操作安全。</w:t>
            </w:r>
          </w:p>
        </w:tc>
      </w:tr>
      <w:tr w14:paraId="5193A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top"/>
          </w:tcPr>
          <w:p w14:paraId="64F86D1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4</w:t>
            </w:r>
          </w:p>
        </w:tc>
        <w:tc>
          <w:tcPr>
            <w:tcW w:w="8954" w:type="dxa"/>
            <w:vAlign w:val="top"/>
          </w:tcPr>
          <w:p w14:paraId="1EA3473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袋体材料：输血输液用软聚氯乙烯</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DEHP增塑）；袋体成型方式：压延成型；袋体外观：半透明 ，无杂质；血袋膜厚度：单层0.39-0.42mm；袋体水蒸气透出性能 ：在指定温湿度条件下（2- 6°C；50%RH~60%RH）</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42d，血袋损耗质量分数不大于2%；在血袋及内容物要求存储条件下，血袋寿命期内</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2年），水分损耗不大于5%。</w:t>
            </w:r>
          </w:p>
        </w:tc>
      </w:tr>
      <w:tr w14:paraId="6D5EE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top"/>
          </w:tcPr>
          <w:p w14:paraId="23AD17F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5</w:t>
            </w:r>
          </w:p>
        </w:tc>
        <w:tc>
          <w:tcPr>
            <w:tcW w:w="8954" w:type="dxa"/>
            <w:vAlign w:val="top"/>
          </w:tcPr>
          <w:p w14:paraId="151FF6A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采血袋配置成品的针头、导管上具有追溯功能的一致性编号、袋体标签等符合国家相关要求，带有血袋批号和规格的识别码。（须提供配件品牌来源证明：购置发票或出厂证明）。</w:t>
            </w:r>
          </w:p>
        </w:tc>
      </w:tr>
      <w:tr w14:paraId="30D78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top"/>
          </w:tcPr>
          <w:p w14:paraId="44737EB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5.1</w:t>
            </w:r>
          </w:p>
        </w:tc>
        <w:tc>
          <w:tcPr>
            <w:tcW w:w="8954" w:type="dxa"/>
            <w:vAlign w:val="top"/>
          </w:tcPr>
          <w:p w14:paraId="6EDA7BD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采血针：材料：医用不锈钢；其他：有针帽防护，使用安全，有防止脱落装置；采血针锋利、管壁光滑，采血针与采血管为一体并有保护套，确保防止抗凝剂或保养液泄露；</w:t>
            </w:r>
          </w:p>
        </w:tc>
      </w:tr>
      <w:tr w14:paraId="777A1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top"/>
          </w:tcPr>
          <w:p w14:paraId="66695A4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5.2</w:t>
            </w:r>
          </w:p>
        </w:tc>
        <w:tc>
          <w:tcPr>
            <w:tcW w:w="8954" w:type="dxa"/>
            <w:vAlign w:val="top"/>
          </w:tcPr>
          <w:p w14:paraId="7A812D5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导管材料：PVC；外观：透明、柔软</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不打折；管长：采血主管大于等于95cm</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符合 GB14232. 1要求；管径：3.2×4.6mm；拉力：承受20N拉力，15s不产生泄漏，采血导管与转移导管可带有开关式止液装置。</w:t>
            </w:r>
          </w:p>
        </w:tc>
      </w:tr>
      <w:tr w14:paraId="57F03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top"/>
          </w:tcPr>
          <w:p w14:paraId="232F74B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6</w:t>
            </w:r>
          </w:p>
        </w:tc>
        <w:tc>
          <w:tcPr>
            <w:tcW w:w="8954" w:type="dxa"/>
            <w:vAlign w:val="top"/>
          </w:tcPr>
          <w:p w14:paraId="7C304C7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不同规格血袋分别可以按业主需求配置留样小袋、针冒伸缩套和适合G5全自动分离机自动拥塞的阻塞件。</w:t>
            </w:r>
          </w:p>
        </w:tc>
      </w:tr>
      <w:tr w14:paraId="4E438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top"/>
          </w:tcPr>
          <w:p w14:paraId="4A403CC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7</w:t>
            </w:r>
          </w:p>
        </w:tc>
        <w:tc>
          <w:tcPr>
            <w:tcW w:w="8954" w:type="dxa"/>
            <w:vAlign w:val="top"/>
          </w:tcPr>
          <w:p w14:paraId="2FC6D8B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标签：热转印标签，无脱落风险。牢固、醒目、字迹清楚、易于辨认，项目齐全。或标签为非纸质（不会产生霉菌、低温脱落、离心破裂）。标签应有下列内容：血液保存液的名称、配方和容量、公称容量（采血量）、无菌有效期及不需通气的说明、“无菌”、“无热原”限定条件的说明，“一次性使用” 、“用后销毁 ”字样，使用说明，保存条件，注意事项：发现渗漏、长霉、浑浊等变质现象，禁止使用。产品名称和标记， 生产厂家名称、地址和商标，产品批号，不同规格的标签区分明显 ；</w:t>
            </w:r>
          </w:p>
        </w:tc>
      </w:tr>
      <w:tr w14:paraId="45AFF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top"/>
          </w:tcPr>
          <w:p w14:paraId="5F40D3B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8</w:t>
            </w:r>
          </w:p>
        </w:tc>
        <w:tc>
          <w:tcPr>
            <w:tcW w:w="8954" w:type="dxa"/>
            <w:vAlign w:val="top"/>
          </w:tcPr>
          <w:p w14:paraId="62FA026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滤器（须提供配件品牌来源证明：购置发票或出厂证明）；</w:t>
            </w:r>
          </w:p>
          <w:p w14:paraId="73842B7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如中途更换其它进品滤器或改变袋体参数等时，需与使用方沟通，并提供相关的参数和客观证据。</w:t>
            </w:r>
          </w:p>
        </w:tc>
      </w:tr>
      <w:tr w14:paraId="3AAE3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top"/>
          </w:tcPr>
          <w:p w14:paraId="0DE07A5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9</w:t>
            </w:r>
          </w:p>
        </w:tc>
        <w:tc>
          <w:tcPr>
            <w:tcW w:w="8954" w:type="dxa"/>
            <w:vAlign w:val="top"/>
          </w:tcPr>
          <w:p w14:paraId="6B11F75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过滤环境在 18—25 °C，适用常温或冷藏后血液的过滤。</w:t>
            </w:r>
          </w:p>
        </w:tc>
      </w:tr>
      <w:tr w14:paraId="500D1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top"/>
          </w:tcPr>
          <w:p w14:paraId="3ADC0DB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10</w:t>
            </w:r>
          </w:p>
        </w:tc>
        <w:tc>
          <w:tcPr>
            <w:tcW w:w="8954" w:type="dxa"/>
            <w:vAlign w:val="top"/>
          </w:tcPr>
          <w:p w14:paraId="700686D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过滤后血容最损失小于10%。</w:t>
            </w:r>
          </w:p>
        </w:tc>
      </w:tr>
      <w:tr w14:paraId="4A361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top"/>
          </w:tcPr>
          <w:p w14:paraId="1691B6E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11</w:t>
            </w:r>
          </w:p>
        </w:tc>
        <w:tc>
          <w:tcPr>
            <w:tcW w:w="8954" w:type="dxa"/>
            <w:vAlign w:val="top"/>
          </w:tcPr>
          <w:p w14:paraId="2C5AAD1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过滤时间平均小于等于20分钟。</w:t>
            </w:r>
          </w:p>
        </w:tc>
      </w:tr>
      <w:tr w14:paraId="57207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top"/>
          </w:tcPr>
          <w:p w14:paraId="6058E24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12</w:t>
            </w:r>
          </w:p>
        </w:tc>
        <w:tc>
          <w:tcPr>
            <w:tcW w:w="8954" w:type="dxa"/>
            <w:vAlign w:val="top"/>
          </w:tcPr>
          <w:p w14:paraId="5C1829E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非血液质量引起的滤器堵塞率小于等于</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0.2% 。</w:t>
            </w:r>
          </w:p>
        </w:tc>
      </w:tr>
      <w:tr w14:paraId="36AB1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top"/>
          </w:tcPr>
          <w:p w14:paraId="4F3A2B86">
            <w:pPr>
              <w:pStyle w:val="3"/>
              <w:keepLines w:val="0"/>
              <w:pageBreakBefore w:val="0"/>
              <w:widowControl w:val="0"/>
              <w:tabs>
                <w:tab w:val="left" w:pos="840"/>
              </w:tabs>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color w:val="auto"/>
                <w:kern w:val="2"/>
                <w:sz w:val="22"/>
                <w:szCs w:val="22"/>
                <w:highlight w:val="none"/>
                <w:lang w:val="en-US" w:eastAsia="zh-CN"/>
              </w:rPr>
              <w:t>3.13</w:t>
            </w:r>
          </w:p>
        </w:tc>
        <w:tc>
          <w:tcPr>
            <w:tcW w:w="8954" w:type="dxa"/>
            <w:vAlign w:val="top"/>
          </w:tcPr>
          <w:p w14:paraId="54D16AB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过滤结束后，靠近主袋热合端至血袋滤器下端保证充满过滤后血液的导管至少40cm。</w:t>
            </w:r>
          </w:p>
        </w:tc>
      </w:tr>
      <w:tr w14:paraId="46514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top"/>
          </w:tcPr>
          <w:p w14:paraId="1A8B374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14</w:t>
            </w:r>
          </w:p>
        </w:tc>
        <w:tc>
          <w:tcPr>
            <w:tcW w:w="8954" w:type="dxa"/>
            <w:vAlign w:val="top"/>
          </w:tcPr>
          <w:p w14:paraId="3347D09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提供所有滤白血袋使用及制备过程中的培训和全程指导工作。</w:t>
            </w:r>
          </w:p>
        </w:tc>
      </w:tr>
      <w:bookmarkEnd w:id="55"/>
    </w:tbl>
    <w:p w14:paraId="716EAC8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rPr>
      </w:pPr>
      <w:bookmarkStart w:id="56" w:name="_Toc28744"/>
      <w:r>
        <w:rPr>
          <w:rFonts w:hint="eastAsia" w:ascii="新宋体" w:hAnsi="新宋体" w:eastAsia="新宋体" w:cs="新宋体"/>
          <w:b/>
          <w:bCs/>
          <w:color w:val="auto"/>
          <w:sz w:val="22"/>
          <w:szCs w:val="22"/>
          <w:highlight w:val="none"/>
        </w:rPr>
        <w:t>四、样品要求：</w:t>
      </w:r>
      <w:bookmarkEnd w:id="56"/>
    </w:p>
    <w:p w14:paraId="3257793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bookmarkStart w:id="57" w:name="_Toc1064"/>
      <w:r>
        <w:rPr>
          <w:rFonts w:hint="eastAsia" w:ascii="新宋体" w:hAnsi="新宋体" w:eastAsia="新宋体" w:cs="新宋体"/>
          <w:color w:val="auto"/>
          <w:sz w:val="22"/>
          <w:szCs w:val="22"/>
          <w:highlight w:val="none"/>
        </w:rPr>
        <w:t>1、投标人需提供以下样品：</w:t>
      </w:r>
      <w:bookmarkEnd w:id="57"/>
    </w:p>
    <w:tbl>
      <w:tblPr>
        <w:tblStyle w:val="54"/>
        <w:tblW w:w="0" w:type="auto"/>
        <w:tblInd w:w="2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17"/>
        <w:gridCol w:w="1327"/>
      </w:tblGrid>
      <w:tr w14:paraId="214A8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7" w:type="dxa"/>
          </w:tcPr>
          <w:p w14:paraId="35D42F8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滤白血袋</w:t>
            </w:r>
            <w:r>
              <w:rPr>
                <w:rFonts w:hint="eastAsia" w:ascii="新宋体" w:hAnsi="新宋体" w:eastAsia="新宋体" w:cs="新宋体"/>
                <w:color w:val="auto"/>
                <w:sz w:val="22"/>
                <w:szCs w:val="22"/>
                <w:highlight w:val="none"/>
                <w:lang w:eastAsia="zh-CN"/>
              </w:rPr>
              <w:t>规格</w:t>
            </w:r>
          </w:p>
        </w:tc>
        <w:tc>
          <w:tcPr>
            <w:tcW w:w="1327" w:type="dxa"/>
          </w:tcPr>
          <w:p w14:paraId="5249F405">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数量：</w:t>
            </w:r>
          </w:p>
        </w:tc>
      </w:tr>
      <w:tr w14:paraId="42122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7" w:type="dxa"/>
            <w:vAlign w:val="center"/>
          </w:tcPr>
          <w:p w14:paraId="37FECD2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200ML一次性使用去白细胞塑料血袋</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lang w:val="en-US" w:eastAsia="zh-CN"/>
              </w:rPr>
              <w:t>采输血器</w:t>
            </w:r>
            <w:r>
              <w:rPr>
                <w:rFonts w:hint="eastAsia" w:ascii="新宋体" w:hAnsi="新宋体" w:eastAsia="新宋体" w:cs="新宋体"/>
                <w:color w:val="auto"/>
                <w:kern w:val="0"/>
                <w:sz w:val="22"/>
                <w:szCs w:val="22"/>
                <w:highlight w:val="none"/>
                <w:lang w:eastAsia="zh-CN"/>
              </w:rPr>
              <w:t>）</w:t>
            </w:r>
          </w:p>
        </w:tc>
        <w:tc>
          <w:tcPr>
            <w:tcW w:w="1327" w:type="dxa"/>
          </w:tcPr>
          <w:p w14:paraId="08CD64A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套</w:t>
            </w:r>
          </w:p>
        </w:tc>
      </w:tr>
      <w:tr w14:paraId="39FB7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7" w:type="dxa"/>
            <w:vAlign w:val="center"/>
          </w:tcPr>
          <w:p w14:paraId="3829BC4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00ML一次性使用去白细胞塑料血袋</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lang w:val="en-US" w:eastAsia="zh-CN"/>
              </w:rPr>
              <w:t>采输血器</w:t>
            </w:r>
            <w:r>
              <w:rPr>
                <w:rFonts w:hint="eastAsia" w:ascii="新宋体" w:hAnsi="新宋体" w:eastAsia="新宋体" w:cs="新宋体"/>
                <w:color w:val="auto"/>
                <w:kern w:val="0"/>
                <w:sz w:val="22"/>
                <w:szCs w:val="22"/>
                <w:highlight w:val="none"/>
                <w:lang w:eastAsia="zh-CN"/>
              </w:rPr>
              <w:t>）</w:t>
            </w:r>
          </w:p>
        </w:tc>
        <w:tc>
          <w:tcPr>
            <w:tcW w:w="1327" w:type="dxa"/>
          </w:tcPr>
          <w:p w14:paraId="1A928715">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套</w:t>
            </w:r>
          </w:p>
        </w:tc>
      </w:tr>
      <w:tr w14:paraId="01C37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7" w:type="dxa"/>
            <w:vAlign w:val="center"/>
          </w:tcPr>
          <w:p w14:paraId="3CB78F7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00ML一次性使用去白细胞塑料血袋</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lang w:val="en-US" w:eastAsia="zh-CN"/>
              </w:rPr>
              <w:t>采输血器</w:t>
            </w:r>
            <w:r>
              <w:rPr>
                <w:rFonts w:hint="eastAsia" w:ascii="新宋体" w:hAnsi="新宋体" w:eastAsia="新宋体" w:cs="新宋体"/>
                <w:color w:val="auto"/>
                <w:kern w:val="0"/>
                <w:sz w:val="22"/>
                <w:szCs w:val="22"/>
                <w:highlight w:val="none"/>
                <w:lang w:eastAsia="zh-CN"/>
              </w:rPr>
              <w:t>）</w:t>
            </w:r>
          </w:p>
        </w:tc>
        <w:tc>
          <w:tcPr>
            <w:tcW w:w="1327" w:type="dxa"/>
          </w:tcPr>
          <w:p w14:paraId="70469B7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套</w:t>
            </w:r>
          </w:p>
        </w:tc>
      </w:tr>
    </w:tbl>
    <w:p w14:paraId="4457E62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bookmarkStart w:id="58" w:name="_Toc13109"/>
      <w:r>
        <w:rPr>
          <w:rFonts w:hint="eastAsia" w:ascii="新宋体" w:hAnsi="新宋体" w:eastAsia="新宋体" w:cs="新宋体"/>
          <w:color w:val="auto"/>
          <w:sz w:val="22"/>
          <w:szCs w:val="22"/>
          <w:highlight w:val="none"/>
        </w:rPr>
        <w:t>2、投标样品仅作为评分项，评委按照招标文件规定的评分方法和评分标准对样品进行评价，投标样品不影响其投标文件的有效性。</w:t>
      </w:r>
      <w:bookmarkEnd w:id="58"/>
    </w:p>
    <w:p w14:paraId="3CF5FAE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bookmarkStart w:id="59" w:name="_Toc23387"/>
      <w:r>
        <w:rPr>
          <w:rFonts w:hint="eastAsia" w:ascii="新宋体" w:hAnsi="新宋体" w:eastAsia="新宋体" w:cs="新宋体"/>
          <w:color w:val="auto"/>
          <w:sz w:val="22"/>
          <w:szCs w:val="22"/>
          <w:highlight w:val="none"/>
        </w:rPr>
        <w:t>3、样品的提交地点：</w:t>
      </w:r>
      <w:r>
        <w:rPr>
          <w:rFonts w:hint="eastAsia" w:ascii="新宋体" w:hAnsi="新宋体" w:eastAsia="新宋体" w:cs="新宋体"/>
          <w:color w:val="auto"/>
          <w:sz w:val="22"/>
          <w:szCs w:val="22"/>
          <w:highlight w:val="none"/>
          <w:lang w:eastAsia="zh-CN"/>
        </w:rPr>
        <w:t>温州市鹿城区勤民路鹿城壹号18幢803室（</w:t>
      </w:r>
      <w:r>
        <w:rPr>
          <w:rFonts w:hint="eastAsia" w:ascii="新宋体" w:hAnsi="新宋体" w:eastAsia="新宋体" w:cs="新宋体"/>
          <w:color w:val="auto"/>
          <w:sz w:val="22"/>
          <w:szCs w:val="22"/>
          <w:highlight w:val="none"/>
        </w:rPr>
        <w:t>温州历程招标有限公司 </w:t>
      </w:r>
      <w:r>
        <w:rPr>
          <w:rFonts w:hint="eastAsia" w:ascii="新宋体" w:hAnsi="新宋体" w:eastAsia="新宋体" w:cs="新宋体"/>
          <w:color w:val="auto"/>
          <w:sz w:val="22"/>
          <w:szCs w:val="22"/>
          <w:highlight w:val="none"/>
          <w:lang w:eastAsia="zh-CN"/>
        </w:rPr>
        <w:t>）</w:t>
      </w:r>
    </w:p>
    <w:p w14:paraId="7675A8C3">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递交截止时间：样品请于投标截止时间前送至地点（可邮寄）。</w:t>
      </w:r>
      <w:bookmarkEnd w:id="59"/>
    </w:p>
    <w:p w14:paraId="7C539DA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bookmarkStart w:id="60" w:name="_Toc25053"/>
      <w:r>
        <w:rPr>
          <w:rFonts w:hint="eastAsia" w:ascii="新宋体" w:hAnsi="新宋体" w:eastAsia="新宋体" w:cs="新宋体"/>
          <w:color w:val="auto"/>
          <w:sz w:val="22"/>
          <w:szCs w:val="22"/>
          <w:highlight w:val="none"/>
        </w:rPr>
        <w:t>4、本项目样品由评委现场评审。</w:t>
      </w:r>
      <w:bookmarkEnd w:id="60"/>
    </w:p>
    <w:p w14:paraId="08C079B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eastAsia="zh-CN"/>
        </w:rPr>
      </w:pPr>
      <w:bookmarkStart w:id="61" w:name="_Toc11101"/>
      <w:r>
        <w:rPr>
          <w:rFonts w:hint="eastAsia" w:ascii="新宋体" w:hAnsi="新宋体" w:eastAsia="新宋体" w:cs="新宋体"/>
          <w:color w:val="auto"/>
          <w:sz w:val="22"/>
          <w:szCs w:val="22"/>
          <w:highlight w:val="none"/>
        </w:rPr>
        <w:t>5、样品应在</w:t>
      </w:r>
      <w:r>
        <w:rPr>
          <w:rFonts w:hint="eastAsia" w:ascii="新宋体" w:hAnsi="新宋体" w:eastAsia="新宋体" w:cs="新宋体"/>
          <w:color w:val="auto"/>
          <w:sz w:val="22"/>
          <w:szCs w:val="22"/>
          <w:highlight w:val="none"/>
          <w:lang w:val="en-US" w:eastAsia="zh-CN"/>
        </w:rPr>
        <w:t>样品</w:t>
      </w:r>
      <w:r>
        <w:rPr>
          <w:rFonts w:hint="eastAsia" w:ascii="新宋体" w:hAnsi="新宋体" w:eastAsia="新宋体" w:cs="新宋体"/>
          <w:color w:val="auto"/>
          <w:sz w:val="22"/>
          <w:szCs w:val="22"/>
          <w:highlight w:val="none"/>
        </w:rPr>
        <w:t>上标明包括供应商信息</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生产厂家名称、商标（品牌）等供应商特有的标识，否则样品分得0分。</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不提供样品</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样品不符合招标文件要求</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无标注</w:t>
      </w:r>
      <w:r>
        <w:rPr>
          <w:rFonts w:hint="eastAsia" w:ascii="新宋体" w:hAnsi="新宋体" w:eastAsia="新宋体" w:cs="新宋体"/>
          <w:color w:val="auto"/>
          <w:sz w:val="22"/>
          <w:szCs w:val="22"/>
          <w:highlight w:val="none"/>
        </w:rPr>
        <w:t>供应商信息</w:t>
      </w:r>
      <w:r>
        <w:rPr>
          <w:rFonts w:hint="eastAsia" w:ascii="新宋体" w:hAnsi="新宋体" w:eastAsia="新宋体" w:cs="新宋体"/>
          <w:color w:val="auto"/>
          <w:sz w:val="22"/>
          <w:szCs w:val="22"/>
          <w:highlight w:val="none"/>
          <w:lang w:val="en-US" w:eastAsia="zh-CN"/>
        </w:rPr>
        <w:t>或信息模糊不清</w:t>
      </w:r>
      <w:r>
        <w:rPr>
          <w:rFonts w:hint="eastAsia" w:ascii="新宋体" w:hAnsi="新宋体" w:eastAsia="新宋体" w:cs="新宋体"/>
          <w:color w:val="auto"/>
          <w:sz w:val="22"/>
          <w:szCs w:val="22"/>
          <w:highlight w:val="none"/>
        </w:rPr>
        <w:t>，评审</w:t>
      </w:r>
      <w:r>
        <w:rPr>
          <w:rFonts w:hint="eastAsia" w:ascii="新宋体" w:hAnsi="新宋体" w:eastAsia="新宋体" w:cs="新宋体"/>
          <w:color w:val="auto"/>
          <w:sz w:val="22"/>
          <w:szCs w:val="22"/>
          <w:highlight w:val="none"/>
          <w:lang w:val="en-US" w:eastAsia="zh-CN"/>
        </w:rPr>
        <w:t>委员会</w:t>
      </w:r>
      <w:r>
        <w:rPr>
          <w:rFonts w:hint="eastAsia" w:ascii="新宋体" w:hAnsi="新宋体" w:eastAsia="新宋体" w:cs="新宋体"/>
          <w:color w:val="auto"/>
          <w:sz w:val="22"/>
          <w:szCs w:val="22"/>
          <w:highlight w:val="none"/>
        </w:rPr>
        <w:t>可能对其作出不利评判</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其后果由供应商自行承担</w:t>
      </w:r>
      <w:r>
        <w:rPr>
          <w:rFonts w:hint="eastAsia" w:ascii="新宋体" w:hAnsi="新宋体" w:eastAsia="新宋体" w:cs="新宋体"/>
          <w:color w:val="auto"/>
          <w:sz w:val="22"/>
          <w:szCs w:val="22"/>
          <w:highlight w:val="none"/>
          <w:lang w:eastAsia="zh-CN"/>
        </w:rPr>
        <w:t>）</w:t>
      </w:r>
    </w:p>
    <w:p w14:paraId="45743D1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6、供应商自行承担样品费用，</w:t>
      </w:r>
      <w:r>
        <w:rPr>
          <w:rFonts w:hint="eastAsia" w:ascii="新宋体" w:hAnsi="新宋体" w:eastAsia="新宋体" w:cs="新宋体"/>
          <w:color w:val="auto"/>
          <w:sz w:val="22"/>
          <w:szCs w:val="22"/>
          <w:highlight w:val="none"/>
        </w:rPr>
        <w:t>中标供应商的样品将在评审结束后送至采购人指定地点进行封样</w:t>
      </w:r>
      <w:r>
        <w:rPr>
          <w:rFonts w:hint="eastAsia" w:ascii="新宋体" w:hAnsi="新宋体" w:eastAsia="新宋体" w:cs="新宋体"/>
          <w:color w:val="auto"/>
          <w:sz w:val="22"/>
          <w:szCs w:val="22"/>
          <w:highlight w:val="none"/>
          <w:lang w:eastAsia="zh-CN"/>
        </w:rPr>
        <w:t>，并作为验收标准</w:t>
      </w:r>
      <w:r>
        <w:rPr>
          <w:rFonts w:hint="eastAsia" w:ascii="新宋体" w:hAnsi="新宋体" w:eastAsia="新宋体" w:cs="新宋体"/>
          <w:color w:val="auto"/>
          <w:sz w:val="22"/>
          <w:szCs w:val="22"/>
          <w:highlight w:val="none"/>
        </w:rPr>
        <w:t>。</w:t>
      </w:r>
      <w:bookmarkEnd w:id="61"/>
      <w:r>
        <w:rPr>
          <w:rFonts w:hint="eastAsia" w:ascii="新宋体" w:hAnsi="新宋体" w:eastAsia="新宋体" w:cs="新宋体"/>
          <w:color w:val="auto"/>
          <w:sz w:val="22"/>
          <w:szCs w:val="22"/>
          <w:highlight w:val="none"/>
        </w:rPr>
        <w:t>未中标</w:t>
      </w:r>
      <w:r>
        <w:rPr>
          <w:rFonts w:hint="eastAsia" w:ascii="新宋体" w:hAnsi="新宋体" w:eastAsia="新宋体" w:cs="新宋体"/>
          <w:color w:val="auto"/>
          <w:sz w:val="22"/>
          <w:szCs w:val="22"/>
          <w:highlight w:val="none"/>
          <w:lang w:val="en-US" w:eastAsia="zh-CN"/>
        </w:rPr>
        <w:t>样品</w:t>
      </w:r>
      <w:r>
        <w:rPr>
          <w:rFonts w:hint="eastAsia" w:ascii="新宋体" w:hAnsi="新宋体" w:eastAsia="新宋体" w:cs="新宋体"/>
          <w:color w:val="auto"/>
          <w:sz w:val="22"/>
          <w:szCs w:val="22"/>
          <w:highlight w:val="none"/>
        </w:rPr>
        <w:t>在评审结束后退还</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由投标人自行取回。</w:t>
      </w:r>
    </w:p>
    <w:p w14:paraId="546D9A1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bookmarkStart w:id="62" w:name="_Toc11066"/>
      <w:r>
        <w:rPr>
          <w:rFonts w:hint="eastAsia" w:ascii="新宋体" w:hAnsi="新宋体" w:eastAsia="新宋体" w:cs="新宋体"/>
          <w:color w:val="auto"/>
          <w:sz w:val="22"/>
          <w:szCs w:val="22"/>
          <w:highlight w:val="none"/>
          <w:lang w:val="en-US" w:eastAsia="zh-CN"/>
        </w:rPr>
        <w:t>7</w:t>
      </w:r>
      <w:r>
        <w:rPr>
          <w:rFonts w:hint="eastAsia" w:ascii="新宋体" w:hAnsi="新宋体" w:eastAsia="新宋体" w:cs="新宋体"/>
          <w:color w:val="auto"/>
          <w:sz w:val="22"/>
          <w:szCs w:val="22"/>
          <w:highlight w:val="none"/>
        </w:rPr>
        <w:t>、提供各规格血袋，需要时增加的每个普通单袋和血小板保存袋的价格（在备品备件清单中提供）。提供各规格血袋关于滤器和袋体材质厚度等相关参数。</w:t>
      </w:r>
      <w:bookmarkEnd w:id="62"/>
    </w:p>
    <w:p w14:paraId="086F468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lang w:val="en-US" w:eastAsia="zh-CN"/>
        </w:rPr>
        <w:t>五、其他要求：</w:t>
      </w:r>
    </w:p>
    <w:p w14:paraId="72BE7C4F">
      <w:pPr>
        <w:keepNext w:val="0"/>
        <w:keepLines w:val="0"/>
        <w:pageBreakBefore w:val="0"/>
        <w:widowControl w:val="0"/>
        <w:kinsoku/>
        <w:wordWrap/>
        <w:overflowPunct/>
        <w:topLinePunct w:val="0"/>
        <w:autoSpaceDE/>
        <w:autoSpaceDN/>
        <w:bidi w:val="0"/>
        <w:adjustRightInd/>
        <w:snapToGrid/>
        <w:spacing w:line="460" w:lineRule="exact"/>
        <w:ind w:firstLine="42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1、产品标准和规范应符合最新版本的中华人民共和国国家标准/规范，或相应的国际标准/规范，或厂家标准/规范</w:t>
      </w:r>
    </w:p>
    <w:p w14:paraId="4E62A99C">
      <w:pPr>
        <w:keepNext w:val="0"/>
        <w:keepLines w:val="0"/>
        <w:pageBreakBefore w:val="0"/>
        <w:widowControl w:val="0"/>
        <w:kinsoku/>
        <w:wordWrap/>
        <w:overflowPunct/>
        <w:topLinePunct w:val="0"/>
        <w:autoSpaceDE/>
        <w:autoSpaceDN/>
        <w:bidi w:val="0"/>
        <w:adjustRightInd/>
        <w:snapToGrid/>
        <w:spacing w:line="460" w:lineRule="exact"/>
        <w:ind w:firstLine="42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本标书中的技术要求不得被认为是详尽无遗的，无论规定与否，投标供应商应提供所有投标文件没有规定但投标供应商认为完成本项目必要或必须的设备和材料，应在技术标表中一一列明并在商务标分项报价表中列出对应价格。</w:t>
      </w:r>
    </w:p>
    <w:p w14:paraId="49E76CE3">
      <w:pPr>
        <w:keepNext w:val="0"/>
        <w:keepLines w:val="0"/>
        <w:pageBreakBefore w:val="0"/>
        <w:widowControl w:val="0"/>
        <w:kinsoku/>
        <w:wordWrap/>
        <w:overflowPunct/>
        <w:topLinePunct w:val="0"/>
        <w:autoSpaceDE/>
        <w:autoSpaceDN/>
        <w:bidi w:val="0"/>
        <w:adjustRightInd/>
        <w:snapToGrid/>
        <w:spacing w:line="460" w:lineRule="exact"/>
        <w:ind w:firstLine="42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3、本次标书所列的技术性能及配置均为最低要求，投标供应商可以按技术性能及配置要求选用的设备功能、配置、技术性能等于或高于</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要求，并完全满足采购需要，否则将可能作出对投标供应商不利的评定。</w:t>
      </w:r>
    </w:p>
    <w:p w14:paraId="5A742D10">
      <w:pPr>
        <w:keepNext w:val="0"/>
        <w:keepLines w:val="0"/>
        <w:pageBreakBefore w:val="0"/>
        <w:widowControl w:val="0"/>
        <w:kinsoku/>
        <w:wordWrap/>
        <w:overflowPunct/>
        <w:topLinePunct w:val="0"/>
        <w:autoSpaceDE/>
        <w:autoSpaceDN/>
        <w:bidi w:val="0"/>
        <w:adjustRightInd/>
        <w:snapToGrid/>
        <w:spacing w:line="460" w:lineRule="exact"/>
        <w:ind w:firstLine="42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r>
        <w:rPr>
          <w:rFonts w:hint="eastAsia" w:ascii="新宋体" w:hAnsi="新宋体" w:eastAsia="新宋体" w:cs="新宋体"/>
          <w:b/>
          <w:bCs/>
          <w:color w:val="auto"/>
          <w:sz w:val="28"/>
          <w:szCs w:val="28"/>
          <w:highlight w:val="none"/>
          <w:lang w:val="en-US" w:eastAsia="zh-CN"/>
        </w:rPr>
        <w:t>4、提供食品药品监督管理部门核发的有效的证明文件，以证明所投产品可合法销售；</w:t>
      </w:r>
    </w:p>
    <w:p w14:paraId="1F95DFED">
      <w:pPr>
        <w:keepNext w:val="0"/>
        <w:keepLines w:val="0"/>
        <w:pageBreakBefore w:val="0"/>
        <w:widowControl w:val="0"/>
        <w:kinsoku/>
        <w:wordWrap/>
        <w:overflowPunct/>
        <w:topLinePunct w:val="0"/>
        <w:autoSpaceDE/>
        <w:autoSpaceDN/>
        <w:bidi w:val="0"/>
        <w:adjustRightInd/>
        <w:snapToGrid/>
        <w:spacing w:line="460" w:lineRule="exact"/>
        <w:ind w:firstLine="42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保证所供货物、服务或其任何一部分不受第三方提出侵犯其专利权、商标权、版权和工业设计权的指控。</w:t>
      </w:r>
    </w:p>
    <w:p w14:paraId="369FBA23">
      <w:pPr>
        <w:keepNext w:val="0"/>
        <w:keepLines w:val="0"/>
        <w:pageBreakBefore w:val="0"/>
        <w:widowControl w:val="0"/>
        <w:kinsoku/>
        <w:wordWrap/>
        <w:overflowPunct/>
        <w:topLinePunct w:val="0"/>
        <w:autoSpaceDE/>
        <w:autoSpaceDN/>
        <w:bidi w:val="0"/>
        <w:adjustRightInd/>
        <w:snapToGrid/>
        <w:spacing w:line="460" w:lineRule="exact"/>
        <w:ind w:firstLine="42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6</w:t>
      </w:r>
      <w:r>
        <w:rPr>
          <w:rFonts w:hint="eastAsia" w:ascii="新宋体" w:hAnsi="新宋体" w:eastAsia="新宋体" w:cs="新宋体"/>
          <w:color w:val="auto"/>
          <w:sz w:val="22"/>
          <w:szCs w:val="22"/>
          <w:highlight w:val="none"/>
        </w:rPr>
        <w:t>、交货地点：采购单位指定地点。</w:t>
      </w:r>
    </w:p>
    <w:p w14:paraId="40E66660">
      <w:pPr>
        <w:keepNext w:val="0"/>
        <w:keepLines w:val="0"/>
        <w:pageBreakBefore w:val="0"/>
        <w:widowControl w:val="0"/>
        <w:kinsoku/>
        <w:wordWrap/>
        <w:overflowPunct/>
        <w:topLinePunct w:val="0"/>
        <w:autoSpaceDE/>
        <w:autoSpaceDN/>
        <w:bidi w:val="0"/>
        <w:adjustRightInd/>
        <w:snapToGrid/>
        <w:spacing w:line="460" w:lineRule="exact"/>
        <w:ind w:firstLine="42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7、</w:t>
      </w:r>
      <w:r>
        <w:rPr>
          <w:rFonts w:hint="eastAsia" w:ascii="新宋体" w:hAnsi="新宋体" w:eastAsia="新宋体" w:cs="新宋体"/>
          <w:b/>
          <w:bCs/>
          <w:color w:val="auto"/>
          <w:kern w:val="0"/>
          <w:sz w:val="22"/>
          <w:szCs w:val="22"/>
          <w:highlight w:val="none"/>
          <w:u w:val="single"/>
          <w:lang w:val="en-US" w:eastAsia="zh-CN"/>
        </w:rPr>
        <w:t>供货方式：分批。乙方接到甲方订货通知后，15天内送达。</w:t>
      </w:r>
    </w:p>
    <w:p w14:paraId="096D444D">
      <w:pPr>
        <w:keepNext w:val="0"/>
        <w:keepLines w:val="0"/>
        <w:pageBreakBefore w:val="0"/>
        <w:widowControl w:val="0"/>
        <w:kinsoku/>
        <w:wordWrap/>
        <w:overflowPunct/>
        <w:topLinePunct w:val="0"/>
        <w:autoSpaceDE/>
        <w:autoSpaceDN/>
        <w:bidi w:val="0"/>
        <w:adjustRightInd/>
        <w:snapToGrid/>
        <w:spacing w:line="460" w:lineRule="exact"/>
        <w:ind w:firstLine="42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8</w:t>
      </w:r>
      <w:r>
        <w:rPr>
          <w:rFonts w:hint="eastAsia" w:ascii="新宋体" w:hAnsi="新宋体" w:eastAsia="新宋体" w:cs="新宋体"/>
          <w:color w:val="auto"/>
          <w:sz w:val="22"/>
          <w:szCs w:val="22"/>
          <w:highlight w:val="none"/>
        </w:rPr>
        <w:t>、付款方式见“第二部分 合同主要条款”规定；</w:t>
      </w:r>
    </w:p>
    <w:p w14:paraId="11426EE2">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9、合同期限：自合同签订之日起，至提供完本项目要求的数量</w:t>
      </w:r>
      <w:r>
        <w:rPr>
          <w:rFonts w:hint="eastAsia" w:ascii="新宋体" w:hAnsi="新宋体" w:eastAsia="新宋体" w:cs="新宋体"/>
          <w:bCs/>
          <w:color w:val="auto"/>
          <w:sz w:val="22"/>
          <w:szCs w:val="22"/>
          <w:highlight w:val="none"/>
          <w:lang w:val="en-US" w:eastAsia="zh-CN"/>
        </w:rPr>
        <w:t>为止。</w:t>
      </w:r>
    </w:p>
    <w:p w14:paraId="15CDFAA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p>
    <w:p w14:paraId="7D7E5497">
      <w:pPr>
        <w:rPr>
          <w:rFonts w:hint="eastAsia" w:ascii="新宋体" w:hAnsi="新宋体" w:eastAsia="新宋体" w:cs="新宋体"/>
          <w:color w:val="auto"/>
          <w:highlight w:val="none"/>
        </w:rPr>
      </w:pPr>
      <w:r>
        <w:rPr>
          <w:rFonts w:hint="eastAsia" w:ascii="新宋体" w:hAnsi="新宋体" w:eastAsia="新宋体" w:cs="新宋体"/>
          <w:color w:val="auto"/>
          <w:highlight w:val="none"/>
        </w:rPr>
        <w:br w:type="page"/>
      </w:r>
    </w:p>
    <w:p w14:paraId="471F6532">
      <w:pPr>
        <w:pStyle w:val="3"/>
        <w:rPr>
          <w:rFonts w:hint="eastAsia" w:ascii="新宋体" w:hAnsi="新宋体" w:eastAsia="新宋体" w:cs="新宋体"/>
          <w:color w:val="auto"/>
          <w:highlight w:val="none"/>
        </w:rPr>
      </w:pPr>
      <w:r>
        <w:rPr>
          <w:rFonts w:hint="eastAsia" w:ascii="新宋体" w:hAnsi="新宋体" w:eastAsia="新宋体" w:cs="新宋体"/>
          <w:color w:val="auto"/>
          <w:highlight w:val="none"/>
        </w:rPr>
        <w:t>第五部分   评标原则及方法</w:t>
      </w:r>
      <w:bookmarkEnd w:id="51"/>
      <w:bookmarkEnd w:id="52"/>
    </w:p>
    <w:p w14:paraId="354FB264">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根据《中华人民共和国政府采购法》、《政府采购货物和服务招标投标管理办法》、《中华人民共和国政府采购法实施条例》和《关于进一步规范政府采购活动的若干意见》等相关法规特制定以下评标办法。</w:t>
      </w:r>
    </w:p>
    <w:p w14:paraId="12C59B35">
      <w:pPr>
        <w:spacing w:line="460" w:lineRule="exact"/>
        <w:ind w:firstLine="442" w:firstLineChars="200"/>
        <w:outlineLvl w:val="1"/>
        <w:rPr>
          <w:rFonts w:hint="eastAsia" w:ascii="新宋体" w:hAnsi="新宋体" w:eastAsia="新宋体" w:cs="新宋体"/>
          <w:b/>
          <w:color w:val="auto"/>
          <w:sz w:val="22"/>
          <w:szCs w:val="22"/>
          <w:highlight w:val="none"/>
        </w:rPr>
      </w:pPr>
      <w:bookmarkStart w:id="63" w:name="_Toc4407"/>
      <w:bookmarkStart w:id="64" w:name="_Toc15713"/>
      <w:r>
        <w:rPr>
          <w:rFonts w:hint="eastAsia" w:ascii="新宋体" w:hAnsi="新宋体" w:eastAsia="新宋体" w:cs="新宋体"/>
          <w:b/>
          <w:color w:val="auto"/>
          <w:sz w:val="22"/>
          <w:szCs w:val="22"/>
          <w:highlight w:val="none"/>
        </w:rPr>
        <w:t>一、总 则</w:t>
      </w:r>
      <w:bookmarkEnd w:id="63"/>
      <w:bookmarkEnd w:id="64"/>
    </w:p>
    <w:p w14:paraId="5AF6B957">
      <w:pPr>
        <w:spacing w:line="460" w:lineRule="exact"/>
        <w:ind w:firstLine="440" w:firstLineChars="200"/>
        <w:rPr>
          <w:rFonts w:hint="eastAsia" w:ascii="新宋体" w:hAnsi="新宋体" w:eastAsia="新宋体" w:cs="新宋体"/>
          <w:b/>
          <w:color w:val="auto"/>
          <w:sz w:val="22"/>
          <w:highlight w:val="none"/>
        </w:rPr>
      </w:pPr>
      <w:r>
        <w:rPr>
          <w:rFonts w:hint="eastAsia" w:ascii="新宋体" w:hAnsi="新宋体" w:eastAsia="新宋体" w:cs="新宋体"/>
          <w:color w:val="auto"/>
          <w:sz w:val="22"/>
          <w:szCs w:val="22"/>
          <w:highlight w:val="none"/>
        </w:rPr>
        <w:t>评标工作遵循公平、公正、科学、择优原则和诚实、信誉、效率的服务原则。本着科学、严谨的态度，认真进行评标。择优选用，推进技术进步，确保质量、交货期，节约投资，最大限度的保护当事人权益，严格按照</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的商务、技术要求，对投标文件进行综合评定，提出优选方案，编写评标报告。对落标单位，评委会不作任何落标解释。投标人不得以任何方式干扰招投标工作的进行，一经发现其投标文件将被拒绝。</w:t>
      </w:r>
    </w:p>
    <w:p w14:paraId="17BD4AD9">
      <w:pPr>
        <w:spacing w:line="460" w:lineRule="exact"/>
        <w:ind w:firstLine="442" w:firstLineChars="200"/>
        <w:outlineLvl w:val="1"/>
        <w:rPr>
          <w:rFonts w:hint="eastAsia" w:ascii="新宋体" w:hAnsi="新宋体" w:eastAsia="新宋体" w:cs="新宋体"/>
          <w:b/>
          <w:color w:val="auto"/>
          <w:sz w:val="22"/>
          <w:szCs w:val="22"/>
          <w:highlight w:val="none"/>
        </w:rPr>
      </w:pPr>
      <w:bookmarkStart w:id="65" w:name="_Toc23152"/>
      <w:bookmarkStart w:id="66" w:name="_Toc24468"/>
      <w:r>
        <w:rPr>
          <w:rFonts w:hint="eastAsia" w:ascii="新宋体" w:hAnsi="新宋体" w:eastAsia="新宋体" w:cs="新宋体"/>
          <w:b/>
          <w:color w:val="auto"/>
          <w:sz w:val="22"/>
          <w:szCs w:val="22"/>
          <w:highlight w:val="none"/>
        </w:rPr>
        <w:t>二、评标组织</w:t>
      </w:r>
      <w:bookmarkEnd w:id="65"/>
      <w:bookmarkEnd w:id="66"/>
    </w:p>
    <w:p w14:paraId="12FEA185">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评标工作由</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组建的评标委员会负责，评标全过程由有关部门指导监督。</w:t>
      </w:r>
    </w:p>
    <w:p w14:paraId="038AB5EA">
      <w:pPr>
        <w:spacing w:line="460" w:lineRule="exact"/>
        <w:ind w:firstLine="442" w:firstLineChars="200"/>
        <w:outlineLvl w:val="1"/>
        <w:rPr>
          <w:rFonts w:hint="eastAsia" w:ascii="新宋体" w:hAnsi="新宋体" w:eastAsia="新宋体" w:cs="新宋体"/>
          <w:b/>
          <w:color w:val="auto"/>
          <w:sz w:val="22"/>
          <w:szCs w:val="22"/>
          <w:highlight w:val="none"/>
        </w:rPr>
      </w:pPr>
      <w:bookmarkStart w:id="67" w:name="_Toc67"/>
      <w:bookmarkStart w:id="68" w:name="_Toc15153"/>
      <w:r>
        <w:rPr>
          <w:rFonts w:hint="eastAsia" w:ascii="新宋体" w:hAnsi="新宋体" w:eastAsia="新宋体" w:cs="新宋体"/>
          <w:b/>
          <w:color w:val="auto"/>
          <w:sz w:val="22"/>
          <w:szCs w:val="22"/>
          <w:highlight w:val="none"/>
        </w:rPr>
        <w:t>三、评标程序</w:t>
      </w:r>
      <w:bookmarkEnd w:id="67"/>
      <w:bookmarkEnd w:id="68"/>
    </w:p>
    <w:p w14:paraId="1165257F">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lang w:val="en-US" w:eastAsia="zh-CN"/>
        </w:rPr>
        <w:t>1、</w:t>
      </w:r>
      <w:r>
        <w:rPr>
          <w:rFonts w:hint="eastAsia" w:ascii="新宋体" w:hAnsi="新宋体" w:eastAsia="新宋体" w:cs="新宋体"/>
          <w:bCs/>
          <w:color w:val="auto"/>
          <w:sz w:val="22"/>
          <w:szCs w:val="22"/>
          <w:highlight w:val="none"/>
        </w:rPr>
        <w:t>评标委员按照</w:t>
      </w:r>
      <w:r>
        <w:rPr>
          <w:rFonts w:hint="eastAsia" w:ascii="新宋体" w:hAnsi="新宋体" w:eastAsia="新宋体" w:cs="新宋体"/>
          <w:bCs/>
          <w:color w:val="auto"/>
          <w:sz w:val="22"/>
          <w:szCs w:val="22"/>
          <w:highlight w:val="none"/>
          <w:lang w:eastAsia="zh-CN"/>
        </w:rPr>
        <w:t>采购文件</w:t>
      </w:r>
      <w:r>
        <w:rPr>
          <w:rFonts w:hint="eastAsia" w:ascii="新宋体" w:hAnsi="新宋体" w:eastAsia="新宋体" w:cs="新宋体"/>
          <w:bCs/>
          <w:color w:val="auto"/>
          <w:sz w:val="22"/>
          <w:szCs w:val="22"/>
          <w:highlight w:val="none"/>
        </w:rPr>
        <w:t>中规定的评标方法和标准，对投标文件进行商务和技术评估，综合比较与评价</w:t>
      </w:r>
      <w:r>
        <w:rPr>
          <w:rFonts w:hint="eastAsia" w:ascii="新宋体" w:hAnsi="新宋体" w:eastAsia="新宋体" w:cs="新宋体"/>
          <w:color w:val="auto"/>
          <w:sz w:val="22"/>
          <w:szCs w:val="22"/>
          <w:highlight w:val="none"/>
        </w:rPr>
        <w:t>，根据综合评审结果，提交评审报告。</w:t>
      </w:r>
    </w:p>
    <w:p w14:paraId="1DF36A37">
      <w:pPr>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2、提供相同品牌产品且通过资格审查、符合性审查的不同投标人参加同一合同项下投标的,按一家投标人计算,评审后综合得分最高的同品牌投标人获得中标人推荐资格；综合得分相同的,报价最低一家供应商获得中标人推荐资格；均相同时采取随机抽取方式确认一个投标人获得中标人推荐资格,其他同品牌投标人不作为中标候选人。</w:t>
      </w:r>
    </w:p>
    <w:p w14:paraId="525704A2">
      <w:pPr>
        <w:spacing w:line="460" w:lineRule="exact"/>
        <w:ind w:firstLine="442" w:firstLineChars="200"/>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u w:val="single"/>
        </w:rPr>
        <w:t>非单一产品采购项目，应当根据采购项目技术构成、产品价格比重等合理确定核心产品。多家投标人提供的核心产品品牌相同的，按前款规定处理。</w:t>
      </w:r>
    </w:p>
    <w:p w14:paraId="5D12DE4F">
      <w:pPr>
        <w:spacing w:line="460" w:lineRule="exact"/>
        <w:ind w:firstLine="442" w:firstLineChars="200"/>
        <w:outlineLvl w:val="1"/>
        <w:rPr>
          <w:rFonts w:hint="eastAsia" w:ascii="新宋体" w:hAnsi="新宋体" w:eastAsia="新宋体" w:cs="新宋体"/>
          <w:b/>
          <w:color w:val="auto"/>
          <w:sz w:val="22"/>
          <w:szCs w:val="22"/>
          <w:highlight w:val="none"/>
        </w:rPr>
      </w:pPr>
      <w:bookmarkStart w:id="69" w:name="_Toc24825"/>
      <w:bookmarkStart w:id="70" w:name="_Toc11306"/>
      <w:r>
        <w:rPr>
          <w:rFonts w:hint="eastAsia" w:ascii="新宋体" w:hAnsi="新宋体" w:eastAsia="新宋体" w:cs="新宋体"/>
          <w:b/>
          <w:color w:val="auto"/>
          <w:sz w:val="22"/>
          <w:szCs w:val="22"/>
          <w:highlight w:val="none"/>
        </w:rPr>
        <w:t>四、评标办法</w:t>
      </w:r>
      <w:bookmarkEnd w:id="69"/>
      <w:bookmarkEnd w:id="70"/>
    </w:p>
    <w:p w14:paraId="7AACA2B4">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本次采购采用百分制综合评分法，即投标人最大限度地满足</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实质性要求的基础上，按照</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的各项因素进行综合评审后，以评标总得分最高的投标人和次高的投标人作为第一和第二排序的中标候选人的评标方法。根据采购要求，</w:t>
      </w:r>
      <w:r>
        <w:rPr>
          <w:rFonts w:hint="eastAsia" w:ascii="新宋体" w:hAnsi="新宋体" w:eastAsia="新宋体" w:cs="新宋体"/>
          <w:b/>
          <w:color w:val="auto"/>
          <w:sz w:val="22"/>
          <w:szCs w:val="22"/>
          <w:highlight w:val="none"/>
        </w:rPr>
        <w:t>总分设定为100分：技术标</w:t>
      </w:r>
      <w:r>
        <w:rPr>
          <w:rFonts w:hint="eastAsia" w:ascii="新宋体" w:hAnsi="新宋体" w:eastAsia="新宋体" w:cs="新宋体"/>
          <w:b/>
          <w:color w:val="auto"/>
          <w:sz w:val="22"/>
          <w:szCs w:val="22"/>
          <w:highlight w:val="none"/>
          <w:lang w:val="en-US" w:eastAsia="zh-CN"/>
        </w:rPr>
        <w:t>70</w:t>
      </w:r>
      <w:r>
        <w:rPr>
          <w:rFonts w:hint="eastAsia" w:ascii="新宋体" w:hAnsi="新宋体" w:eastAsia="新宋体" w:cs="新宋体"/>
          <w:b/>
          <w:color w:val="auto"/>
          <w:sz w:val="22"/>
          <w:szCs w:val="22"/>
          <w:highlight w:val="none"/>
        </w:rPr>
        <w:t>分（权值</w:t>
      </w:r>
      <w:r>
        <w:rPr>
          <w:rFonts w:hint="eastAsia" w:ascii="新宋体" w:hAnsi="新宋体" w:eastAsia="新宋体" w:cs="新宋体"/>
          <w:b/>
          <w:color w:val="auto"/>
          <w:sz w:val="22"/>
          <w:szCs w:val="22"/>
          <w:highlight w:val="none"/>
          <w:lang w:val="en-US" w:eastAsia="zh-CN"/>
        </w:rPr>
        <w:t>70</w:t>
      </w:r>
      <w:r>
        <w:rPr>
          <w:rFonts w:hint="eastAsia" w:ascii="新宋体" w:hAnsi="新宋体" w:eastAsia="新宋体" w:cs="新宋体"/>
          <w:b/>
          <w:color w:val="auto"/>
          <w:sz w:val="22"/>
          <w:szCs w:val="22"/>
          <w:highlight w:val="none"/>
        </w:rPr>
        <w:t>%），商务标（报价）</w:t>
      </w:r>
      <w:r>
        <w:rPr>
          <w:rFonts w:hint="eastAsia" w:ascii="新宋体" w:hAnsi="新宋体" w:eastAsia="新宋体" w:cs="新宋体"/>
          <w:b/>
          <w:color w:val="auto"/>
          <w:sz w:val="22"/>
          <w:szCs w:val="22"/>
          <w:highlight w:val="none"/>
          <w:lang w:val="en-US" w:eastAsia="zh-CN"/>
        </w:rPr>
        <w:t>30</w:t>
      </w:r>
      <w:r>
        <w:rPr>
          <w:rFonts w:hint="eastAsia" w:ascii="新宋体" w:hAnsi="新宋体" w:eastAsia="新宋体" w:cs="新宋体"/>
          <w:b/>
          <w:color w:val="auto"/>
          <w:sz w:val="22"/>
          <w:szCs w:val="22"/>
          <w:highlight w:val="none"/>
        </w:rPr>
        <w:t>分（权值</w:t>
      </w:r>
      <w:r>
        <w:rPr>
          <w:rFonts w:hint="eastAsia" w:ascii="新宋体" w:hAnsi="新宋体" w:eastAsia="新宋体" w:cs="新宋体"/>
          <w:b/>
          <w:color w:val="auto"/>
          <w:sz w:val="22"/>
          <w:szCs w:val="22"/>
          <w:highlight w:val="none"/>
          <w:lang w:val="en-US" w:eastAsia="zh-CN"/>
        </w:rPr>
        <w:t>30</w:t>
      </w:r>
      <w:r>
        <w:rPr>
          <w:rFonts w:hint="eastAsia" w:ascii="新宋体" w:hAnsi="新宋体" w:eastAsia="新宋体" w:cs="新宋体"/>
          <w:b/>
          <w:color w:val="auto"/>
          <w:sz w:val="22"/>
          <w:szCs w:val="22"/>
          <w:highlight w:val="none"/>
        </w:rPr>
        <w:t>%）。</w:t>
      </w:r>
    </w:p>
    <w:p w14:paraId="7E0CE1D3">
      <w:pPr>
        <w:numPr>
          <w:ilvl w:val="0"/>
          <w:numId w:val="0"/>
        </w:numPr>
        <w:spacing w:line="460" w:lineRule="exact"/>
        <w:ind w:firstLine="442" w:firstLineChars="200"/>
        <w:outlineLvl w:val="1"/>
        <w:rPr>
          <w:rFonts w:hint="eastAsia" w:ascii="新宋体" w:hAnsi="新宋体" w:eastAsia="新宋体" w:cs="新宋体"/>
          <w:b/>
          <w:color w:val="auto"/>
          <w:sz w:val="22"/>
          <w:szCs w:val="22"/>
          <w:highlight w:val="none"/>
        </w:rPr>
      </w:pPr>
      <w:bookmarkStart w:id="71" w:name="_Toc1535"/>
      <w:bookmarkStart w:id="72" w:name="_Toc11450"/>
      <w:r>
        <w:rPr>
          <w:rFonts w:hint="eastAsia" w:ascii="新宋体" w:hAnsi="新宋体" w:eastAsia="新宋体" w:cs="新宋体"/>
          <w:b/>
          <w:color w:val="auto"/>
          <w:sz w:val="22"/>
          <w:szCs w:val="22"/>
          <w:highlight w:val="none"/>
          <w:lang w:val="en-US" w:eastAsia="zh-CN"/>
        </w:rPr>
        <w:t>五、</w:t>
      </w:r>
      <w:r>
        <w:rPr>
          <w:rFonts w:hint="eastAsia" w:ascii="新宋体" w:hAnsi="新宋体" w:eastAsia="新宋体" w:cs="新宋体"/>
          <w:b/>
          <w:color w:val="auto"/>
          <w:sz w:val="22"/>
          <w:szCs w:val="22"/>
          <w:highlight w:val="none"/>
        </w:rPr>
        <w:t>评分细则</w:t>
      </w:r>
      <w:bookmarkEnd w:id="71"/>
      <w:bookmarkEnd w:id="72"/>
    </w:p>
    <w:p w14:paraId="5BF9164F">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1、技术分的评定：技术标</w:t>
      </w:r>
      <w:r>
        <w:rPr>
          <w:rFonts w:hint="eastAsia" w:ascii="新宋体" w:hAnsi="新宋体" w:eastAsia="新宋体" w:cs="新宋体"/>
          <w:b/>
          <w:color w:val="auto"/>
          <w:sz w:val="22"/>
          <w:szCs w:val="22"/>
          <w:highlight w:val="none"/>
          <w:lang w:val="en-US" w:eastAsia="zh-CN"/>
        </w:rPr>
        <w:t>70</w:t>
      </w:r>
      <w:r>
        <w:rPr>
          <w:rFonts w:hint="eastAsia" w:ascii="新宋体" w:hAnsi="新宋体" w:eastAsia="新宋体" w:cs="新宋体"/>
          <w:b/>
          <w:color w:val="auto"/>
          <w:sz w:val="22"/>
          <w:szCs w:val="22"/>
          <w:highlight w:val="none"/>
        </w:rPr>
        <w:t>分（权值</w:t>
      </w:r>
      <w:r>
        <w:rPr>
          <w:rFonts w:hint="eastAsia" w:ascii="新宋体" w:hAnsi="新宋体" w:eastAsia="新宋体" w:cs="新宋体"/>
          <w:b/>
          <w:color w:val="auto"/>
          <w:sz w:val="22"/>
          <w:szCs w:val="22"/>
          <w:highlight w:val="none"/>
          <w:lang w:val="en-US" w:eastAsia="zh-CN"/>
        </w:rPr>
        <w:t>70</w:t>
      </w:r>
      <w:r>
        <w:rPr>
          <w:rFonts w:hint="eastAsia" w:ascii="新宋体" w:hAnsi="新宋体" w:eastAsia="新宋体" w:cs="新宋体"/>
          <w:b/>
          <w:color w:val="auto"/>
          <w:sz w:val="22"/>
          <w:szCs w:val="22"/>
          <w:highlight w:val="none"/>
        </w:rPr>
        <w:t>%）</w:t>
      </w:r>
    </w:p>
    <w:p w14:paraId="497FCB87">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各评委成员按下列评分项目进行评判，每人一张评分计算票，并记名。投标文件各项评分内容由评标委员会成员各自评分，如某张票的一个因素项目超过规定的范围，则该张票无效。</w:t>
      </w:r>
      <w:r>
        <w:rPr>
          <w:rFonts w:hint="eastAsia" w:ascii="新宋体" w:hAnsi="新宋体" w:eastAsia="新宋体" w:cs="新宋体"/>
          <w:color w:val="auto"/>
          <w:sz w:val="22"/>
          <w:highlight w:val="none"/>
        </w:rPr>
        <w:t>各评标委员会成员对各投标人的各项评分内容评分的算术平均值为各投标人技术分得分</w:t>
      </w:r>
      <w:r>
        <w:rPr>
          <w:rFonts w:hint="eastAsia" w:ascii="新宋体" w:hAnsi="新宋体" w:eastAsia="新宋体" w:cs="新宋体"/>
          <w:color w:val="auto"/>
          <w:sz w:val="22"/>
          <w:szCs w:val="22"/>
          <w:highlight w:val="none"/>
        </w:rPr>
        <w:t>（小数点后按四舍五入保留2位）。</w:t>
      </w:r>
    </w:p>
    <w:tbl>
      <w:tblPr>
        <w:tblStyle w:val="53"/>
        <w:tblW w:w="9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589"/>
        <w:gridCol w:w="700"/>
        <w:gridCol w:w="6938"/>
      </w:tblGrid>
      <w:tr w14:paraId="78096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658" w:type="dxa"/>
            <w:noWrap w:val="0"/>
            <w:vAlign w:val="center"/>
          </w:tcPr>
          <w:p w14:paraId="165C3AC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序号</w:t>
            </w:r>
          </w:p>
        </w:tc>
        <w:tc>
          <w:tcPr>
            <w:tcW w:w="1589" w:type="dxa"/>
            <w:noWrap w:val="0"/>
            <w:vAlign w:val="center"/>
          </w:tcPr>
          <w:p w14:paraId="68A2A54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评分项目</w:t>
            </w:r>
          </w:p>
        </w:tc>
        <w:tc>
          <w:tcPr>
            <w:tcW w:w="700" w:type="dxa"/>
            <w:noWrap w:val="0"/>
            <w:vAlign w:val="center"/>
          </w:tcPr>
          <w:p w14:paraId="2EB4149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分值</w:t>
            </w:r>
          </w:p>
        </w:tc>
        <w:tc>
          <w:tcPr>
            <w:tcW w:w="6938" w:type="dxa"/>
            <w:noWrap w:val="0"/>
            <w:vAlign w:val="center"/>
          </w:tcPr>
          <w:p w14:paraId="405982B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评分标准</w:t>
            </w:r>
          </w:p>
        </w:tc>
      </w:tr>
      <w:tr w14:paraId="2F7F5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658" w:type="dxa"/>
            <w:noWrap w:val="0"/>
            <w:vAlign w:val="center"/>
          </w:tcPr>
          <w:p w14:paraId="7F9EAB9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lang w:val="en-US" w:eastAsia="zh-CN"/>
              </w:rPr>
            </w:pPr>
            <w:r>
              <w:rPr>
                <w:rFonts w:hint="eastAsia" w:ascii="新宋体" w:hAnsi="新宋体" w:eastAsia="新宋体" w:cs="新宋体"/>
                <w:b w:val="0"/>
                <w:bCs w:val="0"/>
                <w:color w:val="auto"/>
                <w:sz w:val="22"/>
                <w:szCs w:val="22"/>
                <w:highlight w:val="none"/>
                <w:lang w:val="en-US" w:eastAsia="zh-CN"/>
              </w:rPr>
              <w:t>1</w:t>
            </w:r>
          </w:p>
        </w:tc>
        <w:tc>
          <w:tcPr>
            <w:tcW w:w="1589" w:type="dxa"/>
            <w:noWrap w:val="0"/>
            <w:vAlign w:val="center"/>
          </w:tcPr>
          <w:p w14:paraId="712C14D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技术功能偏离</w:t>
            </w:r>
          </w:p>
        </w:tc>
        <w:tc>
          <w:tcPr>
            <w:tcW w:w="700" w:type="dxa"/>
            <w:noWrap w:val="0"/>
            <w:vAlign w:val="center"/>
          </w:tcPr>
          <w:p w14:paraId="0C92C06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lang w:val="en-US" w:eastAsia="zh-CN"/>
              </w:rPr>
              <w:t>30分</w:t>
            </w:r>
          </w:p>
        </w:tc>
        <w:tc>
          <w:tcPr>
            <w:tcW w:w="6938" w:type="dxa"/>
            <w:noWrap w:val="0"/>
            <w:vAlign w:val="center"/>
          </w:tcPr>
          <w:p w14:paraId="446B9A89">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对应于</w:t>
            </w:r>
            <w:r>
              <w:rPr>
                <w:rFonts w:hint="eastAsia" w:ascii="新宋体" w:hAnsi="新宋体" w:eastAsia="新宋体" w:cs="新宋体"/>
                <w:b w:val="0"/>
                <w:bCs w:val="0"/>
                <w:color w:val="auto"/>
                <w:sz w:val="22"/>
                <w:szCs w:val="22"/>
                <w:highlight w:val="none"/>
                <w:lang w:eastAsia="zh-CN"/>
              </w:rPr>
              <w:t>采购文件</w:t>
            </w:r>
            <w:r>
              <w:rPr>
                <w:rFonts w:hint="eastAsia" w:ascii="新宋体" w:hAnsi="新宋体" w:eastAsia="新宋体" w:cs="新宋体"/>
                <w:b w:val="0"/>
                <w:bCs w:val="0"/>
                <w:color w:val="auto"/>
                <w:sz w:val="22"/>
                <w:szCs w:val="22"/>
                <w:highlight w:val="none"/>
              </w:rPr>
              <w:t>技术指标和商务条款的偏离度，</w:t>
            </w:r>
            <w:r>
              <w:rPr>
                <w:rFonts w:hint="eastAsia" w:ascii="新宋体" w:hAnsi="新宋体" w:eastAsia="新宋体" w:cs="新宋体"/>
                <w:b w:val="0"/>
                <w:bCs/>
                <w:color w:val="auto"/>
                <w:sz w:val="22"/>
                <w:szCs w:val="22"/>
                <w:highlight w:val="none"/>
              </w:rPr>
              <w:t>▲</w:t>
            </w:r>
            <w:r>
              <w:rPr>
                <w:rFonts w:hint="eastAsia" w:ascii="新宋体" w:hAnsi="新宋体" w:eastAsia="新宋体" w:cs="新宋体"/>
                <w:b w:val="0"/>
                <w:bCs/>
                <w:color w:val="auto"/>
                <w:sz w:val="22"/>
                <w:szCs w:val="22"/>
                <w:highlight w:val="none"/>
                <w:lang w:val="en-US" w:eastAsia="zh-CN"/>
              </w:rPr>
              <w:t>指标除外，</w:t>
            </w:r>
            <w:r>
              <w:rPr>
                <w:rFonts w:hint="eastAsia" w:ascii="新宋体" w:hAnsi="新宋体" w:eastAsia="新宋体" w:cs="新宋体"/>
                <w:b w:val="0"/>
                <w:bCs w:val="0"/>
                <w:color w:val="auto"/>
                <w:sz w:val="22"/>
                <w:szCs w:val="22"/>
                <w:highlight w:val="none"/>
              </w:rPr>
              <w:t>一项技术、商务指标负偏离扣2分，</w:t>
            </w:r>
            <w:r>
              <w:rPr>
                <w:rFonts w:hint="eastAsia" w:ascii="新宋体" w:hAnsi="新宋体" w:eastAsia="新宋体" w:cs="新宋体"/>
                <w:b w:val="0"/>
                <w:bCs/>
                <w:color w:val="auto"/>
                <w:sz w:val="22"/>
                <w:szCs w:val="22"/>
                <w:highlight w:val="none"/>
              </w:rPr>
              <w:t>★</w:t>
            </w:r>
            <w:r>
              <w:rPr>
                <w:rFonts w:hint="eastAsia" w:ascii="新宋体" w:hAnsi="新宋体" w:eastAsia="新宋体" w:cs="新宋体"/>
                <w:b w:val="0"/>
                <w:bCs/>
                <w:color w:val="auto"/>
                <w:sz w:val="22"/>
                <w:szCs w:val="22"/>
                <w:highlight w:val="none"/>
                <w:lang w:val="en-US" w:eastAsia="zh-CN"/>
              </w:rPr>
              <w:t>指标一项负偏离扣4分，</w:t>
            </w:r>
            <w:r>
              <w:rPr>
                <w:rFonts w:hint="eastAsia" w:ascii="新宋体" w:hAnsi="新宋体" w:eastAsia="新宋体" w:cs="新宋体"/>
                <w:b w:val="0"/>
                <w:bCs w:val="0"/>
                <w:color w:val="auto"/>
                <w:sz w:val="22"/>
                <w:szCs w:val="22"/>
                <w:highlight w:val="none"/>
              </w:rPr>
              <w:t>扣完为止。(商务条款、技术规格偏离表)</w:t>
            </w:r>
          </w:p>
        </w:tc>
      </w:tr>
      <w:tr w14:paraId="328BC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658" w:type="dxa"/>
            <w:vMerge w:val="restart"/>
            <w:noWrap w:val="0"/>
            <w:vAlign w:val="center"/>
          </w:tcPr>
          <w:p w14:paraId="40223DE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lang w:val="en-US" w:eastAsia="zh-CN"/>
              </w:rPr>
            </w:pPr>
            <w:r>
              <w:rPr>
                <w:rFonts w:hint="eastAsia" w:ascii="新宋体" w:hAnsi="新宋体" w:eastAsia="新宋体" w:cs="新宋体"/>
                <w:b w:val="0"/>
                <w:bCs w:val="0"/>
                <w:color w:val="auto"/>
                <w:sz w:val="22"/>
                <w:szCs w:val="22"/>
                <w:highlight w:val="none"/>
                <w:lang w:val="en-US" w:eastAsia="zh-CN"/>
              </w:rPr>
              <w:t>2</w:t>
            </w:r>
          </w:p>
        </w:tc>
        <w:tc>
          <w:tcPr>
            <w:tcW w:w="1589" w:type="dxa"/>
            <w:vMerge w:val="restart"/>
            <w:noWrap w:val="0"/>
            <w:vAlign w:val="center"/>
          </w:tcPr>
          <w:p w14:paraId="6171223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lang w:val="en-US" w:eastAsia="zh-CN"/>
              </w:rPr>
            </w:pPr>
            <w:r>
              <w:rPr>
                <w:rFonts w:hint="eastAsia" w:ascii="新宋体" w:hAnsi="新宋体" w:eastAsia="新宋体" w:cs="新宋体"/>
                <w:b w:val="0"/>
                <w:bCs w:val="0"/>
                <w:color w:val="auto"/>
                <w:sz w:val="22"/>
                <w:szCs w:val="22"/>
                <w:highlight w:val="none"/>
              </w:rPr>
              <w:t>投标人综合实力</w:t>
            </w:r>
          </w:p>
        </w:tc>
        <w:tc>
          <w:tcPr>
            <w:tcW w:w="700" w:type="dxa"/>
            <w:vMerge w:val="restart"/>
            <w:noWrap w:val="0"/>
            <w:vAlign w:val="center"/>
          </w:tcPr>
          <w:p w14:paraId="3135146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lang w:val="en-US" w:eastAsia="zh-CN"/>
              </w:rPr>
            </w:pPr>
            <w:r>
              <w:rPr>
                <w:rFonts w:hint="eastAsia" w:ascii="新宋体" w:hAnsi="新宋体" w:eastAsia="新宋体" w:cs="新宋体"/>
                <w:b w:val="0"/>
                <w:bCs w:val="0"/>
                <w:color w:val="auto"/>
                <w:sz w:val="22"/>
                <w:szCs w:val="22"/>
                <w:highlight w:val="none"/>
                <w:lang w:val="en-US" w:eastAsia="zh-CN"/>
              </w:rPr>
              <w:t>6分</w:t>
            </w:r>
          </w:p>
        </w:tc>
        <w:tc>
          <w:tcPr>
            <w:tcW w:w="6938" w:type="dxa"/>
            <w:noWrap w:val="0"/>
            <w:vAlign w:val="center"/>
          </w:tcPr>
          <w:p w14:paraId="04980247">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新宋体" w:hAnsi="新宋体" w:eastAsia="新宋体" w:cs="新宋体"/>
                <w:b w:val="0"/>
                <w:bCs w:val="0"/>
                <w:color w:val="auto"/>
                <w:sz w:val="22"/>
                <w:szCs w:val="22"/>
                <w:highlight w:val="none"/>
                <w:lang w:val="en-US" w:eastAsia="zh-CN"/>
              </w:rPr>
            </w:pPr>
            <w:r>
              <w:rPr>
                <w:rFonts w:hint="eastAsia" w:ascii="新宋体" w:hAnsi="新宋体" w:eastAsia="新宋体" w:cs="新宋体"/>
                <w:b w:val="0"/>
                <w:bCs w:val="0"/>
                <w:color w:val="auto"/>
                <w:sz w:val="22"/>
                <w:szCs w:val="22"/>
                <w:highlight w:val="none"/>
                <w:lang w:val="en-US" w:eastAsia="zh-CN"/>
              </w:rPr>
              <w:t>供应商具有ISO9001或ISO13485证书的得1分；</w:t>
            </w:r>
          </w:p>
          <w:p w14:paraId="4403EC33">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新宋体" w:hAnsi="新宋体" w:eastAsia="新宋体" w:cs="新宋体"/>
                <w:b w:val="0"/>
                <w:bCs w:val="0"/>
                <w:color w:val="auto"/>
                <w:sz w:val="22"/>
                <w:szCs w:val="22"/>
                <w:highlight w:val="none"/>
                <w:lang w:val="en-US" w:eastAsia="zh-CN"/>
              </w:rPr>
            </w:pPr>
            <w:r>
              <w:rPr>
                <w:rFonts w:hint="eastAsia" w:ascii="新宋体" w:hAnsi="新宋体" w:eastAsia="新宋体" w:cs="新宋体"/>
                <w:b w:val="0"/>
                <w:bCs w:val="0"/>
                <w:color w:val="auto"/>
                <w:sz w:val="22"/>
                <w:szCs w:val="22"/>
                <w:highlight w:val="none"/>
                <w:lang w:val="en-US" w:eastAsia="zh-CN"/>
              </w:rPr>
              <w:t>供应商通过CE认证的得1分；</w:t>
            </w:r>
          </w:p>
          <w:p w14:paraId="2FBD20CD">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新宋体" w:hAnsi="新宋体" w:eastAsia="新宋体" w:cs="新宋体"/>
                <w:b w:val="0"/>
                <w:bCs w:val="0"/>
                <w:color w:val="auto"/>
                <w:sz w:val="22"/>
                <w:szCs w:val="22"/>
                <w:highlight w:val="none"/>
                <w:lang w:val="en-US" w:eastAsia="zh-CN"/>
              </w:rPr>
            </w:pPr>
            <w:r>
              <w:rPr>
                <w:rFonts w:hint="eastAsia" w:ascii="新宋体" w:hAnsi="新宋体" w:eastAsia="新宋体" w:cs="新宋体"/>
                <w:b w:val="0"/>
                <w:bCs w:val="0"/>
                <w:color w:val="auto"/>
                <w:sz w:val="22"/>
                <w:szCs w:val="22"/>
                <w:highlight w:val="none"/>
                <w:lang w:val="en-US" w:eastAsia="zh-CN"/>
              </w:rPr>
              <w:t>供应商具有国家实验室认可证书的得1分；</w:t>
            </w:r>
          </w:p>
          <w:p w14:paraId="64A2E382">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新宋体" w:hAnsi="新宋体" w:eastAsia="新宋体" w:cs="新宋体"/>
                <w:color w:val="auto"/>
                <w:highlight w:val="none"/>
                <w:lang w:val="en-US" w:eastAsia="zh-CN"/>
              </w:rPr>
            </w:pPr>
            <w:r>
              <w:rPr>
                <w:rFonts w:hint="eastAsia" w:ascii="新宋体" w:hAnsi="新宋体" w:eastAsia="新宋体" w:cs="新宋体"/>
                <w:b w:val="0"/>
                <w:bCs w:val="0"/>
                <w:color w:val="auto"/>
                <w:sz w:val="22"/>
                <w:szCs w:val="22"/>
                <w:highlight w:val="none"/>
                <w:lang w:val="en-US" w:eastAsia="zh-CN"/>
              </w:rPr>
              <w:t>最高得3分。</w:t>
            </w:r>
          </w:p>
        </w:tc>
      </w:tr>
      <w:tr w14:paraId="13C33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658" w:type="dxa"/>
            <w:vMerge w:val="continue"/>
            <w:noWrap w:val="0"/>
            <w:vAlign w:val="center"/>
          </w:tcPr>
          <w:p w14:paraId="460AF8FE">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新宋体" w:hAnsi="新宋体" w:eastAsia="新宋体" w:cs="新宋体"/>
                <w:color w:val="auto"/>
                <w:highlight w:val="none"/>
              </w:rPr>
            </w:pPr>
          </w:p>
        </w:tc>
        <w:tc>
          <w:tcPr>
            <w:tcW w:w="1589" w:type="dxa"/>
            <w:vMerge w:val="continue"/>
            <w:noWrap w:val="0"/>
            <w:vAlign w:val="center"/>
          </w:tcPr>
          <w:p w14:paraId="63B2E386">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新宋体" w:hAnsi="新宋体" w:eastAsia="新宋体" w:cs="新宋体"/>
                <w:color w:val="auto"/>
                <w:highlight w:val="none"/>
              </w:rPr>
            </w:pPr>
          </w:p>
        </w:tc>
        <w:tc>
          <w:tcPr>
            <w:tcW w:w="700" w:type="dxa"/>
            <w:vMerge w:val="continue"/>
            <w:noWrap w:val="0"/>
            <w:vAlign w:val="center"/>
          </w:tcPr>
          <w:p w14:paraId="502097FD">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新宋体" w:hAnsi="新宋体" w:eastAsia="新宋体" w:cs="新宋体"/>
                <w:color w:val="auto"/>
                <w:highlight w:val="none"/>
              </w:rPr>
            </w:pPr>
          </w:p>
        </w:tc>
        <w:tc>
          <w:tcPr>
            <w:tcW w:w="6938" w:type="dxa"/>
            <w:noWrap w:val="0"/>
            <w:vAlign w:val="center"/>
          </w:tcPr>
          <w:p w14:paraId="0CDE071E">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新宋体" w:hAnsi="新宋体" w:eastAsia="新宋体" w:cs="新宋体"/>
                <w:b w:val="0"/>
                <w:bCs w:val="0"/>
                <w:color w:val="auto"/>
                <w:sz w:val="22"/>
                <w:szCs w:val="22"/>
                <w:highlight w:val="none"/>
                <w:lang w:val="en-US" w:eastAsia="zh-CN"/>
              </w:rPr>
            </w:pPr>
            <w:r>
              <w:rPr>
                <w:rFonts w:hint="eastAsia" w:ascii="新宋体" w:hAnsi="新宋体" w:eastAsia="新宋体" w:cs="新宋体"/>
                <w:b w:val="0"/>
                <w:bCs w:val="0"/>
                <w:color w:val="auto"/>
                <w:sz w:val="22"/>
                <w:szCs w:val="22"/>
                <w:highlight w:val="none"/>
                <w:lang w:val="en-US" w:eastAsia="zh-CN"/>
              </w:rPr>
              <w:t>根据</w:t>
            </w:r>
            <w:r>
              <w:rPr>
                <w:rFonts w:hint="eastAsia" w:ascii="新宋体" w:hAnsi="新宋体" w:eastAsia="新宋体" w:cs="新宋体"/>
                <w:b w:val="0"/>
                <w:bCs w:val="0"/>
                <w:color w:val="auto"/>
                <w:sz w:val="22"/>
                <w:szCs w:val="22"/>
                <w:highlight w:val="none"/>
              </w:rPr>
              <w:t>投标人公司基本情况等</w:t>
            </w:r>
            <w:r>
              <w:rPr>
                <w:rFonts w:hint="eastAsia" w:ascii="新宋体" w:hAnsi="新宋体" w:eastAsia="新宋体" w:cs="新宋体"/>
                <w:b w:val="0"/>
                <w:bCs w:val="0"/>
                <w:color w:val="auto"/>
                <w:sz w:val="22"/>
                <w:szCs w:val="22"/>
                <w:highlight w:val="none"/>
                <w:lang w:val="en-US" w:eastAsia="zh-CN"/>
              </w:rPr>
              <w:t>综合评审：</w:t>
            </w:r>
          </w:p>
          <w:p w14:paraId="48343C54">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新宋体" w:hAnsi="新宋体" w:eastAsia="新宋体" w:cs="新宋体"/>
                <w:b w:val="0"/>
                <w:bCs w:val="0"/>
                <w:color w:val="auto"/>
                <w:sz w:val="22"/>
                <w:szCs w:val="22"/>
                <w:highlight w:val="none"/>
                <w:lang w:val="en-US" w:eastAsia="zh-CN"/>
              </w:rPr>
            </w:pPr>
            <w:r>
              <w:rPr>
                <w:rFonts w:hint="eastAsia" w:ascii="新宋体" w:hAnsi="新宋体" w:eastAsia="新宋体" w:cs="新宋体"/>
                <w:b w:val="0"/>
                <w:bCs w:val="0"/>
                <w:color w:val="auto"/>
                <w:sz w:val="22"/>
                <w:szCs w:val="22"/>
                <w:highlight w:val="none"/>
                <w:lang w:val="en-US" w:eastAsia="zh-CN"/>
              </w:rPr>
              <w:t>投标人基本情况优的得3分；</w:t>
            </w:r>
          </w:p>
          <w:p w14:paraId="3439A669">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新宋体" w:hAnsi="新宋体" w:eastAsia="新宋体" w:cs="新宋体"/>
                <w:b w:val="0"/>
                <w:bCs w:val="0"/>
                <w:color w:val="auto"/>
                <w:sz w:val="22"/>
                <w:szCs w:val="22"/>
                <w:highlight w:val="none"/>
                <w:lang w:val="en-US" w:eastAsia="zh-CN"/>
              </w:rPr>
            </w:pPr>
            <w:r>
              <w:rPr>
                <w:rFonts w:hint="eastAsia" w:ascii="新宋体" w:hAnsi="新宋体" w:eastAsia="新宋体" w:cs="新宋体"/>
                <w:b w:val="0"/>
                <w:bCs w:val="0"/>
                <w:color w:val="auto"/>
                <w:sz w:val="22"/>
                <w:szCs w:val="22"/>
                <w:highlight w:val="none"/>
                <w:lang w:val="en-US" w:eastAsia="zh-CN"/>
              </w:rPr>
              <w:t>基本情况一般的得2分；</w:t>
            </w:r>
          </w:p>
          <w:p w14:paraId="2EB31A76">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新宋体" w:hAnsi="新宋体" w:eastAsia="新宋体" w:cs="新宋体"/>
                <w:b w:val="0"/>
                <w:bCs w:val="0"/>
                <w:color w:val="auto"/>
                <w:sz w:val="22"/>
                <w:szCs w:val="22"/>
                <w:highlight w:val="none"/>
                <w:lang w:val="en-US" w:eastAsia="zh-CN"/>
              </w:rPr>
            </w:pPr>
            <w:r>
              <w:rPr>
                <w:rFonts w:hint="eastAsia" w:ascii="新宋体" w:hAnsi="新宋体" w:eastAsia="新宋体" w:cs="新宋体"/>
                <w:b w:val="0"/>
                <w:bCs w:val="0"/>
                <w:color w:val="auto"/>
                <w:sz w:val="22"/>
                <w:szCs w:val="22"/>
                <w:highlight w:val="none"/>
                <w:lang w:val="en-US" w:eastAsia="zh-CN"/>
              </w:rPr>
              <w:t>基本情况较差的得1分；</w:t>
            </w:r>
          </w:p>
          <w:p w14:paraId="166B672F">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新宋体" w:hAnsi="新宋体" w:eastAsia="新宋体" w:cs="新宋体"/>
                <w:b w:val="0"/>
                <w:bCs w:val="0"/>
                <w:color w:val="auto"/>
                <w:sz w:val="22"/>
                <w:szCs w:val="22"/>
                <w:highlight w:val="none"/>
                <w:lang w:val="en-US" w:eastAsia="zh-CN"/>
              </w:rPr>
            </w:pPr>
            <w:r>
              <w:rPr>
                <w:rFonts w:hint="eastAsia" w:ascii="新宋体" w:hAnsi="新宋体" w:eastAsia="新宋体" w:cs="新宋体"/>
                <w:b w:val="0"/>
                <w:bCs w:val="0"/>
                <w:color w:val="auto"/>
                <w:sz w:val="22"/>
                <w:szCs w:val="22"/>
                <w:highlight w:val="none"/>
                <w:lang w:val="en-US" w:eastAsia="zh-CN"/>
              </w:rPr>
              <w:t>未提供的，不得分。</w:t>
            </w:r>
            <w:r>
              <w:rPr>
                <w:rFonts w:hint="eastAsia" w:ascii="新宋体" w:hAnsi="新宋体" w:eastAsia="新宋体" w:cs="新宋体"/>
                <w:color w:val="auto"/>
                <w:kern w:val="0"/>
                <w:sz w:val="22"/>
                <w:szCs w:val="22"/>
                <w:highlight w:val="none"/>
                <w:lang w:eastAsia="zh-CN" w:bidi="ar"/>
              </w:rPr>
              <w:t>（</w:t>
            </w:r>
            <w:r>
              <w:rPr>
                <w:rFonts w:hint="eastAsia" w:ascii="新宋体" w:hAnsi="新宋体" w:eastAsia="新宋体" w:cs="新宋体"/>
                <w:bCs/>
                <w:color w:val="auto"/>
                <w:sz w:val="22"/>
                <w:szCs w:val="22"/>
                <w:highlight w:val="none"/>
                <w:lang w:val="zh-CN" w:bidi="ar"/>
              </w:rPr>
              <w:t>评分范围：</w:t>
            </w:r>
            <w:r>
              <w:rPr>
                <w:rFonts w:hint="eastAsia" w:ascii="新宋体" w:hAnsi="新宋体" w:eastAsia="新宋体" w:cs="新宋体"/>
                <w:bCs/>
                <w:color w:val="auto"/>
                <w:sz w:val="22"/>
                <w:szCs w:val="22"/>
                <w:highlight w:val="none"/>
                <w:lang w:val="en-US" w:eastAsia="zh-CN" w:bidi="ar"/>
              </w:rPr>
              <w:t>3</w:t>
            </w:r>
            <w:r>
              <w:rPr>
                <w:rFonts w:hint="eastAsia" w:ascii="新宋体" w:hAnsi="新宋体" w:eastAsia="新宋体" w:cs="新宋体"/>
                <w:bCs/>
                <w:color w:val="auto"/>
                <w:sz w:val="22"/>
                <w:szCs w:val="22"/>
                <w:highlight w:val="none"/>
                <w:lang w:bidi="ar"/>
              </w:rPr>
              <w:t>，</w:t>
            </w:r>
            <w:r>
              <w:rPr>
                <w:rFonts w:hint="eastAsia" w:ascii="新宋体" w:hAnsi="新宋体" w:eastAsia="新宋体" w:cs="新宋体"/>
                <w:bCs/>
                <w:color w:val="auto"/>
                <w:sz w:val="22"/>
                <w:szCs w:val="22"/>
                <w:highlight w:val="none"/>
                <w:lang w:val="en-US" w:eastAsia="zh-CN" w:bidi="ar"/>
              </w:rPr>
              <w:t>2</w:t>
            </w:r>
            <w:r>
              <w:rPr>
                <w:rFonts w:hint="eastAsia" w:ascii="新宋体" w:hAnsi="新宋体" w:eastAsia="新宋体" w:cs="新宋体"/>
                <w:bCs/>
                <w:color w:val="auto"/>
                <w:sz w:val="22"/>
                <w:szCs w:val="22"/>
                <w:highlight w:val="none"/>
                <w:lang w:bidi="ar"/>
              </w:rPr>
              <w:t>，</w:t>
            </w:r>
            <w:r>
              <w:rPr>
                <w:rFonts w:hint="eastAsia" w:ascii="新宋体" w:hAnsi="新宋体" w:eastAsia="新宋体" w:cs="新宋体"/>
                <w:bCs/>
                <w:color w:val="auto"/>
                <w:sz w:val="22"/>
                <w:szCs w:val="22"/>
                <w:highlight w:val="none"/>
                <w:lang w:val="en-US" w:eastAsia="zh-CN" w:bidi="ar"/>
              </w:rPr>
              <w:t>1</w:t>
            </w:r>
            <w:r>
              <w:rPr>
                <w:rFonts w:hint="eastAsia" w:ascii="新宋体" w:hAnsi="新宋体" w:eastAsia="新宋体" w:cs="新宋体"/>
                <w:bCs/>
                <w:color w:val="auto"/>
                <w:sz w:val="22"/>
                <w:szCs w:val="22"/>
                <w:highlight w:val="none"/>
                <w:lang w:bidi="ar"/>
              </w:rPr>
              <w:t>，</w:t>
            </w:r>
            <w:r>
              <w:rPr>
                <w:rFonts w:hint="eastAsia" w:ascii="新宋体" w:hAnsi="新宋体" w:eastAsia="新宋体" w:cs="新宋体"/>
                <w:bCs/>
                <w:color w:val="auto"/>
                <w:sz w:val="22"/>
                <w:szCs w:val="22"/>
                <w:highlight w:val="none"/>
                <w:lang w:val="en-US" w:eastAsia="zh-CN" w:bidi="ar"/>
              </w:rPr>
              <w:t>0</w:t>
            </w:r>
            <w:r>
              <w:rPr>
                <w:rFonts w:hint="eastAsia" w:ascii="新宋体" w:hAnsi="新宋体" w:eastAsia="新宋体" w:cs="新宋体"/>
                <w:color w:val="auto"/>
                <w:kern w:val="0"/>
                <w:sz w:val="22"/>
                <w:szCs w:val="22"/>
                <w:highlight w:val="none"/>
                <w:lang w:eastAsia="zh-CN" w:bidi="ar"/>
              </w:rPr>
              <w:t>）</w:t>
            </w:r>
          </w:p>
        </w:tc>
      </w:tr>
      <w:tr w14:paraId="4CEAB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658" w:type="dxa"/>
            <w:noWrap w:val="0"/>
            <w:vAlign w:val="center"/>
          </w:tcPr>
          <w:p w14:paraId="05790A2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lang w:eastAsia="zh-CN"/>
              </w:rPr>
            </w:pPr>
            <w:r>
              <w:rPr>
                <w:rFonts w:hint="eastAsia" w:ascii="新宋体" w:hAnsi="新宋体" w:eastAsia="新宋体" w:cs="新宋体"/>
                <w:b w:val="0"/>
                <w:bCs w:val="0"/>
                <w:color w:val="auto"/>
                <w:sz w:val="22"/>
                <w:szCs w:val="22"/>
                <w:highlight w:val="none"/>
                <w:lang w:val="en-US" w:eastAsia="zh-CN"/>
              </w:rPr>
              <w:t>3</w:t>
            </w:r>
          </w:p>
        </w:tc>
        <w:tc>
          <w:tcPr>
            <w:tcW w:w="1589" w:type="dxa"/>
            <w:noWrap w:val="0"/>
            <w:vAlign w:val="center"/>
          </w:tcPr>
          <w:p w14:paraId="0F7DB7B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投标产品的技术和性能</w:t>
            </w:r>
          </w:p>
        </w:tc>
        <w:tc>
          <w:tcPr>
            <w:tcW w:w="700" w:type="dxa"/>
            <w:noWrap w:val="0"/>
            <w:vAlign w:val="center"/>
          </w:tcPr>
          <w:p w14:paraId="0AFB90E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lang w:val="en-US" w:eastAsia="zh-CN"/>
              </w:rPr>
              <w:t>6</w:t>
            </w:r>
            <w:r>
              <w:rPr>
                <w:rFonts w:hint="eastAsia" w:ascii="新宋体" w:hAnsi="新宋体" w:eastAsia="新宋体" w:cs="新宋体"/>
                <w:b w:val="0"/>
                <w:bCs w:val="0"/>
                <w:color w:val="auto"/>
                <w:sz w:val="22"/>
                <w:szCs w:val="22"/>
                <w:highlight w:val="none"/>
              </w:rPr>
              <w:t>分</w:t>
            </w:r>
          </w:p>
        </w:tc>
        <w:tc>
          <w:tcPr>
            <w:tcW w:w="6938" w:type="dxa"/>
            <w:noWrap w:val="0"/>
            <w:vAlign w:val="center"/>
          </w:tcPr>
          <w:p w14:paraId="333702D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lang w:val="en-US" w:eastAsia="zh-CN"/>
              </w:rPr>
            </w:pPr>
            <w:r>
              <w:rPr>
                <w:rFonts w:hint="eastAsia" w:ascii="新宋体" w:hAnsi="新宋体" w:eastAsia="新宋体" w:cs="新宋体"/>
                <w:b w:val="0"/>
                <w:bCs w:val="0"/>
                <w:color w:val="auto"/>
                <w:sz w:val="22"/>
                <w:szCs w:val="22"/>
                <w:highlight w:val="none"/>
              </w:rPr>
              <w:t>评委对投标</w:t>
            </w:r>
            <w:r>
              <w:rPr>
                <w:rFonts w:hint="eastAsia" w:ascii="新宋体" w:hAnsi="新宋体" w:eastAsia="新宋体" w:cs="新宋体"/>
                <w:b w:val="0"/>
                <w:bCs w:val="0"/>
                <w:color w:val="auto"/>
                <w:sz w:val="22"/>
                <w:szCs w:val="22"/>
                <w:highlight w:val="none"/>
                <w:lang w:val="en-US" w:eastAsia="zh-CN"/>
              </w:rPr>
              <w:t>产品</w:t>
            </w:r>
            <w:r>
              <w:rPr>
                <w:rFonts w:hint="eastAsia" w:ascii="新宋体" w:hAnsi="新宋体" w:eastAsia="新宋体" w:cs="新宋体"/>
                <w:b w:val="0"/>
                <w:bCs w:val="0"/>
                <w:color w:val="auto"/>
                <w:sz w:val="22"/>
                <w:szCs w:val="22"/>
                <w:highlight w:val="none"/>
              </w:rPr>
              <w:t>的</w:t>
            </w:r>
            <w:r>
              <w:rPr>
                <w:rFonts w:hint="eastAsia" w:ascii="新宋体" w:hAnsi="新宋体" w:eastAsia="新宋体" w:cs="新宋体"/>
                <w:b w:val="0"/>
                <w:bCs w:val="0"/>
                <w:color w:val="auto"/>
                <w:sz w:val="22"/>
                <w:szCs w:val="22"/>
                <w:highlight w:val="none"/>
                <w:lang w:val="en-US" w:eastAsia="zh-CN"/>
              </w:rPr>
              <w:t>工艺</w:t>
            </w:r>
            <w:r>
              <w:rPr>
                <w:rFonts w:hint="eastAsia" w:ascii="新宋体" w:hAnsi="新宋体" w:eastAsia="新宋体" w:cs="新宋体"/>
                <w:b w:val="0"/>
                <w:bCs w:val="0"/>
                <w:color w:val="auto"/>
                <w:sz w:val="22"/>
                <w:szCs w:val="22"/>
                <w:highlight w:val="none"/>
              </w:rPr>
              <w:t>技术和性能综合评价，</w:t>
            </w:r>
            <w:r>
              <w:rPr>
                <w:rFonts w:hint="eastAsia" w:ascii="新宋体" w:hAnsi="新宋体" w:eastAsia="新宋体" w:cs="新宋体"/>
                <w:b w:val="0"/>
                <w:bCs w:val="0"/>
                <w:color w:val="auto"/>
                <w:sz w:val="22"/>
                <w:szCs w:val="22"/>
                <w:highlight w:val="none"/>
                <w:lang w:val="en-US" w:eastAsia="zh-CN"/>
              </w:rPr>
              <w:t>根据</w:t>
            </w:r>
            <w:r>
              <w:rPr>
                <w:rFonts w:hint="eastAsia" w:ascii="新宋体" w:hAnsi="新宋体" w:eastAsia="新宋体" w:cs="新宋体"/>
                <w:b w:val="0"/>
                <w:bCs w:val="0"/>
                <w:color w:val="auto"/>
                <w:sz w:val="22"/>
                <w:szCs w:val="22"/>
                <w:highlight w:val="none"/>
              </w:rPr>
              <w:t>投标</w:t>
            </w:r>
            <w:r>
              <w:rPr>
                <w:rFonts w:hint="eastAsia" w:ascii="新宋体" w:hAnsi="新宋体" w:eastAsia="新宋体" w:cs="新宋体"/>
                <w:b w:val="0"/>
                <w:bCs w:val="0"/>
                <w:color w:val="auto"/>
                <w:sz w:val="22"/>
                <w:szCs w:val="22"/>
                <w:highlight w:val="none"/>
                <w:lang w:val="en-US" w:eastAsia="zh-CN"/>
              </w:rPr>
              <w:t>产品</w:t>
            </w:r>
            <w:r>
              <w:rPr>
                <w:rFonts w:hint="eastAsia" w:ascii="新宋体" w:hAnsi="新宋体" w:eastAsia="新宋体" w:cs="新宋体"/>
                <w:b w:val="0"/>
                <w:bCs w:val="0"/>
                <w:color w:val="auto"/>
                <w:sz w:val="22"/>
                <w:szCs w:val="22"/>
                <w:highlight w:val="none"/>
              </w:rPr>
              <w:t>的</w:t>
            </w:r>
            <w:r>
              <w:rPr>
                <w:rFonts w:hint="eastAsia" w:ascii="新宋体" w:hAnsi="新宋体" w:eastAsia="新宋体" w:cs="新宋体"/>
                <w:b w:val="0"/>
                <w:bCs w:val="0"/>
                <w:color w:val="auto"/>
                <w:sz w:val="22"/>
                <w:szCs w:val="22"/>
                <w:highlight w:val="none"/>
                <w:lang w:val="en-US" w:eastAsia="zh-CN"/>
              </w:rPr>
              <w:t>质量情况、稳定性、技术先进性、操控适用度、安全性等方面</w:t>
            </w:r>
            <w:r>
              <w:rPr>
                <w:rFonts w:hint="eastAsia" w:ascii="新宋体" w:hAnsi="新宋体" w:eastAsia="新宋体" w:cs="新宋体"/>
                <w:b w:val="0"/>
                <w:bCs w:val="0"/>
                <w:color w:val="auto"/>
                <w:sz w:val="22"/>
                <w:szCs w:val="22"/>
                <w:highlight w:val="none"/>
                <w:lang w:eastAsia="zh-CN"/>
              </w:rPr>
              <w:t>（</w:t>
            </w:r>
            <w:r>
              <w:rPr>
                <w:rFonts w:hint="eastAsia" w:ascii="新宋体" w:hAnsi="新宋体" w:eastAsia="新宋体" w:cs="新宋体"/>
                <w:b w:val="0"/>
                <w:bCs w:val="0"/>
                <w:color w:val="auto"/>
                <w:sz w:val="22"/>
                <w:szCs w:val="22"/>
                <w:highlight w:val="none"/>
              </w:rPr>
              <w:t>投标产品技术质量水平</w:t>
            </w:r>
            <w:r>
              <w:rPr>
                <w:rFonts w:hint="eastAsia" w:ascii="新宋体" w:hAnsi="新宋体" w:eastAsia="新宋体" w:cs="新宋体"/>
                <w:b w:val="0"/>
                <w:bCs w:val="0"/>
                <w:color w:val="auto"/>
                <w:sz w:val="22"/>
                <w:szCs w:val="22"/>
                <w:highlight w:val="none"/>
                <w:lang w:val="en-US" w:eastAsia="zh-CN"/>
              </w:rPr>
              <w:t>等证明材料</w:t>
            </w:r>
            <w:r>
              <w:rPr>
                <w:rFonts w:hint="eastAsia" w:ascii="新宋体" w:hAnsi="新宋体" w:eastAsia="新宋体" w:cs="新宋体"/>
                <w:b w:val="0"/>
                <w:bCs w:val="0"/>
                <w:color w:val="auto"/>
                <w:sz w:val="22"/>
                <w:szCs w:val="22"/>
                <w:highlight w:val="none"/>
                <w:lang w:eastAsia="zh-CN"/>
              </w:rPr>
              <w:t>）</w:t>
            </w:r>
            <w:r>
              <w:rPr>
                <w:rFonts w:hint="eastAsia" w:ascii="新宋体" w:hAnsi="新宋体" w:eastAsia="新宋体" w:cs="新宋体"/>
                <w:b w:val="0"/>
                <w:bCs w:val="0"/>
                <w:color w:val="auto"/>
                <w:sz w:val="22"/>
                <w:szCs w:val="22"/>
                <w:highlight w:val="none"/>
                <w:lang w:val="en-US" w:eastAsia="zh-CN"/>
              </w:rPr>
              <w:t>综合评审。</w:t>
            </w:r>
          </w:p>
          <w:p w14:paraId="7E3D17D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lang w:eastAsia="zh-CN"/>
              </w:rPr>
            </w:pPr>
            <w:r>
              <w:rPr>
                <w:rFonts w:hint="eastAsia" w:ascii="新宋体" w:hAnsi="新宋体" w:eastAsia="新宋体" w:cs="新宋体"/>
                <w:b w:val="0"/>
                <w:bCs w:val="0"/>
                <w:color w:val="auto"/>
                <w:sz w:val="22"/>
                <w:szCs w:val="22"/>
                <w:highlight w:val="none"/>
                <w:lang w:val="en-US" w:eastAsia="zh-CN"/>
              </w:rPr>
              <w:t>质量情况、稳定性、技术先进性、操控适用度、安全性等</w:t>
            </w:r>
            <w:r>
              <w:rPr>
                <w:rFonts w:hint="eastAsia" w:ascii="新宋体" w:hAnsi="新宋体" w:eastAsia="新宋体" w:cs="新宋体"/>
                <w:b w:val="0"/>
                <w:bCs w:val="0"/>
                <w:color w:val="auto"/>
                <w:sz w:val="22"/>
                <w:szCs w:val="22"/>
                <w:highlight w:val="none"/>
              </w:rPr>
              <w:t>最优得</w:t>
            </w:r>
            <w:r>
              <w:rPr>
                <w:rFonts w:hint="eastAsia" w:ascii="新宋体" w:hAnsi="新宋体" w:eastAsia="新宋体" w:cs="新宋体"/>
                <w:b w:val="0"/>
                <w:bCs w:val="0"/>
                <w:color w:val="auto"/>
                <w:sz w:val="22"/>
                <w:szCs w:val="22"/>
                <w:highlight w:val="none"/>
                <w:lang w:val="en-US" w:eastAsia="zh-CN"/>
              </w:rPr>
              <w:t>6</w:t>
            </w:r>
            <w:r>
              <w:rPr>
                <w:rFonts w:hint="eastAsia" w:ascii="新宋体" w:hAnsi="新宋体" w:eastAsia="新宋体" w:cs="新宋体"/>
                <w:b w:val="0"/>
                <w:bCs w:val="0"/>
                <w:color w:val="auto"/>
                <w:sz w:val="22"/>
                <w:szCs w:val="22"/>
                <w:highlight w:val="none"/>
              </w:rPr>
              <w:t>分</w:t>
            </w:r>
            <w:r>
              <w:rPr>
                <w:rFonts w:hint="eastAsia" w:ascii="新宋体" w:hAnsi="新宋体" w:eastAsia="新宋体" w:cs="新宋体"/>
                <w:b w:val="0"/>
                <w:bCs w:val="0"/>
                <w:color w:val="auto"/>
                <w:sz w:val="22"/>
                <w:szCs w:val="22"/>
                <w:highlight w:val="none"/>
                <w:lang w:eastAsia="zh-CN"/>
              </w:rPr>
              <w:t>；</w:t>
            </w:r>
          </w:p>
          <w:p w14:paraId="5F13399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lang w:eastAsia="zh-CN"/>
              </w:rPr>
            </w:pPr>
            <w:r>
              <w:rPr>
                <w:rFonts w:hint="eastAsia" w:ascii="新宋体" w:hAnsi="新宋体" w:eastAsia="新宋体" w:cs="新宋体"/>
                <w:b w:val="0"/>
                <w:bCs w:val="0"/>
                <w:color w:val="auto"/>
                <w:sz w:val="22"/>
                <w:szCs w:val="22"/>
                <w:highlight w:val="none"/>
                <w:lang w:val="en-US" w:eastAsia="zh-CN"/>
              </w:rPr>
              <w:t>质量情况、稳定性、技术先进性、操控适用度、安全性等一般的</w:t>
            </w:r>
            <w:r>
              <w:rPr>
                <w:rFonts w:hint="eastAsia" w:ascii="新宋体" w:hAnsi="新宋体" w:eastAsia="新宋体" w:cs="新宋体"/>
                <w:b w:val="0"/>
                <w:bCs w:val="0"/>
                <w:color w:val="auto"/>
                <w:sz w:val="22"/>
                <w:szCs w:val="22"/>
                <w:highlight w:val="none"/>
              </w:rPr>
              <w:t>得</w:t>
            </w:r>
            <w:r>
              <w:rPr>
                <w:rFonts w:hint="eastAsia" w:ascii="新宋体" w:hAnsi="新宋体" w:eastAsia="新宋体" w:cs="新宋体"/>
                <w:b w:val="0"/>
                <w:bCs w:val="0"/>
                <w:color w:val="auto"/>
                <w:sz w:val="22"/>
                <w:szCs w:val="22"/>
                <w:highlight w:val="none"/>
                <w:lang w:val="en-US" w:eastAsia="zh-CN"/>
              </w:rPr>
              <w:t>4</w:t>
            </w:r>
            <w:r>
              <w:rPr>
                <w:rFonts w:hint="eastAsia" w:ascii="新宋体" w:hAnsi="新宋体" w:eastAsia="新宋体" w:cs="新宋体"/>
                <w:b w:val="0"/>
                <w:bCs w:val="0"/>
                <w:color w:val="auto"/>
                <w:sz w:val="22"/>
                <w:szCs w:val="22"/>
                <w:highlight w:val="none"/>
              </w:rPr>
              <w:t>分</w:t>
            </w:r>
            <w:r>
              <w:rPr>
                <w:rFonts w:hint="eastAsia" w:ascii="新宋体" w:hAnsi="新宋体" w:eastAsia="新宋体" w:cs="新宋体"/>
                <w:b w:val="0"/>
                <w:bCs w:val="0"/>
                <w:color w:val="auto"/>
                <w:sz w:val="22"/>
                <w:szCs w:val="22"/>
                <w:highlight w:val="none"/>
                <w:lang w:eastAsia="zh-CN"/>
              </w:rPr>
              <w:t>；</w:t>
            </w:r>
          </w:p>
          <w:p w14:paraId="2DA9006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lang w:eastAsia="zh-CN"/>
              </w:rPr>
            </w:pPr>
            <w:r>
              <w:rPr>
                <w:rFonts w:hint="eastAsia" w:ascii="新宋体" w:hAnsi="新宋体" w:eastAsia="新宋体" w:cs="新宋体"/>
                <w:b w:val="0"/>
                <w:bCs w:val="0"/>
                <w:color w:val="auto"/>
                <w:sz w:val="22"/>
                <w:szCs w:val="22"/>
                <w:highlight w:val="none"/>
                <w:lang w:val="en-US" w:eastAsia="zh-CN"/>
              </w:rPr>
              <w:t>质量情况、稳定性、技术先进性、操控适用度、安全性等差的</w:t>
            </w:r>
            <w:r>
              <w:rPr>
                <w:rFonts w:hint="eastAsia" w:ascii="新宋体" w:hAnsi="新宋体" w:eastAsia="新宋体" w:cs="新宋体"/>
                <w:b w:val="0"/>
                <w:bCs w:val="0"/>
                <w:color w:val="auto"/>
                <w:sz w:val="22"/>
                <w:szCs w:val="22"/>
                <w:highlight w:val="none"/>
              </w:rPr>
              <w:t>得</w:t>
            </w:r>
            <w:r>
              <w:rPr>
                <w:rFonts w:hint="eastAsia" w:ascii="新宋体" w:hAnsi="新宋体" w:eastAsia="新宋体" w:cs="新宋体"/>
                <w:b w:val="0"/>
                <w:bCs w:val="0"/>
                <w:color w:val="auto"/>
                <w:sz w:val="22"/>
                <w:szCs w:val="22"/>
                <w:highlight w:val="none"/>
                <w:lang w:val="en-US" w:eastAsia="zh-CN"/>
              </w:rPr>
              <w:t>2</w:t>
            </w:r>
            <w:r>
              <w:rPr>
                <w:rFonts w:hint="eastAsia" w:ascii="新宋体" w:hAnsi="新宋体" w:eastAsia="新宋体" w:cs="新宋体"/>
                <w:b w:val="0"/>
                <w:bCs w:val="0"/>
                <w:color w:val="auto"/>
                <w:sz w:val="22"/>
                <w:szCs w:val="22"/>
                <w:highlight w:val="none"/>
              </w:rPr>
              <w:t>分</w:t>
            </w:r>
            <w:r>
              <w:rPr>
                <w:rFonts w:hint="eastAsia" w:ascii="新宋体" w:hAnsi="新宋体" w:eastAsia="新宋体" w:cs="新宋体"/>
                <w:b w:val="0"/>
                <w:bCs w:val="0"/>
                <w:color w:val="auto"/>
                <w:sz w:val="22"/>
                <w:szCs w:val="22"/>
                <w:highlight w:val="none"/>
                <w:lang w:eastAsia="zh-CN"/>
              </w:rPr>
              <w:t>；</w:t>
            </w:r>
          </w:p>
          <w:p w14:paraId="60E0D681">
            <w:pPr>
              <w:pStyle w:val="23"/>
              <w:rPr>
                <w:rFonts w:hint="eastAsia" w:ascii="新宋体" w:hAnsi="新宋体" w:eastAsia="新宋体" w:cs="新宋体"/>
                <w:color w:val="auto"/>
                <w:highlight w:val="none"/>
                <w:lang w:val="en-US" w:eastAsia="zh-CN"/>
              </w:rPr>
            </w:pPr>
            <w:r>
              <w:rPr>
                <w:rFonts w:hint="eastAsia" w:ascii="新宋体" w:hAnsi="新宋体" w:eastAsia="新宋体" w:cs="新宋体"/>
                <w:b w:val="0"/>
                <w:bCs w:val="0"/>
                <w:color w:val="auto"/>
                <w:kern w:val="2"/>
                <w:sz w:val="22"/>
                <w:szCs w:val="22"/>
                <w:highlight w:val="none"/>
                <w:lang w:val="en-US" w:eastAsia="zh-CN" w:bidi="ar-SA"/>
              </w:rPr>
              <w:t>未提供不得分。</w:t>
            </w:r>
            <w:r>
              <w:rPr>
                <w:rFonts w:hint="eastAsia" w:ascii="新宋体" w:hAnsi="新宋体" w:eastAsia="新宋体" w:cs="新宋体"/>
                <w:color w:val="auto"/>
                <w:kern w:val="0"/>
                <w:sz w:val="22"/>
                <w:szCs w:val="22"/>
                <w:highlight w:val="none"/>
                <w:lang w:eastAsia="zh-CN" w:bidi="ar"/>
              </w:rPr>
              <w:t>（</w:t>
            </w:r>
            <w:r>
              <w:rPr>
                <w:rFonts w:hint="eastAsia" w:ascii="新宋体" w:hAnsi="新宋体" w:eastAsia="新宋体" w:cs="新宋体"/>
                <w:bCs/>
                <w:color w:val="auto"/>
                <w:sz w:val="22"/>
                <w:szCs w:val="22"/>
                <w:highlight w:val="none"/>
                <w:lang w:val="zh-CN" w:bidi="ar"/>
              </w:rPr>
              <w:t>评分范围：</w:t>
            </w:r>
            <w:r>
              <w:rPr>
                <w:rFonts w:hint="eastAsia" w:ascii="新宋体" w:hAnsi="新宋体" w:eastAsia="新宋体" w:cs="新宋体"/>
                <w:bCs/>
                <w:color w:val="auto"/>
                <w:sz w:val="22"/>
                <w:szCs w:val="22"/>
                <w:highlight w:val="none"/>
                <w:lang w:val="en-US" w:eastAsia="zh-CN" w:bidi="ar"/>
              </w:rPr>
              <w:t>6</w:t>
            </w:r>
            <w:r>
              <w:rPr>
                <w:rFonts w:hint="eastAsia" w:ascii="新宋体" w:hAnsi="新宋体" w:eastAsia="新宋体" w:cs="新宋体"/>
                <w:bCs/>
                <w:color w:val="auto"/>
                <w:sz w:val="22"/>
                <w:szCs w:val="22"/>
                <w:highlight w:val="none"/>
                <w:lang w:bidi="ar"/>
              </w:rPr>
              <w:t>，</w:t>
            </w:r>
            <w:r>
              <w:rPr>
                <w:rFonts w:hint="eastAsia" w:ascii="新宋体" w:hAnsi="新宋体" w:eastAsia="新宋体" w:cs="新宋体"/>
                <w:bCs/>
                <w:color w:val="auto"/>
                <w:sz w:val="22"/>
                <w:szCs w:val="22"/>
                <w:highlight w:val="none"/>
                <w:lang w:val="en-US" w:eastAsia="zh-CN" w:bidi="ar"/>
              </w:rPr>
              <w:t>4</w:t>
            </w:r>
            <w:r>
              <w:rPr>
                <w:rFonts w:hint="eastAsia" w:ascii="新宋体" w:hAnsi="新宋体" w:eastAsia="新宋体" w:cs="新宋体"/>
                <w:bCs/>
                <w:color w:val="auto"/>
                <w:sz w:val="22"/>
                <w:szCs w:val="22"/>
                <w:highlight w:val="none"/>
                <w:lang w:bidi="ar"/>
              </w:rPr>
              <w:t>，</w:t>
            </w:r>
            <w:r>
              <w:rPr>
                <w:rFonts w:hint="eastAsia" w:ascii="新宋体" w:hAnsi="新宋体" w:eastAsia="新宋体" w:cs="新宋体"/>
                <w:bCs/>
                <w:color w:val="auto"/>
                <w:sz w:val="22"/>
                <w:szCs w:val="22"/>
                <w:highlight w:val="none"/>
                <w:lang w:val="en-US" w:eastAsia="zh-CN" w:bidi="ar"/>
              </w:rPr>
              <w:t>2</w:t>
            </w:r>
            <w:r>
              <w:rPr>
                <w:rFonts w:hint="eastAsia" w:ascii="新宋体" w:hAnsi="新宋体" w:eastAsia="新宋体" w:cs="新宋体"/>
                <w:bCs/>
                <w:color w:val="auto"/>
                <w:sz w:val="22"/>
                <w:szCs w:val="22"/>
                <w:highlight w:val="none"/>
                <w:lang w:bidi="ar"/>
              </w:rPr>
              <w:t>，</w:t>
            </w:r>
            <w:r>
              <w:rPr>
                <w:rFonts w:hint="eastAsia" w:ascii="新宋体" w:hAnsi="新宋体" w:eastAsia="新宋体" w:cs="新宋体"/>
                <w:bCs/>
                <w:color w:val="auto"/>
                <w:sz w:val="22"/>
                <w:szCs w:val="22"/>
                <w:highlight w:val="none"/>
                <w:lang w:val="en-US" w:eastAsia="zh-CN" w:bidi="ar"/>
              </w:rPr>
              <w:t>0</w:t>
            </w:r>
            <w:r>
              <w:rPr>
                <w:rFonts w:hint="eastAsia" w:ascii="新宋体" w:hAnsi="新宋体" w:eastAsia="新宋体" w:cs="新宋体"/>
                <w:color w:val="auto"/>
                <w:kern w:val="0"/>
                <w:sz w:val="22"/>
                <w:szCs w:val="22"/>
                <w:highlight w:val="none"/>
                <w:lang w:eastAsia="zh-CN" w:bidi="ar"/>
              </w:rPr>
              <w:t>）</w:t>
            </w:r>
          </w:p>
        </w:tc>
      </w:tr>
      <w:tr w14:paraId="050AA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3" w:hRule="atLeast"/>
          <w:jc w:val="center"/>
        </w:trPr>
        <w:tc>
          <w:tcPr>
            <w:tcW w:w="658" w:type="dxa"/>
            <w:noWrap w:val="0"/>
            <w:vAlign w:val="center"/>
          </w:tcPr>
          <w:p w14:paraId="3F410F9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lang w:val="en-US" w:eastAsia="zh-CN"/>
              </w:rPr>
            </w:pPr>
            <w:r>
              <w:rPr>
                <w:rFonts w:hint="eastAsia" w:ascii="新宋体" w:hAnsi="新宋体" w:eastAsia="新宋体" w:cs="新宋体"/>
                <w:b w:val="0"/>
                <w:bCs w:val="0"/>
                <w:color w:val="auto"/>
                <w:sz w:val="22"/>
                <w:szCs w:val="22"/>
                <w:highlight w:val="none"/>
                <w:lang w:val="en-US" w:eastAsia="zh-CN"/>
              </w:rPr>
              <w:t>4</w:t>
            </w:r>
          </w:p>
        </w:tc>
        <w:tc>
          <w:tcPr>
            <w:tcW w:w="1589" w:type="dxa"/>
            <w:noWrap w:val="0"/>
            <w:vAlign w:val="center"/>
          </w:tcPr>
          <w:p w14:paraId="27D81A47">
            <w:pPr>
              <w:pStyle w:val="23"/>
              <w:keepNext w:val="0"/>
              <w:keepLines w:val="0"/>
              <w:pageBreakBefore w:val="0"/>
              <w:widowControl w:val="0"/>
              <w:kinsoku/>
              <w:wordWrap/>
              <w:overflowPunct/>
              <w:topLinePunct w:val="0"/>
              <w:autoSpaceDE/>
              <w:autoSpaceDN/>
              <w:bidi w:val="0"/>
              <w:adjustRightInd/>
              <w:snapToGrid/>
              <w:spacing w:line="460" w:lineRule="exact"/>
              <w:ind w:left="440" w:leftChars="0" w:hanging="440" w:hangingChars="200"/>
              <w:jc w:val="center"/>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市场占有率</w:t>
            </w:r>
          </w:p>
        </w:tc>
        <w:tc>
          <w:tcPr>
            <w:tcW w:w="700" w:type="dxa"/>
            <w:noWrap w:val="0"/>
            <w:vAlign w:val="center"/>
          </w:tcPr>
          <w:p w14:paraId="54480B10">
            <w:pPr>
              <w:pStyle w:val="23"/>
              <w:keepNext w:val="0"/>
              <w:keepLines w:val="0"/>
              <w:pageBreakBefore w:val="0"/>
              <w:widowControl w:val="0"/>
              <w:kinsoku/>
              <w:wordWrap/>
              <w:overflowPunct/>
              <w:topLinePunct w:val="0"/>
              <w:autoSpaceDE/>
              <w:autoSpaceDN/>
              <w:bidi w:val="0"/>
              <w:adjustRightInd/>
              <w:snapToGrid/>
              <w:spacing w:line="460" w:lineRule="exact"/>
              <w:ind w:left="440" w:leftChars="0" w:hanging="440" w:hangingChars="200"/>
              <w:jc w:val="center"/>
              <w:textAlignment w:val="auto"/>
              <w:rPr>
                <w:rFonts w:hint="eastAsia" w:ascii="新宋体" w:hAnsi="新宋体" w:eastAsia="新宋体" w:cs="新宋体"/>
                <w:b w:val="0"/>
                <w:bCs w:val="0"/>
                <w:color w:val="auto"/>
                <w:sz w:val="22"/>
                <w:szCs w:val="22"/>
                <w:highlight w:val="none"/>
                <w:lang w:val="en-US" w:eastAsia="zh-CN"/>
              </w:rPr>
            </w:pPr>
            <w:r>
              <w:rPr>
                <w:rFonts w:hint="eastAsia" w:ascii="新宋体" w:hAnsi="新宋体" w:eastAsia="新宋体" w:cs="新宋体"/>
                <w:b w:val="0"/>
                <w:bCs w:val="0"/>
                <w:color w:val="auto"/>
                <w:sz w:val="22"/>
                <w:szCs w:val="22"/>
                <w:highlight w:val="none"/>
                <w:lang w:val="en-US" w:eastAsia="zh-CN"/>
              </w:rPr>
              <w:t>3分</w:t>
            </w:r>
          </w:p>
        </w:tc>
        <w:tc>
          <w:tcPr>
            <w:tcW w:w="6938" w:type="dxa"/>
            <w:noWrap w:val="0"/>
            <w:vAlign w:val="center"/>
          </w:tcPr>
          <w:p w14:paraId="61D4694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color w:val="auto"/>
                <w:sz w:val="22"/>
                <w:szCs w:val="22"/>
                <w:highlight w:val="none"/>
                <w:vertAlign w:val="baseline"/>
              </w:rPr>
              <w:t>提供202</w:t>
            </w:r>
            <w:r>
              <w:rPr>
                <w:rFonts w:hint="eastAsia" w:ascii="新宋体" w:hAnsi="新宋体" w:eastAsia="新宋体" w:cs="新宋体"/>
                <w:color w:val="auto"/>
                <w:sz w:val="22"/>
                <w:szCs w:val="22"/>
                <w:highlight w:val="none"/>
                <w:vertAlign w:val="baseline"/>
                <w:lang w:val="en-US" w:eastAsia="zh-CN"/>
              </w:rPr>
              <w:t>2</w:t>
            </w:r>
            <w:r>
              <w:rPr>
                <w:rFonts w:hint="eastAsia" w:ascii="新宋体" w:hAnsi="新宋体" w:eastAsia="新宋体" w:cs="新宋体"/>
                <w:color w:val="auto"/>
                <w:sz w:val="22"/>
                <w:szCs w:val="22"/>
                <w:highlight w:val="none"/>
                <w:vertAlign w:val="baseline"/>
              </w:rPr>
              <w:t>年1月1日</w:t>
            </w:r>
            <w:r>
              <w:rPr>
                <w:rFonts w:hint="eastAsia" w:ascii="新宋体" w:hAnsi="新宋体" w:eastAsia="新宋体" w:cs="新宋体"/>
                <w:color w:val="auto"/>
                <w:sz w:val="22"/>
                <w:szCs w:val="22"/>
                <w:highlight w:val="none"/>
                <w:vertAlign w:val="baseline"/>
                <w:lang w:eastAsia="zh-CN"/>
              </w:rPr>
              <w:t>（</w:t>
            </w:r>
            <w:r>
              <w:rPr>
                <w:rFonts w:hint="eastAsia" w:ascii="新宋体" w:hAnsi="新宋体" w:eastAsia="新宋体" w:cs="新宋体"/>
                <w:color w:val="auto"/>
                <w:sz w:val="22"/>
                <w:szCs w:val="22"/>
                <w:highlight w:val="none"/>
                <w:vertAlign w:val="baseline"/>
                <w:lang w:val="en-US" w:eastAsia="zh-CN"/>
              </w:rPr>
              <w:t>以合同签订时间为准</w:t>
            </w:r>
            <w:r>
              <w:rPr>
                <w:rFonts w:hint="eastAsia" w:ascii="新宋体" w:hAnsi="新宋体" w:eastAsia="新宋体" w:cs="新宋体"/>
                <w:color w:val="auto"/>
                <w:sz w:val="22"/>
                <w:szCs w:val="22"/>
                <w:highlight w:val="none"/>
                <w:vertAlign w:val="baseline"/>
                <w:lang w:eastAsia="zh-CN"/>
              </w:rPr>
              <w:t>）</w:t>
            </w:r>
            <w:r>
              <w:rPr>
                <w:rFonts w:hint="eastAsia" w:ascii="新宋体" w:hAnsi="新宋体" w:eastAsia="新宋体" w:cs="新宋体"/>
                <w:color w:val="auto"/>
                <w:sz w:val="22"/>
                <w:szCs w:val="22"/>
                <w:highlight w:val="none"/>
                <w:vertAlign w:val="baseline"/>
              </w:rPr>
              <w:t>起至今与最终不同用户签订的投标产品采购合同复印件，每份有效合同得0.5分，最多得3分。</w:t>
            </w:r>
            <w:r>
              <w:rPr>
                <w:rFonts w:hint="eastAsia" w:ascii="新宋体" w:hAnsi="新宋体" w:eastAsia="新宋体" w:cs="新宋体"/>
                <w:b w:val="0"/>
                <w:bCs w:val="0"/>
                <w:color w:val="auto"/>
                <w:sz w:val="22"/>
                <w:szCs w:val="22"/>
                <w:highlight w:val="none"/>
              </w:rPr>
              <w:t>（提供合同原件扫描加盖单位公章）</w:t>
            </w:r>
          </w:p>
          <w:p w14:paraId="181D316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color w:val="auto"/>
                <w:sz w:val="22"/>
                <w:szCs w:val="22"/>
                <w:highlight w:val="none"/>
                <w:vertAlign w:val="baseline"/>
              </w:rPr>
              <w:t>根据《浙江省财政厅关于进一步加大政府采购支持中小企业力度助力扎实稳住经济的通知》贯彻落实对首台套产品、符合条件的制造精品的政府首购制度。优先推荐专精特新中小企业、创新产品参加政府采购活动。对省级以上主管部门认定的首台套产品，自纳入《省推广应用指导目录》起三年内参加政府采购活动，视同已具备相应销售业绩，业绩分为满分，须提供证明材料。</w:t>
            </w:r>
          </w:p>
        </w:tc>
      </w:tr>
      <w:tr w14:paraId="29548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658" w:type="dxa"/>
            <w:vMerge w:val="restart"/>
            <w:noWrap w:val="0"/>
            <w:vAlign w:val="center"/>
          </w:tcPr>
          <w:p w14:paraId="30A7664A">
            <w:pPr>
              <w:pStyle w:val="23"/>
              <w:keepNext w:val="0"/>
              <w:keepLines w:val="0"/>
              <w:pageBreakBefore w:val="0"/>
              <w:widowControl w:val="0"/>
              <w:kinsoku/>
              <w:wordWrap/>
              <w:overflowPunct/>
              <w:topLinePunct w:val="0"/>
              <w:autoSpaceDE/>
              <w:autoSpaceDN/>
              <w:bidi w:val="0"/>
              <w:adjustRightInd/>
              <w:snapToGrid/>
              <w:spacing w:line="460" w:lineRule="exact"/>
              <w:ind w:left="440" w:leftChars="0" w:hanging="440" w:hangingChars="200"/>
              <w:jc w:val="center"/>
              <w:textAlignment w:val="auto"/>
              <w:rPr>
                <w:rFonts w:hint="eastAsia" w:ascii="新宋体" w:hAnsi="新宋体" w:eastAsia="新宋体" w:cs="新宋体"/>
                <w:b w:val="0"/>
                <w:bCs w:val="0"/>
                <w:color w:val="auto"/>
                <w:sz w:val="22"/>
                <w:szCs w:val="22"/>
                <w:highlight w:val="none"/>
                <w:lang w:val="en-US" w:eastAsia="zh-CN"/>
              </w:rPr>
            </w:pPr>
            <w:r>
              <w:rPr>
                <w:rFonts w:hint="eastAsia" w:ascii="新宋体" w:hAnsi="新宋体" w:eastAsia="新宋体" w:cs="新宋体"/>
                <w:b w:val="0"/>
                <w:bCs w:val="0"/>
                <w:color w:val="auto"/>
                <w:sz w:val="22"/>
                <w:szCs w:val="22"/>
                <w:highlight w:val="none"/>
                <w:lang w:val="en-US" w:eastAsia="zh-CN"/>
              </w:rPr>
              <w:t>5</w:t>
            </w:r>
          </w:p>
        </w:tc>
        <w:tc>
          <w:tcPr>
            <w:tcW w:w="1589" w:type="dxa"/>
            <w:vMerge w:val="restart"/>
            <w:noWrap w:val="0"/>
            <w:vAlign w:val="center"/>
          </w:tcPr>
          <w:p w14:paraId="2045CC3C">
            <w:pPr>
              <w:pStyle w:val="23"/>
              <w:keepNext w:val="0"/>
              <w:keepLines w:val="0"/>
              <w:pageBreakBefore w:val="0"/>
              <w:widowControl w:val="0"/>
              <w:kinsoku/>
              <w:wordWrap/>
              <w:overflowPunct/>
              <w:topLinePunct w:val="0"/>
              <w:autoSpaceDE/>
              <w:autoSpaceDN/>
              <w:bidi w:val="0"/>
              <w:adjustRightInd/>
              <w:snapToGrid/>
              <w:spacing w:line="460" w:lineRule="exact"/>
              <w:ind w:left="440" w:leftChars="0" w:hanging="440" w:hangingChars="200"/>
              <w:jc w:val="center"/>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售后服务</w:t>
            </w:r>
          </w:p>
        </w:tc>
        <w:tc>
          <w:tcPr>
            <w:tcW w:w="700" w:type="dxa"/>
            <w:vMerge w:val="restart"/>
            <w:noWrap w:val="0"/>
            <w:vAlign w:val="center"/>
          </w:tcPr>
          <w:p w14:paraId="53CB8E3A">
            <w:pPr>
              <w:pStyle w:val="23"/>
              <w:keepNext w:val="0"/>
              <w:keepLines w:val="0"/>
              <w:pageBreakBefore w:val="0"/>
              <w:widowControl w:val="0"/>
              <w:kinsoku/>
              <w:wordWrap/>
              <w:overflowPunct/>
              <w:topLinePunct w:val="0"/>
              <w:autoSpaceDE/>
              <w:autoSpaceDN/>
              <w:bidi w:val="0"/>
              <w:adjustRightInd/>
              <w:snapToGrid/>
              <w:spacing w:line="460" w:lineRule="exact"/>
              <w:ind w:left="440" w:leftChars="0" w:hanging="440" w:hangingChars="200"/>
              <w:jc w:val="center"/>
              <w:textAlignment w:val="auto"/>
              <w:rPr>
                <w:rFonts w:hint="eastAsia" w:ascii="新宋体" w:hAnsi="新宋体" w:eastAsia="新宋体" w:cs="新宋体"/>
                <w:b w:val="0"/>
                <w:bCs w:val="0"/>
                <w:color w:val="auto"/>
                <w:sz w:val="22"/>
                <w:szCs w:val="22"/>
                <w:highlight w:val="none"/>
                <w:lang w:val="en-US" w:eastAsia="zh-CN"/>
              </w:rPr>
            </w:pPr>
            <w:r>
              <w:rPr>
                <w:rFonts w:hint="eastAsia" w:ascii="新宋体" w:hAnsi="新宋体" w:eastAsia="新宋体" w:cs="新宋体"/>
                <w:b w:val="0"/>
                <w:bCs w:val="0"/>
                <w:color w:val="auto"/>
                <w:sz w:val="22"/>
                <w:szCs w:val="22"/>
                <w:highlight w:val="none"/>
                <w:lang w:val="en-US" w:eastAsia="zh-CN"/>
              </w:rPr>
              <w:t>16分</w:t>
            </w:r>
          </w:p>
        </w:tc>
        <w:tc>
          <w:tcPr>
            <w:tcW w:w="6938" w:type="dxa"/>
            <w:noWrap w:val="0"/>
            <w:vAlign w:val="center"/>
          </w:tcPr>
          <w:p w14:paraId="4BC8AC2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制造商在就近地区的售后服务能力进行评</w:t>
            </w:r>
            <w:r>
              <w:rPr>
                <w:rFonts w:hint="eastAsia" w:ascii="新宋体" w:hAnsi="新宋体" w:eastAsia="新宋体" w:cs="新宋体"/>
                <w:color w:val="auto"/>
                <w:sz w:val="22"/>
                <w:szCs w:val="22"/>
                <w:highlight w:val="none"/>
                <w:lang w:val="en-US" w:eastAsia="zh-CN"/>
              </w:rPr>
              <w:t>审</w:t>
            </w:r>
            <w:r>
              <w:rPr>
                <w:rFonts w:hint="eastAsia" w:ascii="新宋体" w:hAnsi="新宋体" w:eastAsia="新宋体" w:cs="新宋体"/>
                <w:color w:val="auto"/>
                <w:sz w:val="22"/>
                <w:szCs w:val="22"/>
                <w:highlight w:val="none"/>
                <w:lang w:eastAsia="zh-CN"/>
              </w:rPr>
              <w:t>；</w:t>
            </w:r>
          </w:p>
          <w:p w14:paraId="030040D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售后服务能力</w:t>
            </w:r>
            <w:r>
              <w:rPr>
                <w:rFonts w:hint="eastAsia" w:ascii="新宋体" w:hAnsi="新宋体" w:eastAsia="新宋体" w:cs="新宋体"/>
                <w:color w:val="auto"/>
                <w:sz w:val="22"/>
                <w:szCs w:val="22"/>
                <w:highlight w:val="none"/>
                <w:lang w:val="en-US" w:eastAsia="zh-CN"/>
              </w:rPr>
              <w:t>强，售后响应时间短的得6分；</w:t>
            </w:r>
          </w:p>
          <w:p w14:paraId="06ED450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售后服务能力</w:t>
            </w:r>
            <w:r>
              <w:rPr>
                <w:rFonts w:hint="eastAsia" w:ascii="新宋体" w:hAnsi="新宋体" w:eastAsia="新宋体" w:cs="新宋体"/>
                <w:color w:val="auto"/>
                <w:sz w:val="22"/>
                <w:szCs w:val="22"/>
                <w:highlight w:val="none"/>
                <w:lang w:val="en-US" w:eastAsia="zh-CN"/>
              </w:rPr>
              <w:t>一般，售后响应时间较短的得4分</w:t>
            </w:r>
            <w:r>
              <w:rPr>
                <w:rFonts w:hint="eastAsia" w:ascii="新宋体" w:hAnsi="新宋体" w:eastAsia="新宋体" w:cs="新宋体"/>
                <w:color w:val="auto"/>
                <w:sz w:val="22"/>
                <w:szCs w:val="22"/>
                <w:highlight w:val="none"/>
                <w:lang w:eastAsia="zh-CN"/>
              </w:rPr>
              <w:t>；</w:t>
            </w:r>
          </w:p>
          <w:p w14:paraId="11FC890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售后服务能力</w:t>
            </w:r>
            <w:r>
              <w:rPr>
                <w:rFonts w:hint="eastAsia" w:ascii="新宋体" w:hAnsi="新宋体" w:eastAsia="新宋体" w:cs="新宋体"/>
                <w:color w:val="auto"/>
                <w:sz w:val="22"/>
                <w:szCs w:val="22"/>
                <w:highlight w:val="none"/>
                <w:lang w:val="en-US" w:eastAsia="zh-CN"/>
              </w:rPr>
              <w:t>较差，售后响应时间较长的得2分；</w:t>
            </w:r>
          </w:p>
          <w:p w14:paraId="07E383E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需提供相应的证明材料，未提供不得分。</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zh-CN"/>
              </w:rPr>
              <w:t>评分范围：</w:t>
            </w:r>
            <w:r>
              <w:rPr>
                <w:rFonts w:hint="eastAsia" w:ascii="新宋体" w:hAnsi="新宋体" w:eastAsia="新宋体" w:cs="新宋体"/>
                <w:color w:val="auto"/>
                <w:sz w:val="22"/>
                <w:szCs w:val="22"/>
                <w:highlight w:val="none"/>
                <w:lang w:val="en-US" w:eastAsia="zh-CN"/>
              </w:rPr>
              <w:t>6</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0</w:t>
            </w:r>
            <w:r>
              <w:rPr>
                <w:rFonts w:hint="eastAsia" w:ascii="新宋体" w:hAnsi="新宋体" w:eastAsia="新宋体" w:cs="新宋体"/>
                <w:color w:val="auto"/>
                <w:sz w:val="22"/>
                <w:szCs w:val="22"/>
                <w:highlight w:val="none"/>
                <w:lang w:eastAsia="zh-CN"/>
              </w:rPr>
              <w:t>）</w:t>
            </w:r>
          </w:p>
        </w:tc>
      </w:tr>
      <w:tr w14:paraId="0FCFC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658" w:type="dxa"/>
            <w:vMerge w:val="continue"/>
            <w:noWrap w:val="0"/>
            <w:vAlign w:val="center"/>
          </w:tcPr>
          <w:p w14:paraId="5FC0C4E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rPr>
            </w:pPr>
          </w:p>
        </w:tc>
        <w:tc>
          <w:tcPr>
            <w:tcW w:w="1589" w:type="dxa"/>
            <w:vMerge w:val="continue"/>
            <w:noWrap w:val="0"/>
            <w:vAlign w:val="center"/>
          </w:tcPr>
          <w:p w14:paraId="6953E30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rPr>
            </w:pPr>
          </w:p>
        </w:tc>
        <w:tc>
          <w:tcPr>
            <w:tcW w:w="700" w:type="dxa"/>
            <w:vMerge w:val="continue"/>
            <w:noWrap w:val="0"/>
            <w:vAlign w:val="center"/>
          </w:tcPr>
          <w:p w14:paraId="7BF7B8B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rPr>
            </w:pPr>
          </w:p>
        </w:tc>
        <w:tc>
          <w:tcPr>
            <w:tcW w:w="6938" w:type="dxa"/>
            <w:noWrap w:val="0"/>
            <w:vAlign w:val="center"/>
          </w:tcPr>
          <w:p w14:paraId="2EF53DF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供应商</w:t>
            </w:r>
            <w:r>
              <w:rPr>
                <w:rFonts w:hint="eastAsia" w:ascii="新宋体" w:hAnsi="新宋体" w:eastAsia="新宋体" w:cs="新宋体"/>
                <w:color w:val="auto"/>
                <w:sz w:val="22"/>
                <w:szCs w:val="22"/>
                <w:highlight w:val="none"/>
                <w:lang w:val="en-US" w:eastAsia="zh-CN"/>
              </w:rPr>
              <w:t>自有冷链</w:t>
            </w:r>
            <w:r>
              <w:rPr>
                <w:rFonts w:hint="eastAsia" w:ascii="新宋体" w:hAnsi="新宋体" w:eastAsia="新宋体" w:cs="新宋体"/>
                <w:color w:val="auto"/>
                <w:sz w:val="22"/>
                <w:szCs w:val="22"/>
                <w:highlight w:val="none"/>
              </w:rPr>
              <w:t>运输专车</w:t>
            </w:r>
            <w:r>
              <w:rPr>
                <w:rFonts w:hint="eastAsia" w:ascii="新宋体" w:hAnsi="新宋体" w:eastAsia="新宋体" w:cs="新宋体"/>
                <w:color w:val="auto"/>
                <w:sz w:val="22"/>
                <w:szCs w:val="22"/>
                <w:highlight w:val="none"/>
                <w:lang w:eastAsia="zh-CN"/>
              </w:rPr>
              <w:t>的</w:t>
            </w:r>
            <w:r>
              <w:rPr>
                <w:rFonts w:hint="eastAsia" w:ascii="新宋体" w:hAnsi="新宋体" w:eastAsia="新宋体" w:cs="新宋体"/>
                <w:color w:val="auto"/>
                <w:sz w:val="22"/>
                <w:szCs w:val="22"/>
                <w:highlight w:val="none"/>
                <w:lang w:val="en-US" w:eastAsia="zh-CN"/>
              </w:rPr>
              <w:t>得5分</w:t>
            </w:r>
            <w:r>
              <w:rPr>
                <w:rFonts w:hint="eastAsia" w:ascii="新宋体" w:hAnsi="新宋体" w:eastAsia="新宋体" w:cs="新宋体"/>
                <w:color w:val="auto"/>
                <w:sz w:val="22"/>
                <w:szCs w:val="22"/>
                <w:highlight w:val="none"/>
              </w:rPr>
              <w:t>，</w:t>
            </w:r>
          </w:p>
          <w:p w14:paraId="153D4B1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提供行驶证原件扫描，</w:t>
            </w:r>
            <w:r>
              <w:rPr>
                <w:rFonts w:hint="eastAsia" w:ascii="新宋体" w:hAnsi="新宋体" w:eastAsia="新宋体" w:cs="新宋体"/>
                <w:b w:val="0"/>
                <w:bCs w:val="0"/>
                <w:color w:val="auto"/>
                <w:sz w:val="22"/>
                <w:szCs w:val="22"/>
                <w:highlight w:val="none"/>
                <w:lang w:val="en-US" w:eastAsia="zh-CN"/>
              </w:rPr>
              <w:t>未提供不得分。</w:t>
            </w:r>
          </w:p>
        </w:tc>
      </w:tr>
      <w:tr w14:paraId="4F7BF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58" w:type="dxa"/>
            <w:vMerge w:val="continue"/>
            <w:noWrap w:val="0"/>
            <w:vAlign w:val="center"/>
          </w:tcPr>
          <w:p w14:paraId="39D58A1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lang w:val="en-US" w:eastAsia="zh-CN"/>
              </w:rPr>
            </w:pPr>
          </w:p>
        </w:tc>
        <w:tc>
          <w:tcPr>
            <w:tcW w:w="1589" w:type="dxa"/>
            <w:vMerge w:val="continue"/>
            <w:noWrap w:val="0"/>
            <w:vAlign w:val="center"/>
          </w:tcPr>
          <w:p w14:paraId="73F78D3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kern w:val="0"/>
                <w:sz w:val="22"/>
                <w:szCs w:val="22"/>
                <w:highlight w:val="none"/>
              </w:rPr>
            </w:pPr>
          </w:p>
        </w:tc>
        <w:tc>
          <w:tcPr>
            <w:tcW w:w="700" w:type="dxa"/>
            <w:vMerge w:val="continue"/>
            <w:noWrap w:val="0"/>
            <w:vAlign w:val="center"/>
          </w:tcPr>
          <w:p w14:paraId="773DF2D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lang w:val="en-US" w:eastAsia="zh-CN"/>
              </w:rPr>
            </w:pPr>
          </w:p>
        </w:tc>
        <w:tc>
          <w:tcPr>
            <w:tcW w:w="6938" w:type="dxa"/>
            <w:noWrap w:val="0"/>
            <w:vAlign w:val="center"/>
          </w:tcPr>
          <w:p w14:paraId="5CFCC12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lang w:val="en-US" w:eastAsia="zh-CN"/>
              </w:rPr>
            </w:pPr>
            <w:r>
              <w:rPr>
                <w:rFonts w:hint="eastAsia" w:ascii="新宋体" w:hAnsi="新宋体" w:eastAsia="新宋体" w:cs="新宋体"/>
                <w:b w:val="0"/>
                <w:bCs w:val="0"/>
                <w:color w:val="auto"/>
                <w:sz w:val="22"/>
                <w:szCs w:val="22"/>
                <w:highlight w:val="none"/>
              </w:rPr>
              <w:t>质量保证</w:t>
            </w:r>
            <w:r>
              <w:rPr>
                <w:rFonts w:hint="eastAsia" w:ascii="新宋体" w:hAnsi="新宋体" w:eastAsia="新宋体" w:cs="新宋体"/>
                <w:b w:val="0"/>
                <w:bCs w:val="0"/>
                <w:color w:val="auto"/>
                <w:sz w:val="22"/>
                <w:szCs w:val="22"/>
                <w:highlight w:val="none"/>
                <w:lang w:val="en-US" w:eastAsia="zh-CN"/>
              </w:rPr>
              <w:t>措施</w:t>
            </w:r>
            <w:r>
              <w:rPr>
                <w:rFonts w:hint="eastAsia" w:ascii="新宋体" w:hAnsi="新宋体" w:eastAsia="新宋体" w:cs="新宋体"/>
                <w:b w:val="0"/>
                <w:bCs w:val="0"/>
                <w:color w:val="auto"/>
                <w:sz w:val="22"/>
                <w:szCs w:val="22"/>
                <w:highlight w:val="none"/>
              </w:rPr>
              <w:t>综合评</w:t>
            </w:r>
            <w:r>
              <w:rPr>
                <w:rFonts w:hint="eastAsia" w:ascii="新宋体" w:hAnsi="新宋体" w:eastAsia="新宋体" w:cs="新宋体"/>
                <w:b w:val="0"/>
                <w:bCs w:val="0"/>
                <w:color w:val="auto"/>
                <w:sz w:val="22"/>
                <w:szCs w:val="22"/>
                <w:highlight w:val="none"/>
                <w:lang w:val="en-US" w:eastAsia="zh-CN"/>
              </w:rPr>
              <w:t>审：</w:t>
            </w:r>
          </w:p>
          <w:p w14:paraId="177241C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lang w:val="en-US" w:eastAsia="zh-CN"/>
              </w:rPr>
            </w:pPr>
            <w:r>
              <w:rPr>
                <w:rFonts w:hint="eastAsia" w:ascii="新宋体" w:hAnsi="新宋体" w:eastAsia="新宋体" w:cs="新宋体"/>
                <w:b w:val="0"/>
                <w:bCs w:val="0"/>
                <w:color w:val="auto"/>
                <w:sz w:val="22"/>
                <w:szCs w:val="22"/>
                <w:highlight w:val="none"/>
              </w:rPr>
              <w:t>质量保证</w:t>
            </w:r>
            <w:r>
              <w:rPr>
                <w:rFonts w:hint="eastAsia" w:ascii="新宋体" w:hAnsi="新宋体" w:eastAsia="新宋体" w:cs="新宋体"/>
                <w:b w:val="0"/>
                <w:bCs w:val="0"/>
                <w:color w:val="auto"/>
                <w:sz w:val="22"/>
                <w:szCs w:val="22"/>
                <w:highlight w:val="none"/>
                <w:lang w:val="en-US" w:eastAsia="zh-CN"/>
              </w:rPr>
              <w:t>措施合理、完善，保证能力强的得5分；</w:t>
            </w:r>
          </w:p>
          <w:p w14:paraId="4A27F09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质量保证</w:t>
            </w:r>
            <w:r>
              <w:rPr>
                <w:rFonts w:hint="eastAsia" w:ascii="新宋体" w:hAnsi="新宋体" w:eastAsia="新宋体" w:cs="新宋体"/>
                <w:b w:val="0"/>
                <w:bCs w:val="0"/>
                <w:color w:val="auto"/>
                <w:sz w:val="22"/>
                <w:szCs w:val="22"/>
                <w:highlight w:val="none"/>
                <w:lang w:val="en-US" w:eastAsia="zh-CN"/>
              </w:rPr>
              <w:t>措施一般，保证能力一般的得3分；</w:t>
            </w:r>
          </w:p>
          <w:p w14:paraId="4BB18E1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质量保证</w:t>
            </w:r>
            <w:r>
              <w:rPr>
                <w:rFonts w:hint="eastAsia" w:ascii="新宋体" w:hAnsi="新宋体" w:eastAsia="新宋体" w:cs="新宋体"/>
                <w:b w:val="0"/>
                <w:bCs w:val="0"/>
                <w:color w:val="auto"/>
                <w:sz w:val="22"/>
                <w:szCs w:val="22"/>
                <w:highlight w:val="none"/>
                <w:lang w:val="en-US" w:eastAsia="zh-CN"/>
              </w:rPr>
              <w:t>措施不合理、保证能力较差的得1分；</w:t>
            </w:r>
          </w:p>
          <w:p w14:paraId="4076AA5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lang w:val="en-US" w:eastAsia="zh-CN"/>
              </w:rPr>
              <w:t>未提供不得分。</w:t>
            </w:r>
            <w:r>
              <w:rPr>
                <w:rFonts w:hint="eastAsia" w:ascii="新宋体" w:hAnsi="新宋体" w:eastAsia="新宋体" w:cs="新宋体"/>
                <w:color w:val="auto"/>
                <w:kern w:val="0"/>
                <w:sz w:val="22"/>
                <w:szCs w:val="22"/>
                <w:highlight w:val="none"/>
                <w:lang w:eastAsia="zh-CN" w:bidi="ar"/>
              </w:rPr>
              <w:t>（</w:t>
            </w:r>
            <w:r>
              <w:rPr>
                <w:rFonts w:hint="eastAsia" w:ascii="新宋体" w:hAnsi="新宋体" w:eastAsia="新宋体" w:cs="新宋体"/>
                <w:bCs/>
                <w:color w:val="auto"/>
                <w:sz w:val="22"/>
                <w:szCs w:val="22"/>
                <w:highlight w:val="none"/>
                <w:lang w:val="zh-CN" w:bidi="ar"/>
              </w:rPr>
              <w:t>评分范围：</w:t>
            </w:r>
            <w:r>
              <w:rPr>
                <w:rFonts w:hint="eastAsia" w:ascii="新宋体" w:hAnsi="新宋体" w:eastAsia="新宋体" w:cs="新宋体"/>
                <w:bCs/>
                <w:color w:val="auto"/>
                <w:sz w:val="22"/>
                <w:szCs w:val="22"/>
                <w:highlight w:val="none"/>
                <w:lang w:val="en-US" w:eastAsia="zh-CN" w:bidi="ar"/>
              </w:rPr>
              <w:t>5</w:t>
            </w:r>
            <w:r>
              <w:rPr>
                <w:rFonts w:hint="eastAsia" w:ascii="新宋体" w:hAnsi="新宋体" w:eastAsia="新宋体" w:cs="新宋体"/>
                <w:bCs/>
                <w:color w:val="auto"/>
                <w:sz w:val="22"/>
                <w:szCs w:val="22"/>
                <w:highlight w:val="none"/>
                <w:lang w:bidi="ar"/>
              </w:rPr>
              <w:t>，</w:t>
            </w:r>
            <w:r>
              <w:rPr>
                <w:rFonts w:hint="eastAsia" w:ascii="新宋体" w:hAnsi="新宋体" w:eastAsia="新宋体" w:cs="新宋体"/>
                <w:bCs/>
                <w:color w:val="auto"/>
                <w:sz w:val="22"/>
                <w:szCs w:val="22"/>
                <w:highlight w:val="none"/>
                <w:lang w:val="en-US" w:eastAsia="zh-CN" w:bidi="ar"/>
              </w:rPr>
              <w:t>3</w:t>
            </w:r>
            <w:r>
              <w:rPr>
                <w:rFonts w:hint="eastAsia" w:ascii="新宋体" w:hAnsi="新宋体" w:eastAsia="新宋体" w:cs="新宋体"/>
                <w:bCs/>
                <w:color w:val="auto"/>
                <w:sz w:val="22"/>
                <w:szCs w:val="22"/>
                <w:highlight w:val="none"/>
                <w:lang w:bidi="ar"/>
              </w:rPr>
              <w:t>，</w:t>
            </w:r>
            <w:r>
              <w:rPr>
                <w:rFonts w:hint="eastAsia" w:ascii="新宋体" w:hAnsi="新宋体" w:eastAsia="新宋体" w:cs="新宋体"/>
                <w:bCs/>
                <w:color w:val="auto"/>
                <w:sz w:val="22"/>
                <w:szCs w:val="22"/>
                <w:highlight w:val="none"/>
                <w:lang w:val="en-US" w:eastAsia="zh-CN" w:bidi="ar"/>
              </w:rPr>
              <w:t>1</w:t>
            </w:r>
            <w:r>
              <w:rPr>
                <w:rFonts w:hint="eastAsia" w:ascii="新宋体" w:hAnsi="新宋体" w:eastAsia="新宋体" w:cs="新宋体"/>
                <w:bCs/>
                <w:color w:val="auto"/>
                <w:sz w:val="22"/>
                <w:szCs w:val="22"/>
                <w:highlight w:val="none"/>
                <w:lang w:bidi="ar"/>
              </w:rPr>
              <w:t>，</w:t>
            </w:r>
            <w:r>
              <w:rPr>
                <w:rFonts w:hint="eastAsia" w:ascii="新宋体" w:hAnsi="新宋体" w:eastAsia="新宋体" w:cs="新宋体"/>
                <w:bCs/>
                <w:color w:val="auto"/>
                <w:sz w:val="22"/>
                <w:szCs w:val="22"/>
                <w:highlight w:val="none"/>
                <w:lang w:val="en-US" w:eastAsia="zh-CN" w:bidi="ar"/>
              </w:rPr>
              <w:t>0</w:t>
            </w:r>
            <w:r>
              <w:rPr>
                <w:rFonts w:hint="eastAsia" w:ascii="新宋体" w:hAnsi="新宋体" w:eastAsia="新宋体" w:cs="新宋体"/>
                <w:color w:val="auto"/>
                <w:kern w:val="0"/>
                <w:sz w:val="22"/>
                <w:szCs w:val="22"/>
                <w:highlight w:val="none"/>
                <w:lang w:eastAsia="zh-CN" w:bidi="ar"/>
              </w:rPr>
              <w:t>）</w:t>
            </w:r>
          </w:p>
        </w:tc>
      </w:tr>
      <w:tr w14:paraId="762BF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58" w:type="dxa"/>
            <w:noWrap w:val="0"/>
            <w:vAlign w:val="center"/>
          </w:tcPr>
          <w:p w14:paraId="5AFED44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lang w:val="en-US" w:eastAsia="zh-CN"/>
              </w:rPr>
            </w:pPr>
            <w:r>
              <w:rPr>
                <w:rFonts w:hint="eastAsia" w:ascii="新宋体" w:hAnsi="新宋体" w:eastAsia="新宋体" w:cs="新宋体"/>
                <w:b w:val="0"/>
                <w:bCs w:val="0"/>
                <w:color w:val="auto"/>
                <w:sz w:val="22"/>
                <w:szCs w:val="22"/>
                <w:highlight w:val="none"/>
                <w:lang w:val="en-US" w:eastAsia="zh-CN"/>
              </w:rPr>
              <w:t>6</w:t>
            </w:r>
          </w:p>
        </w:tc>
        <w:tc>
          <w:tcPr>
            <w:tcW w:w="1589" w:type="dxa"/>
            <w:noWrap w:val="0"/>
            <w:vAlign w:val="center"/>
          </w:tcPr>
          <w:p w14:paraId="2B20F45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kern w:val="0"/>
                <w:sz w:val="22"/>
                <w:szCs w:val="22"/>
                <w:highlight w:val="none"/>
              </w:rPr>
            </w:pPr>
            <w:r>
              <w:rPr>
                <w:rFonts w:hint="eastAsia" w:ascii="新宋体" w:hAnsi="新宋体" w:eastAsia="新宋体" w:cs="新宋体"/>
                <w:b w:val="0"/>
                <w:bCs w:val="0"/>
                <w:color w:val="auto"/>
                <w:kern w:val="0"/>
                <w:sz w:val="22"/>
                <w:szCs w:val="22"/>
                <w:highlight w:val="none"/>
              </w:rPr>
              <w:t>环境标志产品、节能产品评审</w:t>
            </w:r>
          </w:p>
        </w:tc>
        <w:tc>
          <w:tcPr>
            <w:tcW w:w="700" w:type="dxa"/>
            <w:noWrap w:val="0"/>
            <w:vAlign w:val="center"/>
          </w:tcPr>
          <w:p w14:paraId="27E89FD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lang w:val="en-US" w:eastAsia="zh-CN"/>
              </w:rPr>
            </w:pPr>
            <w:r>
              <w:rPr>
                <w:rFonts w:hint="eastAsia" w:ascii="新宋体" w:hAnsi="新宋体" w:eastAsia="新宋体" w:cs="新宋体"/>
                <w:b w:val="0"/>
                <w:bCs w:val="0"/>
                <w:color w:val="auto"/>
                <w:sz w:val="22"/>
                <w:szCs w:val="22"/>
                <w:highlight w:val="none"/>
                <w:lang w:val="en-US" w:eastAsia="zh-CN"/>
              </w:rPr>
              <w:t>1分</w:t>
            </w:r>
          </w:p>
        </w:tc>
        <w:tc>
          <w:tcPr>
            <w:tcW w:w="6938" w:type="dxa"/>
            <w:noWrap w:val="0"/>
            <w:vAlign w:val="center"/>
          </w:tcPr>
          <w:p w14:paraId="6EAE113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kern w:val="0"/>
                <w:sz w:val="22"/>
                <w:szCs w:val="22"/>
                <w:highlight w:val="none"/>
              </w:rPr>
            </w:pPr>
            <w:r>
              <w:rPr>
                <w:rFonts w:hint="eastAsia" w:ascii="新宋体" w:hAnsi="新宋体" w:eastAsia="新宋体" w:cs="新宋体"/>
                <w:b w:val="0"/>
                <w:bCs w:val="0"/>
                <w:color w:val="auto"/>
                <w:kern w:val="0"/>
                <w:sz w:val="22"/>
                <w:szCs w:val="22"/>
                <w:highlight w:val="none"/>
              </w:rPr>
              <w:t>环境标志产品、节能产品评审（1分）：投标产品主体列入财政部、环境保护部“环境标志产品政府采购清单”的得0.5分、投标产品主体列入财政部、国家发展改革委“节能产品政府采购清单”的得0.5分；投标人须提供有效期内采购清单，并显著标识，否则不得分。</w:t>
            </w:r>
          </w:p>
        </w:tc>
      </w:tr>
      <w:tr w14:paraId="598D0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58" w:type="dxa"/>
            <w:noWrap w:val="0"/>
            <w:vAlign w:val="center"/>
          </w:tcPr>
          <w:p w14:paraId="473C133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lang w:val="en-US" w:eastAsia="zh-CN"/>
              </w:rPr>
            </w:pPr>
            <w:r>
              <w:rPr>
                <w:rFonts w:hint="eastAsia" w:ascii="新宋体" w:hAnsi="新宋体" w:eastAsia="新宋体" w:cs="新宋体"/>
                <w:b w:val="0"/>
                <w:bCs w:val="0"/>
                <w:color w:val="auto"/>
                <w:sz w:val="22"/>
                <w:szCs w:val="22"/>
                <w:highlight w:val="none"/>
                <w:lang w:val="en-US" w:eastAsia="zh-CN"/>
              </w:rPr>
              <w:t>7</w:t>
            </w:r>
          </w:p>
        </w:tc>
        <w:tc>
          <w:tcPr>
            <w:tcW w:w="1589" w:type="dxa"/>
            <w:noWrap w:val="0"/>
            <w:vAlign w:val="center"/>
          </w:tcPr>
          <w:p w14:paraId="7AE13C10">
            <w:pPr>
              <w:keepNext w:val="0"/>
              <w:keepLines w:val="0"/>
              <w:pageBreakBefore w:val="0"/>
              <w:widowControl w:val="0"/>
              <w:kinsoku/>
              <w:wordWrap/>
              <w:overflowPunct/>
              <w:topLinePunct w:val="0"/>
              <w:autoSpaceDE/>
              <w:autoSpaceDN/>
              <w:bidi w:val="0"/>
              <w:adjustRightInd/>
              <w:snapToGrid/>
              <w:spacing w:line="460" w:lineRule="exact"/>
              <w:ind w:left="2" w:leftChars="0"/>
              <w:textAlignment w:val="auto"/>
              <w:rPr>
                <w:rFonts w:hint="eastAsia" w:ascii="新宋体" w:hAnsi="新宋体" w:eastAsia="新宋体" w:cs="新宋体"/>
                <w:b w:val="0"/>
                <w:bCs w:val="0"/>
                <w:color w:val="auto"/>
                <w:spacing w:val="-6"/>
                <w:sz w:val="22"/>
                <w:szCs w:val="22"/>
                <w:highlight w:val="none"/>
              </w:rPr>
            </w:pPr>
            <w:r>
              <w:rPr>
                <w:rFonts w:hint="eastAsia" w:ascii="新宋体" w:hAnsi="新宋体" w:eastAsia="新宋体" w:cs="新宋体"/>
                <w:color w:val="auto"/>
                <w:sz w:val="22"/>
                <w:szCs w:val="22"/>
                <w:highlight w:val="none"/>
              </w:rPr>
              <w:t>样品（3种）</w:t>
            </w:r>
          </w:p>
        </w:tc>
        <w:tc>
          <w:tcPr>
            <w:tcW w:w="700" w:type="dxa"/>
            <w:noWrap w:val="0"/>
            <w:vAlign w:val="center"/>
          </w:tcPr>
          <w:p w14:paraId="49DA18D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lang w:val="en-US" w:eastAsia="zh-CN"/>
              </w:rPr>
            </w:pPr>
            <w:r>
              <w:rPr>
                <w:rFonts w:hint="eastAsia" w:ascii="新宋体" w:hAnsi="新宋体" w:eastAsia="新宋体" w:cs="新宋体"/>
                <w:b w:val="0"/>
                <w:bCs w:val="0"/>
                <w:color w:val="auto"/>
                <w:sz w:val="22"/>
                <w:szCs w:val="22"/>
                <w:highlight w:val="none"/>
                <w:lang w:val="en-US" w:eastAsia="zh-CN"/>
              </w:rPr>
              <w:t>8分</w:t>
            </w:r>
          </w:p>
        </w:tc>
        <w:tc>
          <w:tcPr>
            <w:tcW w:w="6938" w:type="dxa"/>
            <w:noWrap w:val="0"/>
            <w:vAlign w:val="center"/>
          </w:tcPr>
          <w:p w14:paraId="5923EA9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kern w:val="0"/>
                <w:sz w:val="22"/>
                <w:szCs w:val="22"/>
                <w:highlight w:val="none"/>
                <w:lang w:val="en-US" w:eastAsia="zh-CN"/>
              </w:rPr>
            </w:pPr>
            <w:r>
              <w:rPr>
                <w:rFonts w:hint="eastAsia" w:ascii="新宋体" w:hAnsi="新宋体" w:eastAsia="新宋体" w:cs="新宋体"/>
                <w:b w:val="0"/>
                <w:bCs w:val="0"/>
                <w:color w:val="auto"/>
                <w:kern w:val="0"/>
                <w:sz w:val="22"/>
                <w:szCs w:val="22"/>
                <w:highlight w:val="none"/>
                <w:lang w:val="en-US" w:eastAsia="zh-CN"/>
              </w:rPr>
              <w:t>根据供应商提供的样品材料材质，配件质量等方面，综合评分，</w:t>
            </w:r>
          </w:p>
          <w:p w14:paraId="22EAFBE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kern w:val="0"/>
                <w:sz w:val="22"/>
                <w:szCs w:val="22"/>
                <w:highlight w:val="none"/>
                <w:lang w:val="en-US" w:eastAsia="zh-CN"/>
              </w:rPr>
            </w:pPr>
            <w:r>
              <w:rPr>
                <w:rFonts w:hint="eastAsia" w:ascii="新宋体" w:hAnsi="新宋体" w:eastAsia="新宋体" w:cs="新宋体"/>
                <w:b w:val="0"/>
                <w:bCs w:val="0"/>
                <w:color w:val="auto"/>
                <w:kern w:val="0"/>
                <w:sz w:val="22"/>
                <w:szCs w:val="22"/>
                <w:highlight w:val="none"/>
                <w:lang w:val="en-US" w:eastAsia="zh-CN"/>
              </w:rPr>
              <w:t>样品材质、配件质量好的得8分；</w:t>
            </w:r>
          </w:p>
          <w:p w14:paraId="2FB8AD3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kern w:val="0"/>
                <w:sz w:val="22"/>
                <w:szCs w:val="22"/>
                <w:highlight w:val="none"/>
                <w:lang w:val="en-US" w:eastAsia="zh-CN"/>
              </w:rPr>
            </w:pPr>
            <w:r>
              <w:rPr>
                <w:rFonts w:hint="eastAsia" w:ascii="新宋体" w:hAnsi="新宋体" w:eastAsia="新宋体" w:cs="新宋体"/>
                <w:b w:val="0"/>
                <w:bCs w:val="0"/>
                <w:color w:val="auto"/>
                <w:kern w:val="0"/>
                <w:sz w:val="22"/>
                <w:szCs w:val="22"/>
                <w:highlight w:val="none"/>
                <w:lang w:val="en-US" w:eastAsia="zh-CN"/>
              </w:rPr>
              <w:t>样品材质、配件质量一般的得5分；</w:t>
            </w:r>
          </w:p>
          <w:p w14:paraId="661ACE6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kern w:val="0"/>
                <w:sz w:val="22"/>
                <w:szCs w:val="22"/>
                <w:highlight w:val="none"/>
                <w:lang w:val="en-US" w:eastAsia="zh-CN"/>
              </w:rPr>
            </w:pPr>
            <w:r>
              <w:rPr>
                <w:rFonts w:hint="eastAsia" w:ascii="新宋体" w:hAnsi="新宋体" w:eastAsia="新宋体" w:cs="新宋体"/>
                <w:b w:val="0"/>
                <w:bCs w:val="0"/>
                <w:color w:val="auto"/>
                <w:kern w:val="0"/>
                <w:sz w:val="22"/>
                <w:szCs w:val="22"/>
                <w:highlight w:val="none"/>
                <w:lang w:val="en-US" w:eastAsia="zh-CN"/>
              </w:rPr>
              <w:t>样品材质、配件质量差的得2分；</w:t>
            </w:r>
          </w:p>
          <w:p w14:paraId="2EBC36A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kern w:val="0"/>
                <w:sz w:val="22"/>
                <w:szCs w:val="22"/>
                <w:highlight w:val="none"/>
              </w:rPr>
            </w:pPr>
            <w:r>
              <w:rPr>
                <w:rFonts w:hint="eastAsia" w:ascii="新宋体" w:hAnsi="新宋体" w:eastAsia="新宋体" w:cs="新宋体"/>
                <w:b w:val="0"/>
                <w:bCs w:val="0"/>
                <w:color w:val="auto"/>
                <w:kern w:val="0"/>
                <w:sz w:val="22"/>
                <w:szCs w:val="22"/>
                <w:highlight w:val="none"/>
                <w:lang w:val="en-US" w:eastAsia="zh-CN"/>
              </w:rPr>
              <w:t>未</w:t>
            </w:r>
            <w:r>
              <w:rPr>
                <w:rFonts w:hint="eastAsia" w:ascii="新宋体" w:hAnsi="新宋体" w:eastAsia="新宋体" w:cs="新宋体"/>
                <w:b w:val="0"/>
                <w:bCs w:val="0"/>
                <w:color w:val="auto"/>
                <w:kern w:val="0"/>
                <w:sz w:val="22"/>
                <w:szCs w:val="22"/>
                <w:highlight w:val="none"/>
              </w:rPr>
              <w:t>提供样品</w:t>
            </w:r>
            <w:r>
              <w:rPr>
                <w:rFonts w:hint="eastAsia" w:ascii="新宋体" w:hAnsi="新宋体" w:eastAsia="新宋体" w:cs="新宋体"/>
                <w:b w:val="0"/>
                <w:bCs w:val="0"/>
                <w:color w:val="auto"/>
                <w:kern w:val="0"/>
                <w:sz w:val="22"/>
                <w:szCs w:val="22"/>
                <w:highlight w:val="none"/>
                <w:lang w:val="en-US" w:eastAsia="zh-CN"/>
              </w:rPr>
              <w:t>或样品不齐全的</w:t>
            </w:r>
            <w:r>
              <w:rPr>
                <w:rFonts w:hint="eastAsia" w:ascii="新宋体" w:hAnsi="新宋体" w:eastAsia="新宋体" w:cs="新宋体"/>
                <w:b w:val="0"/>
                <w:bCs w:val="0"/>
                <w:color w:val="auto"/>
                <w:kern w:val="0"/>
                <w:sz w:val="22"/>
                <w:szCs w:val="22"/>
                <w:highlight w:val="none"/>
              </w:rPr>
              <w:t>不得分。</w:t>
            </w:r>
            <w:r>
              <w:rPr>
                <w:rFonts w:hint="eastAsia" w:ascii="新宋体" w:hAnsi="新宋体" w:eastAsia="新宋体" w:cs="新宋体"/>
                <w:b w:val="0"/>
                <w:bCs w:val="0"/>
                <w:color w:val="auto"/>
                <w:kern w:val="0"/>
                <w:sz w:val="22"/>
                <w:szCs w:val="22"/>
                <w:highlight w:val="none"/>
                <w:lang w:eastAsia="zh-CN"/>
              </w:rPr>
              <w:t>（</w:t>
            </w:r>
            <w:r>
              <w:rPr>
                <w:rFonts w:hint="eastAsia" w:ascii="新宋体" w:hAnsi="新宋体" w:eastAsia="新宋体" w:cs="新宋体"/>
                <w:b w:val="0"/>
                <w:bCs w:val="0"/>
                <w:color w:val="auto"/>
                <w:kern w:val="0"/>
                <w:sz w:val="22"/>
                <w:szCs w:val="22"/>
                <w:highlight w:val="none"/>
                <w:lang w:val="zh-CN"/>
              </w:rPr>
              <w:t>评分范围：</w:t>
            </w:r>
            <w:r>
              <w:rPr>
                <w:rFonts w:hint="eastAsia" w:ascii="新宋体" w:hAnsi="新宋体" w:eastAsia="新宋体" w:cs="新宋体"/>
                <w:b w:val="0"/>
                <w:bCs w:val="0"/>
                <w:color w:val="auto"/>
                <w:kern w:val="0"/>
                <w:sz w:val="22"/>
                <w:szCs w:val="22"/>
                <w:highlight w:val="none"/>
                <w:lang w:val="en-US" w:eastAsia="zh-CN"/>
              </w:rPr>
              <w:t>8,5,2,0</w:t>
            </w:r>
            <w:r>
              <w:rPr>
                <w:rFonts w:hint="eastAsia" w:ascii="新宋体" w:hAnsi="新宋体" w:eastAsia="新宋体" w:cs="新宋体"/>
                <w:b w:val="0"/>
                <w:bCs w:val="0"/>
                <w:color w:val="auto"/>
                <w:kern w:val="0"/>
                <w:sz w:val="22"/>
                <w:szCs w:val="22"/>
                <w:highlight w:val="none"/>
                <w:lang w:eastAsia="zh-CN"/>
              </w:rPr>
              <w:t>）</w:t>
            </w:r>
            <w:r>
              <w:rPr>
                <w:rFonts w:hint="eastAsia" w:ascii="新宋体" w:hAnsi="新宋体" w:eastAsia="新宋体" w:cs="新宋体"/>
                <w:b w:val="0"/>
                <w:bCs w:val="0"/>
                <w:color w:val="auto"/>
                <w:kern w:val="0"/>
                <w:sz w:val="22"/>
                <w:szCs w:val="22"/>
                <w:highlight w:val="none"/>
                <w:lang w:val="en-US" w:eastAsia="zh-CN"/>
              </w:rPr>
              <w:t>；</w:t>
            </w:r>
          </w:p>
        </w:tc>
      </w:tr>
    </w:tbl>
    <w:p w14:paraId="777EAACA">
      <w:pPr>
        <w:pStyle w:val="23"/>
        <w:spacing w:line="460" w:lineRule="exact"/>
        <w:ind w:left="439" w:leftChars="209" w:firstLine="0" w:firstLineChars="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2、报价评分（</w:t>
      </w:r>
      <w:r>
        <w:rPr>
          <w:rFonts w:hint="eastAsia" w:ascii="新宋体" w:hAnsi="新宋体" w:eastAsia="新宋体" w:cs="新宋体"/>
          <w:b/>
          <w:color w:val="auto"/>
          <w:sz w:val="22"/>
          <w:szCs w:val="22"/>
          <w:highlight w:val="none"/>
          <w:lang w:val="en-US" w:eastAsia="zh-CN"/>
        </w:rPr>
        <w:t>30</w:t>
      </w:r>
      <w:r>
        <w:rPr>
          <w:rFonts w:hint="eastAsia" w:ascii="新宋体" w:hAnsi="新宋体" w:eastAsia="新宋体" w:cs="新宋体"/>
          <w:b/>
          <w:color w:val="auto"/>
          <w:sz w:val="22"/>
          <w:szCs w:val="22"/>
          <w:highlight w:val="none"/>
        </w:rPr>
        <w:t>分）（权值</w:t>
      </w:r>
      <w:r>
        <w:rPr>
          <w:rFonts w:hint="eastAsia" w:ascii="新宋体" w:hAnsi="新宋体" w:eastAsia="新宋体" w:cs="新宋体"/>
          <w:b/>
          <w:color w:val="auto"/>
          <w:sz w:val="22"/>
          <w:szCs w:val="22"/>
          <w:highlight w:val="none"/>
          <w:lang w:val="en-US" w:eastAsia="zh-CN"/>
        </w:rPr>
        <w:t>30</w:t>
      </w:r>
      <w:r>
        <w:rPr>
          <w:rFonts w:hint="eastAsia" w:ascii="新宋体" w:hAnsi="新宋体" w:eastAsia="新宋体" w:cs="新宋体"/>
          <w:b/>
          <w:color w:val="auto"/>
          <w:sz w:val="22"/>
          <w:szCs w:val="22"/>
          <w:highlight w:val="none"/>
        </w:rPr>
        <w:t>%）：</w:t>
      </w:r>
    </w:p>
    <w:p w14:paraId="0235EBE3">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满足</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要求且投标报价最低的投标报价为评标基准价，其余投标人投标报价与该基准价对比，计算出商务报价评分值（保留小数2位）：</w:t>
      </w:r>
    </w:p>
    <w:p w14:paraId="23F845E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1）有效投标人的投标报价等于评标基准价时其报价分为满分</w:t>
      </w:r>
      <w:r>
        <w:rPr>
          <w:rFonts w:hint="eastAsia" w:ascii="新宋体" w:hAnsi="新宋体" w:eastAsia="新宋体" w:cs="新宋体"/>
          <w:color w:val="auto"/>
          <w:sz w:val="22"/>
          <w:szCs w:val="22"/>
          <w:highlight w:val="none"/>
          <w:lang w:val="en-US" w:eastAsia="zh-CN"/>
        </w:rPr>
        <w:t>30</w:t>
      </w:r>
      <w:r>
        <w:rPr>
          <w:rFonts w:hint="eastAsia" w:ascii="新宋体" w:hAnsi="新宋体" w:eastAsia="新宋体" w:cs="新宋体"/>
          <w:color w:val="auto"/>
          <w:sz w:val="22"/>
          <w:szCs w:val="22"/>
          <w:highlight w:val="none"/>
        </w:rPr>
        <w:t>分；</w:t>
      </w:r>
    </w:p>
    <w:p w14:paraId="70B2871F">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2）其他投标人的价格分按以下公式计算：</w:t>
      </w:r>
    </w:p>
    <w:p w14:paraId="3DD5482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投标报价得分=（评分基准价/投标人投标报价）× 价格权值 ×100（保留小数2位）</w:t>
      </w:r>
    </w:p>
    <w:p w14:paraId="4C588B88">
      <w:pPr>
        <w:spacing w:line="460" w:lineRule="exact"/>
        <w:ind w:firstLine="440" w:firstLineChars="200"/>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根据《政府采购促进中小企业发展管理办法》（财库〔2020〕46号）、《财政部关于进一步加大政府采购支持中小企业力度的通知》（财库〔2022〕19号）有关规定，对投标产品为小型或微型企业生产的，价格给予10%的扣除，用扣除后的价格参与价格评分。</w:t>
      </w:r>
    </w:p>
    <w:p w14:paraId="245D2757">
      <w:pPr>
        <w:spacing w:line="460" w:lineRule="exact"/>
        <w:ind w:firstLine="442" w:firstLineChars="200"/>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lang w:val="zh-CN"/>
        </w:rPr>
        <w:t>监狱企业、</w:t>
      </w:r>
      <w:r>
        <w:rPr>
          <w:rFonts w:hint="eastAsia" w:ascii="新宋体" w:hAnsi="新宋体" w:eastAsia="新宋体" w:cs="新宋体"/>
          <w:b/>
          <w:color w:val="auto"/>
          <w:sz w:val="22"/>
          <w:szCs w:val="22"/>
          <w:highlight w:val="none"/>
        </w:rPr>
        <w:t>残疾人福利性单位</w:t>
      </w:r>
      <w:r>
        <w:rPr>
          <w:rFonts w:hint="eastAsia" w:ascii="新宋体" w:hAnsi="新宋体" w:eastAsia="新宋体" w:cs="新宋体"/>
          <w:b/>
          <w:bCs/>
          <w:color w:val="auto"/>
          <w:sz w:val="22"/>
          <w:szCs w:val="22"/>
          <w:highlight w:val="none"/>
          <w:lang w:val="zh-CN"/>
        </w:rPr>
        <w:t>视同小微企业，其产品参加本项目投标的，享受小微企业同等的价格扣除。</w:t>
      </w:r>
    </w:p>
    <w:p w14:paraId="45B76F7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满足</w:t>
      </w:r>
      <w:r>
        <w:rPr>
          <w:rFonts w:hint="eastAsia" w:ascii="新宋体" w:hAnsi="新宋体" w:eastAsia="新宋体" w:cs="新宋体"/>
          <w:color w:val="auto"/>
          <w:sz w:val="22"/>
          <w:szCs w:val="22"/>
          <w:highlight w:val="none"/>
          <w:lang w:val="en-US" w:eastAsia="zh-CN"/>
        </w:rPr>
        <w:t>小微企业</w:t>
      </w:r>
      <w:r>
        <w:rPr>
          <w:rFonts w:hint="eastAsia" w:ascii="新宋体" w:hAnsi="新宋体" w:eastAsia="新宋体" w:cs="新宋体"/>
          <w:color w:val="auto"/>
          <w:sz w:val="22"/>
          <w:szCs w:val="22"/>
          <w:highlight w:val="none"/>
        </w:rPr>
        <w:t>折扣条件的商务（报价）分=[评标基准价/(投标报价*</w:t>
      </w:r>
      <w:r>
        <w:rPr>
          <w:rFonts w:hint="eastAsia" w:ascii="新宋体" w:hAnsi="新宋体" w:eastAsia="新宋体" w:cs="新宋体"/>
          <w:color w:val="auto"/>
          <w:sz w:val="22"/>
          <w:szCs w:val="22"/>
          <w:highlight w:val="none"/>
          <w:lang w:val="en-US" w:eastAsia="zh-CN"/>
        </w:rPr>
        <w:t>9</w:t>
      </w:r>
      <w:r>
        <w:rPr>
          <w:rFonts w:hint="eastAsia" w:ascii="新宋体" w:hAnsi="新宋体" w:eastAsia="新宋体" w:cs="新宋体"/>
          <w:color w:val="auto"/>
          <w:sz w:val="22"/>
          <w:szCs w:val="22"/>
          <w:highlight w:val="none"/>
        </w:rPr>
        <w:t>0%)]×3</w:t>
      </w:r>
      <w:r>
        <w:rPr>
          <w:rFonts w:hint="eastAsia" w:ascii="新宋体" w:hAnsi="新宋体" w:eastAsia="新宋体" w:cs="新宋体"/>
          <w:color w:val="auto"/>
          <w:sz w:val="22"/>
          <w:szCs w:val="22"/>
          <w:highlight w:val="none"/>
          <w:lang w:val="en-US" w:eastAsia="zh-CN"/>
        </w:rPr>
        <w:t>0</w:t>
      </w:r>
      <w:r>
        <w:rPr>
          <w:rFonts w:hint="eastAsia" w:ascii="新宋体" w:hAnsi="新宋体" w:eastAsia="新宋体" w:cs="新宋体"/>
          <w:color w:val="auto"/>
          <w:sz w:val="22"/>
          <w:szCs w:val="22"/>
          <w:highlight w:val="none"/>
        </w:rPr>
        <w:t>。</w:t>
      </w:r>
    </w:p>
    <w:p w14:paraId="24E1C251">
      <w:pPr>
        <w:spacing w:line="460" w:lineRule="exact"/>
        <w:ind w:firstLine="440" w:firstLineChars="200"/>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rPr>
        <w:t>满足</w:t>
      </w:r>
      <w:r>
        <w:rPr>
          <w:rFonts w:hint="eastAsia" w:ascii="新宋体" w:hAnsi="新宋体" w:eastAsia="新宋体" w:cs="新宋体"/>
          <w:color w:val="auto"/>
          <w:sz w:val="22"/>
          <w:szCs w:val="22"/>
          <w:highlight w:val="none"/>
          <w:lang w:val="en-US" w:eastAsia="zh-CN"/>
        </w:rPr>
        <w:t>联合体</w:t>
      </w:r>
      <w:r>
        <w:rPr>
          <w:rFonts w:hint="eastAsia" w:ascii="新宋体" w:hAnsi="新宋体" w:eastAsia="新宋体" w:cs="新宋体"/>
          <w:color w:val="auto"/>
          <w:sz w:val="22"/>
          <w:szCs w:val="22"/>
          <w:highlight w:val="none"/>
        </w:rPr>
        <w:t>折扣条件的商务（报价）分=[评标基准价/(投标报价*</w:t>
      </w:r>
      <w:r>
        <w:rPr>
          <w:rFonts w:hint="eastAsia" w:ascii="新宋体" w:hAnsi="新宋体" w:eastAsia="新宋体" w:cs="新宋体"/>
          <w:color w:val="auto"/>
          <w:sz w:val="22"/>
          <w:szCs w:val="22"/>
          <w:highlight w:val="none"/>
          <w:lang w:val="en-US" w:eastAsia="zh-CN"/>
        </w:rPr>
        <w:t>96</w:t>
      </w: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lang w:val="en-US" w:eastAsia="zh-CN"/>
        </w:rPr>
        <w:t>0</w:t>
      </w:r>
      <w:r>
        <w:rPr>
          <w:rFonts w:hint="eastAsia" w:ascii="新宋体" w:hAnsi="新宋体" w:eastAsia="新宋体" w:cs="新宋体"/>
          <w:color w:val="auto"/>
          <w:sz w:val="22"/>
          <w:szCs w:val="22"/>
          <w:highlight w:val="none"/>
        </w:rPr>
        <w:t>。</w:t>
      </w:r>
    </w:p>
    <w:p w14:paraId="68CBD5FE">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3、有效投标人的综合得分为技术分和商务（报价）分的总和。</w:t>
      </w:r>
    </w:p>
    <w:p w14:paraId="369E6F8A">
      <w:pPr>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lang w:val="en-US" w:eastAsia="zh-CN"/>
        </w:rPr>
        <w:t>4</w:t>
      </w:r>
      <w:r>
        <w:rPr>
          <w:rFonts w:hint="eastAsia" w:ascii="新宋体" w:hAnsi="新宋体" w:eastAsia="新宋体" w:cs="新宋体"/>
          <w:b/>
          <w:bCs/>
          <w:color w:val="auto"/>
          <w:sz w:val="22"/>
          <w:szCs w:val="22"/>
          <w:highlight w:val="none"/>
          <w:u w:val="singl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6FD0891">
      <w:pPr>
        <w:spacing w:line="460" w:lineRule="exact"/>
        <w:ind w:firstLine="442" w:firstLineChars="200"/>
        <w:outlineLvl w:val="1"/>
        <w:rPr>
          <w:rFonts w:hint="eastAsia" w:ascii="新宋体" w:hAnsi="新宋体" w:eastAsia="新宋体" w:cs="新宋体"/>
          <w:b/>
          <w:bCs/>
          <w:color w:val="auto"/>
          <w:sz w:val="22"/>
          <w:szCs w:val="22"/>
          <w:highlight w:val="none"/>
        </w:rPr>
      </w:pPr>
      <w:bookmarkStart w:id="73" w:name="_Toc4727"/>
      <w:bookmarkStart w:id="74" w:name="_Toc2482"/>
      <w:r>
        <w:rPr>
          <w:rFonts w:hint="eastAsia" w:ascii="新宋体" w:hAnsi="新宋体" w:eastAsia="新宋体" w:cs="新宋体"/>
          <w:b/>
          <w:bCs/>
          <w:color w:val="auto"/>
          <w:sz w:val="22"/>
          <w:szCs w:val="22"/>
          <w:highlight w:val="none"/>
        </w:rPr>
        <w:t>六、定标办法</w:t>
      </w:r>
      <w:bookmarkEnd w:id="73"/>
      <w:bookmarkEnd w:id="74"/>
    </w:p>
    <w:p w14:paraId="38057361">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确定中标候选人</w:t>
      </w:r>
    </w:p>
    <w:p w14:paraId="166C7333">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1.1由评标委员会确定中标候选人。</w:t>
      </w:r>
    </w:p>
    <w:p w14:paraId="76B1ABAD">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1.2评标委员会依据法律、法规及</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有关规定按评审后得分（即商务技术分与报价得分之和）由高到低顺序排序，得分前二名的投标人确定为该项目的第一和第二中标候选人（得分相同的，按投标报价由低到高顺序排列。得分且投标报价相同的并列。）向</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推荐。</w:t>
      </w:r>
    </w:p>
    <w:p w14:paraId="5258A76D">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2、确定中标人</w:t>
      </w:r>
    </w:p>
    <w:p w14:paraId="095D4014">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2.1</w:t>
      </w:r>
      <w:r>
        <w:rPr>
          <w:rFonts w:hint="eastAsia" w:ascii="新宋体" w:hAnsi="新宋体" w:eastAsia="新宋体" w:cs="新宋体"/>
          <w:b/>
          <w:bCs/>
          <w:color w:val="auto"/>
          <w:sz w:val="22"/>
          <w:szCs w:val="22"/>
          <w:highlight w:val="none"/>
          <w:lang w:eastAsia="zh-CN"/>
        </w:rPr>
        <w:t>采购人</w:t>
      </w:r>
      <w:r>
        <w:rPr>
          <w:rFonts w:hint="eastAsia" w:ascii="新宋体" w:hAnsi="新宋体" w:eastAsia="新宋体" w:cs="新宋体"/>
          <w:b/>
          <w:bCs/>
          <w:color w:val="auto"/>
          <w:sz w:val="22"/>
          <w:szCs w:val="22"/>
          <w:highlight w:val="none"/>
        </w:rPr>
        <w:t>按照评标报告中推荐的中标候选供应商顺序确定中标人；中标候选人并列的，由评标委员会全体成员记名投票按少数服从多数的原则确定排名。</w:t>
      </w:r>
    </w:p>
    <w:p w14:paraId="6419D178">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2.2如中标人放弃中标；或未能在规定时间内与</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签订合同的；或者经质疑，</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审查后，确因排名第一的候选人在本次采购活动中存在违法违规行为或其他原因使质疑成立的，</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可以视情况直接确定排名第二的候选人为中标人或重新组织招标。</w:t>
      </w:r>
    </w:p>
    <w:p w14:paraId="58F20A1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中标人确定后，</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将在指定媒体公告中标结果，</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向中标人发出中标通知书。</w:t>
      </w:r>
    </w:p>
    <w:p w14:paraId="192620C8">
      <w:pPr>
        <w:spacing w:line="460" w:lineRule="exact"/>
        <w:ind w:firstLine="442" w:firstLineChars="200"/>
        <w:outlineLvl w:val="1"/>
        <w:rPr>
          <w:rFonts w:hint="eastAsia" w:ascii="新宋体" w:hAnsi="新宋体" w:eastAsia="新宋体" w:cs="新宋体"/>
          <w:b/>
          <w:color w:val="auto"/>
          <w:sz w:val="22"/>
          <w:szCs w:val="22"/>
          <w:highlight w:val="none"/>
        </w:rPr>
      </w:pPr>
      <w:bookmarkStart w:id="75" w:name="_Toc3629"/>
      <w:bookmarkStart w:id="76" w:name="_Toc17587"/>
      <w:r>
        <w:rPr>
          <w:rFonts w:hint="eastAsia" w:ascii="新宋体" w:hAnsi="新宋体" w:eastAsia="新宋体" w:cs="新宋体"/>
          <w:b/>
          <w:color w:val="auto"/>
          <w:sz w:val="22"/>
          <w:szCs w:val="22"/>
          <w:highlight w:val="none"/>
        </w:rPr>
        <w:t>七、投标人义务</w:t>
      </w:r>
      <w:bookmarkEnd w:id="75"/>
      <w:bookmarkEnd w:id="76"/>
    </w:p>
    <w:p w14:paraId="240075F7">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投标人应随时接受评标委员会的询标，解答包括有关的商务、技术问题等。评标结束，所有评标资料存招标机构备查。</w:t>
      </w:r>
    </w:p>
    <w:p w14:paraId="530CDB55">
      <w:pPr>
        <w:spacing w:line="460" w:lineRule="exact"/>
        <w:ind w:firstLine="442"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b/>
          <w:bCs/>
          <w:color w:val="auto"/>
          <w:sz w:val="22"/>
          <w:szCs w:val="22"/>
          <w:highlight w:val="none"/>
          <w:lang w:val="en-US" w:eastAsia="zh-CN"/>
        </w:rPr>
        <w:t>2、中标供应商须提供纸质投标响应文件并加盖单位公章一份，送至代理公司。</w:t>
      </w:r>
    </w:p>
    <w:sectPr>
      <w:headerReference r:id="rId6" w:type="default"/>
      <w:footerReference r:id="rId7" w:type="default"/>
      <w:pgSz w:w="11906" w:h="16838"/>
      <w:pgMar w:top="1134" w:right="1134" w:bottom="1134" w:left="1134" w:header="850" w:footer="992" w:gutter="0"/>
      <w:cols w:space="72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auto"/>
    <w:pitch w:val="default"/>
    <w:sig w:usb0="0000020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auto"/>
    <w:pitch w:val="default"/>
    <w:sig w:usb0="00000000" w:usb1="00000000" w:usb2="0000003F" w:usb3="00000000" w:csb0="603F01FF" w:csb1="FFFF0000"/>
  </w:font>
  <w:font w:name="Century Gothic">
    <w:panose1 w:val="020B0502020202020204"/>
    <w:charset w:val="00"/>
    <w:family w:val="swiss"/>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0" w:usb3="00000000" w:csb0="00000001"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390F4">
    <w:pPr>
      <w:pStyle w:val="35"/>
      <w:framePr w:wrap="around" w:vAnchor="text" w:hAnchor="margin" w:xAlign="center" w:y="1"/>
      <w:rPr>
        <w:rStyle w:val="57"/>
      </w:rPr>
    </w:pPr>
    <w:r>
      <w:fldChar w:fldCharType="begin"/>
    </w:r>
    <w:r>
      <w:rPr>
        <w:rStyle w:val="57"/>
      </w:rPr>
      <w:instrText xml:space="preserve">PAGE  </w:instrText>
    </w:r>
    <w:r>
      <w:fldChar w:fldCharType="separate"/>
    </w:r>
    <w:r>
      <w:rPr>
        <w:rStyle w:val="57"/>
      </w:rPr>
      <w:t>56</w:t>
    </w:r>
    <w:r>
      <w:fldChar w:fldCharType="end"/>
    </w:r>
  </w:p>
  <w:p w14:paraId="45767A6D">
    <w:pPr>
      <w:pStyle w:val="35"/>
      <w:ind w:right="360" w:firstLine="4500" w:firstLineChars="25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958D9">
    <w:pPr>
      <w:pStyle w:val="35"/>
      <w:framePr w:wrap="around" w:vAnchor="text" w:hAnchor="margin" w:xAlign="center" w:y="1"/>
      <w:rPr>
        <w:rStyle w:val="57"/>
      </w:rPr>
    </w:pPr>
    <w:r>
      <w:fldChar w:fldCharType="begin"/>
    </w:r>
    <w:r>
      <w:rPr>
        <w:rStyle w:val="57"/>
      </w:rPr>
      <w:instrText xml:space="preserve">PAGE  </w:instrText>
    </w:r>
    <w:r>
      <w:fldChar w:fldCharType="separate"/>
    </w:r>
    <w:r>
      <w:rPr>
        <w:rStyle w:val="57"/>
      </w:rPr>
      <w:t>76</w:t>
    </w:r>
    <w:r>
      <w:fldChar w:fldCharType="end"/>
    </w:r>
  </w:p>
  <w:p w14:paraId="64590E7C">
    <w:pPr>
      <w:pStyle w:val="35"/>
      <w:ind w:right="360" w:firstLine="4500" w:firstLineChars="25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00265">
    <w:pPr>
      <w:pStyle w:val="36"/>
      <w:pBdr>
        <w:bottom w:val="single" w:color="auto" w:sz="6" w:space="0"/>
      </w:pBdr>
      <w:jc w:val="both"/>
      <w:rPr>
        <w:rFonts w:hint="eastAsia" w:eastAsia="宋体"/>
        <w:lang w:eastAsia="zh-CN"/>
      </w:rPr>
    </w:pPr>
    <w:r>
      <w:rPr>
        <w:rFonts w:hint="eastAsia" w:ascii="新宋体" w:hAnsi="新宋体" w:eastAsia="新宋体" w:cs="新宋体"/>
      </w:rPr>
      <w:t>温州市政府（分散）采购</w:t>
    </w:r>
    <w:r>
      <w:rPr>
        <w:rFonts w:hint="eastAsia" w:ascii="新宋体" w:hAnsi="新宋体" w:eastAsia="新宋体" w:cs="新宋体"/>
        <w:lang w:eastAsia="zh-CN"/>
      </w:rPr>
      <w:t>采购文件</w:t>
    </w:r>
    <w:r>
      <w:rPr>
        <w:rFonts w:hint="eastAsia" w:ascii="新宋体" w:hAnsi="新宋体" w:eastAsia="新宋体" w:cs="新宋体"/>
      </w:rPr>
      <w:t xml:space="preserve">                                     项目编号：</w:t>
    </w:r>
    <w:r>
      <w:rPr>
        <w:rFonts w:hint="eastAsia" w:ascii="新宋体" w:hAnsi="新宋体" w:eastAsia="新宋体" w:cs="新宋体"/>
        <w:lang w:eastAsia="zh-CN"/>
      </w:rPr>
      <w:t>WZLCZB（L）-2025-01011-1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E3754">
    <w:pPr>
      <w:pStyle w:val="3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86EE5">
    <w:pPr>
      <w:pStyle w:val="36"/>
      <w:pBdr>
        <w:bottom w:val="single" w:color="auto" w:sz="6" w:space="0"/>
      </w:pBdr>
      <w:jc w:val="both"/>
      <w:rPr>
        <w:rFonts w:hint="eastAsia" w:eastAsia="宋体"/>
        <w:lang w:eastAsia="zh-CN"/>
      </w:rPr>
    </w:pPr>
    <w:r>
      <w:rPr>
        <w:rFonts w:hint="eastAsia" w:ascii="新宋体" w:hAnsi="新宋体" w:eastAsia="新宋体" w:cs="新宋体"/>
      </w:rPr>
      <w:t>温州市政府（分散）采购</w:t>
    </w:r>
    <w:r>
      <w:rPr>
        <w:rFonts w:hint="eastAsia" w:ascii="新宋体" w:hAnsi="新宋体" w:eastAsia="新宋体" w:cs="新宋体"/>
        <w:lang w:eastAsia="zh-CN"/>
      </w:rPr>
      <w:t>采购文件</w:t>
    </w:r>
    <w:r>
      <w:rPr>
        <w:rFonts w:hint="eastAsia" w:ascii="新宋体" w:hAnsi="新宋体" w:eastAsia="新宋体" w:cs="新宋体"/>
      </w:rPr>
      <w:t xml:space="preserve">                                     项目编号：</w:t>
    </w:r>
    <w:r>
      <w:rPr>
        <w:rFonts w:hint="eastAsia" w:ascii="新宋体" w:hAnsi="新宋体" w:eastAsia="新宋体" w:cs="新宋体"/>
        <w:lang w:eastAsia="zh-CN"/>
      </w:rPr>
      <w:t>WZLCZB（L）-2025-01011-1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D44ECF"/>
    <w:multiLevelType w:val="multilevel"/>
    <w:tmpl w:val="1FD44ECF"/>
    <w:lvl w:ilvl="0" w:tentative="0">
      <w:start w:val="1"/>
      <w:numFmt w:val="decimal"/>
      <w:lvlText w:val="（%1）"/>
      <w:lvlJc w:val="left"/>
      <w:pPr>
        <w:tabs>
          <w:tab w:val="left" w:pos="720"/>
        </w:tabs>
        <w:ind w:left="3240" w:hanging="720"/>
      </w:pPr>
      <w:rPr>
        <w:rFonts w:hint="default"/>
      </w:rPr>
    </w:lvl>
    <w:lvl w:ilvl="1" w:tentative="0">
      <w:start w:val="1"/>
      <w:numFmt w:val="lowerLetter"/>
      <w:lvlText w:val="%2)"/>
      <w:lvlJc w:val="left"/>
      <w:pPr>
        <w:tabs>
          <w:tab w:val="left" w:pos="840"/>
        </w:tabs>
        <w:ind w:left="3150" w:hanging="420"/>
      </w:pPr>
    </w:lvl>
    <w:lvl w:ilvl="2" w:tentative="0">
      <w:start w:val="1"/>
      <w:numFmt w:val="lowerRoman"/>
      <w:lvlText w:val="%3."/>
      <w:lvlJc w:val="right"/>
      <w:pPr>
        <w:tabs>
          <w:tab w:val="left" w:pos="1260"/>
        </w:tabs>
        <w:ind w:left="3570" w:hanging="420"/>
      </w:pPr>
    </w:lvl>
    <w:lvl w:ilvl="3" w:tentative="0">
      <w:start w:val="1"/>
      <w:numFmt w:val="decimal"/>
      <w:lvlText w:val="%4."/>
      <w:lvlJc w:val="left"/>
      <w:pPr>
        <w:tabs>
          <w:tab w:val="left" w:pos="1680"/>
        </w:tabs>
        <w:ind w:left="3990" w:hanging="420"/>
      </w:pPr>
    </w:lvl>
    <w:lvl w:ilvl="4" w:tentative="0">
      <w:start w:val="1"/>
      <w:numFmt w:val="lowerLetter"/>
      <w:lvlText w:val="%5)"/>
      <w:lvlJc w:val="left"/>
      <w:pPr>
        <w:tabs>
          <w:tab w:val="left" w:pos="2100"/>
        </w:tabs>
        <w:ind w:left="4410" w:hanging="420"/>
      </w:pPr>
    </w:lvl>
    <w:lvl w:ilvl="5" w:tentative="0">
      <w:start w:val="1"/>
      <w:numFmt w:val="lowerRoman"/>
      <w:lvlText w:val="%6."/>
      <w:lvlJc w:val="right"/>
      <w:pPr>
        <w:tabs>
          <w:tab w:val="left" w:pos="2520"/>
        </w:tabs>
        <w:ind w:left="4830" w:hanging="420"/>
      </w:pPr>
    </w:lvl>
    <w:lvl w:ilvl="6" w:tentative="0">
      <w:start w:val="1"/>
      <w:numFmt w:val="decimal"/>
      <w:lvlText w:val="%7."/>
      <w:lvlJc w:val="left"/>
      <w:pPr>
        <w:tabs>
          <w:tab w:val="left" w:pos="2940"/>
        </w:tabs>
        <w:ind w:left="5250" w:hanging="420"/>
      </w:pPr>
    </w:lvl>
    <w:lvl w:ilvl="7" w:tentative="0">
      <w:start w:val="1"/>
      <w:numFmt w:val="lowerLetter"/>
      <w:lvlText w:val="%8)"/>
      <w:lvlJc w:val="left"/>
      <w:pPr>
        <w:tabs>
          <w:tab w:val="left" w:pos="3360"/>
        </w:tabs>
        <w:ind w:left="5670" w:hanging="420"/>
      </w:pPr>
    </w:lvl>
    <w:lvl w:ilvl="8" w:tentative="0">
      <w:start w:val="1"/>
      <w:numFmt w:val="lowerRoman"/>
      <w:lvlText w:val="%9."/>
      <w:lvlJc w:val="right"/>
      <w:pPr>
        <w:tabs>
          <w:tab w:val="left" w:pos="3780"/>
        </w:tabs>
        <w:ind w:left="6090" w:hanging="420"/>
      </w:pPr>
    </w:lvl>
  </w:abstractNum>
  <w:abstractNum w:abstractNumId="1">
    <w:nsid w:val="52D7A3B6"/>
    <w:multiLevelType w:val="singleLevel"/>
    <w:tmpl w:val="52D7A3B6"/>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dit="forms" w:enforcement="0"/>
  <w:defaultTabStop w:val="420"/>
  <w:drawingGridHorizontalSpacing w:val="210"/>
  <w:drawingGridVerticalSpacing w:val="16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4MzU0MDllNmNlYWMzYWYyYzBlNzY2ZDE0Y2I1ODIifQ=="/>
  </w:docVars>
  <w:rsids>
    <w:rsidRoot w:val="00172A27"/>
    <w:rsid w:val="000149E3"/>
    <w:rsid w:val="00020693"/>
    <w:rsid w:val="000217C7"/>
    <w:rsid w:val="00026A46"/>
    <w:rsid w:val="00027D0D"/>
    <w:rsid w:val="00031F49"/>
    <w:rsid w:val="00037B6F"/>
    <w:rsid w:val="000474B4"/>
    <w:rsid w:val="00063600"/>
    <w:rsid w:val="000A6326"/>
    <w:rsid w:val="000B2878"/>
    <w:rsid w:val="0010260A"/>
    <w:rsid w:val="00121549"/>
    <w:rsid w:val="0013451B"/>
    <w:rsid w:val="00146E35"/>
    <w:rsid w:val="00172A27"/>
    <w:rsid w:val="00176791"/>
    <w:rsid w:val="0018007B"/>
    <w:rsid w:val="0019644F"/>
    <w:rsid w:val="001B0F17"/>
    <w:rsid w:val="001B2275"/>
    <w:rsid w:val="001D4048"/>
    <w:rsid w:val="001D49A1"/>
    <w:rsid w:val="001E7897"/>
    <w:rsid w:val="001F5D2B"/>
    <w:rsid w:val="002018F6"/>
    <w:rsid w:val="002044B9"/>
    <w:rsid w:val="00212172"/>
    <w:rsid w:val="00223CC1"/>
    <w:rsid w:val="00227214"/>
    <w:rsid w:val="00230913"/>
    <w:rsid w:val="00243D5B"/>
    <w:rsid w:val="002447E7"/>
    <w:rsid w:val="00261F3C"/>
    <w:rsid w:val="00270294"/>
    <w:rsid w:val="00271C2D"/>
    <w:rsid w:val="002843F3"/>
    <w:rsid w:val="00296547"/>
    <w:rsid w:val="002A31D6"/>
    <w:rsid w:val="002B5782"/>
    <w:rsid w:val="002C08AE"/>
    <w:rsid w:val="002C09AD"/>
    <w:rsid w:val="002D20EE"/>
    <w:rsid w:val="002D2D3D"/>
    <w:rsid w:val="002E7DAB"/>
    <w:rsid w:val="00303CC3"/>
    <w:rsid w:val="003058EA"/>
    <w:rsid w:val="00327AB8"/>
    <w:rsid w:val="00350DF6"/>
    <w:rsid w:val="00351F86"/>
    <w:rsid w:val="00352124"/>
    <w:rsid w:val="0035435E"/>
    <w:rsid w:val="00357388"/>
    <w:rsid w:val="00357A7B"/>
    <w:rsid w:val="003654EF"/>
    <w:rsid w:val="00372FCF"/>
    <w:rsid w:val="00373BB2"/>
    <w:rsid w:val="00380B23"/>
    <w:rsid w:val="00383F1F"/>
    <w:rsid w:val="003B0A15"/>
    <w:rsid w:val="003B1471"/>
    <w:rsid w:val="003B5050"/>
    <w:rsid w:val="003C713C"/>
    <w:rsid w:val="003F3276"/>
    <w:rsid w:val="00405F28"/>
    <w:rsid w:val="0041137E"/>
    <w:rsid w:val="00430AB9"/>
    <w:rsid w:val="00441256"/>
    <w:rsid w:val="0045663E"/>
    <w:rsid w:val="00461389"/>
    <w:rsid w:val="0046542D"/>
    <w:rsid w:val="00481BD3"/>
    <w:rsid w:val="004B66F1"/>
    <w:rsid w:val="004C013A"/>
    <w:rsid w:val="004C7034"/>
    <w:rsid w:val="005001D6"/>
    <w:rsid w:val="00522EF2"/>
    <w:rsid w:val="005238A3"/>
    <w:rsid w:val="00526065"/>
    <w:rsid w:val="00532669"/>
    <w:rsid w:val="00533C40"/>
    <w:rsid w:val="00555FA3"/>
    <w:rsid w:val="00561E5D"/>
    <w:rsid w:val="0056534C"/>
    <w:rsid w:val="00565E01"/>
    <w:rsid w:val="005674BB"/>
    <w:rsid w:val="00572B8A"/>
    <w:rsid w:val="00582AEF"/>
    <w:rsid w:val="00586839"/>
    <w:rsid w:val="00587A14"/>
    <w:rsid w:val="005A1DD3"/>
    <w:rsid w:val="005A3AA2"/>
    <w:rsid w:val="005A65DF"/>
    <w:rsid w:val="005B3595"/>
    <w:rsid w:val="005C388F"/>
    <w:rsid w:val="00607A59"/>
    <w:rsid w:val="00631E7A"/>
    <w:rsid w:val="0064398C"/>
    <w:rsid w:val="00644CD7"/>
    <w:rsid w:val="00647AB1"/>
    <w:rsid w:val="00654A9F"/>
    <w:rsid w:val="00665E12"/>
    <w:rsid w:val="00692D32"/>
    <w:rsid w:val="00696C82"/>
    <w:rsid w:val="006A1CF7"/>
    <w:rsid w:val="006B3E1C"/>
    <w:rsid w:val="006C06F0"/>
    <w:rsid w:val="006D6C7C"/>
    <w:rsid w:val="006E2672"/>
    <w:rsid w:val="007068AC"/>
    <w:rsid w:val="00722BB3"/>
    <w:rsid w:val="00725254"/>
    <w:rsid w:val="00740E65"/>
    <w:rsid w:val="00753072"/>
    <w:rsid w:val="007546B0"/>
    <w:rsid w:val="007671B7"/>
    <w:rsid w:val="00774E3F"/>
    <w:rsid w:val="00776F48"/>
    <w:rsid w:val="00780CBF"/>
    <w:rsid w:val="00781B95"/>
    <w:rsid w:val="007A21E8"/>
    <w:rsid w:val="007A62BD"/>
    <w:rsid w:val="007B564B"/>
    <w:rsid w:val="007B769B"/>
    <w:rsid w:val="007E29D6"/>
    <w:rsid w:val="007E6E86"/>
    <w:rsid w:val="007F2164"/>
    <w:rsid w:val="00800A72"/>
    <w:rsid w:val="00804ACD"/>
    <w:rsid w:val="0080543D"/>
    <w:rsid w:val="00817CE2"/>
    <w:rsid w:val="00831C7B"/>
    <w:rsid w:val="00832D9C"/>
    <w:rsid w:val="00836E00"/>
    <w:rsid w:val="00846CC5"/>
    <w:rsid w:val="00850622"/>
    <w:rsid w:val="00870DFA"/>
    <w:rsid w:val="00871EBE"/>
    <w:rsid w:val="00873949"/>
    <w:rsid w:val="00875629"/>
    <w:rsid w:val="00877499"/>
    <w:rsid w:val="00892732"/>
    <w:rsid w:val="00893202"/>
    <w:rsid w:val="0089599B"/>
    <w:rsid w:val="008A127E"/>
    <w:rsid w:val="008B2FA9"/>
    <w:rsid w:val="008C2D7B"/>
    <w:rsid w:val="008C31BC"/>
    <w:rsid w:val="008D62C9"/>
    <w:rsid w:val="008D75C3"/>
    <w:rsid w:val="008E0B76"/>
    <w:rsid w:val="008E26D5"/>
    <w:rsid w:val="008F4E37"/>
    <w:rsid w:val="008F7BE3"/>
    <w:rsid w:val="008F7D27"/>
    <w:rsid w:val="009016FC"/>
    <w:rsid w:val="00902AA2"/>
    <w:rsid w:val="009229E2"/>
    <w:rsid w:val="009254A6"/>
    <w:rsid w:val="0093089E"/>
    <w:rsid w:val="00933974"/>
    <w:rsid w:val="00936127"/>
    <w:rsid w:val="00945DCB"/>
    <w:rsid w:val="009652E5"/>
    <w:rsid w:val="00973F7A"/>
    <w:rsid w:val="0097671D"/>
    <w:rsid w:val="00977673"/>
    <w:rsid w:val="00987F54"/>
    <w:rsid w:val="00991B38"/>
    <w:rsid w:val="00996305"/>
    <w:rsid w:val="009C748F"/>
    <w:rsid w:val="009E4D45"/>
    <w:rsid w:val="00A24A5C"/>
    <w:rsid w:val="00A42424"/>
    <w:rsid w:val="00A45873"/>
    <w:rsid w:val="00A56219"/>
    <w:rsid w:val="00A61866"/>
    <w:rsid w:val="00A77176"/>
    <w:rsid w:val="00A92B83"/>
    <w:rsid w:val="00A957CF"/>
    <w:rsid w:val="00AA3DA6"/>
    <w:rsid w:val="00AA7C87"/>
    <w:rsid w:val="00AD31D4"/>
    <w:rsid w:val="00AD66E6"/>
    <w:rsid w:val="00AE4B39"/>
    <w:rsid w:val="00AF7BEB"/>
    <w:rsid w:val="00B06E43"/>
    <w:rsid w:val="00B2584A"/>
    <w:rsid w:val="00B41362"/>
    <w:rsid w:val="00B43A9E"/>
    <w:rsid w:val="00B44537"/>
    <w:rsid w:val="00B5466C"/>
    <w:rsid w:val="00B74039"/>
    <w:rsid w:val="00B87E26"/>
    <w:rsid w:val="00B9767A"/>
    <w:rsid w:val="00BA78D1"/>
    <w:rsid w:val="00BB0805"/>
    <w:rsid w:val="00BC0A13"/>
    <w:rsid w:val="00BC2B54"/>
    <w:rsid w:val="00BC4AC5"/>
    <w:rsid w:val="00BC66D1"/>
    <w:rsid w:val="00BF1399"/>
    <w:rsid w:val="00BF32BD"/>
    <w:rsid w:val="00C12358"/>
    <w:rsid w:val="00C232C8"/>
    <w:rsid w:val="00C468B7"/>
    <w:rsid w:val="00C67C97"/>
    <w:rsid w:val="00C70CE6"/>
    <w:rsid w:val="00C758F7"/>
    <w:rsid w:val="00C816DD"/>
    <w:rsid w:val="00C95163"/>
    <w:rsid w:val="00CB584C"/>
    <w:rsid w:val="00CC06DE"/>
    <w:rsid w:val="00CC3B91"/>
    <w:rsid w:val="00CE590D"/>
    <w:rsid w:val="00CF5C76"/>
    <w:rsid w:val="00D00FFE"/>
    <w:rsid w:val="00D13A1C"/>
    <w:rsid w:val="00D224FF"/>
    <w:rsid w:val="00D27DB2"/>
    <w:rsid w:val="00D3078D"/>
    <w:rsid w:val="00D30E82"/>
    <w:rsid w:val="00D47AC2"/>
    <w:rsid w:val="00D56369"/>
    <w:rsid w:val="00D70EBE"/>
    <w:rsid w:val="00D73718"/>
    <w:rsid w:val="00D7763D"/>
    <w:rsid w:val="00D844F8"/>
    <w:rsid w:val="00DB09B7"/>
    <w:rsid w:val="00DB2DE0"/>
    <w:rsid w:val="00DB41D0"/>
    <w:rsid w:val="00DF073C"/>
    <w:rsid w:val="00DF0B3F"/>
    <w:rsid w:val="00E02244"/>
    <w:rsid w:val="00E05AD1"/>
    <w:rsid w:val="00E11D98"/>
    <w:rsid w:val="00E15CD1"/>
    <w:rsid w:val="00E22045"/>
    <w:rsid w:val="00E248CD"/>
    <w:rsid w:val="00E36483"/>
    <w:rsid w:val="00E53874"/>
    <w:rsid w:val="00E5643F"/>
    <w:rsid w:val="00E56BD4"/>
    <w:rsid w:val="00E57D1E"/>
    <w:rsid w:val="00E72ABC"/>
    <w:rsid w:val="00E74DBC"/>
    <w:rsid w:val="00E76E5A"/>
    <w:rsid w:val="00E86C3A"/>
    <w:rsid w:val="00EC182D"/>
    <w:rsid w:val="00EC6C26"/>
    <w:rsid w:val="00EC7DF8"/>
    <w:rsid w:val="00ED2873"/>
    <w:rsid w:val="00ED3B24"/>
    <w:rsid w:val="00ED7497"/>
    <w:rsid w:val="00EE45C7"/>
    <w:rsid w:val="00EF4A4C"/>
    <w:rsid w:val="00F03D32"/>
    <w:rsid w:val="00F06ABE"/>
    <w:rsid w:val="00F270F8"/>
    <w:rsid w:val="00F27576"/>
    <w:rsid w:val="00F36312"/>
    <w:rsid w:val="00F5082C"/>
    <w:rsid w:val="00F52CCB"/>
    <w:rsid w:val="00F52CD3"/>
    <w:rsid w:val="00F52E99"/>
    <w:rsid w:val="00F60DCB"/>
    <w:rsid w:val="00F80AAA"/>
    <w:rsid w:val="00F93BBA"/>
    <w:rsid w:val="00F95280"/>
    <w:rsid w:val="00FA662A"/>
    <w:rsid w:val="00FB0E0C"/>
    <w:rsid w:val="00FB1229"/>
    <w:rsid w:val="00FB62B3"/>
    <w:rsid w:val="00FC44CE"/>
    <w:rsid w:val="00FD52B1"/>
    <w:rsid w:val="00FF3A66"/>
    <w:rsid w:val="00FF6977"/>
    <w:rsid w:val="0116709E"/>
    <w:rsid w:val="01606883"/>
    <w:rsid w:val="017E2EFE"/>
    <w:rsid w:val="019C0F58"/>
    <w:rsid w:val="020D29B1"/>
    <w:rsid w:val="021F634E"/>
    <w:rsid w:val="021F7DAD"/>
    <w:rsid w:val="0224444B"/>
    <w:rsid w:val="022D7429"/>
    <w:rsid w:val="02451328"/>
    <w:rsid w:val="027D25C0"/>
    <w:rsid w:val="02841565"/>
    <w:rsid w:val="02B3222E"/>
    <w:rsid w:val="02CB2CD8"/>
    <w:rsid w:val="02F63BA4"/>
    <w:rsid w:val="031D0871"/>
    <w:rsid w:val="03283281"/>
    <w:rsid w:val="03331487"/>
    <w:rsid w:val="034456E0"/>
    <w:rsid w:val="034A64CB"/>
    <w:rsid w:val="037D10FB"/>
    <w:rsid w:val="039714E5"/>
    <w:rsid w:val="03BE392F"/>
    <w:rsid w:val="03E13A1E"/>
    <w:rsid w:val="04156ACE"/>
    <w:rsid w:val="042A5AFC"/>
    <w:rsid w:val="043D6DF1"/>
    <w:rsid w:val="043F2279"/>
    <w:rsid w:val="044865A2"/>
    <w:rsid w:val="048D46D7"/>
    <w:rsid w:val="04A01243"/>
    <w:rsid w:val="04BA38D0"/>
    <w:rsid w:val="04C27070"/>
    <w:rsid w:val="04E23C80"/>
    <w:rsid w:val="04FD6D0A"/>
    <w:rsid w:val="050751FC"/>
    <w:rsid w:val="05166806"/>
    <w:rsid w:val="0529508C"/>
    <w:rsid w:val="053A30CA"/>
    <w:rsid w:val="057D25F0"/>
    <w:rsid w:val="05936339"/>
    <w:rsid w:val="05A864BD"/>
    <w:rsid w:val="05D76F02"/>
    <w:rsid w:val="062F7E7F"/>
    <w:rsid w:val="0650016B"/>
    <w:rsid w:val="06535B8C"/>
    <w:rsid w:val="06695ADA"/>
    <w:rsid w:val="067F52AB"/>
    <w:rsid w:val="06843699"/>
    <w:rsid w:val="06931F1F"/>
    <w:rsid w:val="06E17425"/>
    <w:rsid w:val="06E81491"/>
    <w:rsid w:val="07081502"/>
    <w:rsid w:val="072046E3"/>
    <w:rsid w:val="07373C8C"/>
    <w:rsid w:val="074234A9"/>
    <w:rsid w:val="0747552D"/>
    <w:rsid w:val="07592C30"/>
    <w:rsid w:val="07791E20"/>
    <w:rsid w:val="078177D5"/>
    <w:rsid w:val="07924879"/>
    <w:rsid w:val="079C0E64"/>
    <w:rsid w:val="07D60F62"/>
    <w:rsid w:val="07F01CB1"/>
    <w:rsid w:val="082A6B76"/>
    <w:rsid w:val="08621901"/>
    <w:rsid w:val="0873007F"/>
    <w:rsid w:val="08911C02"/>
    <w:rsid w:val="08913549"/>
    <w:rsid w:val="08A026E0"/>
    <w:rsid w:val="08B53A61"/>
    <w:rsid w:val="08E76FD5"/>
    <w:rsid w:val="08FD20E7"/>
    <w:rsid w:val="09101BCD"/>
    <w:rsid w:val="09257549"/>
    <w:rsid w:val="09315C91"/>
    <w:rsid w:val="09324E46"/>
    <w:rsid w:val="09453417"/>
    <w:rsid w:val="09510BFE"/>
    <w:rsid w:val="097E368B"/>
    <w:rsid w:val="09816EE6"/>
    <w:rsid w:val="099757EE"/>
    <w:rsid w:val="09A34824"/>
    <w:rsid w:val="09B85302"/>
    <w:rsid w:val="09B94936"/>
    <w:rsid w:val="09BE20F9"/>
    <w:rsid w:val="09CA7E31"/>
    <w:rsid w:val="09D26DBF"/>
    <w:rsid w:val="09DB53D8"/>
    <w:rsid w:val="09F65854"/>
    <w:rsid w:val="0A07422F"/>
    <w:rsid w:val="0A1B49C1"/>
    <w:rsid w:val="0A214154"/>
    <w:rsid w:val="0A3D0590"/>
    <w:rsid w:val="0A7416D8"/>
    <w:rsid w:val="0A7A04B3"/>
    <w:rsid w:val="0A8455AD"/>
    <w:rsid w:val="0A8945EB"/>
    <w:rsid w:val="0A99092D"/>
    <w:rsid w:val="0A9936A1"/>
    <w:rsid w:val="0AED28DB"/>
    <w:rsid w:val="0AF972EB"/>
    <w:rsid w:val="0BAC1F4C"/>
    <w:rsid w:val="0BAD28E2"/>
    <w:rsid w:val="0BBE4F63"/>
    <w:rsid w:val="0BD1763E"/>
    <w:rsid w:val="0BDA530A"/>
    <w:rsid w:val="0C0247C0"/>
    <w:rsid w:val="0C0506D0"/>
    <w:rsid w:val="0C186C57"/>
    <w:rsid w:val="0C353302"/>
    <w:rsid w:val="0C496297"/>
    <w:rsid w:val="0C660E5E"/>
    <w:rsid w:val="0C9A109E"/>
    <w:rsid w:val="0CA74D09"/>
    <w:rsid w:val="0CA943CD"/>
    <w:rsid w:val="0CA9483B"/>
    <w:rsid w:val="0CC47DEB"/>
    <w:rsid w:val="0CC51217"/>
    <w:rsid w:val="0CF12CA2"/>
    <w:rsid w:val="0D0A01F7"/>
    <w:rsid w:val="0D1F1C9D"/>
    <w:rsid w:val="0D735BCC"/>
    <w:rsid w:val="0D7C2119"/>
    <w:rsid w:val="0D920730"/>
    <w:rsid w:val="0DB622A5"/>
    <w:rsid w:val="0DE33D9A"/>
    <w:rsid w:val="0E022677"/>
    <w:rsid w:val="0E064CB1"/>
    <w:rsid w:val="0E255A66"/>
    <w:rsid w:val="0E39220B"/>
    <w:rsid w:val="0E4706D1"/>
    <w:rsid w:val="0E4B6575"/>
    <w:rsid w:val="0E5C2643"/>
    <w:rsid w:val="0E6537C4"/>
    <w:rsid w:val="0E701E1B"/>
    <w:rsid w:val="0E750CB0"/>
    <w:rsid w:val="0E8E6882"/>
    <w:rsid w:val="0ED9462C"/>
    <w:rsid w:val="0EE50D43"/>
    <w:rsid w:val="0EF26D17"/>
    <w:rsid w:val="0F0377AE"/>
    <w:rsid w:val="0F0E6EE3"/>
    <w:rsid w:val="0F706416"/>
    <w:rsid w:val="0F9D0EBF"/>
    <w:rsid w:val="0FB17D85"/>
    <w:rsid w:val="0FCD5779"/>
    <w:rsid w:val="0FD03A0D"/>
    <w:rsid w:val="10381F40"/>
    <w:rsid w:val="104869BA"/>
    <w:rsid w:val="10575CC4"/>
    <w:rsid w:val="105C5B5E"/>
    <w:rsid w:val="106164CC"/>
    <w:rsid w:val="10867034"/>
    <w:rsid w:val="10A25D7C"/>
    <w:rsid w:val="10A834AA"/>
    <w:rsid w:val="10B5773E"/>
    <w:rsid w:val="10F47168"/>
    <w:rsid w:val="1102285D"/>
    <w:rsid w:val="110264F1"/>
    <w:rsid w:val="1104198D"/>
    <w:rsid w:val="1105049E"/>
    <w:rsid w:val="112717A7"/>
    <w:rsid w:val="112E2296"/>
    <w:rsid w:val="11397FB3"/>
    <w:rsid w:val="115434FF"/>
    <w:rsid w:val="115D3896"/>
    <w:rsid w:val="11697CFE"/>
    <w:rsid w:val="11B62E53"/>
    <w:rsid w:val="11F9036B"/>
    <w:rsid w:val="12103D4D"/>
    <w:rsid w:val="12245EF7"/>
    <w:rsid w:val="12345EA5"/>
    <w:rsid w:val="124027F2"/>
    <w:rsid w:val="125A673E"/>
    <w:rsid w:val="12775E6D"/>
    <w:rsid w:val="12A01322"/>
    <w:rsid w:val="12AB0828"/>
    <w:rsid w:val="12B25142"/>
    <w:rsid w:val="12E05DF5"/>
    <w:rsid w:val="133616DD"/>
    <w:rsid w:val="13582BF6"/>
    <w:rsid w:val="13583E3E"/>
    <w:rsid w:val="138356B4"/>
    <w:rsid w:val="13884680"/>
    <w:rsid w:val="13996DA4"/>
    <w:rsid w:val="13A56966"/>
    <w:rsid w:val="13A73C91"/>
    <w:rsid w:val="13B56A40"/>
    <w:rsid w:val="13D309B3"/>
    <w:rsid w:val="13E2070F"/>
    <w:rsid w:val="13EC3F05"/>
    <w:rsid w:val="13F8202D"/>
    <w:rsid w:val="14077D57"/>
    <w:rsid w:val="14342819"/>
    <w:rsid w:val="14904D9F"/>
    <w:rsid w:val="14965811"/>
    <w:rsid w:val="14A42137"/>
    <w:rsid w:val="14C904F8"/>
    <w:rsid w:val="14CE21E9"/>
    <w:rsid w:val="14D92610"/>
    <w:rsid w:val="15001500"/>
    <w:rsid w:val="154A25D7"/>
    <w:rsid w:val="15522008"/>
    <w:rsid w:val="15525604"/>
    <w:rsid w:val="156E5828"/>
    <w:rsid w:val="15B36E57"/>
    <w:rsid w:val="15B43A33"/>
    <w:rsid w:val="15C02CFA"/>
    <w:rsid w:val="15D02588"/>
    <w:rsid w:val="16077F5E"/>
    <w:rsid w:val="163004AD"/>
    <w:rsid w:val="164356BB"/>
    <w:rsid w:val="164B0982"/>
    <w:rsid w:val="16696D72"/>
    <w:rsid w:val="166F777C"/>
    <w:rsid w:val="169C21B8"/>
    <w:rsid w:val="169C6B59"/>
    <w:rsid w:val="16BB60A4"/>
    <w:rsid w:val="16C304D4"/>
    <w:rsid w:val="16D604C4"/>
    <w:rsid w:val="173A5387"/>
    <w:rsid w:val="17484EA6"/>
    <w:rsid w:val="174F00A2"/>
    <w:rsid w:val="17725C57"/>
    <w:rsid w:val="17755246"/>
    <w:rsid w:val="17800AEC"/>
    <w:rsid w:val="17A553DC"/>
    <w:rsid w:val="18071853"/>
    <w:rsid w:val="18121892"/>
    <w:rsid w:val="18245E40"/>
    <w:rsid w:val="182A3E5C"/>
    <w:rsid w:val="185A16FC"/>
    <w:rsid w:val="186B461D"/>
    <w:rsid w:val="18793A14"/>
    <w:rsid w:val="188B4950"/>
    <w:rsid w:val="18C7387D"/>
    <w:rsid w:val="18C76564"/>
    <w:rsid w:val="18DC4207"/>
    <w:rsid w:val="18EE62E8"/>
    <w:rsid w:val="18F04591"/>
    <w:rsid w:val="19087A11"/>
    <w:rsid w:val="191B7534"/>
    <w:rsid w:val="19267572"/>
    <w:rsid w:val="193463F1"/>
    <w:rsid w:val="19594DA9"/>
    <w:rsid w:val="196C6250"/>
    <w:rsid w:val="196E2C37"/>
    <w:rsid w:val="1974690A"/>
    <w:rsid w:val="19C072D3"/>
    <w:rsid w:val="19E632E0"/>
    <w:rsid w:val="1A25720B"/>
    <w:rsid w:val="1A510684"/>
    <w:rsid w:val="1A6171B2"/>
    <w:rsid w:val="1A66082C"/>
    <w:rsid w:val="1A7A3206"/>
    <w:rsid w:val="1AA65F2A"/>
    <w:rsid w:val="1AA666F2"/>
    <w:rsid w:val="1AC000B4"/>
    <w:rsid w:val="1ADC340E"/>
    <w:rsid w:val="1AED2C78"/>
    <w:rsid w:val="1AEF15D5"/>
    <w:rsid w:val="1B1F6B22"/>
    <w:rsid w:val="1B257957"/>
    <w:rsid w:val="1B343FD0"/>
    <w:rsid w:val="1B356551"/>
    <w:rsid w:val="1B377F92"/>
    <w:rsid w:val="1B3E4ABA"/>
    <w:rsid w:val="1B677902"/>
    <w:rsid w:val="1B9D2D2C"/>
    <w:rsid w:val="1BAB13EA"/>
    <w:rsid w:val="1BE02644"/>
    <w:rsid w:val="1BF27CE6"/>
    <w:rsid w:val="1BF57F17"/>
    <w:rsid w:val="1BFC6DBC"/>
    <w:rsid w:val="1C13053F"/>
    <w:rsid w:val="1C162BF5"/>
    <w:rsid w:val="1C212DFA"/>
    <w:rsid w:val="1C3065A1"/>
    <w:rsid w:val="1C32514E"/>
    <w:rsid w:val="1C753733"/>
    <w:rsid w:val="1C8449C2"/>
    <w:rsid w:val="1C8676F7"/>
    <w:rsid w:val="1C8B5EF5"/>
    <w:rsid w:val="1C9B7764"/>
    <w:rsid w:val="1C9C37E6"/>
    <w:rsid w:val="1CA3081A"/>
    <w:rsid w:val="1CB81673"/>
    <w:rsid w:val="1CEB7EC5"/>
    <w:rsid w:val="1D0A50BD"/>
    <w:rsid w:val="1D2A3DAB"/>
    <w:rsid w:val="1D46542E"/>
    <w:rsid w:val="1D6359BB"/>
    <w:rsid w:val="1D664936"/>
    <w:rsid w:val="1D71729C"/>
    <w:rsid w:val="1D7373B4"/>
    <w:rsid w:val="1D981331"/>
    <w:rsid w:val="1DAB3C89"/>
    <w:rsid w:val="1DBC130B"/>
    <w:rsid w:val="1DBE6139"/>
    <w:rsid w:val="1DC06E93"/>
    <w:rsid w:val="1DCC77C2"/>
    <w:rsid w:val="1DCF4890"/>
    <w:rsid w:val="1DF52813"/>
    <w:rsid w:val="1DFB57EB"/>
    <w:rsid w:val="1E0062C5"/>
    <w:rsid w:val="1E1A4A5E"/>
    <w:rsid w:val="1E4F15C4"/>
    <w:rsid w:val="1E506801"/>
    <w:rsid w:val="1E665E93"/>
    <w:rsid w:val="1E6D0B8E"/>
    <w:rsid w:val="1E7012E8"/>
    <w:rsid w:val="1E740910"/>
    <w:rsid w:val="1E8A1B7B"/>
    <w:rsid w:val="1EB5112D"/>
    <w:rsid w:val="1ED05FDD"/>
    <w:rsid w:val="1EDA4565"/>
    <w:rsid w:val="1F0115E6"/>
    <w:rsid w:val="1F0A1D41"/>
    <w:rsid w:val="1F43063A"/>
    <w:rsid w:val="1F5417D9"/>
    <w:rsid w:val="1F607217"/>
    <w:rsid w:val="1F8B73B9"/>
    <w:rsid w:val="1FB06AB2"/>
    <w:rsid w:val="1FBF3F6B"/>
    <w:rsid w:val="1FC0508F"/>
    <w:rsid w:val="1FD17519"/>
    <w:rsid w:val="1FDB3B9B"/>
    <w:rsid w:val="1FDE37FF"/>
    <w:rsid w:val="1FE77E87"/>
    <w:rsid w:val="1FE87CF6"/>
    <w:rsid w:val="20142293"/>
    <w:rsid w:val="202875D1"/>
    <w:rsid w:val="203B6405"/>
    <w:rsid w:val="204042C4"/>
    <w:rsid w:val="204434A6"/>
    <w:rsid w:val="20655C83"/>
    <w:rsid w:val="208E2CB0"/>
    <w:rsid w:val="20C7192F"/>
    <w:rsid w:val="20C94ACB"/>
    <w:rsid w:val="20DA4942"/>
    <w:rsid w:val="20F3606E"/>
    <w:rsid w:val="20FA2C9D"/>
    <w:rsid w:val="213009EF"/>
    <w:rsid w:val="213D75BE"/>
    <w:rsid w:val="213F7AB1"/>
    <w:rsid w:val="215726A0"/>
    <w:rsid w:val="217A33A1"/>
    <w:rsid w:val="21872636"/>
    <w:rsid w:val="218F2648"/>
    <w:rsid w:val="21AB5C9B"/>
    <w:rsid w:val="21B427AB"/>
    <w:rsid w:val="21BD46E0"/>
    <w:rsid w:val="21E274F2"/>
    <w:rsid w:val="22067C29"/>
    <w:rsid w:val="22134C1B"/>
    <w:rsid w:val="22206C77"/>
    <w:rsid w:val="22314D0B"/>
    <w:rsid w:val="227C0C68"/>
    <w:rsid w:val="227D1F07"/>
    <w:rsid w:val="22AE5DFE"/>
    <w:rsid w:val="22DE7DE0"/>
    <w:rsid w:val="22F24251"/>
    <w:rsid w:val="23025E80"/>
    <w:rsid w:val="235C31B0"/>
    <w:rsid w:val="238447CD"/>
    <w:rsid w:val="238D0EEE"/>
    <w:rsid w:val="23A3250C"/>
    <w:rsid w:val="23C16FD2"/>
    <w:rsid w:val="24106BD2"/>
    <w:rsid w:val="242C445B"/>
    <w:rsid w:val="247E04BE"/>
    <w:rsid w:val="248B6BF0"/>
    <w:rsid w:val="24975A35"/>
    <w:rsid w:val="24A451C8"/>
    <w:rsid w:val="24A95A92"/>
    <w:rsid w:val="24B0777F"/>
    <w:rsid w:val="24B21E7E"/>
    <w:rsid w:val="24B80E3D"/>
    <w:rsid w:val="24BA3A6C"/>
    <w:rsid w:val="24C14262"/>
    <w:rsid w:val="24DB11B1"/>
    <w:rsid w:val="24DB1DC1"/>
    <w:rsid w:val="254579AD"/>
    <w:rsid w:val="254C6870"/>
    <w:rsid w:val="25550995"/>
    <w:rsid w:val="257F66CF"/>
    <w:rsid w:val="25916749"/>
    <w:rsid w:val="25D83FDE"/>
    <w:rsid w:val="25D9375F"/>
    <w:rsid w:val="25E5097B"/>
    <w:rsid w:val="25ED1CE2"/>
    <w:rsid w:val="260366CA"/>
    <w:rsid w:val="2612386C"/>
    <w:rsid w:val="26190B1E"/>
    <w:rsid w:val="261954E5"/>
    <w:rsid w:val="26251690"/>
    <w:rsid w:val="26360630"/>
    <w:rsid w:val="263D4CDE"/>
    <w:rsid w:val="26647088"/>
    <w:rsid w:val="26B25A04"/>
    <w:rsid w:val="26E86A48"/>
    <w:rsid w:val="27101EDB"/>
    <w:rsid w:val="272E26D1"/>
    <w:rsid w:val="272E2A98"/>
    <w:rsid w:val="27360181"/>
    <w:rsid w:val="27450F96"/>
    <w:rsid w:val="27A03254"/>
    <w:rsid w:val="27A230C5"/>
    <w:rsid w:val="27A851CF"/>
    <w:rsid w:val="27EC18B9"/>
    <w:rsid w:val="27F6755B"/>
    <w:rsid w:val="2835156C"/>
    <w:rsid w:val="28451D51"/>
    <w:rsid w:val="28525B72"/>
    <w:rsid w:val="285E7742"/>
    <w:rsid w:val="285F589C"/>
    <w:rsid w:val="2860075F"/>
    <w:rsid w:val="288E7537"/>
    <w:rsid w:val="28957DF4"/>
    <w:rsid w:val="28D51CE9"/>
    <w:rsid w:val="28E0382C"/>
    <w:rsid w:val="28FB2940"/>
    <w:rsid w:val="28FF661A"/>
    <w:rsid w:val="2935387C"/>
    <w:rsid w:val="293B4E8C"/>
    <w:rsid w:val="295642C7"/>
    <w:rsid w:val="29923BE6"/>
    <w:rsid w:val="29A85B4A"/>
    <w:rsid w:val="29C00AAE"/>
    <w:rsid w:val="29D70027"/>
    <w:rsid w:val="29E4565C"/>
    <w:rsid w:val="2A217644"/>
    <w:rsid w:val="2A5522DC"/>
    <w:rsid w:val="2A6D7AE4"/>
    <w:rsid w:val="2A81126C"/>
    <w:rsid w:val="2A9A509F"/>
    <w:rsid w:val="2ABE75C5"/>
    <w:rsid w:val="2AC54EDF"/>
    <w:rsid w:val="2AD0715B"/>
    <w:rsid w:val="2ADE1592"/>
    <w:rsid w:val="2AE72478"/>
    <w:rsid w:val="2AFE6BB2"/>
    <w:rsid w:val="2AFF547A"/>
    <w:rsid w:val="2B0F5BE3"/>
    <w:rsid w:val="2B194010"/>
    <w:rsid w:val="2B1A0A86"/>
    <w:rsid w:val="2B3544FB"/>
    <w:rsid w:val="2B766889"/>
    <w:rsid w:val="2BB62C14"/>
    <w:rsid w:val="2BB82208"/>
    <w:rsid w:val="2BB86F96"/>
    <w:rsid w:val="2BBA1AC6"/>
    <w:rsid w:val="2BC1544C"/>
    <w:rsid w:val="2BF83122"/>
    <w:rsid w:val="2C1F1A7F"/>
    <w:rsid w:val="2C4D4422"/>
    <w:rsid w:val="2C61592A"/>
    <w:rsid w:val="2C7A7FEE"/>
    <w:rsid w:val="2C866B0B"/>
    <w:rsid w:val="2CF23348"/>
    <w:rsid w:val="2D0212AF"/>
    <w:rsid w:val="2D0721CE"/>
    <w:rsid w:val="2D2D0FB8"/>
    <w:rsid w:val="2D4C2432"/>
    <w:rsid w:val="2D5369A4"/>
    <w:rsid w:val="2D553E12"/>
    <w:rsid w:val="2D563294"/>
    <w:rsid w:val="2D572DE8"/>
    <w:rsid w:val="2D7657B0"/>
    <w:rsid w:val="2D880354"/>
    <w:rsid w:val="2D8E0951"/>
    <w:rsid w:val="2DA66D99"/>
    <w:rsid w:val="2DA92533"/>
    <w:rsid w:val="2DC542FD"/>
    <w:rsid w:val="2DED783E"/>
    <w:rsid w:val="2E027319"/>
    <w:rsid w:val="2E70692E"/>
    <w:rsid w:val="2E740C9C"/>
    <w:rsid w:val="2E912614"/>
    <w:rsid w:val="2EB82B9B"/>
    <w:rsid w:val="2EDB211E"/>
    <w:rsid w:val="2F2105FF"/>
    <w:rsid w:val="2F5C1DA5"/>
    <w:rsid w:val="2FAB4DBA"/>
    <w:rsid w:val="2FAF734F"/>
    <w:rsid w:val="2FB74538"/>
    <w:rsid w:val="2FF16930"/>
    <w:rsid w:val="30255652"/>
    <w:rsid w:val="302A5959"/>
    <w:rsid w:val="305B0C4B"/>
    <w:rsid w:val="306F34C7"/>
    <w:rsid w:val="30D41EAC"/>
    <w:rsid w:val="30E71C81"/>
    <w:rsid w:val="31024AE6"/>
    <w:rsid w:val="31232744"/>
    <w:rsid w:val="313F60CD"/>
    <w:rsid w:val="316C164E"/>
    <w:rsid w:val="31AC33EA"/>
    <w:rsid w:val="31B469D0"/>
    <w:rsid w:val="31D64F96"/>
    <w:rsid w:val="32017181"/>
    <w:rsid w:val="3202578C"/>
    <w:rsid w:val="326D3B31"/>
    <w:rsid w:val="327021FA"/>
    <w:rsid w:val="327B1627"/>
    <w:rsid w:val="329C1DF0"/>
    <w:rsid w:val="329E2BA3"/>
    <w:rsid w:val="32AE7A75"/>
    <w:rsid w:val="32E032B1"/>
    <w:rsid w:val="32EF11A3"/>
    <w:rsid w:val="32EF2028"/>
    <w:rsid w:val="33011C41"/>
    <w:rsid w:val="333C6A3D"/>
    <w:rsid w:val="33644CFD"/>
    <w:rsid w:val="33774568"/>
    <w:rsid w:val="33A0028D"/>
    <w:rsid w:val="33A570FA"/>
    <w:rsid w:val="33D32C1C"/>
    <w:rsid w:val="33D92429"/>
    <w:rsid w:val="33E0226A"/>
    <w:rsid w:val="33FA3B34"/>
    <w:rsid w:val="343B3818"/>
    <w:rsid w:val="343C1893"/>
    <w:rsid w:val="34854716"/>
    <w:rsid w:val="35160D6B"/>
    <w:rsid w:val="351D3779"/>
    <w:rsid w:val="357911C3"/>
    <w:rsid w:val="358526AE"/>
    <w:rsid w:val="35B54B22"/>
    <w:rsid w:val="35BC68A9"/>
    <w:rsid w:val="35DF0F8E"/>
    <w:rsid w:val="35E83CBD"/>
    <w:rsid w:val="35EF293B"/>
    <w:rsid w:val="35F13A2A"/>
    <w:rsid w:val="360453EB"/>
    <w:rsid w:val="361633A9"/>
    <w:rsid w:val="362C0965"/>
    <w:rsid w:val="36495F37"/>
    <w:rsid w:val="36523501"/>
    <w:rsid w:val="366A6E58"/>
    <w:rsid w:val="37282883"/>
    <w:rsid w:val="37366041"/>
    <w:rsid w:val="373D0F4E"/>
    <w:rsid w:val="37625DAE"/>
    <w:rsid w:val="377717B0"/>
    <w:rsid w:val="378C5758"/>
    <w:rsid w:val="37922808"/>
    <w:rsid w:val="379D7A74"/>
    <w:rsid w:val="37A03DDA"/>
    <w:rsid w:val="37DC389E"/>
    <w:rsid w:val="37E41DF1"/>
    <w:rsid w:val="37FC364E"/>
    <w:rsid w:val="382206B3"/>
    <w:rsid w:val="38463090"/>
    <w:rsid w:val="3882116E"/>
    <w:rsid w:val="388234B9"/>
    <w:rsid w:val="38973473"/>
    <w:rsid w:val="38A56CC9"/>
    <w:rsid w:val="38C05F24"/>
    <w:rsid w:val="38D750B8"/>
    <w:rsid w:val="38F2240C"/>
    <w:rsid w:val="39171CC0"/>
    <w:rsid w:val="393F39C1"/>
    <w:rsid w:val="3941283A"/>
    <w:rsid w:val="394D2C23"/>
    <w:rsid w:val="3950742F"/>
    <w:rsid w:val="395212E1"/>
    <w:rsid w:val="395765D1"/>
    <w:rsid w:val="39654761"/>
    <w:rsid w:val="398E0DAD"/>
    <w:rsid w:val="398F40DF"/>
    <w:rsid w:val="39976574"/>
    <w:rsid w:val="39A165F9"/>
    <w:rsid w:val="39A22205"/>
    <w:rsid w:val="39B72706"/>
    <w:rsid w:val="39C84E5A"/>
    <w:rsid w:val="39DE0D55"/>
    <w:rsid w:val="39FA0921"/>
    <w:rsid w:val="3A1E1EAB"/>
    <w:rsid w:val="3A3457E8"/>
    <w:rsid w:val="3A3F0320"/>
    <w:rsid w:val="3A536E24"/>
    <w:rsid w:val="3A565A98"/>
    <w:rsid w:val="3A810ECA"/>
    <w:rsid w:val="3A871F8A"/>
    <w:rsid w:val="3AA31206"/>
    <w:rsid w:val="3AB57780"/>
    <w:rsid w:val="3AC65AD2"/>
    <w:rsid w:val="3ACF5A26"/>
    <w:rsid w:val="3AD35612"/>
    <w:rsid w:val="3ADD5E7F"/>
    <w:rsid w:val="3AE76371"/>
    <w:rsid w:val="3AE80991"/>
    <w:rsid w:val="3B1B509F"/>
    <w:rsid w:val="3B3575B2"/>
    <w:rsid w:val="3B4764C1"/>
    <w:rsid w:val="3B4A51A8"/>
    <w:rsid w:val="3B54731C"/>
    <w:rsid w:val="3B67428D"/>
    <w:rsid w:val="3B713350"/>
    <w:rsid w:val="3B7A26BE"/>
    <w:rsid w:val="3B8406BA"/>
    <w:rsid w:val="3BA471B6"/>
    <w:rsid w:val="3BE767A5"/>
    <w:rsid w:val="3C073099"/>
    <w:rsid w:val="3C163EAD"/>
    <w:rsid w:val="3C1701DB"/>
    <w:rsid w:val="3C2E25AC"/>
    <w:rsid w:val="3C33699A"/>
    <w:rsid w:val="3C41291B"/>
    <w:rsid w:val="3C447C27"/>
    <w:rsid w:val="3C4E3440"/>
    <w:rsid w:val="3C97031E"/>
    <w:rsid w:val="3D01778A"/>
    <w:rsid w:val="3D5F1707"/>
    <w:rsid w:val="3E225ED0"/>
    <w:rsid w:val="3E23342E"/>
    <w:rsid w:val="3E29108F"/>
    <w:rsid w:val="3E763568"/>
    <w:rsid w:val="3EB341AB"/>
    <w:rsid w:val="3EC20226"/>
    <w:rsid w:val="3EC33FD7"/>
    <w:rsid w:val="3EC451E1"/>
    <w:rsid w:val="3EC47F80"/>
    <w:rsid w:val="3EE91017"/>
    <w:rsid w:val="3F1E63B0"/>
    <w:rsid w:val="3F2226EC"/>
    <w:rsid w:val="3F601C75"/>
    <w:rsid w:val="3FAC6CE4"/>
    <w:rsid w:val="3FDA48AC"/>
    <w:rsid w:val="3FDD4106"/>
    <w:rsid w:val="3FE72D6F"/>
    <w:rsid w:val="4018038B"/>
    <w:rsid w:val="402A3DD6"/>
    <w:rsid w:val="402E363B"/>
    <w:rsid w:val="403A7A13"/>
    <w:rsid w:val="40562031"/>
    <w:rsid w:val="4080695A"/>
    <w:rsid w:val="40883F9A"/>
    <w:rsid w:val="40A6403B"/>
    <w:rsid w:val="40A92971"/>
    <w:rsid w:val="40C31767"/>
    <w:rsid w:val="40D11C13"/>
    <w:rsid w:val="40D14228"/>
    <w:rsid w:val="40D25C2C"/>
    <w:rsid w:val="40E32648"/>
    <w:rsid w:val="410B74B7"/>
    <w:rsid w:val="413F338F"/>
    <w:rsid w:val="415D3A83"/>
    <w:rsid w:val="418E0B2C"/>
    <w:rsid w:val="41A50FA5"/>
    <w:rsid w:val="41CC07BC"/>
    <w:rsid w:val="41DD5AAF"/>
    <w:rsid w:val="41E40AD4"/>
    <w:rsid w:val="420569A4"/>
    <w:rsid w:val="422E01F2"/>
    <w:rsid w:val="4246080B"/>
    <w:rsid w:val="42CE24FD"/>
    <w:rsid w:val="42F302DD"/>
    <w:rsid w:val="430B5EBA"/>
    <w:rsid w:val="43260C43"/>
    <w:rsid w:val="438034F8"/>
    <w:rsid w:val="4388321A"/>
    <w:rsid w:val="43C04933"/>
    <w:rsid w:val="43EA37DE"/>
    <w:rsid w:val="441A31FF"/>
    <w:rsid w:val="446A3759"/>
    <w:rsid w:val="446B4961"/>
    <w:rsid w:val="449428DA"/>
    <w:rsid w:val="449D218D"/>
    <w:rsid w:val="449D552C"/>
    <w:rsid w:val="44BD0248"/>
    <w:rsid w:val="44E86A19"/>
    <w:rsid w:val="45132E7E"/>
    <w:rsid w:val="45A046DF"/>
    <w:rsid w:val="45AC020B"/>
    <w:rsid w:val="45B15EF6"/>
    <w:rsid w:val="45B457B1"/>
    <w:rsid w:val="45B725A0"/>
    <w:rsid w:val="45D22078"/>
    <w:rsid w:val="45F468CD"/>
    <w:rsid w:val="462E25CA"/>
    <w:rsid w:val="46303A17"/>
    <w:rsid w:val="465A58CC"/>
    <w:rsid w:val="467E5DD2"/>
    <w:rsid w:val="46931FE6"/>
    <w:rsid w:val="46D637ED"/>
    <w:rsid w:val="46DD3F38"/>
    <w:rsid w:val="46F16F1D"/>
    <w:rsid w:val="46FD2CBF"/>
    <w:rsid w:val="47040E65"/>
    <w:rsid w:val="472910BD"/>
    <w:rsid w:val="47553E8E"/>
    <w:rsid w:val="475C108B"/>
    <w:rsid w:val="477C293C"/>
    <w:rsid w:val="47980FDC"/>
    <w:rsid w:val="47A02A41"/>
    <w:rsid w:val="47CA2F97"/>
    <w:rsid w:val="47CA63D4"/>
    <w:rsid w:val="47D84675"/>
    <w:rsid w:val="47E17B3A"/>
    <w:rsid w:val="481379C4"/>
    <w:rsid w:val="481947FE"/>
    <w:rsid w:val="48366669"/>
    <w:rsid w:val="483B043E"/>
    <w:rsid w:val="4853266E"/>
    <w:rsid w:val="486B0826"/>
    <w:rsid w:val="486B1D8E"/>
    <w:rsid w:val="489B2BF1"/>
    <w:rsid w:val="48A93D74"/>
    <w:rsid w:val="48B1679E"/>
    <w:rsid w:val="48D139F6"/>
    <w:rsid w:val="48F56DD6"/>
    <w:rsid w:val="491916C6"/>
    <w:rsid w:val="49573AC8"/>
    <w:rsid w:val="4961628B"/>
    <w:rsid w:val="49AA7971"/>
    <w:rsid w:val="49B515B1"/>
    <w:rsid w:val="49FE240E"/>
    <w:rsid w:val="4A141151"/>
    <w:rsid w:val="4A316318"/>
    <w:rsid w:val="4A512C4D"/>
    <w:rsid w:val="4A643B84"/>
    <w:rsid w:val="4A777A6A"/>
    <w:rsid w:val="4AA90035"/>
    <w:rsid w:val="4AC9062D"/>
    <w:rsid w:val="4AE52C42"/>
    <w:rsid w:val="4AF2187D"/>
    <w:rsid w:val="4AF4011B"/>
    <w:rsid w:val="4AFC3953"/>
    <w:rsid w:val="4B1E385E"/>
    <w:rsid w:val="4B6870F9"/>
    <w:rsid w:val="4B6C2969"/>
    <w:rsid w:val="4B7A2609"/>
    <w:rsid w:val="4BCF6DCB"/>
    <w:rsid w:val="4BD06B38"/>
    <w:rsid w:val="4BDF321A"/>
    <w:rsid w:val="4BEE1D43"/>
    <w:rsid w:val="4C0065CE"/>
    <w:rsid w:val="4C18241E"/>
    <w:rsid w:val="4C227943"/>
    <w:rsid w:val="4C286B5D"/>
    <w:rsid w:val="4C4373DD"/>
    <w:rsid w:val="4C472142"/>
    <w:rsid w:val="4C5F22C4"/>
    <w:rsid w:val="4CF80F08"/>
    <w:rsid w:val="4CFC22E5"/>
    <w:rsid w:val="4D190D39"/>
    <w:rsid w:val="4D563E01"/>
    <w:rsid w:val="4D6D2806"/>
    <w:rsid w:val="4DC43B09"/>
    <w:rsid w:val="4DC86CD0"/>
    <w:rsid w:val="4DD62C1F"/>
    <w:rsid w:val="4DF46D27"/>
    <w:rsid w:val="4E367509"/>
    <w:rsid w:val="4E5211BA"/>
    <w:rsid w:val="4E5C240E"/>
    <w:rsid w:val="4E76149E"/>
    <w:rsid w:val="4E762A71"/>
    <w:rsid w:val="4E7F6390"/>
    <w:rsid w:val="4E90713C"/>
    <w:rsid w:val="4E911651"/>
    <w:rsid w:val="4E9D1D1E"/>
    <w:rsid w:val="4EBB3EDA"/>
    <w:rsid w:val="4EEE65AD"/>
    <w:rsid w:val="4F0E0B1D"/>
    <w:rsid w:val="4F3A3567"/>
    <w:rsid w:val="4F6C41E3"/>
    <w:rsid w:val="4F8A0B61"/>
    <w:rsid w:val="4F9C55BF"/>
    <w:rsid w:val="4FB410CF"/>
    <w:rsid w:val="4FBD41CA"/>
    <w:rsid w:val="4FD246D2"/>
    <w:rsid w:val="50077D56"/>
    <w:rsid w:val="50131451"/>
    <w:rsid w:val="50245755"/>
    <w:rsid w:val="503600B3"/>
    <w:rsid w:val="50680510"/>
    <w:rsid w:val="50831BFE"/>
    <w:rsid w:val="50922478"/>
    <w:rsid w:val="50B52FE4"/>
    <w:rsid w:val="50BF2E54"/>
    <w:rsid w:val="510252D6"/>
    <w:rsid w:val="51305EE3"/>
    <w:rsid w:val="51390BE4"/>
    <w:rsid w:val="51975E1F"/>
    <w:rsid w:val="51BC697B"/>
    <w:rsid w:val="51C804DE"/>
    <w:rsid w:val="51CF0D4C"/>
    <w:rsid w:val="51E10471"/>
    <w:rsid w:val="51E12FF8"/>
    <w:rsid w:val="51E33826"/>
    <w:rsid w:val="51E71C22"/>
    <w:rsid w:val="520C6B50"/>
    <w:rsid w:val="52206657"/>
    <w:rsid w:val="522E62F3"/>
    <w:rsid w:val="52632289"/>
    <w:rsid w:val="5293590B"/>
    <w:rsid w:val="52967C7B"/>
    <w:rsid w:val="52A33960"/>
    <w:rsid w:val="52B476CE"/>
    <w:rsid w:val="52B67E93"/>
    <w:rsid w:val="52F47A95"/>
    <w:rsid w:val="530D6D8F"/>
    <w:rsid w:val="531645CA"/>
    <w:rsid w:val="531F2A96"/>
    <w:rsid w:val="53262EC9"/>
    <w:rsid w:val="53734149"/>
    <w:rsid w:val="53932760"/>
    <w:rsid w:val="539873E7"/>
    <w:rsid w:val="53B46D0C"/>
    <w:rsid w:val="53F171B7"/>
    <w:rsid w:val="53F87A3F"/>
    <w:rsid w:val="54087353"/>
    <w:rsid w:val="54375044"/>
    <w:rsid w:val="544232E7"/>
    <w:rsid w:val="54557110"/>
    <w:rsid w:val="545D6CB6"/>
    <w:rsid w:val="549661B6"/>
    <w:rsid w:val="54A34D96"/>
    <w:rsid w:val="54C811C0"/>
    <w:rsid w:val="54CB2FC4"/>
    <w:rsid w:val="54D24E79"/>
    <w:rsid w:val="54F430A2"/>
    <w:rsid w:val="5503429F"/>
    <w:rsid w:val="551027C6"/>
    <w:rsid w:val="552F7315"/>
    <w:rsid w:val="55440F33"/>
    <w:rsid w:val="554B0FDD"/>
    <w:rsid w:val="55631D2D"/>
    <w:rsid w:val="55AA6F28"/>
    <w:rsid w:val="55BB1E97"/>
    <w:rsid w:val="55C8709D"/>
    <w:rsid w:val="560509A3"/>
    <w:rsid w:val="56250237"/>
    <w:rsid w:val="56450A3C"/>
    <w:rsid w:val="564569EB"/>
    <w:rsid w:val="56921A85"/>
    <w:rsid w:val="56AB5944"/>
    <w:rsid w:val="56F645A2"/>
    <w:rsid w:val="57214861"/>
    <w:rsid w:val="572B4616"/>
    <w:rsid w:val="57541EAD"/>
    <w:rsid w:val="577465D8"/>
    <w:rsid w:val="577A658F"/>
    <w:rsid w:val="57A14827"/>
    <w:rsid w:val="57A91DD2"/>
    <w:rsid w:val="57AE5029"/>
    <w:rsid w:val="57C23486"/>
    <w:rsid w:val="57CE4606"/>
    <w:rsid w:val="57D123D3"/>
    <w:rsid w:val="57DF3814"/>
    <w:rsid w:val="5807247D"/>
    <w:rsid w:val="58117CC1"/>
    <w:rsid w:val="582C3384"/>
    <w:rsid w:val="58624A55"/>
    <w:rsid w:val="58DD4026"/>
    <w:rsid w:val="59216A89"/>
    <w:rsid w:val="59A175DF"/>
    <w:rsid w:val="59AD6D70"/>
    <w:rsid w:val="59B819C2"/>
    <w:rsid w:val="59C7668D"/>
    <w:rsid w:val="59F7428A"/>
    <w:rsid w:val="59FC4729"/>
    <w:rsid w:val="59FF697B"/>
    <w:rsid w:val="5A0A04BC"/>
    <w:rsid w:val="5A0B75E4"/>
    <w:rsid w:val="5A15685D"/>
    <w:rsid w:val="5A323EDC"/>
    <w:rsid w:val="5A36378A"/>
    <w:rsid w:val="5A4E7FD5"/>
    <w:rsid w:val="5A575BFF"/>
    <w:rsid w:val="5A77586F"/>
    <w:rsid w:val="5AA12CBD"/>
    <w:rsid w:val="5AB40905"/>
    <w:rsid w:val="5ACA65CD"/>
    <w:rsid w:val="5ACC7A53"/>
    <w:rsid w:val="5AE51758"/>
    <w:rsid w:val="5B237EEB"/>
    <w:rsid w:val="5B581F93"/>
    <w:rsid w:val="5B6B529B"/>
    <w:rsid w:val="5B93247B"/>
    <w:rsid w:val="5BAB667D"/>
    <w:rsid w:val="5BB250E2"/>
    <w:rsid w:val="5BB3320D"/>
    <w:rsid w:val="5BBFEE14"/>
    <w:rsid w:val="5BC31A45"/>
    <w:rsid w:val="5BC772C9"/>
    <w:rsid w:val="5BDC2469"/>
    <w:rsid w:val="5BDF0145"/>
    <w:rsid w:val="5BF00094"/>
    <w:rsid w:val="5BF50377"/>
    <w:rsid w:val="5C465FA2"/>
    <w:rsid w:val="5C544090"/>
    <w:rsid w:val="5C726BB6"/>
    <w:rsid w:val="5C7322D1"/>
    <w:rsid w:val="5C870F46"/>
    <w:rsid w:val="5CBC3B9B"/>
    <w:rsid w:val="5CC91C52"/>
    <w:rsid w:val="5CEF4070"/>
    <w:rsid w:val="5CFC28A8"/>
    <w:rsid w:val="5D246FFC"/>
    <w:rsid w:val="5D331782"/>
    <w:rsid w:val="5D36426B"/>
    <w:rsid w:val="5D7A3B33"/>
    <w:rsid w:val="5D931599"/>
    <w:rsid w:val="5D9A103A"/>
    <w:rsid w:val="5DC818E3"/>
    <w:rsid w:val="5DDA696A"/>
    <w:rsid w:val="5DF52A7C"/>
    <w:rsid w:val="5E410FFD"/>
    <w:rsid w:val="5E544606"/>
    <w:rsid w:val="5E8E05EA"/>
    <w:rsid w:val="5EFB61FA"/>
    <w:rsid w:val="5F2C7D02"/>
    <w:rsid w:val="5F7663E9"/>
    <w:rsid w:val="5FB656F9"/>
    <w:rsid w:val="5FBC2CFA"/>
    <w:rsid w:val="5FC53466"/>
    <w:rsid w:val="5FD13015"/>
    <w:rsid w:val="60190EE3"/>
    <w:rsid w:val="601D48F2"/>
    <w:rsid w:val="601E31F8"/>
    <w:rsid w:val="602832C7"/>
    <w:rsid w:val="60307BB1"/>
    <w:rsid w:val="603D1F50"/>
    <w:rsid w:val="603F673E"/>
    <w:rsid w:val="605467C6"/>
    <w:rsid w:val="60D605A1"/>
    <w:rsid w:val="60E23609"/>
    <w:rsid w:val="613D1565"/>
    <w:rsid w:val="61464F6C"/>
    <w:rsid w:val="61515A7F"/>
    <w:rsid w:val="61633E93"/>
    <w:rsid w:val="61A4558D"/>
    <w:rsid w:val="61C32B70"/>
    <w:rsid w:val="61D46DD9"/>
    <w:rsid w:val="61E045CD"/>
    <w:rsid w:val="61E23930"/>
    <w:rsid w:val="61FD4A0F"/>
    <w:rsid w:val="62016875"/>
    <w:rsid w:val="62100B67"/>
    <w:rsid w:val="623E052A"/>
    <w:rsid w:val="6241319E"/>
    <w:rsid w:val="6242484B"/>
    <w:rsid w:val="628B7263"/>
    <w:rsid w:val="628D49EE"/>
    <w:rsid w:val="62902D58"/>
    <w:rsid w:val="6290385D"/>
    <w:rsid w:val="62AE4BDA"/>
    <w:rsid w:val="62C97640"/>
    <w:rsid w:val="62D27C48"/>
    <w:rsid w:val="6307315E"/>
    <w:rsid w:val="63184211"/>
    <w:rsid w:val="631B5AD9"/>
    <w:rsid w:val="632E7764"/>
    <w:rsid w:val="635C575B"/>
    <w:rsid w:val="636863CF"/>
    <w:rsid w:val="63752C12"/>
    <w:rsid w:val="638C1080"/>
    <w:rsid w:val="63B413CF"/>
    <w:rsid w:val="63D4721A"/>
    <w:rsid w:val="63FF6C27"/>
    <w:rsid w:val="6405263C"/>
    <w:rsid w:val="642454D9"/>
    <w:rsid w:val="64557DB3"/>
    <w:rsid w:val="6464336B"/>
    <w:rsid w:val="648D360B"/>
    <w:rsid w:val="64D33EFF"/>
    <w:rsid w:val="653C5193"/>
    <w:rsid w:val="655C7828"/>
    <w:rsid w:val="657212AF"/>
    <w:rsid w:val="657B5F0F"/>
    <w:rsid w:val="65CB1350"/>
    <w:rsid w:val="65FD7F1B"/>
    <w:rsid w:val="66291C05"/>
    <w:rsid w:val="66330E7B"/>
    <w:rsid w:val="66351622"/>
    <w:rsid w:val="665A2304"/>
    <w:rsid w:val="669C6349"/>
    <w:rsid w:val="66A80AC6"/>
    <w:rsid w:val="66CF3F7F"/>
    <w:rsid w:val="67144976"/>
    <w:rsid w:val="67202357"/>
    <w:rsid w:val="67603F26"/>
    <w:rsid w:val="67670D0C"/>
    <w:rsid w:val="67A9330C"/>
    <w:rsid w:val="67B36B6E"/>
    <w:rsid w:val="67D3264E"/>
    <w:rsid w:val="68024DD3"/>
    <w:rsid w:val="680F332B"/>
    <w:rsid w:val="6832253F"/>
    <w:rsid w:val="685C3C4D"/>
    <w:rsid w:val="685F19E3"/>
    <w:rsid w:val="687102AD"/>
    <w:rsid w:val="68724B40"/>
    <w:rsid w:val="68902798"/>
    <w:rsid w:val="690C7142"/>
    <w:rsid w:val="69412846"/>
    <w:rsid w:val="695907E9"/>
    <w:rsid w:val="6964290E"/>
    <w:rsid w:val="69794BD2"/>
    <w:rsid w:val="698304CD"/>
    <w:rsid w:val="69932BAE"/>
    <w:rsid w:val="69A16FDB"/>
    <w:rsid w:val="69BA6060"/>
    <w:rsid w:val="6A041525"/>
    <w:rsid w:val="6A223F21"/>
    <w:rsid w:val="6A4771F0"/>
    <w:rsid w:val="6A641277"/>
    <w:rsid w:val="6A985E45"/>
    <w:rsid w:val="6AAD0001"/>
    <w:rsid w:val="6ACC3B62"/>
    <w:rsid w:val="6AE30427"/>
    <w:rsid w:val="6B1B05C6"/>
    <w:rsid w:val="6B2C0FBC"/>
    <w:rsid w:val="6B35684E"/>
    <w:rsid w:val="6B6C1D6A"/>
    <w:rsid w:val="6B6D666B"/>
    <w:rsid w:val="6B706DFD"/>
    <w:rsid w:val="6B735145"/>
    <w:rsid w:val="6B76701F"/>
    <w:rsid w:val="6B972EBA"/>
    <w:rsid w:val="6BAF67DE"/>
    <w:rsid w:val="6BB64940"/>
    <w:rsid w:val="6BBA5ABD"/>
    <w:rsid w:val="6BC04151"/>
    <w:rsid w:val="6BFF6B53"/>
    <w:rsid w:val="6C161EDD"/>
    <w:rsid w:val="6C17534B"/>
    <w:rsid w:val="6C52384A"/>
    <w:rsid w:val="6C5F577B"/>
    <w:rsid w:val="6C5F6B13"/>
    <w:rsid w:val="6C710D22"/>
    <w:rsid w:val="6C831486"/>
    <w:rsid w:val="6C8C7141"/>
    <w:rsid w:val="6C903E5F"/>
    <w:rsid w:val="6C92595F"/>
    <w:rsid w:val="6CA31D11"/>
    <w:rsid w:val="6CE513BE"/>
    <w:rsid w:val="6CEE595E"/>
    <w:rsid w:val="6CF82160"/>
    <w:rsid w:val="6D094BFA"/>
    <w:rsid w:val="6D1D7324"/>
    <w:rsid w:val="6D283EB3"/>
    <w:rsid w:val="6D476F5C"/>
    <w:rsid w:val="6D524D35"/>
    <w:rsid w:val="6D57260A"/>
    <w:rsid w:val="6D5E7E22"/>
    <w:rsid w:val="6D631E8B"/>
    <w:rsid w:val="6D691E34"/>
    <w:rsid w:val="6DA45721"/>
    <w:rsid w:val="6DDA08E3"/>
    <w:rsid w:val="6DEF5724"/>
    <w:rsid w:val="6E2D7396"/>
    <w:rsid w:val="6E73203B"/>
    <w:rsid w:val="6E977E1E"/>
    <w:rsid w:val="6E9A083E"/>
    <w:rsid w:val="6F1013D6"/>
    <w:rsid w:val="6F1830F3"/>
    <w:rsid w:val="6F2C4E6B"/>
    <w:rsid w:val="6F6E6E2B"/>
    <w:rsid w:val="6F7502BE"/>
    <w:rsid w:val="6F8E346E"/>
    <w:rsid w:val="6F922D77"/>
    <w:rsid w:val="6F9E073A"/>
    <w:rsid w:val="6FA85985"/>
    <w:rsid w:val="6FEA2DEF"/>
    <w:rsid w:val="6FF03DFF"/>
    <w:rsid w:val="7001567F"/>
    <w:rsid w:val="70231C9D"/>
    <w:rsid w:val="703E7AC3"/>
    <w:rsid w:val="70411BFE"/>
    <w:rsid w:val="707B5C7D"/>
    <w:rsid w:val="708C386D"/>
    <w:rsid w:val="7093353E"/>
    <w:rsid w:val="70A25D2A"/>
    <w:rsid w:val="70EC15F1"/>
    <w:rsid w:val="70F606D1"/>
    <w:rsid w:val="710B3229"/>
    <w:rsid w:val="710C3141"/>
    <w:rsid w:val="71104E62"/>
    <w:rsid w:val="713927A1"/>
    <w:rsid w:val="713C57D0"/>
    <w:rsid w:val="71426CAF"/>
    <w:rsid w:val="7150636D"/>
    <w:rsid w:val="715F2EF4"/>
    <w:rsid w:val="719525E5"/>
    <w:rsid w:val="71C43EDF"/>
    <w:rsid w:val="71D12B7B"/>
    <w:rsid w:val="72047D57"/>
    <w:rsid w:val="722E4A91"/>
    <w:rsid w:val="724B7048"/>
    <w:rsid w:val="72563FB1"/>
    <w:rsid w:val="726E28BC"/>
    <w:rsid w:val="729701F7"/>
    <w:rsid w:val="72C13435"/>
    <w:rsid w:val="7332304C"/>
    <w:rsid w:val="73460DCF"/>
    <w:rsid w:val="736F51CC"/>
    <w:rsid w:val="73765DF7"/>
    <w:rsid w:val="739C093C"/>
    <w:rsid w:val="739D0315"/>
    <w:rsid w:val="73CE4F10"/>
    <w:rsid w:val="73DE0BF4"/>
    <w:rsid w:val="73EF72A5"/>
    <w:rsid w:val="73F12089"/>
    <w:rsid w:val="740166CA"/>
    <w:rsid w:val="741606DE"/>
    <w:rsid w:val="74677303"/>
    <w:rsid w:val="746B4618"/>
    <w:rsid w:val="748E187D"/>
    <w:rsid w:val="748E6608"/>
    <w:rsid w:val="74A9176B"/>
    <w:rsid w:val="74D612A7"/>
    <w:rsid w:val="74F727ED"/>
    <w:rsid w:val="75165209"/>
    <w:rsid w:val="75176D76"/>
    <w:rsid w:val="75395A4F"/>
    <w:rsid w:val="75402693"/>
    <w:rsid w:val="75A62599"/>
    <w:rsid w:val="75C718AC"/>
    <w:rsid w:val="75E5168E"/>
    <w:rsid w:val="75E65018"/>
    <w:rsid w:val="75FB3847"/>
    <w:rsid w:val="75FD7923"/>
    <w:rsid w:val="764536B8"/>
    <w:rsid w:val="764C1E95"/>
    <w:rsid w:val="765340BE"/>
    <w:rsid w:val="76600B0B"/>
    <w:rsid w:val="766A03FA"/>
    <w:rsid w:val="769040A2"/>
    <w:rsid w:val="76EC025F"/>
    <w:rsid w:val="76F00E8F"/>
    <w:rsid w:val="77104195"/>
    <w:rsid w:val="773106E6"/>
    <w:rsid w:val="7739357A"/>
    <w:rsid w:val="77532B5B"/>
    <w:rsid w:val="778F5B0D"/>
    <w:rsid w:val="77A72B49"/>
    <w:rsid w:val="77BA48A1"/>
    <w:rsid w:val="77EA45C3"/>
    <w:rsid w:val="77F1105C"/>
    <w:rsid w:val="77F3515D"/>
    <w:rsid w:val="77F537AF"/>
    <w:rsid w:val="78366808"/>
    <w:rsid w:val="78427D95"/>
    <w:rsid w:val="784B5460"/>
    <w:rsid w:val="785505CD"/>
    <w:rsid w:val="785F7D92"/>
    <w:rsid w:val="787273D3"/>
    <w:rsid w:val="78942820"/>
    <w:rsid w:val="78B2018D"/>
    <w:rsid w:val="78CE3373"/>
    <w:rsid w:val="78EA06B1"/>
    <w:rsid w:val="79303653"/>
    <w:rsid w:val="79332894"/>
    <w:rsid w:val="79432FDA"/>
    <w:rsid w:val="794E031B"/>
    <w:rsid w:val="795A1679"/>
    <w:rsid w:val="796340FE"/>
    <w:rsid w:val="79CD580C"/>
    <w:rsid w:val="79D941C5"/>
    <w:rsid w:val="79F651E3"/>
    <w:rsid w:val="7A17628C"/>
    <w:rsid w:val="7A4A0DFD"/>
    <w:rsid w:val="7A552236"/>
    <w:rsid w:val="7A616556"/>
    <w:rsid w:val="7A735659"/>
    <w:rsid w:val="7A7E0068"/>
    <w:rsid w:val="7AB60141"/>
    <w:rsid w:val="7AB817D3"/>
    <w:rsid w:val="7AC17447"/>
    <w:rsid w:val="7AD70C9B"/>
    <w:rsid w:val="7ADA5B3C"/>
    <w:rsid w:val="7ADC203B"/>
    <w:rsid w:val="7B3856F0"/>
    <w:rsid w:val="7B4531F1"/>
    <w:rsid w:val="7B4D07FD"/>
    <w:rsid w:val="7B6A15AB"/>
    <w:rsid w:val="7BAB3DF5"/>
    <w:rsid w:val="7BD26364"/>
    <w:rsid w:val="7BD36C7F"/>
    <w:rsid w:val="7BDB29F1"/>
    <w:rsid w:val="7C2F53CB"/>
    <w:rsid w:val="7C3A3603"/>
    <w:rsid w:val="7C461D0D"/>
    <w:rsid w:val="7C485C63"/>
    <w:rsid w:val="7C556F97"/>
    <w:rsid w:val="7C571739"/>
    <w:rsid w:val="7CA27DFF"/>
    <w:rsid w:val="7CA834CE"/>
    <w:rsid w:val="7CB9036C"/>
    <w:rsid w:val="7D047631"/>
    <w:rsid w:val="7D220123"/>
    <w:rsid w:val="7D3475DB"/>
    <w:rsid w:val="7D771F95"/>
    <w:rsid w:val="7D7BA450"/>
    <w:rsid w:val="7D942460"/>
    <w:rsid w:val="7DDD5D1F"/>
    <w:rsid w:val="7E0B3754"/>
    <w:rsid w:val="7E3C4D54"/>
    <w:rsid w:val="7E563F68"/>
    <w:rsid w:val="7E750639"/>
    <w:rsid w:val="7EA55CBC"/>
    <w:rsid w:val="7EC40A24"/>
    <w:rsid w:val="7EEF3736"/>
    <w:rsid w:val="7EF100A0"/>
    <w:rsid w:val="7F5F072D"/>
    <w:rsid w:val="7F711C25"/>
    <w:rsid w:val="7F9A543E"/>
    <w:rsid w:val="7FB34C44"/>
    <w:rsid w:val="7FB40554"/>
    <w:rsid w:val="7FBA1359"/>
    <w:rsid w:val="7FF41FF0"/>
    <w:rsid w:val="E7F328BB"/>
    <w:rsid w:val="EAFF4C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29"/>
    <w:autoRedefine/>
    <w:qFormat/>
    <w:uiPriority w:val="0"/>
    <w:pPr>
      <w:keepNext/>
      <w:jc w:val="center"/>
      <w:outlineLvl w:val="0"/>
    </w:pPr>
    <w:rPr>
      <w:rFonts w:eastAsia="黑体"/>
      <w:b/>
      <w:sz w:val="32"/>
      <w:szCs w:val="20"/>
    </w:rPr>
  </w:style>
  <w:style w:type="paragraph" w:styleId="4">
    <w:name w:val="heading 2"/>
    <w:basedOn w:val="1"/>
    <w:next w:val="1"/>
    <w:link w:val="67"/>
    <w:autoRedefine/>
    <w:qFormat/>
    <w:uiPriority w:val="0"/>
    <w:pPr>
      <w:keepNext/>
      <w:outlineLvl w:val="1"/>
    </w:pPr>
    <w:rPr>
      <w:rFonts w:ascii="仿宋_GB2312"/>
      <w:b/>
      <w:sz w:val="28"/>
      <w:szCs w:val="32"/>
    </w:rPr>
  </w:style>
  <w:style w:type="paragraph" w:styleId="5">
    <w:name w:val="heading 3"/>
    <w:basedOn w:val="1"/>
    <w:next w:val="1"/>
    <w:link w:val="152"/>
    <w:autoRedefine/>
    <w:qFormat/>
    <w:uiPriority w:val="0"/>
    <w:pPr>
      <w:keepNext/>
      <w:keepLines/>
      <w:spacing w:line="540" w:lineRule="atLeast"/>
      <w:outlineLvl w:val="2"/>
    </w:pPr>
    <w:rPr>
      <w:rFonts w:eastAsia="黑体"/>
      <w:b/>
      <w:sz w:val="28"/>
      <w:szCs w:val="20"/>
    </w:rPr>
  </w:style>
  <w:style w:type="paragraph" w:styleId="6">
    <w:name w:val="heading 4"/>
    <w:basedOn w:val="1"/>
    <w:next w:val="1"/>
    <w:link w:val="149"/>
    <w:autoRedefine/>
    <w:qFormat/>
    <w:uiPriority w:val="0"/>
    <w:pPr>
      <w:keepNext/>
      <w:keepLines/>
      <w:spacing w:line="540" w:lineRule="atLeast"/>
      <w:outlineLvl w:val="3"/>
    </w:pPr>
    <w:rPr>
      <w:sz w:val="28"/>
      <w:szCs w:val="28"/>
    </w:rPr>
  </w:style>
  <w:style w:type="paragraph" w:styleId="7">
    <w:name w:val="heading 5"/>
    <w:basedOn w:val="1"/>
    <w:next w:val="1"/>
    <w:link w:val="132"/>
    <w:autoRedefine/>
    <w:qFormat/>
    <w:uiPriority w:val="0"/>
    <w:pPr>
      <w:keepNext/>
      <w:keepLines/>
      <w:spacing w:before="280" w:after="290" w:line="372" w:lineRule="auto"/>
      <w:outlineLvl w:val="4"/>
    </w:pPr>
    <w:rPr>
      <w:b/>
      <w:bCs/>
      <w:kern w:val="0"/>
      <w:sz w:val="28"/>
      <w:szCs w:val="28"/>
    </w:rPr>
  </w:style>
  <w:style w:type="paragraph" w:styleId="8">
    <w:name w:val="heading 6"/>
    <w:basedOn w:val="1"/>
    <w:next w:val="9"/>
    <w:link w:val="173"/>
    <w:autoRedefine/>
    <w:qFormat/>
    <w:uiPriority w:val="0"/>
    <w:pPr>
      <w:keepNext/>
      <w:keepLines/>
      <w:spacing w:before="240" w:after="64" w:line="317" w:lineRule="auto"/>
      <w:outlineLvl w:val="5"/>
    </w:pPr>
    <w:rPr>
      <w:rFonts w:ascii="Arial" w:hAnsi="Arial" w:eastAsia="黑体"/>
      <w:b/>
      <w:sz w:val="24"/>
      <w:szCs w:val="20"/>
    </w:rPr>
  </w:style>
  <w:style w:type="paragraph" w:styleId="10">
    <w:name w:val="heading 7"/>
    <w:basedOn w:val="1"/>
    <w:next w:val="9"/>
    <w:link w:val="70"/>
    <w:autoRedefine/>
    <w:qFormat/>
    <w:uiPriority w:val="0"/>
    <w:pPr>
      <w:keepNext/>
      <w:keepLines/>
      <w:spacing w:before="240" w:after="64" w:line="317" w:lineRule="auto"/>
      <w:outlineLvl w:val="6"/>
    </w:pPr>
    <w:rPr>
      <w:b/>
      <w:sz w:val="24"/>
      <w:szCs w:val="20"/>
    </w:rPr>
  </w:style>
  <w:style w:type="paragraph" w:styleId="11">
    <w:name w:val="heading 8"/>
    <w:basedOn w:val="1"/>
    <w:next w:val="9"/>
    <w:link w:val="176"/>
    <w:autoRedefine/>
    <w:qFormat/>
    <w:uiPriority w:val="0"/>
    <w:pPr>
      <w:keepNext/>
      <w:keepLines/>
      <w:spacing w:before="240" w:after="64" w:line="317" w:lineRule="auto"/>
      <w:outlineLvl w:val="7"/>
    </w:pPr>
    <w:rPr>
      <w:rFonts w:ascii="Arial" w:hAnsi="Arial" w:eastAsia="黑体"/>
      <w:sz w:val="24"/>
      <w:szCs w:val="20"/>
    </w:rPr>
  </w:style>
  <w:style w:type="paragraph" w:styleId="12">
    <w:name w:val="heading 9"/>
    <w:basedOn w:val="1"/>
    <w:next w:val="9"/>
    <w:link w:val="163"/>
    <w:autoRedefine/>
    <w:qFormat/>
    <w:uiPriority w:val="0"/>
    <w:pPr>
      <w:keepNext/>
      <w:keepLines/>
      <w:spacing w:before="240" w:after="64" w:line="317" w:lineRule="auto"/>
      <w:outlineLvl w:val="8"/>
    </w:pPr>
    <w:rPr>
      <w:rFonts w:ascii="Arial" w:hAnsi="Arial" w:eastAsia="黑体"/>
      <w:szCs w:val="20"/>
    </w:rPr>
  </w:style>
  <w:style w:type="character" w:default="1" w:styleId="55">
    <w:name w:val="Default Paragraph Font"/>
    <w:autoRedefine/>
    <w:semiHidden/>
    <w:unhideWhenUsed/>
    <w:qFormat/>
    <w:uiPriority w:val="1"/>
  </w:style>
  <w:style w:type="table" w:default="1" w:styleId="53">
    <w:name w:val="Normal Table"/>
    <w:autoRedefine/>
    <w:semiHidden/>
    <w:unhideWhenUsed/>
    <w:qFormat/>
    <w:uiPriority w:val="99"/>
    <w:tblPr>
      <w:tblCellMar>
        <w:top w:w="0" w:type="dxa"/>
        <w:left w:w="108" w:type="dxa"/>
        <w:bottom w:w="0" w:type="dxa"/>
        <w:right w:w="108" w:type="dxa"/>
      </w:tblCellMar>
    </w:tblPr>
  </w:style>
  <w:style w:type="paragraph" w:styleId="2">
    <w:name w:val="macro"/>
    <w:link w:val="118"/>
    <w:autoRedefine/>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imes New Roman" w:cs="Times New Roman"/>
      <w:kern w:val="2"/>
      <w:sz w:val="24"/>
      <w:szCs w:val="24"/>
      <w:lang w:val="en-US" w:eastAsia="zh-CN" w:bidi="ar-SA"/>
    </w:rPr>
  </w:style>
  <w:style w:type="paragraph" w:styleId="9">
    <w:name w:val="Normal Indent"/>
    <w:basedOn w:val="1"/>
    <w:next w:val="1"/>
    <w:link w:val="105"/>
    <w:autoRedefine/>
    <w:qFormat/>
    <w:uiPriority w:val="0"/>
    <w:pPr>
      <w:adjustRightInd w:val="0"/>
      <w:spacing w:line="312" w:lineRule="atLeast"/>
      <w:ind w:firstLine="420"/>
      <w:textAlignment w:val="baseline"/>
    </w:pPr>
    <w:rPr>
      <w:rFonts w:ascii="仿宋_GB2312"/>
      <w:b/>
      <w:kern w:val="0"/>
      <w:szCs w:val="32"/>
    </w:rPr>
  </w:style>
  <w:style w:type="paragraph" w:styleId="13">
    <w:name w:val="toc 7"/>
    <w:basedOn w:val="1"/>
    <w:next w:val="1"/>
    <w:autoRedefine/>
    <w:qFormat/>
    <w:uiPriority w:val="0"/>
    <w:pPr>
      <w:autoSpaceDE w:val="0"/>
      <w:autoSpaceDN w:val="0"/>
      <w:adjustRightInd w:val="0"/>
      <w:ind w:left="2520" w:leftChars="1200"/>
      <w:jc w:val="left"/>
    </w:pPr>
    <w:rPr>
      <w:kern w:val="0"/>
      <w:sz w:val="20"/>
      <w:szCs w:val="20"/>
    </w:rPr>
  </w:style>
  <w:style w:type="paragraph" w:styleId="14">
    <w:name w:val="List Number"/>
    <w:basedOn w:val="1"/>
    <w:autoRedefine/>
    <w:qFormat/>
    <w:uiPriority w:val="0"/>
    <w:pPr>
      <w:tabs>
        <w:tab w:val="left" w:pos="360"/>
      </w:tabs>
      <w:ind w:left="360" w:hanging="360" w:hangingChars="200"/>
    </w:pPr>
  </w:style>
  <w:style w:type="paragraph" w:styleId="15">
    <w:name w:val="caption"/>
    <w:basedOn w:val="1"/>
    <w:next w:val="1"/>
    <w:autoRedefine/>
    <w:qFormat/>
    <w:uiPriority w:val="0"/>
    <w:pPr>
      <w:autoSpaceDE w:val="0"/>
      <w:autoSpaceDN w:val="0"/>
      <w:adjustRightInd w:val="0"/>
      <w:jc w:val="left"/>
    </w:pPr>
    <w:rPr>
      <w:rFonts w:ascii="Arial" w:hAnsi="Arial" w:eastAsia="黑体" w:cs="Arial"/>
      <w:kern w:val="0"/>
      <w:sz w:val="20"/>
      <w:szCs w:val="20"/>
    </w:rPr>
  </w:style>
  <w:style w:type="paragraph" w:styleId="16">
    <w:name w:val="List Bullet"/>
    <w:basedOn w:val="1"/>
    <w:autoRedefine/>
    <w:qFormat/>
    <w:uiPriority w:val="0"/>
    <w:pPr>
      <w:tabs>
        <w:tab w:val="left" w:pos="360"/>
      </w:tabs>
    </w:pPr>
    <w:rPr>
      <w:rFonts w:ascii="Calibri" w:hAnsi="Calibri"/>
      <w:szCs w:val="22"/>
    </w:rPr>
  </w:style>
  <w:style w:type="paragraph" w:styleId="17">
    <w:name w:val="Document Map"/>
    <w:basedOn w:val="1"/>
    <w:link w:val="131"/>
    <w:autoRedefine/>
    <w:qFormat/>
    <w:uiPriority w:val="0"/>
    <w:pPr>
      <w:shd w:val="clear" w:color="auto" w:fill="000080"/>
    </w:pPr>
  </w:style>
  <w:style w:type="paragraph" w:styleId="18">
    <w:name w:val="annotation text"/>
    <w:basedOn w:val="1"/>
    <w:link w:val="91"/>
    <w:autoRedefine/>
    <w:qFormat/>
    <w:uiPriority w:val="0"/>
    <w:pPr>
      <w:jc w:val="left"/>
    </w:pPr>
  </w:style>
  <w:style w:type="paragraph" w:styleId="19">
    <w:name w:val="Salutation"/>
    <w:basedOn w:val="1"/>
    <w:next w:val="1"/>
    <w:link w:val="79"/>
    <w:autoRedefine/>
    <w:qFormat/>
    <w:uiPriority w:val="0"/>
    <w:pPr>
      <w:tabs>
        <w:tab w:val="left" w:pos="840"/>
      </w:tabs>
      <w:autoSpaceDE w:val="0"/>
      <w:autoSpaceDN w:val="0"/>
      <w:adjustRightInd w:val="0"/>
      <w:jc w:val="left"/>
    </w:pPr>
    <w:rPr>
      <w:rFonts w:ascii="仿宋_GB2312" w:eastAsia="仿宋_GB2312"/>
      <w:b/>
      <w:kern w:val="0"/>
      <w:sz w:val="24"/>
      <w:szCs w:val="32"/>
    </w:rPr>
  </w:style>
  <w:style w:type="paragraph" w:styleId="20">
    <w:name w:val="Body Text 3"/>
    <w:basedOn w:val="1"/>
    <w:link w:val="95"/>
    <w:autoRedefine/>
    <w:qFormat/>
    <w:uiPriority w:val="0"/>
    <w:pPr>
      <w:autoSpaceDE w:val="0"/>
      <w:autoSpaceDN w:val="0"/>
      <w:adjustRightInd w:val="0"/>
      <w:jc w:val="center"/>
    </w:pPr>
  </w:style>
  <w:style w:type="paragraph" w:styleId="21">
    <w:name w:val="Body Text"/>
    <w:basedOn w:val="1"/>
    <w:next w:val="22"/>
    <w:link w:val="164"/>
    <w:autoRedefine/>
    <w:qFormat/>
    <w:uiPriority w:val="0"/>
    <w:pPr>
      <w:spacing w:after="120"/>
    </w:pPr>
    <w:rPr>
      <w:rFonts w:ascii="仿宋_GB2312"/>
      <w:b/>
    </w:rPr>
  </w:style>
  <w:style w:type="paragraph" w:styleId="22">
    <w:name w:val="toc 4"/>
    <w:basedOn w:val="1"/>
    <w:next w:val="1"/>
    <w:autoRedefine/>
    <w:qFormat/>
    <w:uiPriority w:val="0"/>
    <w:pPr>
      <w:autoSpaceDE w:val="0"/>
      <w:autoSpaceDN w:val="0"/>
      <w:adjustRightInd w:val="0"/>
      <w:ind w:left="1260" w:leftChars="600"/>
      <w:jc w:val="left"/>
    </w:pPr>
    <w:rPr>
      <w:kern w:val="0"/>
      <w:sz w:val="20"/>
      <w:szCs w:val="20"/>
    </w:rPr>
  </w:style>
  <w:style w:type="paragraph" w:styleId="23">
    <w:name w:val="Body Text Indent"/>
    <w:basedOn w:val="1"/>
    <w:link w:val="144"/>
    <w:autoRedefine/>
    <w:qFormat/>
    <w:uiPriority w:val="0"/>
    <w:pPr>
      <w:ind w:left="480" w:hanging="480" w:hangingChars="200"/>
    </w:pPr>
    <w:rPr>
      <w:sz w:val="24"/>
    </w:rPr>
  </w:style>
  <w:style w:type="paragraph" w:styleId="24">
    <w:name w:val="List Number 3"/>
    <w:basedOn w:val="1"/>
    <w:autoRedefine/>
    <w:qFormat/>
    <w:uiPriority w:val="0"/>
    <w:pPr>
      <w:tabs>
        <w:tab w:val="left" w:pos="1200"/>
      </w:tabs>
      <w:ind w:left="1200" w:leftChars="400" w:hanging="360" w:hangingChars="200"/>
    </w:pPr>
  </w:style>
  <w:style w:type="paragraph" w:styleId="25">
    <w:name w:val="Block Text"/>
    <w:basedOn w:val="1"/>
    <w:autoRedefine/>
    <w:qFormat/>
    <w:uiPriority w:val="0"/>
    <w:pPr>
      <w:spacing w:line="520" w:lineRule="exact"/>
      <w:ind w:left="540" w:leftChars="257" w:right="-514"/>
    </w:pPr>
    <w:rPr>
      <w:rFonts w:ascii="宋体" w:hAnsi="宋体"/>
      <w:sz w:val="24"/>
    </w:rPr>
  </w:style>
  <w:style w:type="paragraph" w:styleId="26">
    <w:name w:val="List Bullet 2"/>
    <w:basedOn w:val="1"/>
    <w:autoRedefine/>
    <w:qFormat/>
    <w:uiPriority w:val="0"/>
    <w:pPr>
      <w:tabs>
        <w:tab w:val="left" w:pos="780"/>
      </w:tabs>
      <w:spacing w:line="360" w:lineRule="auto"/>
      <w:ind w:left="780" w:leftChars="200" w:hanging="360" w:hangingChars="200"/>
    </w:pPr>
  </w:style>
  <w:style w:type="paragraph" w:styleId="27">
    <w:name w:val="toc 5"/>
    <w:basedOn w:val="1"/>
    <w:next w:val="1"/>
    <w:autoRedefine/>
    <w:qFormat/>
    <w:uiPriority w:val="0"/>
    <w:pPr>
      <w:autoSpaceDE w:val="0"/>
      <w:autoSpaceDN w:val="0"/>
      <w:adjustRightInd w:val="0"/>
      <w:ind w:left="1680" w:leftChars="800"/>
      <w:jc w:val="left"/>
    </w:pPr>
    <w:rPr>
      <w:kern w:val="0"/>
      <w:sz w:val="20"/>
      <w:szCs w:val="20"/>
    </w:rPr>
  </w:style>
  <w:style w:type="paragraph" w:styleId="28">
    <w:name w:val="toc 3"/>
    <w:basedOn w:val="1"/>
    <w:next w:val="1"/>
    <w:autoRedefine/>
    <w:qFormat/>
    <w:uiPriority w:val="0"/>
    <w:pPr>
      <w:ind w:left="840" w:leftChars="400"/>
    </w:pPr>
  </w:style>
  <w:style w:type="paragraph" w:styleId="29">
    <w:name w:val="Plain Text"/>
    <w:basedOn w:val="1"/>
    <w:link w:val="192"/>
    <w:autoRedefine/>
    <w:qFormat/>
    <w:uiPriority w:val="0"/>
    <w:pPr>
      <w:widowControl/>
      <w:overflowPunct w:val="0"/>
      <w:autoSpaceDE w:val="0"/>
      <w:autoSpaceDN w:val="0"/>
      <w:adjustRightInd w:val="0"/>
      <w:jc w:val="left"/>
      <w:textAlignment w:val="baseline"/>
    </w:pPr>
    <w:rPr>
      <w:rFonts w:ascii="宋体" w:hAnsi="Courier New"/>
      <w:b/>
      <w:kern w:val="0"/>
      <w:szCs w:val="21"/>
    </w:rPr>
  </w:style>
  <w:style w:type="paragraph" w:styleId="30">
    <w:name w:val="List Number 4"/>
    <w:basedOn w:val="1"/>
    <w:autoRedefine/>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1">
    <w:name w:val="toc 8"/>
    <w:basedOn w:val="1"/>
    <w:next w:val="1"/>
    <w:autoRedefine/>
    <w:qFormat/>
    <w:uiPriority w:val="0"/>
    <w:pPr>
      <w:autoSpaceDE w:val="0"/>
      <w:autoSpaceDN w:val="0"/>
      <w:adjustRightInd w:val="0"/>
      <w:ind w:left="2940" w:leftChars="1400"/>
      <w:jc w:val="left"/>
    </w:pPr>
    <w:rPr>
      <w:kern w:val="0"/>
      <w:sz w:val="20"/>
      <w:szCs w:val="20"/>
    </w:rPr>
  </w:style>
  <w:style w:type="paragraph" w:styleId="32">
    <w:name w:val="Date"/>
    <w:basedOn w:val="1"/>
    <w:next w:val="1"/>
    <w:link w:val="133"/>
    <w:autoRedefine/>
    <w:qFormat/>
    <w:uiPriority w:val="0"/>
    <w:pPr>
      <w:ind w:left="100" w:leftChars="2500"/>
    </w:pPr>
  </w:style>
  <w:style w:type="paragraph" w:styleId="33">
    <w:name w:val="Body Text Indent 2"/>
    <w:basedOn w:val="1"/>
    <w:link w:val="178"/>
    <w:autoRedefine/>
    <w:qFormat/>
    <w:uiPriority w:val="0"/>
    <w:pPr>
      <w:spacing w:line="500" w:lineRule="exact"/>
      <w:ind w:firstLine="511" w:firstLineChars="213"/>
    </w:pPr>
    <w:rPr>
      <w:sz w:val="24"/>
    </w:rPr>
  </w:style>
  <w:style w:type="paragraph" w:styleId="34">
    <w:name w:val="Balloon Text"/>
    <w:basedOn w:val="1"/>
    <w:link w:val="151"/>
    <w:autoRedefine/>
    <w:qFormat/>
    <w:uiPriority w:val="0"/>
    <w:rPr>
      <w:sz w:val="18"/>
      <w:szCs w:val="18"/>
    </w:rPr>
  </w:style>
  <w:style w:type="paragraph" w:styleId="35">
    <w:name w:val="footer"/>
    <w:basedOn w:val="1"/>
    <w:link w:val="120"/>
    <w:autoRedefine/>
    <w:qFormat/>
    <w:uiPriority w:val="0"/>
    <w:pPr>
      <w:tabs>
        <w:tab w:val="center" w:pos="4153"/>
        <w:tab w:val="right" w:pos="8306"/>
      </w:tabs>
      <w:snapToGrid w:val="0"/>
      <w:jc w:val="left"/>
    </w:pPr>
    <w:rPr>
      <w:sz w:val="18"/>
      <w:szCs w:val="18"/>
    </w:rPr>
  </w:style>
  <w:style w:type="paragraph" w:styleId="36">
    <w:name w:val="header"/>
    <w:basedOn w:val="1"/>
    <w:link w:val="135"/>
    <w:autoRedefine/>
    <w:qFormat/>
    <w:uiPriority w:val="0"/>
    <w:pPr>
      <w:pBdr>
        <w:bottom w:val="single" w:color="auto" w:sz="6" w:space="1"/>
      </w:pBdr>
      <w:tabs>
        <w:tab w:val="center" w:pos="4153"/>
        <w:tab w:val="right" w:pos="8306"/>
      </w:tabs>
      <w:snapToGrid w:val="0"/>
      <w:jc w:val="center"/>
    </w:pPr>
    <w:rPr>
      <w:sz w:val="18"/>
      <w:szCs w:val="18"/>
    </w:rPr>
  </w:style>
  <w:style w:type="paragraph" w:styleId="37">
    <w:name w:val="Signature"/>
    <w:basedOn w:val="1"/>
    <w:link w:val="154"/>
    <w:autoRedefine/>
    <w:qFormat/>
    <w:uiPriority w:val="0"/>
    <w:pPr>
      <w:autoSpaceDE w:val="0"/>
      <w:autoSpaceDN w:val="0"/>
      <w:adjustRightInd w:val="0"/>
      <w:spacing w:after="600" w:line="312" w:lineRule="atLeast"/>
      <w:jc w:val="center"/>
      <w:textAlignment w:val="baseline"/>
    </w:pPr>
    <w:rPr>
      <w:rFonts w:ascii="仿宋_GB2312" w:eastAsia="仿宋_GB2312"/>
      <w:b/>
      <w:kern w:val="0"/>
      <w:sz w:val="24"/>
      <w:szCs w:val="32"/>
    </w:rPr>
  </w:style>
  <w:style w:type="paragraph" w:styleId="38">
    <w:name w:val="toc 1"/>
    <w:basedOn w:val="39"/>
    <w:next w:val="1"/>
    <w:autoRedefine/>
    <w:qFormat/>
    <w:uiPriority w:val="0"/>
  </w:style>
  <w:style w:type="paragraph" w:styleId="39">
    <w:name w:val="index 1"/>
    <w:basedOn w:val="1"/>
    <w:next w:val="1"/>
    <w:autoRedefine/>
    <w:qFormat/>
    <w:uiPriority w:val="0"/>
  </w:style>
  <w:style w:type="paragraph" w:styleId="40">
    <w:name w:val="Subtitle"/>
    <w:basedOn w:val="1"/>
    <w:next w:val="1"/>
    <w:link w:val="134"/>
    <w:autoRedefine/>
    <w:qFormat/>
    <w:uiPriority w:val="0"/>
    <w:pPr>
      <w:spacing w:before="240" w:after="60" w:line="312" w:lineRule="auto"/>
      <w:jc w:val="center"/>
      <w:outlineLvl w:val="1"/>
    </w:pPr>
    <w:rPr>
      <w:rFonts w:ascii="Cambria" w:hAnsi="Cambria"/>
      <w:b/>
      <w:bCs/>
      <w:kern w:val="28"/>
      <w:sz w:val="32"/>
      <w:szCs w:val="32"/>
    </w:rPr>
  </w:style>
  <w:style w:type="paragraph" w:styleId="41">
    <w:name w:val="List Number 5"/>
    <w:basedOn w:val="1"/>
    <w:autoRedefine/>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2">
    <w:name w:val="List"/>
    <w:basedOn w:val="1"/>
    <w:autoRedefine/>
    <w:qFormat/>
    <w:uiPriority w:val="0"/>
    <w:pPr>
      <w:ind w:left="200" w:hanging="200" w:hangingChars="200"/>
    </w:pPr>
  </w:style>
  <w:style w:type="paragraph" w:styleId="43">
    <w:name w:val="toc 6"/>
    <w:basedOn w:val="1"/>
    <w:next w:val="1"/>
    <w:autoRedefine/>
    <w:qFormat/>
    <w:uiPriority w:val="0"/>
    <w:pPr>
      <w:autoSpaceDE w:val="0"/>
      <w:autoSpaceDN w:val="0"/>
      <w:adjustRightInd w:val="0"/>
      <w:ind w:left="2100" w:leftChars="1000"/>
      <w:jc w:val="left"/>
    </w:pPr>
    <w:rPr>
      <w:kern w:val="0"/>
      <w:sz w:val="20"/>
      <w:szCs w:val="20"/>
    </w:rPr>
  </w:style>
  <w:style w:type="paragraph" w:styleId="44">
    <w:name w:val="Body Text Indent 3"/>
    <w:basedOn w:val="1"/>
    <w:link w:val="146"/>
    <w:autoRedefine/>
    <w:qFormat/>
    <w:uiPriority w:val="0"/>
    <w:pPr>
      <w:spacing w:line="500" w:lineRule="exact"/>
      <w:ind w:left="511" w:hanging="511" w:hangingChars="213"/>
    </w:pPr>
    <w:rPr>
      <w:sz w:val="24"/>
    </w:rPr>
  </w:style>
  <w:style w:type="paragraph" w:styleId="45">
    <w:name w:val="toc 2"/>
    <w:basedOn w:val="1"/>
    <w:next w:val="1"/>
    <w:autoRedefine/>
    <w:qFormat/>
    <w:uiPriority w:val="0"/>
    <w:pPr>
      <w:ind w:left="420" w:leftChars="200"/>
    </w:pPr>
  </w:style>
  <w:style w:type="paragraph" w:styleId="46">
    <w:name w:val="toc 9"/>
    <w:basedOn w:val="1"/>
    <w:next w:val="1"/>
    <w:autoRedefine/>
    <w:qFormat/>
    <w:uiPriority w:val="0"/>
    <w:pPr>
      <w:autoSpaceDE w:val="0"/>
      <w:autoSpaceDN w:val="0"/>
      <w:adjustRightInd w:val="0"/>
      <w:ind w:left="3360" w:leftChars="1600"/>
      <w:jc w:val="left"/>
    </w:pPr>
    <w:rPr>
      <w:kern w:val="0"/>
      <w:sz w:val="20"/>
      <w:szCs w:val="20"/>
    </w:rPr>
  </w:style>
  <w:style w:type="paragraph" w:styleId="47">
    <w:name w:val="Body Text 2"/>
    <w:basedOn w:val="1"/>
    <w:link w:val="198"/>
    <w:autoRedefine/>
    <w:qFormat/>
    <w:uiPriority w:val="0"/>
    <w:pPr>
      <w:autoSpaceDE w:val="0"/>
      <w:autoSpaceDN w:val="0"/>
      <w:adjustRightInd w:val="0"/>
      <w:spacing w:after="120" w:line="480" w:lineRule="auto"/>
      <w:jc w:val="left"/>
    </w:pPr>
  </w:style>
  <w:style w:type="paragraph" w:styleId="48">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49">
    <w:name w:val="Title"/>
    <w:basedOn w:val="1"/>
    <w:next w:val="1"/>
    <w:link w:val="111"/>
    <w:autoRedefine/>
    <w:qFormat/>
    <w:uiPriority w:val="0"/>
    <w:pPr>
      <w:spacing w:before="240" w:after="60"/>
      <w:jc w:val="center"/>
      <w:outlineLvl w:val="0"/>
    </w:pPr>
    <w:rPr>
      <w:rFonts w:ascii="Cambria" w:hAnsi="Cambria"/>
      <w:b/>
      <w:bCs/>
      <w:sz w:val="32"/>
      <w:szCs w:val="32"/>
    </w:rPr>
  </w:style>
  <w:style w:type="paragraph" w:styleId="50">
    <w:name w:val="annotation subject"/>
    <w:basedOn w:val="18"/>
    <w:next w:val="18"/>
    <w:link w:val="96"/>
    <w:autoRedefine/>
    <w:qFormat/>
    <w:uiPriority w:val="0"/>
    <w:rPr>
      <w:b/>
      <w:bCs/>
    </w:rPr>
  </w:style>
  <w:style w:type="paragraph" w:styleId="51">
    <w:name w:val="Body Text First Indent"/>
    <w:basedOn w:val="21"/>
    <w:next w:val="43"/>
    <w:link w:val="196"/>
    <w:autoRedefine/>
    <w:qFormat/>
    <w:uiPriority w:val="0"/>
    <w:pPr>
      <w:autoSpaceDE w:val="0"/>
      <w:autoSpaceDN w:val="0"/>
      <w:adjustRightInd w:val="0"/>
      <w:ind w:firstLine="420" w:firstLineChars="100"/>
      <w:jc w:val="left"/>
    </w:pPr>
    <w:rPr>
      <w:rFonts w:ascii="Times New Roman"/>
      <w:b w:val="0"/>
      <w:kern w:val="0"/>
      <w:sz w:val="20"/>
      <w:szCs w:val="20"/>
    </w:rPr>
  </w:style>
  <w:style w:type="paragraph" w:styleId="52">
    <w:name w:val="Body Text First Indent 2"/>
    <w:basedOn w:val="23"/>
    <w:autoRedefine/>
    <w:qFormat/>
    <w:uiPriority w:val="0"/>
    <w:pPr>
      <w:spacing w:after="120"/>
      <w:ind w:left="420" w:leftChars="200" w:firstLine="420"/>
    </w:pPr>
    <w:rPr>
      <w:rFonts w:cs="宋体"/>
      <w:sz w:val="21"/>
      <w:szCs w:val="21"/>
    </w:rPr>
  </w:style>
  <w:style w:type="table" w:styleId="54">
    <w:name w:val="Table Grid"/>
    <w:basedOn w:val="5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6">
    <w:name w:val="Strong"/>
    <w:basedOn w:val="55"/>
    <w:autoRedefine/>
    <w:qFormat/>
    <w:uiPriority w:val="0"/>
    <w:rPr>
      <w:rFonts w:ascii="仿宋_GB2312" w:eastAsia="仿宋_GB2312"/>
      <w:bCs/>
      <w:sz w:val="32"/>
      <w:szCs w:val="32"/>
    </w:rPr>
  </w:style>
  <w:style w:type="character" w:styleId="57">
    <w:name w:val="page number"/>
    <w:basedOn w:val="55"/>
    <w:autoRedefine/>
    <w:qFormat/>
    <w:uiPriority w:val="0"/>
  </w:style>
  <w:style w:type="character" w:styleId="58">
    <w:name w:val="FollowedHyperlink"/>
    <w:autoRedefine/>
    <w:qFormat/>
    <w:uiPriority w:val="0"/>
    <w:rPr>
      <w:rFonts w:ascii="仿宋_GB2312" w:eastAsia="仿宋_GB2312"/>
      <w:b/>
      <w:color w:val="800080"/>
      <w:sz w:val="32"/>
      <w:szCs w:val="32"/>
      <w:u w:val="none"/>
    </w:rPr>
  </w:style>
  <w:style w:type="character" w:styleId="59">
    <w:name w:val="Emphasis"/>
    <w:autoRedefine/>
    <w:qFormat/>
    <w:uiPriority w:val="0"/>
    <w:rPr>
      <w:i/>
      <w:iCs/>
    </w:rPr>
  </w:style>
  <w:style w:type="character" w:styleId="60">
    <w:name w:val="line number"/>
    <w:basedOn w:val="55"/>
    <w:autoRedefine/>
    <w:qFormat/>
    <w:uiPriority w:val="0"/>
  </w:style>
  <w:style w:type="character" w:styleId="61">
    <w:name w:val="Hyperlink"/>
    <w:autoRedefine/>
    <w:qFormat/>
    <w:uiPriority w:val="0"/>
    <w:rPr>
      <w:rFonts w:ascii="仿宋_GB2312" w:eastAsia="仿宋_GB2312"/>
      <w:b/>
      <w:color w:val="0000FF"/>
      <w:sz w:val="32"/>
      <w:szCs w:val="32"/>
      <w:u w:val="none"/>
    </w:rPr>
  </w:style>
  <w:style w:type="character" w:styleId="62">
    <w:name w:val="annotation reference"/>
    <w:autoRedefine/>
    <w:qFormat/>
    <w:uiPriority w:val="0"/>
    <w:rPr>
      <w:sz w:val="21"/>
      <w:szCs w:val="21"/>
    </w:rPr>
  </w:style>
  <w:style w:type="character" w:styleId="63">
    <w:name w:val="HTML Cite"/>
    <w:autoRedefine/>
    <w:qFormat/>
    <w:uiPriority w:val="0"/>
    <w:rPr>
      <w:color w:val="008000"/>
    </w:rPr>
  </w:style>
  <w:style w:type="paragraph" w:customStyle="1" w:styleId="64">
    <w:name w:val="Char3 Char Char Char"/>
    <w:basedOn w:val="1"/>
    <w:autoRedefine/>
    <w:qFormat/>
    <w:uiPriority w:val="0"/>
  </w:style>
  <w:style w:type="character" w:customStyle="1" w:styleId="65">
    <w:name w:val="不明显参考1"/>
    <w:autoRedefine/>
    <w:qFormat/>
    <w:uiPriority w:val="0"/>
    <w:rPr>
      <w:smallCaps/>
      <w:color w:val="C0504D"/>
      <w:u w:val="single"/>
    </w:rPr>
  </w:style>
  <w:style w:type="character" w:customStyle="1" w:styleId="66">
    <w:name w:val="PI Char1"/>
    <w:autoRedefine/>
    <w:qFormat/>
    <w:uiPriority w:val="0"/>
    <w:rPr>
      <w:rFonts w:eastAsia="宋体"/>
      <w:kern w:val="2"/>
      <w:sz w:val="24"/>
      <w:szCs w:val="24"/>
      <w:lang w:val="en-US" w:eastAsia="zh-CN" w:bidi="ar-SA"/>
    </w:rPr>
  </w:style>
  <w:style w:type="character" w:customStyle="1" w:styleId="67">
    <w:name w:val="标题 2 Char"/>
    <w:link w:val="4"/>
    <w:autoRedefine/>
    <w:qFormat/>
    <w:uiPriority w:val="0"/>
    <w:rPr>
      <w:rFonts w:ascii="仿宋_GB2312" w:eastAsia="宋体"/>
      <w:b/>
      <w:kern w:val="2"/>
      <w:sz w:val="28"/>
      <w:szCs w:val="32"/>
      <w:lang w:val="en-US" w:eastAsia="zh-CN" w:bidi="ar-SA"/>
    </w:rPr>
  </w:style>
  <w:style w:type="character" w:customStyle="1" w:styleId="68">
    <w:name w:val="pt141"/>
    <w:autoRedefine/>
    <w:qFormat/>
    <w:uiPriority w:val="0"/>
    <w:rPr>
      <w:color w:val="330066"/>
      <w:spacing w:val="450"/>
      <w:sz w:val="22"/>
      <w:szCs w:val="22"/>
    </w:rPr>
  </w:style>
  <w:style w:type="character" w:customStyle="1" w:styleId="69">
    <w:name w:val="Char Char27"/>
    <w:autoRedefine/>
    <w:qFormat/>
    <w:uiPriority w:val="0"/>
    <w:rPr>
      <w:rFonts w:eastAsia="宋体"/>
      <w:kern w:val="2"/>
      <w:sz w:val="28"/>
      <w:lang w:val="en-US" w:eastAsia="zh-CN" w:bidi="ar-SA"/>
    </w:rPr>
  </w:style>
  <w:style w:type="character" w:customStyle="1" w:styleId="70">
    <w:name w:val="标题 7 Char"/>
    <w:link w:val="10"/>
    <w:autoRedefine/>
    <w:qFormat/>
    <w:uiPriority w:val="0"/>
    <w:rPr>
      <w:rFonts w:eastAsia="宋体"/>
      <w:b/>
      <w:kern w:val="2"/>
      <w:sz w:val="24"/>
      <w:lang w:val="en-US" w:eastAsia="zh-CN" w:bidi="ar-SA"/>
    </w:rPr>
  </w:style>
  <w:style w:type="character" w:customStyle="1" w:styleId="71">
    <w:name w:val="明显参考1"/>
    <w:autoRedefine/>
    <w:qFormat/>
    <w:uiPriority w:val="0"/>
    <w:rPr>
      <w:b/>
      <w:bCs/>
      <w:smallCaps/>
      <w:color w:val="C0504D"/>
      <w:spacing w:val="5"/>
      <w:u w:val="single"/>
    </w:rPr>
  </w:style>
  <w:style w:type="character" w:customStyle="1" w:styleId="72">
    <w:name w:val="书籍标题1"/>
    <w:autoRedefine/>
    <w:qFormat/>
    <w:uiPriority w:val="0"/>
    <w:rPr>
      <w:b/>
      <w:bCs/>
      <w:smallCaps/>
      <w:spacing w:val="5"/>
    </w:rPr>
  </w:style>
  <w:style w:type="character" w:customStyle="1" w:styleId="73">
    <w:name w:val="Char Char61"/>
    <w:autoRedefine/>
    <w:qFormat/>
    <w:uiPriority w:val="0"/>
    <w:rPr>
      <w:rFonts w:ascii="Times New Roman" w:hAnsi="Times New Roman" w:eastAsia="宋体" w:cs="Times New Roman"/>
      <w:szCs w:val="24"/>
    </w:rPr>
  </w:style>
  <w:style w:type="character" w:customStyle="1" w:styleId="74">
    <w:name w:val="Char Char24"/>
    <w:autoRedefine/>
    <w:qFormat/>
    <w:uiPriority w:val="0"/>
    <w:rPr>
      <w:rFonts w:eastAsia="宋体"/>
      <w:b/>
      <w:kern w:val="2"/>
      <w:sz w:val="28"/>
      <w:lang w:val="en-US" w:eastAsia="zh-CN" w:bidi="ar-SA"/>
    </w:rPr>
  </w:style>
  <w:style w:type="character" w:customStyle="1" w:styleId="75">
    <w:name w:val="Style4"/>
    <w:autoRedefine/>
    <w:qFormat/>
    <w:uiPriority w:val="0"/>
    <w:rPr>
      <w:rFonts w:ascii="Calibri" w:hAnsi="宋体" w:eastAsia="宋体" w:cs="Times New Roman"/>
      <w:szCs w:val="22"/>
      <w:lang w:eastAsia="zh-CN"/>
    </w:rPr>
  </w:style>
  <w:style w:type="character" w:customStyle="1" w:styleId="76">
    <w:name w:val="Style1"/>
    <w:autoRedefine/>
    <w:qFormat/>
    <w:uiPriority w:val="0"/>
    <w:rPr>
      <w:rFonts w:ascii="Calibri" w:hAnsi="宋体" w:eastAsia="宋体" w:cs="Times New Roman"/>
      <w:sz w:val="22"/>
      <w:szCs w:val="22"/>
      <w:lang w:eastAsia="zh-CN"/>
    </w:rPr>
  </w:style>
  <w:style w:type="character" w:customStyle="1" w:styleId="77">
    <w:name w:val="heading 1 Char1"/>
    <w:autoRedefine/>
    <w:qFormat/>
    <w:uiPriority w:val="0"/>
    <w:rPr>
      <w:rFonts w:eastAsia="宋体"/>
      <w:b/>
      <w:bCs/>
      <w:kern w:val="44"/>
      <w:sz w:val="44"/>
      <w:szCs w:val="44"/>
      <w:lang w:val="en-US" w:eastAsia="zh-CN" w:bidi="ar-SA"/>
    </w:rPr>
  </w:style>
  <w:style w:type="character" w:customStyle="1" w:styleId="78">
    <w:name w:val="Style5"/>
    <w:autoRedefine/>
    <w:qFormat/>
    <w:uiPriority w:val="0"/>
    <w:rPr>
      <w:rFonts w:ascii="Calibri" w:hAnsi="宋体" w:eastAsia="宋体" w:cs="Times New Roman"/>
      <w:sz w:val="22"/>
      <w:szCs w:val="22"/>
      <w:lang w:eastAsia="zh-CN"/>
    </w:rPr>
  </w:style>
  <w:style w:type="character" w:customStyle="1" w:styleId="79">
    <w:name w:val="称呼 Char"/>
    <w:link w:val="19"/>
    <w:autoRedefine/>
    <w:qFormat/>
    <w:uiPriority w:val="0"/>
    <w:rPr>
      <w:rFonts w:ascii="仿宋_GB2312" w:eastAsia="仿宋_GB2312"/>
      <w:b/>
      <w:sz w:val="24"/>
      <w:szCs w:val="32"/>
    </w:rPr>
  </w:style>
  <w:style w:type="character" w:customStyle="1" w:styleId="80">
    <w:name w:val="Ò³Ã¼ Char Char2"/>
    <w:autoRedefine/>
    <w:qFormat/>
    <w:uiPriority w:val="0"/>
    <w:rPr>
      <w:kern w:val="2"/>
      <w:sz w:val="18"/>
      <w:szCs w:val="18"/>
    </w:rPr>
  </w:style>
  <w:style w:type="character" w:customStyle="1" w:styleId="81">
    <w:name w:val="明显强调1"/>
    <w:autoRedefine/>
    <w:qFormat/>
    <w:uiPriority w:val="0"/>
    <w:rPr>
      <w:b/>
      <w:bCs/>
      <w:i/>
      <w:iCs/>
      <w:color w:val="4F81BD"/>
    </w:rPr>
  </w:style>
  <w:style w:type="character" w:customStyle="1" w:styleId="82">
    <w:name w:val="样式 标题 3 + 黑体 小四 Char Char"/>
    <w:link w:val="83"/>
    <w:autoRedefine/>
    <w:qFormat/>
    <w:uiPriority w:val="0"/>
    <w:rPr>
      <w:rFonts w:ascii="黑体" w:hAnsi="Arial" w:eastAsia="黑体"/>
      <w:bCs/>
      <w:sz w:val="24"/>
      <w:szCs w:val="24"/>
      <w:lang w:bidi="ar-SA"/>
    </w:rPr>
  </w:style>
  <w:style w:type="paragraph" w:customStyle="1" w:styleId="83">
    <w:name w:val="样式 标题 3 + 黑体 小四"/>
    <w:basedOn w:val="5"/>
    <w:link w:val="82"/>
    <w:autoRedefine/>
    <w:qFormat/>
    <w:uiPriority w:val="0"/>
    <w:pPr>
      <w:spacing w:before="260" w:after="260" w:line="413" w:lineRule="auto"/>
    </w:pPr>
    <w:rPr>
      <w:rFonts w:ascii="黑体" w:hAnsi="Arial"/>
      <w:b w:val="0"/>
      <w:bCs/>
      <w:kern w:val="0"/>
      <w:sz w:val="24"/>
      <w:szCs w:val="24"/>
    </w:rPr>
  </w:style>
  <w:style w:type="character" w:customStyle="1" w:styleId="84">
    <w:name w:val="heading 7 Char1"/>
    <w:autoRedefine/>
    <w:qFormat/>
    <w:uiPriority w:val="0"/>
    <w:rPr>
      <w:rFonts w:ascii="Arial" w:hAnsi="Arial" w:eastAsia="黑体"/>
      <w:sz w:val="21"/>
      <w:szCs w:val="21"/>
      <w:lang w:val="en-US" w:eastAsia="zh-CN" w:bidi="ar-SA"/>
    </w:rPr>
  </w:style>
  <w:style w:type="character" w:customStyle="1" w:styleId="85">
    <w:name w:val="Char Char1"/>
    <w:autoRedefine/>
    <w:qFormat/>
    <w:uiPriority w:val="0"/>
    <w:rPr>
      <w:rFonts w:eastAsia="宋体"/>
      <w:sz w:val="21"/>
      <w:lang w:val="en-US" w:eastAsia="zh-CN" w:bidi="ar-SA"/>
    </w:rPr>
  </w:style>
  <w:style w:type="character" w:customStyle="1" w:styleId="86">
    <w:name w:val="Char Char12"/>
    <w:autoRedefine/>
    <w:qFormat/>
    <w:uiPriority w:val="0"/>
    <w:rPr>
      <w:rFonts w:eastAsia="宋体"/>
      <w:kern w:val="2"/>
      <w:sz w:val="21"/>
      <w:szCs w:val="24"/>
      <w:lang w:val="en-US" w:eastAsia="zh-CN" w:bidi="ar-SA"/>
    </w:rPr>
  </w:style>
  <w:style w:type="character" w:customStyle="1" w:styleId="87">
    <w:name w:val="Char Char18"/>
    <w:autoRedefine/>
    <w:qFormat/>
    <w:uiPriority w:val="0"/>
    <w:rPr>
      <w:b/>
      <w:bCs/>
      <w:kern w:val="2"/>
      <w:sz w:val="32"/>
      <w:szCs w:val="32"/>
    </w:rPr>
  </w:style>
  <w:style w:type="character" w:customStyle="1" w:styleId="88">
    <w:name w:val="Char Char4"/>
    <w:autoRedefine/>
    <w:qFormat/>
    <w:uiPriority w:val="0"/>
    <w:rPr>
      <w:rFonts w:ascii="Cambria" w:hAnsi="Cambria" w:eastAsia="宋体"/>
      <w:b/>
      <w:bCs/>
      <w:sz w:val="32"/>
      <w:szCs w:val="32"/>
      <w:lang w:bidi="ar-SA"/>
    </w:rPr>
  </w:style>
  <w:style w:type="character" w:customStyle="1" w:styleId="89">
    <w:name w:val="PI Char"/>
    <w:autoRedefine/>
    <w:qFormat/>
    <w:uiPriority w:val="0"/>
    <w:rPr>
      <w:rFonts w:ascii="宋体" w:hAnsi="宋体"/>
      <w:sz w:val="24"/>
    </w:rPr>
  </w:style>
  <w:style w:type="character" w:customStyle="1" w:styleId="90">
    <w:name w:val="明显参考2"/>
    <w:autoRedefine/>
    <w:qFormat/>
    <w:uiPriority w:val="0"/>
    <w:rPr>
      <w:b/>
      <w:bCs/>
      <w:smallCaps/>
      <w:color w:val="C0504D"/>
      <w:spacing w:val="5"/>
      <w:u w:val="single"/>
    </w:rPr>
  </w:style>
  <w:style w:type="character" w:customStyle="1" w:styleId="91">
    <w:name w:val="批注文字 Char"/>
    <w:link w:val="18"/>
    <w:autoRedefine/>
    <w:qFormat/>
    <w:uiPriority w:val="0"/>
    <w:rPr>
      <w:rFonts w:eastAsia="宋体"/>
      <w:kern w:val="2"/>
      <w:sz w:val="21"/>
      <w:szCs w:val="24"/>
      <w:lang w:val="en-US" w:eastAsia="zh-CN" w:bidi="ar-SA"/>
    </w:rPr>
  </w:style>
  <w:style w:type="character" w:customStyle="1" w:styleId="92">
    <w:name w:val="Style2"/>
    <w:autoRedefine/>
    <w:qFormat/>
    <w:uiPriority w:val="0"/>
    <w:rPr>
      <w:rFonts w:ascii="Calibri" w:hAnsi="宋体" w:eastAsia="宋体" w:cs="Times New Roman"/>
      <w:sz w:val="22"/>
      <w:szCs w:val="22"/>
      <w:lang w:eastAsia="zh-CN"/>
    </w:rPr>
  </w:style>
  <w:style w:type="character" w:customStyle="1" w:styleId="93">
    <w:name w:val="Footer-Even Char1"/>
    <w:autoRedefine/>
    <w:qFormat/>
    <w:uiPriority w:val="0"/>
    <w:rPr>
      <w:rFonts w:eastAsia="宋体"/>
      <w:kern w:val="2"/>
      <w:sz w:val="18"/>
      <w:szCs w:val="18"/>
      <w:lang w:val="en-US" w:eastAsia="zh-CN" w:bidi="ar-SA"/>
    </w:rPr>
  </w:style>
  <w:style w:type="character" w:customStyle="1" w:styleId="94">
    <w:name w:val="heading 4 Char1"/>
    <w:autoRedefine/>
    <w:qFormat/>
    <w:uiPriority w:val="0"/>
    <w:rPr>
      <w:rFonts w:ascii="Cambria" w:hAnsi="Cambria" w:eastAsia="宋体"/>
      <w:b/>
      <w:bCs/>
      <w:kern w:val="2"/>
      <w:sz w:val="28"/>
      <w:szCs w:val="28"/>
      <w:lang w:val="en-US" w:eastAsia="zh-CN" w:bidi="ar-SA"/>
    </w:rPr>
  </w:style>
  <w:style w:type="character" w:customStyle="1" w:styleId="95">
    <w:name w:val="正文文本 3 Char"/>
    <w:basedOn w:val="55"/>
    <w:link w:val="20"/>
    <w:autoRedefine/>
    <w:qFormat/>
    <w:uiPriority w:val="0"/>
  </w:style>
  <w:style w:type="character" w:customStyle="1" w:styleId="96">
    <w:name w:val="批注主题 Char"/>
    <w:link w:val="50"/>
    <w:autoRedefine/>
    <w:qFormat/>
    <w:uiPriority w:val="0"/>
    <w:rPr>
      <w:rFonts w:eastAsia="宋体"/>
      <w:b/>
      <w:bCs/>
      <w:kern w:val="2"/>
      <w:sz w:val="21"/>
      <w:szCs w:val="24"/>
      <w:lang w:val="en-US" w:eastAsia="zh-CN" w:bidi="ar-SA"/>
    </w:rPr>
  </w:style>
  <w:style w:type="character" w:customStyle="1" w:styleId="97">
    <w:name w:val="不明显参考11"/>
    <w:qFormat/>
    <w:uiPriority w:val="0"/>
    <w:rPr>
      <w:smallCaps/>
      <w:color w:val="C0504D"/>
      <w:u w:val="single"/>
    </w:rPr>
  </w:style>
  <w:style w:type="character" w:customStyle="1" w:styleId="98">
    <w:name w:val="Plain Text Char"/>
    <w:qFormat/>
    <w:uiPriority w:val="0"/>
    <w:rPr>
      <w:rFonts w:ascii="宋体" w:hAnsi="Courier New" w:eastAsia="宋体" w:cs="Times New Roman"/>
      <w:sz w:val="21"/>
      <w:szCs w:val="21"/>
    </w:rPr>
  </w:style>
  <w:style w:type="character" w:customStyle="1" w:styleId="99">
    <w:name w:val="Char Char111"/>
    <w:autoRedefine/>
    <w:qFormat/>
    <w:uiPriority w:val="0"/>
    <w:rPr>
      <w:rFonts w:ascii="Times New Roman" w:hAnsi="Times New Roman" w:eastAsia="宋体" w:cs="Times New Roman"/>
      <w:sz w:val="18"/>
      <w:szCs w:val="18"/>
    </w:rPr>
  </w:style>
  <w:style w:type="character" w:customStyle="1" w:styleId="100">
    <w:name w:val="无间距字符"/>
    <w:link w:val="101"/>
    <w:autoRedefine/>
    <w:qFormat/>
    <w:uiPriority w:val="0"/>
    <w:rPr>
      <w:rFonts w:eastAsia="Times New Roman"/>
      <w:sz w:val="22"/>
      <w:szCs w:val="22"/>
      <w:lang w:val="en-US" w:eastAsia="zh-CN" w:bidi="ar-SA"/>
    </w:rPr>
  </w:style>
  <w:style w:type="paragraph" w:customStyle="1" w:styleId="101">
    <w:name w:val="无间距"/>
    <w:link w:val="100"/>
    <w:autoRedefine/>
    <w:qFormat/>
    <w:uiPriority w:val="0"/>
    <w:rPr>
      <w:rFonts w:ascii="Times New Roman" w:hAnsi="Times New Roman" w:eastAsia="Times New Roman" w:cs="Times New Roman"/>
      <w:sz w:val="22"/>
      <w:szCs w:val="22"/>
      <w:lang w:val="en-US" w:eastAsia="zh-CN" w:bidi="ar-SA"/>
    </w:rPr>
  </w:style>
  <w:style w:type="character" w:customStyle="1" w:styleId="102">
    <w:name w:val="heading 5 Char2"/>
    <w:qFormat/>
    <w:uiPriority w:val="0"/>
    <w:rPr>
      <w:b/>
      <w:bCs/>
      <w:kern w:val="2"/>
      <w:sz w:val="28"/>
      <w:szCs w:val="28"/>
    </w:rPr>
  </w:style>
  <w:style w:type="character" w:customStyle="1" w:styleId="103">
    <w:name w:val="样式2 Char Char"/>
    <w:link w:val="104"/>
    <w:autoRedefine/>
    <w:qFormat/>
    <w:uiPriority w:val="0"/>
    <w:rPr>
      <w:rFonts w:ascii="宋体" w:hAnsi="宋体" w:eastAsia="宋体"/>
      <w:bCs/>
      <w:kern w:val="2"/>
      <w:sz w:val="28"/>
      <w:szCs w:val="28"/>
      <w:lang w:val="en-US" w:eastAsia="zh-CN" w:bidi="ar-SA"/>
    </w:rPr>
  </w:style>
  <w:style w:type="paragraph" w:customStyle="1" w:styleId="104">
    <w:name w:val="样式2"/>
    <w:basedOn w:val="4"/>
    <w:link w:val="103"/>
    <w:autoRedefine/>
    <w:qFormat/>
    <w:uiPriority w:val="0"/>
    <w:pPr>
      <w:keepLines/>
      <w:snapToGrid w:val="0"/>
      <w:spacing w:before="260" w:afterLines="50" w:line="480" w:lineRule="exact"/>
      <w:ind w:firstLine="556"/>
    </w:pPr>
    <w:rPr>
      <w:rFonts w:ascii="宋体" w:hAnsi="宋体"/>
      <w:b w:val="0"/>
      <w:bCs/>
      <w:szCs w:val="28"/>
    </w:rPr>
  </w:style>
  <w:style w:type="character" w:customStyle="1" w:styleId="105">
    <w:name w:val="正文缩进 Char"/>
    <w:link w:val="9"/>
    <w:qFormat/>
    <w:uiPriority w:val="0"/>
    <w:rPr>
      <w:rFonts w:ascii="仿宋_GB2312" w:eastAsia="宋体"/>
      <w:b/>
      <w:sz w:val="21"/>
      <w:szCs w:val="32"/>
      <w:lang w:val="en-US" w:eastAsia="zh-CN" w:bidi="ar-SA"/>
    </w:rPr>
  </w:style>
  <w:style w:type="character" w:customStyle="1" w:styleId="106">
    <w:name w:val="heading 2 Char1"/>
    <w:autoRedefine/>
    <w:qFormat/>
    <w:uiPriority w:val="0"/>
    <w:rPr>
      <w:rFonts w:ascii="Cambria" w:hAnsi="Cambria" w:eastAsia="宋体"/>
      <w:b/>
      <w:bCs/>
      <w:kern w:val="2"/>
      <w:sz w:val="32"/>
      <w:szCs w:val="32"/>
      <w:lang w:val="en-US" w:eastAsia="zh-CN" w:bidi="ar-SA"/>
    </w:rPr>
  </w:style>
  <w:style w:type="character" w:customStyle="1" w:styleId="107">
    <w:name w:val="heading 3 Char1"/>
    <w:qFormat/>
    <w:uiPriority w:val="0"/>
    <w:rPr>
      <w:rFonts w:eastAsia="宋体"/>
      <w:b/>
      <w:bCs/>
      <w:kern w:val="2"/>
      <w:sz w:val="32"/>
      <w:szCs w:val="32"/>
      <w:lang w:val="en-US" w:eastAsia="zh-CN" w:bidi="ar-SA"/>
    </w:rPr>
  </w:style>
  <w:style w:type="character" w:customStyle="1" w:styleId="108">
    <w:name w:val="Char Char15"/>
    <w:autoRedefine/>
    <w:qFormat/>
    <w:uiPriority w:val="0"/>
    <w:rPr>
      <w:rFonts w:ascii="Arial" w:hAnsi="Arial" w:eastAsia="黑体"/>
      <w:sz w:val="24"/>
      <w:szCs w:val="24"/>
    </w:rPr>
  </w:style>
  <w:style w:type="character" w:customStyle="1" w:styleId="109">
    <w:name w:val="heading 1 Char"/>
    <w:autoRedefine/>
    <w:qFormat/>
    <w:uiPriority w:val="0"/>
    <w:rPr>
      <w:rFonts w:ascii="Arial" w:hAnsi="Arial" w:eastAsia="黑体"/>
      <w:b/>
      <w:sz w:val="36"/>
      <w:szCs w:val="36"/>
    </w:rPr>
  </w:style>
  <w:style w:type="character" w:customStyle="1" w:styleId="110">
    <w:name w:val="ändrad Char"/>
    <w:autoRedefine/>
    <w:qFormat/>
    <w:uiPriority w:val="0"/>
    <w:rPr>
      <w:rFonts w:eastAsia="宋体"/>
      <w:kern w:val="2"/>
      <w:sz w:val="21"/>
      <w:szCs w:val="24"/>
      <w:lang w:val="en-US" w:eastAsia="zh-CN" w:bidi="ar-SA"/>
    </w:rPr>
  </w:style>
  <w:style w:type="character" w:customStyle="1" w:styleId="111">
    <w:name w:val="标题 Char"/>
    <w:link w:val="49"/>
    <w:qFormat/>
    <w:uiPriority w:val="0"/>
    <w:rPr>
      <w:rFonts w:ascii="Cambria" w:hAnsi="Cambria" w:eastAsia="宋体"/>
      <w:b/>
      <w:bCs/>
      <w:kern w:val="2"/>
      <w:sz w:val="32"/>
      <w:szCs w:val="32"/>
      <w:lang w:val="en-US" w:eastAsia="zh-CN" w:bidi="ar-SA"/>
    </w:rPr>
  </w:style>
  <w:style w:type="character" w:customStyle="1" w:styleId="112">
    <w:name w:val="Char Char22"/>
    <w:autoRedefine/>
    <w:qFormat/>
    <w:uiPriority w:val="0"/>
    <w:rPr>
      <w:rFonts w:ascii="Arial" w:hAnsi="Arial" w:eastAsia="黑体"/>
      <w:b/>
      <w:bCs/>
      <w:kern w:val="44"/>
      <w:sz w:val="30"/>
      <w:szCs w:val="44"/>
      <w:lang w:val="en-US" w:eastAsia="zh-CN" w:bidi="ar-SA"/>
    </w:rPr>
  </w:style>
  <w:style w:type="character" w:customStyle="1" w:styleId="113">
    <w:name w:val="blue1"/>
    <w:basedOn w:val="55"/>
    <w:autoRedefine/>
    <w:qFormat/>
    <w:uiPriority w:val="0"/>
  </w:style>
  <w:style w:type="character" w:customStyle="1" w:styleId="114">
    <w:name w:val="样式 宋体"/>
    <w:autoRedefine/>
    <w:qFormat/>
    <w:uiPriority w:val="0"/>
    <w:rPr>
      <w:rFonts w:ascii="宋体" w:hAnsi="宋体" w:eastAsia="宋体"/>
      <w:sz w:val="24"/>
      <w:szCs w:val="24"/>
    </w:rPr>
  </w:style>
  <w:style w:type="character" w:customStyle="1" w:styleId="115">
    <w:name w:val="dandyren_title1"/>
    <w:autoRedefine/>
    <w:qFormat/>
    <w:uiPriority w:val="0"/>
    <w:rPr>
      <w:b/>
      <w:bCs/>
      <w:color w:val="FF6633"/>
      <w:sz w:val="18"/>
      <w:szCs w:val="18"/>
    </w:rPr>
  </w:style>
  <w:style w:type="character" w:customStyle="1" w:styleId="116">
    <w:name w:val="font21"/>
    <w:basedOn w:val="55"/>
    <w:autoRedefine/>
    <w:qFormat/>
    <w:uiPriority w:val="0"/>
    <w:rPr>
      <w:rFonts w:ascii="Wingdings 2" w:hAnsi="Wingdings 2" w:eastAsia="Wingdings 2" w:cs="Wingdings 2"/>
      <w:b/>
      <w:color w:val="000000"/>
      <w:sz w:val="20"/>
      <w:szCs w:val="20"/>
      <w:u w:val="none"/>
    </w:rPr>
  </w:style>
  <w:style w:type="character" w:customStyle="1" w:styleId="117">
    <w:name w:val="Ò³Ã¼ Char Char1"/>
    <w:autoRedefine/>
    <w:qFormat/>
    <w:uiPriority w:val="0"/>
    <w:rPr>
      <w:rFonts w:eastAsia="宋体"/>
      <w:kern w:val="2"/>
      <w:sz w:val="18"/>
      <w:szCs w:val="18"/>
      <w:lang w:val="en-US" w:eastAsia="zh-CN" w:bidi="ar-SA"/>
    </w:rPr>
  </w:style>
  <w:style w:type="character" w:customStyle="1" w:styleId="118">
    <w:name w:val="宏文本 Char"/>
    <w:link w:val="2"/>
    <w:autoRedefine/>
    <w:qFormat/>
    <w:uiPriority w:val="0"/>
    <w:rPr>
      <w:rFonts w:ascii="Courier New" w:hAnsi="Courier New" w:eastAsia="Times New Roman"/>
      <w:kern w:val="2"/>
      <w:sz w:val="24"/>
      <w:szCs w:val="24"/>
      <w:lang w:val="en-US" w:eastAsia="zh-CN" w:bidi="ar-SA"/>
    </w:rPr>
  </w:style>
  <w:style w:type="character" w:customStyle="1" w:styleId="119">
    <w:name w:val="Footer-Even Char"/>
    <w:autoRedefine/>
    <w:qFormat/>
    <w:uiPriority w:val="0"/>
    <w:rPr>
      <w:sz w:val="18"/>
      <w:szCs w:val="18"/>
    </w:rPr>
  </w:style>
  <w:style w:type="character" w:customStyle="1" w:styleId="120">
    <w:name w:val="页脚 Char"/>
    <w:link w:val="35"/>
    <w:autoRedefine/>
    <w:qFormat/>
    <w:uiPriority w:val="0"/>
    <w:rPr>
      <w:rFonts w:eastAsia="宋体"/>
      <w:kern w:val="2"/>
      <w:sz w:val="18"/>
      <w:szCs w:val="18"/>
      <w:lang w:val="en-US" w:eastAsia="zh-CN" w:bidi="ar-SA"/>
    </w:rPr>
  </w:style>
  <w:style w:type="character" w:customStyle="1" w:styleId="121">
    <w:name w:val="style111"/>
    <w:autoRedefine/>
    <w:qFormat/>
    <w:uiPriority w:val="0"/>
    <w:rPr>
      <w:sz w:val="27"/>
      <w:szCs w:val="27"/>
    </w:rPr>
  </w:style>
  <w:style w:type="character" w:customStyle="1" w:styleId="122">
    <w:name w:val="PI Char2"/>
    <w:autoRedefine/>
    <w:qFormat/>
    <w:uiPriority w:val="0"/>
    <w:rPr>
      <w:kern w:val="2"/>
      <w:sz w:val="24"/>
      <w:szCs w:val="24"/>
    </w:rPr>
  </w:style>
  <w:style w:type="character" w:customStyle="1" w:styleId="123">
    <w:name w:val="gray6"/>
    <w:basedOn w:val="55"/>
    <w:autoRedefine/>
    <w:qFormat/>
    <w:uiPriority w:val="0"/>
  </w:style>
  <w:style w:type="character" w:customStyle="1" w:styleId="124">
    <w:name w:val="Char Char Char1"/>
    <w:autoRedefine/>
    <w:qFormat/>
    <w:uiPriority w:val="0"/>
    <w:rPr>
      <w:rFonts w:ascii="宋体" w:hAnsi="Courier New"/>
      <w:sz w:val="21"/>
      <w:szCs w:val="21"/>
    </w:rPr>
  </w:style>
  <w:style w:type="character" w:customStyle="1" w:styleId="125">
    <w:name w:val="Char Char121"/>
    <w:autoRedefine/>
    <w:qFormat/>
    <w:uiPriority w:val="0"/>
    <w:rPr>
      <w:rFonts w:eastAsia="宋体"/>
      <w:kern w:val="2"/>
      <w:sz w:val="21"/>
      <w:szCs w:val="24"/>
      <w:lang w:val="en-US" w:eastAsia="zh-CN" w:bidi="ar-SA"/>
    </w:rPr>
  </w:style>
  <w:style w:type="character" w:customStyle="1" w:styleId="126">
    <w:name w:val="Char Char Char Char Char Char Char Char Char"/>
    <w:autoRedefine/>
    <w:qFormat/>
    <w:uiPriority w:val="0"/>
    <w:rPr>
      <w:rFonts w:ascii="宋体" w:hAnsi="Courier New" w:eastAsia="宋体"/>
      <w:sz w:val="21"/>
      <w:szCs w:val="21"/>
      <w:lang w:val="en-US" w:eastAsia="zh-CN" w:bidi="ar-SA"/>
    </w:rPr>
  </w:style>
  <w:style w:type="character" w:customStyle="1" w:styleId="127">
    <w:name w:val="heading 4 Char2"/>
    <w:autoRedefine/>
    <w:qFormat/>
    <w:uiPriority w:val="0"/>
    <w:rPr>
      <w:rFonts w:ascii="Cambria" w:hAnsi="Cambria"/>
      <w:b/>
      <w:bCs/>
      <w:kern w:val="2"/>
      <w:sz w:val="28"/>
      <w:szCs w:val="28"/>
    </w:rPr>
  </w:style>
  <w:style w:type="character" w:customStyle="1" w:styleId="128">
    <w:name w:val="heading 3 Char"/>
    <w:autoRedefine/>
    <w:qFormat/>
    <w:uiPriority w:val="0"/>
    <w:rPr>
      <w:rFonts w:ascii="Arial" w:hAnsi="Arial" w:eastAsia="黑体"/>
      <w:sz w:val="28"/>
      <w:szCs w:val="24"/>
    </w:rPr>
  </w:style>
  <w:style w:type="character" w:customStyle="1" w:styleId="129">
    <w:name w:val="标题 1 Char"/>
    <w:link w:val="3"/>
    <w:autoRedefine/>
    <w:qFormat/>
    <w:uiPriority w:val="0"/>
    <w:rPr>
      <w:rFonts w:eastAsia="黑体"/>
      <w:b/>
      <w:kern w:val="2"/>
      <w:sz w:val="32"/>
      <w:lang w:val="en-US" w:eastAsia="zh-CN" w:bidi="ar-SA"/>
    </w:rPr>
  </w:style>
  <w:style w:type="character" w:customStyle="1" w:styleId="130">
    <w:name w:val="Char Char16"/>
    <w:autoRedefine/>
    <w:qFormat/>
    <w:uiPriority w:val="0"/>
    <w:rPr>
      <w:b/>
      <w:bCs/>
      <w:kern w:val="2"/>
      <w:sz w:val="28"/>
      <w:szCs w:val="28"/>
    </w:rPr>
  </w:style>
  <w:style w:type="character" w:customStyle="1" w:styleId="131">
    <w:name w:val="文档结构图 Char"/>
    <w:link w:val="17"/>
    <w:autoRedefine/>
    <w:qFormat/>
    <w:uiPriority w:val="0"/>
    <w:rPr>
      <w:rFonts w:eastAsia="宋体"/>
      <w:kern w:val="2"/>
      <w:sz w:val="21"/>
      <w:szCs w:val="24"/>
      <w:lang w:val="en-US" w:eastAsia="zh-CN" w:bidi="ar-SA"/>
    </w:rPr>
  </w:style>
  <w:style w:type="character" w:customStyle="1" w:styleId="132">
    <w:name w:val="标题 5 Char"/>
    <w:link w:val="7"/>
    <w:autoRedefine/>
    <w:qFormat/>
    <w:uiPriority w:val="0"/>
    <w:rPr>
      <w:rFonts w:eastAsia="宋体"/>
      <w:b/>
      <w:bCs/>
      <w:sz w:val="28"/>
      <w:szCs w:val="28"/>
      <w:lang w:bidi="ar-SA"/>
    </w:rPr>
  </w:style>
  <w:style w:type="character" w:customStyle="1" w:styleId="133">
    <w:name w:val="日期 Char"/>
    <w:link w:val="32"/>
    <w:autoRedefine/>
    <w:qFormat/>
    <w:uiPriority w:val="0"/>
    <w:rPr>
      <w:rFonts w:eastAsia="宋体"/>
      <w:kern w:val="2"/>
      <w:sz w:val="21"/>
      <w:szCs w:val="24"/>
      <w:lang w:val="en-US" w:eastAsia="zh-CN" w:bidi="ar-SA"/>
    </w:rPr>
  </w:style>
  <w:style w:type="character" w:customStyle="1" w:styleId="134">
    <w:name w:val="副标题 Char"/>
    <w:link w:val="40"/>
    <w:autoRedefine/>
    <w:qFormat/>
    <w:uiPriority w:val="0"/>
    <w:rPr>
      <w:rFonts w:ascii="Cambria" w:hAnsi="Cambria" w:eastAsia="宋体"/>
      <w:b/>
      <w:bCs/>
      <w:kern w:val="28"/>
      <w:sz w:val="32"/>
      <w:szCs w:val="32"/>
      <w:lang w:val="en-US" w:eastAsia="zh-CN" w:bidi="ar-SA"/>
    </w:rPr>
  </w:style>
  <w:style w:type="character" w:customStyle="1" w:styleId="135">
    <w:name w:val="页眉 Char"/>
    <w:link w:val="36"/>
    <w:autoRedefine/>
    <w:qFormat/>
    <w:uiPriority w:val="0"/>
    <w:rPr>
      <w:rFonts w:eastAsia="宋体"/>
      <w:kern w:val="2"/>
      <w:sz w:val="18"/>
      <w:szCs w:val="18"/>
      <w:lang w:val="en-US" w:eastAsia="zh-CN" w:bidi="ar-SA"/>
    </w:rPr>
  </w:style>
  <w:style w:type="character" w:customStyle="1" w:styleId="136">
    <w:name w:val="style13"/>
    <w:basedOn w:val="55"/>
    <w:autoRedefine/>
    <w:qFormat/>
    <w:uiPriority w:val="0"/>
  </w:style>
  <w:style w:type="character" w:customStyle="1" w:styleId="137">
    <w:name w:val="textcolor1"/>
    <w:autoRedefine/>
    <w:qFormat/>
    <w:uiPriority w:val="0"/>
    <w:rPr>
      <w:rFonts w:ascii="仿宋_GB2312" w:eastAsia="仿宋_GB2312"/>
      <w:b/>
      <w:color w:val="FF6600"/>
      <w:sz w:val="32"/>
      <w:szCs w:val="32"/>
    </w:rPr>
  </w:style>
  <w:style w:type="character" w:customStyle="1" w:styleId="138">
    <w:name w:val="Table Text Char Char"/>
    <w:link w:val="139"/>
    <w:autoRedefine/>
    <w:qFormat/>
    <w:uiPriority w:val="0"/>
    <w:rPr>
      <w:sz w:val="21"/>
      <w:lang w:val="en-US" w:eastAsia="en-US" w:bidi="ar-SA"/>
    </w:rPr>
  </w:style>
  <w:style w:type="paragraph" w:customStyle="1" w:styleId="139">
    <w:name w:val="Table Text"/>
    <w:basedOn w:val="1"/>
    <w:link w:val="138"/>
    <w:autoRedefine/>
    <w:qFormat/>
    <w:uiPriority w:val="0"/>
    <w:pPr>
      <w:widowControl/>
      <w:tabs>
        <w:tab w:val="decimal" w:pos="0"/>
      </w:tabs>
      <w:overflowPunct w:val="0"/>
      <w:autoSpaceDE w:val="0"/>
      <w:autoSpaceDN w:val="0"/>
      <w:adjustRightInd w:val="0"/>
      <w:jc w:val="left"/>
      <w:textAlignment w:val="baseline"/>
    </w:pPr>
    <w:rPr>
      <w:kern w:val="0"/>
      <w:szCs w:val="20"/>
      <w:lang w:eastAsia="en-US"/>
    </w:rPr>
  </w:style>
  <w:style w:type="character" w:customStyle="1" w:styleId="140">
    <w:name w:val="Ò³Ã¼ Char Char"/>
    <w:autoRedefine/>
    <w:qFormat/>
    <w:uiPriority w:val="0"/>
    <w:rPr>
      <w:sz w:val="18"/>
      <w:szCs w:val="18"/>
    </w:rPr>
  </w:style>
  <w:style w:type="character" w:customStyle="1" w:styleId="141">
    <w:name w:val="heading 2 Char2"/>
    <w:autoRedefine/>
    <w:qFormat/>
    <w:uiPriority w:val="0"/>
    <w:rPr>
      <w:rFonts w:ascii="Cambria" w:hAnsi="Cambria"/>
      <w:b/>
      <w:bCs/>
      <w:kern w:val="2"/>
      <w:sz w:val="32"/>
      <w:szCs w:val="32"/>
    </w:rPr>
  </w:style>
  <w:style w:type="character" w:customStyle="1" w:styleId="142">
    <w:name w:val="书籍标题11"/>
    <w:autoRedefine/>
    <w:qFormat/>
    <w:uiPriority w:val="0"/>
    <w:rPr>
      <w:b/>
      <w:bCs/>
      <w:smallCaps/>
      <w:spacing w:val="5"/>
    </w:rPr>
  </w:style>
  <w:style w:type="character" w:customStyle="1" w:styleId="143">
    <w:name w:val="Char Char21"/>
    <w:autoRedefine/>
    <w:qFormat/>
    <w:uiPriority w:val="0"/>
    <w:rPr>
      <w:rFonts w:ascii="Times New Roman" w:hAnsi="Times New Roman" w:eastAsia="宋体" w:cs="Times New Roman"/>
      <w:b/>
      <w:bCs/>
      <w:kern w:val="44"/>
      <w:sz w:val="44"/>
      <w:szCs w:val="44"/>
    </w:rPr>
  </w:style>
  <w:style w:type="character" w:customStyle="1" w:styleId="144">
    <w:name w:val="正文文本缩进 Char"/>
    <w:link w:val="23"/>
    <w:autoRedefine/>
    <w:qFormat/>
    <w:uiPriority w:val="0"/>
    <w:rPr>
      <w:rFonts w:eastAsia="宋体"/>
      <w:kern w:val="2"/>
      <w:sz w:val="24"/>
      <w:szCs w:val="24"/>
      <w:lang w:val="en-US" w:eastAsia="zh-CN" w:bidi="ar-SA"/>
    </w:rPr>
  </w:style>
  <w:style w:type="character" w:customStyle="1" w:styleId="145">
    <w:name w:val="不明显强调1"/>
    <w:autoRedefine/>
    <w:qFormat/>
    <w:uiPriority w:val="0"/>
    <w:rPr>
      <w:i/>
      <w:iCs/>
      <w:color w:val="808080"/>
    </w:rPr>
  </w:style>
  <w:style w:type="character" w:customStyle="1" w:styleId="146">
    <w:name w:val="正文文本缩进 3 Char"/>
    <w:link w:val="44"/>
    <w:autoRedefine/>
    <w:qFormat/>
    <w:uiPriority w:val="0"/>
    <w:rPr>
      <w:rFonts w:eastAsia="宋体"/>
      <w:kern w:val="2"/>
      <w:sz w:val="24"/>
      <w:szCs w:val="24"/>
      <w:lang w:val="en-US" w:eastAsia="zh-CN" w:bidi="ar-SA"/>
    </w:rPr>
  </w:style>
  <w:style w:type="character" w:customStyle="1" w:styleId="147">
    <w:name w:val="heading 5 Char"/>
    <w:autoRedefine/>
    <w:qFormat/>
    <w:uiPriority w:val="0"/>
    <w:rPr>
      <w:rFonts w:ascii="Arial" w:hAnsi="Arial" w:eastAsia="黑体"/>
      <w:sz w:val="21"/>
      <w:szCs w:val="21"/>
    </w:rPr>
  </w:style>
  <w:style w:type="character" w:customStyle="1" w:styleId="148">
    <w:name w:val="Style3"/>
    <w:autoRedefine/>
    <w:qFormat/>
    <w:uiPriority w:val="0"/>
    <w:rPr>
      <w:rFonts w:ascii="Calibri" w:hAnsi="宋体" w:eastAsia="宋体" w:cs="Times New Roman"/>
      <w:szCs w:val="22"/>
      <w:lang w:eastAsia="zh-CN"/>
    </w:rPr>
  </w:style>
  <w:style w:type="character" w:customStyle="1" w:styleId="149">
    <w:name w:val="标题 4 Char"/>
    <w:link w:val="6"/>
    <w:autoRedefine/>
    <w:qFormat/>
    <w:uiPriority w:val="0"/>
    <w:rPr>
      <w:rFonts w:eastAsia="宋体"/>
      <w:kern w:val="2"/>
      <w:sz w:val="28"/>
      <w:szCs w:val="28"/>
      <w:lang w:val="en-US" w:eastAsia="zh-CN" w:bidi="ar-SA"/>
    </w:rPr>
  </w:style>
  <w:style w:type="character" w:customStyle="1" w:styleId="150">
    <w:name w:val="Char Char241"/>
    <w:autoRedefine/>
    <w:qFormat/>
    <w:uiPriority w:val="0"/>
    <w:rPr>
      <w:rFonts w:eastAsia="宋体"/>
      <w:b/>
      <w:kern w:val="2"/>
      <w:sz w:val="28"/>
      <w:lang w:val="en-US" w:eastAsia="zh-CN" w:bidi="ar-SA"/>
    </w:rPr>
  </w:style>
  <w:style w:type="character" w:customStyle="1" w:styleId="151">
    <w:name w:val="批注框文本 Char"/>
    <w:link w:val="34"/>
    <w:autoRedefine/>
    <w:qFormat/>
    <w:uiPriority w:val="0"/>
    <w:rPr>
      <w:rFonts w:eastAsia="宋体"/>
      <w:kern w:val="2"/>
      <w:sz w:val="18"/>
      <w:szCs w:val="18"/>
      <w:lang w:val="en-US" w:eastAsia="zh-CN" w:bidi="ar-SA"/>
    </w:rPr>
  </w:style>
  <w:style w:type="character" w:customStyle="1" w:styleId="152">
    <w:name w:val="标题 3 Char"/>
    <w:link w:val="5"/>
    <w:autoRedefine/>
    <w:qFormat/>
    <w:uiPriority w:val="0"/>
    <w:rPr>
      <w:rFonts w:eastAsia="黑体"/>
      <w:b/>
      <w:kern w:val="2"/>
      <w:sz w:val="28"/>
      <w:lang w:val="en-US" w:eastAsia="zh-CN" w:bidi="ar-SA"/>
    </w:rPr>
  </w:style>
  <w:style w:type="character" w:customStyle="1" w:styleId="153">
    <w:name w:val="明显强调11"/>
    <w:autoRedefine/>
    <w:qFormat/>
    <w:uiPriority w:val="0"/>
    <w:rPr>
      <w:b/>
      <w:bCs/>
      <w:i/>
      <w:iCs/>
      <w:color w:val="4F81BD"/>
    </w:rPr>
  </w:style>
  <w:style w:type="character" w:customStyle="1" w:styleId="154">
    <w:name w:val="签名 Char"/>
    <w:link w:val="37"/>
    <w:autoRedefine/>
    <w:qFormat/>
    <w:uiPriority w:val="0"/>
    <w:rPr>
      <w:rFonts w:ascii="仿宋_GB2312" w:eastAsia="仿宋_GB2312"/>
      <w:b/>
      <w:sz w:val="24"/>
      <w:szCs w:val="32"/>
    </w:rPr>
  </w:style>
  <w:style w:type="character" w:customStyle="1" w:styleId="155">
    <w:name w:val="heading 3 Char2"/>
    <w:autoRedefine/>
    <w:qFormat/>
    <w:uiPriority w:val="0"/>
    <w:rPr>
      <w:b/>
      <w:bCs/>
      <w:kern w:val="2"/>
      <w:sz w:val="32"/>
      <w:szCs w:val="32"/>
    </w:rPr>
  </w:style>
  <w:style w:type="character" w:customStyle="1" w:styleId="156">
    <w:name w:val="style21"/>
    <w:autoRedefine/>
    <w:qFormat/>
    <w:uiPriority w:val="0"/>
    <w:rPr>
      <w:sz w:val="15"/>
      <w:szCs w:val="15"/>
    </w:rPr>
  </w:style>
  <w:style w:type="character" w:customStyle="1" w:styleId="157">
    <w:name w:val="Char Char271"/>
    <w:autoRedefine/>
    <w:qFormat/>
    <w:uiPriority w:val="0"/>
    <w:rPr>
      <w:rFonts w:eastAsia="宋体"/>
      <w:kern w:val="2"/>
      <w:sz w:val="28"/>
      <w:lang w:val="en-US" w:eastAsia="zh-CN" w:bidi="ar-SA"/>
    </w:rPr>
  </w:style>
  <w:style w:type="character" w:customStyle="1" w:styleId="158">
    <w:name w:val="表格 Char Char"/>
    <w:link w:val="159"/>
    <w:autoRedefine/>
    <w:qFormat/>
    <w:uiPriority w:val="0"/>
    <w:rPr>
      <w:rFonts w:ascii="宋体" w:hAnsi="宋体" w:eastAsia="宋体"/>
      <w:lang w:val="en-US" w:eastAsia="zh-CN" w:bidi="ar-SA"/>
    </w:rPr>
  </w:style>
  <w:style w:type="paragraph" w:customStyle="1" w:styleId="159">
    <w:name w:val="表格"/>
    <w:basedOn w:val="1"/>
    <w:link w:val="158"/>
    <w:autoRedefine/>
    <w:qFormat/>
    <w:uiPriority w:val="0"/>
    <w:pPr>
      <w:autoSpaceDE w:val="0"/>
      <w:autoSpaceDN w:val="0"/>
      <w:adjustRightInd w:val="0"/>
      <w:snapToGrid w:val="0"/>
      <w:ind w:firstLine="42" w:firstLineChars="21"/>
      <w:jc w:val="left"/>
    </w:pPr>
    <w:rPr>
      <w:rFonts w:ascii="宋体" w:hAnsi="宋体"/>
      <w:kern w:val="0"/>
      <w:sz w:val="20"/>
      <w:szCs w:val="20"/>
    </w:rPr>
  </w:style>
  <w:style w:type="character" w:customStyle="1" w:styleId="160">
    <w:name w:val="heading 6 Char1"/>
    <w:autoRedefine/>
    <w:qFormat/>
    <w:uiPriority w:val="0"/>
    <w:rPr>
      <w:rFonts w:ascii="Arial" w:hAnsi="Arial" w:eastAsia="黑体"/>
      <w:kern w:val="2"/>
      <w:sz w:val="24"/>
      <w:szCs w:val="24"/>
      <w:lang w:val="en-US" w:eastAsia="zh-CN" w:bidi="ar-SA"/>
    </w:rPr>
  </w:style>
  <w:style w:type="character" w:customStyle="1" w:styleId="161">
    <w:name w:val="Char Char211"/>
    <w:autoRedefine/>
    <w:qFormat/>
    <w:uiPriority w:val="0"/>
    <w:rPr>
      <w:rFonts w:ascii="Times New Roman" w:hAnsi="Times New Roman" w:eastAsia="宋体" w:cs="Times New Roman"/>
      <w:b/>
      <w:bCs/>
      <w:kern w:val="44"/>
      <w:sz w:val="44"/>
      <w:szCs w:val="44"/>
    </w:rPr>
  </w:style>
  <w:style w:type="character" w:customStyle="1" w:styleId="162">
    <w:name w:val="不明显强调11"/>
    <w:autoRedefine/>
    <w:qFormat/>
    <w:uiPriority w:val="0"/>
    <w:rPr>
      <w:i/>
      <w:iCs/>
      <w:color w:val="808080"/>
    </w:rPr>
  </w:style>
  <w:style w:type="character" w:customStyle="1" w:styleId="163">
    <w:name w:val="标题 9 Char"/>
    <w:link w:val="12"/>
    <w:autoRedefine/>
    <w:qFormat/>
    <w:uiPriority w:val="0"/>
    <w:rPr>
      <w:rFonts w:ascii="Arial" w:hAnsi="Arial" w:eastAsia="黑体"/>
      <w:kern w:val="2"/>
      <w:sz w:val="21"/>
      <w:lang w:val="en-US" w:eastAsia="zh-CN" w:bidi="ar-SA"/>
    </w:rPr>
  </w:style>
  <w:style w:type="character" w:customStyle="1" w:styleId="164">
    <w:name w:val="正文文本 Char"/>
    <w:link w:val="21"/>
    <w:autoRedefine/>
    <w:qFormat/>
    <w:uiPriority w:val="0"/>
    <w:rPr>
      <w:rFonts w:ascii="仿宋_GB2312" w:eastAsia="宋体"/>
      <w:b/>
      <w:kern w:val="2"/>
      <w:sz w:val="21"/>
      <w:szCs w:val="24"/>
      <w:lang w:val="en-US" w:eastAsia="zh-CN" w:bidi="ar-SA"/>
    </w:rPr>
  </w:style>
  <w:style w:type="character" w:customStyle="1" w:styleId="165">
    <w:name w:val="明显引用 Char"/>
    <w:link w:val="166"/>
    <w:autoRedefine/>
    <w:qFormat/>
    <w:uiPriority w:val="0"/>
    <w:rPr>
      <w:rFonts w:ascii="Calibri" w:hAnsi="Calibri" w:eastAsia="宋体"/>
      <w:b/>
      <w:bCs/>
      <w:i/>
      <w:iCs/>
      <w:color w:val="4F81BD"/>
      <w:lang w:val="en-US" w:eastAsia="zh-CN" w:bidi="ar-SA"/>
    </w:rPr>
  </w:style>
  <w:style w:type="paragraph" w:styleId="166">
    <w:name w:val="Intense Quote"/>
    <w:basedOn w:val="1"/>
    <w:next w:val="1"/>
    <w:link w:val="165"/>
    <w:autoRedefine/>
    <w:qFormat/>
    <w:uiPriority w:val="0"/>
    <w:pPr>
      <w:pBdr>
        <w:bottom w:val="single" w:color="4F81BD" w:sz="4" w:space="4"/>
      </w:pBdr>
      <w:spacing w:before="200" w:after="280"/>
      <w:ind w:left="936" w:right="936"/>
    </w:pPr>
    <w:rPr>
      <w:rFonts w:ascii="Calibri" w:hAnsi="Calibri"/>
      <w:b/>
      <w:bCs/>
      <w:i/>
      <w:iCs/>
      <w:color w:val="4F81BD"/>
      <w:kern w:val="0"/>
      <w:sz w:val="20"/>
      <w:szCs w:val="20"/>
    </w:rPr>
  </w:style>
  <w:style w:type="character" w:customStyle="1" w:styleId="167">
    <w:name w:val="heading 5 Char1"/>
    <w:autoRedefine/>
    <w:qFormat/>
    <w:uiPriority w:val="0"/>
    <w:rPr>
      <w:rFonts w:eastAsia="宋体"/>
      <w:b/>
      <w:bCs/>
      <w:kern w:val="2"/>
      <w:sz w:val="28"/>
      <w:szCs w:val="28"/>
      <w:lang w:val="en-US" w:eastAsia="zh-CN" w:bidi="ar-SA"/>
    </w:rPr>
  </w:style>
  <w:style w:type="character" w:customStyle="1" w:styleId="168">
    <w:name w:val="Texte Char Char"/>
    <w:autoRedefine/>
    <w:qFormat/>
    <w:uiPriority w:val="0"/>
    <w:rPr>
      <w:rFonts w:ascii="宋体" w:hAnsi="Courier New" w:eastAsia="宋体"/>
      <w:sz w:val="21"/>
      <w:szCs w:val="21"/>
      <w:lang w:val="en-US" w:eastAsia="zh-CN" w:bidi="ar-SA"/>
    </w:rPr>
  </w:style>
  <w:style w:type="character" w:customStyle="1" w:styleId="169">
    <w:name w:val="正文1 Char Char"/>
    <w:link w:val="170"/>
    <w:autoRedefine/>
    <w:qFormat/>
    <w:uiPriority w:val="0"/>
    <w:rPr>
      <w:rFonts w:ascii="宋体" w:hAnsi="宋体" w:eastAsia="宋体" w:cs="宋体"/>
      <w:sz w:val="21"/>
      <w:lang w:val="en-US" w:eastAsia="zh-CN" w:bidi="ar-SA"/>
    </w:rPr>
  </w:style>
  <w:style w:type="paragraph" w:customStyle="1" w:styleId="170">
    <w:name w:val="正文1"/>
    <w:basedOn w:val="1"/>
    <w:link w:val="169"/>
    <w:autoRedefine/>
    <w:qFormat/>
    <w:uiPriority w:val="0"/>
    <w:pPr>
      <w:widowControl/>
      <w:spacing w:line="360" w:lineRule="auto"/>
      <w:ind w:left="360" w:firstLine="420"/>
      <w:jc w:val="left"/>
    </w:pPr>
    <w:rPr>
      <w:rFonts w:ascii="宋体" w:hAnsi="宋体" w:cs="宋体"/>
      <w:kern w:val="0"/>
      <w:szCs w:val="20"/>
    </w:rPr>
  </w:style>
  <w:style w:type="character" w:customStyle="1" w:styleId="171">
    <w:name w:val="heading 8 Char1"/>
    <w:autoRedefine/>
    <w:qFormat/>
    <w:uiPriority w:val="0"/>
    <w:rPr>
      <w:rFonts w:ascii="Arial" w:hAnsi="Arial" w:eastAsia="黑体"/>
      <w:sz w:val="24"/>
      <w:lang w:val="en-US" w:eastAsia="zh-CN" w:bidi="ar-SA"/>
    </w:rPr>
  </w:style>
  <w:style w:type="character" w:customStyle="1" w:styleId="172">
    <w:name w:val="heading 9 Char1"/>
    <w:autoRedefine/>
    <w:qFormat/>
    <w:uiPriority w:val="0"/>
    <w:rPr>
      <w:rFonts w:ascii="Arial" w:hAnsi="Arial" w:eastAsia="黑体"/>
      <w:sz w:val="21"/>
      <w:lang w:val="en-US" w:eastAsia="zh-CN" w:bidi="ar-SA"/>
    </w:rPr>
  </w:style>
  <w:style w:type="character" w:customStyle="1" w:styleId="173">
    <w:name w:val="标题 6 Char"/>
    <w:link w:val="8"/>
    <w:autoRedefine/>
    <w:qFormat/>
    <w:uiPriority w:val="0"/>
    <w:rPr>
      <w:rFonts w:ascii="Arial" w:hAnsi="Arial" w:eastAsia="黑体"/>
      <w:b/>
      <w:kern w:val="2"/>
      <w:sz w:val="24"/>
      <w:lang w:val="en-US" w:eastAsia="zh-CN" w:bidi="ar-SA"/>
    </w:rPr>
  </w:style>
  <w:style w:type="character" w:customStyle="1" w:styleId="174">
    <w:name w:val="ändrad Char1"/>
    <w:autoRedefine/>
    <w:qFormat/>
    <w:uiPriority w:val="0"/>
    <w:rPr>
      <w:rFonts w:ascii="仿宋_GB2312" w:eastAsia="宋体"/>
      <w:b/>
      <w:kern w:val="2"/>
      <w:sz w:val="21"/>
      <w:szCs w:val="24"/>
      <w:lang w:val="en-US" w:eastAsia="zh-CN" w:bidi="ar-SA"/>
    </w:rPr>
  </w:style>
  <w:style w:type="character" w:customStyle="1" w:styleId="175">
    <w:name w:val="Char Char41"/>
    <w:autoRedefine/>
    <w:qFormat/>
    <w:uiPriority w:val="0"/>
    <w:rPr>
      <w:rFonts w:ascii="Cambria" w:hAnsi="Cambria" w:eastAsia="宋体"/>
      <w:b/>
      <w:bCs/>
      <w:sz w:val="32"/>
      <w:szCs w:val="32"/>
      <w:lang w:bidi="ar-SA"/>
    </w:rPr>
  </w:style>
  <w:style w:type="character" w:customStyle="1" w:styleId="176">
    <w:name w:val="标题 8 Char"/>
    <w:link w:val="11"/>
    <w:autoRedefine/>
    <w:qFormat/>
    <w:uiPriority w:val="0"/>
    <w:rPr>
      <w:rFonts w:ascii="Arial" w:hAnsi="Arial" w:eastAsia="黑体"/>
      <w:kern w:val="2"/>
      <w:sz w:val="24"/>
      <w:lang w:val="en-US" w:eastAsia="zh-CN" w:bidi="ar-SA"/>
    </w:rPr>
  </w:style>
  <w:style w:type="character" w:customStyle="1" w:styleId="177">
    <w:name w:val="Char Char11"/>
    <w:autoRedefine/>
    <w:qFormat/>
    <w:uiPriority w:val="0"/>
    <w:rPr>
      <w:rFonts w:ascii="Times New Roman" w:hAnsi="Times New Roman" w:eastAsia="宋体" w:cs="Times New Roman"/>
      <w:sz w:val="18"/>
      <w:szCs w:val="18"/>
    </w:rPr>
  </w:style>
  <w:style w:type="character" w:customStyle="1" w:styleId="178">
    <w:name w:val="正文文本缩进 2 Char"/>
    <w:link w:val="33"/>
    <w:autoRedefine/>
    <w:qFormat/>
    <w:uiPriority w:val="0"/>
    <w:rPr>
      <w:rFonts w:eastAsia="宋体"/>
      <w:kern w:val="2"/>
      <w:sz w:val="24"/>
      <w:szCs w:val="24"/>
      <w:lang w:val="en-US" w:eastAsia="zh-CN" w:bidi="ar-SA"/>
    </w:rPr>
  </w:style>
  <w:style w:type="character" w:customStyle="1" w:styleId="179">
    <w:name w:val="Char Char6"/>
    <w:autoRedefine/>
    <w:qFormat/>
    <w:uiPriority w:val="0"/>
    <w:rPr>
      <w:rFonts w:ascii="Times New Roman" w:hAnsi="Times New Roman" w:eastAsia="宋体" w:cs="Times New Roman"/>
      <w:szCs w:val="24"/>
    </w:rPr>
  </w:style>
  <w:style w:type="character" w:customStyle="1" w:styleId="180">
    <w:name w:val="Char Char Char"/>
    <w:autoRedefine/>
    <w:qFormat/>
    <w:uiPriority w:val="0"/>
    <w:rPr>
      <w:rFonts w:ascii="宋体" w:hAnsi="Courier New" w:eastAsia="宋体"/>
      <w:b/>
      <w:sz w:val="21"/>
      <w:szCs w:val="21"/>
      <w:lang w:val="en-US" w:eastAsia="zh-CN" w:bidi="ar-SA"/>
    </w:rPr>
  </w:style>
  <w:style w:type="character" w:customStyle="1" w:styleId="181">
    <w:name w:val="heading 2 Char"/>
    <w:autoRedefine/>
    <w:qFormat/>
    <w:uiPriority w:val="0"/>
    <w:rPr>
      <w:rFonts w:ascii="Arial" w:hAnsi="Arial" w:eastAsia="黑体" w:cs="Times New Roman"/>
      <w:sz w:val="30"/>
      <w:szCs w:val="24"/>
    </w:rPr>
  </w:style>
  <w:style w:type="character" w:customStyle="1" w:styleId="182">
    <w:name w:val="Char Char2"/>
    <w:autoRedefine/>
    <w:qFormat/>
    <w:uiPriority w:val="0"/>
    <w:rPr>
      <w:rFonts w:ascii="Arial" w:hAnsi="Arial" w:eastAsia="黑体"/>
      <w:b/>
      <w:bCs/>
      <w:kern w:val="44"/>
      <w:sz w:val="30"/>
      <w:szCs w:val="44"/>
      <w:lang w:val="en-US" w:eastAsia="zh-CN" w:bidi="ar-SA"/>
    </w:rPr>
  </w:style>
  <w:style w:type="character" w:customStyle="1" w:styleId="183">
    <w:name w:val="Footer-Even Char2"/>
    <w:autoRedefine/>
    <w:qFormat/>
    <w:uiPriority w:val="0"/>
    <w:rPr>
      <w:kern w:val="2"/>
      <w:sz w:val="18"/>
      <w:szCs w:val="18"/>
    </w:rPr>
  </w:style>
  <w:style w:type="character" w:customStyle="1" w:styleId="184">
    <w:name w:val="Char Char17"/>
    <w:autoRedefine/>
    <w:qFormat/>
    <w:uiPriority w:val="0"/>
    <w:rPr>
      <w:rFonts w:ascii="Cambria" w:hAnsi="Cambria"/>
      <w:b/>
      <w:bCs/>
      <w:kern w:val="2"/>
      <w:sz w:val="28"/>
      <w:szCs w:val="28"/>
    </w:rPr>
  </w:style>
  <w:style w:type="character" w:customStyle="1" w:styleId="185">
    <w:name w:val="heading 4 Char"/>
    <w:autoRedefine/>
    <w:qFormat/>
    <w:uiPriority w:val="0"/>
    <w:rPr>
      <w:rFonts w:ascii="Arial" w:hAnsi="Arial" w:eastAsia="黑体" w:cs="Times New Roman"/>
      <w:sz w:val="21"/>
      <w:szCs w:val="21"/>
    </w:rPr>
  </w:style>
  <w:style w:type="character" w:customStyle="1" w:styleId="186">
    <w:name w:val="Char Char20"/>
    <w:autoRedefine/>
    <w:qFormat/>
    <w:uiPriority w:val="0"/>
    <w:rPr>
      <w:b/>
      <w:bCs/>
      <w:kern w:val="44"/>
      <w:sz w:val="44"/>
      <w:szCs w:val="44"/>
    </w:rPr>
  </w:style>
  <w:style w:type="character" w:customStyle="1" w:styleId="187">
    <w:name w:val="heading 1 Char2"/>
    <w:autoRedefine/>
    <w:qFormat/>
    <w:uiPriority w:val="0"/>
    <w:rPr>
      <w:b/>
      <w:bCs/>
      <w:kern w:val="44"/>
      <w:sz w:val="44"/>
      <w:szCs w:val="44"/>
    </w:rPr>
  </w:style>
  <w:style w:type="character" w:customStyle="1" w:styleId="188">
    <w:name w:val="font11"/>
    <w:autoRedefine/>
    <w:qFormat/>
    <w:uiPriority w:val="0"/>
    <w:rPr>
      <w:rFonts w:hint="eastAsia" w:ascii="宋体" w:hAnsi="宋体" w:eastAsia="宋体" w:cs="宋体"/>
      <w:b/>
      <w:color w:val="000000"/>
      <w:sz w:val="20"/>
      <w:szCs w:val="20"/>
      <w:u w:val="none"/>
    </w:rPr>
  </w:style>
  <w:style w:type="character" w:customStyle="1" w:styleId="189">
    <w:name w:val="表正文 Char2"/>
    <w:autoRedefine/>
    <w:qFormat/>
    <w:uiPriority w:val="0"/>
    <w:rPr>
      <w:rFonts w:ascii="Times New Roman" w:hAnsi="Times New Roman" w:eastAsia="宋体" w:cs="Times New Roman"/>
      <w:szCs w:val="24"/>
    </w:rPr>
  </w:style>
  <w:style w:type="character" w:customStyle="1" w:styleId="190">
    <w:name w:val="引用 Char"/>
    <w:link w:val="191"/>
    <w:autoRedefine/>
    <w:qFormat/>
    <w:uiPriority w:val="0"/>
    <w:rPr>
      <w:rFonts w:ascii="Calibri" w:hAnsi="Calibri" w:eastAsia="宋体"/>
      <w:i/>
      <w:iCs/>
      <w:color w:val="000000"/>
      <w:lang w:val="en-US" w:eastAsia="zh-CN" w:bidi="ar-SA"/>
    </w:rPr>
  </w:style>
  <w:style w:type="paragraph" w:styleId="191">
    <w:name w:val="Quote"/>
    <w:basedOn w:val="1"/>
    <w:next w:val="1"/>
    <w:link w:val="190"/>
    <w:autoRedefine/>
    <w:qFormat/>
    <w:uiPriority w:val="0"/>
    <w:rPr>
      <w:rFonts w:ascii="Calibri" w:hAnsi="Calibri"/>
      <w:i/>
      <w:iCs/>
      <w:color w:val="000000"/>
      <w:kern w:val="0"/>
      <w:sz w:val="20"/>
      <w:szCs w:val="20"/>
    </w:rPr>
  </w:style>
  <w:style w:type="character" w:customStyle="1" w:styleId="192">
    <w:name w:val="纯文本 Char"/>
    <w:link w:val="29"/>
    <w:autoRedefine/>
    <w:qFormat/>
    <w:uiPriority w:val="0"/>
    <w:rPr>
      <w:rFonts w:ascii="宋体" w:hAnsi="Courier New" w:eastAsia="宋体"/>
      <w:b/>
      <w:sz w:val="21"/>
      <w:szCs w:val="21"/>
      <w:lang w:val="en-US" w:eastAsia="zh-CN" w:bidi="ar-SA"/>
    </w:rPr>
  </w:style>
  <w:style w:type="character" w:customStyle="1" w:styleId="193">
    <w:name w:val="Char Char19"/>
    <w:autoRedefine/>
    <w:qFormat/>
    <w:uiPriority w:val="0"/>
    <w:rPr>
      <w:rFonts w:ascii="Cambria" w:hAnsi="Cambria"/>
      <w:b/>
      <w:bCs/>
      <w:kern w:val="2"/>
      <w:sz w:val="32"/>
      <w:szCs w:val="32"/>
    </w:rPr>
  </w:style>
  <w:style w:type="character" w:customStyle="1" w:styleId="194">
    <w:name w:val="style41"/>
    <w:autoRedefine/>
    <w:qFormat/>
    <w:uiPriority w:val="0"/>
    <w:rPr>
      <w:color w:val="auto"/>
    </w:rPr>
  </w:style>
  <w:style w:type="character" w:customStyle="1" w:styleId="195">
    <w:name w:val="Char Char201"/>
    <w:autoRedefine/>
    <w:qFormat/>
    <w:uiPriority w:val="0"/>
    <w:rPr>
      <w:rFonts w:ascii="Cambria" w:hAnsi="Cambria" w:eastAsia="宋体" w:cs="Times New Roman"/>
      <w:b/>
      <w:bCs/>
      <w:sz w:val="32"/>
      <w:szCs w:val="32"/>
    </w:rPr>
  </w:style>
  <w:style w:type="character" w:customStyle="1" w:styleId="196">
    <w:name w:val="正文首行缩进 Char"/>
    <w:link w:val="51"/>
    <w:autoRedefine/>
    <w:qFormat/>
    <w:uiPriority w:val="0"/>
    <w:rPr>
      <w:rFonts w:eastAsia="宋体"/>
      <w:lang w:val="en-US" w:eastAsia="zh-CN" w:bidi="ar-SA"/>
    </w:rPr>
  </w:style>
  <w:style w:type="character" w:customStyle="1" w:styleId="197">
    <w:name w:val="smalltxt1"/>
    <w:autoRedefine/>
    <w:qFormat/>
    <w:uiPriority w:val="0"/>
    <w:rPr>
      <w:rFonts w:hint="default" w:ascii="ˎ̥" w:hAnsi="ˎ̥"/>
      <w:sz w:val="24"/>
      <w:szCs w:val="24"/>
    </w:rPr>
  </w:style>
  <w:style w:type="character" w:customStyle="1" w:styleId="198">
    <w:name w:val="正文文本 2 Char"/>
    <w:basedOn w:val="55"/>
    <w:link w:val="47"/>
    <w:autoRedefine/>
    <w:qFormat/>
    <w:uiPriority w:val="0"/>
  </w:style>
  <w:style w:type="paragraph" w:customStyle="1" w:styleId="199">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200">
    <w:name w:val="Char Char Char Char"/>
    <w:basedOn w:val="1"/>
    <w:autoRedefine/>
    <w:qFormat/>
    <w:uiPriority w:val="0"/>
    <w:pPr>
      <w:autoSpaceDE w:val="0"/>
      <w:autoSpaceDN w:val="0"/>
      <w:adjustRightInd w:val="0"/>
      <w:jc w:val="left"/>
    </w:pPr>
    <w:rPr>
      <w:rFonts w:ascii="Tahoma" w:hAnsi="Tahoma"/>
      <w:kern w:val="0"/>
      <w:sz w:val="24"/>
      <w:szCs w:val="20"/>
    </w:rPr>
  </w:style>
  <w:style w:type="paragraph" w:customStyle="1" w:styleId="201">
    <w:name w:val="表内文字"/>
    <w:basedOn w:val="1"/>
    <w:autoRedefine/>
    <w:qFormat/>
    <w:uiPriority w:val="0"/>
    <w:pPr>
      <w:spacing w:line="240" w:lineRule="atLeast"/>
      <w:jc w:val="center"/>
    </w:pPr>
    <w:rPr>
      <w:rFonts w:ascii="Arial" w:hAnsi="Arial" w:cs="Arial"/>
      <w:b/>
      <w:bCs/>
    </w:rPr>
  </w:style>
  <w:style w:type="paragraph" w:customStyle="1" w:styleId="202">
    <w:name w:val="列项——（一级）"/>
    <w:autoRedefine/>
    <w:qFormat/>
    <w:uiPriority w:val="0"/>
    <w:pPr>
      <w:widowControl w:val="0"/>
      <w:tabs>
        <w:tab w:val="left" w:pos="854"/>
        <w:tab w:val="left" w:pos="1260"/>
      </w:tabs>
      <w:ind w:left="1260" w:hanging="420"/>
      <w:jc w:val="both"/>
    </w:pPr>
    <w:rPr>
      <w:rFonts w:ascii="宋体" w:hAnsi="Times New Roman" w:eastAsia="宋体" w:cs="Times New Roman"/>
      <w:sz w:val="21"/>
      <w:lang w:val="en-US" w:eastAsia="zh-CN" w:bidi="ar-SA"/>
    </w:rPr>
  </w:style>
  <w:style w:type="paragraph" w:customStyle="1" w:styleId="203">
    <w:name w:val="Char Char Char Char Char Char Char"/>
    <w:basedOn w:val="1"/>
    <w:autoRedefine/>
    <w:qFormat/>
    <w:uiPriority w:val="0"/>
    <w:rPr>
      <w:rFonts w:ascii="仿宋_GB2312" w:eastAsia="仿宋_GB2312"/>
      <w:b/>
      <w:sz w:val="32"/>
      <w:szCs w:val="32"/>
    </w:rPr>
  </w:style>
  <w:style w:type="paragraph" w:customStyle="1" w:styleId="20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05">
    <w:name w:val="列出段落1"/>
    <w:basedOn w:val="1"/>
    <w:autoRedefine/>
    <w:qFormat/>
    <w:uiPriority w:val="0"/>
    <w:pPr>
      <w:ind w:firstLine="420" w:firstLineChars="200"/>
    </w:pPr>
    <w:rPr>
      <w:szCs w:val="20"/>
    </w:rPr>
  </w:style>
  <w:style w:type="paragraph" w:customStyle="1" w:styleId="206">
    <w:name w:val="一级条标题"/>
    <w:next w:val="1"/>
    <w:autoRedefine/>
    <w:qFormat/>
    <w:uiPriority w:val="0"/>
    <w:pPr>
      <w:tabs>
        <w:tab w:val="left" w:pos="3889"/>
      </w:tabs>
      <w:ind w:left="3889" w:hanging="420"/>
      <w:outlineLvl w:val="2"/>
    </w:pPr>
    <w:rPr>
      <w:rFonts w:ascii="Times New Roman" w:hAnsi="Times New Roman" w:eastAsia="黑体" w:cs="Times New Roman"/>
      <w:sz w:val="21"/>
      <w:lang w:val="en-US" w:eastAsia="zh-CN" w:bidi="ar-SA"/>
    </w:rPr>
  </w:style>
  <w:style w:type="paragraph" w:customStyle="1" w:styleId="207">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08">
    <w:name w:val="技术报告正文"/>
    <w:basedOn w:val="1"/>
    <w:autoRedefine/>
    <w:qFormat/>
    <w:uiPriority w:val="0"/>
    <w:pPr>
      <w:autoSpaceDE w:val="0"/>
      <w:autoSpaceDN w:val="0"/>
      <w:adjustRightInd w:val="0"/>
      <w:spacing w:beforeLines="50" w:line="440" w:lineRule="exact"/>
      <w:ind w:firstLine="538" w:firstLineChars="192"/>
      <w:jc w:val="left"/>
    </w:pPr>
    <w:rPr>
      <w:rFonts w:cs="Arial"/>
      <w:bCs/>
      <w:kern w:val="0"/>
      <w:sz w:val="28"/>
      <w:szCs w:val="20"/>
    </w:rPr>
  </w:style>
  <w:style w:type="paragraph" w:customStyle="1" w:styleId="209">
    <w:name w:val="xl8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10">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11">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12">
    <w:name w:val="NICMAN Body Text"/>
    <w:basedOn w:val="1"/>
    <w:next w:val="21"/>
    <w:autoRedefine/>
    <w:qFormat/>
    <w:uiPriority w:val="0"/>
    <w:pPr>
      <w:autoSpaceDE w:val="0"/>
      <w:autoSpaceDN w:val="0"/>
      <w:adjustRightInd w:val="0"/>
      <w:spacing w:after="120"/>
      <w:jc w:val="left"/>
    </w:pPr>
    <w:rPr>
      <w:kern w:val="0"/>
      <w:sz w:val="20"/>
      <w:szCs w:val="20"/>
    </w:rPr>
  </w:style>
  <w:style w:type="paragraph" w:customStyle="1" w:styleId="213">
    <w:name w:val="Char Char Char Char Char Char Char Char Char Char Char Char Char"/>
    <w:basedOn w:val="1"/>
    <w:autoRedefine/>
    <w:qFormat/>
    <w:uiPriority w:val="0"/>
    <w:rPr>
      <w:rFonts w:ascii="Tahoma" w:hAnsi="Tahoma"/>
      <w:sz w:val="24"/>
      <w:szCs w:val="20"/>
    </w:rPr>
  </w:style>
  <w:style w:type="paragraph" w:customStyle="1" w:styleId="214">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15">
    <w:name w:val="正文缩进1"/>
    <w:basedOn w:val="1"/>
    <w:next w:val="23"/>
    <w:autoRedefine/>
    <w:qFormat/>
    <w:uiPriority w:val="0"/>
    <w:pPr>
      <w:autoSpaceDE w:val="0"/>
      <w:autoSpaceDN w:val="0"/>
      <w:adjustRightInd w:val="0"/>
      <w:snapToGrid w:val="0"/>
      <w:spacing w:after="120" w:line="360" w:lineRule="auto"/>
      <w:ind w:left="420" w:leftChars="200" w:firstLine="480" w:firstLineChars="200"/>
      <w:jc w:val="left"/>
    </w:pPr>
    <w:rPr>
      <w:kern w:val="0"/>
      <w:sz w:val="24"/>
      <w:szCs w:val="21"/>
    </w:rPr>
  </w:style>
  <w:style w:type="paragraph" w:customStyle="1" w:styleId="216">
    <w:name w:val="Table Heading"/>
    <w:autoRedefine/>
    <w:qFormat/>
    <w:uiPriority w:val="0"/>
    <w:pPr>
      <w:keepNext/>
      <w:snapToGrid w:val="0"/>
      <w:spacing w:before="80" w:after="80"/>
      <w:jc w:val="center"/>
    </w:pPr>
    <w:rPr>
      <w:rFonts w:ascii="Times New Roman" w:hAnsi="Times New Roman" w:eastAsia="黑体" w:cs="Arial"/>
      <w:kern w:val="2"/>
      <w:sz w:val="18"/>
      <w:szCs w:val="18"/>
      <w:lang w:val="en-US" w:eastAsia="zh-CN" w:bidi="ar-SA"/>
    </w:rPr>
  </w:style>
  <w:style w:type="paragraph" w:customStyle="1" w:styleId="217">
    <w:name w:val="Char Char Char Char1"/>
    <w:basedOn w:val="17"/>
    <w:autoRedefine/>
    <w:qFormat/>
    <w:uiPriority w:val="0"/>
    <w:rPr>
      <w:rFonts w:ascii="Tahoma" w:hAnsi="Tahoma"/>
      <w:sz w:val="24"/>
    </w:rPr>
  </w:style>
  <w:style w:type="paragraph" w:customStyle="1" w:styleId="218">
    <w:name w:val="正文 首行缩进:  2 字符 Char"/>
    <w:basedOn w:val="1"/>
    <w:autoRedefine/>
    <w:qFormat/>
    <w:uiPriority w:val="0"/>
    <w:pPr>
      <w:spacing w:line="360" w:lineRule="auto"/>
      <w:ind w:firstLine="480"/>
    </w:pPr>
    <w:rPr>
      <w:rFonts w:cs="宋体"/>
      <w:sz w:val="24"/>
      <w:szCs w:val="20"/>
    </w:rPr>
  </w:style>
  <w:style w:type="paragraph" w:customStyle="1" w:styleId="219">
    <w:name w:val="样式1"/>
    <w:basedOn w:val="1"/>
    <w:autoRedefine/>
    <w:qFormat/>
    <w:uiPriority w:val="0"/>
    <w:pPr>
      <w:autoSpaceDE w:val="0"/>
      <w:autoSpaceDN w:val="0"/>
      <w:adjustRightInd w:val="0"/>
      <w:spacing w:line="400" w:lineRule="exact"/>
    </w:pPr>
    <w:rPr>
      <w:rFonts w:ascii="宋体" w:cs="宋体"/>
      <w:kern w:val="0"/>
    </w:rPr>
  </w:style>
  <w:style w:type="paragraph" w:customStyle="1" w:styleId="22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1">
    <w:name w:val="小标题"/>
    <w:basedOn w:val="1"/>
    <w:autoRedefine/>
    <w:qFormat/>
    <w:uiPriority w:val="0"/>
    <w:pPr>
      <w:autoSpaceDE w:val="0"/>
      <w:autoSpaceDN w:val="0"/>
      <w:adjustRightInd w:val="0"/>
      <w:spacing w:before="120" w:line="360" w:lineRule="atLeast"/>
      <w:ind w:left="1134"/>
      <w:jc w:val="left"/>
      <w:textAlignment w:val="baseline"/>
    </w:pPr>
    <w:rPr>
      <w:rFonts w:eastAsia="黑体"/>
      <w:kern w:val="0"/>
      <w:sz w:val="20"/>
      <w:szCs w:val="20"/>
    </w:rPr>
  </w:style>
  <w:style w:type="paragraph" w:customStyle="1" w:styleId="222">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23">
    <w:name w:val="Char Char Char Char Char Char Char Char Char Char"/>
    <w:basedOn w:val="1"/>
    <w:autoRedefine/>
    <w:qFormat/>
    <w:uiPriority w:val="0"/>
    <w:pPr>
      <w:autoSpaceDE w:val="0"/>
      <w:autoSpaceDN w:val="0"/>
      <w:adjustRightInd w:val="0"/>
      <w:jc w:val="left"/>
    </w:pPr>
    <w:rPr>
      <w:rFonts w:ascii="仿宋_GB2312" w:eastAsia="仿宋_GB2312"/>
      <w:b/>
      <w:kern w:val="0"/>
      <w:sz w:val="32"/>
      <w:szCs w:val="32"/>
    </w:rPr>
  </w:style>
  <w:style w:type="paragraph" w:customStyle="1" w:styleId="224">
    <w:name w:val="样式"/>
    <w:basedOn w:val="1"/>
    <w:autoRedefine/>
    <w:qFormat/>
    <w:uiPriority w:val="0"/>
    <w:pPr>
      <w:autoSpaceDE w:val="0"/>
      <w:autoSpaceDN w:val="0"/>
      <w:adjustRightInd w:val="0"/>
      <w:snapToGrid w:val="0"/>
      <w:spacing w:before="120" w:after="120" w:line="360" w:lineRule="auto"/>
      <w:jc w:val="left"/>
    </w:pPr>
    <w:rPr>
      <w:rFonts w:ascii="宋体"/>
      <w:kern w:val="0"/>
      <w:sz w:val="24"/>
      <w:szCs w:val="20"/>
    </w:rPr>
  </w:style>
  <w:style w:type="paragraph" w:customStyle="1" w:styleId="225">
    <w:name w:val="二级条标题"/>
    <w:basedOn w:val="206"/>
    <w:next w:val="1"/>
    <w:autoRedefine/>
    <w:qFormat/>
    <w:uiPriority w:val="0"/>
    <w:pPr>
      <w:tabs>
        <w:tab w:val="left" w:pos="4309"/>
        <w:tab w:val="clear" w:pos="3889"/>
      </w:tabs>
      <w:ind w:left="4309"/>
      <w:outlineLvl w:val="3"/>
    </w:pPr>
  </w:style>
  <w:style w:type="paragraph" w:customStyle="1" w:styleId="226">
    <w:name w:val="正文－恩普"/>
    <w:basedOn w:val="9"/>
    <w:autoRedefine/>
    <w:qFormat/>
    <w:uiPriority w:val="0"/>
    <w:pPr>
      <w:adjustRightInd/>
      <w:spacing w:line="360" w:lineRule="auto"/>
      <w:ind w:firstLine="200" w:firstLineChars="200"/>
      <w:textAlignment w:val="auto"/>
    </w:pPr>
    <w:rPr>
      <w:kern w:val="2"/>
      <w:sz w:val="24"/>
      <w:szCs w:val="24"/>
    </w:rPr>
  </w:style>
  <w:style w:type="paragraph" w:customStyle="1" w:styleId="227">
    <w:name w:val="列表内容"/>
    <w:basedOn w:val="1"/>
    <w:next w:val="1"/>
    <w:autoRedefine/>
    <w:qFormat/>
    <w:uiPriority w:val="0"/>
    <w:pPr>
      <w:widowControl/>
      <w:autoSpaceDE w:val="0"/>
      <w:autoSpaceDN w:val="0"/>
      <w:adjustRightInd w:val="0"/>
      <w:ind w:firstLine="200"/>
      <w:jc w:val="left"/>
    </w:pPr>
    <w:rPr>
      <w:kern w:val="0"/>
      <w:sz w:val="18"/>
      <w:szCs w:val="20"/>
    </w:rPr>
  </w:style>
  <w:style w:type="paragraph" w:customStyle="1" w:styleId="228">
    <w:name w:val="正文（首行缩进）"/>
    <w:basedOn w:val="23"/>
    <w:autoRedefine/>
    <w:qFormat/>
    <w:uiPriority w:val="0"/>
    <w:pPr>
      <w:widowControl/>
      <w:overflowPunct w:val="0"/>
      <w:autoSpaceDE w:val="0"/>
      <w:autoSpaceDN w:val="0"/>
      <w:adjustRightInd w:val="0"/>
      <w:spacing w:beforeLines="50" w:after="120" w:line="400" w:lineRule="exact"/>
      <w:ind w:left="200" w:leftChars="200" w:firstLine="200" w:firstLineChars="200"/>
      <w:jc w:val="left"/>
      <w:textAlignment w:val="baseline"/>
    </w:pPr>
    <w:rPr>
      <w:spacing w:val="10"/>
      <w:kern w:val="0"/>
      <w:szCs w:val="20"/>
    </w:rPr>
  </w:style>
  <w:style w:type="paragraph" w:customStyle="1" w:styleId="229">
    <w:name w:val="xl8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30">
    <w:name w:val="文字"/>
    <w:basedOn w:val="1"/>
    <w:autoRedefine/>
    <w:qFormat/>
    <w:uiPriority w:val="0"/>
    <w:pPr>
      <w:tabs>
        <w:tab w:val="left" w:pos="8520"/>
      </w:tabs>
      <w:spacing w:line="312" w:lineRule="auto"/>
      <w:ind w:right="-210" w:firstLine="556"/>
    </w:pPr>
    <w:rPr>
      <w:rFonts w:ascii="宋体"/>
      <w:sz w:val="28"/>
      <w:szCs w:val="20"/>
    </w:rPr>
  </w:style>
  <w:style w:type="paragraph" w:customStyle="1" w:styleId="231">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32">
    <w:name w:val="xl8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33">
    <w:name w:val="标准段落"/>
    <w:basedOn w:val="1"/>
    <w:autoRedefine/>
    <w:qFormat/>
    <w:uiPriority w:val="0"/>
    <w:pPr>
      <w:spacing w:after="120" w:line="360" w:lineRule="auto"/>
      <w:ind w:firstLine="420"/>
    </w:pPr>
    <w:rPr>
      <w:rFonts w:ascii="黑体" w:hAnsi="宋体" w:eastAsia="黑体"/>
      <w:b/>
      <w:spacing w:val="6"/>
      <w:szCs w:val="22"/>
    </w:rPr>
  </w:style>
  <w:style w:type="paragraph" w:customStyle="1" w:styleId="234">
    <w:name w:val="三级条标题"/>
    <w:basedOn w:val="225"/>
    <w:next w:val="1"/>
    <w:autoRedefine/>
    <w:qFormat/>
    <w:uiPriority w:val="0"/>
    <w:pPr>
      <w:tabs>
        <w:tab w:val="left" w:pos="4729"/>
        <w:tab w:val="clear" w:pos="4309"/>
      </w:tabs>
      <w:ind w:left="4729"/>
      <w:outlineLvl w:val="4"/>
    </w:pPr>
  </w:style>
  <w:style w:type="paragraph" w:customStyle="1" w:styleId="235">
    <w:name w:val="Test2"/>
    <w:basedOn w:val="4"/>
    <w:autoRedefine/>
    <w:qFormat/>
    <w:uiPriority w:val="0"/>
    <w:pPr>
      <w:keepNext w:val="0"/>
      <w:widowControl/>
      <w:tabs>
        <w:tab w:val="left" w:pos="774"/>
      </w:tabs>
      <w:autoSpaceDE w:val="0"/>
      <w:autoSpaceDN w:val="0"/>
      <w:adjustRightInd w:val="0"/>
      <w:snapToGrid w:val="0"/>
      <w:spacing w:before="360" w:after="360" w:line="240" w:lineRule="atLeast"/>
      <w:ind w:left="774" w:hanging="576"/>
      <w:jc w:val="left"/>
    </w:pPr>
    <w:rPr>
      <w:rFonts w:ascii="宋体" w:hAnsi="Arial"/>
      <w:snapToGrid w:val="0"/>
      <w:kern w:val="0"/>
    </w:rPr>
  </w:style>
  <w:style w:type="paragraph" w:customStyle="1" w:styleId="236">
    <w:name w:val="默认段落字体 Para Char Char Char Char Char Char Char"/>
    <w:basedOn w:val="1"/>
    <w:autoRedefine/>
    <w:qFormat/>
    <w:uiPriority w:val="0"/>
  </w:style>
  <w:style w:type="paragraph" w:customStyle="1" w:styleId="237">
    <w:name w:val="标准小四"/>
    <w:basedOn w:val="1"/>
    <w:autoRedefine/>
    <w:qFormat/>
    <w:uiPriority w:val="0"/>
    <w:pPr>
      <w:autoSpaceDE w:val="0"/>
      <w:autoSpaceDN w:val="0"/>
      <w:adjustRightInd w:val="0"/>
      <w:spacing w:line="360" w:lineRule="auto"/>
      <w:ind w:firstLine="480" w:firstLineChars="200"/>
      <w:jc w:val="left"/>
    </w:pPr>
    <w:rPr>
      <w:rFonts w:ascii="Arial" w:hAnsi="Arial"/>
      <w:kern w:val="0"/>
      <w:sz w:val="24"/>
      <w:szCs w:val="21"/>
    </w:rPr>
  </w:style>
  <w:style w:type="paragraph" w:customStyle="1" w:styleId="238">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39">
    <w:name w:val="Char13"/>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40">
    <w:name w:val="xl6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41">
    <w:name w:val="样式 样式 正文文本缩进 + 仿宋_GB2312 小四 首行缩进:  0 厘米 行距: 1.5 倍行距 + (中文) 仿宋_GB... Char Char"/>
    <w:basedOn w:val="1"/>
    <w:autoRedefine/>
    <w:qFormat/>
    <w:uiPriority w:val="0"/>
    <w:pPr>
      <w:autoSpaceDE w:val="0"/>
      <w:autoSpaceDN w:val="0"/>
      <w:adjustRightInd w:val="0"/>
      <w:spacing w:line="360" w:lineRule="auto"/>
      <w:ind w:firstLine="480" w:firstLineChars="200"/>
      <w:jc w:val="left"/>
    </w:pPr>
    <w:rPr>
      <w:rFonts w:ascii="仿宋_GB2312" w:eastAsia="新宋体"/>
      <w:kern w:val="0"/>
      <w:sz w:val="24"/>
      <w:szCs w:val="20"/>
    </w:rPr>
  </w:style>
  <w:style w:type="paragraph" w:customStyle="1" w:styleId="242">
    <w:name w:val="列表段落"/>
    <w:basedOn w:val="1"/>
    <w:autoRedefine/>
    <w:qFormat/>
    <w:uiPriority w:val="0"/>
    <w:pPr>
      <w:ind w:firstLine="420" w:firstLineChars="200"/>
    </w:pPr>
    <w:rPr>
      <w:rFonts w:ascii="Calibri" w:hAnsi="Calibri"/>
      <w:szCs w:val="22"/>
    </w:rPr>
  </w:style>
  <w:style w:type="paragraph" w:customStyle="1" w:styleId="243">
    <w:name w:val="五级条标题"/>
    <w:basedOn w:val="244"/>
    <w:next w:val="1"/>
    <w:autoRedefine/>
    <w:qFormat/>
    <w:uiPriority w:val="0"/>
    <w:pPr>
      <w:tabs>
        <w:tab w:val="left" w:pos="5149"/>
        <w:tab w:val="left" w:pos="5569"/>
      </w:tabs>
      <w:ind w:left="5569"/>
      <w:outlineLvl w:val="6"/>
    </w:pPr>
  </w:style>
  <w:style w:type="paragraph" w:customStyle="1" w:styleId="244">
    <w:name w:val="四级条标题"/>
    <w:basedOn w:val="234"/>
    <w:next w:val="1"/>
    <w:qFormat/>
    <w:uiPriority w:val="0"/>
    <w:pPr>
      <w:tabs>
        <w:tab w:val="left" w:pos="5149"/>
        <w:tab w:val="clear" w:pos="4729"/>
      </w:tabs>
      <w:ind w:left="5149"/>
      <w:outlineLvl w:val="5"/>
    </w:pPr>
  </w:style>
  <w:style w:type="paragraph" w:customStyle="1" w:styleId="245">
    <w:name w:val="正文-宋体四号"/>
    <w:basedOn w:val="1"/>
    <w:qFormat/>
    <w:uiPriority w:val="0"/>
    <w:pPr>
      <w:spacing w:line="360" w:lineRule="auto"/>
      <w:ind w:firstLine="560" w:firstLineChars="200"/>
    </w:pPr>
    <w:rPr>
      <w:rFonts w:cs="宋体"/>
      <w:sz w:val="28"/>
      <w:szCs w:val="20"/>
    </w:rPr>
  </w:style>
  <w:style w:type="paragraph" w:customStyle="1" w:styleId="246">
    <w:name w:val="纯文本1"/>
    <w:basedOn w:val="1"/>
    <w:autoRedefine/>
    <w:qFormat/>
    <w:uiPriority w:val="0"/>
    <w:pPr>
      <w:adjustRightInd w:val="0"/>
      <w:textAlignment w:val="baseline"/>
    </w:pPr>
    <w:rPr>
      <w:rFonts w:ascii="宋体" w:hAnsi="Courier New" w:eastAsia="楷体_GB2312"/>
      <w:sz w:val="28"/>
      <w:szCs w:val="20"/>
    </w:rPr>
  </w:style>
  <w:style w:type="paragraph" w:customStyle="1" w:styleId="247">
    <w:name w:val="Char2"/>
    <w:basedOn w:val="1"/>
    <w:qFormat/>
    <w:uiPriority w:val="0"/>
  </w:style>
  <w:style w:type="paragraph" w:customStyle="1" w:styleId="248">
    <w:name w:val="Char Char Char Char Char Char Char Char Char Char Char Char Char Char Char Char Char Char Char"/>
    <w:basedOn w:val="1"/>
    <w:qFormat/>
    <w:uiPriority w:val="0"/>
    <w:rPr>
      <w:rFonts w:ascii="仿宋_GB2312" w:eastAsia="仿宋_GB2312"/>
      <w:b/>
      <w:sz w:val="32"/>
      <w:szCs w:val="32"/>
    </w:rPr>
  </w:style>
  <w:style w:type="paragraph" w:customStyle="1" w:styleId="249">
    <w:name w:val="样式5"/>
    <w:basedOn w:val="9"/>
    <w:autoRedefine/>
    <w:qFormat/>
    <w:uiPriority w:val="0"/>
    <w:pPr>
      <w:adjustRightInd/>
      <w:spacing w:line="360" w:lineRule="auto"/>
      <w:ind w:firstLine="200" w:firstLineChars="200"/>
      <w:textAlignment w:val="auto"/>
    </w:pPr>
    <w:rPr>
      <w:sz w:val="28"/>
      <w:szCs w:val="21"/>
    </w:rPr>
  </w:style>
  <w:style w:type="paragraph" w:customStyle="1" w:styleId="250">
    <w:name w:val="14"/>
    <w:basedOn w:val="1"/>
    <w:qFormat/>
    <w:uiPriority w:val="0"/>
    <w:pPr>
      <w:snapToGrid w:val="0"/>
      <w:spacing w:beforeLines="30" w:line="288" w:lineRule="auto"/>
      <w:ind w:left="852" w:leftChars="355" w:firstLine="420" w:firstLineChars="175"/>
    </w:pPr>
    <w:rPr>
      <w:rFonts w:ascii="新宋体" w:hAnsi="新宋体"/>
      <w:sz w:val="24"/>
      <w:szCs w:val="20"/>
    </w:rPr>
  </w:style>
  <w:style w:type="paragraph" w:customStyle="1" w:styleId="251">
    <w:name w:val="Char Char Char Char Char Char Char Char Char Char Char Char Char1"/>
    <w:basedOn w:val="1"/>
    <w:autoRedefine/>
    <w:qFormat/>
    <w:uiPriority w:val="0"/>
  </w:style>
  <w:style w:type="paragraph" w:customStyle="1" w:styleId="252">
    <w:name w:val="样式 标题 1Level 1Level 11h1II+IHeading1H1-Heading 1Header 1..."/>
    <w:basedOn w:val="3"/>
    <w:qFormat/>
    <w:uiPriority w:val="0"/>
    <w:pPr>
      <w:keepLines/>
      <w:pageBreakBefore/>
      <w:spacing w:before="100" w:after="100" w:line="360" w:lineRule="auto"/>
      <w:ind w:left="1680" w:hanging="420"/>
      <w:jc w:val="left"/>
    </w:pPr>
    <w:rPr>
      <w:rFonts w:ascii="Arial" w:hAnsi="Arial" w:cs="宋体"/>
      <w:bCs/>
      <w:kern w:val="44"/>
      <w:sz w:val="44"/>
    </w:rPr>
  </w:style>
  <w:style w:type="paragraph" w:customStyle="1" w:styleId="253">
    <w:name w:val="样式 标题 3 + 黑色 段前: 5 磅 段后: 5 磅 行距: 1.5 倍行距"/>
    <w:basedOn w:val="1"/>
    <w:qFormat/>
    <w:uiPriority w:val="0"/>
    <w:pPr>
      <w:ind w:left="855" w:hanging="855"/>
    </w:pPr>
    <w:rPr>
      <w:sz w:val="24"/>
      <w:szCs w:val="20"/>
    </w:rPr>
  </w:style>
  <w:style w:type="paragraph" w:customStyle="1" w:styleId="254">
    <w:name w:val="button"/>
    <w:basedOn w:val="1"/>
    <w:qFormat/>
    <w:uiPriority w:val="0"/>
    <w:pPr>
      <w:widowControl/>
      <w:autoSpaceDE w:val="0"/>
      <w:autoSpaceDN w:val="0"/>
      <w:adjustRightInd w:val="0"/>
      <w:spacing w:before="100" w:beforeAutospacing="1" w:after="100" w:afterAutospacing="1"/>
      <w:jc w:val="left"/>
    </w:pPr>
    <w:rPr>
      <w:rFonts w:ascii="Arial Unicode MS" w:hAnsi="Arial Unicode MS"/>
      <w:color w:val="000000"/>
      <w:kern w:val="0"/>
      <w:sz w:val="24"/>
      <w:szCs w:val="20"/>
    </w:rPr>
  </w:style>
  <w:style w:type="paragraph" w:customStyle="1" w:styleId="255">
    <w:name w:val="ÕýÎÄÊ×ÐÐËõ½ø"/>
    <w:basedOn w:val="1"/>
    <w:autoRedefine/>
    <w:qFormat/>
    <w:uiPriority w:val="0"/>
    <w:pPr>
      <w:widowControl/>
      <w:overflowPunct w:val="0"/>
      <w:autoSpaceDE w:val="0"/>
      <w:autoSpaceDN w:val="0"/>
      <w:adjustRightInd w:val="0"/>
      <w:spacing w:line="360" w:lineRule="auto"/>
      <w:ind w:left="1134"/>
      <w:jc w:val="left"/>
      <w:textAlignment w:val="baseline"/>
    </w:pPr>
    <w:rPr>
      <w:rFonts w:eastAsia="Times New Roman"/>
      <w:kern w:val="0"/>
      <w:sz w:val="20"/>
      <w:szCs w:val="20"/>
    </w:rPr>
  </w:style>
  <w:style w:type="paragraph" w:customStyle="1" w:styleId="256">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7">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58">
    <w:name w:val="标书正文带编号"/>
    <w:basedOn w:val="1"/>
    <w:autoRedefine/>
    <w:qFormat/>
    <w:uiPriority w:val="0"/>
    <w:pPr>
      <w:tabs>
        <w:tab w:val="left" w:pos="397"/>
      </w:tabs>
      <w:autoSpaceDE w:val="0"/>
      <w:autoSpaceDN w:val="0"/>
      <w:adjustRightInd w:val="0"/>
      <w:ind w:firstLine="397"/>
      <w:jc w:val="left"/>
    </w:pPr>
    <w:rPr>
      <w:rFonts w:cs="宋体"/>
      <w:kern w:val="0"/>
      <w:sz w:val="20"/>
      <w:szCs w:val="21"/>
    </w:rPr>
  </w:style>
  <w:style w:type="paragraph" w:customStyle="1" w:styleId="259">
    <w:name w:val="表格文字（大）"/>
    <w:basedOn w:val="1"/>
    <w:qFormat/>
    <w:uiPriority w:val="0"/>
    <w:pPr>
      <w:autoSpaceDE w:val="0"/>
      <w:autoSpaceDN w:val="0"/>
      <w:adjustRightInd w:val="0"/>
      <w:spacing w:before="20" w:after="20"/>
      <w:jc w:val="left"/>
    </w:pPr>
    <w:rPr>
      <w:rFonts w:ascii="Century Gothic" w:hAnsi="Century Gothic" w:cs="Century Gothic"/>
      <w:kern w:val="0"/>
      <w:sz w:val="24"/>
      <w:szCs w:val="20"/>
    </w:rPr>
  </w:style>
  <w:style w:type="paragraph" w:customStyle="1" w:styleId="260">
    <w:name w:val="排列"/>
    <w:basedOn w:val="1"/>
    <w:qFormat/>
    <w:uiPriority w:val="0"/>
    <w:pPr>
      <w:widowControl/>
      <w:autoSpaceDE w:val="0"/>
      <w:autoSpaceDN w:val="0"/>
      <w:adjustRightInd w:val="0"/>
      <w:spacing w:line="360" w:lineRule="auto"/>
      <w:jc w:val="left"/>
    </w:pPr>
    <w:rPr>
      <w:rFonts w:ascii="宋体" w:hAnsi="宋体"/>
      <w:kern w:val="0"/>
      <w:sz w:val="20"/>
      <w:szCs w:val="20"/>
      <w:lang w:val="zh-CN"/>
    </w:rPr>
  </w:style>
  <w:style w:type="paragraph" w:customStyle="1" w:styleId="261">
    <w:name w:val="Char Char1 Char Char Char Char Char Char Char Char Char Char Char Char Char Char"/>
    <w:basedOn w:val="1"/>
    <w:autoRedefine/>
    <w:qFormat/>
    <w:uiPriority w:val="0"/>
    <w:pPr>
      <w:widowControl/>
      <w:autoSpaceDE w:val="0"/>
      <w:autoSpaceDN w:val="0"/>
      <w:adjustRightInd w:val="0"/>
      <w:spacing w:after="160" w:line="240" w:lineRule="exact"/>
      <w:jc w:val="left"/>
    </w:pPr>
    <w:rPr>
      <w:kern w:val="0"/>
      <w:sz w:val="20"/>
      <w:szCs w:val="20"/>
    </w:rPr>
  </w:style>
  <w:style w:type="paragraph" w:customStyle="1" w:styleId="26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6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64">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65">
    <w:name w:val="tabletext"/>
    <w:basedOn w:val="1"/>
    <w:qFormat/>
    <w:uiPriority w:val="0"/>
    <w:pPr>
      <w:widowControl/>
      <w:spacing w:line="300" w:lineRule="atLeast"/>
      <w:jc w:val="left"/>
    </w:pPr>
    <w:rPr>
      <w:rFonts w:ascii="宋体" w:hAnsi="宋体" w:cs="宋体"/>
      <w:kern w:val="0"/>
      <w:sz w:val="18"/>
      <w:szCs w:val="18"/>
    </w:rPr>
  </w:style>
  <w:style w:type="paragraph" w:customStyle="1" w:styleId="266">
    <w:name w:val="1.1.1"/>
    <w:basedOn w:val="1"/>
    <w:qFormat/>
    <w:uiPriority w:val="0"/>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267">
    <w:name w:val="TOC 标题1"/>
    <w:basedOn w:val="3"/>
    <w:next w:val="1"/>
    <w:autoRedefine/>
    <w:unhideWhenUsed/>
    <w:qFormat/>
    <w:uiPriority w:val="39"/>
    <w:pPr>
      <w:widowControl/>
      <w:spacing w:before="480" w:line="276" w:lineRule="auto"/>
      <w:jc w:val="left"/>
      <w:outlineLvl w:val="9"/>
    </w:pPr>
    <w:rPr>
      <w:rFonts w:ascii="Cambria" w:hAnsi="Cambria" w:eastAsia="宋体"/>
      <w:color w:val="366091"/>
      <w:kern w:val="0"/>
      <w:sz w:val="28"/>
      <w:szCs w:val="28"/>
    </w:rPr>
  </w:style>
  <w:style w:type="paragraph" w:customStyle="1" w:styleId="268">
    <w:name w:val="xl55"/>
    <w:basedOn w:val="1"/>
    <w:autoRedefine/>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269">
    <w:name w:val="xl8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70">
    <w:name w:val="WW-正文文字缩进 2"/>
    <w:basedOn w:val="1"/>
    <w:qFormat/>
    <w:uiPriority w:val="0"/>
    <w:pPr>
      <w:suppressAutoHyphens/>
      <w:autoSpaceDE w:val="0"/>
      <w:autoSpaceDN w:val="0"/>
      <w:adjustRightInd w:val="0"/>
      <w:ind w:firstLine="420"/>
      <w:jc w:val="left"/>
    </w:pPr>
    <w:rPr>
      <w:kern w:val="1"/>
      <w:sz w:val="20"/>
      <w:szCs w:val="20"/>
    </w:rPr>
  </w:style>
  <w:style w:type="paragraph" w:customStyle="1" w:styleId="271">
    <w:name w:val="xl6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72">
    <w:name w:val="正文样式 首行缩进:  0.74 厘米"/>
    <w:basedOn w:val="1"/>
    <w:autoRedefine/>
    <w:qFormat/>
    <w:uiPriority w:val="0"/>
    <w:pPr>
      <w:autoSpaceDE w:val="0"/>
      <w:autoSpaceDN w:val="0"/>
      <w:adjustRightInd w:val="0"/>
      <w:spacing w:beforeLines="50" w:line="360" w:lineRule="auto"/>
      <w:ind w:firstLine="420"/>
      <w:jc w:val="left"/>
    </w:pPr>
    <w:rPr>
      <w:rFonts w:cs="宋体"/>
      <w:kern w:val="0"/>
      <w:sz w:val="24"/>
      <w:szCs w:val="20"/>
    </w:rPr>
  </w:style>
  <w:style w:type="paragraph" w:customStyle="1" w:styleId="273">
    <w:name w:val="简单回函地址"/>
    <w:basedOn w:val="1"/>
    <w:qFormat/>
    <w:uiPriority w:val="0"/>
  </w:style>
  <w:style w:type="paragraph" w:customStyle="1" w:styleId="274">
    <w:name w:val="前言、引言标题"/>
    <w:next w:val="1"/>
    <w:autoRedefine/>
    <w:qFormat/>
    <w:uiPriority w:val="0"/>
    <w:pPr>
      <w:shd w:val="clear" w:color="FFFFFF" w:fill="FFFFFF"/>
      <w:tabs>
        <w:tab w:val="left" w:pos="3349"/>
      </w:tabs>
      <w:spacing w:before="640" w:after="560"/>
      <w:ind w:left="3349" w:hanging="720"/>
      <w:jc w:val="center"/>
      <w:outlineLvl w:val="0"/>
    </w:pPr>
    <w:rPr>
      <w:rFonts w:ascii="黑体" w:hAnsi="Times New Roman" w:eastAsia="黑体" w:cs="Times New Roman"/>
      <w:sz w:val="32"/>
      <w:lang w:val="en-US" w:eastAsia="zh-CN" w:bidi="ar-SA"/>
    </w:rPr>
  </w:style>
  <w:style w:type="paragraph" w:customStyle="1" w:styleId="275">
    <w:name w:val="正文_0"/>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76">
    <w:name w:val="部分1"/>
    <w:basedOn w:val="1"/>
    <w:autoRedefine/>
    <w:qFormat/>
    <w:uiPriority w:val="0"/>
    <w:pPr>
      <w:keepNext/>
      <w:pageBreakBefore/>
      <w:tabs>
        <w:tab w:val="left" w:pos="720"/>
      </w:tabs>
      <w:autoSpaceDE w:val="0"/>
      <w:autoSpaceDN w:val="0"/>
      <w:adjustRightInd w:val="0"/>
      <w:spacing w:line="360" w:lineRule="auto"/>
      <w:jc w:val="center"/>
      <w:outlineLvl w:val="0"/>
    </w:pPr>
    <w:rPr>
      <w:rFonts w:eastAsia="黑体"/>
      <w:b/>
      <w:kern w:val="44"/>
      <w:sz w:val="36"/>
      <w:szCs w:val="20"/>
    </w:rPr>
  </w:style>
  <w:style w:type="paragraph" w:customStyle="1" w:styleId="277">
    <w:name w:val="1 Char"/>
    <w:basedOn w:val="9"/>
    <w:qFormat/>
    <w:uiPriority w:val="0"/>
    <w:pPr>
      <w:adjustRightInd/>
      <w:spacing w:line="360" w:lineRule="auto"/>
      <w:ind w:firstLine="200" w:firstLineChars="200"/>
      <w:textAlignment w:val="auto"/>
    </w:pPr>
    <w:rPr>
      <w:kern w:val="2"/>
    </w:rPr>
  </w:style>
  <w:style w:type="paragraph" w:customStyle="1" w:styleId="278">
    <w:name w:val="正文文本 21"/>
    <w:basedOn w:val="1"/>
    <w:qFormat/>
    <w:uiPriority w:val="0"/>
    <w:pPr>
      <w:widowControl/>
      <w:overflowPunct w:val="0"/>
      <w:autoSpaceDE w:val="0"/>
      <w:autoSpaceDN w:val="0"/>
      <w:adjustRightInd w:val="0"/>
      <w:ind w:left="720" w:hanging="720"/>
      <w:jc w:val="left"/>
      <w:textAlignment w:val="baseline"/>
    </w:pPr>
    <w:rPr>
      <w:kern w:val="0"/>
      <w:sz w:val="24"/>
      <w:szCs w:val="20"/>
      <w:lang w:val="en-GB"/>
    </w:rPr>
  </w:style>
  <w:style w:type="paragraph" w:customStyle="1" w:styleId="279">
    <w:name w:val="TOC 标题2"/>
    <w:basedOn w:val="3"/>
    <w:next w:val="1"/>
    <w:qFormat/>
    <w:uiPriority w:val="0"/>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280">
    <w:name w:val="Char Char"/>
    <w:basedOn w:val="1"/>
    <w:qFormat/>
    <w:uiPriority w:val="0"/>
    <w:rPr>
      <w:rFonts w:ascii="仿宋_GB2312" w:eastAsia="仿宋_GB2312"/>
      <w:b/>
      <w:sz w:val="32"/>
      <w:szCs w:val="32"/>
    </w:rPr>
  </w:style>
  <w:style w:type="paragraph" w:customStyle="1" w:styleId="281">
    <w:name w:val="l正文"/>
    <w:basedOn w:val="1"/>
    <w:qFormat/>
    <w:uiPriority w:val="0"/>
    <w:pPr>
      <w:spacing w:line="360" w:lineRule="auto"/>
      <w:ind w:firstLine="200" w:firstLineChars="200"/>
    </w:pPr>
    <w:rPr>
      <w:rFonts w:ascii="宋体" w:hAnsi="宋体"/>
      <w:sz w:val="24"/>
    </w:rPr>
  </w:style>
  <w:style w:type="paragraph" w:customStyle="1" w:styleId="282">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新宋体" w:hAnsi="新宋体" w:eastAsia="新宋体" w:cs="宋体"/>
      <w:b/>
      <w:bCs/>
      <w:color w:val="FF0000"/>
      <w:kern w:val="0"/>
      <w:sz w:val="24"/>
    </w:rPr>
  </w:style>
  <w:style w:type="paragraph" w:customStyle="1" w:styleId="28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84">
    <w:name w:val="Item List in Table"/>
    <w:autoRedefine/>
    <w:qFormat/>
    <w:uiPriority w:val="0"/>
    <w:pPr>
      <w:tabs>
        <w:tab w:val="left" w:pos="284"/>
        <w:tab w:val="left" w:pos="720"/>
      </w:tabs>
      <w:spacing w:before="40" w:after="40"/>
      <w:ind w:left="720" w:hanging="720"/>
      <w:jc w:val="both"/>
    </w:pPr>
    <w:rPr>
      <w:rFonts w:ascii="Times New Roman" w:hAnsi="Times New Roman" w:eastAsia="宋体" w:cs="Arial"/>
      <w:kern w:val="2"/>
      <w:sz w:val="18"/>
      <w:szCs w:val="18"/>
      <w:lang w:val="en-US" w:eastAsia="zh-CN" w:bidi="ar-SA"/>
    </w:rPr>
  </w:style>
  <w:style w:type="paragraph" w:customStyle="1" w:styleId="285">
    <w:name w:val="Char Char Char Char Char Char Char Char Char Char Char Char Char Char Char Char Char Char Char1"/>
    <w:basedOn w:val="1"/>
    <w:qFormat/>
    <w:uiPriority w:val="0"/>
    <w:rPr>
      <w:rFonts w:ascii="仿宋_GB2312" w:eastAsia="仿宋_GB2312"/>
      <w:b/>
      <w:sz w:val="32"/>
      <w:szCs w:val="32"/>
    </w:rPr>
  </w:style>
  <w:style w:type="paragraph" w:customStyle="1" w:styleId="286">
    <w:name w:val="xl29"/>
    <w:basedOn w:val="1"/>
    <w:qFormat/>
    <w:uiPriority w:val="0"/>
    <w:pPr>
      <w:widowControl/>
      <w:autoSpaceDE w:val="0"/>
      <w:autoSpaceDN w:val="0"/>
      <w:adjustRightInd w:val="0"/>
      <w:spacing w:before="100" w:beforeAutospacing="1" w:after="100" w:afterAutospacing="1"/>
      <w:jc w:val="center"/>
    </w:pPr>
    <w:rPr>
      <w:rFonts w:ascii="Arial Unicode MS" w:hAnsi="Arial Unicode MS" w:eastAsia="Arial Unicode MS"/>
      <w:kern w:val="0"/>
      <w:sz w:val="24"/>
      <w:szCs w:val="20"/>
    </w:rPr>
  </w:style>
  <w:style w:type="paragraph" w:customStyle="1" w:styleId="287">
    <w:name w:val="Char Char Char Char Char Char Char1"/>
    <w:basedOn w:val="1"/>
    <w:qFormat/>
    <w:uiPriority w:val="0"/>
    <w:rPr>
      <w:rFonts w:ascii="仿宋_GB2312" w:eastAsia="仿宋_GB2312"/>
      <w:b/>
      <w:sz w:val="32"/>
      <w:szCs w:val="32"/>
    </w:rPr>
  </w:style>
  <w:style w:type="paragraph" w:customStyle="1" w:styleId="288">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89">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90">
    <w:name w:val="标题2"/>
    <w:basedOn w:val="4"/>
    <w:qFormat/>
    <w:uiPriority w:val="0"/>
    <w:pPr>
      <w:tabs>
        <w:tab w:val="left" w:pos="709"/>
      </w:tabs>
    </w:pPr>
    <w:rPr>
      <w:rFonts w:ascii="宋体" w:hAnsi="宋体"/>
      <w:sz w:val="36"/>
      <w:szCs w:val="36"/>
    </w:rPr>
  </w:style>
  <w:style w:type="paragraph" w:customStyle="1" w:styleId="291">
    <w:name w:val="xl91"/>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9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293">
    <w:name w:val="Char1"/>
    <w:basedOn w:val="1"/>
    <w:qFormat/>
    <w:uiPriority w:val="0"/>
    <w:rPr>
      <w:rFonts w:ascii="仿宋_GB2312" w:eastAsia="仿宋_GB2312"/>
      <w:b/>
      <w:sz w:val="32"/>
      <w:szCs w:val="32"/>
    </w:rPr>
  </w:style>
  <w:style w:type="paragraph" w:customStyle="1" w:styleId="294">
    <w:name w:val="正文字缩2字"/>
    <w:basedOn w:val="1"/>
    <w:qFormat/>
    <w:uiPriority w:val="0"/>
    <w:pPr>
      <w:spacing w:before="60" w:after="60" w:line="360" w:lineRule="auto"/>
      <w:ind w:left="200" w:leftChars="200" w:firstLine="200" w:firstLineChars="200"/>
    </w:pPr>
    <w:rPr>
      <w:sz w:val="24"/>
    </w:rPr>
  </w:style>
  <w:style w:type="paragraph" w:customStyle="1" w:styleId="295">
    <w:name w:val="正文2"/>
    <w:basedOn w:val="1"/>
    <w:qFormat/>
    <w:uiPriority w:val="0"/>
    <w:pPr>
      <w:autoSpaceDE w:val="0"/>
      <w:autoSpaceDN w:val="0"/>
      <w:adjustRightInd w:val="0"/>
      <w:spacing w:before="156" w:line="360" w:lineRule="auto"/>
      <w:ind w:firstLine="510" w:firstLineChars="200"/>
      <w:jc w:val="left"/>
    </w:pPr>
    <w:rPr>
      <w:kern w:val="0"/>
      <w:sz w:val="24"/>
      <w:szCs w:val="20"/>
    </w:rPr>
  </w:style>
  <w:style w:type="paragraph" w:customStyle="1" w:styleId="296">
    <w:name w:val="保留正文"/>
    <w:basedOn w:val="21"/>
    <w:qFormat/>
    <w:uiPriority w:val="0"/>
    <w:pPr>
      <w:keepNext/>
      <w:spacing w:after="160"/>
    </w:pPr>
    <w:rPr>
      <w:szCs w:val="20"/>
    </w:rPr>
  </w:style>
  <w:style w:type="paragraph" w:customStyle="1" w:styleId="297">
    <w:name w:val="xl76"/>
    <w:basedOn w:val="1"/>
    <w:qFormat/>
    <w:uiPriority w:val="0"/>
    <w:pPr>
      <w:widowControl/>
      <w:pBdr>
        <w:top w:val="single" w:color="auto" w:sz="4" w:space="0"/>
        <w:bottom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9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新宋体" w:hAnsi="新宋体" w:eastAsia="新宋体" w:cs="宋体"/>
      <w:color w:val="000000"/>
      <w:kern w:val="0"/>
      <w:sz w:val="24"/>
    </w:rPr>
  </w:style>
  <w:style w:type="paragraph" w:customStyle="1" w:styleId="29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00">
    <w:name w:val="Char"/>
    <w:basedOn w:val="1"/>
    <w:qFormat/>
    <w:uiPriority w:val="0"/>
    <w:rPr>
      <w:rFonts w:ascii="仿宋_GB2312" w:eastAsia="仿宋_GB2312"/>
      <w:b/>
      <w:sz w:val="32"/>
      <w:szCs w:val="32"/>
    </w:rPr>
  </w:style>
  <w:style w:type="paragraph" w:customStyle="1" w:styleId="301">
    <w:name w:val="Char21"/>
    <w:basedOn w:val="1"/>
    <w:autoRedefine/>
    <w:qFormat/>
    <w:uiPriority w:val="0"/>
    <w:pPr>
      <w:autoSpaceDE w:val="0"/>
      <w:autoSpaceDN w:val="0"/>
      <w:adjustRightInd w:val="0"/>
      <w:jc w:val="left"/>
    </w:pPr>
    <w:rPr>
      <w:rFonts w:ascii="仿宋_GB2312" w:eastAsia="仿宋_GB2312"/>
      <w:b/>
      <w:kern w:val="0"/>
      <w:sz w:val="32"/>
      <w:szCs w:val="32"/>
    </w:rPr>
  </w:style>
  <w:style w:type="paragraph" w:customStyle="1" w:styleId="302">
    <w:name w:val="正文文字表格居中"/>
    <w:basedOn w:val="1"/>
    <w:next w:val="47"/>
    <w:autoRedefine/>
    <w:qFormat/>
    <w:uiPriority w:val="0"/>
    <w:pPr>
      <w:autoSpaceDE w:val="0"/>
      <w:autoSpaceDN w:val="0"/>
      <w:adjustRightInd w:val="0"/>
      <w:snapToGrid w:val="0"/>
      <w:spacing w:line="360" w:lineRule="auto"/>
      <w:jc w:val="left"/>
    </w:pPr>
    <w:rPr>
      <w:rFonts w:ascii="宋体"/>
      <w:b/>
      <w:kern w:val="0"/>
      <w:sz w:val="24"/>
      <w:szCs w:val="20"/>
    </w:rPr>
  </w:style>
  <w:style w:type="paragraph" w:customStyle="1" w:styleId="303">
    <w:name w:val="Table Contents"/>
    <w:basedOn w:val="1"/>
    <w:qFormat/>
    <w:uiPriority w:val="0"/>
    <w:pPr>
      <w:suppressAutoHyphens/>
      <w:autoSpaceDE w:val="0"/>
      <w:autoSpaceDN w:val="0"/>
      <w:adjustRightInd w:val="0"/>
      <w:spacing w:after="120"/>
      <w:jc w:val="left"/>
    </w:pPr>
    <w:rPr>
      <w:rFonts w:ascii="Helvetica" w:hAnsi="Helvetica"/>
      <w:kern w:val="1"/>
      <w:sz w:val="20"/>
      <w:szCs w:val="20"/>
    </w:rPr>
  </w:style>
  <w:style w:type="paragraph" w:customStyle="1" w:styleId="304">
    <w:name w:val="Char1 Char Char Char Char Char Char"/>
    <w:basedOn w:val="1"/>
    <w:qFormat/>
    <w:uiPriority w:val="0"/>
    <w:rPr>
      <w:rFonts w:ascii="宋体" w:hAnsi="宋体"/>
      <w:color w:val="000000"/>
      <w:sz w:val="24"/>
    </w:rPr>
  </w:style>
  <w:style w:type="paragraph" w:customStyle="1" w:styleId="305">
    <w:name w:val="此正文"/>
    <w:basedOn w:val="1"/>
    <w:qFormat/>
    <w:uiPriority w:val="0"/>
    <w:pPr>
      <w:autoSpaceDE w:val="0"/>
      <w:autoSpaceDN w:val="0"/>
      <w:adjustRightInd w:val="0"/>
      <w:spacing w:line="360" w:lineRule="auto"/>
      <w:ind w:firstLine="200" w:firstLineChars="200"/>
      <w:jc w:val="left"/>
    </w:pPr>
    <w:rPr>
      <w:kern w:val="0"/>
      <w:sz w:val="24"/>
      <w:szCs w:val="20"/>
    </w:rPr>
  </w:style>
  <w:style w:type="paragraph" w:customStyle="1" w:styleId="306">
    <w:name w:val="Char11"/>
    <w:basedOn w:val="1"/>
    <w:qFormat/>
    <w:uiPriority w:val="0"/>
    <w:pPr>
      <w:autoSpaceDE w:val="0"/>
      <w:autoSpaceDN w:val="0"/>
      <w:adjustRightInd w:val="0"/>
      <w:jc w:val="left"/>
    </w:pPr>
    <w:rPr>
      <w:rFonts w:ascii="仿宋_GB2312" w:eastAsia="仿宋_GB2312"/>
      <w:b/>
      <w:kern w:val="0"/>
      <w:sz w:val="32"/>
      <w:szCs w:val="32"/>
    </w:rPr>
  </w:style>
  <w:style w:type="paragraph" w:customStyle="1" w:styleId="307">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Cs w:val="22"/>
    </w:rPr>
  </w:style>
  <w:style w:type="paragraph" w:customStyle="1" w:styleId="308">
    <w:name w:val="a"/>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09">
    <w:name w:val="图"/>
    <w:basedOn w:val="1"/>
    <w:qFormat/>
    <w:uiPriority w:val="0"/>
    <w:pPr>
      <w:keepNext/>
      <w:adjustRightInd w:val="0"/>
      <w:spacing w:before="60" w:after="60" w:line="300" w:lineRule="auto"/>
      <w:jc w:val="center"/>
      <w:textAlignment w:val="center"/>
    </w:pPr>
    <w:rPr>
      <w:snapToGrid w:val="0"/>
      <w:spacing w:val="20"/>
      <w:kern w:val="0"/>
      <w:sz w:val="24"/>
      <w:szCs w:val="20"/>
      <w:lang w:val="zh-CN"/>
    </w:rPr>
  </w:style>
  <w:style w:type="paragraph" w:customStyle="1" w:styleId="310">
    <w:name w:val="xl83"/>
    <w:basedOn w:val="1"/>
    <w:autoRedefine/>
    <w:qFormat/>
    <w:uiPriority w:val="0"/>
    <w:pPr>
      <w:widowControl/>
      <w:pBdr>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11">
    <w:name w:val="Char Char13"/>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31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313">
    <w:name w:val="features1"/>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314">
    <w:name w:val="xl25"/>
    <w:basedOn w:val="1"/>
    <w:qFormat/>
    <w:uiPriority w:val="0"/>
    <w:pPr>
      <w:widowControl/>
      <w:autoSpaceDE w:val="0"/>
      <w:autoSpaceDN w:val="0"/>
      <w:adjustRightInd w:val="0"/>
      <w:spacing w:before="100" w:beforeAutospacing="1" w:after="100" w:afterAutospacing="1"/>
      <w:jc w:val="center"/>
      <w:textAlignment w:val="center"/>
    </w:pPr>
    <w:rPr>
      <w:rFonts w:hint="eastAsia" w:ascii="楷体_GB2312" w:hAnsi="宋体" w:eastAsia="楷体_GB2312"/>
      <w:kern w:val="0"/>
      <w:sz w:val="24"/>
      <w:szCs w:val="20"/>
    </w:rPr>
  </w:style>
  <w:style w:type="paragraph" w:customStyle="1" w:styleId="315">
    <w:name w:val="章标题"/>
    <w:next w:val="1"/>
    <w:qFormat/>
    <w:uiPriority w:val="0"/>
    <w:pPr>
      <w:tabs>
        <w:tab w:val="left" w:pos="3469"/>
      </w:tabs>
      <w:spacing w:beforeLines="50" w:afterLines="50"/>
      <w:ind w:left="3469" w:hanging="420"/>
      <w:jc w:val="both"/>
      <w:outlineLvl w:val="1"/>
    </w:pPr>
    <w:rPr>
      <w:rFonts w:ascii="黑体" w:hAnsi="Times New Roman" w:eastAsia="黑体" w:cs="Times New Roman"/>
      <w:sz w:val="21"/>
      <w:lang w:val="en-US" w:eastAsia="zh-CN" w:bidi="ar-SA"/>
    </w:rPr>
  </w:style>
  <w:style w:type="paragraph" w:customStyle="1" w:styleId="316">
    <w:name w:val="样式 标题 3 + 黑体 小四 非加粗"/>
    <w:basedOn w:val="5"/>
    <w:qFormat/>
    <w:uiPriority w:val="0"/>
    <w:pPr>
      <w:spacing w:before="260" w:after="260" w:line="413" w:lineRule="auto"/>
    </w:pPr>
    <w:rPr>
      <w:rFonts w:ascii="黑体" w:hAnsi="黑体"/>
      <w:b w:val="0"/>
      <w:kern w:val="0"/>
      <w:sz w:val="24"/>
      <w:szCs w:val="32"/>
    </w:rPr>
  </w:style>
  <w:style w:type="paragraph" w:customStyle="1" w:styleId="317">
    <w:name w:val="正文_0_0"/>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18">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319">
    <w:name w:val="样式 左侧:  0.85 厘米 首行缩进:  0.85 厘米"/>
    <w:basedOn w:val="1"/>
    <w:qFormat/>
    <w:uiPriority w:val="0"/>
    <w:pPr>
      <w:autoSpaceDE w:val="0"/>
      <w:autoSpaceDN w:val="0"/>
      <w:adjustRightInd w:val="0"/>
      <w:spacing w:line="360" w:lineRule="auto"/>
      <w:ind w:firstLine="482"/>
      <w:jc w:val="left"/>
    </w:pPr>
    <w:rPr>
      <w:rFonts w:cs="宋体"/>
      <w:kern w:val="0"/>
      <w:sz w:val="24"/>
      <w:szCs w:val="20"/>
    </w:rPr>
  </w:style>
  <w:style w:type="paragraph" w:customStyle="1" w:styleId="320">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21">
    <w:name w:val="VIT-Text"/>
    <w:basedOn w:val="1"/>
    <w:qFormat/>
    <w:uiPriority w:val="0"/>
    <w:pPr>
      <w:widowControl/>
      <w:tabs>
        <w:tab w:val="left" w:pos="709"/>
        <w:tab w:val="left" w:pos="3402"/>
        <w:tab w:val="left" w:pos="4536"/>
        <w:tab w:val="left" w:pos="5670"/>
        <w:tab w:val="decimal" w:pos="6804"/>
        <w:tab w:val="right" w:pos="9072"/>
      </w:tabs>
      <w:jc w:val="left"/>
    </w:pPr>
    <w:rPr>
      <w:rFonts w:ascii="Arial" w:hAnsi="Arial" w:eastAsia="PMingLiU"/>
      <w:kern w:val="0"/>
      <w:sz w:val="22"/>
      <w:szCs w:val="20"/>
      <w:lang w:val="de-DE" w:eastAsia="zh-TW"/>
    </w:rPr>
  </w:style>
  <w:style w:type="paragraph" w:customStyle="1" w:styleId="322">
    <w:name w:val="文档正文"/>
    <w:basedOn w:val="1"/>
    <w:autoRedefine/>
    <w:qFormat/>
    <w:uiPriority w:val="0"/>
    <w:pPr>
      <w:adjustRightInd w:val="0"/>
      <w:spacing w:line="300" w:lineRule="auto"/>
      <w:ind w:firstLine="567"/>
      <w:textAlignment w:val="baseline"/>
    </w:pPr>
    <w:rPr>
      <w:kern w:val="0"/>
      <w:sz w:val="24"/>
      <w:szCs w:val="20"/>
    </w:rPr>
  </w:style>
  <w:style w:type="paragraph" w:customStyle="1" w:styleId="323">
    <w:name w:val="列出段落2"/>
    <w:basedOn w:val="1"/>
    <w:qFormat/>
    <w:uiPriority w:val="0"/>
    <w:pPr>
      <w:ind w:firstLine="420" w:firstLineChars="200"/>
    </w:pPr>
  </w:style>
  <w:style w:type="paragraph" w:customStyle="1" w:styleId="324">
    <w:name w:val="标题五"/>
    <w:basedOn w:val="1"/>
    <w:qFormat/>
    <w:uiPriority w:val="0"/>
    <w:pPr>
      <w:tabs>
        <w:tab w:val="left" w:pos="1440"/>
      </w:tabs>
      <w:autoSpaceDE w:val="0"/>
      <w:autoSpaceDN w:val="0"/>
      <w:adjustRightInd w:val="0"/>
      <w:spacing w:beforeLines="50" w:line="360" w:lineRule="auto"/>
      <w:ind w:left="1440" w:hanging="420"/>
      <w:jc w:val="left"/>
    </w:pPr>
    <w:rPr>
      <w:b/>
      <w:kern w:val="0"/>
      <w:sz w:val="24"/>
      <w:szCs w:val="20"/>
    </w:rPr>
  </w:style>
  <w:style w:type="paragraph" w:customStyle="1" w:styleId="325">
    <w:name w:val="È±Ê¡ÎÄ±¾ Char"/>
    <w:basedOn w:val="1"/>
    <w:qFormat/>
    <w:uiPriority w:val="0"/>
    <w:pPr>
      <w:widowControl/>
      <w:overflowPunct w:val="0"/>
      <w:autoSpaceDE w:val="0"/>
      <w:autoSpaceDN w:val="0"/>
      <w:adjustRightInd w:val="0"/>
      <w:textAlignment w:val="baseline"/>
    </w:pPr>
    <w:rPr>
      <w:szCs w:val="21"/>
      <w:lang w:val="zh-CN"/>
    </w:rPr>
  </w:style>
  <w:style w:type="paragraph" w:customStyle="1" w:styleId="326">
    <w:name w:val="p0"/>
    <w:basedOn w:val="1"/>
    <w:qFormat/>
    <w:uiPriority w:val="0"/>
    <w:pPr>
      <w:widowControl/>
    </w:pPr>
    <w:rPr>
      <w:kern w:val="0"/>
      <w:szCs w:val="21"/>
    </w:rPr>
  </w:style>
  <w:style w:type="paragraph" w:customStyle="1" w:styleId="327">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table" w:customStyle="1" w:styleId="328">
    <w:name w:val="TableGrid"/>
    <w:qFormat/>
    <w:uiPriority w:val="0"/>
    <w:tblPr>
      <w:tblCellMar>
        <w:top w:w="0" w:type="dxa"/>
        <w:left w:w="0" w:type="dxa"/>
        <w:bottom w:w="0" w:type="dxa"/>
        <w:right w:w="0" w:type="dxa"/>
      </w:tblCellMar>
    </w:tblPr>
  </w:style>
  <w:style w:type="paragraph" w:styleId="329">
    <w:name w:val="List Paragraph"/>
    <w:basedOn w:val="1"/>
    <w:autoRedefine/>
    <w:qFormat/>
    <w:uiPriority w:val="99"/>
    <w:pPr>
      <w:ind w:firstLine="420" w:firstLineChars="200"/>
    </w:pPr>
  </w:style>
  <w:style w:type="paragraph" w:customStyle="1" w:styleId="330">
    <w:name w:val="正文段"/>
    <w:basedOn w:val="1"/>
    <w:qFormat/>
    <w:uiPriority w:val="0"/>
    <w:pPr>
      <w:widowControl/>
      <w:snapToGrid w:val="0"/>
      <w:spacing w:afterLines="50"/>
      <w:ind w:firstLine="200" w:firstLineChars="200"/>
    </w:pPr>
    <w:rPr>
      <w:sz w:val="24"/>
      <w:szCs w:val="20"/>
    </w:rPr>
  </w:style>
  <w:style w:type="paragraph" w:customStyle="1" w:styleId="331">
    <w:name w:val="_Style 3"/>
    <w:basedOn w:val="1"/>
    <w:next w:val="1"/>
    <w:qFormat/>
    <w:uiPriority w:val="34"/>
    <w:pPr>
      <w:spacing w:line="360" w:lineRule="auto"/>
      <w:ind w:firstLine="420" w:firstLineChars="200"/>
    </w:pPr>
  </w:style>
  <w:style w:type="paragraph" w:customStyle="1" w:styleId="332">
    <w:name w:val="_Style 2"/>
    <w:basedOn w:val="1"/>
    <w:next w:val="1"/>
    <w:autoRedefine/>
    <w:qFormat/>
    <w:uiPriority w:val="0"/>
    <w:pPr>
      <w:pBdr>
        <w:bottom w:val="single" w:color="auto" w:sz="6" w:space="1"/>
      </w:pBdr>
      <w:jc w:val="center"/>
    </w:pPr>
    <w:rPr>
      <w:rFonts w:ascii="Arial"/>
      <w:vanish/>
      <w:sz w:val="16"/>
    </w:rPr>
  </w:style>
  <w:style w:type="character" w:customStyle="1" w:styleId="333">
    <w:name w:val="font31"/>
    <w:basedOn w:val="55"/>
    <w:qFormat/>
    <w:uiPriority w:val="0"/>
    <w:rPr>
      <w:rFonts w:hint="eastAsia" w:ascii="宋体" w:hAnsi="宋体" w:eastAsia="宋体" w:cs="宋体"/>
      <w:color w:val="000000"/>
      <w:sz w:val="24"/>
      <w:szCs w:val="24"/>
      <w:u w:val="single"/>
    </w:rPr>
  </w:style>
  <w:style w:type="paragraph" w:customStyle="1" w:styleId="334">
    <w:name w:val="表格文字"/>
    <w:basedOn w:val="1"/>
    <w:next w:val="21"/>
    <w:qFormat/>
    <w:uiPriority w:val="0"/>
    <w:pPr>
      <w:adjustRightInd w:val="0"/>
      <w:spacing w:line="420" w:lineRule="atLeast"/>
      <w:jc w:val="left"/>
      <w:textAlignment w:val="baseline"/>
    </w:pPr>
    <w:rPr>
      <w:kern w:val="0"/>
    </w:rPr>
  </w:style>
  <w:style w:type="character" w:customStyle="1" w:styleId="335">
    <w:name w:val="font01"/>
    <w:basedOn w:val="55"/>
    <w:qFormat/>
    <w:uiPriority w:val="0"/>
    <w:rPr>
      <w:rFonts w:ascii="Arial" w:hAnsi="Arial" w:cs="Arial"/>
      <w:color w:val="000000"/>
      <w:sz w:val="18"/>
      <w:szCs w:val="18"/>
      <w:u w:val="none"/>
    </w:rPr>
  </w:style>
  <w:style w:type="paragraph" w:customStyle="1" w:styleId="336">
    <w:name w:val="列出段落3"/>
    <w:basedOn w:val="1"/>
    <w:qFormat/>
    <w:uiPriority w:val="34"/>
    <w:pPr>
      <w:adjustRightInd w:val="0"/>
      <w:snapToGrid w:val="0"/>
      <w:spacing w:after="200"/>
      <w:ind w:firstLine="420" w:firstLineChars="200"/>
    </w:pPr>
    <w:rPr>
      <w:rFonts w:ascii="Tahoma" w:hAnsi="Tahoma" w:eastAsia="微软雅黑"/>
      <w:sz w:val="22"/>
    </w:rPr>
  </w:style>
  <w:style w:type="paragraph" w:customStyle="1" w:styleId="337">
    <w:name w:val="标题3 附件1"/>
    <w:basedOn w:val="1"/>
    <w:qFormat/>
    <w:uiPriority w:val="0"/>
    <w:pPr>
      <w:keepNext/>
      <w:keepLines/>
      <w:spacing w:before="340" w:after="330" w:line="360" w:lineRule="exact"/>
      <w:jc w:val="left"/>
      <w:outlineLvl w:val="2"/>
    </w:pPr>
    <w:rPr>
      <w:b/>
      <w:bCs/>
      <w:kern w:val="44"/>
      <w:szCs w:val="21"/>
    </w:rPr>
  </w:style>
  <w:style w:type="character" w:customStyle="1" w:styleId="338">
    <w:name w:val="font61"/>
    <w:basedOn w:val="55"/>
    <w:qFormat/>
    <w:uiPriority w:val="0"/>
    <w:rPr>
      <w:rFonts w:hint="eastAsia" w:ascii="宋体" w:hAnsi="宋体" w:eastAsia="宋体" w:cs="宋体"/>
      <w:color w:val="000000"/>
      <w:sz w:val="20"/>
      <w:szCs w:val="20"/>
      <w:u w:val="none"/>
    </w:rPr>
  </w:style>
  <w:style w:type="character" w:customStyle="1" w:styleId="339">
    <w:name w:val="font81"/>
    <w:basedOn w:val="55"/>
    <w:qFormat/>
    <w:uiPriority w:val="0"/>
    <w:rPr>
      <w:rFonts w:ascii="Calibri" w:hAnsi="Calibri" w:cs="Calibri"/>
      <w:color w:val="000000"/>
      <w:sz w:val="20"/>
      <w:szCs w:val="20"/>
      <w:u w:val="none"/>
    </w:rPr>
  </w:style>
  <w:style w:type="character" w:customStyle="1" w:styleId="340">
    <w:name w:val="font71"/>
    <w:basedOn w:val="55"/>
    <w:qFormat/>
    <w:uiPriority w:val="0"/>
    <w:rPr>
      <w:rFonts w:hint="eastAsia" w:ascii="宋体" w:hAnsi="宋体" w:eastAsia="宋体" w:cs="宋体"/>
      <w:color w:val="000000"/>
      <w:sz w:val="22"/>
      <w:szCs w:val="22"/>
      <w:u w:val="none"/>
    </w:rPr>
  </w:style>
  <w:style w:type="paragraph" w:customStyle="1" w:styleId="341">
    <w:name w:val="列出段落51"/>
    <w:basedOn w:val="1"/>
    <w:qFormat/>
    <w:uiPriority w:val="34"/>
    <w:pPr>
      <w:ind w:firstLine="420" w:firstLineChars="200"/>
    </w:pPr>
    <w:rPr>
      <w:rFonts w:ascii="Calibri" w:hAnsi="Calibri"/>
      <w:sz w:val="24"/>
    </w:rPr>
  </w:style>
  <w:style w:type="table" w:customStyle="1" w:styleId="34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中国远东国际贸易总公司</Company>
  <Pages>53</Pages>
  <Words>14796</Words>
  <Characters>15645</Characters>
  <Lines>434</Lines>
  <Paragraphs>122</Paragraphs>
  <TotalTime>13</TotalTime>
  <ScaleCrop>false</ScaleCrop>
  <LinksUpToDate>false</LinksUpToDate>
  <CharactersWithSpaces>15996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2020-10-14T14:50:00Z</dcterms:created>
  <dc:creator>zyq</dc:creator>
  <cp:lastModifiedBy>乐圣天</cp:lastModifiedBy>
  <cp:lastPrinted>2025-02-17T02:03:00Z</cp:lastPrinted>
  <dcterms:modified xsi:type="dcterms:W3CDTF">2025-02-21T11:06:02Z</dcterms:modified>
  <dc:title>招标文件目录</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EDE419DC5CA54B2DA0340088FA983217_13</vt:lpwstr>
  </property>
  <property fmtid="{D5CDD505-2E9C-101B-9397-08002B2CF9AE}" pid="4" name="KSOTemplateDocerSaveRecord">
    <vt:lpwstr>eyJoZGlkIjoiZTQzM2JkNDhjZjM1ZDA0OTYyYzExNzBlMGM3MmIzMGEiLCJ1c2VySWQiOiIxMzg0MTA1MjE1In0=</vt:lpwstr>
  </property>
</Properties>
</file>