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FB8934C">
      <w:pPr>
        <w:rPr>
          <w:rFonts w:hint="eastAsia" w:ascii="新宋体" w:hAnsi="新宋体" w:eastAsia="新宋体" w:cs="新宋体"/>
          <w:color w:val="auto"/>
          <w:spacing w:val="20"/>
          <w:sz w:val="84"/>
          <w:highlight w:val="none"/>
        </w:rPr>
      </w:pPr>
    </w:p>
    <w:p w14:paraId="4A104601">
      <w:pPr>
        <w:rPr>
          <w:rFonts w:hint="eastAsia" w:ascii="新宋体" w:hAnsi="新宋体" w:eastAsia="新宋体" w:cs="新宋体"/>
          <w:b/>
          <w:bCs/>
          <w:color w:val="auto"/>
          <w:sz w:val="52"/>
          <w:szCs w:val="52"/>
          <w:highlight w:val="none"/>
        </w:rPr>
      </w:pPr>
      <w:r>
        <w:rPr>
          <w:rFonts w:hint="eastAsia" w:ascii="新宋体" w:hAnsi="新宋体" w:eastAsia="新宋体" w:cs="新宋体"/>
          <w:color w:val="auto"/>
          <w:spacing w:val="20"/>
          <w:sz w:val="84"/>
          <w:highlight w:val="none"/>
        </w:rPr>
        <w:t>温州市政府（分散）采购</w:t>
      </w:r>
    </w:p>
    <w:p w14:paraId="4330DDF2">
      <w:pPr>
        <w:jc w:val="center"/>
        <w:rPr>
          <w:rFonts w:hint="eastAsia" w:ascii="新宋体" w:hAnsi="新宋体" w:eastAsia="新宋体" w:cs="新宋体"/>
          <w:b/>
          <w:bCs/>
          <w:color w:val="auto"/>
          <w:spacing w:val="26"/>
          <w:sz w:val="52"/>
          <w:highlight w:val="none"/>
        </w:rPr>
      </w:pPr>
    </w:p>
    <w:p w14:paraId="2A9411BA">
      <w:pPr>
        <w:ind w:firstLine="2357" w:firstLineChars="235"/>
        <w:rPr>
          <w:rFonts w:hint="eastAsia" w:ascii="新宋体" w:hAnsi="新宋体" w:eastAsia="新宋体" w:cs="新宋体"/>
          <w:b/>
          <w:bCs/>
          <w:color w:val="auto"/>
          <w:spacing w:val="140"/>
          <w:sz w:val="72"/>
          <w:highlight w:val="none"/>
        </w:rPr>
      </w:pPr>
    </w:p>
    <w:p w14:paraId="3324DB53">
      <w:pPr>
        <w:adjustRightInd w:val="0"/>
        <w:snapToGrid w:val="0"/>
        <w:spacing w:line="480" w:lineRule="auto"/>
        <w:ind w:right="361"/>
        <w:jc w:val="center"/>
        <w:rPr>
          <w:rFonts w:hint="eastAsia" w:ascii="新宋体" w:hAnsi="新宋体" w:eastAsia="新宋体" w:cs="新宋体"/>
          <w:color w:val="auto"/>
          <w:sz w:val="72"/>
          <w:szCs w:val="72"/>
          <w:highlight w:val="none"/>
        </w:rPr>
      </w:pPr>
      <w:r>
        <w:rPr>
          <w:rFonts w:hint="eastAsia" w:ascii="新宋体" w:hAnsi="新宋体" w:eastAsia="新宋体" w:cs="新宋体"/>
          <w:color w:val="auto"/>
          <w:sz w:val="72"/>
          <w:szCs w:val="72"/>
          <w:highlight w:val="none"/>
          <w:lang w:val="en-US" w:eastAsia="zh-CN"/>
        </w:rPr>
        <w:t>采 购</w:t>
      </w:r>
      <w:r>
        <w:rPr>
          <w:rFonts w:hint="eastAsia" w:ascii="新宋体" w:hAnsi="新宋体" w:eastAsia="新宋体" w:cs="新宋体"/>
          <w:color w:val="auto"/>
          <w:sz w:val="72"/>
          <w:szCs w:val="72"/>
          <w:highlight w:val="none"/>
        </w:rPr>
        <w:t xml:space="preserve"> 文 件</w:t>
      </w:r>
    </w:p>
    <w:tbl>
      <w:tblPr>
        <w:tblStyle w:val="54"/>
        <w:tblW w:w="0" w:type="auto"/>
        <w:tblInd w:w="5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65"/>
        <w:gridCol w:w="7245"/>
      </w:tblGrid>
      <w:tr w14:paraId="685B8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65" w:type="dxa"/>
            <w:vAlign w:val="center"/>
          </w:tcPr>
          <w:p w14:paraId="305E17A3">
            <w:pPr>
              <w:spacing w:line="700" w:lineRule="exact"/>
              <w:jc w:val="left"/>
              <w:rPr>
                <w:rFonts w:hint="eastAsia" w:ascii="新宋体" w:hAnsi="新宋体" w:eastAsia="新宋体" w:cs="新宋体"/>
                <w:color w:val="auto"/>
                <w:sz w:val="24"/>
                <w:highlight w:val="none"/>
              </w:rPr>
            </w:pPr>
            <w:r>
              <w:rPr>
                <w:rFonts w:hint="eastAsia" w:ascii="新宋体" w:hAnsi="新宋体" w:eastAsia="新宋体" w:cs="新宋体"/>
                <w:color w:val="auto"/>
                <w:spacing w:val="40"/>
                <w:sz w:val="30"/>
                <w:szCs w:val="30"/>
                <w:highlight w:val="none"/>
              </w:rPr>
              <w:t>项目编号</w:t>
            </w:r>
            <w:r>
              <w:rPr>
                <w:rFonts w:hint="eastAsia" w:ascii="新宋体" w:hAnsi="新宋体" w:eastAsia="新宋体" w:cs="新宋体"/>
                <w:color w:val="auto"/>
                <w:spacing w:val="40"/>
                <w:sz w:val="28"/>
                <w:highlight w:val="none"/>
              </w:rPr>
              <w:t>：</w:t>
            </w:r>
          </w:p>
        </w:tc>
        <w:tc>
          <w:tcPr>
            <w:tcW w:w="7245" w:type="dxa"/>
            <w:vAlign w:val="center"/>
          </w:tcPr>
          <w:p w14:paraId="309234E1">
            <w:pPr>
              <w:spacing w:line="700" w:lineRule="exact"/>
              <w:jc w:val="left"/>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pacing w:val="40"/>
                <w:sz w:val="30"/>
                <w:szCs w:val="30"/>
                <w:highlight w:val="none"/>
                <w:lang w:eastAsia="zh-CN"/>
              </w:rPr>
              <w:t>WZLCZB（L）-2025-01008</w:t>
            </w:r>
          </w:p>
        </w:tc>
      </w:tr>
      <w:tr w14:paraId="051B5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65" w:type="dxa"/>
            <w:vAlign w:val="top"/>
          </w:tcPr>
          <w:p w14:paraId="2284FA56">
            <w:pPr>
              <w:spacing w:line="700" w:lineRule="exact"/>
              <w:jc w:val="left"/>
              <w:rPr>
                <w:rFonts w:hint="eastAsia" w:ascii="新宋体" w:hAnsi="新宋体" w:eastAsia="新宋体" w:cs="新宋体"/>
                <w:color w:val="auto"/>
                <w:sz w:val="24"/>
                <w:highlight w:val="none"/>
              </w:rPr>
            </w:pPr>
            <w:r>
              <w:rPr>
                <w:rFonts w:hint="eastAsia" w:ascii="新宋体" w:hAnsi="新宋体" w:eastAsia="新宋体" w:cs="新宋体"/>
                <w:color w:val="auto"/>
                <w:spacing w:val="40"/>
                <w:sz w:val="30"/>
                <w:szCs w:val="30"/>
                <w:highlight w:val="none"/>
              </w:rPr>
              <w:t>项目名称：</w:t>
            </w:r>
          </w:p>
        </w:tc>
        <w:tc>
          <w:tcPr>
            <w:tcW w:w="7245" w:type="dxa"/>
            <w:vAlign w:val="center"/>
          </w:tcPr>
          <w:p w14:paraId="340AC890">
            <w:pPr>
              <w:spacing w:line="700" w:lineRule="exact"/>
              <w:jc w:val="left"/>
              <w:rPr>
                <w:rFonts w:hint="eastAsia" w:ascii="新宋体" w:hAnsi="新宋体" w:eastAsia="新宋体" w:cs="新宋体"/>
                <w:color w:val="auto"/>
                <w:sz w:val="24"/>
                <w:highlight w:val="none"/>
              </w:rPr>
            </w:pPr>
            <w:r>
              <w:rPr>
                <w:rFonts w:hint="eastAsia" w:ascii="新宋体" w:hAnsi="新宋体" w:eastAsia="新宋体" w:cs="新宋体"/>
                <w:color w:val="auto"/>
                <w:spacing w:val="40"/>
                <w:sz w:val="30"/>
                <w:szCs w:val="30"/>
                <w:highlight w:val="none"/>
                <w:lang w:eastAsia="zh-CN"/>
              </w:rPr>
              <w:t>乙肝试剂（乙肝表面抗原试剂）</w:t>
            </w:r>
          </w:p>
        </w:tc>
      </w:tr>
      <w:tr w14:paraId="40A55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65" w:type="dxa"/>
            <w:vAlign w:val="center"/>
          </w:tcPr>
          <w:p w14:paraId="332D4044">
            <w:pPr>
              <w:spacing w:line="700" w:lineRule="exact"/>
              <w:jc w:val="left"/>
              <w:rPr>
                <w:rFonts w:hint="eastAsia" w:ascii="新宋体" w:hAnsi="新宋体" w:eastAsia="新宋体" w:cs="新宋体"/>
                <w:color w:val="auto"/>
                <w:sz w:val="24"/>
                <w:highlight w:val="none"/>
              </w:rPr>
            </w:pPr>
            <w:r>
              <w:rPr>
                <w:rFonts w:hint="eastAsia" w:ascii="新宋体" w:hAnsi="新宋体" w:eastAsia="新宋体" w:cs="新宋体"/>
                <w:color w:val="auto"/>
                <w:spacing w:val="40"/>
                <w:sz w:val="30"/>
                <w:szCs w:val="30"/>
                <w:highlight w:val="none"/>
              </w:rPr>
              <w:t>采购方式：</w:t>
            </w:r>
          </w:p>
        </w:tc>
        <w:tc>
          <w:tcPr>
            <w:tcW w:w="7245" w:type="dxa"/>
            <w:vAlign w:val="center"/>
          </w:tcPr>
          <w:p w14:paraId="591BB150">
            <w:pPr>
              <w:spacing w:line="700" w:lineRule="exact"/>
              <w:jc w:val="left"/>
              <w:rPr>
                <w:rFonts w:hint="eastAsia" w:ascii="新宋体" w:hAnsi="新宋体" w:eastAsia="新宋体" w:cs="新宋体"/>
                <w:color w:val="auto"/>
                <w:sz w:val="24"/>
                <w:highlight w:val="none"/>
              </w:rPr>
            </w:pPr>
            <w:r>
              <w:rPr>
                <w:rFonts w:hint="eastAsia" w:ascii="新宋体" w:hAnsi="新宋体" w:eastAsia="新宋体" w:cs="新宋体"/>
                <w:color w:val="auto"/>
                <w:spacing w:val="40"/>
                <w:sz w:val="30"/>
                <w:szCs w:val="30"/>
                <w:highlight w:val="none"/>
              </w:rPr>
              <w:t>公开招标</w:t>
            </w:r>
          </w:p>
        </w:tc>
      </w:tr>
      <w:tr w14:paraId="54386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65" w:type="dxa"/>
            <w:vAlign w:val="center"/>
          </w:tcPr>
          <w:p w14:paraId="1C0219D9">
            <w:pPr>
              <w:spacing w:line="700" w:lineRule="exact"/>
              <w:jc w:val="left"/>
              <w:rPr>
                <w:rFonts w:hint="eastAsia" w:ascii="新宋体" w:hAnsi="新宋体" w:eastAsia="新宋体" w:cs="新宋体"/>
                <w:color w:val="auto"/>
                <w:sz w:val="24"/>
                <w:highlight w:val="none"/>
              </w:rPr>
            </w:pPr>
            <w:r>
              <w:rPr>
                <w:rFonts w:hint="eastAsia" w:ascii="新宋体" w:hAnsi="新宋体" w:eastAsia="新宋体" w:cs="新宋体"/>
                <w:color w:val="auto"/>
                <w:spacing w:val="40"/>
                <w:sz w:val="30"/>
                <w:szCs w:val="30"/>
                <w:highlight w:val="none"/>
              </w:rPr>
              <w:t>评审方式：</w:t>
            </w:r>
          </w:p>
        </w:tc>
        <w:tc>
          <w:tcPr>
            <w:tcW w:w="7245" w:type="dxa"/>
            <w:vAlign w:val="center"/>
          </w:tcPr>
          <w:p w14:paraId="2B384565">
            <w:pPr>
              <w:spacing w:line="700" w:lineRule="exact"/>
              <w:jc w:val="left"/>
              <w:rPr>
                <w:rFonts w:hint="eastAsia" w:ascii="新宋体" w:hAnsi="新宋体" w:eastAsia="新宋体" w:cs="新宋体"/>
                <w:color w:val="auto"/>
                <w:sz w:val="24"/>
                <w:highlight w:val="none"/>
              </w:rPr>
            </w:pPr>
            <w:r>
              <w:rPr>
                <w:rFonts w:hint="eastAsia" w:ascii="新宋体" w:hAnsi="新宋体" w:eastAsia="新宋体" w:cs="新宋体"/>
                <w:color w:val="auto"/>
                <w:spacing w:val="40"/>
                <w:sz w:val="30"/>
                <w:szCs w:val="30"/>
                <w:highlight w:val="none"/>
              </w:rPr>
              <w:t>线上电子招投标</w:t>
            </w:r>
          </w:p>
        </w:tc>
      </w:tr>
    </w:tbl>
    <w:p w14:paraId="1F50CCF0">
      <w:pPr>
        <w:spacing w:line="700" w:lineRule="exact"/>
        <w:ind w:firstLine="723" w:firstLineChars="300"/>
        <w:jc w:val="left"/>
        <w:rPr>
          <w:rFonts w:hint="eastAsia" w:ascii="新宋体" w:hAnsi="新宋体" w:eastAsia="新宋体" w:cs="新宋体"/>
          <w:b/>
          <w:bCs/>
          <w:color w:val="auto"/>
          <w:sz w:val="24"/>
          <w:highlight w:val="none"/>
        </w:rPr>
      </w:pPr>
    </w:p>
    <w:p w14:paraId="6B988BD4">
      <w:pPr>
        <w:spacing w:line="700" w:lineRule="exact"/>
        <w:ind w:firstLine="904" w:firstLineChars="300"/>
        <w:jc w:val="left"/>
        <w:rPr>
          <w:rFonts w:hint="eastAsia" w:ascii="新宋体" w:hAnsi="新宋体" w:eastAsia="新宋体" w:cs="新宋体"/>
          <w:b/>
          <w:color w:val="auto"/>
          <w:spacing w:val="40"/>
          <w:sz w:val="30"/>
          <w:szCs w:val="30"/>
          <w:highlight w:val="none"/>
        </w:rPr>
      </w:pPr>
      <w:r>
        <w:rPr>
          <w:rFonts w:hint="eastAsia" w:ascii="新宋体" w:hAnsi="新宋体" w:eastAsia="新宋体" w:cs="新宋体"/>
          <w:b/>
          <w:bCs/>
          <w:color w:val="auto"/>
          <w:sz w:val="30"/>
          <w:szCs w:val="30"/>
          <w:highlight w:val="none"/>
        </w:rPr>
        <w:t xml:space="preserve">  </w:t>
      </w:r>
    </w:p>
    <w:p w14:paraId="0F0F3B77">
      <w:pPr>
        <w:bidi w:val="0"/>
        <w:rPr>
          <w:rFonts w:hint="eastAsia" w:ascii="新宋体" w:hAnsi="新宋体" w:eastAsia="新宋体" w:cs="新宋体"/>
          <w:color w:val="auto"/>
          <w:highlight w:val="none"/>
        </w:rPr>
      </w:pPr>
      <w:r>
        <w:rPr>
          <w:rFonts w:hint="eastAsia" w:ascii="新宋体" w:hAnsi="新宋体" w:eastAsia="新宋体" w:cs="新宋体"/>
          <w:color w:val="auto"/>
          <w:highlight w:val="none"/>
        </w:rPr>
        <w:t xml:space="preserve">    </w:t>
      </w:r>
    </w:p>
    <w:p w14:paraId="5B7E6375">
      <w:pPr>
        <w:bidi w:val="0"/>
        <w:rPr>
          <w:rFonts w:hint="eastAsia" w:ascii="新宋体" w:hAnsi="新宋体" w:eastAsia="新宋体" w:cs="新宋体"/>
          <w:color w:val="auto"/>
          <w:highlight w:val="none"/>
        </w:rPr>
      </w:pPr>
    </w:p>
    <w:p w14:paraId="5931C551">
      <w:pPr>
        <w:bidi w:val="0"/>
        <w:rPr>
          <w:rFonts w:hint="eastAsia" w:ascii="新宋体" w:hAnsi="新宋体" w:eastAsia="新宋体" w:cs="新宋体"/>
          <w:color w:val="auto"/>
          <w:highlight w:val="none"/>
        </w:rPr>
      </w:pPr>
    </w:p>
    <w:p w14:paraId="08919941">
      <w:pPr>
        <w:spacing w:line="600" w:lineRule="exact"/>
        <w:jc w:val="center"/>
        <w:rPr>
          <w:rFonts w:hint="eastAsia" w:ascii="新宋体" w:hAnsi="新宋体" w:eastAsia="新宋体" w:cs="新宋体"/>
          <w:color w:val="auto"/>
          <w:spacing w:val="30"/>
          <w:sz w:val="30"/>
          <w:highlight w:val="none"/>
          <w:lang w:eastAsia="zh-CN"/>
        </w:rPr>
      </w:pPr>
      <w:r>
        <w:rPr>
          <w:rFonts w:hint="eastAsia" w:ascii="新宋体" w:hAnsi="新宋体" w:eastAsia="新宋体" w:cs="新宋体"/>
          <w:color w:val="auto"/>
          <w:spacing w:val="30"/>
          <w:sz w:val="30"/>
          <w:highlight w:val="none"/>
          <w:lang w:val="en-US" w:eastAsia="zh-CN"/>
        </w:rPr>
        <w:t>采购</w:t>
      </w:r>
      <w:r>
        <w:rPr>
          <w:rFonts w:hint="eastAsia" w:ascii="新宋体" w:hAnsi="新宋体" w:eastAsia="新宋体" w:cs="新宋体"/>
          <w:color w:val="auto"/>
          <w:spacing w:val="30"/>
          <w:sz w:val="30"/>
          <w:highlight w:val="none"/>
        </w:rPr>
        <w:t>人</w:t>
      </w:r>
      <w:r>
        <w:rPr>
          <w:rFonts w:hint="eastAsia" w:ascii="新宋体" w:hAnsi="新宋体" w:eastAsia="新宋体" w:cs="新宋体"/>
          <w:color w:val="auto"/>
          <w:spacing w:val="30"/>
          <w:sz w:val="30"/>
          <w:highlight w:val="none"/>
          <w:lang w:eastAsia="zh-CN"/>
        </w:rPr>
        <w:t>：温州市中心血站</w:t>
      </w:r>
    </w:p>
    <w:p w14:paraId="3D315A6D">
      <w:pPr>
        <w:spacing w:line="600" w:lineRule="exact"/>
        <w:jc w:val="center"/>
        <w:rPr>
          <w:rFonts w:hint="eastAsia" w:ascii="新宋体" w:hAnsi="新宋体" w:eastAsia="新宋体" w:cs="新宋体"/>
          <w:color w:val="auto"/>
          <w:spacing w:val="30"/>
          <w:sz w:val="30"/>
          <w:highlight w:val="none"/>
        </w:rPr>
      </w:pPr>
      <w:r>
        <w:rPr>
          <w:rFonts w:hint="eastAsia" w:ascii="新宋体" w:hAnsi="新宋体" w:eastAsia="新宋体" w:cs="新宋体"/>
          <w:color w:val="auto"/>
          <w:spacing w:val="30"/>
          <w:sz w:val="30"/>
          <w:highlight w:val="none"/>
          <w:lang w:val="en-US" w:eastAsia="zh-CN"/>
        </w:rPr>
        <w:t>采购</w:t>
      </w:r>
      <w:r>
        <w:rPr>
          <w:rFonts w:hint="eastAsia" w:ascii="新宋体" w:hAnsi="新宋体" w:eastAsia="新宋体" w:cs="新宋体"/>
          <w:color w:val="auto"/>
          <w:spacing w:val="30"/>
          <w:sz w:val="30"/>
          <w:highlight w:val="none"/>
        </w:rPr>
        <w:t>代理机构：温州历程招标有限公司</w:t>
      </w:r>
    </w:p>
    <w:p w14:paraId="4DE6910C">
      <w:pPr>
        <w:spacing w:line="600" w:lineRule="exact"/>
        <w:jc w:val="center"/>
        <w:rPr>
          <w:rFonts w:hint="eastAsia" w:ascii="新宋体" w:hAnsi="新宋体" w:eastAsia="新宋体" w:cs="新宋体"/>
          <w:color w:val="auto"/>
          <w:spacing w:val="30"/>
          <w:sz w:val="30"/>
          <w:highlight w:val="none"/>
        </w:rPr>
      </w:pPr>
      <w:r>
        <w:rPr>
          <w:rFonts w:hint="eastAsia" w:ascii="新宋体" w:hAnsi="新宋体" w:eastAsia="新宋体" w:cs="新宋体"/>
          <w:color w:val="auto"/>
          <w:spacing w:val="30"/>
          <w:sz w:val="30"/>
          <w:highlight w:val="none"/>
          <w:lang w:val="en-US" w:eastAsia="zh-CN"/>
        </w:rPr>
        <w:t>二〇二五</w:t>
      </w:r>
      <w:r>
        <w:rPr>
          <w:rFonts w:hint="eastAsia" w:ascii="新宋体" w:hAnsi="新宋体" w:eastAsia="新宋体" w:cs="新宋体"/>
          <w:color w:val="auto"/>
          <w:spacing w:val="30"/>
          <w:sz w:val="30"/>
          <w:highlight w:val="none"/>
        </w:rPr>
        <w:t>年</w:t>
      </w:r>
      <w:r>
        <w:rPr>
          <w:rFonts w:hint="eastAsia" w:ascii="新宋体" w:hAnsi="新宋体" w:eastAsia="新宋体" w:cs="新宋体"/>
          <w:color w:val="auto"/>
          <w:spacing w:val="30"/>
          <w:sz w:val="30"/>
          <w:highlight w:val="none"/>
          <w:lang w:val="en-US" w:eastAsia="zh-CN"/>
        </w:rPr>
        <w:t>一</w:t>
      </w:r>
      <w:r>
        <w:rPr>
          <w:rFonts w:hint="eastAsia" w:ascii="新宋体" w:hAnsi="新宋体" w:eastAsia="新宋体" w:cs="新宋体"/>
          <w:color w:val="auto"/>
          <w:spacing w:val="30"/>
          <w:sz w:val="30"/>
          <w:highlight w:val="none"/>
        </w:rPr>
        <w:t>月</w:t>
      </w:r>
    </w:p>
    <w:p w14:paraId="47DCBC45">
      <w:pPr>
        <w:rPr>
          <w:rFonts w:hint="eastAsia" w:ascii="新宋体" w:hAnsi="新宋体" w:eastAsia="新宋体" w:cs="新宋体"/>
          <w:color w:val="auto"/>
          <w:highlight w:val="none"/>
        </w:rPr>
      </w:pPr>
      <w:r>
        <w:rPr>
          <w:rFonts w:hint="eastAsia" w:ascii="新宋体" w:hAnsi="新宋体" w:eastAsia="新宋体" w:cs="新宋体"/>
          <w:b/>
          <w:color w:val="auto"/>
          <w:sz w:val="36"/>
          <w:szCs w:val="36"/>
          <w:highlight w:val="none"/>
        </w:rPr>
        <w:br w:type="page"/>
      </w:r>
    </w:p>
    <w:sdt>
      <w:sdtPr>
        <w:rPr>
          <w:rFonts w:hint="eastAsia" w:ascii="新宋体" w:hAnsi="新宋体" w:eastAsia="新宋体" w:cs="新宋体"/>
          <w:color w:val="auto"/>
          <w:highlight w:val="none"/>
        </w:rPr>
        <w:id w:val="147459729"/>
        <w15:color w:val="DBDBDB"/>
        <w:docPartObj>
          <w:docPartGallery w:val="Table of Contents"/>
          <w:docPartUnique/>
        </w:docPartObj>
      </w:sdtPr>
      <w:sdtEndPr>
        <w:rPr>
          <w:rFonts w:hint="eastAsia" w:ascii="新宋体" w:hAnsi="新宋体" w:eastAsia="新宋体" w:cs="新宋体"/>
          <w:color w:val="auto"/>
          <w:highlight w:val="none"/>
        </w:rPr>
      </w:sdtEndPr>
      <w:sdtContent>
        <w:p w14:paraId="7BD57C18">
          <w:pPr>
            <w:jc w:val="center"/>
            <w:rPr>
              <w:rFonts w:hint="eastAsia" w:ascii="新宋体" w:hAnsi="新宋体" w:eastAsia="新宋体" w:cs="新宋体"/>
              <w:color w:val="auto"/>
              <w:highlight w:val="none"/>
            </w:rPr>
          </w:pPr>
        </w:p>
        <w:p w14:paraId="6F75D5FC">
          <w:pPr>
            <w:pStyle w:val="38"/>
            <w:tabs>
              <w:tab w:val="right" w:leader="dot" w:pos="9638"/>
            </w:tabs>
            <w:spacing w:line="360" w:lineRule="auto"/>
            <w:jc w:val="center"/>
            <w:rPr>
              <w:rFonts w:hint="eastAsia" w:ascii="新宋体" w:hAnsi="新宋体" w:eastAsia="新宋体" w:cs="新宋体"/>
              <w:b/>
              <w:color w:val="auto"/>
              <w:sz w:val="36"/>
              <w:szCs w:val="36"/>
              <w:highlight w:val="none"/>
            </w:rPr>
          </w:pPr>
          <w:r>
            <w:rPr>
              <w:rFonts w:hint="eastAsia" w:ascii="新宋体" w:hAnsi="新宋体" w:eastAsia="新宋体" w:cs="新宋体"/>
              <w:b/>
              <w:color w:val="auto"/>
              <w:sz w:val="36"/>
              <w:szCs w:val="36"/>
              <w:highlight w:val="none"/>
            </w:rPr>
            <w:t>目  录</w:t>
          </w:r>
        </w:p>
        <w:p w14:paraId="64EED4CF">
          <w:pPr>
            <w:pStyle w:val="38"/>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b/>
              <w:color w:val="auto"/>
              <w:sz w:val="40"/>
              <w:szCs w:val="40"/>
              <w:highlight w:val="none"/>
            </w:rPr>
            <w:fldChar w:fldCharType="begin"/>
          </w:r>
          <w:r>
            <w:rPr>
              <w:rFonts w:hint="eastAsia" w:ascii="新宋体" w:hAnsi="新宋体" w:eastAsia="新宋体" w:cs="新宋体"/>
              <w:b/>
              <w:color w:val="auto"/>
              <w:sz w:val="40"/>
              <w:szCs w:val="40"/>
              <w:highlight w:val="none"/>
            </w:rPr>
            <w:instrText xml:space="preserve">TOC \o "1-3" \h \u </w:instrText>
          </w:r>
          <w:r>
            <w:rPr>
              <w:rFonts w:hint="eastAsia" w:ascii="新宋体" w:hAnsi="新宋体" w:eastAsia="新宋体" w:cs="新宋体"/>
              <w:b/>
              <w:color w:val="auto"/>
              <w:sz w:val="40"/>
              <w:szCs w:val="40"/>
              <w:highlight w:val="none"/>
            </w:rPr>
            <w:fldChar w:fldCharType="separate"/>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"_Toc6599"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szCs w:val="28"/>
              <w:highlight w:val="none"/>
            </w:rPr>
            <w:t>招 标 公 告</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_Toc6599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3</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02C170D4">
          <w:pPr>
            <w:pStyle w:val="38"/>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"_Toc10401"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szCs w:val="28"/>
              <w:highlight w:val="none"/>
            </w:rPr>
            <w:t>第一部分</w:t>
          </w:r>
          <w:r>
            <w:rPr>
              <w:rFonts w:hint="eastAsia" w:ascii="新宋体" w:hAnsi="新宋体" w:eastAsia="新宋体" w:cs="新宋体"/>
              <w:color w:val="auto"/>
              <w:sz w:val="22"/>
              <w:szCs w:val="28"/>
              <w:highlight w:val="none"/>
              <w:lang w:val="en-US" w:eastAsia="zh-CN"/>
            </w:rPr>
            <w:t xml:space="preserve">   </w:t>
          </w:r>
          <w:r>
            <w:rPr>
              <w:rFonts w:hint="eastAsia" w:ascii="新宋体" w:hAnsi="新宋体" w:eastAsia="新宋体" w:cs="新宋体"/>
              <w:color w:val="auto"/>
              <w:sz w:val="22"/>
              <w:szCs w:val="28"/>
              <w:highlight w:val="none"/>
            </w:rPr>
            <w:t>投标人须知</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_Toc10401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5</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58574230">
          <w:pPr>
            <w:pStyle w:val="45"/>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"_Toc6224" </w:instrText>
          </w:r>
          <w:r>
            <w:rPr>
              <w:rFonts w:hint="eastAsia" w:ascii="新宋体" w:hAnsi="新宋体" w:eastAsia="新宋体" w:cs="新宋体"/>
              <w:color w:val="auto"/>
              <w:highlight w:val="none"/>
            </w:rPr>
            <w:fldChar w:fldCharType="separate"/>
          </w:r>
          <w:r>
            <w:rPr>
              <w:rFonts w:hint="eastAsia" w:ascii="新宋体" w:hAnsi="新宋体" w:eastAsia="新宋体" w:cs="新宋体"/>
              <w:bCs/>
              <w:color w:val="auto"/>
              <w:sz w:val="22"/>
              <w:szCs w:val="28"/>
              <w:highlight w:val="none"/>
            </w:rPr>
            <w:t>前 附 表</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_Toc6224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6</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34DABA80">
          <w:pPr>
            <w:pStyle w:val="45"/>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"_Toc19070" </w:instrText>
          </w:r>
          <w:r>
            <w:rPr>
              <w:rFonts w:hint="eastAsia" w:ascii="新宋体" w:hAnsi="新宋体" w:eastAsia="新宋体" w:cs="新宋体"/>
              <w:color w:val="auto"/>
              <w:highlight w:val="none"/>
            </w:rPr>
            <w:fldChar w:fldCharType="separate"/>
          </w:r>
          <w:r>
            <w:rPr>
              <w:rFonts w:hint="eastAsia" w:ascii="新宋体" w:hAnsi="新宋体" w:eastAsia="新宋体" w:cs="新宋体"/>
              <w:bCs/>
              <w:color w:val="auto"/>
              <w:sz w:val="22"/>
              <w:szCs w:val="28"/>
              <w:highlight w:val="none"/>
            </w:rPr>
            <w:t>一、 说   明</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_Toc19070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11</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2E3EB7D5">
          <w:pPr>
            <w:pStyle w:val="45"/>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"_Toc28278" </w:instrText>
          </w:r>
          <w:r>
            <w:rPr>
              <w:rFonts w:hint="eastAsia" w:ascii="新宋体" w:hAnsi="新宋体" w:eastAsia="新宋体" w:cs="新宋体"/>
              <w:color w:val="auto"/>
              <w:highlight w:val="none"/>
            </w:rPr>
            <w:fldChar w:fldCharType="separate"/>
          </w:r>
          <w:r>
            <w:rPr>
              <w:rFonts w:hint="eastAsia" w:ascii="新宋体" w:hAnsi="新宋体" w:eastAsia="新宋体" w:cs="新宋体"/>
              <w:bCs/>
              <w:color w:val="auto"/>
              <w:sz w:val="22"/>
              <w:szCs w:val="28"/>
              <w:highlight w:val="none"/>
            </w:rPr>
            <w:t xml:space="preserve">二、 </w:t>
          </w:r>
          <w:r>
            <w:rPr>
              <w:rFonts w:hint="eastAsia" w:ascii="新宋体" w:hAnsi="新宋体" w:eastAsia="新宋体" w:cs="新宋体"/>
              <w:bCs/>
              <w:color w:val="auto"/>
              <w:sz w:val="22"/>
              <w:szCs w:val="28"/>
              <w:highlight w:val="none"/>
              <w:lang w:eastAsia="zh-CN"/>
            </w:rPr>
            <w:t>采购文件</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_Toc28278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11</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63FE9F4F">
          <w:pPr>
            <w:pStyle w:val="45"/>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"_Toc22646" </w:instrText>
          </w:r>
          <w:r>
            <w:rPr>
              <w:rFonts w:hint="eastAsia" w:ascii="新宋体" w:hAnsi="新宋体" w:eastAsia="新宋体" w:cs="新宋体"/>
              <w:color w:val="auto"/>
              <w:highlight w:val="none"/>
            </w:rPr>
            <w:fldChar w:fldCharType="separate"/>
          </w:r>
          <w:r>
            <w:rPr>
              <w:rFonts w:hint="eastAsia" w:ascii="新宋体" w:hAnsi="新宋体" w:eastAsia="新宋体" w:cs="新宋体"/>
              <w:bCs/>
              <w:color w:val="auto"/>
              <w:sz w:val="22"/>
              <w:szCs w:val="28"/>
              <w:highlight w:val="none"/>
            </w:rPr>
            <w:t>三、 投标文件的编制</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_Toc22646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12</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668AD9FF">
          <w:pPr>
            <w:pStyle w:val="45"/>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"_Toc18542" </w:instrText>
          </w:r>
          <w:r>
            <w:rPr>
              <w:rFonts w:hint="eastAsia" w:ascii="新宋体" w:hAnsi="新宋体" w:eastAsia="新宋体" w:cs="新宋体"/>
              <w:color w:val="auto"/>
              <w:highlight w:val="none"/>
            </w:rPr>
            <w:fldChar w:fldCharType="separate"/>
          </w:r>
          <w:r>
            <w:rPr>
              <w:rFonts w:hint="eastAsia" w:ascii="新宋体" w:hAnsi="新宋体" w:eastAsia="新宋体" w:cs="新宋体"/>
              <w:bCs/>
              <w:color w:val="auto"/>
              <w:sz w:val="22"/>
              <w:highlight w:val="none"/>
            </w:rPr>
            <w:t>四、 投标文件的递交</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_Toc18542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15</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6A417053">
          <w:pPr>
            <w:pStyle w:val="45"/>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"_Toc8079" </w:instrText>
          </w:r>
          <w:r>
            <w:rPr>
              <w:rFonts w:hint="eastAsia" w:ascii="新宋体" w:hAnsi="新宋体" w:eastAsia="新宋体" w:cs="新宋体"/>
              <w:color w:val="auto"/>
              <w:highlight w:val="none"/>
            </w:rPr>
            <w:fldChar w:fldCharType="separate"/>
          </w:r>
          <w:r>
            <w:rPr>
              <w:rFonts w:hint="eastAsia" w:ascii="新宋体" w:hAnsi="新宋体" w:eastAsia="新宋体" w:cs="新宋体"/>
              <w:bCs/>
              <w:color w:val="auto"/>
              <w:sz w:val="22"/>
              <w:highlight w:val="none"/>
            </w:rPr>
            <w:t>五、 开标和评标</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_Toc8079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15</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3EF19071">
          <w:pPr>
            <w:pStyle w:val="45"/>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"_Toc21056" </w:instrText>
          </w:r>
          <w:r>
            <w:rPr>
              <w:rFonts w:hint="eastAsia" w:ascii="新宋体" w:hAnsi="新宋体" w:eastAsia="新宋体" w:cs="新宋体"/>
              <w:color w:val="auto"/>
              <w:highlight w:val="none"/>
            </w:rPr>
            <w:fldChar w:fldCharType="separate"/>
          </w:r>
          <w:r>
            <w:rPr>
              <w:rFonts w:hint="eastAsia" w:ascii="新宋体" w:hAnsi="新宋体" w:eastAsia="新宋体" w:cs="新宋体"/>
              <w:bCs/>
              <w:color w:val="auto"/>
              <w:sz w:val="22"/>
              <w:szCs w:val="28"/>
              <w:highlight w:val="none"/>
            </w:rPr>
            <w:t>六、 授予合同</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_Toc21056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19</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042A2C05">
          <w:pPr>
            <w:pStyle w:val="38"/>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"_Toc19043"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szCs w:val="28"/>
              <w:highlight w:val="none"/>
            </w:rPr>
            <w:t>第二部分</w:t>
          </w:r>
          <w:r>
            <w:rPr>
              <w:rFonts w:hint="eastAsia" w:ascii="新宋体" w:hAnsi="新宋体" w:eastAsia="新宋体" w:cs="新宋体"/>
              <w:color w:val="auto"/>
              <w:sz w:val="22"/>
              <w:szCs w:val="28"/>
              <w:highlight w:val="none"/>
              <w:lang w:val="en-US" w:eastAsia="zh-CN"/>
            </w:rPr>
            <w:t xml:space="preserve">   </w:t>
          </w:r>
          <w:r>
            <w:rPr>
              <w:rFonts w:hint="eastAsia" w:ascii="新宋体" w:hAnsi="新宋体" w:eastAsia="新宋体" w:cs="新宋体"/>
              <w:color w:val="auto"/>
              <w:sz w:val="22"/>
              <w:szCs w:val="28"/>
              <w:highlight w:val="none"/>
            </w:rPr>
            <w:t>合同主要条款</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_Toc19043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21</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771FE2C7">
          <w:pPr>
            <w:pStyle w:val="38"/>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"_Toc18439"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szCs w:val="28"/>
              <w:highlight w:val="none"/>
            </w:rPr>
            <w:t>第三部分</w:t>
          </w:r>
          <w:r>
            <w:rPr>
              <w:rFonts w:hint="eastAsia" w:ascii="新宋体" w:hAnsi="新宋体" w:eastAsia="新宋体" w:cs="新宋体"/>
              <w:color w:val="auto"/>
              <w:sz w:val="22"/>
              <w:szCs w:val="28"/>
              <w:highlight w:val="none"/>
              <w:lang w:val="en-US" w:eastAsia="zh-CN"/>
            </w:rPr>
            <w:t xml:space="preserve">   </w:t>
          </w:r>
          <w:r>
            <w:rPr>
              <w:rFonts w:hint="eastAsia" w:ascii="新宋体" w:hAnsi="新宋体" w:eastAsia="新宋体" w:cs="新宋体"/>
              <w:color w:val="auto"/>
              <w:sz w:val="22"/>
              <w:szCs w:val="28"/>
              <w:highlight w:val="none"/>
            </w:rPr>
            <w:t>附件</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_Toc18439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27</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43AF46E2">
          <w:pPr>
            <w:pStyle w:val="45"/>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"_Toc6368"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szCs w:val="28"/>
              <w:highlight w:val="none"/>
            </w:rPr>
            <w:t>附件一</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_Toc6368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27</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7F700C78">
          <w:pPr>
            <w:pStyle w:val="28"/>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"_Toc5430" </w:instrText>
          </w:r>
          <w:r>
            <w:rPr>
              <w:rFonts w:hint="eastAsia" w:ascii="新宋体" w:hAnsi="新宋体" w:eastAsia="新宋体" w:cs="新宋体"/>
              <w:color w:val="auto"/>
              <w:highlight w:val="none"/>
            </w:rPr>
            <w:fldChar w:fldCharType="separate"/>
          </w:r>
          <w:r>
            <w:rPr>
              <w:rFonts w:hint="eastAsia" w:ascii="新宋体" w:hAnsi="新宋体" w:eastAsia="新宋体" w:cs="新宋体"/>
              <w:bCs/>
              <w:color w:val="auto"/>
              <w:sz w:val="22"/>
              <w:szCs w:val="32"/>
              <w:highlight w:val="none"/>
            </w:rPr>
            <w:t>报价文件</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_Toc5430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27</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37F3A32A">
          <w:pPr>
            <w:pStyle w:val="45"/>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"_Toc12035"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highlight w:val="none"/>
            </w:rPr>
            <w:t>附件二</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_Toc12035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31</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4EBE3602">
          <w:pPr>
            <w:pStyle w:val="28"/>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"_Toc25309" </w:instrText>
          </w:r>
          <w:r>
            <w:rPr>
              <w:rFonts w:hint="eastAsia" w:ascii="新宋体" w:hAnsi="新宋体" w:eastAsia="新宋体" w:cs="新宋体"/>
              <w:color w:val="auto"/>
              <w:highlight w:val="none"/>
            </w:rPr>
            <w:fldChar w:fldCharType="separate"/>
          </w:r>
          <w:r>
            <w:rPr>
              <w:rFonts w:hint="eastAsia" w:ascii="新宋体" w:hAnsi="新宋体" w:eastAsia="新宋体" w:cs="新宋体"/>
              <w:bCs/>
              <w:color w:val="auto"/>
              <w:sz w:val="22"/>
              <w:szCs w:val="32"/>
              <w:highlight w:val="none"/>
            </w:rPr>
            <w:t>资格证明文件</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_Toc25309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27</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3482D19C">
          <w:pPr>
            <w:pStyle w:val="45"/>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"_Toc31356" </w:instrText>
          </w:r>
          <w:r>
            <w:rPr>
              <w:rFonts w:hint="eastAsia" w:ascii="新宋体" w:hAnsi="新宋体" w:eastAsia="新宋体" w:cs="新宋体"/>
              <w:color w:val="auto"/>
              <w:highlight w:val="none"/>
            </w:rPr>
            <w:fldChar w:fldCharType="separate"/>
          </w:r>
          <w:r>
            <w:rPr>
              <w:rFonts w:hint="eastAsia" w:ascii="新宋体" w:hAnsi="新宋体" w:eastAsia="新宋体" w:cs="新宋体"/>
              <w:bCs/>
              <w:color w:val="auto"/>
              <w:sz w:val="22"/>
              <w:highlight w:val="none"/>
            </w:rPr>
            <w:t>附件三</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_Toc31356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31</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53CD89AC">
          <w:pPr>
            <w:pStyle w:val="28"/>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"_Toc13639" </w:instrText>
          </w:r>
          <w:r>
            <w:rPr>
              <w:rFonts w:hint="eastAsia" w:ascii="新宋体" w:hAnsi="新宋体" w:eastAsia="新宋体" w:cs="新宋体"/>
              <w:color w:val="auto"/>
              <w:highlight w:val="none"/>
            </w:rPr>
            <w:fldChar w:fldCharType="separate"/>
          </w:r>
          <w:r>
            <w:rPr>
              <w:rFonts w:hint="eastAsia" w:ascii="新宋体" w:hAnsi="新宋体" w:eastAsia="新宋体" w:cs="新宋体"/>
              <w:bCs/>
              <w:color w:val="auto"/>
              <w:sz w:val="22"/>
              <w:szCs w:val="32"/>
              <w:highlight w:val="none"/>
              <w:lang w:val="zh-CN"/>
            </w:rPr>
            <w:t>商务技术文件</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_Toc13639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36</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1FE45174">
          <w:pPr>
            <w:pStyle w:val="38"/>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"_Toc3381"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szCs w:val="28"/>
              <w:highlight w:val="none"/>
            </w:rPr>
            <w:t>第四部分</w:t>
          </w:r>
          <w:r>
            <w:rPr>
              <w:rFonts w:hint="eastAsia" w:ascii="新宋体" w:hAnsi="新宋体" w:eastAsia="新宋体" w:cs="新宋体"/>
              <w:color w:val="auto"/>
              <w:sz w:val="22"/>
              <w:szCs w:val="28"/>
              <w:highlight w:val="none"/>
              <w:lang w:val="en-US" w:eastAsia="zh-CN"/>
            </w:rPr>
            <w:t xml:space="preserve">   </w:t>
          </w:r>
          <w:r>
            <w:rPr>
              <w:rFonts w:hint="eastAsia" w:ascii="新宋体" w:hAnsi="新宋体" w:eastAsia="新宋体" w:cs="新宋体"/>
              <w:color w:val="auto"/>
              <w:sz w:val="22"/>
              <w:szCs w:val="28"/>
              <w:highlight w:val="none"/>
            </w:rPr>
            <w:t>项目技术规范和服务要求</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_Toc3381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43</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788121E2">
          <w:pPr>
            <w:pStyle w:val="38"/>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"_Toc18194"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szCs w:val="28"/>
              <w:highlight w:val="none"/>
            </w:rPr>
            <w:t>第五部分</w:t>
          </w:r>
          <w:r>
            <w:rPr>
              <w:rFonts w:hint="eastAsia" w:ascii="新宋体" w:hAnsi="新宋体" w:eastAsia="新宋体" w:cs="新宋体"/>
              <w:color w:val="auto"/>
              <w:sz w:val="22"/>
              <w:szCs w:val="28"/>
              <w:highlight w:val="none"/>
              <w:lang w:val="en-US" w:eastAsia="zh-CN"/>
            </w:rPr>
            <w:t xml:space="preserve">   </w:t>
          </w:r>
          <w:r>
            <w:rPr>
              <w:rFonts w:hint="eastAsia" w:ascii="新宋体" w:hAnsi="新宋体" w:eastAsia="新宋体" w:cs="新宋体"/>
              <w:color w:val="auto"/>
              <w:sz w:val="22"/>
              <w:szCs w:val="28"/>
              <w:highlight w:val="none"/>
            </w:rPr>
            <w:t>评标原则及方法</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_Toc18194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43</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58D1AF58">
          <w:pPr>
            <w:pStyle w:val="45"/>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"_Toc15713"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highlight w:val="none"/>
            </w:rPr>
            <w:t>一、总 则</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_Toc15713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46</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1D0BAF06">
          <w:pPr>
            <w:pStyle w:val="45"/>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"_Toc23152"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highlight w:val="none"/>
            </w:rPr>
            <w:t>二、评标组织</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_Toc23152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46</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495AEFFE">
          <w:pPr>
            <w:pStyle w:val="45"/>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"_Toc67"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highlight w:val="none"/>
            </w:rPr>
            <w:t>三、评标程序</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_Toc67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46</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4F72C3D7">
          <w:pPr>
            <w:pStyle w:val="45"/>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"_Toc24825"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highlight w:val="none"/>
            </w:rPr>
            <w:t>四、评标办法</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_Toc24825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46</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652A0E73">
          <w:pPr>
            <w:pStyle w:val="45"/>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"_Toc11450"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highlight w:val="none"/>
            </w:rPr>
            <w:t>五、评分细则</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_Toc11450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46</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4C6F31AB">
          <w:pPr>
            <w:pStyle w:val="45"/>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"_Toc4727" </w:instrText>
          </w:r>
          <w:r>
            <w:rPr>
              <w:rFonts w:hint="eastAsia" w:ascii="新宋体" w:hAnsi="新宋体" w:eastAsia="新宋体" w:cs="新宋体"/>
              <w:color w:val="auto"/>
              <w:highlight w:val="none"/>
            </w:rPr>
            <w:fldChar w:fldCharType="separate"/>
          </w:r>
          <w:r>
            <w:rPr>
              <w:rFonts w:hint="eastAsia" w:ascii="新宋体" w:hAnsi="新宋体" w:eastAsia="新宋体" w:cs="新宋体"/>
              <w:bCs/>
              <w:color w:val="auto"/>
              <w:sz w:val="22"/>
              <w:highlight w:val="none"/>
            </w:rPr>
            <w:t>六、定标办法</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_Toc4727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48</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10FA39B5">
          <w:pPr>
            <w:pStyle w:val="45"/>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"_Toc3629"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highlight w:val="none"/>
            </w:rPr>
            <w:t>七、投标人义务</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_Toc3629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49</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0DE9A697">
          <w:pPr>
            <w:spacing w:line="360" w:lineRule="auto"/>
            <w:ind w:firstLine="1870" w:firstLineChars="85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40"/>
              <w:highlight w:val="none"/>
            </w:rPr>
            <w:fldChar w:fldCharType="end"/>
          </w:r>
        </w:p>
      </w:sdtContent>
    </w:sdt>
    <w:p w14:paraId="34994C9E">
      <w:pPr>
        <w:pStyle w:val="4"/>
        <w:rPr>
          <w:rFonts w:hint="eastAsia" w:ascii="新宋体" w:hAnsi="新宋体" w:eastAsia="新宋体" w:cs="新宋体"/>
          <w:color w:val="auto"/>
          <w:highlight w:val="none"/>
        </w:rPr>
      </w:pPr>
      <w:bookmarkStart w:id="0" w:name="_Toc6599"/>
      <w:bookmarkStart w:id="1" w:name="_Toc32649"/>
      <w:r>
        <w:rPr>
          <w:rFonts w:hint="eastAsia" w:ascii="新宋体" w:hAnsi="新宋体" w:eastAsia="新宋体" w:cs="新宋体"/>
          <w:color w:val="auto"/>
          <w:highlight w:val="none"/>
        </w:rPr>
        <w:t>招 标 公 告</w:t>
      </w:r>
      <w:bookmarkEnd w:id="0"/>
      <w:bookmarkEnd w:id="1"/>
    </w:p>
    <w:p w14:paraId="796C0C83">
      <w:pPr>
        <w:keepNext w:val="0"/>
        <w:keepLines w:val="0"/>
        <w:pageBreakBefore w:val="0"/>
        <w:tabs>
          <w:tab w:val="left" w:pos="360"/>
        </w:tabs>
        <w:kinsoku/>
        <w:wordWrap/>
        <w:overflowPunct/>
        <w:topLinePunct w:val="0"/>
        <w:autoSpaceDE/>
        <w:autoSpaceDN/>
        <w:bidi w:val="0"/>
        <w:adjustRightInd/>
        <w:snapToGrid/>
        <w:spacing w:line="460" w:lineRule="exact"/>
        <w:ind w:left="0" w:leftChars="0" w:firstLine="0" w:firstLineChars="0"/>
        <w:textAlignment w:val="auto"/>
        <w:rPr>
          <w:rFonts w:hint="eastAsia"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mc:AlternateContent>
          <mc:Choice Requires="wps">
            <w:drawing>
              <wp:anchor distT="0" distB="0" distL="114300" distR="114300" simplePos="0" relativeHeight="251661312" behindDoc="0" locked="0" layoutInCell="1" allowOverlap="1">
                <wp:simplePos x="0" y="0"/>
                <wp:positionH relativeFrom="column">
                  <wp:posOffset>-120015</wp:posOffset>
                </wp:positionH>
                <wp:positionV relativeFrom="paragraph">
                  <wp:posOffset>3810</wp:posOffset>
                </wp:positionV>
                <wp:extent cx="6339840" cy="942975"/>
                <wp:effectExtent l="6350" t="6350" r="16510" b="22225"/>
                <wp:wrapNone/>
                <wp:docPr id="1" name="矩形 1"/>
                <wp:cNvGraphicFramePr/>
                <a:graphic xmlns:a="http://schemas.openxmlformats.org/drawingml/2006/main">
                  <a:graphicData uri="http://schemas.microsoft.com/office/word/2010/wordprocessingShape">
                    <wps:wsp>
                      <wps:cNvSpPr/>
                      <wps:spPr>
                        <a:xfrm>
                          <a:off x="0" y="0"/>
                          <a:ext cx="6339840" cy="942975"/>
                        </a:xfrm>
                        <a:prstGeom prst="rect">
                          <a:avLst/>
                        </a:prstGeom>
                        <a:noFill/>
                        <a:ln w="12700" cap="flat" cmpd="sng">
                          <a:solidFill>
                            <a:srgbClr val="000000"/>
                          </a:solidFill>
                          <a:prstDash val="solid"/>
                          <a:round/>
                          <a:headEnd type="none" w="med" len="med"/>
                          <a:tailEnd type="none" w="med" len="med"/>
                        </a:ln>
                      </wps:spPr>
                      <wps:bodyPr anchor="ctr" anchorCtr="0" upright="1"/>
                    </wps:wsp>
                  </a:graphicData>
                </a:graphic>
              </wp:anchor>
            </w:drawing>
          </mc:Choice>
          <mc:Fallback>
            <w:pict>
              <v:rect id="_x0000_s1026" o:spid="_x0000_s1026" o:spt="1" style="position:absolute;left:0pt;margin-left:-9.45pt;margin-top:0.3pt;height:74.25pt;width:499.2pt;z-index:251661312;v-text-anchor:middle;mso-width-relative:page;mso-height-relative:page;" filled="f" stroked="t" coordsize="21600,21600" o:gfxdata="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uUrv7XAAAACAEAAA8AAAAAAAAAAQAgAAAAIgAAAGRycy9k&#10;b3ducmV2LnhtbFBLAQIUABQAAAAIAIdO4kAszzy9AwIAABEEAAAOAAAAAAAAAAEAIAAAACYBAABk&#10;cnMvZTJvRG9jLnhtbFBLBQYAAAAABgAGAFkBAACbBQAAAAA=&#10;">
                <v:fill on="f" focussize="0,0"/>
                <v:stroke weight="1pt" color="#000000" joinstyle="round"/>
                <v:imagedata o:title=""/>
                <o:lock v:ext="edit" aspectratio="f"/>
              </v:rect>
            </w:pict>
          </mc:Fallback>
        </mc:AlternateContent>
      </w:r>
      <w:r>
        <w:rPr>
          <w:rFonts w:hint="eastAsia" w:ascii="新宋体" w:hAnsi="新宋体" w:eastAsia="新宋体" w:cs="新宋体"/>
          <w:b/>
          <w:bCs/>
          <w:color w:val="auto"/>
          <w:sz w:val="22"/>
          <w:highlight w:val="none"/>
        </w:rPr>
        <w:t>项目概况</w:t>
      </w:r>
    </w:p>
    <w:p w14:paraId="02262AB3">
      <w:pPr>
        <w:keepNext w:val="0"/>
        <w:keepLines w:val="0"/>
        <w:pageBreakBefore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乙肝试剂（乙肝表面抗原试剂）</w:t>
      </w:r>
      <w:r>
        <w:rPr>
          <w:rFonts w:hint="eastAsia" w:ascii="新宋体" w:hAnsi="新宋体" w:eastAsia="新宋体" w:cs="新宋体"/>
          <w:color w:val="auto"/>
          <w:sz w:val="22"/>
          <w:highlight w:val="none"/>
        </w:rPr>
        <w:t>招标项目的潜在投标人应在浙江政府采购网获取（下载）</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，并于</w:t>
      </w:r>
      <w:r>
        <w:rPr>
          <w:rFonts w:hint="eastAsia" w:ascii="新宋体" w:hAnsi="新宋体" w:eastAsia="新宋体" w:cs="新宋体"/>
          <w:color w:val="auto"/>
          <w:sz w:val="22"/>
          <w:szCs w:val="22"/>
          <w:highlight w:val="none"/>
          <w:lang w:eastAsia="zh-CN"/>
        </w:rPr>
        <w:t>2025年01月24日09：30</w:t>
      </w:r>
      <w:r>
        <w:rPr>
          <w:rFonts w:hint="eastAsia" w:ascii="新宋体" w:hAnsi="新宋体" w:eastAsia="新宋体" w:cs="新宋体"/>
          <w:color w:val="auto"/>
          <w:sz w:val="22"/>
          <w:highlight w:val="none"/>
        </w:rPr>
        <w:t>（北京时间）前递交（上传）投标文件。</w:t>
      </w:r>
    </w:p>
    <w:p w14:paraId="3C4FB3DA">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一、项目基本情况</w:t>
      </w:r>
    </w:p>
    <w:p w14:paraId="1A1BF09B">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WZLCZB（L）-2025-01008</w:t>
      </w:r>
    </w:p>
    <w:p w14:paraId="68C3B815">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kern w:val="2"/>
          <w:sz w:val="22"/>
          <w:szCs w:val="24"/>
          <w:highlight w:val="none"/>
          <w:lang w:val="en-US" w:eastAsia="zh-CN" w:bidi="ar-SA"/>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kern w:val="2"/>
          <w:sz w:val="22"/>
          <w:szCs w:val="24"/>
          <w:highlight w:val="none"/>
          <w:lang w:val="en-US" w:eastAsia="zh-CN" w:bidi="ar-SA"/>
        </w:rPr>
        <w:t>乙肝试剂（乙肝表面抗原试剂）</w:t>
      </w:r>
    </w:p>
    <w:p w14:paraId="38FBB035">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val="en-US" w:eastAsia="zh-CN"/>
        </w:rPr>
        <w:t>831600</w:t>
      </w:r>
    </w:p>
    <w:p w14:paraId="25C071D5">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最高限价（元）：</w:t>
      </w:r>
      <w:r>
        <w:rPr>
          <w:rFonts w:hint="eastAsia" w:ascii="新宋体" w:hAnsi="新宋体" w:eastAsia="新宋体" w:cs="新宋体"/>
          <w:color w:val="auto"/>
          <w:sz w:val="22"/>
          <w:szCs w:val="22"/>
          <w:highlight w:val="none"/>
          <w:lang w:val="en-US" w:eastAsia="zh-CN"/>
        </w:rPr>
        <w:t>831600</w:t>
      </w:r>
    </w:p>
    <w:p w14:paraId="37D100A5">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采购需求：</w:t>
      </w:r>
    </w:p>
    <w:p w14:paraId="1C2993DD">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标项名称</w:t>
      </w:r>
      <w:r>
        <w:rPr>
          <w:rFonts w:hint="eastAsia" w:ascii="新宋体" w:hAnsi="新宋体" w:eastAsia="新宋体" w:cs="新宋体"/>
          <w:color w:val="auto"/>
          <w:sz w:val="22"/>
          <w:szCs w:val="22"/>
          <w:highlight w:val="none"/>
          <w:lang w:eastAsia="zh-CN"/>
        </w:rPr>
        <w:t>：乙肝试剂（乙肝表面抗原试剂）</w:t>
      </w:r>
    </w:p>
    <w:p w14:paraId="07615A98">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数量</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270</w:t>
      </w:r>
    </w:p>
    <w:p w14:paraId="4B04E587">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831600</w:t>
      </w:r>
    </w:p>
    <w:p w14:paraId="3DD37019">
      <w:pPr>
        <w:keepNext w:val="0"/>
        <w:keepLines w:val="0"/>
        <w:pageBreakBefore w:val="0"/>
        <w:widowControl w:val="0"/>
        <w:kinsoku/>
        <w:wordWrap/>
        <w:overflowPunct/>
        <w:topLinePunct w:val="0"/>
        <w:autoSpaceDE/>
        <w:autoSpaceDN/>
        <w:bidi w:val="0"/>
        <w:adjustRightInd/>
        <w:snapToGrid/>
        <w:spacing w:line="460" w:lineRule="exact"/>
        <w:ind w:firstLine="440" w:firstLineChars="20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单位：</w:t>
      </w:r>
      <w:r>
        <w:rPr>
          <w:rFonts w:hint="eastAsia" w:ascii="新宋体" w:hAnsi="新宋体" w:eastAsia="新宋体" w:cs="新宋体"/>
          <w:bCs/>
          <w:color w:val="auto"/>
          <w:sz w:val="22"/>
          <w:szCs w:val="22"/>
          <w:highlight w:val="none"/>
          <w:lang w:val="en-US" w:eastAsia="zh-CN"/>
        </w:rPr>
        <w:t>盒（480人份/盒）</w:t>
      </w:r>
    </w:p>
    <w:p w14:paraId="454DF66C">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简要规格描述或项目基本概况介绍、用途：具体详见</w:t>
      </w:r>
      <w:r>
        <w:rPr>
          <w:rFonts w:hint="eastAsia" w:ascii="新宋体" w:hAnsi="新宋体" w:eastAsia="新宋体" w:cs="新宋体"/>
          <w:color w:val="auto"/>
          <w:sz w:val="22"/>
          <w:szCs w:val="22"/>
          <w:highlight w:val="none"/>
          <w:lang w:val="en-US" w:eastAsia="zh-CN"/>
        </w:rPr>
        <w:t>采购</w:t>
      </w:r>
      <w:r>
        <w:rPr>
          <w:rFonts w:hint="eastAsia" w:ascii="新宋体" w:hAnsi="新宋体" w:eastAsia="新宋体" w:cs="新宋体"/>
          <w:color w:val="auto"/>
          <w:sz w:val="22"/>
          <w:szCs w:val="22"/>
          <w:highlight w:val="none"/>
        </w:rPr>
        <w:t>文件</w:t>
      </w:r>
    </w:p>
    <w:p w14:paraId="4028C18E">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备注：</w:t>
      </w:r>
      <w:r>
        <w:rPr>
          <w:rFonts w:hint="eastAsia" w:ascii="新宋体" w:hAnsi="新宋体" w:eastAsia="新宋体" w:cs="新宋体"/>
          <w:b/>
          <w:bCs/>
          <w:color w:val="auto"/>
          <w:sz w:val="22"/>
          <w:szCs w:val="22"/>
          <w:highlight w:val="none"/>
          <w:lang w:val="en-US" w:eastAsia="zh-CN"/>
        </w:rPr>
        <w:t>本项目允许进口产品投标</w:t>
      </w:r>
    </w:p>
    <w:p w14:paraId="236766F5">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合同履约期限：标项 1，具体详见</w:t>
      </w:r>
      <w:r>
        <w:rPr>
          <w:rFonts w:hint="eastAsia" w:ascii="新宋体" w:hAnsi="新宋体" w:eastAsia="新宋体" w:cs="新宋体"/>
          <w:color w:val="auto"/>
          <w:sz w:val="22"/>
          <w:szCs w:val="22"/>
          <w:highlight w:val="none"/>
          <w:lang w:val="en-US" w:eastAsia="zh-CN"/>
        </w:rPr>
        <w:t>采购</w:t>
      </w:r>
      <w:r>
        <w:rPr>
          <w:rFonts w:hint="eastAsia" w:ascii="新宋体" w:hAnsi="新宋体" w:eastAsia="新宋体" w:cs="新宋体"/>
          <w:color w:val="auto"/>
          <w:sz w:val="22"/>
          <w:szCs w:val="22"/>
          <w:highlight w:val="none"/>
        </w:rPr>
        <w:t>文件</w:t>
      </w:r>
    </w:p>
    <w:p w14:paraId="37B3045F">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本项目（</w:t>
      </w:r>
      <w:r>
        <w:rPr>
          <w:rFonts w:hint="eastAsia" w:ascii="新宋体" w:hAnsi="新宋体" w:eastAsia="新宋体" w:cs="新宋体"/>
          <w:color w:val="auto"/>
          <w:sz w:val="22"/>
          <w:szCs w:val="22"/>
          <w:highlight w:val="none"/>
          <w:lang w:eastAsia="zh-CN"/>
        </w:rPr>
        <w:t>是</w:t>
      </w:r>
      <w:r>
        <w:rPr>
          <w:rFonts w:hint="eastAsia" w:ascii="新宋体" w:hAnsi="新宋体" w:eastAsia="新宋体" w:cs="新宋体"/>
          <w:color w:val="auto"/>
          <w:sz w:val="22"/>
          <w:szCs w:val="22"/>
          <w:highlight w:val="none"/>
        </w:rPr>
        <w:t>）接受联合体投标。</w:t>
      </w:r>
    </w:p>
    <w:p w14:paraId="63C2454A">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二、申请人的资格要求：</w:t>
      </w:r>
    </w:p>
    <w:p w14:paraId="2AEA4C2E">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1.满足《中华人民共和国政府采购法》第二十二条规定；未被“信用中国”（www.creditchina.gov.cn</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、中国政府采购网（www.ccgp.gov.cn）列入失信被执行人、重大税收违法案件当事人名单、政府采购严重违法失信行为记录名单。</w:t>
      </w:r>
    </w:p>
    <w:p w14:paraId="24504F1F">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2.落实政府采购政策需满足的资格要求：</w:t>
      </w:r>
      <w:r>
        <w:rPr>
          <w:rFonts w:hint="eastAsia" w:ascii="新宋体" w:hAnsi="新宋体" w:eastAsia="新宋体" w:cs="新宋体"/>
          <w:color w:val="auto"/>
          <w:sz w:val="22"/>
          <w:szCs w:val="22"/>
          <w:highlight w:val="none"/>
          <w:lang w:val="en-US" w:eastAsia="zh-CN"/>
        </w:rPr>
        <w:t>无</w:t>
      </w:r>
    </w:p>
    <w:p w14:paraId="1C616249">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3.本项目的特定资格要求：无 </w:t>
      </w:r>
    </w:p>
    <w:p w14:paraId="6CC3D7A5">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三、获取</w:t>
      </w:r>
      <w:r>
        <w:rPr>
          <w:rFonts w:hint="eastAsia" w:ascii="新宋体" w:hAnsi="新宋体" w:eastAsia="新宋体" w:cs="新宋体"/>
          <w:b/>
          <w:bCs/>
          <w:color w:val="auto"/>
          <w:sz w:val="22"/>
          <w:szCs w:val="22"/>
          <w:highlight w:val="none"/>
          <w:lang w:eastAsia="zh-CN"/>
        </w:rPr>
        <w:t>采购文件</w:t>
      </w:r>
      <w:r>
        <w:rPr>
          <w:rFonts w:hint="eastAsia" w:ascii="新宋体" w:hAnsi="新宋体" w:eastAsia="新宋体" w:cs="新宋体"/>
          <w:b/>
          <w:bCs/>
          <w:color w:val="auto"/>
          <w:sz w:val="22"/>
          <w:szCs w:val="22"/>
          <w:highlight w:val="none"/>
        </w:rPr>
        <w:t> </w:t>
      </w:r>
    </w:p>
    <w:p w14:paraId="7A5DA7AA">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时间：</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至</w:t>
      </w:r>
      <w:r>
        <w:rPr>
          <w:rFonts w:hint="eastAsia" w:ascii="新宋体" w:hAnsi="新宋体" w:eastAsia="新宋体" w:cs="新宋体"/>
          <w:color w:val="auto"/>
          <w:sz w:val="22"/>
          <w:szCs w:val="22"/>
          <w:highlight w:val="none"/>
          <w:lang w:eastAsia="zh-CN"/>
        </w:rPr>
        <w:t>202</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lang w:eastAsia="zh-CN"/>
        </w:rPr>
        <w:t>年</w:t>
      </w:r>
      <w:r>
        <w:rPr>
          <w:rFonts w:hint="eastAsia" w:ascii="新宋体" w:hAnsi="新宋体" w:eastAsia="新宋体" w:cs="新宋体"/>
          <w:color w:val="auto"/>
          <w:sz w:val="22"/>
          <w:szCs w:val="22"/>
          <w:highlight w:val="none"/>
          <w:lang w:val="en-US" w:eastAsia="zh-CN"/>
        </w:rPr>
        <w:t>01</w:t>
      </w:r>
      <w:r>
        <w:rPr>
          <w:rFonts w:hint="eastAsia" w:ascii="新宋体" w:hAnsi="新宋体" w:eastAsia="新宋体" w:cs="新宋体"/>
          <w:color w:val="auto"/>
          <w:sz w:val="22"/>
          <w:szCs w:val="22"/>
          <w:highlight w:val="none"/>
          <w:lang w:eastAsia="zh-CN"/>
        </w:rPr>
        <w:t>月</w:t>
      </w:r>
      <w:r>
        <w:rPr>
          <w:rFonts w:hint="eastAsia" w:ascii="新宋体" w:hAnsi="新宋体" w:eastAsia="新宋体" w:cs="新宋体"/>
          <w:color w:val="auto"/>
          <w:sz w:val="22"/>
          <w:szCs w:val="22"/>
          <w:highlight w:val="none"/>
          <w:lang w:val="en-US" w:eastAsia="zh-CN"/>
        </w:rPr>
        <w:t>27</w:t>
      </w:r>
      <w:r>
        <w:rPr>
          <w:rFonts w:hint="eastAsia" w:ascii="新宋体" w:hAnsi="新宋体" w:eastAsia="新宋体" w:cs="新宋体"/>
          <w:color w:val="auto"/>
          <w:sz w:val="22"/>
          <w:szCs w:val="22"/>
          <w:highlight w:val="none"/>
          <w:lang w:eastAsia="zh-CN"/>
        </w:rPr>
        <w:t>日</w:t>
      </w:r>
      <w:r>
        <w:rPr>
          <w:rFonts w:hint="eastAsia" w:ascii="新宋体" w:hAnsi="新宋体" w:eastAsia="新宋体" w:cs="新宋体"/>
          <w:color w:val="auto"/>
          <w:sz w:val="22"/>
          <w:szCs w:val="22"/>
          <w:highlight w:val="none"/>
        </w:rPr>
        <w:t>，每天上午00</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00至12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00，下午12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00至23</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59（北京时间，线上获取法定节假日均可，线下获取文件法定节假日除外）</w:t>
      </w:r>
    </w:p>
    <w:p w14:paraId="4CE6281A">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地点（网址）：浙江政府采购网（https</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//zfcg.czt.zj.gov.cn/）</w:t>
      </w:r>
    </w:p>
    <w:p w14:paraId="454347DE">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方式：供应商登录政采云平台https</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//www.zcygov.cn/在线申请获取采购文件（进入“项目采购”应用，在获取采购文件菜单中选择项目，申请获取采购文件）</w:t>
      </w:r>
    </w:p>
    <w:p w14:paraId="58AB00F3">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售价（元）：0 </w:t>
      </w:r>
    </w:p>
    <w:p w14:paraId="5426F197">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四、提交投标文件截止时间、开标时间和地点</w:t>
      </w:r>
    </w:p>
    <w:p w14:paraId="5F5627AC">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提交投标文件截止时间：</w:t>
      </w:r>
      <w:r>
        <w:rPr>
          <w:rFonts w:hint="eastAsia" w:ascii="新宋体" w:hAnsi="新宋体" w:eastAsia="新宋体" w:cs="新宋体"/>
          <w:color w:val="auto"/>
          <w:sz w:val="22"/>
          <w:szCs w:val="22"/>
          <w:highlight w:val="none"/>
          <w:lang w:eastAsia="zh-CN"/>
        </w:rPr>
        <w:t>2025年01月24日09：30 </w:t>
      </w:r>
      <w:r>
        <w:rPr>
          <w:rFonts w:hint="eastAsia" w:ascii="新宋体" w:hAnsi="新宋体" w:eastAsia="新宋体" w:cs="新宋体"/>
          <w:color w:val="auto"/>
          <w:sz w:val="22"/>
          <w:szCs w:val="22"/>
          <w:highlight w:val="none"/>
        </w:rPr>
        <w:t>（北京时间）</w:t>
      </w:r>
    </w:p>
    <w:p w14:paraId="5B180510">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投标地点（网址）：请登录政采云投标客户端投标</w:t>
      </w:r>
    </w:p>
    <w:p w14:paraId="180E0699">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开标时间：</w:t>
      </w:r>
      <w:r>
        <w:rPr>
          <w:rFonts w:hint="eastAsia" w:ascii="新宋体" w:hAnsi="新宋体" w:eastAsia="新宋体" w:cs="新宋体"/>
          <w:color w:val="auto"/>
          <w:sz w:val="22"/>
          <w:szCs w:val="22"/>
          <w:highlight w:val="none"/>
          <w:lang w:eastAsia="zh-CN"/>
        </w:rPr>
        <w:t>2025年01月24日09：30 </w:t>
      </w:r>
    </w:p>
    <w:p w14:paraId="289E5B4B">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开标地点（网址）：</w:t>
      </w:r>
      <w:r>
        <w:rPr>
          <w:rFonts w:hint="eastAsia" w:ascii="新宋体" w:hAnsi="新宋体" w:eastAsia="新宋体" w:cs="新宋体"/>
          <w:color w:val="auto"/>
          <w:sz w:val="22"/>
          <w:szCs w:val="22"/>
          <w:highlight w:val="none"/>
          <w:u w:val="none"/>
        </w:rPr>
        <w:t>政府采购云平台（www.zcygov.cn）</w:t>
      </w:r>
    </w:p>
    <w:p w14:paraId="00513090">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五、公告期限</w:t>
      </w:r>
      <w:r>
        <w:rPr>
          <w:rFonts w:hint="eastAsia" w:ascii="新宋体" w:hAnsi="新宋体" w:eastAsia="新宋体" w:cs="新宋体"/>
          <w:color w:val="auto"/>
          <w:sz w:val="22"/>
          <w:szCs w:val="22"/>
          <w:highlight w:val="none"/>
        </w:rPr>
        <w:t> </w:t>
      </w:r>
    </w:p>
    <w:p w14:paraId="4AC2CD1C">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自本公告发布之日起5个工作日。</w:t>
      </w:r>
    </w:p>
    <w:p w14:paraId="204DA66E">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六、其他补充事宜</w:t>
      </w:r>
    </w:p>
    <w:p w14:paraId="7D6F601C">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11A9254">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083AB5D8">
      <w:pPr>
        <w:pStyle w:val="48"/>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C9BF806">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.其他事项：</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一</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的获取：使用账号登录或者使用CA登录政采云平台；进入“项目采购”应用，在获取采购文件菜单中选择项目，获取</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w:t>
      </w:r>
      <w:r>
        <w:rPr>
          <w:rFonts w:hint="eastAsia" w:ascii="新宋体" w:hAnsi="新宋体" w:eastAsia="新宋体" w:cs="新宋体"/>
          <w:color w:val="auto"/>
          <w:sz w:val="22"/>
          <w:szCs w:val="22"/>
          <w:highlight w:val="none"/>
          <w:lang w:val="en-US" w:eastAsia="zh-CN"/>
        </w:rPr>
        <w:t>二</w:t>
      </w:r>
      <w:r>
        <w:rPr>
          <w:rFonts w:hint="eastAsia" w:ascii="新宋体" w:hAnsi="新宋体" w:eastAsia="新宋体" w:cs="新宋体"/>
          <w:color w:val="auto"/>
          <w:sz w:val="22"/>
          <w:szCs w:val="22"/>
          <w:highlight w:val="none"/>
        </w:rPr>
        <w:t>）招标公告附件的采购文件仅供阅览使用，未按照本公告规定的方式获取采购文件的潜在供应商提起的质疑采购组织机构将不予受理、答复。</w:t>
      </w:r>
      <w:r>
        <w:rPr>
          <w:rFonts w:hint="eastAsia" w:ascii="新宋体" w:hAnsi="新宋体" w:eastAsia="新宋体" w:cs="新宋体"/>
          <w:color w:val="auto"/>
          <w:sz w:val="22"/>
          <w:highlight w:val="none"/>
        </w:rPr>
        <w:t> </w:t>
      </w:r>
    </w:p>
    <w:p w14:paraId="43375FE9">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七、对本次招标提出询问，请按以下方式联系</w:t>
      </w:r>
    </w:p>
    <w:p w14:paraId="3C8AD48E">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1.采购人信息</w:t>
      </w:r>
    </w:p>
    <w:p w14:paraId="67D0547E">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lang w:eastAsia="zh-CN"/>
        </w:rPr>
      </w:pPr>
      <w:r>
        <w:rPr>
          <w:rFonts w:hint="eastAsia" w:ascii="新宋体" w:hAnsi="新宋体" w:eastAsia="新宋体" w:cs="新宋体"/>
          <w:color w:val="auto"/>
          <w:sz w:val="22"/>
          <w:szCs w:val="22"/>
          <w:highlight w:val="none"/>
          <w:u w:val="none"/>
        </w:rPr>
        <w:t>名  称：</w:t>
      </w:r>
      <w:r>
        <w:rPr>
          <w:rFonts w:hint="eastAsia" w:ascii="新宋体" w:hAnsi="新宋体" w:eastAsia="新宋体" w:cs="新宋体"/>
          <w:color w:val="auto"/>
          <w:sz w:val="22"/>
          <w:szCs w:val="22"/>
          <w:highlight w:val="none"/>
          <w:u w:val="none"/>
          <w:lang w:eastAsia="zh-CN"/>
        </w:rPr>
        <w:t>温州市中心血站</w:t>
      </w:r>
    </w:p>
    <w:p w14:paraId="2F662B9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地  址：</w:t>
      </w:r>
      <w:r>
        <w:rPr>
          <w:rFonts w:hint="eastAsia" w:ascii="新宋体" w:hAnsi="新宋体" w:eastAsia="新宋体" w:cs="新宋体"/>
          <w:color w:val="auto"/>
          <w:sz w:val="22"/>
          <w:szCs w:val="22"/>
          <w:highlight w:val="none"/>
          <w:u w:val="none"/>
          <w:lang w:val="en-US" w:eastAsia="zh-CN"/>
        </w:rPr>
        <w:t>浙江省温州市瓯江口产业集聚区霓贤路451号</w:t>
      </w:r>
    </w:p>
    <w:p w14:paraId="34EECBD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传  真：</w:t>
      </w:r>
      <w:r>
        <w:rPr>
          <w:rFonts w:hint="eastAsia" w:ascii="新宋体" w:hAnsi="新宋体" w:eastAsia="新宋体" w:cs="新宋体"/>
          <w:color w:val="auto"/>
          <w:sz w:val="22"/>
          <w:szCs w:val="22"/>
          <w:highlight w:val="none"/>
          <w:u w:val="none"/>
          <w:lang w:val="en-US" w:eastAsia="zh-CN"/>
        </w:rPr>
        <w:t>/</w:t>
      </w:r>
      <w:r>
        <w:rPr>
          <w:rFonts w:hint="eastAsia" w:ascii="新宋体" w:hAnsi="新宋体" w:eastAsia="新宋体" w:cs="新宋体"/>
          <w:color w:val="auto"/>
          <w:sz w:val="22"/>
          <w:szCs w:val="22"/>
          <w:highlight w:val="none"/>
          <w:u w:val="none"/>
        </w:rPr>
        <w:t xml:space="preserve">   </w:t>
      </w:r>
    </w:p>
    <w:p w14:paraId="36272487">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项目联系人（询问）：</w:t>
      </w:r>
      <w:r>
        <w:rPr>
          <w:rFonts w:hint="eastAsia" w:ascii="新宋体" w:hAnsi="新宋体" w:eastAsia="新宋体" w:cs="新宋体"/>
          <w:color w:val="auto"/>
          <w:sz w:val="22"/>
          <w:szCs w:val="22"/>
          <w:highlight w:val="none"/>
          <w:u w:val="none"/>
          <w:lang w:val="en-US" w:eastAsia="zh-CN"/>
        </w:rPr>
        <w:t>谢先生</w:t>
      </w:r>
    </w:p>
    <w:p w14:paraId="7D9A77BA">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lang w:eastAsia="zh-CN"/>
        </w:rPr>
      </w:pPr>
      <w:r>
        <w:rPr>
          <w:rFonts w:hint="eastAsia" w:ascii="新宋体" w:hAnsi="新宋体" w:eastAsia="新宋体" w:cs="新宋体"/>
          <w:color w:val="auto"/>
          <w:sz w:val="22"/>
          <w:szCs w:val="22"/>
          <w:highlight w:val="none"/>
          <w:u w:val="none"/>
        </w:rPr>
        <w:t>项目联系方式（询问）：</w:t>
      </w:r>
      <w:r>
        <w:rPr>
          <w:rFonts w:hint="eastAsia" w:ascii="新宋体" w:hAnsi="新宋体" w:eastAsia="新宋体" w:cs="新宋体"/>
          <w:color w:val="auto"/>
          <w:sz w:val="22"/>
          <w:szCs w:val="22"/>
          <w:highlight w:val="none"/>
          <w:u w:val="none"/>
          <w:lang w:val="en-US" w:eastAsia="zh-CN"/>
        </w:rPr>
        <w:t xml:space="preserve">0577-55582706 </w:t>
      </w:r>
    </w:p>
    <w:p w14:paraId="1561863E">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质疑联系人：</w:t>
      </w:r>
      <w:r>
        <w:rPr>
          <w:rFonts w:hint="eastAsia" w:ascii="新宋体" w:hAnsi="新宋体" w:eastAsia="新宋体" w:cs="新宋体"/>
          <w:color w:val="auto"/>
          <w:sz w:val="22"/>
          <w:szCs w:val="22"/>
          <w:highlight w:val="none"/>
          <w:u w:val="none"/>
          <w:lang w:val="en-US" w:eastAsia="zh-CN"/>
        </w:rPr>
        <w:t>温州市中心血站纪检监察室</w:t>
      </w:r>
    </w:p>
    <w:p w14:paraId="01CA5E0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质疑联系方式：</w:t>
      </w:r>
      <w:r>
        <w:rPr>
          <w:rFonts w:hint="eastAsia" w:ascii="新宋体" w:hAnsi="新宋体" w:eastAsia="新宋体" w:cs="新宋体"/>
          <w:color w:val="auto"/>
          <w:sz w:val="22"/>
          <w:szCs w:val="22"/>
          <w:highlight w:val="none"/>
          <w:u w:val="none"/>
          <w:lang w:val="en-US" w:eastAsia="zh-CN"/>
        </w:rPr>
        <w:t>0577-55582813</w:t>
      </w:r>
    </w:p>
    <w:p w14:paraId="09230D7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2.采购代理机构信息</w:t>
      </w:r>
    </w:p>
    <w:p w14:paraId="2260FDEC">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名  称：温州历程招标有限公司 </w:t>
      </w:r>
    </w:p>
    <w:p w14:paraId="4B7555BA">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地  址：</w:t>
      </w:r>
      <w:r>
        <w:rPr>
          <w:rFonts w:hint="eastAsia" w:ascii="新宋体" w:hAnsi="新宋体" w:eastAsia="新宋体" w:cs="新宋体"/>
          <w:color w:val="auto"/>
          <w:sz w:val="22"/>
          <w:szCs w:val="22"/>
          <w:highlight w:val="none"/>
          <w:u w:val="none"/>
          <w:lang w:eastAsia="zh-CN"/>
        </w:rPr>
        <w:t>温州市鹿城区勤民路鹿城壹号18幢803室</w:t>
      </w:r>
    </w:p>
    <w:p w14:paraId="27269DB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 xml:space="preserve">传  真：0577-89887255   </w:t>
      </w:r>
    </w:p>
    <w:p w14:paraId="413670E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项目联系人（询问）： 郑永强 </w:t>
      </w:r>
    </w:p>
    <w:p w14:paraId="4CF2280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项目联系方式（询问）：0577-89887322、13757727199</w:t>
      </w:r>
    </w:p>
    <w:p w14:paraId="31F62A7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质疑联系人：肖忠文</w:t>
      </w:r>
    </w:p>
    <w:p w14:paraId="6D561367">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质疑联系方式：13757727199 </w:t>
      </w:r>
    </w:p>
    <w:p w14:paraId="3EBE892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3.同级政府采购监督管理部门</w:t>
      </w:r>
    </w:p>
    <w:p w14:paraId="7D7B410E">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名 称：温州市财政局政府采购监管处 </w:t>
      </w:r>
    </w:p>
    <w:p w14:paraId="25B9174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地 址：温州市鹿城区绣山路299号 </w:t>
      </w:r>
    </w:p>
    <w:p w14:paraId="6CF8327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传 真：/ </w:t>
      </w:r>
    </w:p>
    <w:p w14:paraId="13804B2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bookmarkStart w:id="2" w:name="_Toc10401"/>
      <w:bookmarkStart w:id="3" w:name="_Toc5772"/>
      <w:r>
        <w:rPr>
          <w:rFonts w:hint="eastAsia" w:ascii="新宋体" w:hAnsi="新宋体" w:eastAsia="新宋体" w:cs="新宋体"/>
          <w:color w:val="auto"/>
          <w:sz w:val="22"/>
          <w:szCs w:val="22"/>
          <w:highlight w:val="none"/>
          <w:u w:val="none"/>
        </w:rPr>
        <w:t>联系人 ：项先生、缪女士</w:t>
      </w:r>
    </w:p>
    <w:p w14:paraId="503C138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监督投诉电话：0577-88532725、88503817</w:t>
      </w:r>
    </w:p>
    <w:p w14:paraId="62D97B5D">
      <w:pPr>
        <w:rPr>
          <w:rFonts w:hint="eastAsia" w:ascii="新宋体" w:hAnsi="新宋体" w:eastAsia="新宋体" w:cs="新宋体"/>
          <w:color w:val="auto"/>
          <w:highlight w:val="none"/>
        </w:rPr>
      </w:pPr>
      <w:r>
        <w:rPr>
          <w:rFonts w:hint="eastAsia" w:ascii="新宋体" w:hAnsi="新宋体" w:eastAsia="新宋体" w:cs="新宋体"/>
          <w:color w:val="auto"/>
          <w:highlight w:val="none"/>
        </w:rPr>
        <w:br w:type="page"/>
      </w:r>
    </w:p>
    <w:p w14:paraId="101E613B">
      <w:pPr>
        <w:pStyle w:val="4"/>
        <w:rPr>
          <w:rFonts w:hint="eastAsia" w:ascii="新宋体" w:hAnsi="新宋体" w:eastAsia="新宋体" w:cs="新宋体"/>
          <w:color w:val="auto"/>
          <w:highlight w:val="none"/>
        </w:rPr>
      </w:pPr>
      <w:r>
        <w:rPr>
          <w:rFonts w:hint="eastAsia" w:ascii="新宋体" w:hAnsi="新宋体" w:eastAsia="新宋体" w:cs="新宋体"/>
          <w:color w:val="auto"/>
          <w:highlight w:val="none"/>
        </w:rPr>
        <w:t>第一部分</w:t>
      </w:r>
      <w:r>
        <w:rPr>
          <w:rFonts w:hint="eastAsia" w:ascii="新宋体" w:hAnsi="新宋体" w:eastAsia="新宋体" w:cs="新宋体"/>
          <w:color w:val="auto"/>
          <w:highlight w:val="none"/>
          <w:lang w:val="en-US" w:eastAsia="zh-CN"/>
        </w:rPr>
        <w:t xml:space="preserve">   </w:t>
      </w:r>
      <w:r>
        <w:rPr>
          <w:rFonts w:hint="eastAsia" w:ascii="新宋体" w:hAnsi="新宋体" w:eastAsia="新宋体" w:cs="新宋体"/>
          <w:color w:val="auto"/>
          <w:highlight w:val="none"/>
        </w:rPr>
        <w:t>投标人须知</w:t>
      </w:r>
      <w:bookmarkEnd w:id="2"/>
      <w:bookmarkEnd w:id="3"/>
    </w:p>
    <w:p w14:paraId="4F7C9E0C">
      <w:pPr>
        <w:keepNext/>
        <w:keepLines/>
        <w:shd w:val="clear" w:color="auto" w:fill="FFFFFF"/>
        <w:tabs>
          <w:tab w:val="left" w:pos="706"/>
        </w:tabs>
        <w:snapToGrid w:val="0"/>
        <w:spacing w:line="360" w:lineRule="auto"/>
        <w:jc w:val="center"/>
        <w:outlineLvl w:val="1"/>
        <w:rPr>
          <w:rFonts w:hint="eastAsia" w:ascii="新宋体" w:hAnsi="新宋体" w:eastAsia="新宋体" w:cs="新宋体"/>
          <w:b/>
          <w:bCs/>
          <w:color w:val="auto"/>
          <w:sz w:val="24"/>
          <w:highlight w:val="none"/>
        </w:rPr>
      </w:pPr>
      <w:bookmarkStart w:id="4" w:name="_Toc233618971"/>
      <w:bookmarkStart w:id="5" w:name="_Toc33194387"/>
      <w:bookmarkStart w:id="6" w:name="_Toc1839"/>
      <w:bookmarkStart w:id="7" w:name="_Toc6224"/>
      <w:bookmarkStart w:id="8" w:name="_Toc354996695"/>
      <w:r>
        <w:rPr>
          <w:rFonts w:hint="eastAsia" w:ascii="新宋体" w:hAnsi="新宋体" w:eastAsia="新宋体" w:cs="新宋体"/>
          <w:b/>
          <w:bCs/>
          <w:color w:val="auto"/>
          <w:sz w:val="24"/>
          <w:highlight w:val="none"/>
        </w:rPr>
        <w:t>前 附 表</w:t>
      </w:r>
      <w:bookmarkEnd w:id="4"/>
      <w:bookmarkEnd w:id="5"/>
      <w:bookmarkEnd w:id="6"/>
      <w:bookmarkEnd w:id="7"/>
      <w:bookmarkEnd w:id="8"/>
    </w:p>
    <w:tbl>
      <w:tblPr>
        <w:tblStyle w:val="53"/>
        <w:tblW w:w="101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9"/>
        <w:gridCol w:w="9590"/>
      </w:tblGrid>
      <w:tr w14:paraId="13FAF9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8" w:space="0"/>
              <w:left w:val="single" w:color="000000" w:sz="8" w:space="0"/>
              <w:bottom w:val="single" w:color="000000" w:sz="2" w:space="0"/>
              <w:right w:val="single" w:color="000000" w:sz="2" w:space="0"/>
            </w:tcBorders>
            <w:vAlign w:val="center"/>
          </w:tcPr>
          <w:p w14:paraId="3A49AE19">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条款</w:t>
            </w:r>
          </w:p>
        </w:tc>
        <w:tc>
          <w:tcPr>
            <w:tcW w:w="9590" w:type="dxa"/>
            <w:tcBorders>
              <w:top w:val="single" w:color="000000" w:sz="8" w:space="0"/>
              <w:left w:val="single" w:color="000000" w:sz="2" w:space="0"/>
              <w:bottom w:val="single" w:color="000000" w:sz="2" w:space="0"/>
              <w:right w:val="single" w:color="000000" w:sz="8" w:space="0"/>
            </w:tcBorders>
            <w:vAlign w:val="center"/>
          </w:tcPr>
          <w:p w14:paraId="180962BE">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内容规定</w:t>
            </w:r>
          </w:p>
        </w:tc>
      </w:tr>
      <w:tr w14:paraId="62386C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075110B4">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w:t>
            </w:r>
          </w:p>
        </w:tc>
        <w:tc>
          <w:tcPr>
            <w:tcW w:w="9590" w:type="dxa"/>
            <w:tcBorders>
              <w:top w:val="single" w:color="000000" w:sz="2" w:space="0"/>
              <w:left w:val="single" w:color="000000" w:sz="2" w:space="0"/>
              <w:bottom w:val="single" w:color="000000" w:sz="2" w:space="0"/>
              <w:right w:val="single" w:color="000000" w:sz="8" w:space="0"/>
            </w:tcBorders>
          </w:tcPr>
          <w:p w14:paraId="3315A649">
            <w:pPr>
              <w:tabs>
                <w:tab w:val="left" w:pos="3780"/>
              </w:tabs>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一、项目名称</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乙肝试剂（乙肝表面抗原试剂）</w:t>
            </w:r>
          </w:p>
          <w:p w14:paraId="7C8752AC">
            <w:pPr>
              <w:spacing w:line="460" w:lineRule="exact"/>
              <w:rPr>
                <w:rFonts w:hint="eastAsia" w:ascii="新宋体" w:hAnsi="新宋体" w:eastAsia="新宋体" w:cs="新宋体"/>
                <w:b/>
                <w:bCs/>
                <w:color w:val="auto"/>
                <w:sz w:val="22"/>
                <w:szCs w:val="22"/>
                <w:highlight w:val="none"/>
              </w:rPr>
            </w:pPr>
            <w:bookmarkStart w:id="9" w:name="_Hlt75139851"/>
            <w:bookmarkEnd w:id="9"/>
            <w:r>
              <w:rPr>
                <w:rFonts w:hint="eastAsia" w:ascii="新宋体" w:hAnsi="新宋体" w:eastAsia="新宋体" w:cs="新宋体"/>
                <w:b/>
                <w:bCs/>
                <w:color w:val="auto"/>
                <w:sz w:val="22"/>
                <w:szCs w:val="22"/>
                <w:highlight w:val="none"/>
              </w:rPr>
              <w:t>二、采购内容：</w:t>
            </w:r>
          </w:p>
          <w:tbl>
            <w:tblPr>
              <w:tblStyle w:val="53"/>
              <w:tblW w:w="94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
              <w:gridCol w:w="1728"/>
              <w:gridCol w:w="1760"/>
              <w:gridCol w:w="1300"/>
              <w:gridCol w:w="2066"/>
              <w:gridCol w:w="1922"/>
            </w:tblGrid>
            <w:tr w14:paraId="7596D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14:paraId="135B1D94">
                  <w:pPr>
                    <w:tabs>
                      <w:tab w:val="left" w:pos="360"/>
                    </w:tabs>
                    <w:spacing w:line="460" w:lineRule="exact"/>
                    <w:jc w:val="center"/>
                    <w:rPr>
                      <w:rFonts w:hint="eastAsia" w:ascii="新宋体" w:hAnsi="新宋体" w:eastAsia="新宋体" w:cs="新宋体"/>
                      <w:color w:val="auto"/>
                      <w:sz w:val="22"/>
                      <w:szCs w:val="22"/>
                      <w:highlight w:val="none"/>
                      <w:shd w:val="clear" w:color="auto" w:fill="FFFFFF"/>
                    </w:rPr>
                  </w:pPr>
                  <w:r>
                    <w:rPr>
                      <w:rFonts w:hint="eastAsia" w:ascii="新宋体" w:hAnsi="新宋体" w:eastAsia="新宋体" w:cs="新宋体"/>
                      <w:color w:val="auto"/>
                      <w:sz w:val="22"/>
                      <w:szCs w:val="22"/>
                      <w:highlight w:val="none"/>
                    </w:rPr>
                    <w:t>序号</w:t>
                  </w:r>
                </w:p>
              </w:tc>
              <w:tc>
                <w:tcPr>
                  <w:tcW w:w="1728" w:type="dxa"/>
                  <w:tcBorders>
                    <w:top w:val="single" w:color="auto" w:sz="4" w:space="0"/>
                    <w:left w:val="single" w:color="auto" w:sz="4" w:space="0"/>
                    <w:bottom w:val="single" w:color="auto" w:sz="4" w:space="0"/>
                    <w:right w:val="single" w:color="auto" w:sz="4" w:space="0"/>
                  </w:tcBorders>
                  <w:vAlign w:val="center"/>
                </w:tcPr>
                <w:p w14:paraId="584462BA">
                  <w:pPr>
                    <w:tabs>
                      <w:tab w:val="left" w:pos="360"/>
                    </w:tabs>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项目名称</w:t>
                  </w:r>
                </w:p>
              </w:tc>
              <w:tc>
                <w:tcPr>
                  <w:tcW w:w="1760" w:type="dxa"/>
                  <w:tcBorders>
                    <w:top w:val="single" w:color="auto" w:sz="4" w:space="0"/>
                    <w:left w:val="single" w:color="auto" w:sz="4" w:space="0"/>
                    <w:bottom w:val="single" w:color="auto" w:sz="4" w:space="0"/>
                    <w:right w:val="single" w:color="auto" w:sz="4" w:space="0"/>
                  </w:tcBorders>
                  <w:vAlign w:val="center"/>
                </w:tcPr>
                <w:p w14:paraId="0C06A58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color w:val="auto"/>
                      <w:sz w:val="24"/>
                      <w:highlight w:val="none"/>
                    </w:rPr>
                  </w:pPr>
                  <w:r>
                    <w:rPr>
                      <w:rFonts w:hint="eastAsia" w:ascii="新宋体" w:hAnsi="新宋体" w:eastAsia="新宋体" w:cs="新宋体"/>
                      <w:color w:val="auto"/>
                      <w:sz w:val="22"/>
                      <w:szCs w:val="22"/>
                      <w:highlight w:val="none"/>
                    </w:rPr>
                    <w:t>单位</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盒</w:t>
                  </w:r>
                </w:p>
                <w:p w14:paraId="7EFCB6DF">
                  <w:pPr>
                    <w:tabs>
                      <w:tab w:val="left" w:pos="360"/>
                    </w:tabs>
                    <w:spacing w:line="460" w:lineRule="exact"/>
                    <w:jc w:val="center"/>
                    <w:rPr>
                      <w:rFonts w:hint="eastAsia" w:ascii="新宋体" w:hAnsi="新宋体" w:eastAsia="新宋体" w:cs="新宋体"/>
                      <w:color w:val="auto"/>
                      <w:sz w:val="22"/>
                      <w:szCs w:val="22"/>
                      <w:highlight w:val="none"/>
                      <w:shd w:val="clear" w:color="auto" w:fill="FFFFFF"/>
                      <w:lang w:eastAsia="zh-CN"/>
                    </w:rPr>
                  </w:pPr>
                  <w:r>
                    <w:rPr>
                      <w:rFonts w:hint="eastAsia" w:ascii="新宋体" w:hAnsi="新宋体" w:eastAsia="新宋体" w:cs="新宋体"/>
                      <w:bCs/>
                      <w:color w:val="auto"/>
                      <w:sz w:val="22"/>
                      <w:szCs w:val="22"/>
                      <w:highlight w:val="none"/>
                      <w:lang w:val="en-US" w:eastAsia="zh-CN"/>
                    </w:rPr>
                    <w:t>（480人份/盒）</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7AE2A1BF">
                  <w:pPr>
                    <w:tabs>
                      <w:tab w:val="left" w:pos="360"/>
                    </w:tabs>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highlight w:val="none"/>
                    </w:rPr>
                    <w:t>预算金额（元）</w:t>
                  </w:r>
                </w:p>
              </w:tc>
              <w:tc>
                <w:tcPr>
                  <w:tcW w:w="2066" w:type="dxa"/>
                  <w:tcBorders>
                    <w:top w:val="single" w:color="auto" w:sz="4" w:space="0"/>
                    <w:left w:val="single" w:color="auto" w:sz="4" w:space="0"/>
                    <w:bottom w:val="single" w:color="auto" w:sz="4" w:space="0"/>
                    <w:right w:val="single" w:color="auto" w:sz="4" w:space="0"/>
                  </w:tcBorders>
                  <w:vAlign w:val="center"/>
                </w:tcPr>
                <w:p w14:paraId="5AAC1FDD">
                  <w:pPr>
                    <w:widowControl/>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简要技术要求、用途</w:t>
                  </w:r>
                </w:p>
              </w:tc>
              <w:tc>
                <w:tcPr>
                  <w:tcW w:w="1922" w:type="dxa"/>
                  <w:tcBorders>
                    <w:top w:val="single" w:color="auto" w:sz="4" w:space="0"/>
                    <w:left w:val="single" w:color="auto" w:sz="4" w:space="0"/>
                    <w:bottom w:val="single" w:color="auto" w:sz="4" w:space="0"/>
                    <w:right w:val="single" w:color="auto" w:sz="4" w:space="0"/>
                  </w:tcBorders>
                  <w:vAlign w:val="center"/>
                </w:tcPr>
                <w:p w14:paraId="246EFA18">
                  <w:pPr>
                    <w:widowControl/>
                    <w:snapToGrid w:val="0"/>
                    <w:spacing w:line="460" w:lineRule="exact"/>
                    <w:jc w:val="center"/>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备注</w:t>
                  </w:r>
                </w:p>
              </w:tc>
            </w:tr>
            <w:tr w14:paraId="59EECC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664" w:type="dxa"/>
                  <w:tcBorders>
                    <w:top w:val="single" w:color="auto" w:sz="4" w:space="0"/>
                    <w:left w:val="single" w:color="auto" w:sz="4" w:space="0"/>
                    <w:right w:val="single" w:color="auto" w:sz="4" w:space="0"/>
                  </w:tcBorders>
                  <w:vAlign w:val="center"/>
                </w:tcPr>
                <w:p w14:paraId="6C8F509F">
                  <w:pPr>
                    <w:tabs>
                      <w:tab w:val="left" w:pos="360"/>
                    </w:tabs>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728" w:type="dxa"/>
                  <w:tcBorders>
                    <w:top w:val="single" w:color="auto" w:sz="4" w:space="0"/>
                    <w:left w:val="single" w:color="auto" w:sz="4" w:space="0"/>
                    <w:right w:val="single" w:color="auto" w:sz="4" w:space="0"/>
                  </w:tcBorders>
                  <w:vAlign w:val="center"/>
                </w:tcPr>
                <w:p w14:paraId="6BE15BED">
                  <w:pPr>
                    <w:spacing w:line="460" w:lineRule="exact"/>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szCs w:val="22"/>
                      <w:highlight w:val="none"/>
                      <w:lang w:eastAsia="zh-CN"/>
                    </w:rPr>
                    <w:t>乙肝试剂（乙肝表面抗原试剂）</w:t>
                  </w:r>
                </w:p>
              </w:tc>
              <w:tc>
                <w:tcPr>
                  <w:tcW w:w="1760" w:type="dxa"/>
                  <w:tcBorders>
                    <w:top w:val="single" w:color="auto" w:sz="4" w:space="0"/>
                    <w:left w:val="single" w:color="auto" w:sz="4" w:space="0"/>
                    <w:bottom w:val="single" w:color="auto" w:sz="4" w:space="0"/>
                    <w:right w:val="single" w:color="auto" w:sz="4" w:space="0"/>
                  </w:tcBorders>
                  <w:vAlign w:val="center"/>
                </w:tcPr>
                <w:p w14:paraId="594BE104">
                  <w:pPr>
                    <w:tabs>
                      <w:tab w:val="left" w:pos="360"/>
                    </w:tabs>
                    <w:spacing w:line="460" w:lineRule="exact"/>
                    <w:jc w:val="center"/>
                    <w:rPr>
                      <w:rFonts w:hint="eastAsia" w:ascii="新宋体" w:hAnsi="新宋体" w:eastAsia="新宋体" w:cs="新宋体"/>
                      <w:color w:val="auto"/>
                      <w:sz w:val="22"/>
                      <w:szCs w:val="22"/>
                      <w:highlight w:val="none"/>
                      <w:shd w:val="clear" w:color="auto" w:fill="FFFFFF"/>
                      <w:lang w:val="en-US" w:eastAsia="zh-CN"/>
                    </w:rPr>
                  </w:pPr>
                  <w:r>
                    <w:rPr>
                      <w:rFonts w:hint="eastAsia" w:ascii="新宋体" w:hAnsi="新宋体" w:eastAsia="新宋体" w:cs="新宋体"/>
                      <w:color w:val="auto"/>
                      <w:sz w:val="22"/>
                      <w:szCs w:val="22"/>
                      <w:highlight w:val="none"/>
                      <w:shd w:val="clear" w:color="auto" w:fill="FFFFFF"/>
                      <w:lang w:val="en-US" w:eastAsia="zh-CN"/>
                    </w:rPr>
                    <w:t>270</w:t>
                  </w:r>
                  <w:bookmarkStart w:id="67" w:name="_GoBack"/>
                  <w:bookmarkEnd w:id="67"/>
                </w:p>
              </w:tc>
              <w:tc>
                <w:tcPr>
                  <w:tcW w:w="1300" w:type="dxa"/>
                  <w:tcBorders>
                    <w:top w:val="single" w:color="auto" w:sz="4" w:space="0"/>
                    <w:left w:val="single" w:color="auto" w:sz="4" w:space="0"/>
                    <w:right w:val="single" w:color="auto" w:sz="4" w:space="0"/>
                  </w:tcBorders>
                  <w:shd w:val="clear" w:color="auto" w:fill="auto"/>
                  <w:vAlign w:val="center"/>
                </w:tcPr>
                <w:p w14:paraId="2E29DE15">
                  <w:pPr>
                    <w:tabs>
                      <w:tab w:val="left" w:pos="360"/>
                    </w:tabs>
                    <w:spacing w:line="460" w:lineRule="exact"/>
                    <w:jc w:val="center"/>
                    <w:rPr>
                      <w:rFonts w:hint="eastAsia" w:ascii="新宋体" w:hAnsi="新宋体" w:eastAsia="新宋体" w:cs="新宋体"/>
                      <w:color w:val="auto"/>
                      <w:sz w:val="22"/>
                      <w:szCs w:val="22"/>
                      <w:highlight w:val="none"/>
                      <w:shd w:val="clear" w:color="auto" w:fill="FFFFFF"/>
                    </w:rPr>
                  </w:pPr>
                  <w:r>
                    <w:rPr>
                      <w:rFonts w:hint="eastAsia" w:ascii="新宋体" w:hAnsi="新宋体" w:eastAsia="新宋体" w:cs="新宋体"/>
                      <w:color w:val="auto"/>
                      <w:sz w:val="22"/>
                      <w:szCs w:val="22"/>
                      <w:highlight w:val="none"/>
                      <w:lang w:val="en-US" w:eastAsia="zh-CN"/>
                    </w:rPr>
                    <w:t>831600</w:t>
                  </w:r>
                </w:p>
              </w:tc>
              <w:tc>
                <w:tcPr>
                  <w:tcW w:w="2066" w:type="dxa"/>
                  <w:tcBorders>
                    <w:top w:val="single" w:color="auto" w:sz="4" w:space="0"/>
                    <w:left w:val="single" w:color="auto" w:sz="4" w:space="0"/>
                    <w:right w:val="single" w:color="auto" w:sz="4" w:space="0"/>
                  </w:tcBorders>
                  <w:vAlign w:val="center"/>
                </w:tcPr>
                <w:p w14:paraId="30A7B6D6">
                  <w:pPr>
                    <w:tabs>
                      <w:tab w:val="left" w:pos="360"/>
                    </w:tabs>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详见“项目技术规范和服务要求”</w:t>
                  </w:r>
                </w:p>
              </w:tc>
              <w:tc>
                <w:tcPr>
                  <w:tcW w:w="1922" w:type="dxa"/>
                  <w:tcBorders>
                    <w:top w:val="single" w:color="auto" w:sz="4" w:space="0"/>
                    <w:left w:val="single" w:color="auto" w:sz="4" w:space="0"/>
                    <w:right w:val="single" w:color="auto" w:sz="4" w:space="0"/>
                  </w:tcBorders>
                  <w:vAlign w:val="center"/>
                </w:tcPr>
                <w:p w14:paraId="648AAAF5">
                  <w:pPr>
                    <w:tabs>
                      <w:tab w:val="left" w:pos="360"/>
                    </w:tabs>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本项目允许进口产品投标</w:t>
                  </w:r>
                </w:p>
              </w:tc>
            </w:tr>
          </w:tbl>
          <w:p w14:paraId="7B283472">
            <w:pPr>
              <w:tabs>
                <w:tab w:val="left" w:pos="360"/>
              </w:tabs>
              <w:spacing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▲如投标人报价超过预算金额按无效标处理。</w:t>
            </w:r>
          </w:p>
          <w:p w14:paraId="6F19C8C6">
            <w:pPr>
              <w:tabs>
                <w:tab w:val="left" w:pos="360"/>
              </w:tabs>
              <w:spacing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kern w:val="2"/>
                <w:sz w:val="22"/>
                <w:szCs w:val="22"/>
                <w:highlight w:val="none"/>
                <w:lang w:val="en-US" w:eastAsia="zh-CN" w:bidi="ar-SA"/>
              </w:rPr>
              <w:t>三、本项目（是）接受联合体投标，组成的联合体须满足：①出具联合体共同投标协议书（须明确牵头人）；②以联合体形式参加政府采购活动的，联合体各方不得再单独参加或者与其他供应商另外组成联合体参加同一合同项下的政府采购活动。③联合体组成成员（含牵头人）不得超过2家。</w:t>
            </w:r>
          </w:p>
        </w:tc>
      </w:tr>
      <w:tr w14:paraId="54005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552BC6A6">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w:t>
            </w:r>
          </w:p>
        </w:tc>
        <w:tc>
          <w:tcPr>
            <w:tcW w:w="9590" w:type="dxa"/>
            <w:tcBorders>
              <w:top w:val="single" w:color="000000" w:sz="2" w:space="0"/>
              <w:left w:val="single" w:color="000000" w:sz="2" w:space="0"/>
              <w:bottom w:val="single" w:color="000000" w:sz="2" w:space="0"/>
              <w:right w:val="single" w:color="000000" w:sz="8" w:space="0"/>
            </w:tcBorders>
            <w:vAlign w:val="center"/>
          </w:tcPr>
          <w:p w14:paraId="0793A4EF">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zh-CN"/>
              </w:rPr>
              <w:t>投标</w:t>
            </w:r>
            <w:r>
              <w:rPr>
                <w:rFonts w:hint="eastAsia" w:ascii="新宋体" w:hAnsi="新宋体" w:eastAsia="新宋体" w:cs="新宋体"/>
                <w:b/>
                <w:bCs/>
                <w:color w:val="auto"/>
                <w:sz w:val="22"/>
                <w:szCs w:val="22"/>
                <w:highlight w:val="none"/>
              </w:rPr>
              <w:t>有效期：</w:t>
            </w:r>
            <w:r>
              <w:rPr>
                <w:rFonts w:hint="eastAsia" w:ascii="新宋体" w:hAnsi="新宋体" w:eastAsia="新宋体" w:cs="新宋体"/>
                <w:color w:val="auto"/>
                <w:sz w:val="22"/>
                <w:szCs w:val="22"/>
                <w:highlight w:val="none"/>
              </w:rPr>
              <w:t>自投标截止日起</w:t>
            </w:r>
            <w:r>
              <w:rPr>
                <w:rFonts w:hint="eastAsia" w:ascii="新宋体" w:hAnsi="新宋体" w:eastAsia="新宋体" w:cs="新宋体"/>
                <w:color w:val="auto"/>
                <w:sz w:val="22"/>
                <w:szCs w:val="22"/>
                <w:highlight w:val="none"/>
                <w:lang w:eastAsia="zh-CN"/>
              </w:rPr>
              <w:t>90天</w:t>
            </w:r>
            <w:r>
              <w:rPr>
                <w:rFonts w:hint="eastAsia" w:ascii="新宋体" w:hAnsi="新宋体" w:eastAsia="新宋体" w:cs="新宋体"/>
                <w:color w:val="auto"/>
                <w:sz w:val="22"/>
                <w:szCs w:val="22"/>
                <w:highlight w:val="none"/>
              </w:rPr>
              <w:t>。</w:t>
            </w:r>
          </w:p>
        </w:tc>
      </w:tr>
      <w:tr w14:paraId="7074FA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421B211C">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w:t>
            </w:r>
          </w:p>
        </w:tc>
        <w:tc>
          <w:tcPr>
            <w:tcW w:w="9590" w:type="dxa"/>
            <w:tcBorders>
              <w:top w:val="single" w:color="000000" w:sz="2" w:space="0"/>
              <w:left w:val="single" w:color="000000" w:sz="2" w:space="0"/>
              <w:bottom w:val="single" w:color="000000" w:sz="2" w:space="0"/>
              <w:right w:val="single" w:color="000000" w:sz="8" w:space="0"/>
            </w:tcBorders>
            <w:vAlign w:val="center"/>
          </w:tcPr>
          <w:p w14:paraId="3C6FDE55">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投标保证金数额：无</w:t>
            </w:r>
            <w:r>
              <w:rPr>
                <w:rFonts w:hint="eastAsia" w:ascii="新宋体" w:hAnsi="新宋体" w:eastAsia="新宋体" w:cs="新宋体"/>
                <w:color w:val="auto"/>
                <w:sz w:val="22"/>
                <w:szCs w:val="22"/>
                <w:highlight w:val="none"/>
              </w:rPr>
              <w:t>。</w:t>
            </w:r>
          </w:p>
        </w:tc>
      </w:tr>
      <w:tr w14:paraId="06844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1913B136">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w:t>
            </w:r>
          </w:p>
        </w:tc>
        <w:tc>
          <w:tcPr>
            <w:tcW w:w="9590" w:type="dxa"/>
            <w:tcBorders>
              <w:top w:val="single" w:color="000000" w:sz="2" w:space="0"/>
              <w:left w:val="single" w:color="000000" w:sz="2" w:space="0"/>
              <w:bottom w:val="single" w:color="000000" w:sz="2" w:space="0"/>
              <w:right w:val="single" w:color="000000" w:sz="8" w:space="0"/>
            </w:tcBorders>
            <w:vAlign w:val="center"/>
          </w:tcPr>
          <w:p w14:paraId="39B1B4E2">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招标服务费：根据国家计委计价格【2002】1980号《招标代理服务收费管理暂行办法》规定</w:t>
            </w:r>
            <w:r>
              <w:rPr>
                <w:rFonts w:hint="eastAsia" w:ascii="新宋体" w:hAnsi="新宋体" w:eastAsia="新宋体" w:cs="新宋体"/>
                <w:b/>
                <w:bCs/>
                <w:color w:val="auto"/>
                <w:sz w:val="22"/>
                <w:szCs w:val="22"/>
                <w:highlight w:val="none"/>
                <w:lang w:val="en-US" w:eastAsia="zh-CN"/>
              </w:rPr>
              <w:t>标准</w:t>
            </w:r>
            <w:r>
              <w:rPr>
                <w:rFonts w:hint="eastAsia" w:ascii="新宋体" w:hAnsi="新宋体" w:eastAsia="新宋体" w:cs="新宋体"/>
                <w:b/>
                <w:bCs/>
                <w:color w:val="auto"/>
                <w:sz w:val="22"/>
                <w:szCs w:val="22"/>
                <w:highlight w:val="none"/>
              </w:rPr>
              <w:t>收取</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由</w:t>
            </w:r>
            <w:r>
              <w:rPr>
                <w:rFonts w:hint="eastAsia" w:ascii="新宋体" w:hAnsi="新宋体" w:eastAsia="新宋体" w:cs="新宋体"/>
                <w:b/>
                <w:bCs/>
                <w:color w:val="auto"/>
                <w:sz w:val="22"/>
                <w:szCs w:val="22"/>
                <w:highlight w:val="none"/>
                <w:lang w:val="en-US" w:eastAsia="zh-CN"/>
              </w:rPr>
              <w:t>中标人</w:t>
            </w:r>
            <w:r>
              <w:rPr>
                <w:rFonts w:hint="eastAsia" w:ascii="新宋体" w:hAnsi="新宋体" w:eastAsia="新宋体" w:cs="新宋体"/>
                <w:b/>
                <w:bCs/>
                <w:color w:val="auto"/>
                <w:sz w:val="22"/>
                <w:szCs w:val="22"/>
                <w:highlight w:val="none"/>
              </w:rPr>
              <w:t>在领取</w:t>
            </w:r>
            <w:r>
              <w:rPr>
                <w:rFonts w:hint="eastAsia" w:ascii="新宋体" w:hAnsi="新宋体" w:eastAsia="新宋体" w:cs="新宋体"/>
                <w:b/>
                <w:bCs/>
                <w:color w:val="auto"/>
                <w:sz w:val="22"/>
                <w:szCs w:val="22"/>
                <w:highlight w:val="none"/>
                <w:lang w:val="en-US" w:eastAsia="zh-CN"/>
              </w:rPr>
              <w:t>中标</w:t>
            </w:r>
            <w:r>
              <w:rPr>
                <w:rFonts w:hint="eastAsia" w:ascii="新宋体" w:hAnsi="新宋体" w:eastAsia="新宋体" w:cs="新宋体"/>
                <w:b/>
                <w:bCs/>
                <w:color w:val="auto"/>
                <w:sz w:val="22"/>
                <w:szCs w:val="22"/>
                <w:highlight w:val="none"/>
              </w:rPr>
              <w:t>通知书时支付。</w:t>
            </w:r>
          </w:p>
          <w:p w14:paraId="10E5AE40">
            <w:pPr>
              <w:spacing w:line="460" w:lineRule="exact"/>
              <w:ind w:firstLine="539" w:firstLineChars="245"/>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户  名：温州历程招标有限公司</w:t>
            </w:r>
          </w:p>
          <w:p w14:paraId="339F5F21">
            <w:pPr>
              <w:spacing w:line="460" w:lineRule="exact"/>
              <w:ind w:firstLine="539" w:firstLineChars="245"/>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账  号：33050162870409101001</w:t>
            </w:r>
          </w:p>
          <w:p w14:paraId="3D41E648">
            <w:pPr>
              <w:spacing w:line="460" w:lineRule="exact"/>
              <w:ind w:firstLine="539" w:firstLineChars="245"/>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开户行：中国建设银行股份有限公司温州新城支行</w:t>
            </w:r>
          </w:p>
          <w:p w14:paraId="4645DA4D">
            <w:pPr>
              <w:spacing w:line="460" w:lineRule="exact"/>
              <w:ind w:firstLine="539" w:firstLineChars="245"/>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lang w:val="en-US" w:eastAsia="zh-CN"/>
              </w:rPr>
              <w:t>行  号：105333000038</w:t>
            </w:r>
          </w:p>
        </w:tc>
      </w:tr>
      <w:tr w14:paraId="5EA1B2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0B30CC5B">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w:t>
            </w:r>
          </w:p>
        </w:tc>
        <w:tc>
          <w:tcPr>
            <w:tcW w:w="9590" w:type="dxa"/>
            <w:tcBorders>
              <w:top w:val="single" w:color="000000" w:sz="2" w:space="0"/>
              <w:left w:val="single" w:color="000000" w:sz="2" w:space="0"/>
              <w:bottom w:val="single" w:color="000000" w:sz="2" w:space="0"/>
              <w:right w:val="single" w:color="000000" w:sz="8" w:space="0"/>
            </w:tcBorders>
            <w:vAlign w:val="center"/>
          </w:tcPr>
          <w:p w14:paraId="40514DA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投标文件的组成：</w:t>
            </w:r>
            <w:r>
              <w:rPr>
                <w:rFonts w:hint="eastAsia" w:ascii="新宋体" w:hAnsi="新宋体" w:eastAsia="新宋体" w:cs="新宋体"/>
                <w:color w:val="auto"/>
                <w:sz w:val="22"/>
                <w:szCs w:val="22"/>
                <w:highlight w:val="none"/>
              </w:rPr>
              <w:t>完整的《投标文件》由“资格文件”、“报价文件”和“商务技术文件”三个部分组成。</w:t>
            </w:r>
          </w:p>
        </w:tc>
      </w:tr>
      <w:tr w14:paraId="5DD4C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792C80DE">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w:t>
            </w:r>
          </w:p>
        </w:tc>
        <w:tc>
          <w:tcPr>
            <w:tcW w:w="9590" w:type="dxa"/>
            <w:tcBorders>
              <w:top w:val="single" w:color="000000" w:sz="2" w:space="0"/>
              <w:left w:val="single" w:color="000000" w:sz="2" w:space="0"/>
              <w:bottom w:val="single" w:color="000000" w:sz="2" w:space="0"/>
              <w:right w:val="single" w:color="000000" w:sz="8" w:space="0"/>
            </w:tcBorders>
            <w:vAlign w:val="center"/>
          </w:tcPr>
          <w:p w14:paraId="781AEB35">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投标文件的编制：</w:t>
            </w:r>
            <w:r>
              <w:rPr>
                <w:rFonts w:hint="eastAsia" w:ascii="新宋体" w:hAnsi="新宋体" w:eastAsia="新宋体" w:cs="新宋体"/>
                <w:color w:val="auto"/>
                <w:sz w:val="22"/>
                <w:szCs w:val="22"/>
                <w:highlight w:val="none"/>
              </w:rPr>
              <w:t>供应商应先安装“政采云电子交易客户端”，并按照本</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和“政府采购云平台”的要求，通过“政采云电子交易客户端”编制并加密投标文件。</w:t>
            </w:r>
          </w:p>
        </w:tc>
      </w:tr>
      <w:tr w14:paraId="230727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620CB8D6">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7</w:t>
            </w:r>
          </w:p>
        </w:tc>
        <w:tc>
          <w:tcPr>
            <w:tcW w:w="9590" w:type="dxa"/>
            <w:tcBorders>
              <w:top w:val="single" w:color="000000" w:sz="2" w:space="0"/>
              <w:left w:val="single" w:color="000000" w:sz="2" w:space="0"/>
              <w:bottom w:val="single" w:color="000000" w:sz="2" w:space="0"/>
              <w:right w:val="single" w:color="000000" w:sz="8" w:space="0"/>
            </w:tcBorders>
            <w:vAlign w:val="center"/>
          </w:tcPr>
          <w:p w14:paraId="18E6145A">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投标文件的签章：</w:t>
            </w:r>
            <w:r>
              <w:rPr>
                <w:rFonts w:hint="eastAsia" w:ascii="新宋体" w:hAnsi="新宋体" w:eastAsia="新宋体" w:cs="新宋体"/>
                <w:color w:val="auto"/>
                <w:sz w:val="22"/>
                <w:szCs w:val="22"/>
                <w:highlight w:val="none"/>
              </w:rPr>
              <w:t>电子签章。</w:t>
            </w:r>
            <w:r>
              <w:rPr>
                <w:rFonts w:hint="eastAsia" w:ascii="新宋体" w:hAnsi="新宋体" w:eastAsia="新宋体" w:cs="新宋体"/>
                <w:b/>
                <w:bCs/>
                <w:color w:val="auto"/>
                <w:sz w:val="22"/>
                <w:szCs w:val="22"/>
                <w:highlight w:val="none"/>
                <w:lang w:val="en-US" w:eastAsia="zh-CN"/>
              </w:rPr>
              <w:t>如为联合体投标的，采购文件中需联合体所有成员分别填写的格式，联合体成员（除牵头人外）按采购文件格式分别进行编制（格式中要求提供相关证明材料的还需后附相关证明材料），并按格式要求在指定位置根据要求进行签字（或盖章）后将扫描件提交给牵头人（联合体共同投标协议书须签字或盖章的地方须由联合体双方均签字或盖章）。牵头人在完成投标文件编制后扫描上传加密电子投保文件，电子投标文件中所须加盖公章的地方均加盖牵头人的电子签章。</w:t>
            </w:r>
          </w:p>
        </w:tc>
      </w:tr>
      <w:tr w14:paraId="77729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2B8874A6">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w:t>
            </w:r>
          </w:p>
        </w:tc>
        <w:tc>
          <w:tcPr>
            <w:tcW w:w="9590" w:type="dxa"/>
            <w:tcBorders>
              <w:top w:val="single" w:color="000000" w:sz="2" w:space="0"/>
              <w:left w:val="single" w:color="000000" w:sz="2" w:space="0"/>
              <w:bottom w:val="single" w:color="000000" w:sz="2" w:space="0"/>
              <w:right w:val="single" w:color="000000" w:sz="8" w:space="0"/>
            </w:tcBorders>
            <w:vAlign w:val="center"/>
          </w:tcPr>
          <w:p w14:paraId="375EC961">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投标文件的形式：</w:t>
            </w:r>
            <w:r>
              <w:rPr>
                <w:rFonts w:hint="default" w:ascii="Times New Roman" w:hAnsi="Times New Roman" w:eastAsia="新宋体" w:cs="Times New Roman"/>
                <w:color w:val="auto"/>
                <w:sz w:val="22"/>
                <w:szCs w:val="22"/>
                <w:highlight w:val="none"/>
              </w:rPr>
              <w:t>☑</w:t>
            </w:r>
            <w:r>
              <w:rPr>
                <w:rFonts w:hint="eastAsia" w:ascii="新宋体" w:hAnsi="新宋体" w:eastAsia="新宋体" w:cs="新宋体"/>
                <w:color w:val="auto"/>
                <w:sz w:val="22"/>
                <w:szCs w:val="22"/>
                <w:highlight w:val="none"/>
              </w:rPr>
              <w:t>电子投标文件（包括“电子加密投标文件”和“备份投标文件”，在投标文件编制完成后同时生成）；</w:t>
            </w:r>
          </w:p>
          <w:p w14:paraId="442F7925">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（1）“电子加密投标文件”是指通过“政采云电子交易客户端”完成投标文件编制后生成并加密的数据电文形式的投标文件。</w:t>
            </w:r>
          </w:p>
          <w:p w14:paraId="32DE327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（2）“备份投标文件”是指与“电子加密投标文件”同时生成的数据电文形式的电子文件（备份标书），其他方式编制的备份投标文件视为无效备份投标文件。</w:t>
            </w:r>
          </w:p>
        </w:tc>
      </w:tr>
      <w:tr w14:paraId="12C171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48DE6E79">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w:t>
            </w:r>
          </w:p>
        </w:tc>
        <w:tc>
          <w:tcPr>
            <w:tcW w:w="9590" w:type="dxa"/>
            <w:tcBorders>
              <w:top w:val="single" w:color="000000" w:sz="2" w:space="0"/>
              <w:left w:val="single" w:color="000000" w:sz="2" w:space="0"/>
              <w:bottom w:val="single" w:color="000000" w:sz="2" w:space="0"/>
              <w:right w:val="single" w:color="000000" w:sz="8" w:space="0"/>
            </w:tcBorders>
            <w:vAlign w:val="center"/>
          </w:tcPr>
          <w:p w14:paraId="7D34CF6F">
            <w:pPr>
              <w:spacing w:line="460" w:lineRule="exact"/>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投标文件份数：</w:t>
            </w:r>
          </w:p>
          <w:p w14:paraId="6841DA93">
            <w:pPr>
              <w:numPr>
                <w:ilvl w:val="0"/>
                <w:numId w:val="1"/>
              </w:numPr>
              <w:spacing w:line="460" w:lineRule="exact"/>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“电子加密投标文件”：在线上传递交、一份。</w:t>
            </w:r>
          </w:p>
          <w:p w14:paraId="05D3802E">
            <w:pPr>
              <w:numPr>
                <w:ilvl w:val="0"/>
                <w:numId w:val="1"/>
              </w:numPr>
              <w:spacing w:line="460" w:lineRule="exact"/>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“备份投标文件”：密封包装后投标截止时间前递交、一份</w:t>
            </w:r>
          </w:p>
          <w:p w14:paraId="45225F4C">
            <w:pPr>
              <w:spacing w:line="460" w:lineRule="exact"/>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（若不提供备份投标文件，开标当天电子加密投标文件解密失败，投标人自行负责。）</w:t>
            </w:r>
          </w:p>
          <w:p w14:paraId="5450E4EF">
            <w:pPr>
              <w:tabs>
                <w:tab w:val="left" w:pos="360"/>
              </w:tabs>
              <w:spacing w:line="460" w:lineRule="exact"/>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可以（邮寄形式，建议顺丰）在投标截止时间前递交，并需采购代理机构确认是否收到，</w:t>
            </w:r>
          </w:p>
          <w:p w14:paraId="2DCB0A20">
            <w:pPr>
              <w:spacing w:line="460" w:lineRule="exact"/>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邮寄地址：</w:t>
            </w:r>
            <w:r>
              <w:rPr>
                <w:rFonts w:hint="eastAsia" w:ascii="新宋体" w:hAnsi="新宋体" w:eastAsia="新宋体" w:cs="新宋体"/>
                <w:color w:val="auto"/>
                <w:sz w:val="22"/>
                <w:szCs w:val="22"/>
                <w:highlight w:val="none"/>
                <w:lang w:eastAsia="zh-CN"/>
              </w:rPr>
              <w:t>温州市鹿城区勤民路鹿城壹号18幢803室</w:t>
            </w:r>
          </w:p>
          <w:p w14:paraId="2CF43FFE">
            <w:pPr>
              <w:spacing w:line="460" w:lineRule="exact"/>
              <w:rPr>
                <w:rFonts w:hint="eastAsia" w:ascii="新宋体" w:hAnsi="新宋体" w:eastAsia="新宋体" w:cs="新宋体"/>
                <w:color w:val="auto"/>
                <w:highlight w:val="none"/>
                <w:lang w:val="en-US" w:eastAsia="zh-CN"/>
              </w:rPr>
            </w:pPr>
            <w:r>
              <w:rPr>
                <w:rFonts w:hint="eastAsia" w:ascii="新宋体" w:hAnsi="新宋体" w:eastAsia="新宋体" w:cs="新宋体"/>
                <w:color w:val="auto"/>
                <w:sz w:val="22"/>
                <w:szCs w:val="28"/>
                <w:highlight w:val="none"/>
                <w:lang w:val="en-US" w:eastAsia="zh-CN"/>
              </w:rPr>
              <w:t>联系人：肖忠文，联系方式：13757727199</w:t>
            </w:r>
          </w:p>
        </w:tc>
      </w:tr>
      <w:tr w14:paraId="683D17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176C29FB">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w:t>
            </w:r>
          </w:p>
        </w:tc>
        <w:tc>
          <w:tcPr>
            <w:tcW w:w="9590" w:type="dxa"/>
            <w:tcBorders>
              <w:top w:val="single" w:color="000000" w:sz="2" w:space="0"/>
              <w:left w:val="single" w:color="000000" w:sz="2" w:space="0"/>
              <w:bottom w:val="single" w:color="000000" w:sz="2" w:space="0"/>
              <w:right w:val="single" w:color="000000" w:sz="8" w:space="0"/>
            </w:tcBorders>
            <w:vAlign w:val="center"/>
          </w:tcPr>
          <w:p w14:paraId="72A1DF5A">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投标文件的上传和递交：</w:t>
            </w:r>
          </w:p>
          <w:p w14:paraId="7546F86D">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（1）“电子加密投标文件”的上传、递交：</w:t>
            </w:r>
          </w:p>
          <w:p w14:paraId="57E1C800">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a.投标人应在投标截止时间前将“电子加密投标文件”成功上传递交至“政府采购云平台”，否则投标无效。</w:t>
            </w:r>
          </w:p>
          <w:p w14:paraId="78852DA1">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b.“电子加密投标文件”成功上传递交后，供应商可自行打印投标文件接收回执。</w:t>
            </w:r>
          </w:p>
          <w:p w14:paraId="56A4F689">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（2）“备份投标文件”的密封包装、递交：</w:t>
            </w:r>
          </w:p>
          <w:p w14:paraId="5A6DDC7D">
            <w:pPr>
              <w:tabs>
                <w:tab w:val="left" w:pos="360"/>
              </w:tabs>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a.投标人在“政府采购云平台”完成“电子加密投标文件”的上传递交后，</w:t>
            </w:r>
            <w:r>
              <w:rPr>
                <w:rFonts w:hint="eastAsia" w:ascii="新宋体" w:hAnsi="新宋体" w:eastAsia="新宋体" w:cs="新宋体"/>
                <w:b/>
                <w:bCs/>
                <w:color w:val="auto"/>
                <w:sz w:val="22"/>
                <w:szCs w:val="22"/>
                <w:highlight w:val="none"/>
              </w:rPr>
              <w:t>还可以在投标截止时间前递交以介质（U盘）存储的数据电文形式的“备份投标文件”，（可以</w:t>
            </w:r>
            <w:r>
              <w:rPr>
                <w:rFonts w:hint="eastAsia" w:ascii="新宋体" w:hAnsi="新宋体" w:eastAsia="新宋体" w:cs="新宋体"/>
                <w:b/>
                <w:color w:val="auto"/>
                <w:sz w:val="22"/>
                <w:szCs w:val="22"/>
                <w:highlight w:val="none"/>
                <w:u w:val="single"/>
              </w:rPr>
              <w:t>（邮寄形式，建议顺丰）在投标截止时间前递交，并需采购代理机构确认是否收到</w:t>
            </w:r>
            <w:r>
              <w:rPr>
                <w:rFonts w:hint="eastAsia" w:ascii="新宋体" w:hAnsi="新宋体" w:eastAsia="新宋体" w:cs="新宋体"/>
                <w:b/>
                <w:bCs/>
                <w:color w:val="auto"/>
                <w:sz w:val="22"/>
                <w:szCs w:val="22"/>
                <w:highlight w:val="none"/>
              </w:rPr>
              <w:t>）</w:t>
            </w:r>
          </w:p>
          <w:p w14:paraId="43D3D6D5">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b.“备份投标文件”应当密封包装，并在包装上标注投标项目名称、投标人名称并加盖公章。没有密封包装或者逾期（邮寄）送达至投标地点的“备份投标文件”将不予接收；</w:t>
            </w:r>
          </w:p>
          <w:p w14:paraId="08842A71">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p w14:paraId="67DA4C0D">
            <w:pPr>
              <w:spacing w:line="460" w:lineRule="exact"/>
              <w:rPr>
                <w:rFonts w:hint="eastAsia" w:ascii="新宋体" w:hAnsi="新宋体" w:eastAsia="新宋体" w:cs="新宋体"/>
                <w:color w:val="auto"/>
                <w:sz w:val="22"/>
                <w:szCs w:val="22"/>
                <w:highlight w:val="none"/>
                <w:lang w:val="en-US"/>
              </w:rPr>
            </w:pPr>
            <w:r>
              <w:rPr>
                <w:rFonts w:hint="eastAsia" w:ascii="新宋体" w:hAnsi="新宋体" w:eastAsia="新宋体" w:cs="新宋体"/>
                <w:color w:val="auto"/>
                <w:sz w:val="22"/>
                <w:szCs w:val="22"/>
                <w:highlight w:val="none"/>
                <w:lang w:val="en-US" w:eastAsia="zh-CN"/>
              </w:rPr>
              <w:t>d.供应商（联合体投标的，须由牵头人制作并递交电子加密投标文件）通过“政采云电子投标客户端”完成投标文件编制。</w:t>
            </w:r>
          </w:p>
        </w:tc>
      </w:tr>
      <w:tr w14:paraId="7070DF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12DFAD81">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11</w:t>
            </w:r>
          </w:p>
        </w:tc>
        <w:tc>
          <w:tcPr>
            <w:tcW w:w="9590" w:type="dxa"/>
            <w:tcBorders>
              <w:top w:val="single" w:color="000000" w:sz="2" w:space="0"/>
              <w:left w:val="single" w:color="000000" w:sz="2" w:space="0"/>
              <w:bottom w:val="single" w:color="000000" w:sz="2" w:space="0"/>
              <w:right w:val="single" w:color="000000" w:sz="8" w:space="0"/>
            </w:tcBorders>
            <w:vAlign w:val="center"/>
          </w:tcPr>
          <w:p w14:paraId="0C81E69D">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电子加密投标文件的解密和异常情况处理：</w:t>
            </w:r>
          </w:p>
          <w:p w14:paraId="069A111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（1）开标后，采购组织机构将向各投标人发出“电子加密投标文件”的解密通知，各投标人代表应当在接到解密通知后在系统规定的时间自行完成“电子加密投标文件”的在线解密。</w:t>
            </w:r>
          </w:p>
          <w:p w14:paraId="5C6598A0">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7BFE7AE0">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（3）投标截止时间前，投标人仅递交了“备份投标文件”而未将电子加密投标文件上传至“政府采购云平台”的，投标无效。</w:t>
            </w:r>
          </w:p>
        </w:tc>
      </w:tr>
      <w:tr w14:paraId="495B5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449A3D62">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w:t>
            </w:r>
          </w:p>
        </w:tc>
        <w:tc>
          <w:tcPr>
            <w:tcW w:w="9590" w:type="dxa"/>
            <w:tcBorders>
              <w:top w:val="single" w:color="000000" w:sz="2" w:space="0"/>
              <w:left w:val="single" w:color="000000" w:sz="2" w:space="0"/>
              <w:bottom w:val="single" w:color="000000" w:sz="2" w:space="0"/>
              <w:right w:val="single" w:color="000000" w:sz="8" w:space="0"/>
            </w:tcBorders>
            <w:vAlign w:val="center"/>
          </w:tcPr>
          <w:p w14:paraId="0D31EFAE">
            <w:pPr>
              <w:widowControl/>
              <w:snapToGrid w:val="0"/>
              <w:spacing w:line="460" w:lineRule="exact"/>
              <w:jc w:val="lef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提交投标文件截止时间：</w:t>
            </w:r>
            <w:r>
              <w:rPr>
                <w:rFonts w:hint="eastAsia" w:ascii="新宋体" w:hAnsi="新宋体" w:eastAsia="新宋体" w:cs="新宋体"/>
                <w:b w:val="0"/>
                <w:bCs w:val="0"/>
                <w:color w:val="auto"/>
                <w:sz w:val="22"/>
                <w:szCs w:val="22"/>
                <w:highlight w:val="none"/>
                <w:lang w:val="en-US" w:eastAsia="zh-CN"/>
              </w:rPr>
              <w:t>详见公告</w:t>
            </w:r>
            <w:r>
              <w:rPr>
                <w:rFonts w:hint="eastAsia" w:ascii="新宋体" w:hAnsi="新宋体" w:eastAsia="新宋体" w:cs="新宋体"/>
                <w:color w:val="auto"/>
                <w:sz w:val="22"/>
                <w:szCs w:val="22"/>
                <w:highlight w:val="none"/>
                <w:lang w:eastAsia="zh-CN"/>
              </w:rPr>
              <w:t> </w:t>
            </w:r>
          </w:p>
          <w:p w14:paraId="08E46D54">
            <w:pPr>
              <w:widowControl/>
              <w:snapToGrid w:val="0"/>
              <w:spacing w:line="460" w:lineRule="exact"/>
              <w:jc w:val="left"/>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投标地点（网址）：</w:t>
            </w:r>
            <w:r>
              <w:rPr>
                <w:rFonts w:hint="eastAsia" w:ascii="新宋体" w:hAnsi="新宋体" w:eastAsia="新宋体" w:cs="新宋体"/>
                <w:b w:val="0"/>
                <w:bCs w:val="0"/>
                <w:color w:val="auto"/>
                <w:sz w:val="22"/>
                <w:szCs w:val="22"/>
                <w:highlight w:val="none"/>
                <w:lang w:val="en-US" w:eastAsia="zh-CN"/>
              </w:rPr>
              <w:t>详见公告</w:t>
            </w:r>
          </w:p>
        </w:tc>
      </w:tr>
      <w:tr w14:paraId="0BA4B7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auto" w:sz="4" w:space="0"/>
              <w:right w:val="single" w:color="000000" w:sz="2" w:space="0"/>
            </w:tcBorders>
            <w:vAlign w:val="center"/>
          </w:tcPr>
          <w:p w14:paraId="097ED822">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13</w:t>
            </w:r>
          </w:p>
        </w:tc>
        <w:tc>
          <w:tcPr>
            <w:tcW w:w="9590" w:type="dxa"/>
            <w:tcBorders>
              <w:top w:val="single" w:color="000000" w:sz="2" w:space="0"/>
              <w:left w:val="single" w:color="000000" w:sz="2" w:space="0"/>
              <w:bottom w:val="single" w:color="auto" w:sz="4" w:space="0"/>
              <w:right w:val="single" w:color="000000" w:sz="8" w:space="0"/>
            </w:tcBorders>
            <w:vAlign w:val="center"/>
          </w:tcPr>
          <w:p w14:paraId="7A088764">
            <w:pPr>
              <w:widowControl/>
              <w:snapToGrid w:val="0"/>
              <w:spacing w:line="460" w:lineRule="exact"/>
              <w:jc w:val="lef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开标时间：</w:t>
            </w:r>
            <w:r>
              <w:rPr>
                <w:rFonts w:hint="eastAsia" w:ascii="新宋体" w:hAnsi="新宋体" w:eastAsia="新宋体" w:cs="新宋体"/>
                <w:b w:val="0"/>
                <w:bCs w:val="0"/>
                <w:color w:val="auto"/>
                <w:sz w:val="22"/>
                <w:szCs w:val="22"/>
                <w:highlight w:val="none"/>
                <w:lang w:val="en-US" w:eastAsia="zh-CN"/>
              </w:rPr>
              <w:t>详见公告</w:t>
            </w:r>
          </w:p>
          <w:p w14:paraId="7F1EADFF">
            <w:pPr>
              <w:widowControl/>
              <w:snapToGrid w:val="0"/>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开标地点（网址）：</w:t>
            </w:r>
            <w:r>
              <w:rPr>
                <w:rFonts w:hint="eastAsia" w:ascii="新宋体" w:hAnsi="新宋体" w:eastAsia="新宋体" w:cs="新宋体"/>
                <w:b w:val="0"/>
                <w:bCs w:val="0"/>
                <w:color w:val="auto"/>
                <w:sz w:val="22"/>
                <w:szCs w:val="22"/>
                <w:highlight w:val="none"/>
                <w:lang w:val="en-US" w:eastAsia="zh-CN"/>
              </w:rPr>
              <w:t>详见公告</w:t>
            </w:r>
          </w:p>
        </w:tc>
      </w:tr>
      <w:tr w14:paraId="5EDA91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auto" w:sz="4" w:space="0"/>
              <w:right w:val="single" w:color="000000" w:sz="2" w:space="0"/>
            </w:tcBorders>
            <w:vAlign w:val="center"/>
          </w:tcPr>
          <w:p w14:paraId="5334AA5E">
            <w:pPr>
              <w:snapToGrid w:val="0"/>
              <w:spacing w:line="460" w:lineRule="exact"/>
              <w:jc w:val="center"/>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14</w:t>
            </w:r>
          </w:p>
        </w:tc>
        <w:tc>
          <w:tcPr>
            <w:tcW w:w="9590" w:type="dxa"/>
            <w:tcBorders>
              <w:top w:val="single" w:color="000000" w:sz="2" w:space="0"/>
              <w:left w:val="single" w:color="000000" w:sz="2" w:space="0"/>
              <w:bottom w:val="single" w:color="auto" w:sz="4" w:space="0"/>
              <w:right w:val="single" w:color="000000" w:sz="8" w:space="0"/>
            </w:tcBorders>
            <w:vAlign w:val="center"/>
          </w:tcPr>
          <w:p w14:paraId="60384A1B">
            <w:pPr>
              <w:widowControl/>
              <w:snapToGrid w:val="0"/>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评审地点：</w:t>
            </w:r>
            <w:r>
              <w:rPr>
                <w:rFonts w:hint="eastAsia" w:ascii="新宋体" w:hAnsi="新宋体" w:eastAsia="新宋体" w:cs="新宋体"/>
                <w:color w:val="auto"/>
                <w:sz w:val="22"/>
                <w:szCs w:val="22"/>
                <w:highlight w:val="none"/>
                <w:u w:val="none"/>
                <w:lang w:eastAsia="zh-CN"/>
              </w:rPr>
              <w:t>温州市鹿城区勤民路鹿城壹号18幢803室</w:t>
            </w:r>
            <w:r>
              <w:rPr>
                <w:rFonts w:hint="eastAsia" w:ascii="新宋体" w:hAnsi="新宋体" w:eastAsia="新宋体" w:cs="新宋体"/>
                <w:color w:val="auto"/>
                <w:sz w:val="22"/>
                <w:highlight w:val="none"/>
              </w:rPr>
              <w:t>（政采云平台：http</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//zfcg.czt.zj.gov.cn）</w:t>
            </w:r>
          </w:p>
        </w:tc>
      </w:tr>
      <w:tr w14:paraId="6B61D7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auto" w:sz="4" w:space="0"/>
              <w:left w:val="single" w:color="000000" w:sz="8" w:space="0"/>
              <w:bottom w:val="single" w:color="auto" w:sz="4" w:space="0"/>
              <w:right w:val="single" w:color="000000" w:sz="2" w:space="0"/>
            </w:tcBorders>
            <w:vAlign w:val="center"/>
          </w:tcPr>
          <w:p w14:paraId="09B87624">
            <w:pPr>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5</w:t>
            </w:r>
          </w:p>
        </w:tc>
        <w:tc>
          <w:tcPr>
            <w:tcW w:w="9590" w:type="dxa"/>
            <w:tcBorders>
              <w:top w:val="single" w:color="auto" w:sz="4" w:space="0"/>
              <w:left w:val="single" w:color="000000" w:sz="2" w:space="0"/>
              <w:bottom w:val="single" w:color="auto" w:sz="4" w:space="0"/>
              <w:right w:val="single" w:color="000000" w:sz="8" w:space="0"/>
            </w:tcBorders>
            <w:vAlign w:val="center"/>
          </w:tcPr>
          <w:p w14:paraId="7343448E">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带“▲”条款系指实质性要求条款。“★”是关键技术参数及要求。</w:t>
            </w:r>
          </w:p>
        </w:tc>
      </w:tr>
      <w:tr w14:paraId="09BA5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auto" w:sz="4" w:space="0"/>
              <w:left w:val="single" w:color="000000" w:sz="8" w:space="0"/>
              <w:bottom w:val="single" w:color="auto" w:sz="4" w:space="0"/>
              <w:right w:val="single" w:color="000000" w:sz="2" w:space="0"/>
            </w:tcBorders>
            <w:vAlign w:val="center"/>
          </w:tcPr>
          <w:p w14:paraId="13B6593B">
            <w:pPr>
              <w:widowControl/>
              <w:snapToGrid w:val="0"/>
              <w:spacing w:line="460" w:lineRule="exact"/>
              <w:jc w:val="center"/>
              <w:textAlignment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kern w:val="0"/>
                <w:sz w:val="22"/>
                <w:szCs w:val="22"/>
                <w:highlight w:val="none"/>
              </w:rPr>
              <w:t>1</w:t>
            </w:r>
            <w:r>
              <w:rPr>
                <w:rFonts w:hint="eastAsia" w:ascii="新宋体" w:hAnsi="新宋体" w:eastAsia="新宋体" w:cs="新宋体"/>
                <w:b/>
                <w:bCs/>
                <w:color w:val="auto"/>
                <w:kern w:val="0"/>
                <w:sz w:val="22"/>
                <w:szCs w:val="22"/>
                <w:highlight w:val="none"/>
                <w:lang w:val="en-US" w:eastAsia="zh-CN"/>
              </w:rPr>
              <w:t>6</w:t>
            </w:r>
          </w:p>
        </w:tc>
        <w:tc>
          <w:tcPr>
            <w:tcW w:w="9590" w:type="dxa"/>
            <w:tcBorders>
              <w:top w:val="single" w:color="auto" w:sz="4" w:space="0"/>
              <w:left w:val="single" w:color="000000" w:sz="2" w:space="0"/>
              <w:bottom w:val="single" w:color="auto" w:sz="4" w:space="0"/>
              <w:right w:val="single" w:color="000000" w:sz="8" w:space="0"/>
            </w:tcBorders>
            <w:vAlign w:val="center"/>
          </w:tcPr>
          <w:p w14:paraId="5F8D3E84">
            <w:pPr>
              <w:widowControl/>
              <w:snapToGrid w:val="0"/>
              <w:spacing w:line="460" w:lineRule="exact"/>
              <w:jc w:val="lef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//jinrong.zcygov.cn，查看信用融资政策文件及各相关银行服务方案，也可直接向各银行咨询相关业务。</w:t>
            </w:r>
          </w:p>
        </w:tc>
      </w:tr>
      <w:tr w14:paraId="4565DA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7096C746">
            <w:pPr>
              <w:widowControl/>
              <w:snapToGrid w:val="0"/>
              <w:spacing w:line="460" w:lineRule="exact"/>
              <w:jc w:val="center"/>
              <w:textAlignment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kern w:val="0"/>
                <w:sz w:val="22"/>
                <w:szCs w:val="22"/>
                <w:highlight w:val="none"/>
              </w:rPr>
              <w:t>1</w:t>
            </w:r>
            <w:r>
              <w:rPr>
                <w:rFonts w:hint="eastAsia" w:ascii="新宋体" w:hAnsi="新宋体" w:eastAsia="新宋体" w:cs="新宋体"/>
                <w:b/>
                <w:bCs/>
                <w:color w:val="auto"/>
                <w:kern w:val="0"/>
                <w:sz w:val="22"/>
                <w:szCs w:val="22"/>
                <w:highlight w:val="none"/>
                <w:lang w:val="en-US" w:eastAsia="zh-CN"/>
              </w:rPr>
              <w:t>7</w:t>
            </w:r>
          </w:p>
        </w:tc>
        <w:tc>
          <w:tcPr>
            <w:tcW w:w="9590" w:type="dxa"/>
            <w:tcBorders>
              <w:top w:val="single" w:color="000000" w:sz="2" w:space="0"/>
              <w:left w:val="single" w:color="000000" w:sz="2" w:space="0"/>
              <w:bottom w:val="single" w:color="000000" w:sz="2" w:space="0"/>
              <w:right w:val="single" w:color="000000" w:sz="8" w:space="0"/>
            </w:tcBorders>
            <w:vAlign w:val="center"/>
          </w:tcPr>
          <w:p w14:paraId="20323AB4">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10"/>
                <w:sz w:val="22"/>
                <w:szCs w:val="22"/>
                <w:highlight w:val="none"/>
              </w:rPr>
              <w:t>潜在供应商需在浙江政府采购网http</w:t>
            </w:r>
            <w:r>
              <w:rPr>
                <w:rFonts w:hint="eastAsia" w:ascii="新宋体" w:hAnsi="新宋体" w:eastAsia="新宋体" w:cs="新宋体"/>
                <w:b/>
                <w:color w:val="auto"/>
                <w:kern w:val="10"/>
                <w:sz w:val="22"/>
                <w:szCs w:val="22"/>
                <w:highlight w:val="none"/>
                <w:lang w:eastAsia="zh-CN"/>
              </w:rPr>
              <w:t>：</w:t>
            </w:r>
            <w:r>
              <w:rPr>
                <w:rFonts w:hint="eastAsia" w:ascii="新宋体" w:hAnsi="新宋体" w:eastAsia="新宋体" w:cs="新宋体"/>
                <w:b/>
                <w:color w:val="auto"/>
                <w:kern w:val="10"/>
                <w:sz w:val="22"/>
                <w:szCs w:val="22"/>
                <w:highlight w:val="none"/>
              </w:rPr>
              <w:t>//zfcg.czt.zj.gov.cn/进行免费注册，具体详见浙江政府采购网供应商注册要求。</w:t>
            </w:r>
          </w:p>
        </w:tc>
      </w:tr>
      <w:tr w14:paraId="0C853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46951914">
            <w:pPr>
              <w:widowControl/>
              <w:snapToGrid w:val="0"/>
              <w:spacing w:line="460" w:lineRule="exact"/>
              <w:jc w:val="center"/>
              <w:textAlignment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kern w:val="0"/>
                <w:sz w:val="22"/>
                <w:szCs w:val="22"/>
                <w:highlight w:val="none"/>
              </w:rPr>
              <w:t>1</w:t>
            </w:r>
            <w:r>
              <w:rPr>
                <w:rFonts w:hint="eastAsia" w:ascii="新宋体" w:hAnsi="新宋体" w:eastAsia="新宋体" w:cs="新宋体"/>
                <w:b/>
                <w:bCs/>
                <w:color w:val="auto"/>
                <w:kern w:val="0"/>
                <w:sz w:val="22"/>
                <w:szCs w:val="22"/>
                <w:highlight w:val="none"/>
                <w:lang w:val="en-US" w:eastAsia="zh-CN"/>
              </w:rPr>
              <w:t>8</w:t>
            </w:r>
          </w:p>
        </w:tc>
        <w:tc>
          <w:tcPr>
            <w:tcW w:w="9590" w:type="dxa"/>
            <w:tcBorders>
              <w:top w:val="single" w:color="000000" w:sz="2" w:space="0"/>
              <w:left w:val="single" w:color="000000" w:sz="2" w:space="0"/>
              <w:bottom w:val="single" w:color="000000" w:sz="2" w:space="0"/>
              <w:right w:val="single" w:color="000000" w:sz="8" w:space="0"/>
            </w:tcBorders>
            <w:vAlign w:val="center"/>
          </w:tcPr>
          <w:p w14:paraId="24162712">
            <w:pPr>
              <w:adjustRightInd w:val="0"/>
              <w:snapToGrid w:val="0"/>
              <w:spacing w:line="460" w:lineRule="exact"/>
              <w:ind w:firstLine="442" w:firstLineChars="200"/>
              <w:rPr>
                <w:rFonts w:hint="eastAsia" w:ascii="新宋体" w:hAnsi="新宋体" w:eastAsia="新宋体" w:cs="新宋体"/>
                <w:b/>
                <w:bCs/>
                <w:color w:val="auto"/>
                <w:sz w:val="22"/>
                <w:szCs w:val="28"/>
                <w:highlight w:val="none"/>
              </w:rPr>
            </w:pPr>
            <w:r>
              <w:rPr>
                <w:rFonts w:hint="eastAsia" w:ascii="新宋体" w:hAnsi="新宋体" w:eastAsia="新宋体" w:cs="新宋体"/>
                <w:b/>
                <w:bCs/>
                <w:color w:val="auto"/>
                <w:sz w:val="22"/>
                <w:szCs w:val="28"/>
                <w:highlight w:val="none"/>
              </w:rPr>
              <w:t>1、扶持中小企业（监狱企业、残疾人福利性单位）：</w:t>
            </w:r>
          </w:p>
          <w:p w14:paraId="6F524B86">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4F2B1BB5">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（1）项目预算：</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 xml:space="preserve">831600 </w:t>
            </w:r>
            <w:r>
              <w:rPr>
                <w:rFonts w:hint="eastAsia" w:ascii="新宋体" w:hAnsi="新宋体" w:eastAsia="新宋体" w:cs="新宋体"/>
                <w:color w:val="auto"/>
                <w:sz w:val="22"/>
                <w:szCs w:val="28"/>
                <w:highlight w:val="none"/>
              </w:rPr>
              <w:t>元</w:t>
            </w:r>
          </w:p>
          <w:p w14:paraId="2494139B">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（2）项目属性：</w:t>
            </w:r>
            <w:r>
              <w:rPr>
                <w:rFonts w:hint="eastAsia" w:ascii="新宋体" w:hAnsi="新宋体" w:eastAsia="新宋体" w:cs="新宋体"/>
                <w:color w:val="auto"/>
                <w:sz w:val="22"/>
                <w:szCs w:val="28"/>
                <w:highlight w:val="none"/>
                <w:u w:val="single"/>
              </w:rPr>
              <w:t xml:space="preserve"> ①货物类 </w:t>
            </w:r>
            <w:r>
              <w:rPr>
                <w:rFonts w:hint="eastAsia" w:ascii="新宋体" w:hAnsi="新宋体" w:eastAsia="新宋体" w:cs="新宋体"/>
                <w:color w:val="auto"/>
                <w:sz w:val="22"/>
                <w:szCs w:val="28"/>
                <w:highlight w:val="none"/>
              </w:rPr>
              <w:t xml:space="preserve"> （①货物类/②服务类/③工程类）</w:t>
            </w:r>
          </w:p>
          <w:p w14:paraId="20642BAF">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（3）项目对应的中小企业划分标准所属行业：</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 xml:space="preserve"> 工业 </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（具体根据《中小企业划型标准规定》执行）</w:t>
            </w:r>
          </w:p>
          <w:p w14:paraId="515CC687">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2DEFDA69">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（4）本项目</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否</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属于预留份额专门面向中小企业采购的项目。</w:t>
            </w:r>
          </w:p>
          <w:p w14:paraId="440C027E">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（5）上述第4项中确定为“是”的采购项目，预留份额通过（</w:t>
            </w:r>
            <w:r>
              <w:rPr>
                <w:rFonts w:hint="eastAsia" w:ascii="新宋体" w:hAnsi="新宋体" w:eastAsia="新宋体" w:cs="新宋体"/>
                <w:color w:val="auto"/>
                <w:sz w:val="22"/>
                <w:szCs w:val="28"/>
                <w:highlight w:val="none"/>
                <w:lang w:val="en-US" w:eastAsia="zh-CN"/>
              </w:rPr>
              <w:t xml:space="preserve">  </w:t>
            </w:r>
            <w:r>
              <w:rPr>
                <w:rFonts w:hint="eastAsia" w:ascii="新宋体" w:hAnsi="新宋体" w:eastAsia="新宋体" w:cs="新宋体"/>
                <w:color w:val="auto"/>
                <w:sz w:val="22"/>
                <w:szCs w:val="28"/>
                <w:highlight w:val="none"/>
              </w:rPr>
              <w:t>）措施进行：</w:t>
            </w:r>
          </w:p>
          <w:p w14:paraId="7E733F6C">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①将采购项目整体或者设置采购包专门面向中小企业采购； </w:t>
            </w:r>
          </w:p>
          <w:p w14:paraId="6F5EB5D0">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②要求供应商以联合体形式参加采购活动，且联合体中中小企业承担的部分达到</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 xml:space="preserve"> </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比例</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 xml:space="preserve">； </w:t>
            </w:r>
          </w:p>
          <w:p w14:paraId="5D01E654">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③要求获得采购合同的供应商将采购项目中的 </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比例</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分包给一家或者多家中小企业。</w:t>
            </w:r>
          </w:p>
          <w:p w14:paraId="563EA7DE">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（6）对于经主管预算单位统筹后未预留份额专门面向中小企业采购的采购项目，以及预留份额项目中的非预留部分采购包，请贵单位明确对符合本办法规定的小微企业报价给予</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10%</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kern w:val="0"/>
                <w:sz w:val="22"/>
                <w:szCs w:val="22"/>
                <w:highlight w:val="none"/>
              </w:rPr>
              <w:t>（10%—20%）（工程项目为 3%—5%）</w:t>
            </w:r>
            <w:r>
              <w:rPr>
                <w:rFonts w:hint="eastAsia" w:ascii="新宋体" w:hAnsi="新宋体" w:eastAsia="新宋体" w:cs="新宋体"/>
                <w:color w:val="auto"/>
                <w:sz w:val="22"/>
                <w:szCs w:val="28"/>
                <w:highlight w:val="none"/>
              </w:rPr>
              <w:t xml:space="preserve">的扣除，用扣除后的价格参加评审。 </w:t>
            </w:r>
          </w:p>
          <w:p w14:paraId="37A83716">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single"/>
                <w:lang w:val="en-US" w:eastAsia="zh-CN"/>
              </w:rPr>
              <w:t xml:space="preserve"> 4%</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（4%-6%）</w:t>
            </w:r>
            <w:r>
              <w:rPr>
                <w:rFonts w:hint="eastAsia" w:ascii="新宋体" w:hAnsi="新宋体" w:eastAsia="新宋体" w:cs="新宋体"/>
                <w:color w:val="auto"/>
                <w:sz w:val="22"/>
                <w:szCs w:val="28"/>
                <w:highlight w:val="none"/>
              </w:rPr>
              <w:t>（工程项目为2%）的扣除，用扣除后的价格参加评审。</w:t>
            </w:r>
          </w:p>
          <w:p w14:paraId="146F9ED6">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专门面向中小企业采购的项目或者标项，不再执行价格评审优惠的扶持政策。</w:t>
            </w:r>
          </w:p>
          <w:p w14:paraId="231CC40D">
            <w:pPr>
              <w:widowControl/>
              <w:snapToGrid w:val="0"/>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2、节能产品、环境标志产品的强制采购政策</w:t>
            </w:r>
          </w:p>
          <w:p w14:paraId="6C9EE263">
            <w:pPr>
              <w:widowControl/>
              <w:snapToGrid w:val="0"/>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w:t>
            </w:r>
            <w:r>
              <w:rPr>
                <w:rFonts w:hint="eastAsia" w:ascii="新宋体" w:hAnsi="新宋体" w:eastAsia="新宋体" w:cs="新宋体"/>
                <w:color w:val="auto"/>
                <w:kern w:val="0"/>
                <w:sz w:val="22"/>
                <w:szCs w:val="22"/>
                <w:highlight w:val="none"/>
                <w:lang w:eastAsia="zh-CN"/>
              </w:rPr>
              <w:t>采购人</w:t>
            </w:r>
            <w:r>
              <w:rPr>
                <w:rFonts w:hint="eastAsia" w:ascii="新宋体" w:hAnsi="新宋体" w:eastAsia="新宋体" w:cs="新宋体"/>
                <w:color w:val="auto"/>
                <w:kern w:val="0"/>
                <w:sz w:val="22"/>
                <w:szCs w:val="22"/>
                <w:highlight w:val="none"/>
              </w:rPr>
              <w:t>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14:paraId="6FBCE6D5">
            <w:pPr>
              <w:widowControl/>
              <w:snapToGrid w:val="0"/>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3、节能产品、环境标志产品的优先采购政策</w:t>
            </w:r>
          </w:p>
          <w:p w14:paraId="70E2C5BC">
            <w:pPr>
              <w:widowControl/>
              <w:snapToGrid w:val="0"/>
              <w:spacing w:line="460" w:lineRule="exact"/>
              <w:ind w:firstLine="440" w:firstLineChars="200"/>
              <w:jc w:val="left"/>
              <w:rPr>
                <w:rFonts w:hint="eastAsia" w:ascii="新宋体" w:hAnsi="新宋体" w:eastAsia="新宋体" w:cs="新宋体"/>
                <w:b/>
                <w:color w:val="auto"/>
                <w:kern w:val="1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w:t>
            </w:r>
            <w:r>
              <w:rPr>
                <w:rFonts w:hint="eastAsia" w:ascii="新宋体" w:hAnsi="新宋体" w:eastAsia="新宋体" w:cs="新宋体"/>
                <w:color w:val="auto"/>
                <w:kern w:val="0"/>
                <w:sz w:val="22"/>
                <w:szCs w:val="22"/>
                <w:highlight w:val="none"/>
                <w:lang w:eastAsia="zh-CN"/>
              </w:rPr>
              <w:t>采购人</w:t>
            </w:r>
            <w:r>
              <w:rPr>
                <w:rFonts w:hint="eastAsia" w:ascii="新宋体" w:hAnsi="新宋体" w:eastAsia="新宋体" w:cs="新宋体"/>
                <w:color w:val="auto"/>
                <w:kern w:val="0"/>
                <w:sz w:val="22"/>
                <w:szCs w:val="22"/>
                <w:highlight w:val="none"/>
              </w:rPr>
              <w:t>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526EC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77B75F1A">
            <w:pPr>
              <w:widowControl/>
              <w:snapToGrid w:val="0"/>
              <w:spacing w:line="460" w:lineRule="exact"/>
              <w:jc w:val="center"/>
              <w:textAlignment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kern w:val="0"/>
                <w:sz w:val="22"/>
                <w:szCs w:val="22"/>
                <w:highlight w:val="none"/>
              </w:rPr>
              <w:t>1</w:t>
            </w:r>
            <w:r>
              <w:rPr>
                <w:rFonts w:hint="eastAsia" w:ascii="新宋体" w:hAnsi="新宋体" w:eastAsia="新宋体" w:cs="新宋体"/>
                <w:b/>
                <w:bCs/>
                <w:color w:val="auto"/>
                <w:kern w:val="0"/>
                <w:sz w:val="22"/>
                <w:szCs w:val="22"/>
                <w:highlight w:val="none"/>
                <w:lang w:val="en-US" w:eastAsia="zh-CN"/>
              </w:rPr>
              <w:t>9</w:t>
            </w:r>
          </w:p>
        </w:tc>
        <w:tc>
          <w:tcPr>
            <w:tcW w:w="9590" w:type="dxa"/>
            <w:tcBorders>
              <w:top w:val="single" w:color="000000" w:sz="2" w:space="0"/>
              <w:left w:val="single" w:color="000000" w:sz="2" w:space="0"/>
              <w:bottom w:val="single" w:color="000000" w:sz="2" w:space="0"/>
              <w:right w:val="single" w:color="000000" w:sz="8" w:space="0"/>
            </w:tcBorders>
            <w:vAlign w:val="center"/>
          </w:tcPr>
          <w:p w14:paraId="732FC637">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根据《关于在政府采购活动中查询及使用信用记录有关问题的通知》财库[2016]125号的规定：</w:t>
            </w:r>
          </w:p>
          <w:p w14:paraId="1C6E576E">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或采购代理机构将对本项目供应商的信用记录进行查询。查询渠道为信用中国网站（www.creditchina.gov.cn）、中国政府采购网（www.ccgp.gov.cn）；</w:t>
            </w:r>
          </w:p>
          <w:p w14:paraId="6A325C88">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（2）截止时点：提交投标文件（响应文件）截止时间前3年内；</w:t>
            </w:r>
          </w:p>
          <w:p w14:paraId="63350B83">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（3）查询记录和证据的留存：信用信息查询记录和证据以网页截图等方式留存。</w:t>
            </w:r>
          </w:p>
          <w:p w14:paraId="656329CF">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78BB596A">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（5）联合体成员任意一方存在不良信用记录的，视同联合体存在不良信用记录。</w:t>
            </w:r>
          </w:p>
          <w:p w14:paraId="79ED3958">
            <w:pPr>
              <w:snapToGrid w:val="0"/>
              <w:spacing w:line="460" w:lineRule="exact"/>
              <w:ind w:left="105" w:leftChars="50"/>
              <w:rPr>
                <w:rFonts w:hint="eastAsia" w:ascii="新宋体" w:hAnsi="新宋体" w:eastAsia="新宋体" w:cs="新宋体"/>
                <w:color w:val="auto"/>
                <w:highlight w:val="none"/>
              </w:rPr>
            </w:pPr>
            <w:r>
              <w:rPr>
                <w:rFonts w:hint="eastAsia" w:ascii="新宋体" w:hAnsi="新宋体" w:eastAsia="新宋体" w:cs="新宋体"/>
                <w:b/>
                <w:bCs/>
                <w:color w:val="auto"/>
                <w:sz w:val="22"/>
                <w:szCs w:val="22"/>
                <w:highlight w:val="none"/>
                <w:u w:val="single"/>
              </w:rPr>
              <w:t>联合体投标时，对所有联合体成员进行信用记录查询，联合体成员存在不良信用记录的，视同联合体存在不良信用记录。</w:t>
            </w:r>
          </w:p>
        </w:tc>
      </w:tr>
    </w:tbl>
    <w:p w14:paraId="2F13CC1D">
      <w:pPr>
        <w:rPr>
          <w:rFonts w:hint="eastAsia" w:ascii="新宋体" w:hAnsi="新宋体" w:eastAsia="新宋体" w:cs="新宋体"/>
          <w:b/>
          <w:bCs/>
          <w:color w:val="auto"/>
          <w:sz w:val="26"/>
          <w:szCs w:val="26"/>
          <w:highlight w:val="none"/>
        </w:rPr>
      </w:pPr>
      <w:r>
        <w:rPr>
          <w:rFonts w:hint="eastAsia" w:ascii="新宋体" w:hAnsi="新宋体" w:eastAsia="新宋体" w:cs="新宋体"/>
          <w:b/>
          <w:bCs/>
          <w:color w:val="auto"/>
          <w:sz w:val="26"/>
          <w:szCs w:val="26"/>
          <w:highlight w:val="none"/>
        </w:rPr>
        <w:br w:type="page"/>
      </w:r>
    </w:p>
    <w:p w14:paraId="21481E1D">
      <w:pPr>
        <w:spacing w:before="100" w:beforeAutospacing="1" w:after="100" w:afterAutospacing="1" w:line="460" w:lineRule="exact"/>
        <w:jc w:val="center"/>
        <w:outlineLvl w:val="1"/>
        <w:rPr>
          <w:rFonts w:hint="eastAsia" w:ascii="新宋体" w:hAnsi="新宋体" w:eastAsia="新宋体" w:cs="新宋体"/>
          <w:b/>
          <w:bCs/>
          <w:color w:val="auto"/>
          <w:sz w:val="32"/>
          <w:szCs w:val="32"/>
          <w:highlight w:val="none"/>
        </w:rPr>
      </w:pPr>
      <w:bookmarkStart w:id="10" w:name="_Toc20846"/>
      <w:bookmarkStart w:id="11" w:name="_Toc19070"/>
      <w:r>
        <w:rPr>
          <w:rFonts w:hint="eastAsia" w:ascii="新宋体" w:hAnsi="新宋体" w:eastAsia="新宋体" w:cs="新宋体"/>
          <w:b/>
          <w:bCs/>
          <w:color w:val="auto"/>
          <w:sz w:val="26"/>
          <w:szCs w:val="26"/>
          <w:highlight w:val="none"/>
        </w:rPr>
        <w:t>一、 说   明</w:t>
      </w:r>
      <w:bookmarkEnd w:id="10"/>
      <w:bookmarkEnd w:id="11"/>
    </w:p>
    <w:p w14:paraId="03EB28D5">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14:paraId="02C947B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2、定义</w:t>
      </w:r>
    </w:p>
    <w:p w14:paraId="1ED91471">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lang w:eastAsia="zh-CN"/>
        </w:rPr>
      </w:pP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：是指依法进行政府采购的国家机关、事业单位、团体组织</w:t>
      </w:r>
      <w:r>
        <w:rPr>
          <w:rFonts w:hint="eastAsia" w:ascii="新宋体" w:hAnsi="新宋体" w:eastAsia="新宋体" w:cs="新宋体"/>
          <w:color w:val="auto"/>
          <w:sz w:val="22"/>
          <w:highlight w:val="none"/>
          <w:lang w:eastAsia="zh-CN"/>
        </w:rPr>
        <w:t>；</w:t>
      </w:r>
    </w:p>
    <w:p w14:paraId="69CBA591">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：受</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委托，在委托的范围内办理政府采购事宜的机构；</w:t>
      </w:r>
    </w:p>
    <w:p w14:paraId="75D661A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投标人：是指参加本政府采购项目投标的供应商；</w:t>
      </w:r>
    </w:p>
    <w:p w14:paraId="504F47F9">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投标人代表：是指参加本项目投标活动的供应商法定代表人或法定代表人授权代表；</w:t>
      </w:r>
    </w:p>
    <w:p w14:paraId="0E5D2FB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投标联合体：是指两个以上供应商组成联合体，以一个供应商的身份参加投标；</w:t>
      </w:r>
    </w:p>
    <w:p w14:paraId="3E57F24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甲方：是指合同签订的一方，一般与</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、用户相同；</w:t>
      </w:r>
    </w:p>
    <w:p w14:paraId="5140DCA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乙方：是指合同签订的另一方，与中标人相同；</w:t>
      </w:r>
    </w:p>
    <w:p w14:paraId="2B37EA85">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制造商：是指拥有投标产品自主知识产权的单位；</w:t>
      </w:r>
    </w:p>
    <w:p w14:paraId="43414A3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其不利的评定，一切后果由供应商自行承担。</w:t>
      </w:r>
    </w:p>
    <w:p w14:paraId="42E583C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带“▲”条款系指实质性要求条款。“★”是关键技术参数及要求。</w:t>
      </w:r>
    </w:p>
    <w:p w14:paraId="4396B826">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3、投标人代表</w:t>
      </w:r>
    </w:p>
    <w:p w14:paraId="009F55A7">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highlight w:val="none"/>
        </w:rPr>
      </w:pPr>
      <w:r>
        <w:rPr>
          <w:rFonts w:hint="eastAsia" w:ascii="新宋体" w:hAnsi="新宋体" w:eastAsia="新宋体" w:cs="新宋体"/>
          <w:b/>
          <w:color w:val="auto"/>
          <w:sz w:val="22"/>
          <w:szCs w:val="22"/>
          <w:highlight w:val="none"/>
        </w:rPr>
        <w:t>3.1</w:t>
      </w:r>
      <w:r>
        <w:rPr>
          <w:rFonts w:hint="eastAsia" w:ascii="新宋体" w:hAnsi="新宋体" w:eastAsia="新宋体" w:cs="新宋体"/>
          <w:b/>
          <w:color w:val="auto"/>
          <w:sz w:val="22"/>
          <w:highlight w:val="none"/>
        </w:rPr>
        <w:t>指全权代表投标人参加投标活动并签署投标文件的人。如果投标人代表不是法定代表人，须持有《法定代表人授权书》（见附件）</w:t>
      </w:r>
    </w:p>
    <w:p w14:paraId="1F1DE851">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根据政府采购相关法律、法规、规章、文件规定并满足</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规定资格条件的区域性分支机构、个体工商户、个人独资企业、合伙企业参加本项目投标并由单位负责人签署的相关投标资料与本</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规定由法定代表人签署的的文件材料具有同等效力</w:t>
      </w:r>
      <w:r>
        <w:rPr>
          <w:rFonts w:hint="eastAsia" w:ascii="新宋体" w:hAnsi="新宋体" w:eastAsia="新宋体" w:cs="新宋体"/>
          <w:b/>
          <w:color w:val="auto"/>
          <w:sz w:val="22"/>
          <w:szCs w:val="22"/>
          <w:highlight w:val="none"/>
        </w:rPr>
        <w:t>。</w:t>
      </w:r>
    </w:p>
    <w:p w14:paraId="5FAE003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4、投标费用</w:t>
      </w:r>
    </w:p>
    <w:p w14:paraId="090E244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4.1</w:t>
      </w:r>
      <w:r>
        <w:rPr>
          <w:rFonts w:hint="eastAsia" w:ascii="新宋体" w:hAnsi="新宋体" w:eastAsia="新宋体" w:cs="新宋体"/>
          <w:color w:val="auto"/>
          <w:sz w:val="22"/>
          <w:szCs w:val="22"/>
          <w:highlight w:val="none"/>
        </w:rPr>
        <w:t>投标人应承担所有与准备和参加投标有关费用，不论投标的结果如何，</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或</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均无义务和责任承担这些费用。</w:t>
      </w:r>
    </w:p>
    <w:p w14:paraId="4698EE52">
      <w:pPr>
        <w:spacing w:before="100" w:beforeAutospacing="1" w:after="100" w:afterAutospacing="1" w:line="460" w:lineRule="exact"/>
        <w:jc w:val="center"/>
        <w:outlineLvl w:val="1"/>
        <w:rPr>
          <w:rFonts w:hint="eastAsia" w:ascii="新宋体" w:hAnsi="新宋体" w:eastAsia="新宋体" w:cs="新宋体"/>
          <w:b/>
          <w:bCs/>
          <w:color w:val="auto"/>
          <w:sz w:val="26"/>
          <w:szCs w:val="26"/>
          <w:highlight w:val="none"/>
          <w:lang w:eastAsia="zh-CN"/>
        </w:rPr>
      </w:pPr>
      <w:bookmarkStart w:id="12" w:name="_Toc9899"/>
      <w:bookmarkStart w:id="13" w:name="_Toc28278"/>
      <w:r>
        <w:rPr>
          <w:rFonts w:hint="eastAsia" w:ascii="新宋体" w:hAnsi="新宋体" w:eastAsia="新宋体" w:cs="新宋体"/>
          <w:b/>
          <w:bCs/>
          <w:color w:val="auto"/>
          <w:sz w:val="26"/>
          <w:szCs w:val="26"/>
          <w:highlight w:val="none"/>
        </w:rPr>
        <w:t xml:space="preserve">二、 </w:t>
      </w:r>
      <w:bookmarkEnd w:id="12"/>
      <w:bookmarkEnd w:id="13"/>
      <w:r>
        <w:rPr>
          <w:rFonts w:hint="eastAsia" w:ascii="新宋体" w:hAnsi="新宋体" w:eastAsia="新宋体" w:cs="新宋体"/>
          <w:b/>
          <w:bCs/>
          <w:color w:val="auto"/>
          <w:sz w:val="26"/>
          <w:szCs w:val="26"/>
          <w:highlight w:val="none"/>
          <w:lang w:eastAsia="zh-CN"/>
        </w:rPr>
        <w:t>采购文件</w:t>
      </w:r>
    </w:p>
    <w:p w14:paraId="740E81E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由</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目录所列内容及相关资料组成。</w:t>
      </w:r>
    </w:p>
    <w:p w14:paraId="2EBC7AD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2、</w:t>
      </w:r>
      <w:r>
        <w:rPr>
          <w:rFonts w:hint="eastAsia" w:ascii="新宋体" w:hAnsi="新宋体" w:eastAsia="新宋体" w:cs="新宋体"/>
          <w:b/>
          <w:color w:val="auto"/>
          <w:sz w:val="22"/>
          <w:highlight w:val="none"/>
          <w:lang w:eastAsia="zh-CN"/>
        </w:rPr>
        <w:t>采购文件</w:t>
      </w:r>
      <w:r>
        <w:rPr>
          <w:rFonts w:hint="eastAsia" w:ascii="新宋体" w:hAnsi="新宋体" w:eastAsia="新宋体" w:cs="新宋体"/>
          <w:b/>
          <w:color w:val="auto"/>
          <w:sz w:val="22"/>
          <w:highlight w:val="none"/>
        </w:rPr>
        <w:t>的澄清</w:t>
      </w:r>
    </w:p>
    <w:p w14:paraId="666AED1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2.1任何要求对</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进行澄清的投标人，均应以书面形式（信函、传真，下同）通知，但该通知在知道或应知道其权益受到损害之日起七个工作日内以使</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收到，</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将以书面形式予以答复。如果</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澄清期内未收到有关澄清要求，视为投标人完全同意</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所有条款，且对于</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有关表述以及未尽事宜如有异议，以</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解释为准。</w:t>
      </w:r>
    </w:p>
    <w:p w14:paraId="01916358">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3、</w:t>
      </w:r>
      <w:r>
        <w:rPr>
          <w:rFonts w:hint="eastAsia" w:ascii="新宋体" w:hAnsi="新宋体" w:eastAsia="新宋体" w:cs="新宋体"/>
          <w:b/>
          <w:color w:val="auto"/>
          <w:sz w:val="22"/>
          <w:highlight w:val="none"/>
          <w:lang w:eastAsia="zh-CN"/>
        </w:rPr>
        <w:t>采购文件</w:t>
      </w:r>
      <w:r>
        <w:rPr>
          <w:rFonts w:hint="eastAsia" w:ascii="新宋体" w:hAnsi="新宋体" w:eastAsia="新宋体" w:cs="新宋体"/>
          <w:b/>
          <w:color w:val="auto"/>
          <w:sz w:val="22"/>
          <w:highlight w:val="none"/>
        </w:rPr>
        <w:t>的修改</w:t>
      </w:r>
    </w:p>
    <w:p w14:paraId="373FF30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3.1</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对已发出的</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进行必要的澄清或者修改的，应当在</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要求递交投标文件截止时间十五日前，在财政部门指定的政府采购信息发布媒体上发布更正公告，该澄清或修改内容为</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的组成部分。</w:t>
      </w:r>
    </w:p>
    <w:p w14:paraId="07207B05">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3.2</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可以视采购的具体情况决定是否延长投标截止时间和开标时间，并在</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要求递交投标文件的截止时间前，在财政部门指定的政府采购信息发布媒体上发布变更公告。</w:t>
      </w:r>
    </w:p>
    <w:p w14:paraId="4738ACF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lang w:val="en-US" w:eastAsia="zh-CN"/>
        </w:rPr>
        <w:t>注：</w:t>
      </w:r>
      <w:r>
        <w:rPr>
          <w:rFonts w:hint="eastAsia" w:ascii="新宋体" w:hAnsi="新宋体" w:eastAsia="新宋体" w:cs="新宋体"/>
          <w:color w:val="auto"/>
          <w:sz w:val="22"/>
          <w:highlight w:val="none"/>
        </w:rPr>
        <w:t>潜在投标人应自行关注网站公告，</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不再一一通知。投标人因自身贻误行为导致投标失败的，责任自负。</w:t>
      </w:r>
    </w:p>
    <w:p w14:paraId="1527400F">
      <w:pPr>
        <w:spacing w:before="100" w:beforeAutospacing="1" w:after="100" w:afterAutospacing="1" w:line="460" w:lineRule="exact"/>
        <w:jc w:val="center"/>
        <w:outlineLvl w:val="1"/>
        <w:rPr>
          <w:rFonts w:hint="eastAsia" w:ascii="新宋体" w:hAnsi="新宋体" w:eastAsia="新宋体" w:cs="新宋体"/>
          <w:b/>
          <w:bCs/>
          <w:color w:val="auto"/>
          <w:sz w:val="26"/>
          <w:szCs w:val="26"/>
          <w:highlight w:val="none"/>
        </w:rPr>
      </w:pPr>
      <w:bookmarkStart w:id="14" w:name="_Toc22646"/>
      <w:bookmarkStart w:id="15" w:name="_Toc12726"/>
      <w:r>
        <w:rPr>
          <w:rFonts w:hint="eastAsia" w:ascii="新宋体" w:hAnsi="新宋体" w:eastAsia="新宋体" w:cs="新宋体"/>
          <w:b/>
          <w:bCs/>
          <w:color w:val="auto"/>
          <w:sz w:val="26"/>
          <w:szCs w:val="26"/>
          <w:highlight w:val="none"/>
        </w:rPr>
        <w:t>三、 投标文件的编制</w:t>
      </w:r>
      <w:bookmarkEnd w:id="14"/>
      <w:bookmarkEnd w:id="15"/>
    </w:p>
    <w:p w14:paraId="46E68F0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1、投标人应认真阅读</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中所有事项、格式、条款和技术规范等。</w:t>
      </w:r>
      <w:r>
        <w:rPr>
          <w:rFonts w:hint="eastAsia" w:ascii="新宋体" w:hAnsi="新宋体" w:eastAsia="新宋体" w:cs="新宋体"/>
          <w:b/>
          <w:color w:val="auto"/>
          <w:sz w:val="22"/>
          <w:highlight w:val="none"/>
        </w:rPr>
        <w:t>投标人没有按照</w:t>
      </w:r>
      <w:r>
        <w:rPr>
          <w:rFonts w:hint="eastAsia" w:ascii="新宋体" w:hAnsi="新宋体" w:eastAsia="新宋体" w:cs="新宋体"/>
          <w:b/>
          <w:color w:val="auto"/>
          <w:sz w:val="22"/>
          <w:highlight w:val="none"/>
          <w:lang w:eastAsia="zh-CN"/>
        </w:rPr>
        <w:t>采购文件</w:t>
      </w:r>
      <w:r>
        <w:rPr>
          <w:rFonts w:hint="eastAsia" w:ascii="新宋体" w:hAnsi="新宋体" w:eastAsia="新宋体" w:cs="新宋体"/>
          <w:b/>
          <w:color w:val="auto"/>
          <w:sz w:val="22"/>
          <w:highlight w:val="none"/>
        </w:rPr>
        <w:t>要求提交全部资料，或者没有对</w:t>
      </w:r>
      <w:r>
        <w:rPr>
          <w:rFonts w:hint="eastAsia" w:ascii="新宋体" w:hAnsi="新宋体" w:eastAsia="新宋体" w:cs="新宋体"/>
          <w:b/>
          <w:color w:val="auto"/>
          <w:sz w:val="22"/>
          <w:highlight w:val="none"/>
          <w:lang w:eastAsia="zh-CN"/>
        </w:rPr>
        <w:t>采购文件</w:t>
      </w:r>
      <w:r>
        <w:rPr>
          <w:rFonts w:hint="eastAsia" w:ascii="新宋体" w:hAnsi="新宋体" w:eastAsia="新宋体" w:cs="新宋体"/>
          <w:b/>
          <w:color w:val="auto"/>
          <w:sz w:val="22"/>
          <w:highlight w:val="none"/>
        </w:rPr>
        <w:t>各个方面做出实质性响应，导致投标被否决的风险由投标人自行承担。</w:t>
      </w:r>
    </w:p>
    <w:p w14:paraId="223E4BC6">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2、投标人应保证所提供文件资料的真实性，所有文件资料必须是针对本次投标的。如发现投标人提供了虚假文件资料，其投标将被否决，并自行承担相应的法律责任。</w:t>
      </w:r>
    </w:p>
    <w:p w14:paraId="27C5C15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w:t>
      </w:r>
      <w:r>
        <w:rPr>
          <w:rFonts w:hint="eastAsia" w:ascii="新宋体" w:hAnsi="新宋体" w:eastAsia="新宋体" w:cs="新宋体"/>
          <w:b/>
          <w:bCs/>
          <w:color w:val="auto"/>
          <w:sz w:val="22"/>
          <w:szCs w:val="22"/>
          <w:highlight w:val="none"/>
        </w:rPr>
        <w:t>投标文件的构成：</w:t>
      </w:r>
    </w:p>
    <w:p w14:paraId="748D1C08">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投标</w:t>
      </w:r>
      <w:r>
        <w:rPr>
          <w:rFonts w:hint="eastAsia" w:ascii="新宋体" w:hAnsi="新宋体" w:eastAsia="新宋体" w:cs="新宋体"/>
          <w:b/>
          <w:bCs/>
          <w:color w:val="auto"/>
          <w:kern w:val="0"/>
          <w:sz w:val="22"/>
          <w:szCs w:val="22"/>
          <w:highlight w:val="none"/>
          <w:lang w:val="zh-CN"/>
        </w:rPr>
        <w:t>文件应当包括以下主要内容：资格文件、报价文件、商务技术文件。</w:t>
      </w:r>
    </w:p>
    <w:p w14:paraId="57C8B217">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rPr>
        <w:t>3.1</w:t>
      </w:r>
      <w:r>
        <w:rPr>
          <w:rFonts w:hint="eastAsia" w:ascii="新宋体" w:hAnsi="新宋体" w:eastAsia="新宋体" w:cs="新宋体"/>
          <w:b/>
          <w:bCs/>
          <w:color w:val="auto"/>
          <w:kern w:val="0"/>
          <w:sz w:val="22"/>
          <w:szCs w:val="22"/>
          <w:highlight w:val="none"/>
          <w:lang w:val="zh-CN"/>
        </w:rPr>
        <w:t xml:space="preserve">投标人的资格文件至少应包括以下内容： </w:t>
      </w:r>
    </w:p>
    <w:p w14:paraId="042A973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kern w:val="0"/>
          <w:sz w:val="22"/>
          <w:szCs w:val="22"/>
          <w:highlight w:val="none"/>
          <w:u w:val="single"/>
          <w:lang w:val="zh-CN"/>
        </w:rPr>
        <w:t>基本资格条件审查材料：即证明供应商参加本次采购活动前3年内满足《中华人民共和国政府采购法》的有关资格证明文件。</w:t>
      </w:r>
      <w:r>
        <w:rPr>
          <w:rFonts w:hint="eastAsia" w:ascii="新宋体" w:hAnsi="新宋体" w:eastAsia="新宋体" w:cs="新宋体"/>
          <w:color w:val="auto"/>
          <w:sz w:val="22"/>
          <w:szCs w:val="22"/>
          <w:highlight w:val="none"/>
          <w:u w:val="single"/>
        </w:rPr>
        <w:t>包括：</w:t>
      </w:r>
    </w:p>
    <w:p w14:paraId="02C17A49">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u w:val="single"/>
          <w:lang w:val="zh-CN"/>
        </w:rPr>
      </w:pPr>
      <w:r>
        <w:rPr>
          <w:rFonts w:hint="eastAsia" w:ascii="新宋体" w:hAnsi="新宋体" w:eastAsia="新宋体" w:cs="新宋体"/>
          <w:color w:val="auto"/>
          <w:kern w:val="0"/>
          <w:sz w:val="22"/>
          <w:szCs w:val="22"/>
          <w:highlight w:val="none"/>
          <w:u w:val="single"/>
          <w:lang w:val="zh-CN"/>
        </w:rPr>
        <w:t>（</w:t>
      </w:r>
      <w:r>
        <w:rPr>
          <w:rFonts w:hint="eastAsia" w:ascii="新宋体" w:hAnsi="新宋体" w:eastAsia="新宋体" w:cs="新宋体"/>
          <w:color w:val="auto"/>
          <w:kern w:val="0"/>
          <w:sz w:val="22"/>
          <w:szCs w:val="22"/>
          <w:highlight w:val="none"/>
          <w:u w:val="single"/>
        </w:rPr>
        <w:t>1</w:t>
      </w:r>
      <w:r>
        <w:rPr>
          <w:rFonts w:hint="eastAsia" w:ascii="新宋体" w:hAnsi="新宋体" w:eastAsia="新宋体" w:cs="新宋体"/>
          <w:color w:val="auto"/>
          <w:kern w:val="0"/>
          <w:sz w:val="22"/>
          <w:szCs w:val="22"/>
          <w:highlight w:val="none"/>
          <w:u w:val="single"/>
          <w:lang w:val="zh-CN"/>
        </w:rPr>
        <w:t>）资格条件承诺函；</w:t>
      </w:r>
      <w:r>
        <w:rPr>
          <w:rFonts w:hint="eastAsia" w:ascii="新宋体" w:hAnsi="新宋体" w:eastAsia="新宋体" w:cs="新宋体"/>
          <w:b/>
          <w:bCs/>
          <w:color w:val="auto"/>
          <w:sz w:val="22"/>
          <w:szCs w:val="22"/>
          <w:highlight w:val="none"/>
          <w:u w:val="single"/>
        </w:rPr>
        <w:t>（如为联合体投标，联合体各方均需提供</w:t>
      </w:r>
      <w:r>
        <w:rPr>
          <w:rFonts w:hint="eastAsia" w:ascii="新宋体" w:hAnsi="新宋体" w:eastAsia="新宋体" w:cs="新宋体"/>
          <w:b/>
          <w:bCs/>
          <w:color w:val="auto"/>
          <w:sz w:val="22"/>
          <w:szCs w:val="22"/>
          <w:highlight w:val="none"/>
          <w:u w:val="single"/>
          <w:lang w:eastAsia="zh-CN"/>
        </w:rPr>
        <w:t>）</w:t>
      </w:r>
    </w:p>
    <w:p w14:paraId="6541C70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u w:val="single"/>
          <w:lang w:val="zh-CN"/>
        </w:rPr>
      </w:pPr>
      <w:r>
        <w:rPr>
          <w:rFonts w:hint="eastAsia" w:ascii="新宋体" w:hAnsi="新宋体" w:eastAsia="新宋体" w:cs="新宋体"/>
          <w:color w:val="auto"/>
          <w:kern w:val="0"/>
          <w:sz w:val="22"/>
          <w:szCs w:val="22"/>
          <w:highlight w:val="none"/>
          <w:u w:val="single"/>
          <w:lang w:val="zh-CN"/>
        </w:rPr>
        <w:t>（</w:t>
      </w:r>
      <w:r>
        <w:rPr>
          <w:rFonts w:hint="eastAsia" w:ascii="新宋体" w:hAnsi="新宋体" w:eastAsia="新宋体" w:cs="新宋体"/>
          <w:color w:val="auto"/>
          <w:kern w:val="0"/>
          <w:sz w:val="22"/>
          <w:szCs w:val="22"/>
          <w:highlight w:val="none"/>
          <w:u w:val="single"/>
        </w:rPr>
        <w:t>2</w:t>
      </w:r>
      <w:r>
        <w:rPr>
          <w:rFonts w:hint="eastAsia" w:ascii="新宋体" w:hAnsi="新宋体" w:eastAsia="新宋体" w:cs="新宋体"/>
          <w:color w:val="auto"/>
          <w:kern w:val="0"/>
          <w:sz w:val="22"/>
          <w:szCs w:val="22"/>
          <w:highlight w:val="none"/>
          <w:u w:val="single"/>
          <w:lang w:val="zh-CN"/>
        </w:rPr>
        <w:t xml:space="preserve">）营业执照（或事业法人登记证书或其它工商等登记证明材料；自然人参与政府采购，提供身份证）复印件； </w:t>
      </w:r>
      <w:r>
        <w:rPr>
          <w:rFonts w:hint="eastAsia" w:ascii="新宋体" w:hAnsi="新宋体" w:eastAsia="新宋体" w:cs="新宋体"/>
          <w:b/>
          <w:bCs/>
          <w:color w:val="auto"/>
          <w:sz w:val="22"/>
          <w:szCs w:val="22"/>
          <w:highlight w:val="none"/>
          <w:u w:val="single"/>
        </w:rPr>
        <w:t>（如为联合体投标，联合体各方均需提供</w:t>
      </w:r>
      <w:r>
        <w:rPr>
          <w:rFonts w:hint="eastAsia" w:ascii="新宋体" w:hAnsi="新宋体" w:eastAsia="新宋体" w:cs="新宋体"/>
          <w:b/>
          <w:bCs/>
          <w:color w:val="auto"/>
          <w:sz w:val="22"/>
          <w:szCs w:val="22"/>
          <w:highlight w:val="none"/>
          <w:u w:val="single"/>
          <w:lang w:eastAsia="zh-CN"/>
        </w:rPr>
        <w:t>）</w:t>
      </w:r>
    </w:p>
    <w:p w14:paraId="753E128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u w:val="single"/>
          <w:lang w:val="zh-CN"/>
        </w:rPr>
      </w:pPr>
      <w:r>
        <w:rPr>
          <w:rFonts w:hint="eastAsia" w:ascii="新宋体" w:hAnsi="新宋体" w:eastAsia="新宋体" w:cs="新宋体"/>
          <w:color w:val="auto"/>
          <w:kern w:val="0"/>
          <w:sz w:val="22"/>
          <w:szCs w:val="22"/>
          <w:highlight w:val="none"/>
          <w:u w:val="single"/>
          <w:lang w:val="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6E67328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u w:val="single"/>
          <w:lang w:val="zh-CN"/>
        </w:rPr>
      </w:pPr>
      <w:r>
        <w:rPr>
          <w:rFonts w:hint="eastAsia" w:ascii="新宋体" w:hAnsi="新宋体" w:eastAsia="新宋体" w:cs="新宋体"/>
          <w:color w:val="auto"/>
          <w:kern w:val="0"/>
          <w:sz w:val="22"/>
          <w:szCs w:val="22"/>
          <w:highlight w:val="none"/>
          <w:u w:val="single"/>
        </w:rPr>
        <w:t>（3）投标人信用查询；</w:t>
      </w:r>
      <w:r>
        <w:rPr>
          <w:rFonts w:hint="eastAsia" w:ascii="新宋体" w:hAnsi="新宋体" w:eastAsia="新宋体" w:cs="新宋体"/>
          <w:b/>
          <w:bCs/>
          <w:color w:val="auto"/>
          <w:sz w:val="22"/>
          <w:szCs w:val="22"/>
          <w:highlight w:val="none"/>
          <w:u w:val="single"/>
        </w:rPr>
        <w:t>（如为联合体投标，联合体各方均需提供</w:t>
      </w:r>
      <w:r>
        <w:rPr>
          <w:rFonts w:hint="eastAsia" w:ascii="新宋体" w:hAnsi="新宋体" w:eastAsia="新宋体" w:cs="新宋体"/>
          <w:b/>
          <w:bCs/>
          <w:color w:val="auto"/>
          <w:sz w:val="22"/>
          <w:szCs w:val="22"/>
          <w:highlight w:val="none"/>
          <w:u w:val="single"/>
          <w:lang w:eastAsia="zh-CN"/>
        </w:rPr>
        <w:t>）</w:t>
      </w:r>
    </w:p>
    <w:p w14:paraId="5479C83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bCs/>
          <w:color w:val="auto"/>
          <w:sz w:val="22"/>
          <w:szCs w:val="22"/>
          <w:highlight w:val="none"/>
          <w:u w:val="single"/>
          <w:lang w:eastAsia="zh-CN"/>
        </w:rPr>
      </w:pPr>
      <w:r>
        <w:rPr>
          <w:rFonts w:hint="eastAsia" w:ascii="新宋体" w:hAnsi="新宋体" w:eastAsia="新宋体" w:cs="新宋体"/>
          <w:color w:val="auto"/>
          <w:kern w:val="0"/>
          <w:sz w:val="22"/>
          <w:szCs w:val="22"/>
          <w:highlight w:val="none"/>
          <w:u w:val="single"/>
          <w:lang w:val="zh-CN"/>
        </w:rPr>
        <w:t>（</w:t>
      </w:r>
      <w:r>
        <w:rPr>
          <w:rFonts w:hint="eastAsia" w:ascii="新宋体" w:hAnsi="新宋体" w:eastAsia="新宋体" w:cs="新宋体"/>
          <w:color w:val="auto"/>
          <w:kern w:val="0"/>
          <w:sz w:val="22"/>
          <w:szCs w:val="22"/>
          <w:highlight w:val="none"/>
          <w:u w:val="single"/>
          <w:lang w:val="en-US" w:eastAsia="zh-CN"/>
        </w:rPr>
        <w:t>4</w:t>
      </w:r>
      <w:r>
        <w:rPr>
          <w:rFonts w:hint="eastAsia" w:ascii="新宋体" w:hAnsi="新宋体" w:eastAsia="新宋体" w:cs="新宋体"/>
          <w:color w:val="auto"/>
          <w:kern w:val="0"/>
          <w:sz w:val="22"/>
          <w:szCs w:val="22"/>
          <w:highlight w:val="none"/>
          <w:u w:val="single"/>
          <w:lang w:val="zh-CN"/>
        </w:rPr>
        <w:t>）</w:t>
      </w:r>
      <w:r>
        <w:rPr>
          <w:rFonts w:hint="eastAsia" w:ascii="新宋体" w:hAnsi="新宋体" w:eastAsia="新宋体" w:cs="新宋体"/>
          <w:color w:val="auto"/>
          <w:kern w:val="0"/>
          <w:sz w:val="22"/>
          <w:szCs w:val="22"/>
          <w:highlight w:val="none"/>
          <w:u w:val="single"/>
          <w:lang w:val="en-US" w:eastAsia="zh-CN"/>
        </w:rPr>
        <w:t>政府</w:t>
      </w:r>
      <w:r>
        <w:rPr>
          <w:rFonts w:hint="eastAsia" w:ascii="新宋体" w:hAnsi="新宋体" w:eastAsia="新宋体" w:cs="新宋体"/>
          <w:color w:val="auto"/>
          <w:kern w:val="0"/>
          <w:sz w:val="22"/>
          <w:szCs w:val="22"/>
          <w:highlight w:val="none"/>
          <w:u w:val="single"/>
          <w:lang w:val="zh-CN"/>
        </w:rPr>
        <w:t>采购活动</w:t>
      </w:r>
      <w:r>
        <w:rPr>
          <w:rFonts w:hint="eastAsia" w:ascii="新宋体" w:hAnsi="新宋体" w:eastAsia="新宋体" w:cs="新宋体"/>
          <w:color w:val="auto"/>
          <w:kern w:val="0"/>
          <w:sz w:val="22"/>
          <w:szCs w:val="22"/>
          <w:highlight w:val="none"/>
          <w:u w:val="single"/>
        </w:rPr>
        <w:t>现场</w:t>
      </w:r>
      <w:r>
        <w:rPr>
          <w:rFonts w:hint="eastAsia" w:ascii="新宋体" w:hAnsi="新宋体" w:eastAsia="新宋体" w:cs="新宋体"/>
          <w:color w:val="auto"/>
          <w:kern w:val="0"/>
          <w:sz w:val="22"/>
          <w:szCs w:val="22"/>
          <w:highlight w:val="none"/>
          <w:u w:val="single"/>
          <w:lang w:val="zh-CN"/>
        </w:rPr>
        <w:t>确认声明书；</w:t>
      </w:r>
      <w:r>
        <w:rPr>
          <w:rFonts w:hint="eastAsia" w:ascii="新宋体" w:hAnsi="新宋体" w:eastAsia="新宋体" w:cs="新宋体"/>
          <w:b/>
          <w:bCs/>
          <w:color w:val="auto"/>
          <w:sz w:val="22"/>
          <w:szCs w:val="22"/>
          <w:highlight w:val="none"/>
          <w:u w:val="single"/>
        </w:rPr>
        <w:t>（如为联合体投标，联合体各方均需提供</w:t>
      </w:r>
      <w:r>
        <w:rPr>
          <w:rFonts w:hint="eastAsia" w:ascii="新宋体" w:hAnsi="新宋体" w:eastAsia="新宋体" w:cs="新宋体"/>
          <w:b/>
          <w:bCs/>
          <w:color w:val="auto"/>
          <w:sz w:val="22"/>
          <w:szCs w:val="22"/>
          <w:highlight w:val="none"/>
          <w:u w:val="single"/>
          <w:lang w:eastAsia="zh-CN"/>
        </w:rPr>
        <w:t>）</w:t>
      </w:r>
    </w:p>
    <w:p w14:paraId="198F76B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highlight w:val="none"/>
          <w:lang w:val="zh-CN"/>
        </w:rPr>
      </w:pPr>
      <w:r>
        <w:rPr>
          <w:rFonts w:hint="eastAsia" w:ascii="新宋体" w:hAnsi="新宋体" w:eastAsia="新宋体" w:cs="新宋体"/>
          <w:color w:val="auto"/>
          <w:kern w:val="0"/>
          <w:sz w:val="22"/>
          <w:szCs w:val="22"/>
          <w:highlight w:val="none"/>
          <w:u w:val="single"/>
          <w:lang w:val="zh-CN" w:eastAsia="zh-CN"/>
        </w:rPr>
        <w:t>（</w:t>
      </w:r>
      <w:r>
        <w:rPr>
          <w:rFonts w:hint="eastAsia" w:ascii="新宋体" w:hAnsi="新宋体" w:eastAsia="新宋体" w:cs="新宋体"/>
          <w:color w:val="auto"/>
          <w:kern w:val="0"/>
          <w:sz w:val="22"/>
          <w:szCs w:val="22"/>
          <w:highlight w:val="none"/>
          <w:u w:val="single"/>
          <w:lang w:val="en-US" w:eastAsia="zh-CN"/>
        </w:rPr>
        <w:t>5</w:t>
      </w:r>
      <w:r>
        <w:rPr>
          <w:rFonts w:hint="eastAsia" w:ascii="新宋体" w:hAnsi="新宋体" w:eastAsia="新宋体" w:cs="新宋体"/>
          <w:color w:val="auto"/>
          <w:kern w:val="0"/>
          <w:sz w:val="22"/>
          <w:szCs w:val="22"/>
          <w:highlight w:val="none"/>
          <w:u w:val="single"/>
          <w:lang w:val="zh-CN" w:eastAsia="zh-CN"/>
        </w:rPr>
        <w:t>）</w:t>
      </w:r>
      <w:r>
        <w:rPr>
          <w:rFonts w:hint="eastAsia" w:ascii="新宋体" w:hAnsi="新宋体" w:eastAsia="新宋体" w:cs="新宋体"/>
          <w:color w:val="auto"/>
          <w:kern w:val="0"/>
          <w:sz w:val="22"/>
          <w:szCs w:val="22"/>
          <w:highlight w:val="none"/>
          <w:u w:val="single"/>
          <w:lang w:val="zh-CN"/>
        </w:rPr>
        <w:t>联合体协议书（如有）</w:t>
      </w:r>
      <w:r>
        <w:rPr>
          <w:rFonts w:hint="eastAsia" w:ascii="新宋体" w:hAnsi="新宋体" w:eastAsia="新宋体" w:cs="新宋体"/>
          <w:color w:val="auto"/>
          <w:kern w:val="0"/>
          <w:sz w:val="22"/>
          <w:szCs w:val="22"/>
          <w:highlight w:val="none"/>
          <w:u w:val="single"/>
          <w:lang w:val="en-US" w:eastAsia="zh-CN"/>
        </w:rPr>
        <w:t>。</w:t>
      </w:r>
    </w:p>
    <w:p w14:paraId="661025E1">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上述资格条件审查材料有一项不提供的，视为资格审查不通过。</w:t>
      </w:r>
    </w:p>
    <w:p w14:paraId="41632C41">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color w:val="auto"/>
          <w:sz w:val="22"/>
          <w:szCs w:val="22"/>
          <w:highlight w:val="none"/>
          <w:u w:val="single"/>
          <w:lang w:val="zh-CN"/>
        </w:rPr>
      </w:pPr>
      <w:r>
        <w:rPr>
          <w:rFonts w:hint="eastAsia" w:ascii="新宋体" w:hAnsi="新宋体" w:eastAsia="新宋体" w:cs="新宋体"/>
          <w:b/>
          <w:bCs/>
          <w:color w:val="auto"/>
          <w:sz w:val="22"/>
          <w:szCs w:val="22"/>
          <w:highlight w:val="none"/>
        </w:rPr>
        <w:t>3.2投标人的报价文件至少应包括以下内容：</w:t>
      </w:r>
    </w:p>
    <w:p w14:paraId="1FDCD439">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）投标报价一览表；</w:t>
      </w:r>
    </w:p>
    <w:p w14:paraId="43B048A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）投标分项报价表</w:t>
      </w:r>
      <w:r>
        <w:rPr>
          <w:rFonts w:hint="eastAsia" w:ascii="新宋体" w:hAnsi="新宋体" w:eastAsia="新宋体" w:cs="新宋体"/>
          <w:color w:val="auto"/>
          <w:sz w:val="22"/>
          <w:szCs w:val="22"/>
          <w:highlight w:val="none"/>
          <w:lang w:eastAsia="zh-CN"/>
        </w:rPr>
        <w:t>；</w:t>
      </w:r>
    </w:p>
    <w:p w14:paraId="16750C52">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）中小企业声明函、监狱企业、残疾人福利性单位及其他相关的充分的证明材料。（</w:t>
      </w:r>
      <w:r>
        <w:rPr>
          <w:rFonts w:hint="eastAsia" w:ascii="新宋体" w:hAnsi="新宋体" w:eastAsia="新宋体" w:cs="新宋体"/>
          <w:b/>
          <w:bCs/>
          <w:color w:val="auto"/>
          <w:szCs w:val="21"/>
          <w:highlight w:val="none"/>
        </w:rPr>
        <w:t>如有，联合体各方均需提供</w:t>
      </w:r>
      <w:r>
        <w:rPr>
          <w:rFonts w:hint="eastAsia" w:ascii="新宋体" w:hAnsi="新宋体" w:eastAsia="新宋体" w:cs="新宋体"/>
          <w:color w:val="auto"/>
          <w:szCs w:val="21"/>
          <w:highlight w:val="none"/>
        </w:rPr>
        <w:t>）</w:t>
      </w:r>
    </w:p>
    <w:p w14:paraId="14EC9831">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3.3</w:t>
      </w:r>
      <w:r>
        <w:rPr>
          <w:rFonts w:hint="eastAsia" w:ascii="新宋体" w:hAnsi="新宋体" w:eastAsia="新宋体" w:cs="新宋体"/>
          <w:color w:val="auto"/>
          <w:kern w:val="0"/>
          <w:sz w:val="22"/>
          <w:szCs w:val="22"/>
          <w:highlight w:val="none"/>
          <w:lang w:val="zh-CN"/>
        </w:rPr>
        <w:t>投标人的</w:t>
      </w:r>
      <w:r>
        <w:rPr>
          <w:rFonts w:hint="eastAsia" w:ascii="新宋体" w:hAnsi="新宋体" w:eastAsia="新宋体" w:cs="新宋体"/>
          <w:b/>
          <w:bCs/>
          <w:color w:val="auto"/>
          <w:kern w:val="0"/>
          <w:sz w:val="22"/>
          <w:szCs w:val="22"/>
          <w:highlight w:val="none"/>
          <w:lang w:val="zh-CN"/>
        </w:rPr>
        <w:t>商务技术文件</w:t>
      </w:r>
      <w:r>
        <w:rPr>
          <w:rFonts w:hint="eastAsia" w:ascii="新宋体" w:hAnsi="新宋体" w:eastAsia="新宋体" w:cs="新宋体"/>
          <w:color w:val="auto"/>
          <w:kern w:val="0"/>
          <w:sz w:val="22"/>
          <w:szCs w:val="22"/>
          <w:highlight w:val="none"/>
          <w:lang w:val="zh-CN"/>
        </w:rPr>
        <w:t>应包括以下内容：</w:t>
      </w:r>
    </w:p>
    <w:p w14:paraId="04AF6989">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（1）投标函；</w:t>
      </w:r>
    </w:p>
    <w:p w14:paraId="1E0045C6">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）法定代表人授权委托书（需提供法定代表人及授权委托人的身份证复印件加盖公章）；</w:t>
      </w:r>
    </w:p>
    <w:p w14:paraId="2252E09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供货清单</w:t>
      </w:r>
    </w:p>
    <w:p w14:paraId="2FBD2818">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zh-CN"/>
        </w:rPr>
        <w:t>偏离表（</w:t>
      </w:r>
      <w:r>
        <w:rPr>
          <w:rFonts w:hint="eastAsia" w:ascii="新宋体" w:hAnsi="新宋体" w:eastAsia="新宋体" w:cs="新宋体"/>
          <w:color w:val="auto"/>
          <w:sz w:val="22"/>
          <w:szCs w:val="22"/>
          <w:highlight w:val="none"/>
        </w:rPr>
        <w:t>商务、技术偏离</w:t>
      </w:r>
      <w:r>
        <w:rPr>
          <w:rFonts w:hint="eastAsia" w:ascii="新宋体" w:hAnsi="新宋体" w:eastAsia="新宋体" w:cs="新宋体"/>
          <w:color w:val="auto"/>
          <w:sz w:val="22"/>
          <w:szCs w:val="22"/>
          <w:highlight w:val="none"/>
          <w:lang w:val="zh-CN"/>
        </w:rPr>
        <w:t>）</w:t>
      </w:r>
    </w:p>
    <w:p w14:paraId="2C271C06">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其他必要提供的资料。</w:t>
      </w:r>
    </w:p>
    <w:p w14:paraId="353D7159">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lang w:val="zh-CN"/>
        </w:rPr>
      </w:pPr>
      <w:r>
        <w:rPr>
          <w:rFonts w:hint="eastAsia" w:ascii="新宋体" w:hAnsi="新宋体" w:eastAsia="新宋体" w:cs="新宋体"/>
          <w:b/>
          <w:color w:val="auto"/>
          <w:sz w:val="22"/>
          <w:szCs w:val="22"/>
          <w:highlight w:val="none"/>
          <w:lang w:val="zh-CN"/>
        </w:rPr>
        <w:t>投标文件中所需的各种证书、证件、证明资料如是复印件，须在复印件上加盖有效公章。</w:t>
      </w:r>
    </w:p>
    <w:p w14:paraId="7C0A2958">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lang w:val="zh-CN"/>
        </w:rPr>
        <w:t>投标人的</w:t>
      </w:r>
      <w:r>
        <w:rPr>
          <w:rFonts w:hint="eastAsia" w:ascii="新宋体" w:hAnsi="新宋体" w:eastAsia="新宋体" w:cs="新宋体"/>
          <w:b w:val="0"/>
          <w:bCs/>
          <w:color w:val="auto"/>
          <w:sz w:val="22"/>
          <w:szCs w:val="22"/>
          <w:highlight w:val="none"/>
        </w:rPr>
        <w:t>投标文件必须按照</w:t>
      </w:r>
      <w:r>
        <w:rPr>
          <w:rFonts w:hint="eastAsia" w:ascii="新宋体" w:hAnsi="新宋体" w:eastAsia="新宋体" w:cs="新宋体"/>
          <w:b w:val="0"/>
          <w:bCs/>
          <w:color w:val="auto"/>
          <w:sz w:val="22"/>
          <w:szCs w:val="22"/>
          <w:highlight w:val="none"/>
          <w:lang w:eastAsia="zh-CN"/>
        </w:rPr>
        <w:t>采购文件</w:t>
      </w:r>
      <w:r>
        <w:rPr>
          <w:rFonts w:hint="eastAsia" w:ascii="新宋体" w:hAnsi="新宋体" w:eastAsia="新宋体" w:cs="新宋体"/>
          <w:b w:val="0"/>
          <w:bCs/>
          <w:color w:val="auto"/>
          <w:sz w:val="22"/>
          <w:szCs w:val="22"/>
          <w:highlight w:val="none"/>
        </w:rPr>
        <w:t>要求制作。</w:t>
      </w:r>
    </w:p>
    <w:p w14:paraId="46673E4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投标人可在</w:t>
      </w:r>
      <w:r>
        <w:rPr>
          <w:rFonts w:hint="eastAsia" w:ascii="新宋体" w:hAnsi="新宋体" w:eastAsia="新宋体" w:cs="新宋体"/>
          <w:b w:val="0"/>
          <w:bCs/>
          <w:color w:val="auto"/>
          <w:sz w:val="22"/>
          <w:szCs w:val="22"/>
          <w:highlight w:val="none"/>
          <w:lang w:eastAsia="zh-CN"/>
        </w:rPr>
        <w:t>采购文件</w:t>
      </w:r>
      <w:r>
        <w:rPr>
          <w:rFonts w:hint="eastAsia" w:ascii="新宋体" w:hAnsi="新宋体" w:eastAsia="新宋体" w:cs="新宋体"/>
          <w:b w:val="0"/>
          <w:bCs/>
          <w:color w:val="auto"/>
          <w:sz w:val="22"/>
          <w:szCs w:val="22"/>
          <w:highlight w:val="none"/>
        </w:rPr>
        <w:t>中对招标货物的技术规格和要求选用替代标准，但这些替代标准必须相当于或优于</w:t>
      </w:r>
      <w:r>
        <w:rPr>
          <w:rFonts w:hint="eastAsia" w:ascii="新宋体" w:hAnsi="新宋体" w:eastAsia="新宋体" w:cs="新宋体"/>
          <w:b w:val="0"/>
          <w:bCs/>
          <w:color w:val="auto"/>
          <w:sz w:val="22"/>
          <w:szCs w:val="22"/>
          <w:highlight w:val="none"/>
          <w:lang w:eastAsia="zh-CN"/>
        </w:rPr>
        <w:t>采购文件</w:t>
      </w:r>
      <w:r>
        <w:rPr>
          <w:rFonts w:hint="eastAsia" w:ascii="新宋体" w:hAnsi="新宋体" w:eastAsia="新宋体" w:cs="新宋体"/>
          <w:b w:val="0"/>
          <w:bCs/>
          <w:color w:val="auto"/>
          <w:sz w:val="22"/>
          <w:szCs w:val="22"/>
          <w:highlight w:val="none"/>
        </w:rPr>
        <w:t>中提出的相应要求，并使</w:t>
      </w:r>
      <w:r>
        <w:rPr>
          <w:rFonts w:hint="eastAsia" w:ascii="新宋体" w:hAnsi="新宋体" w:eastAsia="新宋体" w:cs="新宋体"/>
          <w:b w:val="0"/>
          <w:bCs/>
          <w:color w:val="auto"/>
          <w:sz w:val="22"/>
          <w:szCs w:val="22"/>
          <w:highlight w:val="none"/>
          <w:lang w:eastAsia="zh-CN"/>
        </w:rPr>
        <w:t>采购人</w:t>
      </w:r>
      <w:r>
        <w:rPr>
          <w:rFonts w:hint="eastAsia" w:ascii="新宋体" w:hAnsi="新宋体" w:eastAsia="新宋体" w:cs="新宋体"/>
          <w:b w:val="0"/>
          <w:bCs/>
          <w:color w:val="auto"/>
          <w:sz w:val="22"/>
          <w:szCs w:val="22"/>
          <w:highlight w:val="none"/>
        </w:rPr>
        <w:t>满意，同时在技术偏离表中作出详细说明。</w:t>
      </w:r>
    </w:p>
    <w:p w14:paraId="04F1EAC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4、投标报价</w:t>
      </w:r>
    </w:p>
    <w:p w14:paraId="7E51F898">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highlight w:val="none"/>
        </w:rPr>
        <w:t>4.1投标报价指供应商为正确地完全履行采购内容及要求的价格体现，包括所有的材料、设备、实施及服务价款，即材料设备费用、运费、施工费、安装调试费、培训费、企业管理费、设计费（如有）、检测费（如有）、风险、利润、税金、等全部费用（包括招标代理服务费），实行固定费用总包干，投标供应商应根据上述因素自行考虑含入总报价。</w:t>
      </w:r>
    </w:p>
    <w:p w14:paraId="0F99E2E5">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4.2投标人必须按附件中的投标报价一览表、投标分项报价表内容填写价格，并由投标人代表签署。</w:t>
      </w:r>
    </w:p>
    <w:p w14:paraId="4E9143C1">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4.3</w:t>
      </w:r>
      <w:r>
        <w:rPr>
          <w:rFonts w:hint="eastAsia" w:ascii="新宋体" w:hAnsi="新宋体" w:eastAsia="新宋体" w:cs="新宋体"/>
          <w:b/>
          <w:color w:val="auto"/>
          <w:sz w:val="22"/>
          <w:highlight w:val="none"/>
        </w:rPr>
        <w:t>投标货币以人民币进行投标</w:t>
      </w:r>
      <w:r>
        <w:rPr>
          <w:rFonts w:hint="eastAsia" w:ascii="新宋体" w:hAnsi="新宋体" w:eastAsia="新宋体" w:cs="新宋体"/>
          <w:b/>
          <w:color w:val="auto"/>
          <w:sz w:val="22"/>
          <w:szCs w:val="22"/>
          <w:highlight w:val="none"/>
        </w:rPr>
        <w:t>。</w:t>
      </w:r>
    </w:p>
    <w:p w14:paraId="4D90D51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4.4</w:t>
      </w:r>
      <w:r>
        <w:rPr>
          <w:rFonts w:hint="eastAsia" w:ascii="新宋体" w:hAnsi="新宋体" w:eastAsia="新宋体" w:cs="新宋体"/>
          <w:b/>
          <w:color w:val="auto"/>
          <w:sz w:val="22"/>
          <w:highlight w:val="none"/>
          <w:lang w:eastAsia="zh-CN"/>
        </w:rPr>
        <w:t>采购人</w:t>
      </w:r>
      <w:r>
        <w:rPr>
          <w:rFonts w:hint="eastAsia" w:ascii="新宋体" w:hAnsi="新宋体" w:eastAsia="新宋体" w:cs="新宋体"/>
          <w:b/>
          <w:color w:val="auto"/>
          <w:sz w:val="22"/>
          <w:highlight w:val="none"/>
        </w:rPr>
        <w:t>和</w:t>
      </w:r>
      <w:r>
        <w:rPr>
          <w:rFonts w:hint="eastAsia" w:ascii="新宋体" w:hAnsi="新宋体" w:eastAsia="新宋体" w:cs="新宋体"/>
          <w:b/>
          <w:color w:val="auto"/>
          <w:sz w:val="22"/>
          <w:highlight w:val="none"/>
          <w:lang w:eastAsia="zh-CN"/>
        </w:rPr>
        <w:t>采购代理机构</w:t>
      </w:r>
      <w:r>
        <w:rPr>
          <w:rFonts w:hint="eastAsia" w:ascii="新宋体" w:hAnsi="新宋体" w:eastAsia="新宋体" w:cs="新宋体"/>
          <w:b/>
          <w:color w:val="auto"/>
          <w:sz w:val="22"/>
          <w:highlight w:val="none"/>
        </w:rPr>
        <w:t>不接受任何选择投标，对任何</w:t>
      </w:r>
      <w:r>
        <w:rPr>
          <w:rFonts w:hint="eastAsia" w:ascii="新宋体" w:hAnsi="新宋体" w:eastAsia="新宋体" w:cs="新宋体"/>
          <w:b/>
          <w:color w:val="auto"/>
          <w:sz w:val="22"/>
          <w:highlight w:val="none"/>
          <w:lang w:val="en-US" w:eastAsia="zh-CN"/>
        </w:rPr>
        <w:t>货物或</w:t>
      </w:r>
      <w:r>
        <w:rPr>
          <w:rFonts w:hint="eastAsia" w:ascii="新宋体" w:hAnsi="新宋体" w:eastAsia="新宋体" w:cs="新宋体"/>
          <w:b/>
          <w:color w:val="auto"/>
          <w:sz w:val="22"/>
          <w:highlight w:val="none"/>
        </w:rPr>
        <w:t>服务只允许一个价格。</w:t>
      </w:r>
    </w:p>
    <w:p w14:paraId="62FDA5B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4.5</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和</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szCs w:val="22"/>
          <w:highlight w:val="none"/>
        </w:rPr>
        <w:t>要求分类报价是为了方便评标，但在任何情况下不限制</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以其认为最合适的条款、条件签订合同的权利。</w:t>
      </w:r>
    </w:p>
    <w:p w14:paraId="4E862606">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4.6投标报价报出后，投标人不得以任何理由予以变更。任何包含价格调整的要求，将被认为是非实质性响应投标而予以否决。</w:t>
      </w:r>
    </w:p>
    <w:p w14:paraId="433B9B94">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4.7最低报价不能作为中标的保证。</w:t>
      </w:r>
    </w:p>
    <w:p w14:paraId="5FD7F482">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5、投标有效期</w:t>
      </w:r>
    </w:p>
    <w:p w14:paraId="5EE33501">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5.1自开标之日起</w:t>
      </w:r>
      <w:r>
        <w:rPr>
          <w:rFonts w:hint="eastAsia" w:ascii="新宋体" w:hAnsi="新宋体" w:eastAsia="新宋体" w:cs="新宋体"/>
          <w:b/>
          <w:bCs/>
          <w:color w:val="auto"/>
          <w:sz w:val="22"/>
          <w:szCs w:val="22"/>
          <w:highlight w:val="none"/>
          <w:lang w:eastAsia="zh-CN"/>
        </w:rPr>
        <w:t>90天</w:t>
      </w:r>
      <w:r>
        <w:rPr>
          <w:rFonts w:hint="eastAsia" w:ascii="新宋体" w:hAnsi="新宋体" w:eastAsia="新宋体" w:cs="新宋体"/>
          <w:b/>
          <w:color w:val="auto"/>
          <w:sz w:val="22"/>
          <w:szCs w:val="22"/>
          <w:highlight w:val="none"/>
        </w:rPr>
        <w:t>内投标应保持有效。</w:t>
      </w:r>
    </w:p>
    <w:p w14:paraId="1E38848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5.2特殊情况下，在原投标有效期截止前，</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可与投标人协商延长投标有效期，这种要求和答复均以书面形式进行。投标人可拒绝接受延期要求。同意延长投标有效期的投标人不得修改投标文件。</w:t>
      </w:r>
    </w:p>
    <w:p w14:paraId="4733A297">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6、投标保证金</w:t>
      </w:r>
    </w:p>
    <w:p w14:paraId="16B06FF2">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无。</w:t>
      </w:r>
    </w:p>
    <w:p w14:paraId="5D3AF7C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7、投标文件编制</w:t>
      </w:r>
    </w:p>
    <w:p w14:paraId="7699CDE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7.1本项目通过“政府采购云平台（http</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//zfcg.czt.zj.gov.cn）”实行在线投标响应（电子投标）。供应商应通过“政采云电子交易客户端”，并按照本</w:t>
      </w:r>
      <w:r>
        <w:rPr>
          <w:rFonts w:hint="eastAsia" w:ascii="新宋体" w:hAnsi="新宋体" w:eastAsia="新宋体" w:cs="新宋体"/>
          <w:b/>
          <w:bCs/>
          <w:color w:val="auto"/>
          <w:sz w:val="22"/>
          <w:szCs w:val="22"/>
          <w:highlight w:val="none"/>
          <w:u w:val="single"/>
          <w:lang w:eastAsia="zh-CN"/>
        </w:rPr>
        <w:t>采购文件</w:t>
      </w:r>
      <w:r>
        <w:rPr>
          <w:rFonts w:hint="eastAsia" w:ascii="新宋体" w:hAnsi="新宋体" w:eastAsia="新宋体" w:cs="新宋体"/>
          <w:b/>
          <w:bCs/>
          <w:color w:val="auto"/>
          <w:sz w:val="22"/>
          <w:szCs w:val="22"/>
          <w:highlight w:val="none"/>
          <w:u w:val="single"/>
        </w:rPr>
        <w:t>和“政府采购云平台”的要求编制并加密投标文件。</w:t>
      </w:r>
    </w:p>
    <w:p w14:paraId="6B09524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7.2投标人应当按照本章节 “投标文件的构成”规定的内容及顺序在“政采云电子交易客户端”编制投标文件。其中《资格文件》和《商务技术文件》中不得出现本项目投标报价。</w:t>
      </w:r>
    </w:p>
    <w:p w14:paraId="59C7B1E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7.3本文件《附件》中有提供格式的，投标人须参照格式进行编制（格式中要求提供相关证明材料的还需后附相关证明材料），并按格式要求在指定位置根据要求进行签章，否则视为未提供；本文件《附件》未提供格式的，请各投标人自行拟定格式，并加盖单位公章并由法定代表人或其授权代表签署（签字或盖章），否则视为未提供。</w:t>
      </w:r>
    </w:p>
    <w:p w14:paraId="690FE56E">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7.4《投标文件》内容不完整、编排混乱导致《投标文件》被误读、漏读或者查找不到相关内容的，投标人自行负责。</w:t>
      </w:r>
    </w:p>
    <w:p w14:paraId="52704BD5">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7.5《投标文件》因字迹潦草或表达不清所引起的后果由投标人负责。</w:t>
      </w:r>
    </w:p>
    <w:p w14:paraId="34FDC4B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7.6投标人没有按照本章节 “投标文件的构成”要求提供全部资料，或者没有仔细阅读</w:t>
      </w:r>
      <w:r>
        <w:rPr>
          <w:rFonts w:hint="eastAsia" w:ascii="新宋体" w:hAnsi="新宋体" w:eastAsia="新宋体" w:cs="新宋体"/>
          <w:b/>
          <w:bCs/>
          <w:color w:val="auto"/>
          <w:sz w:val="22"/>
          <w:szCs w:val="22"/>
          <w:highlight w:val="none"/>
          <w:u w:val="single"/>
          <w:lang w:eastAsia="zh-CN"/>
        </w:rPr>
        <w:t>采购文件</w:t>
      </w:r>
      <w:r>
        <w:rPr>
          <w:rFonts w:hint="eastAsia" w:ascii="新宋体" w:hAnsi="新宋体" w:eastAsia="新宋体" w:cs="新宋体"/>
          <w:b/>
          <w:bCs/>
          <w:color w:val="auto"/>
          <w:sz w:val="22"/>
          <w:szCs w:val="22"/>
          <w:highlight w:val="none"/>
          <w:u w:val="single"/>
        </w:rPr>
        <w:t>，或者没有对</w:t>
      </w:r>
      <w:r>
        <w:rPr>
          <w:rFonts w:hint="eastAsia" w:ascii="新宋体" w:hAnsi="新宋体" w:eastAsia="新宋体" w:cs="新宋体"/>
          <w:b/>
          <w:bCs/>
          <w:color w:val="auto"/>
          <w:sz w:val="22"/>
          <w:szCs w:val="22"/>
          <w:highlight w:val="none"/>
          <w:u w:val="single"/>
          <w:lang w:eastAsia="zh-CN"/>
        </w:rPr>
        <w:t>采购文件</w:t>
      </w:r>
      <w:r>
        <w:rPr>
          <w:rFonts w:hint="eastAsia" w:ascii="新宋体" w:hAnsi="新宋体" w:eastAsia="新宋体" w:cs="新宋体"/>
          <w:b/>
          <w:bCs/>
          <w:color w:val="auto"/>
          <w:sz w:val="22"/>
          <w:szCs w:val="22"/>
          <w:highlight w:val="none"/>
          <w:u w:val="single"/>
        </w:rPr>
        <w:t>在各方面的要求作出实质性响应是投标人的风险，由此造成的一切后果由投标人自行承担。</w:t>
      </w:r>
    </w:p>
    <w:p w14:paraId="2415CCE9">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8、投标文件的签章</w:t>
      </w:r>
    </w:p>
    <w:p w14:paraId="086BA3D8">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8.1《投标文件》的签章：见《前附表》；</w:t>
      </w:r>
    </w:p>
    <w:p w14:paraId="3CF52744">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8.2《投标文件》应由投标人法定代表人或其授权代表签字（或盖章），并时加盖投标人公章。</w:t>
      </w:r>
    </w:p>
    <w:p w14:paraId="11AAED46">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8.3电子签章操作指南详见采购公告附件《供应商项目采购-电子招投标操作指南》。</w:t>
      </w:r>
    </w:p>
    <w:p w14:paraId="76A46784">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9、投标文件的形式</w:t>
      </w:r>
    </w:p>
    <w:p w14:paraId="3A1B9F1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9.1投标文件的形式：见《前附表》；</w:t>
      </w:r>
    </w:p>
    <w:p w14:paraId="0B5D4F4E">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9.2“电子加密投标文件”：“电子加密投标文件”是指通过“政采云电子交易客户端”完成投标文件编制后生成并加密的数据电文形式的投标文件。</w:t>
      </w:r>
    </w:p>
    <w:p w14:paraId="754AFD14">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14:paraId="075775E2">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10、投标文件的份数</w:t>
      </w:r>
    </w:p>
    <w:p w14:paraId="04AE60F2">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10.1投标文件的份数：见《前附表》。</w:t>
      </w:r>
    </w:p>
    <w:p w14:paraId="3F39A366">
      <w:pPr>
        <w:spacing w:before="100" w:beforeAutospacing="1" w:after="100" w:afterAutospacing="1" w:line="440" w:lineRule="exact"/>
        <w:jc w:val="center"/>
        <w:outlineLvl w:val="1"/>
        <w:rPr>
          <w:rFonts w:hint="eastAsia" w:ascii="新宋体" w:hAnsi="新宋体" w:eastAsia="新宋体" w:cs="新宋体"/>
          <w:b/>
          <w:bCs/>
          <w:color w:val="auto"/>
          <w:sz w:val="22"/>
          <w:szCs w:val="22"/>
          <w:highlight w:val="none"/>
        </w:rPr>
      </w:pPr>
      <w:bookmarkStart w:id="16" w:name="_Toc18542"/>
      <w:bookmarkStart w:id="17" w:name="_Toc15422"/>
      <w:r>
        <w:rPr>
          <w:rFonts w:hint="eastAsia" w:ascii="新宋体" w:hAnsi="新宋体" w:eastAsia="新宋体" w:cs="新宋体"/>
          <w:b/>
          <w:bCs/>
          <w:color w:val="auto"/>
          <w:sz w:val="22"/>
          <w:szCs w:val="22"/>
          <w:highlight w:val="none"/>
        </w:rPr>
        <w:t>四、 投标文件的递交</w:t>
      </w:r>
      <w:bookmarkEnd w:id="16"/>
      <w:bookmarkEnd w:id="17"/>
    </w:p>
    <w:p w14:paraId="2CF75AF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1、投标文件的上传和递交</w:t>
      </w:r>
    </w:p>
    <w:p w14:paraId="33B4683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1.1“投标文件”的上传、递交：见《前附表》。</w:t>
      </w:r>
    </w:p>
    <w:p w14:paraId="7933E6D6">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2、“电子加密投标文件”解密和异常情况处理</w:t>
      </w:r>
    </w:p>
    <w:p w14:paraId="0ABC555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2.1“电子加密投标文件”解密：见《前附表》。</w:t>
      </w:r>
    </w:p>
    <w:p w14:paraId="5217D9F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3、投标文件的补充、修改或撤回</w:t>
      </w:r>
    </w:p>
    <w:p w14:paraId="4DD62C6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070D33C6">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3.2投标截止时间后，投标人不得撤回、修改《投标文件》。</w:t>
      </w:r>
    </w:p>
    <w:p w14:paraId="6D7E2605">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4、投标文件的备选方案</w:t>
      </w:r>
    </w:p>
    <w:p w14:paraId="2CFCFCE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4.1投标人不得递交任何的投标备选（替代）方案，否则其投标文件将作无效标处理。与“电子加密投标文件”同时生成的“备份投标文件”不是投标备选（替代）方案。</w:t>
      </w:r>
    </w:p>
    <w:p w14:paraId="227DA1B7">
      <w:pPr>
        <w:spacing w:before="100" w:beforeAutospacing="1" w:after="100" w:afterAutospacing="1" w:line="460" w:lineRule="exact"/>
        <w:jc w:val="center"/>
        <w:outlineLvl w:val="1"/>
        <w:rPr>
          <w:rFonts w:hint="eastAsia" w:ascii="新宋体" w:hAnsi="新宋体" w:eastAsia="新宋体" w:cs="新宋体"/>
          <w:b/>
          <w:bCs/>
          <w:color w:val="auto"/>
          <w:sz w:val="22"/>
          <w:szCs w:val="22"/>
          <w:highlight w:val="none"/>
        </w:rPr>
      </w:pPr>
      <w:bookmarkStart w:id="18" w:name="_Toc8079"/>
      <w:bookmarkStart w:id="19" w:name="_Toc30172"/>
      <w:r>
        <w:rPr>
          <w:rFonts w:hint="eastAsia" w:ascii="新宋体" w:hAnsi="新宋体" w:eastAsia="新宋体" w:cs="新宋体"/>
          <w:b/>
          <w:bCs/>
          <w:color w:val="auto"/>
          <w:sz w:val="22"/>
          <w:szCs w:val="22"/>
          <w:highlight w:val="none"/>
        </w:rPr>
        <w:t>五、 开标和评标</w:t>
      </w:r>
      <w:bookmarkEnd w:id="18"/>
      <w:bookmarkEnd w:id="19"/>
    </w:p>
    <w:p w14:paraId="5B581CB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1、评标委员会</w:t>
      </w:r>
    </w:p>
    <w:p w14:paraId="752E394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和</w:t>
      </w:r>
      <w:r>
        <w:rPr>
          <w:rFonts w:hint="eastAsia" w:ascii="新宋体" w:hAnsi="新宋体" w:eastAsia="新宋体" w:cs="新宋体"/>
          <w:bCs/>
          <w:color w:val="auto"/>
          <w:sz w:val="22"/>
          <w:szCs w:val="22"/>
          <w:highlight w:val="none"/>
          <w:lang w:eastAsia="zh-CN"/>
        </w:rPr>
        <w:t>采购代理机构</w:t>
      </w:r>
      <w:r>
        <w:rPr>
          <w:rFonts w:hint="eastAsia" w:ascii="新宋体" w:hAnsi="新宋体" w:eastAsia="新宋体" w:cs="新宋体"/>
          <w:bCs/>
          <w:color w:val="auto"/>
          <w:sz w:val="22"/>
          <w:szCs w:val="22"/>
          <w:highlight w:val="none"/>
        </w:rPr>
        <w:t>组建评标委员会。评标委员会的成员在评标过程中必须严格遵守《政府采购法》等有关法律、法规的规定。</w:t>
      </w:r>
    </w:p>
    <w:p w14:paraId="2417F6C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2、评标过程的保密性</w:t>
      </w:r>
    </w:p>
    <w:p w14:paraId="0F80CB2E">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开标后直至向中标人授予合同时止，凡与评审有关的资料均不得向投标人及与评标无关人员透露。如果投标人在评标过程中试图向</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和</w:t>
      </w:r>
      <w:r>
        <w:rPr>
          <w:rFonts w:hint="eastAsia" w:ascii="新宋体" w:hAnsi="新宋体" w:eastAsia="新宋体" w:cs="新宋体"/>
          <w:bCs/>
          <w:color w:val="auto"/>
          <w:sz w:val="22"/>
          <w:szCs w:val="22"/>
          <w:highlight w:val="none"/>
          <w:lang w:eastAsia="zh-CN"/>
        </w:rPr>
        <w:t>采购代理机构</w:t>
      </w:r>
      <w:r>
        <w:rPr>
          <w:rFonts w:hint="eastAsia" w:ascii="新宋体" w:hAnsi="新宋体" w:eastAsia="新宋体" w:cs="新宋体"/>
          <w:bCs/>
          <w:color w:val="auto"/>
          <w:sz w:val="22"/>
          <w:szCs w:val="22"/>
          <w:highlight w:val="none"/>
        </w:rPr>
        <w:t>施加影响，其投标将被拒绝。</w:t>
      </w:r>
    </w:p>
    <w:p w14:paraId="77C96F9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3、开标形式</w:t>
      </w:r>
    </w:p>
    <w:p w14:paraId="34CFAA4E">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采购组织机构将按照</w:t>
      </w:r>
      <w:r>
        <w:rPr>
          <w:rFonts w:hint="eastAsia" w:ascii="新宋体" w:hAnsi="新宋体" w:eastAsia="新宋体" w:cs="新宋体"/>
          <w:b/>
          <w:color w:val="auto"/>
          <w:sz w:val="22"/>
          <w:szCs w:val="22"/>
          <w:highlight w:val="none"/>
          <w:lang w:eastAsia="zh-CN"/>
        </w:rPr>
        <w:t>采购文件</w:t>
      </w:r>
      <w:r>
        <w:rPr>
          <w:rFonts w:hint="eastAsia" w:ascii="新宋体" w:hAnsi="新宋体" w:eastAsia="新宋体" w:cs="新宋体"/>
          <w:b/>
          <w:color w:val="auto"/>
          <w:sz w:val="22"/>
          <w:szCs w:val="22"/>
          <w:highlight w:val="none"/>
        </w:rPr>
        <w:t>规定的时间通过“政府采购云平台”组织开标、开启投标文件，所有供应商均应当准时</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szCs w:val="22"/>
          <w:highlight w:val="none"/>
        </w:rPr>
        <w:t>在线</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szCs w:val="22"/>
          <w:highlight w:val="none"/>
        </w:rPr>
        <w:t>参加。</w:t>
      </w:r>
    </w:p>
    <w:p w14:paraId="44BC684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4、开标准备</w:t>
      </w:r>
    </w:p>
    <w:p w14:paraId="074C9456">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4.1开标的准备工作由采购组织机构负责落实；</w:t>
      </w:r>
    </w:p>
    <w:p w14:paraId="7D723057">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4.2</w:t>
      </w:r>
      <w:r>
        <w:rPr>
          <w:rFonts w:hint="eastAsia" w:ascii="新宋体" w:hAnsi="新宋体" w:eastAsia="新宋体" w:cs="新宋体"/>
          <w:b/>
          <w:color w:val="auto"/>
          <w:sz w:val="22"/>
          <w:szCs w:val="22"/>
          <w:highlight w:val="none"/>
        </w:rPr>
        <w:t>采购组织机构将按照</w:t>
      </w:r>
      <w:r>
        <w:rPr>
          <w:rFonts w:hint="eastAsia" w:ascii="新宋体" w:hAnsi="新宋体" w:eastAsia="新宋体" w:cs="新宋体"/>
          <w:b/>
          <w:color w:val="auto"/>
          <w:sz w:val="22"/>
          <w:szCs w:val="22"/>
          <w:highlight w:val="none"/>
          <w:lang w:eastAsia="zh-CN"/>
        </w:rPr>
        <w:t>采购文件</w:t>
      </w:r>
      <w:r>
        <w:rPr>
          <w:rFonts w:hint="eastAsia" w:ascii="新宋体" w:hAnsi="新宋体" w:eastAsia="新宋体" w:cs="新宋体"/>
          <w:b/>
          <w:color w:val="auto"/>
          <w:sz w:val="22"/>
          <w:szCs w:val="22"/>
          <w:highlight w:val="none"/>
        </w:rPr>
        <w:t>规定的时间通过“政府采购云平台”组织开标、开启投标文件，所有供应商均应当准时</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szCs w:val="22"/>
          <w:highlight w:val="none"/>
        </w:rPr>
        <w:t>在线</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szCs w:val="22"/>
          <w:highlight w:val="none"/>
        </w:rPr>
        <w:t>参加。</w:t>
      </w:r>
      <w:r>
        <w:rPr>
          <w:rFonts w:hint="eastAsia" w:ascii="新宋体" w:hAnsi="新宋体" w:eastAsia="新宋体" w:cs="新宋体"/>
          <w:b/>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14:paraId="008F4CE0">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5、开标流程</w:t>
      </w:r>
    </w:p>
    <w:p w14:paraId="04383B4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5.1开标、评标</w:t>
      </w:r>
    </w:p>
    <w:p w14:paraId="7BD4D257">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（1）向各投标人发出电子加密投标文件【开始解密】通知，由供应商按</w:t>
      </w:r>
      <w:r>
        <w:rPr>
          <w:rFonts w:hint="eastAsia" w:ascii="新宋体" w:hAnsi="新宋体" w:eastAsia="新宋体" w:cs="新宋体"/>
          <w:color w:val="auto"/>
          <w:kern w:val="0"/>
          <w:sz w:val="22"/>
          <w:szCs w:val="22"/>
          <w:highlight w:val="none"/>
          <w:lang w:eastAsia="zh-CN"/>
        </w:rPr>
        <w:t>采购文件</w:t>
      </w:r>
      <w:r>
        <w:rPr>
          <w:rFonts w:hint="eastAsia" w:ascii="新宋体" w:hAnsi="新宋体" w:eastAsia="新宋体" w:cs="新宋体"/>
          <w:color w:val="auto"/>
          <w:kern w:val="0"/>
          <w:sz w:val="22"/>
          <w:szCs w:val="22"/>
          <w:highlight w:val="none"/>
        </w:rPr>
        <w:t>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14:paraId="6A26CAA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投标人不足3家的，不得开标。</w:t>
      </w:r>
    </w:p>
    <w:p w14:paraId="56F5053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（2）解密成功后，开启投标人的《报价文件》，由供应商对自己报价文件相关内容进行签字确认，（不予确认的应说明理由，否则视为无异议）。</w:t>
      </w:r>
    </w:p>
    <w:p w14:paraId="543E9708">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（3）开启《投标文件》，进入资格审查；</w:t>
      </w:r>
      <w:r>
        <w:rPr>
          <w:rFonts w:hint="eastAsia" w:ascii="新宋体" w:hAnsi="新宋体" w:eastAsia="新宋体" w:cs="新宋体"/>
          <w:bCs/>
          <w:color w:val="auto"/>
          <w:sz w:val="22"/>
          <w:szCs w:val="22"/>
          <w:highlight w:val="none"/>
        </w:rPr>
        <w:t>合格投标人不足3家的，不得评标。</w:t>
      </w:r>
    </w:p>
    <w:p w14:paraId="0146821E">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b/>
          <w:color w:val="auto"/>
          <w:kern w:val="0"/>
          <w:sz w:val="22"/>
          <w:szCs w:val="22"/>
          <w:highlight w:val="none"/>
        </w:rPr>
        <w:t>备注：开标大会的结束后，</w:t>
      </w:r>
      <w:r>
        <w:rPr>
          <w:rFonts w:hint="eastAsia" w:ascii="新宋体" w:hAnsi="新宋体" w:eastAsia="新宋体" w:cs="新宋体"/>
          <w:b/>
          <w:color w:val="auto"/>
          <w:kern w:val="0"/>
          <w:sz w:val="22"/>
          <w:szCs w:val="22"/>
          <w:highlight w:val="none"/>
          <w:lang w:eastAsia="zh-CN"/>
        </w:rPr>
        <w:t>采购人</w:t>
      </w:r>
      <w:r>
        <w:rPr>
          <w:rFonts w:hint="eastAsia" w:ascii="新宋体" w:hAnsi="新宋体" w:eastAsia="新宋体" w:cs="新宋体"/>
          <w:b/>
          <w:color w:val="auto"/>
          <w:kern w:val="0"/>
          <w:sz w:val="22"/>
          <w:szCs w:val="22"/>
          <w:highlight w:val="none"/>
        </w:rPr>
        <w:t>或采购代理机构将对依法对投标人的资格进行审查，资格审查结束后进入符合性审查和商务技术的评审工作，具体见本章节“投标人资格审查”相关规定。</w:t>
      </w:r>
    </w:p>
    <w:p w14:paraId="6FED1C5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rPr>
        <w:t>（4）开启资格审查通过的投标人的商务技术文件进入符合性审查，</w:t>
      </w:r>
      <w:r>
        <w:rPr>
          <w:rFonts w:hint="eastAsia" w:ascii="新宋体" w:hAnsi="新宋体" w:eastAsia="新宋体" w:cs="新宋体"/>
          <w:bCs/>
          <w:color w:val="auto"/>
          <w:sz w:val="22"/>
          <w:szCs w:val="22"/>
          <w:highlight w:val="none"/>
        </w:rPr>
        <w:t>以确定其是否满足</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的实质性要求，合格投标人不足3家的，不得评标。</w:t>
      </w:r>
    </w:p>
    <w:p w14:paraId="3E3BD58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没有满足</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14:paraId="4BF0405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（5）对通过资格审查、符合性审查的合格供应商进行商务技术部分的评审。</w:t>
      </w:r>
    </w:p>
    <w:p w14:paraId="2A92BADE">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（6）评标委员会对报价的合理性、准确性等进行审查核实。</w:t>
      </w:r>
    </w:p>
    <w:p w14:paraId="390E7EE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（7）评审结束后，公布中标（成交）候选供应商名单及</w:t>
      </w:r>
      <w:r>
        <w:rPr>
          <w:rFonts w:hint="eastAsia" w:ascii="新宋体" w:hAnsi="新宋体" w:eastAsia="新宋体" w:cs="新宋体"/>
          <w:color w:val="auto"/>
          <w:kern w:val="0"/>
          <w:sz w:val="22"/>
          <w:szCs w:val="22"/>
          <w:highlight w:val="none"/>
          <w:lang w:eastAsia="zh-CN"/>
        </w:rPr>
        <w:t>采购人</w:t>
      </w:r>
      <w:r>
        <w:rPr>
          <w:rFonts w:hint="eastAsia" w:ascii="新宋体" w:hAnsi="新宋体" w:eastAsia="新宋体" w:cs="新宋体"/>
          <w:color w:val="auto"/>
          <w:kern w:val="0"/>
          <w:sz w:val="22"/>
          <w:szCs w:val="22"/>
          <w:highlight w:val="none"/>
        </w:rPr>
        <w:t>最终确定中标或成交供应商名单的时间和公告方式等，未在场的投标人通过发送邮件形式通知。</w:t>
      </w:r>
    </w:p>
    <w:p w14:paraId="5A9BF63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特别说明：如遇“政府采购云平台”电子化开标或评审程序调整的，按调整后程序执行。</w:t>
      </w:r>
    </w:p>
    <w:p w14:paraId="64E51D8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bookmarkStart w:id="20" w:name="_Toc33194393"/>
      <w:bookmarkStart w:id="21" w:name="_Toc24550037"/>
      <w:r>
        <w:rPr>
          <w:rFonts w:hint="eastAsia" w:ascii="新宋体" w:hAnsi="新宋体" w:eastAsia="新宋体" w:cs="新宋体"/>
          <w:color w:val="auto"/>
          <w:sz w:val="22"/>
          <w:szCs w:val="22"/>
          <w:highlight w:val="none"/>
        </w:rPr>
        <w:t>6、投标人资格审查</w:t>
      </w:r>
      <w:bookmarkEnd w:id="20"/>
      <w:bookmarkEnd w:id="21"/>
    </w:p>
    <w:p w14:paraId="0642E4D9">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6.1开标大会结束后，</w:t>
      </w:r>
      <w:r>
        <w:rPr>
          <w:rFonts w:hint="eastAsia" w:ascii="新宋体" w:hAnsi="新宋体" w:eastAsia="新宋体" w:cs="新宋体"/>
          <w:b/>
          <w:color w:val="auto"/>
          <w:sz w:val="22"/>
          <w:szCs w:val="22"/>
          <w:highlight w:val="none"/>
          <w:lang w:eastAsia="zh-CN"/>
        </w:rPr>
        <w:t>采购人</w:t>
      </w:r>
      <w:r>
        <w:rPr>
          <w:rFonts w:hint="eastAsia" w:ascii="新宋体" w:hAnsi="新宋体" w:eastAsia="新宋体" w:cs="新宋体"/>
          <w:b/>
          <w:color w:val="auto"/>
          <w:sz w:val="22"/>
          <w:szCs w:val="22"/>
          <w:highlight w:val="none"/>
        </w:rPr>
        <w:t>或采购代理机构首先依法对各投标人的资格进行审查，审查各投标人的资格是否满足</w:t>
      </w:r>
      <w:r>
        <w:rPr>
          <w:rFonts w:hint="eastAsia" w:ascii="新宋体" w:hAnsi="新宋体" w:eastAsia="新宋体" w:cs="新宋体"/>
          <w:b/>
          <w:color w:val="auto"/>
          <w:sz w:val="22"/>
          <w:szCs w:val="22"/>
          <w:highlight w:val="none"/>
          <w:lang w:eastAsia="zh-CN"/>
        </w:rPr>
        <w:t>采购文件</w:t>
      </w:r>
      <w:r>
        <w:rPr>
          <w:rFonts w:hint="eastAsia" w:ascii="新宋体" w:hAnsi="新宋体" w:eastAsia="新宋体" w:cs="新宋体"/>
          <w:b/>
          <w:color w:val="auto"/>
          <w:sz w:val="22"/>
          <w:szCs w:val="22"/>
          <w:highlight w:val="none"/>
        </w:rPr>
        <w:t>的要求。</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或采购代理机构对投标人所提交的资格证明材料仅负审核的责任。如发现投标人所提交的资格证明材料不合法或与事实不符，</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可取消其中标资格并追究投标人的法律责任。</w:t>
      </w:r>
    </w:p>
    <w:p w14:paraId="3893F68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sz w:val="22"/>
          <w:szCs w:val="22"/>
          <w:highlight w:val="none"/>
        </w:rPr>
        <w:t>6.2投标人提交的资格证明材料无法证明其符合</w:t>
      </w:r>
      <w:r>
        <w:rPr>
          <w:rFonts w:hint="eastAsia" w:ascii="新宋体" w:hAnsi="新宋体" w:eastAsia="新宋体" w:cs="新宋体"/>
          <w:b/>
          <w:color w:val="auto"/>
          <w:sz w:val="22"/>
          <w:szCs w:val="22"/>
          <w:highlight w:val="none"/>
          <w:lang w:eastAsia="zh-CN"/>
        </w:rPr>
        <w:t>采购文件</w:t>
      </w:r>
      <w:r>
        <w:rPr>
          <w:rFonts w:hint="eastAsia" w:ascii="新宋体" w:hAnsi="新宋体" w:eastAsia="新宋体" w:cs="新宋体"/>
          <w:b/>
          <w:color w:val="auto"/>
          <w:sz w:val="22"/>
          <w:szCs w:val="22"/>
          <w:highlight w:val="none"/>
        </w:rPr>
        <w:t>规定的“投标人资格要求”的，</w:t>
      </w:r>
      <w:r>
        <w:rPr>
          <w:rFonts w:hint="eastAsia" w:ascii="新宋体" w:hAnsi="新宋体" w:eastAsia="新宋体" w:cs="新宋体"/>
          <w:b/>
          <w:color w:val="auto"/>
          <w:sz w:val="22"/>
          <w:szCs w:val="22"/>
          <w:highlight w:val="none"/>
          <w:lang w:eastAsia="zh-CN"/>
        </w:rPr>
        <w:t>采购人</w:t>
      </w:r>
      <w:r>
        <w:rPr>
          <w:rFonts w:hint="eastAsia" w:ascii="新宋体" w:hAnsi="新宋体" w:eastAsia="新宋体" w:cs="新宋体"/>
          <w:b/>
          <w:color w:val="auto"/>
          <w:sz w:val="22"/>
          <w:szCs w:val="22"/>
          <w:highlight w:val="none"/>
        </w:rPr>
        <w:t>或采购代理机构</w:t>
      </w:r>
      <w:r>
        <w:rPr>
          <w:rFonts w:hint="eastAsia" w:ascii="新宋体" w:hAnsi="新宋体" w:eastAsia="新宋体" w:cs="新宋体"/>
          <w:b/>
          <w:color w:val="auto"/>
          <w:kern w:val="0"/>
          <w:sz w:val="22"/>
          <w:szCs w:val="22"/>
          <w:highlight w:val="none"/>
        </w:rPr>
        <w:t>将对其作资格审查不通过处理（无效投标），并不再将其投标提交评标委员会进行后续评审。</w:t>
      </w:r>
    </w:p>
    <w:p w14:paraId="1EBB7439">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6</w:t>
      </w:r>
      <w:r>
        <w:rPr>
          <w:rFonts w:hint="eastAsia" w:ascii="新宋体" w:hAnsi="新宋体" w:eastAsia="新宋体" w:cs="新宋体"/>
          <w:b/>
          <w:color w:val="auto"/>
          <w:kern w:val="0"/>
          <w:sz w:val="22"/>
          <w:szCs w:val="22"/>
          <w:highlight w:val="none"/>
        </w:rPr>
        <w:t>.3单位负责人为同一人或者存在直接控股、管理关系的不同供应商参加同一合同项下的政府采购活动的，相关投标人均作资格无效处理。</w:t>
      </w:r>
    </w:p>
    <w:p w14:paraId="52263EF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7、评标委员按照</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中规定的评标方法和标准，对投标文件进行商务和技术评估，综合比较与评价。</w:t>
      </w:r>
    </w:p>
    <w:p w14:paraId="1BF79342">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u w:val="single"/>
        </w:rPr>
        <w:t>8、投标人存在下列情况之一的，投标无效：</w:t>
      </w:r>
    </w:p>
    <w:p w14:paraId="322DC3D0">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（1）投标文件未按</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要求签署、盖章的；</w:t>
      </w:r>
    </w:p>
    <w:p w14:paraId="31DBD625">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（2）不具备</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 xml:space="preserve">中规定的资格要求的； </w:t>
      </w:r>
    </w:p>
    <w:p w14:paraId="75861409">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（3）明显不符合</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中主要技术规格、技术标准的；</w:t>
      </w:r>
    </w:p>
    <w:p w14:paraId="0A5F5F6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（4）“▲”标记条款负偏离或不响应的；</w:t>
      </w:r>
    </w:p>
    <w:p w14:paraId="3DD622A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5</w:t>
      </w:r>
      <w:r>
        <w:rPr>
          <w:rFonts w:hint="eastAsia" w:ascii="新宋体" w:hAnsi="新宋体" w:eastAsia="新宋体" w:cs="新宋体"/>
          <w:bCs/>
          <w:color w:val="auto"/>
          <w:sz w:val="22"/>
          <w:szCs w:val="22"/>
          <w:highlight w:val="none"/>
        </w:rPr>
        <w:t>）投标文件内容不全或关键字迹模糊无法辨认的；</w:t>
      </w:r>
    </w:p>
    <w:p w14:paraId="2DD93A1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6</w:t>
      </w:r>
      <w:r>
        <w:rPr>
          <w:rFonts w:hint="eastAsia" w:ascii="新宋体" w:hAnsi="新宋体" w:eastAsia="新宋体" w:cs="新宋体"/>
          <w:bCs/>
          <w:color w:val="auto"/>
          <w:sz w:val="22"/>
          <w:szCs w:val="22"/>
          <w:highlight w:val="none"/>
        </w:rPr>
        <w:t>）报价超过</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中规定的预算金额的；</w:t>
      </w:r>
    </w:p>
    <w:p w14:paraId="472138F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7</w:t>
      </w:r>
      <w:r>
        <w:rPr>
          <w:rFonts w:hint="eastAsia" w:ascii="新宋体" w:hAnsi="新宋体" w:eastAsia="新宋体" w:cs="新宋体"/>
          <w:bCs/>
          <w:color w:val="auto"/>
          <w:sz w:val="22"/>
          <w:szCs w:val="22"/>
          <w:highlight w:val="none"/>
        </w:rPr>
        <w:t>）投标人代表没有法定代表人合法、有效委托的；</w:t>
      </w:r>
    </w:p>
    <w:p w14:paraId="107A0847">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8</w:t>
      </w:r>
      <w:r>
        <w:rPr>
          <w:rFonts w:hint="eastAsia" w:ascii="新宋体" w:hAnsi="新宋体" w:eastAsia="新宋体" w:cs="新宋体"/>
          <w:bCs/>
          <w:color w:val="auto"/>
          <w:sz w:val="22"/>
          <w:szCs w:val="22"/>
          <w:highlight w:val="none"/>
        </w:rPr>
        <w:t>）投标文件存在一个或一个以上备选（替代）投标方案的；</w:t>
      </w:r>
    </w:p>
    <w:p w14:paraId="7F17A96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9</w:t>
      </w:r>
      <w:r>
        <w:rPr>
          <w:rFonts w:hint="eastAsia" w:ascii="新宋体" w:hAnsi="新宋体" w:eastAsia="新宋体" w:cs="新宋体"/>
          <w:bCs/>
          <w:color w:val="auto"/>
          <w:sz w:val="22"/>
          <w:szCs w:val="22"/>
          <w:highlight w:val="none"/>
        </w:rPr>
        <w:t>）仅提交“备份投标文件”的；</w:t>
      </w:r>
    </w:p>
    <w:p w14:paraId="737DAB3E">
      <w:pPr>
        <w:spacing w:line="460" w:lineRule="exact"/>
        <w:ind w:firstLine="442"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u w:val="single"/>
        </w:rPr>
        <w:t>（10）未提供食品药品监督管理部门核发的有效的证明</w:t>
      </w:r>
      <w:r>
        <w:rPr>
          <w:rFonts w:hint="eastAsia" w:ascii="新宋体" w:hAnsi="新宋体" w:eastAsia="新宋体" w:cs="新宋体"/>
          <w:b/>
          <w:color w:val="auto"/>
          <w:sz w:val="22"/>
          <w:szCs w:val="22"/>
          <w:highlight w:val="none"/>
          <w:u w:val="single"/>
          <w:lang w:val="en-US" w:eastAsia="zh-CN"/>
        </w:rPr>
        <w:t>文件</w:t>
      </w:r>
      <w:r>
        <w:rPr>
          <w:rFonts w:hint="eastAsia" w:ascii="新宋体" w:hAnsi="新宋体" w:eastAsia="新宋体" w:cs="新宋体"/>
          <w:b/>
          <w:color w:val="auto"/>
          <w:sz w:val="22"/>
          <w:szCs w:val="22"/>
          <w:highlight w:val="none"/>
          <w:u w:val="single"/>
        </w:rPr>
        <w:t>，或提供的证明不足以证明所投</w:t>
      </w:r>
      <w:r>
        <w:rPr>
          <w:rFonts w:hint="eastAsia" w:ascii="新宋体" w:hAnsi="新宋体" w:eastAsia="新宋体" w:cs="新宋体"/>
          <w:b/>
          <w:color w:val="auto"/>
          <w:sz w:val="22"/>
          <w:szCs w:val="22"/>
          <w:highlight w:val="none"/>
          <w:u w:val="single"/>
          <w:lang w:val="en-US" w:eastAsia="zh-CN"/>
        </w:rPr>
        <w:t>产品</w:t>
      </w:r>
      <w:r>
        <w:rPr>
          <w:rFonts w:hint="eastAsia" w:ascii="新宋体" w:hAnsi="新宋体" w:eastAsia="新宋体" w:cs="新宋体"/>
          <w:b/>
          <w:color w:val="auto"/>
          <w:sz w:val="22"/>
          <w:szCs w:val="22"/>
          <w:highlight w:val="none"/>
          <w:u w:val="single"/>
        </w:rPr>
        <w:t>可合法销售；</w:t>
      </w:r>
    </w:p>
    <w:p w14:paraId="40153684">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11</w:t>
      </w:r>
      <w:r>
        <w:rPr>
          <w:rFonts w:hint="eastAsia" w:ascii="新宋体" w:hAnsi="新宋体" w:eastAsia="新宋体" w:cs="新宋体"/>
          <w:bCs/>
          <w:color w:val="auto"/>
          <w:sz w:val="22"/>
          <w:szCs w:val="22"/>
          <w:highlight w:val="none"/>
        </w:rPr>
        <w:t>）投标文件含有</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不能接受的附加条件的；</w:t>
      </w:r>
    </w:p>
    <w:p w14:paraId="521E0D47">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en-US" w:eastAsia="zh-CN"/>
        </w:rPr>
        <w:t>2</w:t>
      </w: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eastAsia="zh-CN"/>
        </w:rPr>
        <w:t>如为联合体投标，未提供有效的联合体共同投标协议书的</w:t>
      </w:r>
      <w:r>
        <w:rPr>
          <w:rFonts w:hint="eastAsia" w:ascii="新宋体" w:hAnsi="新宋体" w:eastAsia="新宋体" w:cs="新宋体"/>
          <w:bCs/>
          <w:color w:val="auto"/>
          <w:sz w:val="22"/>
          <w:szCs w:val="22"/>
          <w:highlight w:val="none"/>
        </w:rPr>
        <w:t>；</w:t>
      </w:r>
    </w:p>
    <w:p w14:paraId="672DBA44">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）法律、法规和</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规定的其他无效情形。</w:t>
      </w:r>
    </w:p>
    <w:p w14:paraId="2F50821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9、有下列情形之一的，视为投标人串通投标，其投标无效</w:t>
      </w:r>
    </w:p>
    <w:p w14:paraId="593EF66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（1）不同投标人的投标文件由同一单位或者个人编制；</w:t>
      </w:r>
    </w:p>
    <w:p w14:paraId="58B0944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（2）不同投标人委托同一单位或者个人办理投标事宜；</w:t>
      </w:r>
    </w:p>
    <w:p w14:paraId="7399B924">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（3）不同投标人的投标文件载明的项目管理成员或者联系人员为同一人；</w:t>
      </w:r>
    </w:p>
    <w:p w14:paraId="5E529F3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（4）不同投标人的投标文件异常一致或者投标报价呈规律性差异；</w:t>
      </w:r>
    </w:p>
    <w:p w14:paraId="2674BD81">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（5）不同投标人的投标文件相互混装。</w:t>
      </w:r>
    </w:p>
    <w:p w14:paraId="1B2C3989">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不同投标</w:t>
      </w:r>
      <w:r>
        <w:rPr>
          <w:rFonts w:hint="eastAsia" w:ascii="新宋体" w:hAnsi="新宋体" w:eastAsia="新宋体" w:cs="新宋体"/>
          <w:color w:val="auto"/>
          <w:sz w:val="22"/>
          <w:szCs w:val="22"/>
          <w:highlight w:val="none"/>
          <w:lang w:val="en-US" w:eastAsia="zh-CN"/>
        </w:rPr>
        <w:t>人</w:t>
      </w:r>
      <w:r>
        <w:rPr>
          <w:rFonts w:hint="eastAsia" w:ascii="新宋体" w:hAnsi="新宋体" w:eastAsia="新宋体" w:cs="新宋体"/>
          <w:color w:val="auto"/>
          <w:sz w:val="22"/>
          <w:szCs w:val="22"/>
          <w:highlight w:val="none"/>
        </w:rPr>
        <w:t>的 IP、MAC、硬件信息相同、响应文件细节错误一致且无合理解释等情形</w:t>
      </w:r>
      <w:r>
        <w:rPr>
          <w:rFonts w:hint="eastAsia" w:ascii="新宋体" w:hAnsi="新宋体" w:eastAsia="新宋体" w:cs="新宋体"/>
          <w:color w:val="auto"/>
          <w:sz w:val="22"/>
          <w:szCs w:val="22"/>
          <w:highlight w:val="none"/>
          <w:lang w:eastAsia="zh-CN"/>
        </w:rPr>
        <w:t>；</w:t>
      </w:r>
    </w:p>
    <w:p w14:paraId="224820EE">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lang w:eastAsia="zh-CN"/>
        </w:rPr>
        <w:t>）不同供应商的电子投标(响应)文件上传时的手机号信息相同且无法合理解释的。</w:t>
      </w:r>
    </w:p>
    <w:p w14:paraId="2AE96930">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10、投标文件报价出现前后不一致的，按照下列规定修正：</w:t>
      </w:r>
    </w:p>
    <w:p w14:paraId="3506DAD2">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（1）系统上传的投标文件中开标一览表（报价表）（加盖公章）内容与投标文件中相应内容不一致的，以系统上传的投标文件中开标一览表（报价表）（加盖公章）为准；</w:t>
      </w:r>
    </w:p>
    <w:p w14:paraId="1D1CC8E7">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（2）大写金额和小写金额不一致的，以大写金额为准；</w:t>
      </w:r>
    </w:p>
    <w:p w14:paraId="7375BD4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（3）单价金额小数点或者百分比有明显错位的，以开标一览表的总价为准，并修改单价；</w:t>
      </w:r>
    </w:p>
    <w:p w14:paraId="50C454E6">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（4）总价金额与按单价汇总金额不一致的，以单价金额计算结果为准。</w:t>
      </w:r>
    </w:p>
    <w:p w14:paraId="6469A48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14:paraId="5B63AB87">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14:paraId="6294453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12、投标文件的澄清</w:t>
      </w:r>
    </w:p>
    <w:p w14:paraId="2BD78C3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14:paraId="49FB1132">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14:paraId="3FDBD6B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拒不按要求对其投标文件进行澄清，说明或补正的投标人，评标委员会可以否决其投标。</w:t>
      </w:r>
    </w:p>
    <w:p w14:paraId="35C334B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12.2</w:t>
      </w:r>
      <w:r>
        <w:rPr>
          <w:rFonts w:hint="eastAsia" w:ascii="新宋体" w:hAnsi="新宋体" w:eastAsia="新宋体" w:cs="新宋体"/>
          <w:b/>
          <w:color w:val="auto"/>
          <w:sz w:val="22"/>
          <w:szCs w:val="22"/>
          <w:highlight w:val="none"/>
        </w:rPr>
        <w:t>经澄清后，若偏差仍存在，且不可接受，投标人则被认为是“没有实质性响应</w:t>
      </w:r>
      <w:r>
        <w:rPr>
          <w:rFonts w:hint="eastAsia" w:ascii="新宋体" w:hAnsi="新宋体" w:eastAsia="新宋体" w:cs="新宋体"/>
          <w:b/>
          <w:color w:val="auto"/>
          <w:sz w:val="22"/>
          <w:szCs w:val="22"/>
          <w:highlight w:val="none"/>
          <w:lang w:eastAsia="zh-CN"/>
        </w:rPr>
        <w:t>采购文件</w:t>
      </w:r>
      <w:r>
        <w:rPr>
          <w:rFonts w:hint="eastAsia" w:ascii="新宋体" w:hAnsi="新宋体" w:eastAsia="新宋体" w:cs="新宋体"/>
          <w:b/>
          <w:color w:val="auto"/>
          <w:sz w:val="22"/>
          <w:szCs w:val="22"/>
          <w:highlight w:val="none"/>
        </w:rPr>
        <w:t>要求”，其投标将被拒绝。</w:t>
      </w:r>
    </w:p>
    <w:p w14:paraId="05F16B94">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13、评审结果的修改</w:t>
      </w:r>
    </w:p>
    <w:p w14:paraId="0948E24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13.1评标结果汇总完成后，除下列情形外，任何人不得修改评标结果：</w:t>
      </w:r>
    </w:p>
    <w:p w14:paraId="6281BD36">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（1）分值汇总计算错误的；</w:t>
      </w:r>
    </w:p>
    <w:p w14:paraId="00241AE1">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（2）分项评分超出评分标准范围的；</w:t>
      </w:r>
    </w:p>
    <w:p w14:paraId="07F057D2">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（3）评标委员会成员对客观评审因素评分不一致的；</w:t>
      </w:r>
    </w:p>
    <w:p w14:paraId="3B8C0CD7">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（4）经评标委员会认定评分畸高、畸低的。</w:t>
      </w:r>
    </w:p>
    <w:p w14:paraId="1F8140E5">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13.2书面评标报告签署前，经复核发现存在以上情形之一的，评标委员会将当场修改评标结果，并在</w:t>
      </w:r>
      <w:r>
        <w:rPr>
          <w:rFonts w:hint="eastAsia" w:ascii="新宋体" w:hAnsi="新宋体" w:eastAsia="新宋体" w:cs="新宋体"/>
          <w:b/>
          <w:color w:val="auto"/>
          <w:sz w:val="22"/>
          <w:szCs w:val="22"/>
          <w:highlight w:val="none"/>
        </w:rPr>
        <w:t>评标报告中记载。</w:t>
      </w:r>
    </w:p>
    <w:p w14:paraId="55FDC58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14</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14:paraId="3FB636E7">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14.1由评标委员会确定中标候选人。</w:t>
      </w:r>
    </w:p>
    <w:p w14:paraId="43748A15">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14.2评标委员会依据法律、法规及</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有关规定按评审后得分（即商务技术分与报价得分之和）由高到低顺序排序，得分前二名的投标人确定为该项目的第一和第二中标候选人（得分相同的，按投标报价由低到高顺序排列。得分且投标报价相同的并列。）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推荐。</w:t>
      </w:r>
    </w:p>
    <w:p w14:paraId="19837F9E">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
          <w:bCs/>
          <w:color w:val="auto"/>
          <w:sz w:val="22"/>
          <w:szCs w:val="22"/>
          <w:highlight w:val="none"/>
        </w:rPr>
        <w:t>15、确定中标人</w:t>
      </w:r>
    </w:p>
    <w:p w14:paraId="7FFA912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15</w:t>
      </w: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eastAsia="zh-CN"/>
        </w:rPr>
        <w:t>采购人</w:t>
      </w:r>
      <w:r>
        <w:rPr>
          <w:rFonts w:hint="eastAsia" w:ascii="新宋体" w:hAnsi="新宋体" w:eastAsia="新宋体" w:cs="新宋体"/>
          <w:b/>
          <w:bCs/>
          <w:color w:val="auto"/>
          <w:sz w:val="22"/>
          <w:szCs w:val="22"/>
          <w:highlight w:val="none"/>
        </w:rPr>
        <w:t>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6980EF78">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15.2如中标人放弃中标；或未能在规定时间内与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签订合同的；或者经质疑，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审查后，确因排名第一的候选人在本次采购活动中存在违法违规行为或其他原因使质疑成立的，</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可以视情况直接确定排名第二的候选人为中标人或重新组织招标。</w:t>
      </w:r>
    </w:p>
    <w:p w14:paraId="00E2277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16、起草、签署评审报告</w:t>
      </w:r>
    </w:p>
    <w:p w14:paraId="68359860">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1A8857A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中标人确定后，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将在政府指定媒体公告中标结果，</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向中标人发出中标通知书。</w:t>
      </w:r>
    </w:p>
    <w:p w14:paraId="5EBA51C6">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18、</w:t>
      </w:r>
      <w:r>
        <w:rPr>
          <w:rFonts w:hint="eastAsia" w:ascii="新宋体" w:hAnsi="新宋体" w:eastAsia="新宋体" w:cs="新宋体"/>
          <w:b/>
          <w:color w:val="auto"/>
          <w:sz w:val="22"/>
          <w:szCs w:val="22"/>
          <w:highlight w:val="none"/>
          <w:lang w:eastAsia="zh-CN"/>
        </w:rPr>
        <w:t>采购人</w:t>
      </w:r>
      <w:r>
        <w:rPr>
          <w:rFonts w:hint="eastAsia" w:ascii="新宋体" w:hAnsi="新宋体" w:eastAsia="新宋体" w:cs="新宋体"/>
          <w:b/>
          <w:color w:val="auto"/>
          <w:sz w:val="22"/>
          <w:szCs w:val="22"/>
          <w:highlight w:val="none"/>
        </w:rPr>
        <w:t>对决标结果不做任何解释，也不保证最低价中标。</w:t>
      </w:r>
    </w:p>
    <w:p w14:paraId="1BD20BA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19、评标细则详见“评标原则及方法”。</w:t>
      </w:r>
    </w:p>
    <w:p w14:paraId="04D9B695">
      <w:pPr>
        <w:spacing w:before="100" w:beforeAutospacing="1" w:after="100" w:afterAutospacing="1" w:line="440" w:lineRule="exact"/>
        <w:jc w:val="center"/>
        <w:outlineLvl w:val="1"/>
        <w:rPr>
          <w:rFonts w:hint="eastAsia" w:ascii="新宋体" w:hAnsi="新宋体" w:eastAsia="新宋体" w:cs="新宋体"/>
          <w:b/>
          <w:bCs/>
          <w:color w:val="auto"/>
          <w:sz w:val="26"/>
          <w:szCs w:val="26"/>
          <w:highlight w:val="none"/>
        </w:rPr>
      </w:pPr>
      <w:bookmarkStart w:id="22" w:name="_Toc26836"/>
      <w:bookmarkStart w:id="23" w:name="_Toc21056"/>
      <w:r>
        <w:rPr>
          <w:rFonts w:hint="eastAsia" w:ascii="新宋体" w:hAnsi="新宋体" w:eastAsia="新宋体" w:cs="新宋体"/>
          <w:b/>
          <w:bCs/>
          <w:color w:val="auto"/>
          <w:sz w:val="26"/>
          <w:szCs w:val="26"/>
          <w:highlight w:val="none"/>
        </w:rPr>
        <w:t>六、 授予合同</w:t>
      </w:r>
      <w:bookmarkEnd w:id="22"/>
      <w:bookmarkEnd w:id="23"/>
    </w:p>
    <w:p w14:paraId="7151C09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1、中标通知书</w:t>
      </w:r>
    </w:p>
    <w:p w14:paraId="0FD69E20">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1.1</w:t>
      </w:r>
      <w:r>
        <w:rPr>
          <w:rFonts w:hint="eastAsia" w:ascii="新宋体" w:hAnsi="新宋体" w:eastAsia="新宋体" w:cs="新宋体"/>
          <w:color w:val="auto"/>
          <w:sz w:val="22"/>
          <w:szCs w:val="22"/>
          <w:highlight w:val="none"/>
        </w:rPr>
        <w:t>中标人确定后，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 xml:space="preserve">将向中标人发出中标通知书。 </w:t>
      </w:r>
    </w:p>
    <w:p w14:paraId="23334FD4">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1.2</w:t>
      </w:r>
      <w:r>
        <w:rPr>
          <w:rFonts w:hint="eastAsia" w:ascii="新宋体" w:hAnsi="新宋体" w:eastAsia="新宋体" w:cs="新宋体"/>
          <w:color w:val="auto"/>
          <w:sz w:val="22"/>
          <w:szCs w:val="22"/>
          <w:highlight w:val="none"/>
        </w:rPr>
        <w:t>中标通知书是合同的一个组成部分,对</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和中标人均具有同等法律效力。</w:t>
      </w:r>
    </w:p>
    <w:p w14:paraId="051EFD7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2、授标时更改采购货物数量的权力</w:t>
      </w:r>
    </w:p>
    <w:p w14:paraId="73BCC599">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2.1</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在授予合同时有权对采购货物的数量和服务在一定幅度范围内予以增加或减少,但不得对单价和其他的条款和条件作任何改变。</w:t>
      </w:r>
    </w:p>
    <w:p w14:paraId="0B139744">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3、签订合同</w:t>
      </w:r>
    </w:p>
    <w:p w14:paraId="490BCCF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3.1中标人应按中标通知书规定的时间、地点与</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签订合同。</w:t>
      </w:r>
    </w:p>
    <w:p w14:paraId="1F9AC5BE">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3.2</w:t>
      </w:r>
      <w:r>
        <w:rPr>
          <w:rFonts w:hint="eastAsia" w:ascii="新宋体" w:hAnsi="新宋体" w:eastAsia="新宋体" w:cs="新宋体"/>
          <w:b/>
          <w:color w:val="auto"/>
          <w:spacing w:val="6"/>
          <w:sz w:val="22"/>
          <w:szCs w:val="22"/>
          <w:highlight w:val="none"/>
        </w:rPr>
        <w:t>在签订合同前，</w:t>
      </w:r>
      <w:r>
        <w:rPr>
          <w:rFonts w:hint="eastAsia" w:ascii="新宋体" w:hAnsi="新宋体" w:eastAsia="新宋体" w:cs="新宋体"/>
          <w:b/>
          <w:color w:val="auto"/>
          <w:spacing w:val="6"/>
          <w:sz w:val="22"/>
          <w:szCs w:val="22"/>
          <w:highlight w:val="none"/>
          <w:lang w:eastAsia="zh-CN"/>
        </w:rPr>
        <w:t>采购人</w:t>
      </w:r>
      <w:r>
        <w:rPr>
          <w:rFonts w:hint="eastAsia" w:ascii="新宋体" w:hAnsi="新宋体" w:eastAsia="新宋体" w:cs="新宋体"/>
          <w:b/>
          <w:color w:val="auto"/>
          <w:spacing w:val="6"/>
          <w:sz w:val="22"/>
          <w:szCs w:val="22"/>
          <w:highlight w:val="none"/>
        </w:rPr>
        <w:t>有权在中标总价不变的前提下要求中标人对商务报价中的不平衡报价和缺漏项进行调整，如果中标人无合理理由拒绝调整，其中投标资格将被取消，保证金将不予退还，且将导致其它进一步的赔偿和处罚。</w:t>
      </w:r>
    </w:p>
    <w:p w14:paraId="01972A7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3.3</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、中标人的投标文件、投标修改文件、评标过程中有关澄清文件及经投标人和评委双方签字的询标纪要和中标通知书均作为合同附件。</w:t>
      </w:r>
    </w:p>
    <w:p w14:paraId="4B074427">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3.4拒签合同的违约责任</w:t>
      </w:r>
    </w:p>
    <w:p w14:paraId="777C82C2">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66" w:firstLineChars="200"/>
        <w:textAlignment w:val="auto"/>
        <w:rPr>
          <w:rFonts w:hint="eastAsia" w:ascii="新宋体" w:hAnsi="新宋体" w:eastAsia="新宋体" w:cs="新宋体"/>
          <w:b/>
          <w:color w:val="auto"/>
          <w:spacing w:val="6"/>
          <w:sz w:val="22"/>
          <w:szCs w:val="22"/>
          <w:highlight w:val="none"/>
        </w:rPr>
      </w:pPr>
      <w:r>
        <w:rPr>
          <w:rFonts w:hint="eastAsia" w:ascii="新宋体" w:hAnsi="新宋体" w:eastAsia="新宋体" w:cs="新宋体"/>
          <w:b/>
          <w:color w:val="auto"/>
          <w:spacing w:val="6"/>
          <w:sz w:val="22"/>
          <w:szCs w:val="22"/>
          <w:highlight w:val="none"/>
        </w:rPr>
        <w:t>中标人接到中标通知书后，在规定时间内借故否认已经承诺的条件而拒签合同的，以违约处理。</w:t>
      </w:r>
    </w:p>
    <w:p w14:paraId="530A9A62">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lang w:val="en-US" w:eastAsia="zh-CN"/>
        </w:rPr>
        <w:t>4</w:t>
      </w:r>
      <w:r>
        <w:rPr>
          <w:rFonts w:hint="eastAsia" w:ascii="新宋体" w:hAnsi="新宋体" w:eastAsia="新宋体" w:cs="新宋体"/>
          <w:b/>
          <w:color w:val="auto"/>
          <w:sz w:val="22"/>
          <w:highlight w:val="none"/>
        </w:rPr>
        <w:t>、质疑与投诉</w:t>
      </w:r>
    </w:p>
    <w:p w14:paraId="6BB8EFB5">
      <w:pPr>
        <w:tabs>
          <w:tab w:val="left" w:pos="360"/>
        </w:tabs>
        <w:spacing w:line="460" w:lineRule="exact"/>
        <w:ind w:firstLine="464" w:firstLineChars="200"/>
        <w:rPr>
          <w:rFonts w:hint="eastAsia" w:ascii="新宋体" w:hAnsi="新宋体" w:eastAsia="新宋体" w:cs="新宋体"/>
          <w:b/>
          <w:bCs w:val="0"/>
          <w:color w:val="auto"/>
          <w:sz w:val="22"/>
          <w:highlight w:val="none"/>
          <w:lang w:val="en-US" w:eastAsia="zh-CN"/>
        </w:rPr>
      </w:pPr>
      <w:r>
        <w:rPr>
          <w:rFonts w:hint="eastAsia" w:ascii="新宋体" w:hAnsi="新宋体" w:eastAsia="新宋体" w:cs="新宋体"/>
          <w:b w:val="0"/>
          <w:bCs/>
          <w:color w:val="auto"/>
          <w:spacing w:val="6"/>
          <w:sz w:val="22"/>
          <w:szCs w:val="22"/>
          <w:highlight w:val="none"/>
          <w:lang w:val="en-US" w:eastAsia="zh-CN"/>
        </w:rPr>
        <w:t>4</w:t>
      </w:r>
      <w:r>
        <w:rPr>
          <w:rFonts w:hint="eastAsia" w:ascii="新宋体" w:hAnsi="新宋体" w:eastAsia="新宋体" w:cs="新宋体"/>
          <w:b w:val="0"/>
          <w:bCs/>
          <w:color w:val="auto"/>
          <w:spacing w:val="6"/>
          <w:sz w:val="22"/>
          <w:szCs w:val="22"/>
          <w:highlight w:val="none"/>
        </w:rPr>
        <w:t>.1</w:t>
      </w:r>
      <w:r>
        <w:rPr>
          <w:rFonts w:hint="eastAsia" w:ascii="新宋体" w:hAnsi="新宋体" w:eastAsia="新宋体" w:cs="新宋体"/>
          <w:b/>
          <w:bCs w:val="0"/>
          <w:color w:val="auto"/>
          <w:sz w:val="22"/>
          <w:highlight w:val="none"/>
          <w:lang w:val="en-US" w:eastAsia="zh-CN"/>
        </w:rPr>
        <w:t>特别提醒：</w:t>
      </w:r>
      <w:r>
        <w:rPr>
          <w:rFonts w:hint="eastAsia" w:ascii="新宋体" w:hAnsi="新宋体" w:eastAsia="新宋体" w:cs="新宋体"/>
          <w:color w:val="auto"/>
          <w:sz w:val="22"/>
          <w:highlight w:val="none"/>
          <w:lang w:val="en-US" w:eastAsia="zh-CN"/>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w:t>
      </w:r>
      <w:r>
        <w:rPr>
          <w:rFonts w:hint="eastAsia" w:ascii="新宋体" w:hAnsi="新宋体" w:eastAsia="新宋体" w:cs="新宋体"/>
          <w:bCs/>
          <w:color w:val="auto"/>
          <w:sz w:val="22"/>
          <w:highlight w:val="none"/>
          <w:lang w:eastAsia="zh-CN"/>
        </w:rPr>
        <w:t>，</w:t>
      </w:r>
      <w:r>
        <w:rPr>
          <w:rFonts w:hint="eastAsia" w:ascii="新宋体" w:hAnsi="新宋体" w:eastAsia="新宋体" w:cs="新宋体"/>
          <w:b/>
          <w:bCs w:val="0"/>
          <w:color w:val="auto"/>
          <w:sz w:val="22"/>
          <w:highlight w:val="none"/>
          <w:lang w:val="en-US" w:eastAsia="zh-CN"/>
        </w:rPr>
        <w:t>供应商在法定质疑期内应一次性提出针对同一采购程序环节的质疑，否则</w:t>
      </w:r>
      <w:r>
        <w:rPr>
          <w:rFonts w:hint="eastAsia" w:ascii="新宋体" w:hAnsi="新宋体" w:eastAsia="新宋体" w:cs="新宋体"/>
          <w:b/>
          <w:bCs w:val="0"/>
          <w:color w:val="auto"/>
          <w:sz w:val="22"/>
          <w:szCs w:val="22"/>
          <w:highlight w:val="none"/>
        </w:rPr>
        <w:t>不予受理、答复</w:t>
      </w:r>
      <w:r>
        <w:rPr>
          <w:rFonts w:hint="eastAsia" w:ascii="新宋体" w:hAnsi="新宋体" w:eastAsia="新宋体" w:cs="新宋体"/>
          <w:b/>
          <w:bCs w:val="0"/>
          <w:color w:val="auto"/>
          <w:sz w:val="22"/>
          <w:highlight w:val="none"/>
          <w:lang w:val="en-US" w:eastAsia="zh-CN"/>
        </w:rPr>
        <w:t>。</w:t>
      </w:r>
    </w:p>
    <w:p w14:paraId="33A842F4">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lang w:val="en-US" w:eastAsia="zh-CN"/>
        </w:rPr>
        <w:t>4</w:t>
      </w:r>
      <w:r>
        <w:rPr>
          <w:rFonts w:hint="eastAsia" w:ascii="新宋体" w:hAnsi="新宋体" w:eastAsia="新宋体" w:cs="新宋体"/>
          <w:color w:val="auto"/>
          <w:sz w:val="22"/>
          <w:highlight w:val="none"/>
        </w:rPr>
        <w:t>.2</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在收到投标人的书面质疑后七个工作日内作出答复，但答复的内容不得涉及商业秘密。质疑投标人对</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的答复不满意，可以在答复期满后十五个工作日内向同级政府采购监督管理部门投诉。</w:t>
      </w:r>
    </w:p>
    <w:p w14:paraId="493CBF5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val="en-US" w:eastAsia="zh-CN"/>
        </w:rPr>
        <w:t>4</w:t>
      </w:r>
      <w:r>
        <w:rPr>
          <w:rFonts w:hint="eastAsia" w:ascii="新宋体" w:hAnsi="新宋体" w:eastAsia="新宋体" w:cs="新宋体"/>
          <w:color w:val="auto"/>
          <w:sz w:val="22"/>
          <w:highlight w:val="none"/>
        </w:rPr>
        <w:t>.3投诉人投诉时，应提交投诉书，投诉书应当由本人并由法定代表人签字盖公章，投诉书应说明具体的投诉事项及事实依据。投诉人对投诉书的真实性负责，恶意投诉将承当相应的法律和民事责任。</w:t>
      </w:r>
    </w:p>
    <w:p w14:paraId="72189797">
      <w:pPr>
        <w:rPr>
          <w:rFonts w:hint="eastAsia" w:ascii="新宋体" w:hAnsi="新宋体" w:eastAsia="新宋体" w:cs="新宋体"/>
          <w:color w:val="auto"/>
          <w:highlight w:val="none"/>
        </w:rPr>
      </w:pPr>
      <w:bookmarkStart w:id="24" w:name="_Toc28194"/>
      <w:bookmarkStart w:id="25" w:name="_Toc19043"/>
      <w:r>
        <w:rPr>
          <w:rFonts w:hint="eastAsia" w:ascii="新宋体" w:hAnsi="新宋体" w:eastAsia="新宋体" w:cs="新宋体"/>
          <w:color w:val="auto"/>
          <w:highlight w:val="none"/>
        </w:rPr>
        <w:br w:type="page"/>
      </w:r>
    </w:p>
    <w:p w14:paraId="6007424D">
      <w:pPr>
        <w:pStyle w:val="4"/>
        <w:rPr>
          <w:rFonts w:hint="eastAsia" w:ascii="新宋体" w:hAnsi="新宋体" w:eastAsia="新宋体" w:cs="新宋体"/>
          <w:color w:val="auto"/>
          <w:highlight w:val="none"/>
        </w:rPr>
      </w:pPr>
      <w:r>
        <w:rPr>
          <w:rFonts w:hint="eastAsia" w:ascii="新宋体" w:hAnsi="新宋体" w:eastAsia="新宋体" w:cs="新宋体"/>
          <w:color w:val="auto"/>
          <w:highlight w:val="none"/>
        </w:rPr>
        <w:t>第二部分</w:t>
      </w:r>
      <w:r>
        <w:rPr>
          <w:rFonts w:hint="eastAsia" w:ascii="新宋体" w:hAnsi="新宋体" w:eastAsia="新宋体" w:cs="新宋体"/>
          <w:color w:val="auto"/>
          <w:highlight w:val="none"/>
          <w:lang w:val="en-US" w:eastAsia="zh-CN"/>
        </w:rPr>
        <w:t xml:space="preserve">   </w:t>
      </w:r>
      <w:r>
        <w:rPr>
          <w:rFonts w:hint="eastAsia" w:ascii="新宋体" w:hAnsi="新宋体" w:eastAsia="新宋体" w:cs="新宋体"/>
          <w:color w:val="auto"/>
          <w:highlight w:val="none"/>
        </w:rPr>
        <w:t>合同主要条款</w:t>
      </w:r>
      <w:bookmarkEnd w:id="24"/>
      <w:bookmarkEnd w:id="25"/>
    </w:p>
    <w:p w14:paraId="600B8E89">
      <w:pPr>
        <w:snapToGrid w:val="0"/>
        <w:spacing w:line="360" w:lineRule="auto"/>
        <w:jc w:val="center"/>
        <w:rPr>
          <w:rFonts w:hint="eastAsia" w:ascii="新宋体" w:hAnsi="新宋体" w:eastAsia="新宋体" w:cs="新宋体"/>
          <w:b/>
          <w:color w:val="auto"/>
          <w:sz w:val="30"/>
          <w:szCs w:val="30"/>
          <w:highlight w:val="none"/>
        </w:rPr>
      </w:pPr>
      <w:r>
        <w:rPr>
          <w:rFonts w:hint="eastAsia" w:ascii="新宋体" w:hAnsi="新宋体" w:eastAsia="新宋体" w:cs="新宋体"/>
          <w:b/>
          <w:color w:val="auto"/>
          <w:sz w:val="30"/>
          <w:szCs w:val="30"/>
          <w:highlight w:val="none"/>
        </w:rPr>
        <w:t>（具体条款以甲方为主协商确定）</w:t>
      </w:r>
    </w:p>
    <w:p w14:paraId="6CD48F8E">
      <w:pPr>
        <w:keepNext w:val="0"/>
        <w:keepLines w:val="0"/>
        <w:pageBreakBefore w:val="0"/>
        <w:widowControl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发包人（甲方）：温州市中心血站                  </w:t>
      </w:r>
    </w:p>
    <w:p w14:paraId="37DF4B5C">
      <w:pPr>
        <w:keepNext w:val="0"/>
        <w:keepLines w:val="0"/>
        <w:pageBreakBefore w:val="0"/>
        <w:widowControl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承包人（乙方）：                                  </w:t>
      </w:r>
    </w:p>
    <w:p w14:paraId="3D98062E">
      <w:pPr>
        <w:keepNext w:val="0"/>
        <w:keepLines w:val="0"/>
        <w:pageBreakBefore w:val="0"/>
        <w:widowControl w:val="0"/>
        <w:kinsoku/>
        <w:wordWrap/>
        <w:overflowPunct/>
        <w:topLinePunct w:val="0"/>
        <w:autoSpaceDE/>
        <w:autoSpaceDN/>
        <w:bidi w:val="0"/>
        <w:spacing w:line="460" w:lineRule="exact"/>
        <w:ind w:right="-306"/>
        <w:textAlignment w:val="auto"/>
        <w:rPr>
          <w:rFonts w:hint="eastAsia" w:ascii="新宋体" w:hAnsi="新宋体" w:eastAsia="新宋体" w:cs="新宋体"/>
          <w:color w:val="auto"/>
          <w:sz w:val="22"/>
          <w:szCs w:val="22"/>
          <w:highlight w:val="none"/>
        </w:rPr>
      </w:pPr>
    </w:p>
    <w:p w14:paraId="429ACD93">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鉴于甲方于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年</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月</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日接受乙方对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的投标，双方根据《中华人民共和国民法典》、本项目的</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、投标文件及其他有关规定，经双方协商一致，签订本合同，共同遵守。</w:t>
      </w:r>
    </w:p>
    <w:p w14:paraId="490D3CB3">
      <w:pPr>
        <w:keepNext w:val="0"/>
        <w:keepLines w:val="0"/>
        <w:pageBreakBefore w:val="0"/>
        <w:widowControl w:val="0"/>
        <w:kinsoku/>
        <w:wordWrap/>
        <w:overflowPunct/>
        <w:topLinePunct w:val="0"/>
        <w:autoSpaceDE/>
        <w:autoSpaceDN/>
        <w:bidi w:val="0"/>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一、</w:t>
      </w:r>
      <w:r>
        <w:rPr>
          <w:rFonts w:hint="eastAsia" w:ascii="新宋体" w:hAnsi="新宋体" w:eastAsia="新宋体" w:cs="新宋体"/>
          <w:b/>
          <w:color w:val="auto"/>
          <w:sz w:val="22"/>
          <w:szCs w:val="22"/>
          <w:highlight w:val="none"/>
        </w:rPr>
        <w:t>合同的组成部分</w:t>
      </w:r>
    </w:p>
    <w:p w14:paraId="2CA6DA85">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(1) 合同主要条款                </w:t>
      </w:r>
    </w:p>
    <w:p w14:paraId="3335A8C1">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 中标通知书</w:t>
      </w:r>
    </w:p>
    <w:p w14:paraId="12356773">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(3) 投标分项报价表               </w:t>
      </w:r>
    </w:p>
    <w:p w14:paraId="7CA41038">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(4) 技术规格、商务条款偏离表           </w:t>
      </w:r>
    </w:p>
    <w:p w14:paraId="4A45911F">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 招标内容及要求</w:t>
      </w:r>
    </w:p>
    <w:p w14:paraId="3EDC2B33">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(6) 合同补充条款或说明（如有的话）     </w:t>
      </w:r>
    </w:p>
    <w:p w14:paraId="366A46A1">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(7) 承诺书      （含询标记录和优惠条件）       </w:t>
      </w:r>
    </w:p>
    <w:p w14:paraId="3D0326DD">
      <w:pPr>
        <w:keepNext w:val="0"/>
        <w:keepLines w:val="0"/>
        <w:pageBreakBefore w:val="0"/>
        <w:widowControl w:val="0"/>
        <w:kinsoku/>
        <w:wordWrap/>
        <w:overflowPunct/>
        <w:topLinePunct w:val="0"/>
        <w:autoSpaceDE/>
        <w:autoSpaceDN/>
        <w:bidi w:val="0"/>
        <w:spacing w:line="460" w:lineRule="exact"/>
        <w:ind w:firstLine="442"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二、合同价格</w:t>
      </w:r>
    </w:p>
    <w:p w14:paraId="6CFD2517">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本合同总价为人民币</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万元（大写：</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元整）</w:t>
      </w:r>
    </w:p>
    <w:p w14:paraId="4841106A">
      <w:pPr>
        <w:keepNext w:val="0"/>
        <w:keepLines w:val="0"/>
        <w:pageBreakBefore w:val="0"/>
        <w:widowControl w:val="0"/>
        <w:kinsoku/>
        <w:wordWrap/>
        <w:overflowPunct/>
        <w:topLinePunct w:val="0"/>
        <w:autoSpaceDE/>
        <w:autoSpaceDN/>
        <w:bidi w:val="0"/>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三</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szCs w:val="22"/>
          <w:highlight w:val="none"/>
        </w:rPr>
        <w:t>交货时间和地点</w:t>
      </w:r>
    </w:p>
    <w:p w14:paraId="21E3E323">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b/>
          <w:bCs/>
          <w:color w:val="auto"/>
          <w:kern w:val="0"/>
          <w:sz w:val="22"/>
          <w:szCs w:val="22"/>
          <w:highlight w:val="none"/>
          <w:lang w:val="en-US" w:eastAsia="zh-CN"/>
        </w:rPr>
      </w:pPr>
      <w:r>
        <w:rPr>
          <w:rFonts w:hint="eastAsia" w:ascii="新宋体" w:hAnsi="新宋体" w:eastAsia="新宋体" w:cs="新宋体"/>
          <w:bCs/>
          <w:color w:val="auto"/>
          <w:kern w:val="0"/>
          <w:sz w:val="22"/>
          <w:szCs w:val="22"/>
          <w:highlight w:val="none"/>
        </w:rPr>
        <w:t>1</w:t>
      </w:r>
      <w:r>
        <w:rPr>
          <w:rFonts w:hint="eastAsia" w:ascii="新宋体" w:hAnsi="新宋体" w:eastAsia="新宋体" w:cs="新宋体"/>
          <w:bCs/>
          <w:color w:val="auto"/>
          <w:kern w:val="0"/>
          <w:sz w:val="22"/>
          <w:szCs w:val="22"/>
          <w:highlight w:val="none"/>
          <w:lang w:eastAsia="zh-CN"/>
        </w:rPr>
        <w:t>、</w:t>
      </w:r>
      <w:r>
        <w:rPr>
          <w:rFonts w:hint="eastAsia" w:ascii="新宋体" w:hAnsi="新宋体" w:eastAsia="新宋体" w:cs="新宋体"/>
          <w:b/>
          <w:bCs/>
          <w:color w:val="auto"/>
          <w:kern w:val="0"/>
          <w:sz w:val="22"/>
          <w:szCs w:val="22"/>
          <w:highlight w:val="none"/>
        </w:rPr>
        <w:t>安装、交付使用时间：</w:t>
      </w:r>
      <w:r>
        <w:rPr>
          <w:rFonts w:hint="eastAsia" w:ascii="新宋体" w:hAnsi="新宋体" w:eastAsia="新宋体" w:cs="新宋体"/>
          <w:b/>
          <w:bCs/>
          <w:color w:val="auto"/>
          <w:kern w:val="0"/>
          <w:sz w:val="22"/>
          <w:szCs w:val="22"/>
          <w:highlight w:val="none"/>
          <w:u w:val="single"/>
        </w:rPr>
        <w:t>合同签订后按采购单位要求完成项目所有内容的实施。</w:t>
      </w:r>
      <w:r>
        <w:rPr>
          <w:rFonts w:hint="eastAsia" w:ascii="新宋体" w:hAnsi="新宋体" w:eastAsia="新宋体" w:cs="新宋体"/>
          <w:b/>
          <w:bCs/>
          <w:color w:val="auto"/>
          <w:kern w:val="0"/>
          <w:sz w:val="22"/>
          <w:szCs w:val="22"/>
          <w:highlight w:val="none"/>
          <w:u w:val="single"/>
          <w:lang w:val="en-US" w:eastAsia="zh-CN"/>
        </w:rPr>
        <w:t>供货方式：分批。乙方接到甲方订货通知后，15天内送达。</w:t>
      </w:r>
    </w:p>
    <w:p w14:paraId="2B08AD63">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安装、交付使用地点：甲方指定地点。</w:t>
      </w:r>
    </w:p>
    <w:p w14:paraId="79E4D24B">
      <w:pPr>
        <w:keepNext w:val="0"/>
        <w:keepLines w:val="0"/>
        <w:pageBreakBefore w:val="0"/>
        <w:widowControl w:val="0"/>
        <w:kinsoku/>
        <w:wordWrap/>
        <w:overflowPunct/>
        <w:topLinePunct w:val="0"/>
        <w:autoSpaceDE/>
        <w:autoSpaceDN/>
        <w:bidi w:val="0"/>
        <w:spacing w:line="460" w:lineRule="exact"/>
        <w:ind w:firstLine="442" w:firstLineChars="200"/>
        <w:textAlignment w:val="auto"/>
        <w:rPr>
          <w:rFonts w:hint="eastAsia" w:ascii="新宋体" w:hAnsi="新宋体" w:eastAsia="新宋体" w:cs="新宋体"/>
          <w:b/>
          <w:color w:val="auto"/>
          <w:sz w:val="22"/>
          <w:szCs w:val="22"/>
          <w:highlight w:val="none"/>
        </w:rPr>
      </w:pPr>
      <w:bookmarkStart w:id="26" w:name="_Toc188355457"/>
      <w:bookmarkStart w:id="27" w:name="_Toc171189368"/>
      <w:bookmarkStart w:id="28" w:name="_Toc175826932"/>
      <w:r>
        <w:rPr>
          <w:rFonts w:hint="eastAsia" w:ascii="新宋体" w:hAnsi="新宋体" w:eastAsia="新宋体" w:cs="新宋体"/>
          <w:b/>
          <w:color w:val="auto"/>
          <w:sz w:val="22"/>
          <w:szCs w:val="22"/>
          <w:highlight w:val="none"/>
        </w:rPr>
        <w:t>四</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szCs w:val="22"/>
          <w:highlight w:val="none"/>
        </w:rPr>
        <w:t>到货、安装、调试和验收</w:t>
      </w:r>
      <w:bookmarkEnd w:id="26"/>
      <w:bookmarkEnd w:id="27"/>
      <w:bookmarkEnd w:id="28"/>
    </w:p>
    <w:p w14:paraId="7A53E5D3">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b/>
          <w:color w:val="auto"/>
          <w:spacing w:val="20"/>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b/>
          <w:color w:val="auto"/>
          <w:sz w:val="22"/>
          <w:szCs w:val="22"/>
          <w:highlight w:val="none"/>
        </w:rPr>
        <w:t>到货</w:t>
      </w:r>
      <w:r>
        <w:rPr>
          <w:rFonts w:hint="eastAsia" w:ascii="新宋体" w:hAnsi="新宋体" w:eastAsia="新宋体" w:cs="新宋体"/>
          <w:b/>
          <w:color w:val="auto"/>
          <w:spacing w:val="20"/>
          <w:sz w:val="22"/>
          <w:szCs w:val="22"/>
          <w:highlight w:val="none"/>
        </w:rPr>
        <w:t xml:space="preserve"> </w:t>
      </w:r>
    </w:p>
    <w:p w14:paraId="177ABB9F">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乙方必须在合同规定的时间内完成货物的供货。货物到达现场后，乙方必须派员到现场与甲方一起开箱并按供货清单验收</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若有缺少或损坏，乙方应立即补足或更换全新同规格产品，直至甲方满意为止。</w:t>
      </w:r>
    </w:p>
    <w:p w14:paraId="30F9D6E1">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b/>
          <w:color w:val="auto"/>
          <w:sz w:val="22"/>
          <w:szCs w:val="22"/>
          <w:highlight w:val="none"/>
        </w:rPr>
        <w:t>安装</w:t>
      </w:r>
    </w:p>
    <w:p w14:paraId="6E918D65">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kern w:val="0"/>
          <w:sz w:val="22"/>
          <w:szCs w:val="22"/>
          <w:highlight w:val="none"/>
        </w:rPr>
        <w:t>2.1</w:t>
      </w:r>
      <w:r>
        <w:rPr>
          <w:rFonts w:hint="eastAsia" w:ascii="新宋体" w:hAnsi="新宋体" w:eastAsia="新宋体" w:cs="新宋体"/>
          <w:color w:val="auto"/>
          <w:sz w:val="22"/>
          <w:szCs w:val="22"/>
          <w:highlight w:val="none"/>
        </w:rPr>
        <w:t>货物到达甲方指定地点后，乙方应按甲方规定的日期指派工程技术人员对货物进行安装调试，直至通过验收。货物的安装调试及现场培训应在合同规定的期限内完成。</w:t>
      </w:r>
    </w:p>
    <w:p w14:paraId="61BE7BD5">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2.2设备的安装必须符合有关标准和规范。安装过程中甲方将对货物的安装质量进行监督。</w:t>
      </w:r>
    </w:p>
    <w:p w14:paraId="71E70766">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调试</w:t>
      </w:r>
    </w:p>
    <w:p w14:paraId="5E4E7791">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kern w:val="0"/>
          <w:sz w:val="22"/>
          <w:szCs w:val="22"/>
          <w:highlight w:val="none"/>
        </w:rPr>
        <w:t>货物安装就位、校准后，乙方应按事先被甲方认可的调试验收计划对货物进行调试，并对货物所标注的各项技术参数进行测试，测试报告将在货物验收完毕后提交给甲方，但乙方应对测试的各种数据的真实性负责。</w:t>
      </w:r>
      <w:r>
        <w:rPr>
          <w:rFonts w:hint="eastAsia" w:ascii="新宋体" w:hAnsi="新宋体" w:eastAsia="新宋体" w:cs="新宋体"/>
          <w:color w:val="auto"/>
          <w:sz w:val="22"/>
          <w:szCs w:val="22"/>
          <w:highlight w:val="none"/>
        </w:rPr>
        <w:t>甲方也可以要求具有检测资质的第三方用专用仪器对货物进行功能 、性能测试，乙方负责所需的一切费用。</w:t>
      </w:r>
    </w:p>
    <w:p w14:paraId="7F4ACC34">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验收</w:t>
      </w:r>
    </w:p>
    <w:p w14:paraId="593DB6B4">
      <w:pPr>
        <w:keepNext w:val="0"/>
        <w:keepLines w:val="0"/>
        <w:pageBreakBefore w:val="0"/>
        <w:widowControl w:val="0"/>
        <w:kinsoku/>
        <w:wordWrap/>
        <w:overflowPunct/>
        <w:topLinePunct w:val="0"/>
        <w:autoSpaceDE/>
        <w:autoSpaceDN/>
        <w:bidi w:val="0"/>
        <w:spacing w:line="460" w:lineRule="exact"/>
        <w:ind w:firstLine="442"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甲方根据甲方的样品对乙方所提供的货物进行验收。</w:t>
      </w:r>
    </w:p>
    <w:p w14:paraId="79493563">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货物经过试运行考核无故障（或存在的故障和隐患均已全部排除），并经相关部门检验合格，所有的技术资料和图纸已向甲方提交并被接受，验收视为合格，买卖双方签署验收合格证书。 若因乙方产品质量或安装技术问题导致验收不合格，乙方应及时予以处理，直至验收合格，期间发生的一切相关费用由乙方承担，甲方保留向乙方索赔的权利。</w:t>
      </w:r>
    </w:p>
    <w:p w14:paraId="5C075257">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若因乙方产品质量或安装技术问题导致货物二次验收都不合格，甲方有权选择退货，并保留向乙方索赔的权利。</w:t>
      </w:r>
    </w:p>
    <w:p w14:paraId="0EB737B2">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bCs/>
          <w:color w:val="auto"/>
          <w:kern w:val="0"/>
          <w:sz w:val="22"/>
          <w:szCs w:val="22"/>
          <w:highlight w:val="none"/>
        </w:rPr>
        <w:t>乙方在货物到货、安装、调试和验收期间应接受甲方的协调和管理，乙方应采取严格的防范措施，承担由于自身原因所造成的事故责任及其发生的一切费用。</w:t>
      </w:r>
    </w:p>
    <w:p w14:paraId="3E9FE3EF">
      <w:pPr>
        <w:keepNext w:val="0"/>
        <w:keepLines w:val="0"/>
        <w:pageBreakBefore w:val="0"/>
        <w:widowControl w:val="0"/>
        <w:kinsoku/>
        <w:wordWrap/>
        <w:overflowPunct/>
        <w:topLinePunct w:val="0"/>
        <w:autoSpaceDE/>
        <w:autoSpaceDN/>
        <w:bidi w:val="0"/>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五</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szCs w:val="22"/>
          <w:highlight w:val="none"/>
        </w:rPr>
        <w:t>技术文件资料的交付</w:t>
      </w:r>
    </w:p>
    <w:p w14:paraId="0230AB68">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1</w:t>
      </w:r>
      <w:r>
        <w:rPr>
          <w:rFonts w:hint="eastAsia" w:ascii="新宋体" w:hAnsi="新宋体" w:eastAsia="新宋体" w:cs="新宋体"/>
          <w:bCs/>
          <w:color w:val="auto"/>
          <w:kern w:val="0"/>
          <w:sz w:val="22"/>
          <w:szCs w:val="22"/>
          <w:highlight w:val="none"/>
          <w:lang w:eastAsia="zh-CN"/>
        </w:rPr>
        <w:t>、</w:t>
      </w:r>
      <w:r>
        <w:rPr>
          <w:rFonts w:hint="eastAsia" w:ascii="新宋体" w:hAnsi="新宋体" w:eastAsia="新宋体" w:cs="新宋体"/>
          <w:bCs/>
          <w:color w:val="auto"/>
          <w:kern w:val="0"/>
          <w:sz w:val="22"/>
          <w:szCs w:val="22"/>
          <w:highlight w:val="none"/>
        </w:rPr>
        <w:t>货物交货的同时应提供下列资料：</w:t>
      </w:r>
    </w:p>
    <w:p w14:paraId="30CBA037">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1.1随机的易损件、备品备件及特殊专用工具清单（如有）</w:t>
      </w:r>
    </w:p>
    <w:p w14:paraId="1A24193F">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bCs/>
          <w:color w:val="auto"/>
          <w:kern w:val="0"/>
          <w:sz w:val="22"/>
          <w:szCs w:val="22"/>
          <w:highlight w:val="none"/>
        </w:rPr>
      </w:pPr>
      <w:r>
        <w:rPr>
          <w:rFonts w:hint="eastAsia" w:ascii="新宋体" w:hAnsi="新宋体" w:eastAsia="新宋体" w:cs="新宋体"/>
          <w:color w:val="auto"/>
          <w:sz w:val="22"/>
          <w:szCs w:val="22"/>
          <w:highlight w:val="none"/>
        </w:rPr>
        <w:t>1.2相关的检验检测报告、合格证书、产品说明书、技术资料、操作手册、检修保养手册等技术资</w:t>
      </w:r>
      <w:r>
        <w:rPr>
          <w:rFonts w:hint="eastAsia" w:ascii="新宋体" w:hAnsi="新宋体" w:eastAsia="新宋体" w:cs="新宋体"/>
          <w:bCs/>
          <w:color w:val="auto"/>
          <w:kern w:val="0"/>
          <w:sz w:val="22"/>
          <w:szCs w:val="22"/>
          <w:highlight w:val="none"/>
        </w:rPr>
        <w:t>料。</w:t>
      </w:r>
    </w:p>
    <w:p w14:paraId="77665ED0">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1.3电气原理图，各系统功能及设备制作、安装说明。</w:t>
      </w:r>
    </w:p>
    <w:p w14:paraId="1C6144DE">
      <w:pPr>
        <w:pStyle w:val="22"/>
        <w:keepNext w:val="0"/>
        <w:keepLines w:val="0"/>
        <w:pageBreakBefore w:val="0"/>
        <w:widowControl w:val="0"/>
        <w:kinsoku/>
        <w:wordWrap/>
        <w:overflowPunct/>
        <w:topLinePunct w:val="0"/>
        <w:autoSpaceDE/>
        <w:autoSpaceDN/>
        <w:bidi w:val="0"/>
        <w:adjustRightInd w:val="0"/>
        <w:snapToGrid w:val="0"/>
        <w:spacing w:line="460" w:lineRule="exact"/>
        <w:ind w:firstLine="442" w:firstLineChars="200"/>
        <w:textAlignment w:val="auto"/>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六</w:t>
      </w:r>
      <w:r>
        <w:rPr>
          <w:rFonts w:hint="eastAsia" w:ascii="新宋体" w:hAnsi="新宋体" w:eastAsia="新宋体" w:cs="新宋体"/>
          <w:b/>
          <w:bCs/>
          <w:color w:val="auto"/>
          <w:kern w:val="0"/>
          <w:sz w:val="22"/>
          <w:szCs w:val="22"/>
          <w:highlight w:val="none"/>
          <w:lang w:eastAsia="zh-CN"/>
        </w:rPr>
        <w:t>、</w:t>
      </w:r>
      <w:r>
        <w:rPr>
          <w:rFonts w:hint="eastAsia" w:ascii="新宋体" w:hAnsi="新宋体" w:eastAsia="新宋体" w:cs="新宋体"/>
          <w:b/>
          <w:bCs/>
          <w:color w:val="auto"/>
          <w:kern w:val="0"/>
          <w:sz w:val="22"/>
          <w:szCs w:val="22"/>
          <w:highlight w:val="none"/>
        </w:rPr>
        <w:t>货物质量保证和标准</w:t>
      </w:r>
    </w:p>
    <w:p w14:paraId="46598658">
      <w:pPr>
        <w:keepNext w:val="0"/>
        <w:keepLines w:val="0"/>
        <w:pageBreakBefore w:val="0"/>
        <w:widowControl w:val="0"/>
        <w:kinsoku/>
        <w:wordWrap/>
        <w:overflowPunct/>
        <w:topLinePunct w:val="0"/>
        <w:autoSpaceDE/>
        <w:autoSpaceDN/>
        <w:bidi w:val="0"/>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本</w:t>
      </w:r>
      <w:r>
        <w:rPr>
          <w:rFonts w:hint="eastAsia" w:ascii="新宋体" w:hAnsi="新宋体" w:eastAsia="新宋体" w:cs="新宋体"/>
          <w:b/>
          <w:color w:val="auto"/>
          <w:sz w:val="22"/>
          <w:szCs w:val="22"/>
          <w:highlight w:val="none"/>
        </w:rPr>
        <w:t>项目所有产品应提供自货物验收合格并交付使用后至少1年（12个月）的现场免费质保期，如厂商本身承诺的产品质保期高于此要求的则按照厂商承诺执行在质量保证期内，乙方对由于产品设计、工艺、材料、配套件的缺陷而造成的任何产品质量问题或故障负责。</w:t>
      </w:r>
    </w:p>
    <w:p w14:paraId="40C765F0">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w:t>
      </w:r>
      <w:r>
        <w:rPr>
          <w:rFonts w:hint="eastAsia" w:ascii="新宋体" w:hAnsi="新宋体" w:eastAsia="新宋体" w:cs="新宋体"/>
          <w:bCs/>
          <w:color w:val="auto"/>
          <w:kern w:val="0"/>
          <w:sz w:val="22"/>
          <w:szCs w:val="22"/>
          <w:highlight w:val="none"/>
          <w:lang w:eastAsia="zh-CN"/>
        </w:rPr>
        <w:t>、</w:t>
      </w:r>
      <w:r>
        <w:rPr>
          <w:rFonts w:hint="eastAsia" w:ascii="新宋体" w:hAnsi="新宋体" w:eastAsia="新宋体" w:cs="新宋体"/>
          <w:bCs/>
          <w:color w:val="auto"/>
          <w:kern w:val="0"/>
          <w:sz w:val="22"/>
          <w:szCs w:val="22"/>
          <w:highlight w:val="none"/>
        </w:rPr>
        <w:t>货物的设计、制造、质量验收标准应符合国家（或国际）最新颁布的有关标准/规范要求或相应的国际标准。</w:t>
      </w:r>
    </w:p>
    <w:p w14:paraId="29B6AF1B">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3</w:t>
      </w:r>
      <w:r>
        <w:rPr>
          <w:rFonts w:hint="eastAsia" w:ascii="新宋体" w:hAnsi="新宋体" w:eastAsia="新宋体" w:cs="新宋体"/>
          <w:bCs/>
          <w:color w:val="auto"/>
          <w:kern w:val="0"/>
          <w:sz w:val="22"/>
          <w:szCs w:val="22"/>
          <w:highlight w:val="none"/>
          <w:lang w:eastAsia="zh-CN"/>
        </w:rPr>
        <w:t>、</w:t>
      </w:r>
      <w:r>
        <w:rPr>
          <w:rFonts w:hint="eastAsia" w:ascii="新宋体" w:hAnsi="新宋体" w:eastAsia="新宋体" w:cs="新宋体"/>
          <w:bCs/>
          <w:color w:val="auto"/>
          <w:kern w:val="0"/>
          <w:sz w:val="22"/>
          <w:szCs w:val="22"/>
          <w:highlight w:val="none"/>
        </w:rPr>
        <w:t>凡需国家强制性认证或节能环保认证的产品、需提供国家权威部门出具的证书和认证标志。</w:t>
      </w:r>
    </w:p>
    <w:p w14:paraId="1D90972C">
      <w:pPr>
        <w:keepNext w:val="0"/>
        <w:keepLines w:val="0"/>
        <w:pageBreakBefore w:val="0"/>
        <w:widowControl w:val="0"/>
        <w:kinsoku/>
        <w:wordWrap/>
        <w:overflowPunct/>
        <w:topLinePunct w:val="0"/>
        <w:autoSpaceDE/>
        <w:autoSpaceDN/>
        <w:bidi w:val="0"/>
        <w:spacing w:line="460" w:lineRule="exact"/>
        <w:ind w:firstLine="442" w:firstLineChars="200"/>
        <w:textAlignment w:val="auto"/>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七</w:t>
      </w:r>
      <w:r>
        <w:rPr>
          <w:rFonts w:hint="eastAsia" w:ascii="新宋体" w:hAnsi="新宋体" w:eastAsia="新宋体" w:cs="新宋体"/>
          <w:b/>
          <w:bCs/>
          <w:color w:val="auto"/>
          <w:kern w:val="0"/>
          <w:sz w:val="22"/>
          <w:szCs w:val="22"/>
          <w:highlight w:val="none"/>
          <w:lang w:eastAsia="zh-CN"/>
        </w:rPr>
        <w:t>、</w:t>
      </w:r>
      <w:r>
        <w:rPr>
          <w:rFonts w:hint="eastAsia" w:ascii="新宋体" w:hAnsi="新宋体" w:eastAsia="新宋体" w:cs="新宋体"/>
          <w:b/>
          <w:bCs/>
          <w:color w:val="auto"/>
          <w:kern w:val="0"/>
          <w:sz w:val="22"/>
          <w:szCs w:val="22"/>
          <w:highlight w:val="none"/>
        </w:rPr>
        <w:t>技术服务和人员培训</w:t>
      </w:r>
    </w:p>
    <w:p w14:paraId="563C3AC1">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1</w:t>
      </w:r>
      <w:r>
        <w:rPr>
          <w:rFonts w:hint="eastAsia" w:ascii="新宋体" w:hAnsi="新宋体" w:eastAsia="新宋体" w:cs="新宋体"/>
          <w:bCs/>
          <w:color w:val="auto"/>
          <w:kern w:val="0"/>
          <w:sz w:val="22"/>
          <w:szCs w:val="22"/>
          <w:highlight w:val="none"/>
          <w:lang w:eastAsia="zh-CN"/>
        </w:rPr>
        <w:t>、</w:t>
      </w:r>
      <w:r>
        <w:rPr>
          <w:rFonts w:hint="eastAsia" w:ascii="新宋体" w:hAnsi="新宋体" w:eastAsia="新宋体" w:cs="新宋体"/>
          <w:bCs/>
          <w:color w:val="auto"/>
          <w:kern w:val="0"/>
          <w:sz w:val="22"/>
          <w:szCs w:val="22"/>
          <w:highlight w:val="none"/>
        </w:rPr>
        <w:t>维修技术服务。</w:t>
      </w:r>
      <w:r>
        <w:rPr>
          <w:rFonts w:hint="eastAsia" w:ascii="新宋体" w:hAnsi="新宋体" w:eastAsia="新宋体" w:cs="新宋体"/>
          <w:color w:val="auto"/>
          <w:sz w:val="22"/>
          <w:szCs w:val="22"/>
          <w:highlight w:val="none"/>
        </w:rPr>
        <w:t>厂家在就近有办事处</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全年提供24小时技术咨询服务，仪器故障响应时间小于2小时，到达现场时间小于4时，最长24</w:t>
      </w:r>
      <w:r>
        <w:rPr>
          <w:rFonts w:hint="eastAsia" w:ascii="新宋体" w:hAnsi="新宋体" w:eastAsia="新宋体" w:cs="新宋体"/>
          <w:color w:val="auto"/>
          <w:sz w:val="22"/>
          <w:szCs w:val="22"/>
          <w:highlight w:val="none"/>
          <w:lang w:val="en-US" w:eastAsia="zh-CN"/>
        </w:rPr>
        <w:t>小时</w:t>
      </w:r>
      <w:r>
        <w:rPr>
          <w:rFonts w:hint="eastAsia" w:ascii="新宋体" w:hAnsi="新宋体" w:eastAsia="新宋体" w:cs="新宋体"/>
          <w:color w:val="auto"/>
          <w:sz w:val="22"/>
          <w:szCs w:val="22"/>
          <w:highlight w:val="none"/>
        </w:rPr>
        <w:t>内必须排除故障。</w:t>
      </w:r>
    </w:p>
    <w:p w14:paraId="499DFADB">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w:t>
      </w:r>
      <w:r>
        <w:rPr>
          <w:rFonts w:hint="eastAsia" w:ascii="新宋体" w:hAnsi="新宋体" w:eastAsia="新宋体" w:cs="新宋体"/>
          <w:bCs/>
          <w:color w:val="auto"/>
          <w:kern w:val="0"/>
          <w:sz w:val="22"/>
          <w:szCs w:val="22"/>
          <w:highlight w:val="none"/>
          <w:lang w:eastAsia="zh-CN"/>
        </w:rPr>
        <w:t>、</w:t>
      </w:r>
      <w:r>
        <w:rPr>
          <w:rFonts w:hint="eastAsia" w:ascii="新宋体" w:hAnsi="新宋体" w:eastAsia="新宋体" w:cs="新宋体"/>
          <w:bCs/>
          <w:color w:val="auto"/>
          <w:kern w:val="0"/>
          <w:sz w:val="22"/>
          <w:szCs w:val="22"/>
          <w:highlight w:val="none"/>
        </w:rPr>
        <w:t>合同规定的期限内，乙方应派遣有经验的工程技术人员在安装调试现场对甲方指派人员</w:t>
      </w:r>
      <w:r>
        <w:rPr>
          <w:rFonts w:hint="eastAsia" w:ascii="新宋体" w:hAnsi="新宋体" w:eastAsia="新宋体" w:cs="新宋体"/>
          <w:color w:val="auto"/>
          <w:sz w:val="22"/>
          <w:szCs w:val="22"/>
          <w:highlight w:val="none"/>
        </w:rPr>
        <w:t>提供免费现场操作培训，直至所有工作人员熟练掌握。</w:t>
      </w:r>
      <w:r>
        <w:rPr>
          <w:rFonts w:hint="eastAsia" w:ascii="新宋体" w:hAnsi="新宋体" w:eastAsia="新宋体" w:cs="新宋体"/>
          <w:bCs/>
          <w:color w:val="auto"/>
          <w:kern w:val="0"/>
          <w:sz w:val="22"/>
          <w:szCs w:val="22"/>
          <w:highlight w:val="none"/>
        </w:rPr>
        <w:t>使其能独立操作、维护、包养。培训计划方案（培训人数、时间、地点、教材、费用）应在投标文件中详细说明。</w:t>
      </w:r>
    </w:p>
    <w:p w14:paraId="7F023967">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3</w:t>
      </w:r>
      <w:r>
        <w:rPr>
          <w:rFonts w:hint="eastAsia" w:ascii="新宋体" w:hAnsi="新宋体" w:eastAsia="新宋体" w:cs="新宋体"/>
          <w:bCs/>
          <w:color w:val="auto"/>
          <w:kern w:val="0"/>
          <w:sz w:val="22"/>
          <w:szCs w:val="22"/>
          <w:highlight w:val="none"/>
          <w:lang w:eastAsia="zh-CN"/>
        </w:rPr>
        <w:t>、</w:t>
      </w:r>
      <w:r>
        <w:rPr>
          <w:rFonts w:hint="eastAsia" w:ascii="新宋体" w:hAnsi="新宋体" w:eastAsia="新宋体" w:cs="新宋体"/>
          <w:bCs/>
          <w:color w:val="auto"/>
          <w:kern w:val="0"/>
          <w:sz w:val="22"/>
          <w:szCs w:val="22"/>
          <w:highlight w:val="none"/>
        </w:rPr>
        <w:t>质保期内，乙方需免费提供每年不少于1次的回访维护保养。</w:t>
      </w:r>
    </w:p>
    <w:p w14:paraId="4BAF8B63">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4</w:t>
      </w:r>
      <w:r>
        <w:rPr>
          <w:rFonts w:hint="eastAsia" w:ascii="新宋体" w:hAnsi="新宋体" w:eastAsia="新宋体" w:cs="新宋体"/>
          <w:bCs/>
          <w:color w:val="auto"/>
          <w:kern w:val="0"/>
          <w:sz w:val="22"/>
          <w:szCs w:val="22"/>
          <w:highlight w:val="none"/>
          <w:lang w:eastAsia="zh-CN"/>
        </w:rPr>
        <w:t>、</w:t>
      </w:r>
      <w:r>
        <w:rPr>
          <w:rFonts w:hint="eastAsia" w:ascii="新宋体" w:hAnsi="新宋体" w:eastAsia="新宋体" w:cs="新宋体"/>
          <w:bCs/>
          <w:color w:val="auto"/>
          <w:kern w:val="0"/>
          <w:sz w:val="22"/>
          <w:szCs w:val="22"/>
          <w:highlight w:val="none"/>
        </w:rPr>
        <w:t>质保期满后，乙方工程技术、维修人员也须不定期的进行回访，并为甲方提供优质、优价的终身维修和产品维护保养。</w:t>
      </w:r>
    </w:p>
    <w:p w14:paraId="7986E6EE">
      <w:pPr>
        <w:pStyle w:val="22"/>
        <w:keepNext w:val="0"/>
        <w:keepLines w:val="0"/>
        <w:pageBreakBefore w:val="0"/>
        <w:widowControl w:val="0"/>
        <w:kinsoku/>
        <w:wordWrap/>
        <w:overflowPunct/>
        <w:topLinePunct w:val="0"/>
        <w:autoSpaceDE/>
        <w:autoSpaceDN/>
        <w:bidi w:val="0"/>
        <w:adjustRightInd w:val="0"/>
        <w:snapToGrid w:val="0"/>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八</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szCs w:val="22"/>
          <w:highlight w:val="none"/>
        </w:rPr>
        <w:t>付款方式与结算</w:t>
      </w:r>
    </w:p>
    <w:p w14:paraId="21C1EB6A">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bCs/>
          <w:color w:val="auto"/>
          <w:kern w:val="0"/>
          <w:sz w:val="22"/>
          <w:szCs w:val="22"/>
          <w:highlight w:val="none"/>
          <w:lang w:val="en-US" w:eastAsia="zh-CN"/>
        </w:rPr>
      </w:pPr>
      <w:r>
        <w:rPr>
          <w:rFonts w:hint="eastAsia" w:ascii="新宋体" w:hAnsi="新宋体" w:eastAsia="新宋体" w:cs="新宋体"/>
          <w:bCs/>
          <w:color w:val="auto"/>
          <w:kern w:val="0"/>
          <w:sz w:val="22"/>
          <w:szCs w:val="22"/>
          <w:highlight w:val="none"/>
          <w:lang w:val="en-US" w:eastAsia="zh-CN"/>
        </w:rPr>
        <w:t>合同签订生效及具备实施条件后</w:t>
      </w:r>
      <w:r>
        <w:rPr>
          <w:rFonts w:hint="eastAsia" w:ascii="新宋体" w:hAnsi="新宋体" w:eastAsia="新宋体" w:cs="新宋体"/>
          <w:bCs/>
          <w:color w:val="auto"/>
          <w:kern w:val="0"/>
          <w:sz w:val="22"/>
          <w:szCs w:val="22"/>
          <w:highlight w:val="none"/>
        </w:rPr>
        <w:t>，甲方向乙方支付合同总额的</w:t>
      </w:r>
      <w:r>
        <w:rPr>
          <w:rFonts w:hint="eastAsia" w:ascii="新宋体" w:hAnsi="新宋体" w:eastAsia="新宋体" w:cs="新宋体"/>
          <w:bCs/>
          <w:color w:val="auto"/>
          <w:kern w:val="0"/>
          <w:sz w:val="22"/>
          <w:szCs w:val="22"/>
          <w:highlight w:val="none"/>
          <w:lang w:val="en-US" w:eastAsia="zh-CN"/>
        </w:rPr>
        <w:t>4</w:t>
      </w:r>
      <w:r>
        <w:rPr>
          <w:rFonts w:hint="eastAsia" w:ascii="新宋体" w:hAnsi="新宋体" w:eastAsia="新宋体" w:cs="新宋体"/>
          <w:bCs/>
          <w:color w:val="auto"/>
          <w:kern w:val="0"/>
          <w:sz w:val="22"/>
          <w:szCs w:val="22"/>
          <w:highlight w:val="none"/>
        </w:rPr>
        <w:t>0%</w:t>
      </w:r>
      <w:r>
        <w:rPr>
          <w:rFonts w:hint="eastAsia" w:ascii="新宋体" w:hAnsi="新宋体" w:eastAsia="新宋体" w:cs="新宋体"/>
          <w:bCs/>
          <w:color w:val="auto"/>
          <w:kern w:val="0"/>
          <w:sz w:val="22"/>
          <w:szCs w:val="22"/>
          <w:highlight w:val="none"/>
          <w:lang w:val="en-US" w:eastAsia="zh-CN"/>
        </w:rPr>
        <w:t>预付款</w:t>
      </w:r>
      <w:r>
        <w:rPr>
          <w:rFonts w:hint="eastAsia" w:ascii="新宋体" w:hAnsi="新宋体" w:eastAsia="新宋体" w:cs="新宋体"/>
          <w:bCs/>
          <w:color w:val="auto"/>
          <w:kern w:val="0"/>
          <w:sz w:val="22"/>
          <w:szCs w:val="22"/>
          <w:highlight w:val="none"/>
        </w:rPr>
        <w:t>，</w:t>
      </w:r>
      <w:r>
        <w:rPr>
          <w:rFonts w:hint="eastAsia" w:ascii="新宋体" w:hAnsi="新宋体" w:eastAsia="新宋体" w:cs="新宋体"/>
          <w:bCs/>
          <w:color w:val="auto"/>
          <w:kern w:val="0"/>
          <w:sz w:val="22"/>
          <w:szCs w:val="22"/>
          <w:highlight w:val="none"/>
          <w:lang w:val="en-US" w:eastAsia="zh-CN"/>
        </w:rPr>
        <w:t>货物</w:t>
      </w:r>
      <w:r>
        <w:rPr>
          <w:rFonts w:hint="eastAsia" w:ascii="新宋体" w:hAnsi="新宋体" w:eastAsia="新宋体" w:cs="新宋体"/>
          <w:b w:val="0"/>
          <w:bCs w:val="0"/>
          <w:color w:val="auto"/>
          <w:sz w:val="22"/>
          <w:szCs w:val="22"/>
          <w:highlight w:val="none"/>
        </w:rPr>
        <w:t>分批次供货，</w:t>
      </w:r>
      <w:r>
        <w:rPr>
          <w:rFonts w:hint="eastAsia" w:ascii="新宋体" w:hAnsi="新宋体" w:eastAsia="新宋体" w:cs="新宋体"/>
          <w:b w:val="0"/>
          <w:bCs w:val="0"/>
          <w:color w:val="auto"/>
          <w:sz w:val="22"/>
          <w:szCs w:val="22"/>
          <w:highlight w:val="none"/>
          <w:lang w:val="en-US" w:eastAsia="zh-CN"/>
        </w:rPr>
        <w:t>前期货款由预付款优先扣除，剩余货款</w:t>
      </w:r>
      <w:r>
        <w:rPr>
          <w:rFonts w:hint="eastAsia" w:ascii="新宋体" w:hAnsi="新宋体" w:eastAsia="新宋体" w:cs="新宋体"/>
          <w:b w:val="0"/>
          <w:bCs w:val="0"/>
          <w:color w:val="auto"/>
          <w:sz w:val="22"/>
          <w:szCs w:val="22"/>
          <w:highlight w:val="none"/>
        </w:rPr>
        <w:t>按每</w:t>
      </w:r>
      <w:r>
        <w:rPr>
          <w:rFonts w:hint="eastAsia" w:ascii="新宋体" w:hAnsi="新宋体" w:eastAsia="新宋体" w:cs="新宋体"/>
          <w:b w:val="0"/>
          <w:bCs w:val="0"/>
          <w:color w:val="auto"/>
          <w:sz w:val="22"/>
          <w:szCs w:val="22"/>
          <w:highlight w:val="none"/>
          <w:lang w:val="en-US" w:eastAsia="zh-CN"/>
        </w:rPr>
        <w:t>批次</w:t>
      </w:r>
      <w:r>
        <w:rPr>
          <w:rFonts w:hint="eastAsia" w:ascii="新宋体" w:hAnsi="新宋体" w:eastAsia="新宋体" w:cs="新宋体"/>
          <w:b w:val="0"/>
          <w:bCs w:val="0"/>
          <w:color w:val="auto"/>
          <w:sz w:val="22"/>
          <w:szCs w:val="22"/>
          <w:highlight w:val="none"/>
        </w:rPr>
        <w:t>实际供货量结算支付给乙方</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Cs/>
          <w:color w:val="auto"/>
          <w:kern w:val="0"/>
          <w:sz w:val="22"/>
          <w:szCs w:val="22"/>
          <w:highlight w:val="none"/>
          <w:lang w:val="en-US" w:eastAsia="zh-CN"/>
        </w:rPr>
        <w:t>最终按实际采购数量结算</w:t>
      </w:r>
      <w:r>
        <w:rPr>
          <w:rFonts w:hint="eastAsia" w:ascii="新宋体" w:hAnsi="新宋体" w:eastAsia="新宋体" w:cs="新宋体"/>
          <w:bCs/>
          <w:color w:val="auto"/>
          <w:kern w:val="0"/>
          <w:sz w:val="22"/>
          <w:szCs w:val="22"/>
          <w:highlight w:val="none"/>
        </w:rPr>
        <w:t>；</w:t>
      </w:r>
      <w:r>
        <w:rPr>
          <w:rFonts w:hint="eastAsia" w:ascii="新宋体" w:hAnsi="新宋体" w:eastAsia="新宋体" w:cs="新宋体"/>
          <w:bCs/>
          <w:color w:val="auto"/>
          <w:kern w:val="0"/>
          <w:sz w:val="22"/>
          <w:szCs w:val="22"/>
          <w:highlight w:val="none"/>
          <w:lang w:val="en-US" w:eastAsia="zh-CN"/>
        </w:rPr>
        <w:t>每次付款前，乙方须提交等额发票，甲方收到发票后7个工作日内支付。</w:t>
      </w:r>
    </w:p>
    <w:p w14:paraId="10CB6222">
      <w:pPr>
        <w:keepNext w:val="0"/>
        <w:keepLines w:val="0"/>
        <w:pageBreakBefore w:val="0"/>
        <w:widowControl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u w:val="single"/>
        </w:rPr>
      </w:pPr>
    </w:p>
    <w:p w14:paraId="4B679934">
      <w:pPr>
        <w:keepNext w:val="0"/>
        <w:keepLines w:val="0"/>
        <w:pageBreakBefore w:val="0"/>
        <w:widowControl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u w:val="single"/>
        </w:rPr>
      </w:pPr>
    </w:p>
    <w:p w14:paraId="2B7FA4B3">
      <w:pPr>
        <w:keepNext w:val="0"/>
        <w:keepLines w:val="0"/>
        <w:pageBreakBefore w:val="0"/>
        <w:widowControl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注：以上合同条款供采购人及成交供应商作为商务参考，具体签订时，采购人可根据自身项目情况与中标供应商协商另行修改拟定相关合同具体条款。</w:t>
      </w:r>
    </w:p>
    <w:p w14:paraId="1E0B4ACC">
      <w:pPr>
        <w:spacing w:line="460" w:lineRule="exact"/>
        <w:ind w:firstLine="541" w:firstLineChars="245"/>
        <w:rPr>
          <w:rFonts w:hint="eastAsia" w:ascii="新宋体" w:hAnsi="新宋体" w:eastAsia="新宋体" w:cs="新宋体"/>
          <w:b/>
          <w:bCs/>
          <w:color w:val="auto"/>
          <w:sz w:val="22"/>
          <w:szCs w:val="22"/>
          <w:highlight w:val="none"/>
        </w:rPr>
      </w:pPr>
    </w:p>
    <w:p w14:paraId="2DF0FC97">
      <w:pPr>
        <w:pStyle w:val="2"/>
        <w:ind w:left="442" w:hanging="442"/>
        <w:rPr>
          <w:rFonts w:hint="eastAsia" w:ascii="新宋体" w:hAnsi="新宋体" w:eastAsia="新宋体" w:cs="新宋体"/>
          <w:b/>
          <w:bCs/>
          <w:color w:val="auto"/>
          <w:sz w:val="22"/>
          <w:szCs w:val="22"/>
          <w:highlight w:val="none"/>
        </w:rPr>
      </w:pPr>
    </w:p>
    <w:p w14:paraId="5CB08EDC">
      <w:pPr>
        <w:pStyle w:val="2"/>
        <w:ind w:left="442" w:hanging="442"/>
        <w:rPr>
          <w:rFonts w:hint="eastAsia" w:ascii="新宋体" w:hAnsi="新宋体" w:eastAsia="新宋体" w:cs="新宋体"/>
          <w:b/>
          <w:bCs/>
          <w:color w:val="auto"/>
          <w:sz w:val="22"/>
          <w:szCs w:val="22"/>
          <w:highlight w:val="none"/>
        </w:rPr>
      </w:pPr>
    </w:p>
    <w:p w14:paraId="272CD210">
      <w:pPr>
        <w:pStyle w:val="2"/>
        <w:ind w:left="442" w:hanging="442"/>
        <w:rPr>
          <w:rFonts w:hint="eastAsia" w:ascii="新宋体" w:hAnsi="新宋体" w:eastAsia="新宋体" w:cs="新宋体"/>
          <w:b/>
          <w:bCs/>
          <w:color w:val="auto"/>
          <w:sz w:val="22"/>
          <w:szCs w:val="22"/>
          <w:highlight w:val="none"/>
        </w:rPr>
      </w:pPr>
    </w:p>
    <w:p w14:paraId="1EDC550D">
      <w:pPr>
        <w:pStyle w:val="2"/>
        <w:ind w:left="442" w:hanging="442"/>
        <w:rPr>
          <w:rFonts w:hint="eastAsia" w:ascii="新宋体" w:hAnsi="新宋体" w:eastAsia="新宋体" w:cs="新宋体"/>
          <w:b/>
          <w:bCs/>
          <w:color w:val="auto"/>
          <w:sz w:val="22"/>
          <w:szCs w:val="22"/>
          <w:highlight w:val="none"/>
        </w:rPr>
      </w:pPr>
    </w:p>
    <w:p w14:paraId="725E1BB3">
      <w:pPr>
        <w:pStyle w:val="2"/>
        <w:ind w:left="442" w:hanging="442"/>
        <w:rPr>
          <w:rFonts w:hint="eastAsia" w:ascii="新宋体" w:hAnsi="新宋体" w:eastAsia="新宋体" w:cs="新宋体"/>
          <w:b/>
          <w:bCs/>
          <w:color w:val="auto"/>
          <w:sz w:val="22"/>
          <w:szCs w:val="22"/>
          <w:highlight w:val="none"/>
        </w:rPr>
      </w:pPr>
    </w:p>
    <w:p w14:paraId="6E74F910">
      <w:pPr>
        <w:pStyle w:val="2"/>
        <w:rPr>
          <w:rFonts w:hint="eastAsia" w:ascii="新宋体" w:hAnsi="新宋体" w:eastAsia="新宋体" w:cs="新宋体"/>
          <w:color w:val="auto"/>
          <w:szCs w:val="21"/>
          <w:highlight w:val="none"/>
          <w:u w:val="single"/>
        </w:rPr>
      </w:pPr>
    </w:p>
    <w:p w14:paraId="79C7DE13">
      <w:pPr>
        <w:pStyle w:val="2"/>
        <w:rPr>
          <w:rFonts w:hint="eastAsia" w:ascii="新宋体" w:hAnsi="新宋体" w:eastAsia="新宋体" w:cs="新宋体"/>
          <w:color w:val="auto"/>
          <w:szCs w:val="21"/>
          <w:highlight w:val="none"/>
          <w:u w:val="single"/>
        </w:rPr>
      </w:pPr>
    </w:p>
    <w:p w14:paraId="27024000">
      <w:pPr>
        <w:pStyle w:val="2"/>
        <w:rPr>
          <w:rFonts w:hint="eastAsia" w:ascii="新宋体" w:hAnsi="新宋体" w:eastAsia="新宋体" w:cs="新宋体"/>
          <w:color w:val="auto"/>
          <w:szCs w:val="21"/>
          <w:highlight w:val="none"/>
          <w:u w:val="single"/>
        </w:rPr>
      </w:pPr>
    </w:p>
    <w:p w14:paraId="460CFF15">
      <w:pPr>
        <w:pStyle w:val="2"/>
        <w:rPr>
          <w:rFonts w:hint="eastAsia" w:ascii="新宋体" w:hAnsi="新宋体" w:eastAsia="新宋体" w:cs="新宋体"/>
          <w:color w:val="auto"/>
          <w:szCs w:val="21"/>
          <w:highlight w:val="none"/>
          <w:u w:val="single"/>
        </w:rPr>
      </w:pPr>
    </w:p>
    <w:p w14:paraId="4146929E">
      <w:pPr>
        <w:pStyle w:val="2"/>
        <w:rPr>
          <w:rFonts w:hint="eastAsia" w:ascii="新宋体" w:hAnsi="新宋体" w:eastAsia="新宋体" w:cs="新宋体"/>
          <w:color w:val="auto"/>
          <w:szCs w:val="21"/>
          <w:highlight w:val="none"/>
          <w:u w:val="single"/>
        </w:rPr>
      </w:pPr>
    </w:p>
    <w:p w14:paraId="240B3260">
      <w:pPr>
        <w:pStyle w:val="2"/>
        <w:rPr>
          <w:rFonts w:hint="eastAsia" w:ascii="新宋体" w:hAnsi="新宋体" w:eastAsia="新宋体" w:cs="新宋体"/>
          <w:color w:val="auto"/>
          <w:szCs w:val="21"/>
          <w:highlight w:val="none"/>
          <w:u w:val="single"/>
        </w:rPr>
      </w:pPr>
    </w:p>
    <w:p w14:paraId="5BB2BC5C">
      <w:pPr>
        <w:pStyle w:val="2"/>
        <w:rPr>
          <w:rFonts w:hint="eastAsia" w:ascii="新宋体" w:hAnsi="新宋体" w:eastAsia="新宋体" w:cs="新宋体"/>
          <w:color w:val="auto"/>
          <w:szCs w:val="21"/>
          <w:highlight w:val="none"/>
          <w:u w:val="single"/>
        </w:rPr>
      </w:pPr>
    </w:p>
    <w:p w14:paraId="06D7F741">
      <w:pPr>
        <w:pStyle w:val="2"/>
        <w:rPr>
          <w:rFonts w:hint="eastAsia" w:ascii="新宋体" w:hAnsi="新宋体" w:eastAsia="新宋体" w:cs="新宋体"/>
          <w:color w:val="auto"/>
          <w:szCs w:val="21"/>
          <w:highlight w:val="none"/>
          <w:u w:val="single"/>
        </w:rPr>
      </w:pPr>
    </w:p>
    <w:p w14:paraId="5BB59687">
      <w:pPr>
        <w:pStyle w:val="2"/>
        <w:rPr>
          <w:rFonts w:hint="eastAsia" w:ascii="新宋体" w:hAnsi="新宋体" w:eastAsia="新宋体" w:cs="新宋体"/>
          <w:color w:val="auto"/>
          <w:szCs w:val="21"/>
          <w:highlight w:val="none"/>
          <w:u w:val="single"/>
        </w:rPr>
      </w:pPr>
    </w:p>
    <w:p w14:paraId="5D01F038">
      <w:pPr>
        <w:pStyle w:val="2"/>
        <w:rPr>
          <w:rFonts w:hint="eastAsia" w:ascii="新宋体" w:hAnsi="新宋体" w:eastAsia="新宋体" w:cs="新宋体"/>
          <w:color w:val="auto"/>
          <w:szCs w:val="21"/>
          <w:highlight w:val="none"/>
          <w:u w:val="single"/>
        </w:rPr>
      </w:pPr>
    </w:p>
    <w:p w14:paraId="7A1EEE67">
      <w:pPr>
        <w:pStyle w:val="2"/>
        <w:rPr>
          <w:rFonts w:hint="eastAsia" w:ascii="新宋体" w:hAnsi="新宋体" w:eastAsia="新宋体" w:cs="新宋体"/>
          <w:color w:val="auto"/>
          <w:szCs w:val="21"/>
          <w:highlight w:val="none"/>
          <w:u w:val="single"/>
        </w:rPr>
      </w:pPr>
    </w:p>
    <w:p w14:paraId="25775C6F">
      <w:pPr>
        <w:pStyle w:val="2"/>
        <w:rPr>
          <w:rFonts w:hint="eastAsia" w:ascii="新宋体" w:hAnsi="新宋体" w:eastAsia="新宋体" w:cs="新宋体"/>
          <w:color w:val="auto"/>
          <w:szCs w:val="21"/>
          <w:highlight w:val="none"/>
          <w:u w:val="single"/>
        </w:rPr>
      </w:pPr>
    </w:p>
    <w:p w14:paraId="139296C9">
      <w:pPr>
        <w:pStyle w:val="2"/>
        <w:rPr>
          <w:rFonts w:hint="eastAsia" w:ascii="新宋体" w:hAnsi="新宋体" w:eastAsia="新宋体" w:cs="新宋体"/>
          <w:color w:val="auto"/>
          <w:szCs w:val="21"/>
          <w:highlight w:val="none"/>
          <w:u w:val="single"/>
        </w:rPr>
      </w:pPr>
    </w:p>
    <w:p w14:paraId="7B8F365C">
      <w:pPr>
        <w:pStyle w:val="2"/>
        <w:rPr>
          <w:rFonts w:hint="eastAsia" w:ascii="新宋体" w:hAnsi="新宋体" w:eastAsia="新宋体" w:cs="新宋体"/>
          <w:color w:val="auto"/>
          <w:szCs w:val="21"/>
          <w:highlight w:val="none"/>
          <w:u w:val="single"/>
        </w:rPr>
      </w:pPr>
    </w:p>
    <w:p w14:paraId="0249FBB9">
      <w:pPr>
        <w:rPr>
          <w:rFonts w:hint="eastAsia" w:ascii="新宋体" w:hAnsi="新宋体" w:eastAsia="新宋体" w:cs="新宋体"/>
          <w:b/>
          <w:color w:val="auto"/>
          <w:sz w:val="30"/>
          <w:szCs w:val="30"/>
          <w:highlight w:val="none"/>
        </w:rPr>
      </w:pPr>
      <w:bookmarkStart w:id="29" w:name="_Toc28327"/>
      <w:r>
        <w:rPr>
          <w:rFonts w:hint="eastAsia" w:ascii="新宋体" w:hAnsi="新宋体" w:eastAsia="新宋体" w:cs="新宋体"/>
          <w:b/>
          <w:color w:val="auto"/>
          <w:sz w:val="30"/>
          <w:szCs w:val="30"/>
          <w:highlight w:val="none"/>
        </w:rPr>
        <w:br w:type="page"/>
      </w:r>
    </w:p>
    <w:p w14:paraId="0B94D3F3">
      <w:pPr>
        <w:snapToGrid w:val="0"/>
        <w:spacing w:line="360" w:lineRule="auto"/>
        <w:jc w:val="center"/>
        <w:rPr>
          <w:rFonts w:hint="eastAsia" w:ascii="新宋体" w:hAnsi="新宋体" w:eastAsia="新宋体" w:cs="新宋体"/>
          <w:b/>
          <w:color w:val="auto"/>
          <w:sz w:val="30"/>
          <w:szCs w:val="30"/>
          <w:highlight w:val="none"/>
        </w:rPr>
      </w:pPr>
      <w:r>
        <w:rPr>
          <w:rFonts w:hint="eastAsia" w:ascii="新宋体" w:hAnsi="新宋体" w:eastAsia="新宋体" w:cs="新宋体"/>
          <w:b/>
          <w:color w:val="auto"/>
          <w:sz w:val="30"/>
          <w:szCs w:val="30"/>
          <w:highlight w:val="none"/>
        </w:rPr>
        <w:t>廉洁协议书</w:t>
      </w:r>
      <w:bookmarkEnd w:id="29"/>
    </w:p>
    <w:p w14:paraId="6DBAF6B8">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甲方：</w:t>
      </w:r>
    </w:p>
    <w:p w14:paraId="56371B24">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乙方：</w:t>
      </w:r>
    </w:p>
    <w:p w14:paraId="7EFCB463">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为了增强甲乙双方依法经营、廉洁从业意识，完善自我约束、自我监督机制，营造守法诚信、廉洁高效的工作环境，防止发生违法违纪行为，保护国家、集体和当事人的合法权益，根据国家有关法律法规和廉洁自律规定，特订立本廉洁协议书：</w:t>
      </w:r>
    </w:p>
    <w:p w14:paraId="4F3C4AF3">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第一条 甲、乙双方的共同责任</w:t>
      </w:r>
    </w:p>
    <w:p w14:paraId="1B7C4648">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（一）严格遵守国家有关工程建设、物资采购、招标投标等市场经济活动的法律法规、政策以及廉政建设规定。</w:t>
      </w:r>
    </w:p>
    <w:p w14:paraId="115A0FAB">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（二）严格履行合同约定，自觉承担合同义务。</w:t>
      </w:r>
    </w:p>
    <w:p w14:paraId="731EC0F7">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（三）业务活动必须坚持公平、公正、公开和诚实守信的原则（除法律法规另有规定者外），不得为获取不正当利益损害国家、集体和对方利益，不违反工程建设管理、物资采购、招标投标等方面的规章制度。</w:t>
      </w:r>
    </w:p>
    <w:p w14:paraId="09665A36">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（四）建立健全自我制约制度，开展廉洁教育，公布举报电话，监督并认真查处违法违纪行为。</w:t>
      </w:r>
    </w:p>
    <w:p w14:paraId="2A98D138">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（五）发现对方在业务活动中有违规、违纪、违法行为的，应及时提醒对方，情节严重的，应向有关纪检监察部门举报。</w:t>
      </w:r>
    </w:p>
    <w:p w14:paraId="3BDE267A">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第二条 甲方的责任：</w:t>
      </w:r>
    </w:p>
    <w:p w14:paraId="5D976968">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甲方相关工作人员，在业务活动的事前、事中、事后，应遵守以下规定：</w:t>
      </w:r>
    </w:p>
    <w:p w14:paraId="008A60DC">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（一）贯彻落实xx有关党风廉政建设责任制及廉洁从业的规定，建立企业诚信档案；</w:t>
      </w:r>
    </w:p>
    <w:p w14:paraId="523CFFE0">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（二）按照公平、公正、公开和诚实守信的原则开展各项业务活动，为乙方提供公平的竞争环境与平台；</w:t>
      </w:r>
    </w:p>
    <w:p w14:paraId="7420B426">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（三）不向乙方泄漏涉及有关业务活动的秘密；</w:t>
      </w:r>
    </w:p>
    <w:p w14:paraId="1C841099">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（四）不参与影响相关工作正常和公正开展的其他活动；</w:t>
      </w:r>
    </w:p>
    <w:p w14:paraId="13E9C187">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（五）不在乙方和相关单位报销任何应由甲方或个人支付的费用；</w:t>
      </w:r>
    </w:p>
    <w:p w14:paraId="584ECFFF">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（六）不要求、暗示及接受乙方和相关单位为个人装修住房、婚丧嫁娶、配偶子女的工作安排以及境内外旅游等提供方便；</w:t>
      </w:r>
    </w:p>
    <w:p w14:paraId="08F29575">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（七）不收受或索取红包、礼金、购物卡、有价证券、贵重物品、感谢费和好处费等非正当利益；</w:t>
      </w:r>
    </w:p>
    <w:p w14:paraId="47CB2CC4">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（八）不向乙方介绍配偶、子女、亲属参与与甲方有关的经济活动，不得以任何理由向乙方和相关单位推荐第三方单位；</w:t>
      </w:r>
    </w:p>
    <w:p w14:paraId="4CB179D6">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（九）不违反《中共中央纪委关于严格禁止利用职务上的便利谋取不正当利益的若干规定》的内容。</w:t>
      </w:r>
    </w:p>
    <w:p w14:paraId="1BB40CAA">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第三条 乙方的责任：</w:t>
      </w:r>
    </w:p>
    <w:p w14:paraId="18887911">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在与甲方业务交往过程中，按照有关法律法规和程序开展工作，严格执行国家的有关方针、政策，并遵守以下规定：</w:t>
      </w:r>
    </w:p>
    <w:p w14:paraId="1DD78CE6">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（一）不以任何理由为甲方和相关单位报销应由对方或个人支付的费用；</w:t>
      </w:r>
    </w:p>
    <w:p w14:paraId="35133F1D">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（二）不以任何理由向甲方负责人及其工作人员赠送红包、礼金、购物卡、有价证券、贵重物品、感谢费和好处费等非正当利益；</w:t>
      </w:r>
    </w:p>
    <w:p w14:paraId="37AD63AA">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（三）不准为甲方、与甲方相关的单位或个人装修住房、婚丧嫁取、配偶子女的工作安排以及境内外旅游等提供方便；</w:t>
      </w:r>
    </w:p>
    <w:p w14:paraId="0810FD61">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（四）不得以谋取非正当利益为目的，擅自与甲方工作人员就业务问题进行私下商谈或者达成利益默契；</w:t>
      </w:r>
    </w:p>
    <w:p w14:paraId="38F9E8D5">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（五）发现甲方工作人员有违反本廉洁协议书规定的，应向甲方单位举报。 受理部门：纪委、监察部；</w:t>
      </w:r>
    </w:p>
    <w:p w14:paraId="11820C2D">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举报电话： ；举报邮箱： 。</w:t>
      </w:r>
    </w:p>
    <w:p w14:paraId="444A4181">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第四条 相关责任</w:t>
      </w:r>
    </w:p>
    <w:p w14:paraId="0A0CA17D">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（一）甲方违反本廉洁协议书第一、二条规定的，一经查实，严格按照管理权限，依据有关党纪、法律法规、规章制度给予纪律处分或组织处理；涉嫌犯罪的，移送司法机关依法追究刑事责任。</w:t>
      </w:r>
    </w:p>
    <w:p w14:paraId="6F13A15B">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（二）乙方违反本廉洁协议书第一、三条规定的，一经查实，根据《关于在xx公司内部公布行贿单位名单的实施意见（试行）》和其他有关规定，对乙方进行处理。涉嫌犯罪的，移送司法机关依法追究刑事责任。</w:t>
      </w:r>
    </w:p>
    <w:p w14:paraId="12C38066">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（三）乙方违反本廉洁协议书第一、三条规定，给甲方单位造成经济损失的，应依法予以赔偿。</w:t>
      </w:r>
    </w:p>
    <w:p w14:paraId="2460A0C7">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第五条 协议书生效及法律效力</w:t>
      </w:r>
    </w:p>
    <w:p w14:paraId="451A81E5">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（一）本廉洁协议书经双方签字盖章后生效。</w:t>
      </w:r>
    </w:p>
    <w:p w14:paraId="3DADCBCF">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（二）除非甲乙双方另行签订新的廉洁协议书，否则本廉洁协议书在甲方与乙方存在业务关系期间均对双方产生约束力。</w:t>
      </w:r>
    </w:p>
    <w:p w14:paraId="0220852D">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第六条 协议书份数</w:t>
      </w:r>
    </w:p>
    <w:p w14:paraId="4C806ED8">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本廉洁协议书一式四份，甲、乙双方各执两份。</w:t>
      </w:r>
    </w:p>
    <w:p w14:paraId="1BF0E555">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甲乙双方确认在签订本廉洁协议书前已仔细阅读条款内容，</w:t>
      </w:r>
    </w:p>
    <w:p w14:paraId="20EDE36A">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廉洁协议书所产生的法律责任已清楚知悉并承诺遵守。</w:t>
      </w:r>
    </w:p>
    <w:p w14:paraId="3309A600">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甲方（盖章）:                           乙方（盖章）：</w:t>
      </w:r>
    </w:p>
    <w:p w14:paraId="644AF2D8">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法定代表人                                法定代表人</w:t>
      </w:r>
    </w:p>
    <w:p w14:paraId="16FFD8C5">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（或委托代理人）：                     （或委托代理人）：</w:t>
      </w:r>
    </w:p>
    <w:p w14:paraId="0A1F440F">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地址：                                   地址：</w:t>
      </w:r>
    </w:p>
    <w:p w14:paraId="4EB36133">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电话：                                   电话：</w:t>
      </w:r>
    </w:p>
    <w:p w14:paraId="69AC93D4">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年 月 日                                     年 月 日</w:t>
      </w:r>
    </w:p>
    <w:p w14:paraId="6FC1477E">
      <w:pPr>
        <w:pStyle w:val="2"/>
        <w:rPr>
          <w:rFonts w:hint="eastAsia" w:ascii="新宋体" w:hAnsi="新宋体" w:eastAsia="新宋体" w:cs="新宋体"/>
          <w:color w:val="auto"/>
          <w:szCs w:val="21"/>
          <w:highlight w:val="none"/>
          <w:u w:val="single"/>
        </w:rPr>
      </w:pPr>
    </w:p>
    <w:p w14:paraId="37F229B4">
      <w:pPr>
        <w:pStyle w:val="2"/>
        <w:rPr>
          <w:rFonts w:hint="eastAsia" w:ascii="新宋体" w:hAnsi="新宋体" w:eastAsia="新宋体" w:cs="新宋体"/>
          <w:color w:val="auto"/>
          <w:szCs w:val="21"/>
          <w:highlight w:val="none"/>
          <w:u w:val="single"/>
        </w:rPr>
      </w:pPr>
    </w:p>
    <w:p w14:paraId="33152C2B">
      <w:pPr>
        <w:pStyle w:val="2"/>
        <w:rPr>
          <w:rFonts w:hint="eastAsia" w:ascii="新宋体" w:hAnsi="新宋体" w:eastAsia="新宋体" w:cs="新宋体"/>
          <w:color w:val="auto"/>
          <w:szCs w:val="21"/>
          <w:highlight w:val="none"/>
          <w:u w:val="single"/>
        </w:rPr>
      </w:pPr>
    </w:p>
    <w:p w14:paraId="539300FA">
      <w:pPr>
        <w:pStyle w:val="2"/>
        <w:rPr>
          <w:rFonts w:hint="eastAsia" w:ascii="新宋体" w:hAnsi="新宋体" w:eastAsia="新宋体" w:cs="新宋体"/>
          <w:color w:val="auto"/>
          <w:szCs w:val="21"/>
          <w:highlight w:val="none"/>
          <w:u w:val="single"/>
        </w:rPr>
      </w:pPr>
    </w:p>
    <w:p w14:paraId="52E0BE6C">
      <w:pPr>
        <w:pStyle w:val="2"/>
        <w:rPr>
          <w:rFonts w:hint="eastAsia" w:ascii="新宋体" w:hAnsi="新宋体" w:eastAsia="新宋体" w:cs="新宋体"/>
          <w:color w:val="auto"/>
          <w:szCs w:val="21"/>
          <w:highlight w:val="none"/>
          <w:u w:val="single"/>
        </w:rPr>
      </w:pPr>
    </w:p>
    <w:p w14:paraId="0E02FA8E">
      <w:pPr>
        <w:rPr>
          <w:rFonts w:hint="eastAsia" w:ascii="新宋体" w:hAnsi="新宋体" w:eastAsia="新宋体" w:cs="新宋体"/>
          <w:b/>
          <w:color w:val="auto"/>
          <w:sz w:val="30"/>
          <w:highlight w:val="none"/>
        </w:rPr>
      </w:pPr>
    </w:p>
    <w:p w14:paraId="73FFA802">
      <w:pPr>
        <w:rPr>
          <w:rFonts w:hint="eastAsia" w:ascii="新宋体" w:hAnsi="新宋体" w:eastAsia="新宋体" w:cs="新宋体"/>
          <w:color w:val="auto"/>
          <w:highlight w:val="none"/>
        </w:rPr>
      </w:pPr>
      <w:bookmarkStart w:id="30" w:name="_Toc18439"/>
      <w:bookmarkStart w:id="31" w:name="_Toc19081"/>
      <w:r>
        <w:rPr>
          <w:rFonts w:hint="eastAsia" w:ascii="新宋体" w:hAnsi="新宋体" w:eastAsia="新宋体" w:cs="新宋体"/>
          <w:color w:val="auto"/>
          <w:highlight w:val="none"/>
        </w:rPr>
        <w:br w:type="page"/>
      </w:r>
    </w:p>
    <w:p w14:paraId="53C0CEE8">
      <w:pPr>
        <w:pStyle w:val="4"/>
        <w:jc w:val="center"/>
        <w:rPr>
          <w:rFonts w:hint="eastAsia" w:ascii="新宋体" w:hAnsi="新宋体" w:eastAsia="新宋体" w:cs="新宋体"/>
          <w:color w:val="auto"/>
          <w:highlight w:val="none"/>
        </w:rPr>
      </w:pPr>
      <w:r>
        <w:rPr>
          <w:rFonts w:hint="eastAsia" w:ascii="新宋体" w:hAnsi="新宋体" w:eastAsia="新宋体" w:cs="新宋体"/>
          <w:color w:val="auto"/>
          <w:highlight w:val="none"/>
        </w:rPr>
        <w:t>第三部分</w:t>
      </w:r>
      <w:r>
        <w:rPr>
          <w:rFonts w:hint="eastAsia" w:ascii="新宋体" w:hAnsi="新宋体" w:eastAsia="新宋体" w:cs="新宋体"/>
          <w:color w:val="auto"/>
          <w:highlight w:val="none"/>
          <w:lang w:val="en-US" w:eastAsia="zh-CN"/>
        </w:rPr>
        <w:t xml:space="preserve">   </w:t>
      </w:r>
      <w:r>
        <w:rPr>
          <w:rFonts w:hint="eastAsia" w:ascii="新宋体" w:hAnsi="新宋体" w:eastAsia="新宋体" w:cs="新宋体"/>
          <w:color w:val="auto"/>
          <w:highlight w:val="none"/>
        </w:rPr>
        <w:t>附件</w:t>
      </w:r>
      <w:bookmarkEnd w:id="30"/>
      <w:bookmarkEnd w:id="31"/>
    </w:p>
    <w:p w14:paraId="75706B45">
      <w:pPr>
        <w:pStyle w:val="2"/>
        <w:spacing w:line="460" w:lineRule="exact"/>
        <w:ind w:left="433" w:hanging="433" w:hangingChars="196"/>
        <w:outlineLvl w:val="1"/>
        <w:rPr>
          <w:rFonts w:hint="eastAsia" w:ascii="新宋体" w:hAnsi="新宋体" w:eastAsia="新宋体" w:cs="新宋体"/>
          <w:b/>
          <w:color w:val="auto"/>
          <w:sz w:val="22"/>
          <w:highlight w:val="none"/>
        </w:rPr>
      </w:pPr>
      <w:bookmarkStart w:id="32" w:name="_Toc6368"/>
      <w:bookmarkStart w:id="33" w:name="_Toc7056"/>
      <w:r>
        <w:rPr>
          <w:rFonts w:hint="eastAsia" w:ascii="新宋体" w:hAnsi="新宋体" w:eastAsia="新宋体" w:cs="新宋体"/>
          <w:b/>
          <w:color w:val="auto"/>
          <w:sz w:val="22"/>
          <w:highlight w:val="none"/>
        </w:rPr>
        <w:t>附件一</w:t>
      </w:r>
      <w:bookmarkEnd w:id="32"/>
      <w:bookmarkEnd w:id="33"/>
    </w:p>
    <w:p w14:paraId="593427FD">
      <w:pPr>
        <w:spacing w:line="460" w:lineRule="exact"/>
        <w:jc w:val="center"/>
        <w:outlineLvl w:val="2"/>
        <w:rPr>
          <w:rFonts w:hint="eastAsia" w:ascii="新宋体" w:hAnsi="新宋体" w:eastAsia="新宋体" w:cs="新宋体"/>
          <w:color w:val="auto"/>
          <w:sz w:val="28"/>
          <w:szCs w:val="28"/>
          <w:highlight w:val="none"/>
        </w:rPr>
      </w:pPr>
      <w:bookmarkStart w:id="34" w:name="_Toc4718"/>
      <w:bookmarkStart w:id="35" w:name="_Toc25309"/>
      <w:bookmarkStart w:id="36" w:name="_Toc5430"/>
      <w:bookmarkStart w:id="37" w:name="_Toc13365"/>
      <w:r>
        <w:rPr>
          <w:rFonts w:hint="eastAsia" w:ascii="新宋体" w:hAnsi="新宋体" w:eastAsia="新宋体" w:cs="新宋体"/>
          <w:b/>
          <w:bCs/>
          <w:color w:val="auto"/>
          <w:sz w:val="28"/>
          <w:szCs w:val="28"/>
          <w:highlight w:val="none"/>
        </w:rPr>
        <w:t>资格证明文件</w:t>
      </w:r>
      <w:bookmarkEnd w:id="34"/>
      <w:bookmarkEnd w:id="35"/>
      <w:r>
        <w:rPr>
          <w:rFonts w:hint="eastAsia" w:ascii="新宋体" w:hAnsi="新宋体" w:eastAsia="新宋体" w:cs="新宋体"/>
          <w:color w:val="auto"/>
          <w:sz w:val="28"/>
          <w:szCs w:val="28"/>
          <w:highlight w:val="none"/>
        </w:rPr>
        <w:t xml:space="preserve"> </w:t>
      </w:r>
    </w:p>
    <w:p w14:paraId="0ADAB783">
      <w:pPr>
        <w:spacing w:line="400" w:lineRule="exact"/>
        <w:jc w:val="center"/>
        <w:outlineLvl w:val="9"/>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highlight w:val="none"/>
          <w:u w:val="single"/>
        </w:rPr>
        <w:t>（如为联合体投标，则联合体各方均须提供）</w:t>
      </w:r>
    </w:p>
    <w:p w14:paraId="0B91A126">
      <w:pPr>
        <w:spacing w:line="420" w:lineRule="exact"/>
        <w:jc w:val="center"/>
        <w:outlineLvl w:val="3"/>
        <w:rPr>
          <w:rFonts w:hint="eastAsia" w:ascii="新宋体" w:hAnsi="新宋体" w:eastAsia="新宋体" w:cs="新宋体"/>
          <w:b/>
          <w:bCs/>
          <w:color w:val="auto"/>
          <w:sz w:val="28"/>
          <w:szCs w:val="28"/>
          <w:highlight w:val="none"/>
          <w:lang w:val="zh-CN" w:eastAsia="zh-CN"/>
        </w:rPr>
      </w:pPr>
      <w:r>
        <w:rPr>
          <w:rFonts w:hint="eastAsia" w:ascii="新宋体" w:hAnsi="新宋体" w:eastAsia="新宋体" w:cs="新宋体"/>
          <w:b/>
          <w:bCs/>
          <w:color w:val="auto"/>
          <w:sz w:val="28"/>
          <w:szCs w:val="28"/>
          <w:highlight w:val="none"/>
          <w:lang w:val="zh-CN"/>
        </w:rPr>
        <w:t>1、资格条件承诺函</w:t>
      </w:r>
    </w:p>
    <w:p w14:paraId="4EE229C2">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温州市中心血站</w:t>
      </w:r>
      <w:r>
        <w:rPr>
          <w:rFonts w:hint="eastAsia" w:ascii="新宋体" w:hAnsi="新宋体" w:eastAsia="新宋体" w:cs="新宋体"/>
          <w:color w:val="auto"/>
          <w:kern w:val="0"/>
          <w:sz w:val="22"/>
          <w:szCs w:val="22"/>
          <w:highlight w:val="none"/>
        </w:rPr>
        <w:t>、温州历程招标有限公司：</w:t>
      </w:r>
    </w:p>
    <w:p w14:paraId="3E695861">
      <w:pPr>
        <w:widowControl/>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我方参与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（项目名称、编号）投标，现郑重承诺，</w:t>
      </w:r>
      <w:r>
        <w:rPr>
          <w:rFonts w:hint="eastAsia" w:ascii="新宋体" w:hAnsi="新宋体" w:eastAsia="新宋体" w:cs="新宋体"/>
          <w:color w:val="auto"/>
          <w:kern w:val="0"/>
          <w:sz w:val="22"/>
          <w:szCs w:val="22"/>
          <w:highlight w:val="none"/>
        </w:rPr>
        <w:t>参加本次采购活动前3年内</w:t>
      </w:r>
      <w:r>
        <w:rPr>
          <w:rFonts w:hint="eastAsia" w:ascii="新宋体" w:hAnsi="新宋体" w:eastAsia="新宋体" w:cs="新宋体"/>
          <w:color w:val="auto"/>
          <w:sz w:val="22"/>
          <w:szCs w:val="22"/>
          <w:highlight w:val="none"/>
        </w:rPr>
        <w:t>：</w:t>
      </w:r>
    </w:p>
    <w:p w14:paraId="3AF99464">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1、我方符合《中华人民共和国政府采购法》第22条规定的资格条件，即</w:t>
      </w:r>
    </w:p>
    <w:p w14:paraId="34F88818">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（1）我方具有独立承担民事责任的能力；</w:t>
      </w:r>
    </w:p>
    <w:p w14:paraId="73A2C7C9">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（2）我方具有良好的商业信誉和健全的财务会计制度；</w:t>
      </w:r>
    </w:p>
    <w:p w14:paraId="6548FE96">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（3）我方具有履行合同所必需的设备和专业技术能力；</w:t>
      </w:r>
    </w:p>
    <w:p w14:paraId="7B4EB9DA">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（4）我方有依法缴纳税收和社会保障资金的良好记录；</w:t>
      </w:r>
    </w:p>
    <w:p w14:paraId="0E6FD6FA">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6FC052AF">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2、到本项目投标截止时间为止，我方未被“信用中国（</w:t>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"http://www.creditchina.gov.cn）、"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kern w:val="0"/>
          <w:sz w:val="22"/>
          <w:szCs w:val="22"/>
          <w:highlight w:val="none"/>
        </w:rPr>
        <w:t>www.creditchina.gov.cn）、</w:t>
      </w:r>
      <w:r>
        <w:rPr>
          <w:rFonts w:hint="eastAsia" w:ascii="新宋体" w:hAnsi="新宋体" w:eastAsia="新宋体" w:cs="新宋体"/>
          <w:color w:val="auto"/>
          <w:kern w:val="0"/>
          <w:sz w:val="22"/>
          <w:szCs w:val="22"/>
          <w:highlight w:val="none"/>
        </w:rPr>
        <w:fldChar w:fldCharType="end"/>
      </w:r>
      <w:r>
        <w:rPr>
          <w:rFonts w:hint="eastAsia" w:ascii="新宋体" w:hAnsi="新宋体" w:eastAsia="新宋体" w:cs="新宋体"/>
          <w:color w:val="auto"/>
          <w:kern w:val="0"/>
          <w:sz w:val="22"/>
          <w:szCs w:val="22"/>
          <w:highlight w:val="none"/>
        </w:rPr>
        <w:t xml:space="preserve"> 中国政府采购网（www.ccgp.gov.cn）列入失信被执行人名单、重大税收违法案件当事人名单、政府采购严重违法失信行为记录名单。</w:t>
      </w:r>
    </w:p>
    <w:p w14:paraId="461A9A1B">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3、我方与参加本次项目同一合同项下政府采购活动的其他供应商不存在单位负责人为同一人或者直接控股、管理关系。</w:t>
      </w:r>
    </w:p>
    <w:p w14:paraId="349105F8">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4、我方不属于公益一类事业单位。</w:t>
      </w:r>
    </w:p>
    <w:p w14:paraId="2C08ABE5">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p>
    <w:p w14:paraId="3BA474CB">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以上承诺如有虚假，愿接受取消我方任何资格（投标/成交/签订合同）及其他任何形式的处理。</w:t>
      </w:r>
    </w:p>
    <w:p w14:paraId="4E4610C5">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p>
    <w:p w14:paraId="42DE86BC">
      <w:pPr>
        <w:snapToGrid w:val="0"/>
        <w:spacing w:line="460" w:lineRule="exact"/>
        <w:ind w:firstLine="5060" w:firstLineChars="2300"/>
        <w:rPr>
          <w:rFonts w:hint="eastAsia" w:ascii="新宋体" w:hAnsi="新宋体" w:eastAsia="新宋体" w:cs="新宋体"/>
          <w:color w:val="auto"/>
          <w:kern w:val="0"/>
          <w:sz w:val="22"/>
          <w:szCs w:val="22"/>
          <w:highlight w:val="none"/>
          <w:lang w:val="zh-CN"/>
        </w:rPr>
      </w:pPr>
    </w:p>
    <w:p w14:paraId="270FFB35">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投标人全称（盖章） ：</w:t>
      </w:r>
    </w:p>
    <w:p w14:paraId="39B4C292">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14:paraId="59B8431C">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p>
    <w:p w14:paraId="617F4B14">
      <w:pPr>
        <w:pStyle w:val="2"/>
        <w:spacing w:line="460" w:lineRule="exact"/>
        <w:ind w:left="479" w:leftChars="228" w:firstLine="5280" w:firstLineChars="24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14:paraId="18267F4A">
      <w:pPr>
        <w:rPr>
          <w:rFonts w:hint="eastAsia" w:ascii="新宋体" w:hAnsi="新宋体" w:eastAsia="新宋体" w:cs="新宋体"/>
          <w:color w:val="auto"/>
          <w:highlight w:val="none"/>
        </w:rPr>
      </w:pPr>
    </w:p>
    <w:p w14:paraId="1970A09B">
      <w:pPr>
        <w:rPr>
          <w:rFonts w:hint="eastAsia" w:ascii="新宋体" w:hAnsi="新宋体" w:eastAsia="新宋体" w:cs="新宋体"/>
          <w:color w:val="auto"/>
          <w:highlight w:val="none"/>
        </w:rPr>
      </w:pPr>
    </w:p>
    <w:p w14:paraId="652B277A">
      <w:pPr>
        <w:spacing w:line="420" w:lineRule="exact"/>
        <w:jc w:val="center"/>
        <w:outlineLvl w:val="3"/>
        <w:rPr>
          <w:rFonts w:hint="eastAsia" w:ascii="新宋体" w:hAnsi="新宋体" w:eastAsia="新宋体" w:cs="新宋体"/>
          <w:b/>
          <w:bCs/>
          <w:color w:val="auto"/>
          <w:sz w:val="28"/>
          <w:szCs w:val="28"/>
          <w:highlight w:val="none"/>
          <w:lang w:val="zh-CN"/>
        </w:rPr>
      </w:pPr>
      <w:r>
        <w:rPr>
          <w:rFonts w:hint="eastAsia" w:ascii="新宋体" w:hAnsi="新宋体" w:eastAsia="新宋体" w:cs="新宋体"/>
          <w:b/>
          <w:bCs/>
          <w:color w:val="auto"/>
          <w:sz w:val="28"/>
          <w:szCs w:val="28"/>
          <w:highlight w:val="none"/>
          <w:lang w:val="zh-CN"/>
        </w:rPr>
        <w:t>2、有效营业执照</w:t>
      </w:r>
    </w:p>
    <w:p w14:paraId="579887D5">
      <w:pPr>
        <w:pStyle w:val="48"/>
        <w:tabs>
          <w:tab w:val="left" w:pos="630"/>
          <w:tab w:val="left" w:pos="840"/>
          <w:tab w:val="left" w:pos="1050"/>
        </w:tabs>
        <w:adjustRightInd w:val="0"/>
        <w:snapToGrid w:val="0"/>
        <w:spacing w:before="0" w:beforeAutospacing="0" w:after="0" w:afterAutospacing="0" w:line="360" w:lineRule="auto"/>
        <w:ind w:left="420"/>
        <w:rPr>
          <w:rFonts w:hint="eastAsia" w:ascii="新宋体" w:hAnsi="新宋体" w:eastAsia="新宋体" w:cs="新宋体"/>
          <w:bCs/>
          <w:color w:val="auto"/>
          <w:highlight w:val="none"/>
        </w:rPr>
      </w:pPr>
    </w:p>
    <w:p w14:paraId="478C4D1A">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投标人须在投标文件中出具符合以下情况的证明材料复印件（五选一）：</w:t>
      </w:r>
    </w:p>
    <w:p w14:paraId="43562742">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①如投标人是企业（包括合伙企业），提供在工商部门注册的有效“企业法人营业执照”或“营业执照”；</w:t>
      </w:r>
    </w:p>
    <w:p w14:paraId="0AE983DB">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②如投标人是事业单位，提供有效的“事业单位法人证书”；</w:t>
      </w:r>
    </w:p>
    <w:p w14:paraId="4D64761A">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③如投标人是非企业专业服务机构的，提供执业许可证等证明文件；</w:t>
      </w:r>
    </w:p>
    <w:p w14:paraId="662408A8">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④如投标人是个体工商户，提供有效的“个体工商户营业执照”；</w:t>
      </w:r>
    </w:p>
    <w:p w14:paraId="6D3E567F">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⑤如投标人是自然人，提供有效的自然人身份证明（居民身份证正反面或公安机关出具的临时居民身份证正反面或港澳台胞证或护照）。</w:t>
      </w:r>
    </w:p>
    <w:p w14:paraId="4F47FA22">
      <w:pPr>
        <w:pStyle w:val="48"/>
        <w:tabs>
          <w:tab w:val="left" w:pos="312"/>
        </w:tabs>
        <w:adjustRightInd w:val="0"/>
        <w:snapToGrid w:val="0"/>
        <w:spacing w:before="0" w:beforeAutospacing="0" w:after="0" w:afterAutospacing="0" w:line="360" w:lineRule="auto"/>
        <w:rPr>
          <w:rFonts w:hint="eastAsia" w:ascii="新宋体" w:hAnsi="新宋体" w:eastAsia="新宋体" w:cs="新宋体"/>
          <w:bCs/>
          <w:color w:val="auto"/>
          <w:sz w:val="22"/>
          <w:szCs w:val="22"/>
          <w:highlight w:val="none"/>
        </w:rPr>
      </w:pPr>
    </w:p>
    <w:p w14:paraId="4441DE4B">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3BAAE564">
      <w:pPr>
        <w:rPr>
          <w:rFonts w:hint="eastAsia" w:ascii="新宋体" w:hAnsi="新宋体" w:eastAsia="新宋体" w:cs="新宋体"/>
          <w:color w:val="auto"/>
          <w:highlight w:val="none"/>
        </w:rPr>
      </w:pPr>
    </w:p>
    <w:p w14:paraId="5EB9EAD8">
      <w:pPr>
        <w:rPr>
          <w:rFonts w:hint="eastAsia" w:ascii="新宋体" w:hAnsi="新宋体" w:eastAsia="新宋体" w:cs="新宋体"/>
          <w:color w:val="auto"/>
          <w:highlight w:val="none"/>
        </w:rPr>
      </w:pPr>
    </w:p>
    <w:p w14:paraId="495B3E83">
      <w:pPr>
        <w:rPr>
          <w:rFonts w:hint="eastAsia" w:ascii="新宋体" w:hAnsi="新宋体" w:eastAsia="新宋体" w:cs="新宋体"/>
          <w:color w:val="auto"/>
          <w:highlight w:val="none"/>
        </w:rPr>
      </w:pPr>
    </w:p>
    <w:p w14:paraId="485B092D">
      <w:pPr>
        <w:rPr>
          <w:rFonts w:hint="eastAsia" w:ascii="新宋体" w:hAnsi="新宋体" w:eastAsia="新宋体" w:cs="新宋体"/>
          <w:color w:val="auto"/>
          <w:highlight w:val="none"/>
        </w:rPr>
      </w:pPr>
    </w:p>
    <w:p w14:paraId="6CEC47EA">
      <w:pPr>
        <w:spacing w:line="420" w:lineRule="exact"/>
        <w:jc w:val="center"/>
        <w:outlineLvl w:val="3"/>
        <w:rPr>
          <w:rFonts w:hint="eastAsia" w:ascii="新宋体" w:hAnsi="新宋体" w:eastAsia="新宋体" w:cs="新宋体"/>
          <w:b/>
          <w:bCs/>
          <w:color w:val="auto"/>
          <w:sz w:val="28"/>
          <w:szCs w:val="28"/>
          <w:highlight w:val="none"/>
          <w:lang w:val="zh-CN"/>
        </w:rPr>
      </w:pPr>
      <w:r>
        <w:rPr>
          <w:rFonts w:hint="eastAsia" w:ascii="新宋体" w:hAnsi="新宋体" w:eastAsia="新宋体" w:cs="新宋体"/>
          <w:b/>
          <w:bCs/>
          <w:color w:val="auto"/>
          <w:sz w:val="28"/>
          <w:szCs w:val="28"/>
          <w:highlight w:val="none"/>
          <w:lang w:val="zh-CN"/>
        </w:rPr>
        <w:t>3、投标人信用查询</w:t>
      </w:r>
    </w:p>
    <w:p w14:paraId="196DE83A">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（1）投标人信用信息查询的查询渠道：“信用中国”（https://www.creditchina.gov.cn/）；“中国政府采购网”（http://www.ccgp.gov.cn/）；</w:t>
      </w:r>
    </w:p>
    <w:p w14:paraId="5DE8267C">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（2）投标人信用信息查询截止时点：招标公告发布之日至投标截止时间前。</w:t>
      </w:r>
    </w:p>
    <w:p w14:paraId="600922E6">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（3）投标人信用信息查询记录和证据留存的具体方式：网页截图；</w:t>
      </w:r>
    </w:p>
    <w:p w14:paraId="30B255E7">
      <w:pPr>
        <w:tabs>
          <w:tab w:val="left" w:pos="360"/>
        </w:tabs>
        <w:spacing w:line="460" w:lineRule="exact"/>
        <w:ind w:firstLine="552" w:firstLineChars="25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highlight w:val="none"/>
          <w:u w:val="single"/>
        </w:rPr>
        <w:t>（4）信用信息的使用规则：对列入失信被执行人、重大税收违法案件当事人名单、政府采购严重违法失信行为记录名单及其他不符合《中华人民共和国政府采购法》第二十二条规定条件的投标人，其投标做无效投标处理。</w:t>
      </w:r>
    </w:p>
    <w:p w14:paraId="6357806B">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（5）联合体成员任意一方存在不良信用记录的，视同联合体存在不良信用记录。（如为联合体投标，则联合体各方均须提供）</w:t>
      </w:r>
    </w:p>
    <w:p w14:paraId="43F9F7BD">
      <w:pPr>
        <w:spacing w:line="460" w:lineRule="exact"/>
        <w:rPr>
          <w:rFonts w:hint="eastAsia" w:ascii="新宋体" w:hAnsi="新宋体" w:eastAsia="新宋体" w:cs="新宋体"/>
          <w:b/>
          <w:bCs/>
          <w:color w:val="auto"/>
          <w:sz w:val="22"/>
          <w:szCs w:val="22"/>
          <w:highlight w:val="none"/>
        </w:rPr>
      </w:pPr>
    </w:p>
    <w:p w14:paraId="2399A9BD">
      <w:pPr>
        <w:spacing w:line="460" w:lineRule="exact"/>
        <w:rPr>
          <w:rFonts w:hint="eastAsia" w:ascii="新宋体" w:hAnsi="新宋体" w:eastAsia="新宋体" w:cs="新宋体"/>
          <w:b/>
          <w:bCs/>
          <w:color w:val="auto"/>
          <w:sz w:val="22"/>
          <w:szCs w:val="22"/>
          <w:highlight w:val="none"/>
        </w:rPr>
      </w:pPr>
    </w:p>
    <w:p w14:paraId="0FFA350C">
      <w:pPr>
        <w:spacing w:line="460" w:lineRule="exact"/>
        <w:rPr>
          <w:rFonts w:hint="eastAsia" w:ascii="新宋体" w:hAnsi="新宋体" w:eastAsia="新宋体" w:cs="新宋体"/>
          <w:b/>
          <w:bCs/>
          <w:color w:val="auto"/>
          <w:sz w:val="22"/>
          <w:szCs w:val="22"/>
          <w:highlight w:val="none"/>
        </w:rPr>
      </w:pPr>
    </w:p>
    <w:p w14:paraId="3522B3FB">
      <w:pPr>
        <w:spacing w:line="460" w:lineRule="exact"/>
        <w:rPr>
          <w:rFonts w:hint="eastAsia" w:ascii="新宋体" w:hAnsi="新宋体" w:eastAsia="新宋体" w:cs="新宋体"/>
          <w:b/>
          <w:bCs/>
          <w:color w:val="auto"/>
          <w:sz w:val="22"/>
          <w:szCs w:val="22"/>
          <w:highlight w:val="none"/>
        </w:rPr>
      </w:pPr>
    </w:p>
    <w:p w14:paraId="0C3CDFAF">
      <w:pPr>
        <w:spacing w:line="420" w:lineRule="exact"/>
        <w:jc w:val="center"/>
        <w:outlineLvl w:val="3"/>
        <w:rPr>
          <w:rFonts w:hint="eastAsia" w:ascii="新宋体" w:hAnsi="新宋体" w:eastAsia="新宋体" w:cs="新宋体"/>
          <w:b/>
          <w:bCs/>
          <w:color w:val="auto"/>
          <w:sz w:val="28"/>
          <w:szCs w:val="28"/>
          <w:highlight w:val="none"/>
          <w:lang w:val="zh-CN"/>
        </w:rPr>
      </w:pPr>
      <w:r>
        <w:rPr>
          <w:rFonts w:hint="eastAsia" w:ascii="新宋体" w:hAnsi="新宋体" w:eastAsia="新宋体" w:cs="新宋体"/>
          <w:b/>
          <w:bCs/>
          <w:color w:val="auto"/>
          <w:sz w:val="28"/>
          <w:szCs w:val="28"/>
          <w:highlight w:val="none"/>
          <w:lang w:val="en-US" w:eastAsia="zh-CN"/>
        </w:rPr>
        <w:t>4</w:t>
      </w:r>
      <w:r>
        <w:rPr>
          <w:rFonts w:hint="eastAsia" w:ascii="新宋体" w:hAnsi="新宋体" w:eastAsia="新宋体" w:cs="新宋体"/>
          <w:b/>
          <w:bCs/>
          <w:color w:val="auto"/>
          <w:sz w:val="28"/>
          <w:szCs w:val="28"/>
          <w:highlight w:val="none"/>
          <w:lang w:val="zh-CN"/>
        </w:rPr>
        <w:t>、政府采购活动现场确认声明书</w:t>
      </w:r>
    </w:p>
    <w:p w14:paraId="50E67582">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rPr>
        <w:t>温州历程招标有限公司：</w:t>
      </w:r>
    </w:p>
    <w:p w14:paraId="44B47693">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kern w:val="0"/>
          <w:sz w:val="22"/>
          <w:szCs w:val="22"/>
          <w:highlight w:val="none"/>
        </w:rPr>
        <w:t>本人经由</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（供应商名称）负责人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（姓名）合法授权参加</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项目（编号：</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）采购活动，经与本单位法人代表（负责人）联系确认，现就有关公平竞争事项郑重声明如下：</w:t>
      </w:r>
    </w:p>
    <w:p w14:paraId="0FFFE8A2">
      <w:pPr>
        <w:numPr>
          <w:ilvl w:val="0"/>
          <w:numId w:val="0"/>
        </w:num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一</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本单位与</w:t>
      </w:r>
      <w:r>
        <w:rPr>
          <w:rFonts w:hint="eastAsia" w:ascii="新宋体" w:hAnsi="新宋体" w:eastAsia="新宋体" w:cs="新宋体"/>
          <w:color w:val="auto"/>
          <w:kern w:val="0"/>
          <w:sz w:val="22"/>
          <w:szCs w:val="22"/>
          <w:highlight w:val="none"/>
          <w:lang w:eastAsia="zh-CN"/>
        </w:rPr>
        <w:t>采购人</w:t>
      </w:r>
      <w:r>
        <w:rPr>
          <w:rFonts w:hint="eastAsia" w:ascii="新宋体" w:hAnsi="新宋体" w:eastAsia="新宋体" w:cs="新宋体"/>
          <w:color w:val="auto"/>
          <w:kern w:val="0"/>
          <w:sz w:val="22"/>
          <w:szCs w:val="22"/>
          <w:highlight w:val="none"/>
        </w:rPr>
        <w:t xml:space="preserve">之间 </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 xml:space="preserve">不存在利害关系 </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存在下列利害关系：</w:t>
      </w:r>
    </w:p>
    <w:p w14:paraId="511FDD2B">
      <w:p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A.投资关系    </w:t>
      </w:r>
    </w:p>
    <w:p w14:paraId="52654761">
      <w:p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B.行政隶属关系    </w:t>
      </w:r>
    </w:p>
    <w:p w14:paraId="2DC56F71">
      <w:p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C.业务指导关系  </w:t>
      </w:r>
    </w:p>
    <w:p w14:paraId="7A9990EE">
      <w:pPr>
        <w:spacing w:line="460" w:lineRule="exact"/>
        <w:ind w:firstLine="660" w:firstLineChars="3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D.其他可能影响采购公正的利害关系</w:t>
      </w:r>
      <w:r>
        <w:rPr>
          <w:rStyle w:val="333"/>
          <w:rFonts w:hint="eastAsia" w:ascii="新宋体" w:hAnsi="新宋体" w:eastAsia="新宋体" w:cs="新宋体"/>
          <w:color w:val="auto"/>
          <w:sz w:val="22"/>
          <w:szCs w:val="22"/>
          <w:highlight w:val="none"/>
        </w:rPr>
        <w:t xml:space="preserve">（如有，请如实说明）                 </w:t>
      </w:r>
      <w:r>
        <w:rPr>
          <w:rFonts w:hint="eastAsia" w:ascii="新宋体" w:hAnsi="新宋体" w:eastAsia="新宋体" w:cs="新宋体"/>
          <w:color w:val="auto"/>
          <w:kern w:val="0"/>
          <w:sz w:val="22"/>
          <w:szCs w:val="22"/>
          <w:highlight w:val="none"/>
        </w:rPr>
        <w:t>。</w:t>
      </w:r>
    </w:p>
    <w:p w14:paraId="64081AEC">
      <w:pPr>
        <w:numPr>
          <w:ilvl w:val="0"/>
          <w:numId w:val="0"/>
        </w:num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二</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 xml:space="preserve">现已清楚知道参加本项目采购活动的其他所有供应商名称，本单位 </w:t>
      </w:r>
    </w:p>
    <w:p w14:paraId="4FB65180">
      <w:pPr>
        <w:numPr>
          <w:ilvl w:val="0"/>
          <w:numId w:val="0"/>
        </w:num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与其他所有供应商之间均不存在利害关系</w:t>
      </w:r>
    </w:p>
    <w:p w14:paraId="7E1A222D">
      <w:pPr>
        <w:numPr>
          <w:ilvl w:val="0"/>
          <w:numId w:val="0"/>
        </w:num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与</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供应商名称）之间存在下列利害关系</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w:t>
      </w:r>
    </w:p>
    <w:p w14:paraId="1E91E17B">
      <w:pPr>
        <w:numPr>
          <w:ilvl w:val="0"/>
          <w:numId w:val="0"/>
        </w:num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A.</w:t>
      </w:r>
      <w:r>
        <w:rPr>
          <w:rFonts w:hint="eastAsia" w:ascii="新宋体" w:hAnsi="新宋体" w:eastAsia="新宋体" w:cs="新宋体"/>
          <w:color w:val="auto"/>
          <w:kern w:val="0"/>
          <w:sz w:val="22"/>
          <w:szCs w:val="22"/>
          <w:highlight w:val="none"/>
        </w:rPr>
        <w:t>法定代表人或负责人或实际控制人是同一人</w:t>
      </w:r>
    </w:p>
    <w:p w14:paraId="2634A8CF">
      <w:pPr>
        <w:numPr>
          <w:ilvl w:val="0"/>
          <w:numId w:val="0"/>
        </w:num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B.法定代表人或负责人或实际控制人是夫妻关系</w:t>
      </w:r>
    </w:p>
    <w:p w14:paraId="3FD90C23">
      <w:pPr>
        <w:numPr>
          <w:ilvl w:val="0"/>
          <w:numId w:val="0"/>
        </w:num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C.法定代表人或负责人或实际控制人是直系血亲关系</w:t>
      </w:r>
    </w:p>
    <w:p w14:paraId="3B1077E9">
      <w:pPr>
        <w:numPr>
          <w:ilvl w:val="0"/>
          <w:numId w:val="0"/>
        </w:num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D.法定代表人或负责人或实际控制人存在三代以内旁系血亲关系</w:t>
      </w:r>
    </w:p>
    <w:p w14:paraId="6D1F6DCF">
      <w:pPr>
        <w:numPr>
          <w:ilvl w:val="0"/>
          <w:numId w:val="0"/>
        </w:numPr>
        <w:spacing w:line="460" w:lineRule="exact"/>
        <w:ind w:firstLine="660" w:firstLineChars="300"/>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E.法定代表人或负责人或实际控制人存在近姻亲关系</w:t>
      </w:r>
    </w:p>
    <w:p w14:paraId="025D92F8">
      <w:pPr>
        <w:numPr>
          <w:ilvl w:val="0"/>
          <w:numId w:val="0"/>
        </w:num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F.法定代表人或负责人或实际控制人存在股份控制或实际控制关系</w:t>
      </w:r>
    </w:p>
    <w:p w14:paraId="222CD965">
      <w:pPr>
        <w:numPr>
          <w:ilvl w:val="0"/>
          <w:numId w:val="0"/>
        </w:num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G.存在共同直接或间接投资设立子公司、联营企业和合营企业情况</w:t>
      </w:r>
    </w:p>
    <w:p w14:paraId="25C7ADE8">
      <w:pPr>
        <w:numPr>
          <w:ilvl w:val="0"/>
          <w:numId w:val="0"/>
        </w:num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H.存在分级代理或代销关系、同一生产制造商关系、管理关系、重要业务（占主营业务收入50%以上）或重要财务往来关系（如融资）等其他实质性控制关系</w:t>
      </w:r>
    </w:p>
    <w:p w14:paraId="72A7404B">
      <w:pPr>
        <w:numPr>
          <w:ilvl w:val="0"/>
          <w:numId w:val="0"/>
        </w:num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I.其他利害关系情况</w:t>
      </w:r>
      <w:r>
        <w:rPr>
          <w:rFonts w:hint="eastAsia" w:ascii="新宋体" w:hAnsi="新宋体" w:eastAsia="新宋体" w:cs="新宋体"/>
          <w:color w:val="auto"/>
          <w:kern w:val="0"/>
          <w:sz w:val="22"/>
          <w:szCs w:val="22"/>
          <w:highlight w:val="none"/>
          <w:u w:val="single"/>
        </w:rPr>
        <w:t xml:space="preserve">                              。</w:t>
      </w:r>
    </w:p>
    <w:p w14:paraId="78228A6F">
      <w:pPr>
        <w:pStyle w:val="2"/>
        <w:spacing w:line="460" w:lineRule="exact"/>
        <w:ind w:left="0" w:firstLine="0" w:firstLineChars="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（三）现已清楚知道并严格遵守政府采购法律法规和现场纪律</w:t>
      </w:r>
    </w:p>
    <w:p w14:paraId="335AED8D">
      <w:pPr>
        <w:pStyle w:val="2"/>
        <w:spacing w:line="460" w:lineRule="exact"/>
        <w:ind w:left="0" w:firstLine="0" w:firstLineChars="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（四）我发现</w:t>
      </w:r>
      <w:r>
        <w:rPr>
          <w:rStyle w:val="333"/>
          <w:rFonts w:hint="eastAsia" w:ascii="新宋体" w:hAnsi="新宋体" w:eastAsia="新宋体" w:cs="新宋体"/>
          <w:color w:val="auto"/>
          <w:sz w:val="22"/>
          <w:szCs w:val="22"/>
          <w:highlight w:val="none"/>
        </w:rPr>
        <w:t xml:space="preserve">                  </w:t>
      </w:r>
      <w:r>
        <w:rPr>
          <w:rStyle w:val="333"/>
          <w:rFonts w:hint="eastAsia" w:ascii="新宋体" w:hAnsi="新宋体" w:eastAsia="新宋体" w:cs="新宋体"/>
          <w:color w:val="auto"/>
          <w:sz w:val="22"/>
          <w:szCs w:val="22"/>
          <w:highlight w:val="none"/>
          <w:u w:val="none"/>
        </w:rPr>
        <w:t>与</w:t>
      </w:r>
      <w:r>
        <w:rPr>
          <w:rStyle w:val="333"/>
          <w:rFonts w:hint="eastAsia" w:ascii="新宋体" w:hAnsi="新宋体" w:eastAsia="新宋体" w:cs="新宋体"/>
          <w:color w:val="auto"/>
          <w:sz w:val="22"/>
          <w:szCs w:val="22"/>
          <w:highlight w:val="none"/>
        </w:rPr>
        <w:t xml:space="preserve">                  （供应商名称）</w:t>
      </w:r>
      <w:r>
        <w:rPr>
          <w:rFonts w:hint="eastAsia" w:ascii="新宋体" w:hAnsi="新宋体" w:eastAsia="新宋体" w:cs="新宋体"/>
          <w:color w:val="auto"/>
          <w:kern w:val="0"/>
          <w:sz w:val="22"/>
          <w:szCs w:val="22"/>
          <w:highlight w:val="none"/>
        </w:rPr>
        <w:t>之间存在或可能存在上述第二条第</w:t>
      </w:r>
      <w:r>
        <w:rPr>
          <w:rStyle w:val="333"/>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kern w:val="0"/>
          <w:sz w:val="22"/>
          <w:szCs w:val="22"/>
          <w:highlight w:val="none"/>
        </w:rPr>
        <w:t>项利害关系。</w:t>
      </w:r>
    </w:p>
    <w:p w14:paraId="5E16DC9B">
      <w:pPr>
        <w:pStyle w:val="2"/>
        <w:spacing w:line="460" w:lineRule="exact"/>
        <w:ind w:left="0" w:firstLine="0" w:firstLineChars="0"/>
        <w:rPr>
          <w:rFonts w:hint="eastAsia" w:ascii="新宋体" w:hAnsi="新宋体" w:eastAsia="新宋体" w:cs="新宋体"/>
          <w:b/>
          <w:color w:val="auto"/>
          <w:kern w:val="0"/>
          <w:sz w:val="22"/>
          <w:szCs w:val="22"/>
          <w:highlight w:val="none"/>
          <w:lang w:eastAsia="zh-CN"/>
        </w:rPr>
      </w:pPr>
      <w:r>
        <w:rPr>
          <w:rFonts w:hint="eastAsia" w:ascii="新宋体" w:hAnsi="新宋体" w:eastAsia="新宋体" w:cs="新宋体"/>
          <w:b/>
          <w:color w:val="auto"/>
          <w:kern w:val="0"/>
          <w:sz w:val="22"/>
          <w:szCs w:val="22"/>
          <w:highlight w:val="none"/>
        </w:rPr>
        <w:t>供应商代表签名</w:t>
      </w:r>
      <w:r>
        <w:rPr>
          <w:rFonts w:hint="eastAsia" w:ascii="新宋体" w:hAnsi="新宋体" w:eastAsia="新宋体" w:cs="新宋体"/>
          <w:b/>
          <w:color w:val="auto"/>
          <w:kern w:val="0"/>
          <w:sz w:val="22"/>
          <w:szCs w:val="22"/>
          <w:highlight w:val="none"/>
          <w:lang w:eastAsia="zh-CN"/>
        </w:rPr>
        <w:t>：</w:t>
      </w:r>
    </w:p>
    <w:p w14:paraId="668C6C19">
      <w:pPr>
        <w:pStyle w:val="2"/>
        <w:spacing w:line="460" w:lineRule="exact"/>
        <w:ind w:left="0" w:firstLine="0" w:firstLineChars="0"/>
        <w:jc w:val="right"/>
        <w:rPr>
          <w:rFonts w:hint="eastAsia" w:ascii="新宋体" w:hAnsi="新宋体" w:eastAsia="新宋体" w:cs="新宋体"/>
          <w:b/>
          <w:color w:val="auto"/>
          <w:kern w:val="0"/>
          <w:sz w:val="22"/>
          <w:szCs w:val="22"/>
          <w:highlight w:val="none"/>
        </w:rPr>
      </w:pPr>
    </w:p>
    <w:p w14:paraId="212AB808">
      <w:pPr>
        <w:pStyle w:val="2"/>
        <w:spacing w:line="460" w:lineRule="exact"/>
        <w:ind w:left="0" w:firstLine="0" w:firstLineChars="0"/>
        <w:jc w:val="right"/>
        <w:rPr>
          <w:rFonts w:hint="eastAsia" w:ascii="新宋体" w:hAnsi="新宋体" w:eastAsia="新宋体" w:cs="新宋体"/>
          <w:b/>
          <w:color w:val="auto"/>
          <w:kern w:val="0"/>
          <w:sz w:val="22"/>
          <w:szCs w:val="22"/>
          <w:highlight w:val="none"/>
        </w:rPr>
      </w:pPr>
    </w:p>
    <w:p w14:paraId="31B134AA">
      <w:pPr>
        <w:pStyle w:val="2"/>
        <w:spacing w:line="460" w:lineRule="exact"/>
        <w:ind w:left="0" w:firstLine="0" w:firstLineChars="0"/>
        <w:jc w:val="right"/>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kern w:val="0"/>
          <w:sz w:val="22"/>
          <w:szCs w:val="22"/>
          <w:highlight w:val="none"/>
        </w:rPr>
        <w:t>日期</w:t>
      </w:r>
      <w:r>
        <w:rPr>
          <w:rFonts w:hint="eastAsia" w:ascii="新宋体" w:hAnsi="新宋体" w:eastAsia="新宋体" w:cs="新宋体"/>
          <w:b/>
          <w:color w:val="auto"/>
          <w:kern w:val="0"/>
          <w:sz w:val="22"/>
          <w:szCs w:val="22"/>
          <w:highlight w:val="none"/>
          <w:lang w:eastAsia="zh-CN"/>
        </w:rPr>
        <w:t>：</w:t>
      </w:r>
      <w:r>
        <w:rPr>
          <w:rFonts w:hint="eastAsia" w:ascii="新宋体" w:hAnsi="新宋体" w:eastAsia="新宋体" w:cs="新宋体"/>
          <w:b/>
          <w:color w:val="auto"/>
          <w:kern w:val="0"/>
          <w:sz w:val="22"/>
          <w:szCs w:val="22"/>
          <w:highlight w:val="none"/>
          <w:lang w:val="en-US" w:eastAsia="zh-CN"/>
        </w:rPr>
        <w:t xml:space="preserve">    </w:t>
      </w:r>
      <w:r>
        <w:rPr>
          <w:rFonts w:hint="eastAsia" w:ascii="新宋体" w:hAnsi="新宋体" w:eastAsia="新宋体" w:cs="新宋体"/>
          <w:b/>
          <w:color w:val="auto"/>
          <w:kern w:val="0"/>
          <w:sz w:val="22"/>
          <w:szCs w:val="22"/>
          <w:highlight w:val="none"/>
        </w:rPr>
        <w:t>年    月    日</w:t>
      </w:r>
    </w:p>
    <w:p w14:paraId="4E17CB57">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p>
    <w:p w14:paraId="50D9E448">
      <w:pPr>
        <w:spacing w:line="42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5、联合体共同投标协议书（如有）</w:t>
      </w:r>
    </w:p>
    <w:p w14:paraId="656A2FF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牵头人名称：</w:t>
      </w:r>
      <w:r>
        <w:rPr>
          <w:rFonts w:hint="eastAsia" w:ascii="新宋体" w:hAnsi="新宋体" w:eastAsia="新宋体" w:cs="新宋体"/>
          <w:color w:val="auto"/>
          <w:sz w:val="22"/>
          <w:szCs w:val="22"/>
          <w:highlight w:val="none"/>
          <w:u w:val="single"/>
        </w:rPr>
        <w:t xml:space="preserve">                                                        </w:t>
      </w:r>
    </w:p>
    <w:p w14:paraId="5EAFDD5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p>
    <w:p w14:paraId="234EB9C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5"/>
          <w:sz w:val="22"/>
          <w:szCs w:val="22"/>
          <w:highlight w:val="none"/>
        </w:rPr>
        <w:t>法定住</w:t>
      </w:r>
      <w:r>
        <w:rPr>
          <w:rFonts w:hint="eastAsia" w:ascii="新宋体" w:hAnsi="新宋体" w:eastAsia="新宋体" w:cs="新宋体"/>
          <w:color w:val="auto"/>
          <w:sz w:val="22"/>
          <w:szCs w:val="22"/>
          <w:highlight w:val="none"/>
        </w:rPr>
        <w:t>所：</w:t>
      </w:r>
      <w:r>
        <w:rPr>
          <w:rFonts w:hint="eastAsia" w:ascii="新宋体" w:hAnsi="新宋体" w:eastAsia="新宋体" w:cs="新宋体"/>
          <w:color w:val="auto"/>
          <w:sz w:val="22"/>
          <w:szCs w:val="22"/>
          <w:highlight w:val="none"/>
          <w:u w:val="single"/>
        </w:rPr>
        <w:t xml:space="preserve">                                                        </w:t>
      </w:r>
    </w:p>
    <w:p w14:paraId="5699455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联合体</w:t>
      </w:r>
      <w:r>
        <w:rPr>
          <w:rFonts w:hint="eastAsia" w:ascii="新宋体" w:hAnsi="新宋体" w:eastAsia="新宋体" w:cs="新宋体"/>
          <w:color w:val="auto"/>
          <w:sz w:val="22"/>
          <w:szCs w:val="22"/>
          <w:highlight w:val="none"/>
        </w:rPr>
        <w:t>成员名称：</w:t>
      </w:r>
      <w:r>
        <w:rPr>
          <w:rFonts w:hint="eastAsia" w:ascii="新宋体" w:hAnsi="新宋体" w:eastAsia="新宋体" w:cs="新宋体"/>
          <w:color w:val="auto"/>
          <w:sz w:val="22"/>
          <w:szCs w:val="22"/>
          <w:highlight w:val="none"/>
          <w:u w:val="single"/>
        </w:rPr>
        <w:t xml:space="preserve">                                                        </w:t>
      </w:r>
    </w:p>
    <w:p w14:paraId="15D024E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p>
    <w:p w14:paraId="565F3F6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5"/>
          <w:sz w:val="22"/>
          <w:szCs w:val="22"/>
          <w:highlight w:val="none"/>
        </w:rPr>
        <w:t>法定住</w:t>
      </w:r>
      <w:r>
        <w:rPr>
          <w:rFonts w:hint="eastAsia" w:ascii="新宋体" w:hAnsi="新宋体" w:eastAsia="新宋体" w:cs="新宋体"/>
          <w:color w:val="auto"/>
          <w:sz w:val="22"/>
          <w:szCs w:val="22"/>
          <w:highlight w:val="none"/>
        </w:rPr>
        <w:t>所：</w:t>
      </w:r>
      <w:r>
        <w:rPr>
          <w:rFonts w:hint="eastAsia" w:ascii="新宋体" w:hAnsi="新宋体" w:eastAsia="新宋体" w:cs="新宋体"/>
          <w:color w:val="auto"/>
          <w:sz w:val="22"/>
          <w:szCs w:val="22"/>
          <w:highlight w:val="none"/>
          <w:u w:val="single"/>
        </w:rPr>
        <w:t xml:space="preserve">                                                        </w:t>
      </w:r>
    </w:p>
    <w:p w14:paraId="777D5B2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p w14:paraId="77C076D3">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鉴于上述各成员单位经过友好协商，自愿组成</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（联合体名称）联合体，共同参加</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名称）（以下简称</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（项目名称）（以下简称合同）。现就联合体投标事宜订立如下协议：</w:t>
      </w:r>
    </w:p>
    <w:p w14:paraId="18CCB3FF">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（某成员单位名称）为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（联合体名称）牵头人。</w:t>
      </w:r>
    </w:p>
    <w:p w14:paraId="04E425C9">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2、在本项目投标阶段，联合体牵头人合法代表联合体各成员负责本</w:t>
      </w:r>
      <w:r>
        <w:rPr>
          <w:rFonts w:hint="eastAsia" w:ascii="新宋体" w:hAnsi="新宋体" w:eastAsia="新宋体" w:cs="新宋体"/>
          <w:color w:val="auto"/>
          <w:sz w:val="22"/>
          <w:szCs w:val="22"/>
          <w:highlight w:val="none"/>
          <w:lang w:eastAsia="zh-CN"/>
        </w:rPr>
        <w:t>项目</w:t>
      </w:r>
      <w:r>
        <w:rPr>
          <w:rFonts w:hint="eastAsia" w:ascii="新宋体" w:hAnsi="新宋体" w:eastAsia="新宋体" w:cs="新宋体"/>
          <w:color w:val="auto"/>
          <w:sz w:val="22"/>
          <w:szCs w:val="22"/>
          <w:highlight w:val="none"/>
        </w:rPr>
        <w:t>投标文件编制活动，代表联合体提交和接收相关的资料、信息及指示，并处理投标和中标有关的一切事务；联合体中标后，联合体牵头人负责合同订立和合同实施阶段的主办、组织和协调工作。</w:t>
      </w:r>
    </w:p>
    <w:p w14:paraId="43EB5038">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3、联合体将严格按照</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的各项要求，递交投标文件，履行投标义务和中标后的合同，共同承担合同规定的一切义务和责任，联合体各成员单位按照内部职责的划分，承担各自所负的责任和风险，并向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承担连带责任。</w:t>
      </w:r>
    </w:p>
    <w:p w14:paraId="7B58C6DD">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4、联合体各成员单位内部的职责分工如下：</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p>
    <w:p w14:paraId="4BCF140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按照本条上述分工，联合体成员单位出资比例如下：</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p>
    <w:p w14:paraId="28C008A9">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5、联合体中标后，本联合体协议是合同的附件，对联合体各成员单位有合同约束力。</w:t>
      </w:r>
    </w:p>
    <w:p w14:paraId="63F70530">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6、本协议书自签署之日起生效，联合体未中标或者中标时合同履行完毕后自动失效。</w:t>
      </w:r>
    </w:p>
    <w:p w14:paraId="436C661D">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7、本协议书一式</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份，联合体成员和</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各执一份。</w:t>
      </w:r>
    </w:p>
    <w:p w14:paraId="19682E71">
      <w:pPr>
        <w:keepNext w:val="0"/>
        <w:keepLines w:val="0"/>
        <w:pageBreakBefore w:val="0"/>
        <w:widowControl w:val="0"/>
        <w:kinsoku/>
        <w:wordWrap/>
        <w:overflowPunct/>
        <w:topLinePunct w:val="0"/>
        <w:autoSpaceDE/>
        <w:autoSpaceDN/>
        <w:bidi w:val="0"/>
        <w:adjustRightInd/>
        <w:snapToGrid/>
        <w:spacing w:line="460" w:lineRule="exact"/>
        <w:ind w:firstLine="2785" w:firstLineChars="1266"/>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牵头人名称：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（盖单位公章）</w:t>
      </w:r>
    </w:p>
    <w:p w14:paraId="36CA1FE4">
      <w:pPr>
        <w:keepNext w:val="0"/>
        <w:keepLines w:val="0"/>
        <w:pageBreakBefore w:val="0"/>
        <w:widowControl w:val="0"/>
        <w:kinsoku/>
        <w:wordWrap/>
        <w:overflowPunct/>
        <w:topLinePunct w:val="0"/>
        <w:autoSpaceDE/>
        <w:autoSpaceDN/>
        <w:bidi w:val="0"/>
        <w:adjustRightInd/>
        <w:snapToGrid/>
        <w:spacing w:line="460" w:lineRule="exact"/>
        <w:ind w:firstLine="1100" w:firstLineChars="5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或授权代表：</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（签字或盖章）</w:t>
      </w:r>
    </w:p>
    <w:p w14:paraId="63375044">
      <w:pPr>
        <w:keepNext w:val="0"/>
        <w:keepLines w:val="0"/>
        <w:pageBreakBefore w:val="0"/>
        <w:widowControl w:val="0"/>
        <w:kinsoku/>
        <w:wordWrap/>
        <w:overflowPunct/>
        <w:topLinePunct w:val="0"/>
        <w:autoSpaceDE/>
        <w:autoSpaceDN/>
        <w:bidi w:val="0"/>
        <w:adjustRightInd/>
        <w:snapToGrid/>
        <w:spacing w:line="460" w:lineRule="exact"/>
        <w:ind w:firstLine="2785" w:firstLineChars="1266"/>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联合体</w:t>
      </w:r>
      <w:r>
        <w:rPr>
          <w:rFonts w:hint="eastAsia" w:ascii="新宋体" w:hAnsi="新宋体" w:eastAsia="新宋体" w:cs="新宋体"/>
          <w:color w:val="auto"/>
          <w:sz w:val="22"/>
          <w:szCs w:val="22"/>
          <w:highlight w:val="none"/>
        </w:rPr>
        <w:t>成员名称：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（盖单位公章）</w:t>
      </w:r>
    </w:p>
    <w:p w14:paraId="224DDCF0">
      <w:pPr>
        <w:keepNext w:val="0"/>
        <w:keepLines w:val="0"/>
        <w:pageBreakBefore w:val="0"/>
        <w:widowControl w:val="0"/>
        <w:kinsoku/>
        <w:wordWrap/>
        <w:overflowPunct/>
        <w:topLinePunct w:val="0"/>
        <w:autoSpaceDE/>
        <w:autoSpaceDN/>
        <w:bidi w:val="0"/>
        <w:adjustRightInd/>
        <w:snapToGrid/>
        <w:spacing w:line="460" w:lineRule="exact"/>
        <w:ind w:firstLine="1100" w:firstLineChars="5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或授权代表：</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（签字或盖章）</w:t>
      </w:r>
    </w:p>
    <w:p w14:paraId="491C78A8">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年</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月</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日</w:t>
      </w:r>
    </w:p>
    <w:p w14:paraId="47ED67BE">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新宋体" w:hAnsi="新宋体" w:eastAsia="新宋体" w:cs="新宋体"/>
          <w:color w:val="auto"/>
          <w:sz w:val="22"/>
          <w:szCs w:val="22"/>
          <w:highlight w:val="none"/>
        </w:rPr>
      </w:pPr>
    </w:p>
    <w:p w14:paraId="256FE513">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备注：1.本协议书由授权代表签字或盖章的，应附</w:t>
      </w: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签字或盖章的授权委托书。</w:t>
      </w:r>
    </w:p>
    <w:bookmarkEnd w:id="36"/>
    <w:bookmarkEnd w:id="37"/>
    <w:p w14:paraId="7E0E22B8">
      <w:pPr>
        <w:pStyle w:val="2"/>
        <w:spacing w:line="460" w:lineRule="exact"/>
        <w:ind w:left="433" w:hanging="433" w:hangingChars="196"/>
        <w:outlineLvl w:val="1"/>
        <w:rPr>
          <w:rFonts w:hint="eastAsia" w:ascii="新宋体" w:hAnsi="新宋体" w:eastAsia="新宋体" w:cs="新宋体"/>
          <w:b/>
          <w:color w:val="auto"/>
          <w:sz w:val="22"/>
          <w:szCs w:val="22"/>
          <w:highlight w:val="none"/>
        </w:rPr>
      </w:pPr>
      <w:bookmarkStart w:id="38" w:name="_Toc12035"/>
      <w:bookmarkStart w:id="39" w:name="_Toc19402"/>
      <w:r>
        <w:rPr>
          <w:rFonts w:hint="eastAsia" w:ascii="新宋体" w:hAnsi="新宋体" w:eastAsia="新宋体" w:cs="新宋体"/>
          <w:b/>
          <w:color w:val="auto"/>
          <w:sz w:val="22"/>
          <w:szCs w:val="22"/>
          <w:highlight w:val="none"/>
        </w:rPr>
        <w:t>附件二</w:t>
      </w:r>
      <w:bookmarkEnd w:id="38"/>
      <w:bookmarkEnd w:id="39"/>
      <w:bookmarkStart w:id="40" w:name="_Toc16516"/>
      <w:bookmarkStart w:id="41" w:name="_Toc31356"/>
    </w:p>
    <w:p w14:paraId="714F3FFF">
      <w:pPr>
        <w:spacing w:line="460" w:lineRule="exact"/>
        <w:jc w:val="center"/>
        <w:outlineLvl w:val="2"/>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报价文件</w:t>
      </w:r>
    </w:p>
    <w:p w14:paraId="1C788688">
      <w:pPr>
        <w:spacing w:line="420" w:lineRule="exact"/>
        <w:jc w:val="center"/>
        <w:outlineLvl w:val="3"/>
        <w:rPr>
          <w:rFonts w:hint="eastAsia" w:ascii="新宋体" w:hAnsi="新宋体" w:eastAsia="新宋体" w:cs="新宋体"/>
          <w:b/>
          <w:bCs/>
          <w:color w:val="auto"/>
          <w:sz w:val="28"/>
          <w:szCs w:val="28"/>
          <w:highlight w:val="none"/>
          <w:lang w:val="zh-CN"/>
        </w:rPr>
      </w:pPr>
      <w:r>
        <w:rPr>
          <w:rFonts w:hint="eastAsia" w:ascii="新宋体" w:hAnsi="新宋体" w:eastAsia="新宋体" w:cs="新宋体"/>
          <w:b/>
          <w:bCs/>
          <w:color w:val="auto"/>
          <w:sz w:val="28"/>
          <w:szCs w:val="28"/>
          <w:highlight w:val="none"/>
          <w:lang w:val="en-US" w:eastAsia="zh-CN"/>
        </w:rPr>
        <w:t>1</w:t>
      </w:r>
      <w:r>
        <w:rPr>
          <w:rFonts w:hint="eastAsia" w:ascii="新宋体" w:hAnsi="新宋体" w:eastAsia="新宋体" w:cs="新宋体"/>
          <w:b/>
          <w:bCs/>
          <w:color w:val="auto"/>
          <w:sz w:val="28"/>
          <w:szCs w:val="28"/>
          <w:highlight w:val="none"/>
          <w:lang w:val="zh-CN"/>
        </w:rPr>
        <w:t>、投标报价一览表</w:t>
      </w:r>
    </w:p>
    <w:p w14:paraId="422DF86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p>
    <w:p w14:paraId="3923C92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项目名称：</w:t>
      </w:r>
    </w:p>
    <w:tbl>
      <w:tblPr>
        <w:tblStyle w:val="53"/>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22"/>
        <w:gridCol w:w="2707"/>
        <w:gridCol w:w="2706"/>
        <w:gridCol w:w="868"/>
      </w:tblGrid>
      <w:tr w14:paraId="350DC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vAlign w:val="center"/>
          </w:tcPr>
          <w:p w14:paraId="0A698F5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序号</w:t>
            </w:r>
          </w:p>
        </w:tc>
        <w:tc>
          <w:tcPr>
            <w:tcW w:w="2522" w:type="dxa"/>
            <w:vAlign w:val="center"/>
          </w:tcPr>
          <w:p w14:paraId="13EDE58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highlight w:val="none"/>
              </w:rPr>
            </w:pPr>
            <w:r>
              <w:rPr>
                <w:rFonts w:hint="eastAsia" w:ascii="新宋体" w:hAnsi="新宋体" w:eastAsia="新宋体" w:cs="新宋体"/>
                <w:bCs/>
                <w:color w:val="auto"/>
                <w:sz w:val="22"/>
                <w:szCs w:val="22"/>
                <w:highlight w:val="none"/>
              </w:rPr>
              <w:t>项目名称</w:t>
            </w:r>
          </w:p>
        </w:tc>
        <w:tc>
          <w:tcPr>
            <w:tcW w:w="2707" w:type="dxa"/>
            <w:vAlign w:val="center"/>
          </w:tcPr>
          <w:p w14:paraId="4A60FBA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color w:val="auto"/>
                <w:sz w:val="24"/>
                <w:highlight w:val="none"/>
              </w:rPr>
            </w:pPr>
            <w:r>
              <w:rPr>
                <w:rFonts w:hint="eastAsia" w:ascii="新宋体" w:hAnsi="新宋体" w:eastAsia="新宋体" w:cs="新宋体"/>
                <w:b w:val="0"/>
                <w:bCs/>
                <w:color w:val="auto"/>
                <w:sz w:val="24"/>
                <w:highlight w:val="none"/>
                <w:lang w:val="en-US" w:eastAsia="zh-CN"/>
              </w:rPr>
              <w:t>单价</w:t>
            </w:r>
            <w:r>
              <w:rPr>
                <w:rFonts w:hint="eastAsia" w:ascii="新宋体" w:hAnsi="新宋体" w:eastAsia="新宋体" w:cs="新宋体"/>
                <w:b w:val="0"/>
                <w:bCs/>
                <w:color w:val="auto"/>
                <w:sz w:val="24"/>
                <w:highlight w:val="none"/>
              </w:rPr>
              <w:t>（元</w:t>
            </w:r>
            <w:r>
              <w:rPr>
                <w:rFonts w:hint="eastAsia" w:ascii="新宋体" w:hAnsi="新宋体" w:eastAsia="新宋体" w:cs="新宋体"/>
                <w:b w:val="0"/>
                <w:bCs/>
                <w:color w:val="auto"/>
                <w:sz w:val="24"/>
                <w:highlight w:val="none"/>
                <w:lang w:val="en-US" w:eastAsia="zh-CN"/>
              </w:rPr>
              <w:t>/盒</w:t>
            </w:r>
            <w:r>
              <w:rPr>
                <w:rFonts w:hint="eastAsia" w:ascii="新宋体" w:hAnsi="新宋体" w:eastAsia="新宋体" w:cs="新宋体"/>
                <w:b w:val="0"/>
                <w:bCs/>
                <w:color w:val="auto"/>
                <w:sz w:val="24"/>
                <w:highlight w:val="none"/>
              </w:rPr>
              <w:t>）</w:t>
            </w:r>
          </w:p>
          <w:p w14:paraId="1483324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highlight w:val="none"/>
                <w:lang w:val="en-US" w:eastAsia="zh-CN"/>
              </w:rPr>
            </w:pPr>
            <w:r>
              <w:rPr>
                <w:rFonts w:hint="eastAsia" w:ascii="新宋体" w:hAnsi="新宋体" w:eastAsia="新宋体" w:cs="新宋体"/>
                <w:bCs/>
                <w:color w:val="auto"/>
                <w:sz w:val="22"/>
                <w:szCs w:val="22"/>
                <w:highlight w:val="none"/>
                <w:lang w:val="en-US" w:eastAsia="zh-CN"/>
              </w:rPr>
              <w:t>（480人份/盒）</w:t>
            </w:r>
          </w:p>
        </w:tc>
        <w:tc>
          <w:tcPr>
            <w:tcW w:w="2706" w:type="dxa"/>
            <w:shd w:val="clear" w:color="auto" w:fill="auto"/>
            <w:vAlign w:val="center"/>
          </w:tcPr>
          <w:p w14:paraId="4D7E7C2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4"/>
                <w:highlight w:val="none"/>
                <w:lang w:val="en-US" w:eastAsia="zh-CN" w:bidi="ar-SA"/>
              </w:rPr>
            </w:pPr>
            <w:r>
              <w:rPr>
                <w:rFonts w:hint="eastAsia" w:ascii="新宋体" w:hAnsi="新宋体" w:eastAsia="新宋体" w:cs="新宋体"/>
                <w:color w:val="auto"/>
                <w:sz w:val="22"/>
                <w:highlight w:val="none"/>
                <w:lang w:val="en-US" w:eastAsia="zh-CN"/>
              </w:rPr>
              <w:t>投标</w:t>
            </w:r>
            <w:r>
              <w:rPr>
                <w:rFonts w:hint="eastAsia" w:ascii="新宋体" w:hAnsi="新宋体" w:eastAsia="新宋体" w:cs="新宋体"/>
                <w:color w:val="auto"/>
                <w:sz w:val="22"/>
                <w:highlight w:val="none"/>
              </w:rPr>
              <w:t>报价（</w:t>
            </w:r>
            <w:r>
              <w:rPr>
                <w:rFonts w:hint="eastAsia" w:ascii="新宋体" w:hAnsi="新宋体" w:eastAsia="新宋体" w:cs="新宋体"/>
                <w:color w:val="auto"/>
                <w:sz w:val="22"/>
                <w:highlight w:val="none"/>
                <w:lang w:val="en-US" w:eastAsia="zh-CN"/>
              </w:rPr>
              <w:t>元</w:t>
            </w:r>
            <w:r>
              <w:rPr>
                <w:rFonts w:hint="eastAsia" w:ascii="新宋体" w:hAnsi="新宋体" w:eastAsia="新宋体" w:cs="新宋体"/>
                <w:color w:val="auto"/>
                <w:sz w:val="22"/>
                <w:highlight w:val="none"/>
              </w:rPr>
              <w:t>）</w:t>
            </w:r>
          </w:p>
        </w:tc>
        <w:tc>
          <w:tcPr>
            <w:tcW w:w="868" w:type="dxa"/>
            <w:vAlign w:val="center"/>
          </w:tcPr>
          <w:p w14:paraId="1ED21DC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备注</w:t>
            </w:r>
          </w:p>
        </w:tc>
      </w:tr>
      <w:tr w14:paraId="41627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815" w:type="dxa"/>
            <w:vMerge w:val="restart"/>
            <w:vAlign w:val="center"/>
          </w:tcPr>
          <w:p w14:paraId="7E4C3EC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highlight w:val="none"/>
              </w:rPr>
            </w:pPr>
          </w:p>
        </w:tc>
        <w:tc>
          <w:tcPr>
            <w:tcW w:w="2522" w:type="dxa"/>
            <w:vMerge w:val="restart"/>
            <w:vAlign w:val="center"/>
          </w:tcPr>
          <w:p w14:paraId="5561965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highlight w:val="none"/>
              </w:rPr>
            </w:pPr>
          </w:p>
        </w:tc>
        <w:tc>
          <w:tcPr>
            <w:tcW w:w="2707" w:type="dxa"/>
            <w:vAlign w:val="center"/>
          </w:tcPr>
          <w:p w14:paraId="539432D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大写：</w:t>
            </w:r>
          </w:p>
        </w:tc>
        <w:tc>
          <w:tcPr>
            <w:tcW w:w="2706" w:type="dxa"/>
            <w:shd w:val="clear" w:color="auto" w:fill="auto"/>
            <w:vAlign w:val="center"/>
          </w:tcPr>
          <w:p w14:paraId="0427A6E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4"/>
                <w:highlight w:val="none"/>
                <w:lang w:val="en-US" w:eastAsia="zh-CN" w:bidi="ar-SA"/>
              </w:rPr>
            </w:pPr>
            <w:r>
              <w:rPr>
                <w:rFonts w:hint="eastAsia" w:ascii="新宋体" w:hAnsi="新宋体" w:eastAsia="新宋体" w:cs="新宋体"/>
                <w:color w:val="auto"/>
                <w:sz w:val="22"/>
                <w:highlight w:val="none"/>
              </w:rPr>
              <w:t>大写：</w:t>
            </w:r>
          </w:p>
        </w:tc>
        <w:tc>
          <w:tcPr>
            <w:tcW w:w="868" w:type="dxa"/>
            <w:vMerge w:val="restart"/>
            <w:vAlign w:val="center"/>
          </w:tcPr>
          <w:p w14:paraId="2DE79CE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highlight w:val="none"/>
              </w:rPr>
            </w:pPr>
          </w:p>
        </w:tc>
      </w:tr>
      <w:tr w14:paraId="04B9D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15" w:type="dxa"/>
            <w:vMerge w:val="continue"/>
            <w:vAlign w:val="center"/>
          </w:tcPr>
          <w:p w14:paraId="5ED6B3B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highlight w:val="none"/>
              </w:rPr>
            </w:pPr>
          </w:p>
        </w:tc>
        <w:tc>
          <w:tcPr>
            <w:tcW w:w="2522" w:type="dxa"/>
            <w:vMerge w:val="continue"/>
            <w:vAlign w:val="center"/>
          </w:tcPr>
          <w:p w14:paraId="5BFF3A1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highlight w:val="none"/>
              </w:rPr>
            </w:pPr>
          </w:p>
        </w:tc>
        <w:tc>
          <w:tcPr>
            <w:tcW w:w="2707" w:type="dxa"/>
            <w:vAlign w:val="center"/>
          </w:tcPr>
          <w:p w14:paraId="3183F5A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小写：</w:t>
            </w:r>
          </w:p>
        </w:tc>
        <w:tc>
          <w:tcPr>
            <w:tcW w:w="2706" w:type="dxa"/>
            <w:shd w:val="clear" w:color="auto" w:fill="auto"/>
            <w:vAlign w:val="center"/>
          </w:tcPr>
          <w:p w14:paraId="438FC55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4"/>
                <w:highlight w:val="none"/>
                <w:lang w:val="en-US" w:eastAsia="zh-CN" w:bidi="ar-SA"/>
              </w:rPr>
            </w:pPr>
            <w:r>
              <w:rPr>
                <w:rFonts w:hint="eastAsia" w:ascii="新宋体" w:hAnsi="新宋体" w:eastAsia="新宋体" w:cs="新宋体"/>
                <w:color w:val="auto"/>
                <w:sz w:val="22"/>
                <w:highlight w:val="none"/>
              </w:rPr>
              <w:t>小写：</w:t>
            </w:r>
          </w:p>
        </w:tc>
        <w:tc>
          <w:tcPr>
            <w:tcW w:w="868" w:type="dxa"/>
            <w:vMerge w:val="continue"/>
            <w:vAlign w:val="center"/>
          </w:tcPr>
          <w:p w14:paraId="49523A5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highlight w:val="none"/>
              </w:rPr>
            </w:pPr>
          </w:p>
        </w:tc>
      </w:tr>
    </w:tbl>
    <w:p w14:paraId="15DBAE01">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说明：</w:t>
      </w:r>
    </w:p>
    <w:p w14:paraId="5F872CB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lang w:val="en-US" w:eastAsia="zh-CN"/>
        </w:rPr>
        <w:t>1、</w:t>
      </w:r>
      <w:r>
        <w:rPr>
          <w:rFonts w:hint="eastAsia" w:ascii="新宋体" w:hAnsi="新宋体" w:eastAsia="新宋体" w:cs="新宋体"/>
          <w:b/>
          <w:color w:val="auto"/>
          <w:sz w:val="22"/>
          <w:highlight w:val="none"/>
        </w:rPr>
        <w:t>此栏投标报价应与</w:t>
      </w:r>
      <w:r>
        <w:rPr>
          <w:rFonts w:hint="eastAsia" w:ascii="新宋体" w:hAnsi="新宋体" w:eastAsia="新宋体" w:cs="新宋体"/>
          <w:b/>
          <w:color w:val="auto"/>
          <w:sz w:val="22"/>
          <w:highlight w:val="none"/>
          <w:lang w:val="en-US" w:eastAsia="zh-CN"/>
        </w:rPr>
        <w:t>附件二</w:t>
      </w:r>
      <w:r>
        <w:rPr>
          <w:rFonts w:hint="eastAsia" w:ascii="新宋体" w:hAnsi="新宋体" w:eastAsia="新宋体" w:cs="新宋体"/>
          <w:b/>
          <w:color w:val="auto"/>
          <w:sz w:val="22"/>
          <w:highlight w:val="none"/>
        </w:rPr>
        <w:t>“</w:t>
      </w:r>
      <w:r>
        <w:rPr>
          <w:rFonts w:hint="eastAsia" w:ascii="新宋体" w:hAnsi="新宋体" w:eastAsia="新宋体" w:cs="新宋体"/>
          <w:b/>
          <w:color w:val="auto"/>
          <w:sz w:val="22"/>
          <w:highlight w:val="none"/>
          <w:lang w:val="en-US" w:eastAsia="zh-CN"/>
        </w:rPr>
        <w:t>2</w:t>
      </w:r>
      <w:r>
        <w:rPr>
          <w:rFonts w:hint="eastAsia" w:ascii="新宋体" w:hAnsi="新宋体" w:eastAsia="新宋体" w:cs="新宋体"/>
          <w:b/>
          <w:color w:val="auto"/>
          <w:sz w:val="22"/>
          <w:highlight w:val="none"/>
        </w:rPr>
        <w:t>、投标分项报价表”中的总计价相一致。</w:t>
      </w:r>
    </w:p>
    <w:p w14:paraId="5177328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highlight w:val="none"/>
          <w:lang w:eastAsia="zh-CN"/>
        </w:rPr>
      </w:pPr>
      <w:r>
        <w:rPr>
          <w:rFonts w:hint="eastAsia" w:ascii="新宋体" w:hAnsi="新宋体" w:eastAsia="新宋体" w:cs="新宋体"/>
          <w:b/>
          <w:color w:val="auto"/>
          <w:sz w:val="22"/>
          <w:highlight w:val="none"/>
          <w:lang w:val="en-US" w:eastAsia="zh-CN"/>
        </w:rPr>
        <w:t>2、</w:t>
      </w:r>
      <w:r>
        <w:rPr>
          <w:rFonts w:hint="eastAsia" w:ascii="新宋体" w:hAnsi="新宋体" w:eastAsia="新宋体" w:cs="新宋体"/>
          <w:b/>
          <w:color w:val="auto"/>
          <w:sz w:val="22"/>
          <w:highlight w:val="none"/>
        </w:rPr>
        <w:t>不提供此表格将被视为没有实质性响应</w:t>
      </w:r>
      <w:r>
        <w:rPr>
          <w:rFonts w:hint="eastAsia" w:ascii="新宋体" w:hAnsi="新宋体" w:eastAsia="新宋体" w:cs="新宋体"/>
          <w:b/>
          <w:color w:val="auto"/>
          <w:sz w:val="22"/>
          <w:highlight w:val="none"/>
          <w:lang w:eastAsia="zh-CN"/>
        </w:rPr>
        <w:t>采购文件</w:t>
      </w:r>
    </w:p>
    <w:p w14:paraId="53A1754A">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新宋体" w:hAnsi="新宋体" w:eastAsia="新宋体" w:cs="新宋体"/>
          <w:color w:val="auto"/>
          <w:sz w:val="22"/>
          <w:szCs w:val="22"/>
          <w:highlight w:val="none"/>
        </w:rPr>
      </w:pPr>
    </w:p>
    <w:p w14:paraId="4F0DDDB7">
      <w:pPr>
        <w:keepNext w:val="0"/>
        <w:keepLines w:val="0"/>
        <w:pageBreakBefore w:val="0"/>
        <w:widowControl w:val="0"/>
        <w:kinsoku/>
        <w:wordWrap/>
        <w:overflowPunct/>
        <w:topLinePunct w:val="0"/>
        <w:autoSpaceDE/>
        <w:autoSpaceDN/>
        <w:bidi w:val="0"/>
        <w:adjustRightInd/>
        <w:snapToGrid/>
        <w:spacing w:line="460" w:lineRule="exact"/>
        <w:ind w:firstLine="5060" w:firstLineChars="230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58E27D2D">
      <w:pPr>
        <w:keepNext w:val="0"/>
        <w:keepLines w:val="0"/>
        <w:pageBreakBefore w:val="0"/>
        <w:widowControl w:val="0"/>
        <w:kinsoku/>
        <w:wordWrap/>
        <w:overflowPunct/>
        <w:topLinePunct w:val="0"/>
        <w:autoSpaceDE/>
        <w:autoSpaceDN/>
        <w:bidi w:val="0"/>
        <w:adjustRightInd/>
        <w:snapToGrid/>
        <w:spacing w:line="460" w:lineRule="exact"/>
        <w:ind w:firstLine="5060" w:firstLineChars="230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46D2C941">
      <w:pPr>
        <w:keepNext w:val="0"/>
        <w:keepLines w:val="0"/>
        <w:pageBreakBefore w:val="0"/>
        <w:widowControl w:val="0"/>
        <w:kinsoku/>
        <w:wordWrap/>
        <w:overflowPunct/>
        <w:topLinePunct w:val="0"/>
        <w:autoSpaceDE/>
        <w:autoSpaceDN/>
        <w:bidi w:val="0"/>
        <w:adjustRightInd/>
        <w:snapToGrid/>
        <w:spacing w:line="460" w:lineRule="exact"/>
        <w:ind w:firstLine="5060" w:firstLineChars="230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2A961CB4">
      <w:pPr>
        <w:keepNext w:val="0"/>
        <w:keepLines w:val="0"/>
        <w:pageBreakBefore w:val="0"/>
        <w:widowControl w:val="0"/>
        <w:kinsoku/>
        <w:wordWrap/>
        <w:overflowPunct/>
        <w:topLinePunct w:val="0"/>
        <w:autoSpaceDE/>
        <w:autoSpaceDN/>
        <w:bidi w:val="0"/>
        <w:adjustRightInd/>
        <w:snapToGrid/>
        <w:spacing w:line="460" w:lineRule="exact"/>
        <w:ind w:firstLine="220" w:firstLineChars="1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749E4FDD">
      <w:pPr>
        <w:pStyle w:val="52"/>
        <w:ind w:left="860" w:hanging="440"/>
        <w:rPr>
          <w:rFonts w:hint="eastAsia" w:ascii="新宋体" w:hAnsi="新宋体" w:eastAsia="新宋体" w:cs="新宋体"/>
          <w:color w:val="auto"/>
          <w:sz w:val="22"/>
          <w:szCs w:val="22"/>
          <w:highlight w:val="none"/>
        </w:rPr>
      </w:pPr>
    </w:p>
    <w:p w14:paraId="3BD978E0">
      <w:pPr>
        <w:pStyle w:val="52"/>
        <w:ind w:left="860" w:hanging="440"/>
        <w:rPr>
          <w:rFonts w:hint="eastAsia" w:ascii="新宋体" w:hAnsi="新宋体" w:eastAsia="新宋体" w:cs="新宋体"/>
          <w:color w:val="auto"/>
          <w:sz w:val="22"/>
          <w:szCs w:val="22"/>
          <w:highlight w:val="none"/>
        </w:rPr>
      </w:pPr>
    </w:p>
    <w:p w14:paraId="27AB6003">
      <w:pPr>
        <w:pStyle w:val="52"/>
        <w:ind w:left="860" w:hanging="440"/>
        <w:rPr>
          <w:rFonts w:hint="eastAsia" w:ascii="新宋体" w:hAnsi="新宋体" w:eastAsia="新宋体" w:cs="新宋体"/>
          <w:color w:val="auto"/>
          <w:sz w:val="22"/>
          <w:szCs w:val="22"/>
          <w:highlight w:val="none"/>
        </w:rPr>
      </w:pPr>
    </w:p>
    <w:p w14:paraId="1FAD2896">
      <w:pPr>
        <w:pStyle w:val="52"/>
        <w:ind w:left="860" w:hanging="440"/>
        <w:rPr>
          <w:rFonts w:hint="eastAsia" w:ascii="新宋体" w:hAnsi="新宋体" w:eastAsia="新宋体" w:cs="新宋体"/>
          <w:color w:val="auto"/>
          <w:sz w:val="22"/>
          <w:szCs w:val="22"/>
          <w:highlight w:val="none"/>
        </w:rPr>
      </w:pPr>
    </w:p>
    <w:p w14:paraId="5B9EE421">
      <w:pPr>
        <w:pStyle w:val="52"/>
        <w:ind w:left="860" w:hanging="440"/>
        <w:rPr>
          <w:rFonts w:hint="eastAsia" w:ascii="新宋体" w:hAnsi="新宋体" w:eastAsia="新宋体" w:cs="新宋体"/>
          <w:color w:val="auto"/>
          <w:sz w:val="22"/>
          <w:szCs w:val="22"/>
          <w:highlight w:val="none"/>
        </w:rPr>
      </w:pPr>
    </w:p>
    <w:p w14:paraId="5F64001B">
      <w:pPr>
        <w:pStyle w:val="52"/>
        <w:ind w:left="860" w:hanging="440"/>
        <w:rPr>
          <w:rFonts w:hint="eastAsia" w:ascii="新宋体" w:hAnsi="新宋体" w:eastAsia="新宋体" w:cs="新宋体"/>
          <w:color w:val="auto"/>
          <w:sz w:val="22"/>
          <w:szCs w:val="22"/>
          <w:highlight w:val="none"/>
        </w:rPr>
      </w:pPr>
    </w:p>
    <w:p w14:paraId="55C6BEA7">
      <w:pPr>
        <w:pStyle w:val="52"/>
        <w:ind w:left="860" w:hanging="440"/>
        <w:rPr>
          <w:rFonts w:hint="eastAsia" w:ascii="新宋体" w:hAnsi="新宋体" w:eastAsia="新宋体" w:cs="新宋体"/>
          <w:color w:val="auto"/>
          <w:sz w:val="22"/>
          <w:szCs w:val="22"/>
          <w:highlight w:val="none"/>
        </w:rPr>
      </w:pPr>
    </w:p>
    <w:p w14:paraId="414484AF">
      <w:pPr>
        <w:pStyle w:val="52"/>
        <w:ind w:left="860" w:hanging="440"/>
        <w:rPr>
          <w:rFonts w:hint="eastAsia" w:ascii="新宋体" w:hAnsi="新宋体" w:eastAsia="新宋体" w:cs="新宋体"/>
          <w:color w:val="auto"/>
          <w:sz w:val="22"/>
          <w:szCs w:val="22"/>
          <w:highlight w:val="none"/>
        </w:rPr>
      </w:pPr>
    </w:p>
    <w:p w14:paraId="283EFAAC">
      <w:pPr>
        <w:pStyle w:val="52"/>
        <w:ind w:left="860" w:hanging="440"/>
        <w:rPr>
          <w:rFonts w:hint="eastAsia" w:ascii="新宋体" w:hAnsi="新宋体" w:eastAsia="新宋体" w:cs="新宋体"/>
          <w:color w:val="auto"/>
          <w:sz w:val="22"/>
          <w:szCs w:val="22"/>
          <w:highlight w:val="none"/>
        </w:rPr>
      </w:pPr>
    </w:p>
    <w:p w14:paraId="28EE502E">
      <w:pPr>
        <w:pStyle w:val="52"/>
        <w:ind w:left="860" w:hanging="440"/>
        <w:rPr>
          <w:rFonts w:hint="eastAsia" w:ascii="新宋体" w:hAnsi="新宋体" w:eastAsia="新宋体" w:cs="新宋体"/>
          <w:color w:val="auto"/>
          <w:sz w:val="22"/>
          <w:szCs w:val="22"/>
          <w:highlight w:val="none"/>
        </w:rPr>
      </w:pPr>
    </w:p>
    <w:p w14:paraId="53619846">
      <w:pPr>
        <w:pStyle w:val="52"/>
        <w:ind w:left="860" w:hanging="440"/>
        <w:rPr>
          <w:rFonts w:hint="eastAsia" w:ascii="新宋体" w:hAnsi="新宋体" w:eastAsia="新宋体" w:cs="新宋体"/>
          <w:color w:val="auto"/>
          <w:sz w:val="22"/>
          <w:szCs w:val="22"/>
          <w:highlight w:val="none"/>
        </w:rPr>
      </w:pPr>
    </w:p>
    <w:p w14:paraId="093BC180">
      <w:pPr>
        <w:pStyle w:val="52"/>
        <w:ind w:left="0" w:leftChars="0" w:firstLine="0" w:firstLineChars="0"/>
        <w:rPr>
          <w:rFonts w:hint="eastAsia" w:ascii="新宋体" w:hAnsi="新宋体" w:eastAsia="新宋体" w:cs="新宋体"/>
          <w:color w:val="auto"/>
          <w:sz w:val="22"/>
          <w:szCs w:val="22"/>
          <w:highlight w:val="none"/>
        </w:rPr>
      </w:pPr>
    </w:p>
    <w:p w14:paraId="7A408071">
      <w:pPr>
        <w:pStyle w:val="52"/>
        <w:ind w:left="860" w:hanging="440"/>
        <w:rPr>
          <w:rFonts w:hint="eastAsia" w:ascii="新宋体" w:hAnsi="新宋体" w:eastAsia="新宋体" w:cs="新宋体"/>
          <w:color w:val="auto"/>
          <w:sz w:val="22"/>
          <w:szCs w:val="22"/>
          <w:highlight w:val="none"/>
        </w:rPr>
      </w:pPr>
    </w:p>
    <w:p w14:paraId="4792E605">
      <w:pPr>
        <w:rPr>
          <w:rFonts w:hint="eastAsia" w:ascii="新宋体" w:hAnsi="新宋体" w:eastAsia="新宋体" w:cs="新宋体"/>
          <w:b/>
          <w:color w:val="auto"/>
          <w:sz w:val="22"/>
          <w:szCs w:val="22"/>
          <w:highlight w:val="none"/>
          <w:lang w:val="zh-CN"/>
        </w:rPr>
      </w:pPr>
      <w:r>
        <w:rPr>
          <w:rFonts w:hint="eastAsia" w:ascii="新宋体" w:hAnsi="新宋体" w:eastAsia="新宋体" w:cs="新宋体"/>
          <w:b/>
          <w:color w:val="auto"/>
          <w:sz w:val="22"/>
          <w:szCs w:val="22"/>
          <w:highlight w:val="none"/>
          <w:lang w:val="zh-CN"/>
        </w:rPr>
        <w:br w:type="page"/>
      </w:r>
    </w:p>
    <w:p w14:paraId="6E7D6A0B">
      <w:pPr>
        <w:spacing w:line="420" w:lineRule="exact"/>
        <w:jc w:val="center"/>
        <w:outlineLvl w:val="3"/>
        <w:rPr>
          <w:rFonts w:hint="eastAsia" w:ascii="新宋体" w:hAnsi="新宋体" w:eastAsia="新宋体" w:cs="新宋体"/>
          <w:b/>
          <w:bCs/>
          <w:color w:val="auto"/>
          <w:sz w:val="28"/>
          <w:szCs w:val="28"/>
          <w:highlight w:val="none"/>
          <w:lang w:val="zh-CN"/>
        </w:rPr>
      </w:pPr>
      <w:r>
        <w:rPr>
          <w:rFonts w:hint="eastAsia" w:ascii="新宋体" w:hAnsi="新宋体" w:eastAsia="新宋体" w:cs="新宋体"/>
          <w:b/>
          <w:bCs/>
          <w:color w:val="auto"/>
          <w:sz w:val="28"/>
          <w:szCs w:val="28"/>
          <w:highlight w:val="none"/>
          <w:lang w:val="en-US" w:eastAsia="zh-CN"/>
        </w:rPr>
        <w:t>2</w:t>
      </w:r>
      <w:r>
        <w:rPr>
          <w:rFonts w:hint="eastAsia" w:ascii="新宋体" w:hAnsi="新宋体" w:eastAsia="新宋体" w:cs="新宋体"/>
          <w:b/>
          <w:bCs/>
          <w:color w:val="auto"/>
          <w:sz w:val="28"/>
          <w:szCs w:val="28"/>
          <w:highlight w:val="none"/>
          <w:lang w:val="zh-CN"/>
        </w:rPr>
        <w:t>、分项报价表</w:t>
      </w:r>
    </w:p>
    <w:p w14:paraId="4D9EB0A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p>
    <w:p w14:paraId="4342B77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项目名称：</w:t>
      </w:r>
    </w:p>
    <w:tbl>
      <w:tblPr>
        <w:tblStyle w:val="53"/>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711"/>
        <w:gridCol w:w="1905"/>
        <w:gridCol w:w="1305"/>
        <w:gridCol w:w="2325"/>
        <w:gridCol w:w="1189"/>
      </w:tblGrid>
      <w:tr w14:paraId="724DD6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2" w:hRule="atLeast"/>
        </w:trPr>
        <w:tc>
          <w:tcPr>
            <w:tcW w:w="2711" w:type="dxa"/>
            <w:noWrap w:val="0"/>
            <w:vAlign w:val="center"/>
          </w:tcPr>
          <w:p w14:paraId="4E890D05">
            <w:pPr>
              <w:keepNext w:val="0"/>
              <w:keepLines w:val="0"/>
              <w:pageBreakBefore w:val="0"/>
              <w:widowControl w:val="0"/>
              <w:kinsoku/>
              <w:wordWrap/>
              <w:overflowPunct/>
              <w:topLinePunct w:val="0"/>
              <w:autoSpaceDE/>
              <w:autoSpaceDN/>
              <w:bidi w:val="0"/>
              <w:adjustRightInd/>
              <w:snapToGrid/>
              <w:spacing w:line="460" w:lineRule="exact"/>
              <w:ind w:right="-11"/>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w:t>
            </w:r>
          </w:p>
        </w:tc>
        <w:tc>
          <w:tcPr>
            <w:tcW w:w="1905" w:type="dxa"/>
            <w:tcBorders>
              <w:right w:val="single" w:color="auto" w:sz="4" w:space="0"/>
            </w:tcBorders>
            <w:noWrap w:val="0"/>
            <w:vAlign w:val="center"/>
          </w:tcPr>
          <w:p w14:paraId="0F5D950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color w:val="auto"/>
                <w:sz w:val="24"/>
                <w:highlight w:val="none"/>
              </w:rPr>
            </w:pPr>
            <w:r>
              <w:rPr>
                <w:rFonts w:hint="eastAsia" w:ascii="新宋体" w:hAnsi="新宋体" w:eastAsia="新宋体" w:cs="新宋体"/>
                <w:bCs/>
                <w:color w:val="auto"/>
                <w:sz w:val="22"/>
                <w:szCs w:val="22"/>
                <w:highlight w:val="none"/>
              </w:rPr>
              <w:t>数量</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盒</w:t>
            </w:r>
          </w:p>
          <w:p w14:paraId="4179DC13">
            <w:pPr>
              <w:keepNext w:val="0"/>
              <w:keepLines w:val="0"/>
              <w:pageBreakBefore w:val="0"/>
              <w:widowControl w:val="0"/>
              <w:kinsoku/>
              <w:wordWrap/>
              <w:overflowPunct/>
              <w:topLinePunct w:val="0"/>
              <w:autoSpaceDE/>
              <w:autoSpaceDN/>
              <w:bidi w:val="0"/>
              <w:adjustRightInd/>
              <w:snapToGrid/>
              <w:spacing w:line="460" w:lineRule="exact"/>
              <w:ind w:right="-11" w:rightChars="0"/>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lang w:val="en-US" w:eastAsia="zh-CN"/>
              </w:rPr>
              <w:t>（480人份/盒）</w:t>
            </w:r>
          </w:p>
        </w:tc>
        <w:tc>
          <w:tcPr>
            <w:tcW w:w="1305" w:type="dxa"/>
            <w:tcBorders>
              <w:right w:val="single" w:color="auto" w:sz="4" w:space="0"/>
            </w:tcBorders>
            <w:noWrap w:val="0"/>
            <w:vAlign w:val="center"/>
          </w:tcPr>
          <w:p w14:paraId="7C9C3348">
            <w:pPr>
              <w:keepNext w:val="0"/>
              <w:keepLines w:val="0"/>
              <w:pageBreakBefore w:val="0"/>
              <w:widowControl w:val="0"/>
              <w:kinsoku/>
              <w:wordWrap/>
              <w:overflowPunct/>
              <w:topLinePunct w:val="0"/>
              <w:autoSpaceDE/>
              <w:autoSpaceDN/>
              <w:bidi w:val="0"/>
              <w:adjustRightInd/>
              <w:snapToGrid/>
              <w:spacing w:line="460" w:lineRule="exact"/>
              <w:ind w:right="-11" w:rightChars="0"/>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单价（元）</w:t>
            </w:r>
          </w:p>
        </w:tc>
        <w:tc>
          <w:tcPr>
            <w:tcW w:w="2325" w:type="dxa"/>
            <w:tcBorders>
              <w:right w:val="single" w:color="auto" w:sz="4" w:space="0"/>
            </w:tcBorders>
            <w:noWrap w:val="0"/>
            <w:vAlign w:val="center"/>
          </w:tcPr>
          <w:p w14:paraId="12CD0565">
            <w:pPr>
              <w:keepNext w:val="0"/>
              <w:keepLines w:val="0"/>
              <w:pageBreakBefore w:val="0"/>
              <w:widowControl w:val="0"/>
              <w:kinsoku/>
              <w:wordWrap/>
              <w:overflowPunct/>
              <w:topLinePunct w:val="0"/>
              <w:autoSpaceDE/>
              <w:autoSpaceDN/>
              <w:bidi w:val="0"/>
              <w:adjustRightInd/>
              <w:snapToGrid/>
              <w:spacing w:line="460" w:lineRule="exact"/>
              <w:ind w:right="-11"/>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总价</w:t>
            </w:r>
            <w:r>
              <w:rPr>
                <w:rFonts w:hint="eastAsia" w:ascii="新宋体" w:hAnsi="新宋体" w:eastAsia="新宋体" w:cs="新宋体"/>
                <w:color w:val="auto"/>
                <w:sz w:val="22"/>
                <w:szCs w:val="22"/>
                <w:highlight w:val="none"/>
              </w:rPr>
              <w:t>（含税）</w:t>
            </w:r>
          </w:p>
        </w:tc>
        <w:tc>
          <w:tcPr>
            <w:tcW w:w="1189" w:type="dxa"/>
            <w:tcBorders>
              <w:left w:val="single" w:color="auto" w:sz="4" w:space="0"/>
            </w:tcBorders>
            <w:noWrap w:val="0"/>
            <w:vAlign w:val="center"/>
          </w:tcPr>
          <w:p w14:paraId="066DCF79">
            <w:pPr>
              <w:keepNext w:val="0"/>
              <w:keepLines w:val="0"/>
              <w:pageBreakBefore w:val="0"/>
              <w:widowControl w:val="0"/>
              <w:kinsoku/>
              <w:wordWrap/>
              <w:overflowPunct/>
              <w:topLinePunct w:val="0"/>
              <w:autoSpaceDE/>
              <w:autoSpaceDN/>
              <w:bidi w:val="0"/>
              <w:adjustRightInd/>
              <w:snapToGrid/>
              <w:spacing w:line="460" w:lineRule="exact"/>
              <w:ind w:right="-11"/>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备注</w:t>
            </w:r>
          </w:p>
        </w:tc>
      </w:tr>
      <w:tr w14:paraId="67A4E9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9" w:hRule="atLeast"/>
        </w:trPr>
        <w:tc>
          <w:tcPr>
            <w:tcW w:w="2711" w:type="dxa"/>
            <w:noWrap w:val="0"/>
            <w:vAlign w:val="center"/>
          </w:tcPr>
          <w:p w14:paraId="5C2CC5F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主要产品(含税)（按采购内容清单逐项列出）</w:t>
            </w:r>
          </w:p>
        </w:tc>
        <w:tc>
          <w:tcPr>
            <w:tcW w:w="1905" w:type="dxa"/>
            <w:tcBorders>
              <w:right w:val="single" w:color="auto" w:sz="4" w:space="0"/>
            </w:tcBorders>
            <w:noWrap w:val="0"/>
            <w:vAlign w:val="top"/>
          </w:tcPr>
          <w:p w14:paraId="7F79486E">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right="-10"/>
              <w:jc w:val="center"/>
              <w:textAlignment w:val="auto"/>
              <w:rPr>
                <w:rFonts w:hint="eastAsia" w:ascii="新宋体" w:hAnsi="新宋体" w:eastAsia="新宋体" w:cs="新宋体"/>
                <w:color w:val="auto"/>
                <w:sz w:val="22"/>
                <w:szCs w:val="22"/>
                <w:highlight w:val="none"/>
              </w:rPr>
            </w:pPr>
          </w:p>
        </w:tc>
        <w:tc>
          <w:tcPr>
            <w:tcW w:w="1305" w:type="dxa"/>
            <w:tcBorders>
              <w:right w:val="single" w:color="auto" w:sz="4" w:space="0"/>
            </w:tcBorders>
            <w:noWrap w:val="0"/>
            <w:vAlign w:val="top"/>
          </w:tcPr>
          <w:p w14:paraId="212E5597">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right="-10"/>
              <w:jc w:val="center"/>
              <w:textAlignment w:val="auto"/>
              <w:rPr>
                <w:rFonts w:hint="eastAsia" w:ascii="新宋体" w:hAnsi="新宋体" w:eastAsia="新宋体" w:cs="新宋体"/>
                <w:color w:val="auto"/>
                <w:sz w:val="22"/>
                <w:szCs w:val="22"/>
                <w:highlight w:val="none"/>
              </w:rPr>
            </w:pPr>
          </w:p>
        </w:tc>
        <w:tc>
          <w:tcPr>
            <w:tcW w:w="2325" w:type="dxa"/>
            <w:tcBorders>
              <w:right w:val="single" w:color="auto" w:sz="4" w:space="0"/>
            </w:tcBorders>
            <w:noWrap w:val="0"/>
            <w:vAlign w:val="top"/>
          </w:tcPr>
          <w:p w14:paraId="21D857C0">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right="-10"/>
              <w:jc w:val="center"/>
              <w:textAlignment w:val="auto"/>
              <w:rPr>
                <w:rFonts w:hint="eastAsia" w:ascii="新宋体" w:hAnsi="新宋体" w:eastAsia="新宋体" w:cs="新宋体"/>
                <w:color w:val="auto"/>
                <w:sz w:val="22"/>
                <w:szCs w:val="22"/>
                <w:highlight w:val="none"/>
              </w:rPr>
            </w:pPr>
          </w:p>
        </w:tc>
        <w:tc>
          <w:tcPr>
            <w:tcW w:w="1189" w:type="dxa"/>
            <w:tcBorders>
              <w:left w:val="single" w:color="auto" w:sz="4" w:space="0"/>
            </w:tcBorders>
            <w:noWrap w:val="0"/>
            <w:vAlign w:val="top"/>
          </w:tcPr>
          <w:p w14:paraId="06B6BFFD">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right="-10"/>
              <w:jc w:val="center"/>
              <w:textAlignment w:val="auto"/>
              <w:rPr>
                <w:rFonts w:hint="eastAsia" w:ascii="新宋体" w:hAnsi="新宋体" w:eastAsia="新宋体" w:cs="新宋体"/>
                <w:color w:val="auto"/>
                <w:sz w:val="22"/>
                <w:szCs w:val="22"/>
                <w:highlight w:val="none"/>
              </w:rPr>
            </w:pPr>
          </w:p>
        </w:tc>
      </w:tr>
      <w:tr w14:paraId="66DF70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9" w:hRule="atLeast"/>
        </w:trPr>
        <w:tc>
          <w:tcPr>
            <w:tcW w:w="2711" w:type="dxa"/>
            <w:noWrap w:val="0"/>
            <w:vAlign w:val="center"/>
          </w:tcPr>
          <w:p w14:paraId="34145D7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易损件、专用工具（如有）</w:t>
            </w:r>
          </w:p>
        </w:tc>
        <w:tc>
          <w:tcPr>
            <w:tcW w:w="5535" w:type="dxa"/>
            <w:gridSpan w:val="3"/>
            <w:tcBorders>
              <w:right w:val="single" w:color="auto" w:sz="4" w:space="0"/>
            </w:tcBorders>
            <w:noWrap w:val="0"/>
            <w:vAlign w:val="center"/>
          </w:tcPr>
          <w:p w14:paraId="6C2B4C59">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right="-10"/>
              <w:jc w:val="center"/>
              <w:textAlignment w:val="auto"/>
              <w:rPr>
                <w:rFonts w:hint="eastAsia" w:ascii="新宋体" w:hAnsi="新宋体" w:eastAsia="新宋体" w:cs="新宋体"/>
                <w:color w:val="auto"/>
                <w:sz w:val="22"/>
                <w:szCs w:val="22"/>
                <w:highlight w:val="none"/>
              </w:rPr>
            </w:pPr>
          </w:p>
        </w:tc>
        <w:tc>
          <w:tcPr>
            <w:tcW w:w="1189" w:type="dxa"/>
            <w:tcBorders>
              <w:left w:val="single" w:color="auto" w:sz="4" w:space="0"/>
            </w:tcBorders>
            <w:noWrap w:val="0"/>
            <w:vAlign w:val="center"/>
          </w:tcPr>
          <w:p w14:paraId="665A140F">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right="-10"/>
              <w:jc w:val="center"/>
              <w:textAlignment w:val="auto"/>
              <w:rPr>
                <w:rFonts w:hint="eastAsia" w:ascii="新宋体" w:hAnsi="新宋体" w:eastAsia="新宋体" w:cs="新宋体"/>
                <w:color w:val="auto"/>
                <w:sz w:val="22"/>
                <w:szCs w:val="22"/>
                <w:highlight w:val="none"/>
              </w:rPr>
            </w:pPr>
          </w:p>
        </w:tc>
      </w:tr>
      <w:tr w14:paraId="3CB122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9" w:hRule="atLeast"/>
        </w:trPr>
        <w:tc>
          <w:tcPr>
            <w:tcW w:w="2711" w:type="dxa"/>
            <w:noWrap w:val="0"/>
            <w:vAlign w:val="center"/>
          </w:tcPr>
          <w:p w14:paraId="5461467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安装、检验费（含第三方检验费）</w:t>
            </w:r>
          </w:p>
        </w:tc>
        <w:tc>
          <w:tcPr>
            <w:tcW w:w="5535" w:type="dxa"/>
            <w:gridSpan w:val="3"/>
            <w:tcBorders>
              <w:right w:val="single" w:color="auto" w:sz="4" w:space="0"/>
            </w:tcBorders>
            <w:noWrap w:val="0"/>
            <w:vAlign w:val="top"/>
          </w:tcPr>
          <w:p w14:paraId="4C294140">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right="-10"/>
              <w:jc w:val="center"/>
              <w:textAlignment w:val="auto"/>
              <w:rPr>
                <w:rFonts w:hint="eastAsia" w:ascii="新宋体" w:hAnsi="新宋体" w:eastAsia="新宋体" w:cs="新宋体"/>
                <w:color w:val="auto"/>
                <w:sz w:val="22"/>
                <w:szCs w:val="22"/>
                <w:highlight w:val="none"/>
              </w:rPr>
            </w:pPr>
          </w:p>
        </w:tc>
        <w:tc>
          <w:tcPr>
            <w:tcW w:w="1189" w:type="dxa"/>
            <w:tcBorders>
              <w:left w:val="single" w:color="auto" w:sz="4" w:space="0"/>
            </w:tcBorders>
            <w:noWrap w:val="0"/>
            <w:vAlign w:val="top"/>
          </w:tcPr>
          <w:p w14:paraId="3D396581">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right="-10"/>
              <w:jc w:val="center"/>
              <w:textAlignment w:val="auto"/>
              <w:rPr>
                <w:rFonts w:hint="eastAsia" w:ascii="新宋体" w:hAnsi="新宋体" w:eastAsia="新宋体" w:cs="新宋体"/>
                <w:color w:val="auto"/>
                <w:sz w:val="22"/>
                <w:szCs w:val="22"/>
                <w:highlight w:val="none"/>
              </w:rPr>
            </w:pPr>
          </w:p>
        </w:tc>
      </w:tr>
      <w:tr w14:paraId="29C4B4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9" w:hRule="atLeast"/>
        </w:trPr>
        <w:tc>
          <w:tcPr>
            <w:tcW w:w="2711" w:type="dxa"/>
            <w:noWrap w:val="0"/>
            <w:vAlign w:val="center"/>
          </w:tcPr>
          <w:p w14:paraId="6FE2429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人员培训费（如有）</w:t>
            </w:r>
          </w:p>
        </w:tc>
        <w:tc>
          <w:tcPr>
            <w:tcW w:w="5535" w:type="dxa"/>
            <w:gridSpan w:val="3"/>
            <w:tcBorders>
              <w:right w:val="single" w:color="auto" w:sz="4" w:space="0"/>
            </w:tcBorders>
            <w:noWrap w:val="0"/>
            <w:vAlign w:val="top"/>
          </w:tcPr>
          <w:p w14:paraId="158B6DEF">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right="-10"/>
              <w:jc w:val="center"/>
              <w:textAlignment w:val="auto"/>
              <w:rPr>
                <w:rFonts w:hint="eastAsia" w:ascii="新宋体" w:hAnsi="新宋体" w:eastAsia="新宋体" w:cs="新宋体"/>
                <w:color w:val="auto"/>
                <w:sz w:val="22"/>
                <w:szCs w:val="22"/>
                <w:highlight w:val="none"/>
              </w:rPr>
            </w:pPr>
          </w:p>
        </w:tc>
        <w:tc>
          <w:tcPr>
            <w:tcW w:w="1189" w:type="dxa"/>
            <w:tcBorders>
              <w:left w:val="single" w:color="auto" w:sz="4" w:space="0"/>
            </w:tcBorders>
            <w:noWrap w:val="0"/>
            <w:vAlign w:val="top"/>
          </w:tcPr>
          <w:p w14:paraId="4B7E0EB8">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right="-10"/>
              <w:jc w:val="center"/>
              <w:textAlignment w:val="auto"/>
              <w:rPr>
                <w:rFonts w:hint="eastAsia" w:ascii="新宋体" w:hAnsi="新宋体" w:eastAsia="新宋体" w:cs="新宋体"/>
                <w:color w:val="auto"/>
                <w:sz w:val="22"/>
                <w:szCs w:val="22"/>
                <w:highlight w:val="none"/>
              </w:rPr>
            </w:pPr>
          </w:p>
        </w:tc>
      </w:tr>
      <w:tr w14:paraId="4BB0B3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9" w:hRule="atLeast"/>
        </w:trPr>
        <w:tc>
          <w:tcPr>
            <w:tcW w:w="2711" w:type="dxa"/>
            <w:noWrap w:val="0"/>
            <w:vAlign w:val="center"/>
          </w:tcPr>
          <w:p w14:paraId="0203BE5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至最终目的地的运费、保险费</w:t>
            </w:r>
          </w:p>
        </w:tc>
        <w:tc>
          <w:tcPr>
            <w:tcW w:w="5535" w:type="dxa"/>
            <w:gridSpan w:val="3"/>
            <w:tcBorders>
              <w:right w:val="single" w:color="auto" w:sz="4" w:space="0"/>
            </w:tcBorders>
            <w:noWrap w:val="0"/>
            <w:vAlign w:val="top"/>
          </w:tcPr>
          <w:p w14:paraId="71811115">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right="-10"/>
              <w:jc w:val="center"/>
              <w:textAlignment w:val="auto"/>
              <w:rPr>
                <w:rFonts w:hint="eastAsia" w:ascii="新宋体" w:hAnsi="新宋体" w:eastAsia="新宋体" w:cs="新宋体"/>
                <w:color w:val="auto"/>
                <w:sz w:val="22"/>
                <w:szCs w:val="22"/>
                <w:highlight w:val="none"/>
              </w:rPr>
            </w:pPr>
          </w:p>
        </w:tc>
        <w:tc>
          <w:tcPr>
            <w:tcW w:w="1189" w:type="dxa"/>
            <w:tcBorders>
              <w:left w:val="single" w:color="auto" w:sz="4" w:space="0"/>
            </w:tcBorders>
            <w:noWrap w:val="0"/>
            <w:vAlign w:val="top"/>
          </w:tcPr>
          <w:p w14:paraId="3A054202">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right="-10"/>
              <w:jc w:val="center"/>
              <w:textAlignment w:val="auto"/>
              <w:rPr>
                <w:rFonts w:hint="eastAsia" w:ascii="新宋体" w:hAnsi="新宋体" w:eastAsia="新宋体" w:cs="新宋体"/>
                <w:color w:val="auto"/>
                <w:sz w:val="22"/>
                <w:szCs w:val="22"/>
                <w:highlight w:val="none"/>
              </w:rPr>
            </w:pPr>
          </w:p>
        </w:tc>
      </w:tr>
      <w:tr w14:paraId="1E66B0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9" w:hRule="atLeast"/>
        </w:trPr>
        <w:tc>
          <w:tcPr>
            <w:tcW w:w="2711" w:type="dxa"/>
            <w:noWrap w:val="0"/>
            <w:vAlign w:val="center"/>
          </w:tcPr>
          <w:p w14:paraId="3D57F73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招标代理服务费</w:t>
            </w:r>
          </w:p>
        </w:tc>
        <w:tc>
          <w:tcPr>
            <w:tcW w:w="5535" w:type="dxa"/>
            <w:gridSpan w:val="3"/>
            <w:tcBorders>
              <w:right w:val="single" w:color="auto" w:sz="4" w:space="0"/>
            </w:tcBorders>
            <w:noWrap w:val="0"/>
            <w:vAlign w:val="top"/>
          </w:tcPr>
          <w:p w14:paraId="6AE5FBA3">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right="-10"/>
              <w:jc w:val="center"/>
              <w:textAlignment w:val="auto"/>
              <w:rPr>
                <w:rFonts w:hint="eastAsia" w:ascii="新宋体" w:hAnsi="新宋体" w:eastAsia="新宋体" w:cs="新宋体"/>
                <w:color w:val="auto"/>
                <w:sz w:val="22"/>
                <w:szCs w:val="22"/>
                <w:highlight w:val="none"/>
              </w:rPr>
            </w:pPr>
          </w:p>
        </w:tc>
        <w:tc>
          <w:tcPr>
            <w:tcW w:w="1189" w:type="dxa"/>
            <w:tcBorders>
              <w:left w:val="single" w:color="auto" w:sz="4" w:space="0"/>
            </w:tcBorders>
            <w:noWrap w:val="0"/>
            <w:vAlign w:val="top"/>
          </w:tcPr>
          <w:p w14:paraId="13BC9F3F">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right="-10"/>
              <w:jc w:val="center"/>
              <w:textAlignment w:val="auto"/>
              <w:rPr>
                <w:rFonts w:hint="eastAsia" w:ascii="新宋体" w:hAnsi="新宋体" w:eastAsia="新宋体" w:cs="新宋体"/>
                <w:color w:val="auto"/>
                <w:sz w:val="22"/>
                <w:szCs w:val="22"/>
                <w:highlight w:val="none"/>
              </w:rPr>
            </w:pPr>
          </w:p>
        </w:tc>
      </w:tr>
      <w:tr w14:paraId="53D5AF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9" w:hRule="atLeast"/>
        </w:trPr>
        <w:tc>
          <w:tcPr>
            <w:tcW w:w="2711" w:type="dxa"/>
            <w:noWrap w:val="0"/>
            <w:vAlign w:val="center"/>
          </w:tcPr>
          <w:p w14:paraId="74995BB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其他</w:t>
            </w:r>
          </w:p>
        </w:tc>
        <w:tc>
          <w:tcPr>
            <w:tcW w:w="5535" w:type="dxa"/>
            <w:gridSpan w:val="3"/>
            <w:tcBorders>
              <w:right w:val="single" w:color="auto" w:sz="4" w:space="0"/>
            </w:tcBorders>
            <w:noWrap w:val="0"/>
            <w:vAlign w:val="top"/>
          </w:tcPr>
          <w:p w14:paraId="003039AD">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right="-10"/>
              <w:jc w:val="center"/>
              <w:textAlignment w:val="auto"/>
              <w:rPr>
                <w:rFonts w:hint="eastAsia" w:ascii="新宋体" w:hAnsi="新宋体" w:eastAsia="新宋体" w:cs="新宋体"/>
                <w:color w:val="auto"/>
                <w:sz w:val="22"/>
                <w:szCs w:val="22"/>
                <w:highlight w:val="none"/>
              </w:rPr>
            </w:pPr>
          </w:p>
        </w:tc>
        <w:tc>
          <w:tcPr>
            <w:tcW w:w="1189" w:type="dxa"/>
            <w:tcBorders>
              <w:left w:val="single" w:color="auto" w:sz="4" w:space="0"/>
            </w:tcBorders>
            <w:noWrap w:val="0"/>
            <w:vAlign w:val="top"/>
          </w:tcPr>
          <w:p w14:paraId="67769486">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right="-10"/>
              <w:jc w:val="center"/>
              <w:textAlignment w:val="auto"/>
              <w:rPr>
                <w:rFonts w:hint="eastAsia" w:ascii="新宋体" w:hAnsi="新宋体" w:eastAsia="新宋体" w:cs="新宋体"/>
                <w:color w:val="auto"/>
                <w:sz w:val="22"/>
                <w:szCs w:val="22"/>
                <w:highlight w:val="none"/>
              </w:rPr>
            </w:pPr>
          </w:p>
        </w:tc>
      </w:tr>
      <w:tr w14:paraId="32C58C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23" w:hRule="atLeast"/>
        </w:trPr>
        <w:tc>
          <w:tcPr>
            <w:tcW w:w="2711" w:type="dxa"/>
            <w:noWrap w:val="0"/>
            <w:vAlign w:val="top"/>
          </w:tcPr>
          <w:p w14:paraId="37963B2F">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right="-1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总计价</w:t>
            </w:r>
          </w:p>
        </w:tc>
        <w:tc>
          <w:tcPr>
            <w:tcW w:w="6724" w:type="dxa"/>
            <w:gridSpan w:val="4"/>
            <w:noWrap w:val="0"/>
            <w:vAlign w:val="top"/>
          </w:tcPr>
          <w:p w14:paraId="60751997">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right="-10"/>
              <w:jc w:val="center"/>
              <w:textAlignment w:val="auto"/>
              <w:rPr>
                <w:rFonts w:hint="eastAsia" w:ascii="新宋体" w:hAnsi="新宋体" w:eastAsia="新宋体" w:cs="新宋体"/>
                <w:color w:val="auto"/>
                <w:sz w:val="22"/>
                <w:szCs w:val="22"/>
                <w:highlight w:val="none"/>
              </w:rPr>
            </w:pPr>
          </w:p>
        </w:tc>
      </w:tr>
    </w:tbl>
    <w:p w14:paraId="59AA780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color w:val="auto"/>
          <w:sz w:val="22"/>
          <w:szCs w:val="22"/>
          <w:highlight w:val="none"/>
        </w:rPr>
      </w:pPr>
    </w:p>
    <w:p w14:paraId="0137375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说明：</w:t>
      </w:r>
      <w:r>
        <w:rPr>
          <w:rFonts w:hint="eastAsia" w:ascii="新宋体" w:hAnsi="新宋体" w:eastAsia="新宋体" w:cs="新宋体"/>
          <w:b/>
          <w:bCs/>
          <w:color w:val="auto"/>
          <w:sz w:val="22"/>
          <w:szCs w:val="22"/>
          <w:highlight w:val="none"/>
        </w:rPr>
        <w:t>1、此表总计价应与</w:t>
      </w:r>
      <w:r>
        <w:rPr>
          <w:rFonts w:hint="eastAsia" w:ascii="新宋体" w:hAnsi="新宋体" w:eastAsia="新宋体" w:cs="新宋体"/>
          <w:b/>
          <w:bCs/>
          <w:color w:val="auto"/>
          <w:sz w:val="22"/>
          <w:szCs w:val="22"/>
          <w:highlight w:val="none"/>
          <w:lang w:val="en-US" w:eastAsia="zh-CN"/>
        </w:rPr>
        <w:t>附件二</w:t>
      </w: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1</w:t>
      </w: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投标</w:t>
      </w:r>
      <w:r>
        <w:rPr>
          <w:rFonts w:hint="eastAsia" w:ascii="新宋体" w:hAnsi="新宋体" w:eastAsia="新宋体" w:cs="新宋体"/>
          <w:b/>
          <w:bCs/>
          <w:color w:val="auto"/>
          <w:sz w:val="22"/>
          <w:szCs w:val="22"/>
          <w:highlight w:val="none"/>
        </w:rPr>
        <w:t>报价一览表”中报价相一致。</w:t>
      </w:r>
    </w:p>
    <w:p w14:paraId="0A562E4E">
      <w:pPr>
        <w:keepNext w:val="0"/>
        <w:keepLines w:val="0"/>
        <w:pageBreakBefore w:val="0"/>
        <w:widowControl w:val="0"/>
        <w:kinsoku/>
        <w:wordWrap/>
        <w:overflowPunct/>
        <w:topLinePunct w:val="0"/>
        <w:autoSpaceDE/>
        <w:autoSpaceDN/>
        <w:bidi w:val="0"/>
        <w:adjustRightInd/>
        <w:snapToGrid/>
        <w:spacing w:line="460" w:lineRule="exact"/>
        <w:ind w:firstLine="663" w:firstLineChars="3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2、不提供详细分项报价将视为没有实质性响应</w:t>
      </w:r>
      <w:r>
        <w:rPr>
          <w:rFonts w:hint="eastAsia" w:ascii="新宋体" w:hAnsi="新宋体" w:eastAsia="新宋体" w:cs="新宋体"/>
          <w:b/>
          <w:bCs/>
          <w:color w:val="auto"/>
          <w:sz w:val="22"/>
          <w:szCs w:val="22"/>
          <w:highlight w:val="none"/>
          <w:lang w:eastAsia="zh-CN"/>
        </w:rPr>
        <w:t>采购文件</w:t>
      </w:r>
      <w:r>
        <w:rPr>
          <w:rFonts w:hint="eastAsia" w:ascii="新宋体" w:hAnsi="新宋体" w:eastAsia="新宋体" w:cs="新宋体"/>
          <w:b/>
          <w:bCs/>
          <w:color w:val="auto"/>
          <w:sz w:val="22"/>
          <w:szCs w:val="22"/>
          <w:highlight w:val="none"/>
        </w:rPr>
        <w:t>。</w:t>
      </w:r>
    </w:p>
    <w:p w14:paraId="09880ACB">
      <w:pPr>
        <w:keepNext w:val="0"/>
        <w:keepLines w:val="0"/>
        <w:pageBreakBefore w:val="0"/>
        <w:widowControl w:val="0"/>
        <w:kinsoku/>
        <w:wordWrap/>
        <w:overflowPunct/>
        <w:topLinePunct w:val="0"/>
        <w:autoSpaceDE/>
        <w:autoSpaceDN/>
        <w:bidi w:val="0"/>
        <w:adjustRightInd/>
        <w:snapToGrid/>
        <w:spacing w:line="460" w:lineRule="exact"/>
        <w:ind w:firstLine="663" w:firstLineChars="3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3、如果免费请在该项内容栏内注明“免”，如果含在产品价格中则填“含”，如无此项内容则填“无”。</w:t>
      </w:r>
    </w:p>
    <w:p w14:paraId="0896C052">
      <w:pPr>
        <w:keepNext w:val="0"/>
        <w:keepLines w:val="0"/>
        <w:pageBreakBefore w:val="0"/>
        <w:widowControl w:val="0"/>
        <w:kinsoku/>
        <w:wordWrap/>
        <w:overflowPunct/>
        <w:topLinePunct w:val="0"/>
        <w:autoSpaceDE/>
        <w:autoSpaceDN/>
        <w:bidi w:val="0"/>
        <w:adjustRightInd/>
        <w:snapToGrid/>
        <w:spacing w:line="460" w:lineRule="exact"/>
        <w:ind w:firstLine="5060" w:firstLineChars="230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3105D9E3">
      <w:pPr>
        <w:keepNext w:val="0"/>
        <w:keepLines w:val="0"/>
        <w:pageBreakBefore w:val="0"/>
        <w:widowControl w:val="0"/>
        <w:kinsoku/>
        <w:wordWrap/>
        <w:overflowPunct/>
        <w:topLinePunct w:val="0"/>
        <w:autoSpaceDE/>
        <w:autoSpaceDN/>
        <w:bidi w:val="0"/>
        <w:adjustRightInd/>
        <w:snapToGrid/>
        <w:spacing w:line="460" w:lineRule="exact"/>
        <w:ind w:firstLine="5060" w:firstLineChars="230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28E5BD86">
      <w:pPr>
        <w:keepNext w:val="0"/>
        <w:keepLines w:val="0"/>
        <w:pageBreakBefore w:val="0"/>
        <w:widowControl w:val="0"/>
        <w:kinsoku/>
        <w:wordWrap/>
        <w:overflowPunct/>
        <w:topLinePunct w:val="0"/>
        <w:autoSpaceDE/>
        <w:autoSpaceDN/>
        <w:bidi w:val="0"/>
        <w:adjustRightInd/>
        <w:snapToGrid/>
        <w:spacing w:line="460" w:lineRule="exact"/>
        <w:ind w:firstLine="5060" w:firstLineChars="230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6A5BE0B3">
      <w:pPr>
        <w:rPr>
          <w:rFonts w:hint="eastAsia" w:ascii="新宋体" w:hAnsi="新宋体" w:eastAsia="新宋体" w:cs="新宋体"/>
          <w:color w:val="auto"/>
          <w:sz w:val="22"/>
          <w:szCs w:val="22"/>
          <w:highlight w:val="none"/>
        </w:rPr>
      </w:pPr>
    </w:p>
    <w:p w14:paraId="185CE359">
      <w:pPr>
        <w:rPr>
          <w:rFonts w:hint="eastAsia" w:ascii="新宋体" w:hAnsi="新宋体" w:eastAsia="新宋体" w:cs="新宋体"/>
          <w:b/>
          <w:bCs/>
          <w:color w:val="auto"/>
          <w:sz w:val="28"/>
          <w:szCs w:val="28"/>
          <w:highlight w:val="none"/>
        </w:rPr>
      </w:pPr>
    </w:p>
    <w:p w14:paraId="2E1F7FF2">
      <w:pPr>
        <w:pStyle w:val="2"/>
        <w:rPr>
          <w:rFonts w:hint="eastAsia" w:ascii="新宋体" w:hAnsi="新宋体" w:eastAsia="新宋体" w:cs="新宋体"/>
          <w:b/>
          <w:bCs/>
          <w:color w:val="auto"/>
          <w:sz w:val="28"/>
          <w:szCs w:val="28"/>
          <w:highlight w:val="none"/>
        </w:rPr>
      </w:pPr>
    </w:p>
    <w:p w14:paraId="6721E6AD">
      <w:pPr>
        <w:pStyle w:val="2"/>
        <w:rPr>
          <w:rFonts w:hint="eastAsia" w:ascii="新宋体" w:hAnsi="新宋体" w:eastAsia="新宋体" w:cs="新宋体"/>
          <w:b/>
          <w:bCs/>
          <w:color w:val="auto"/>
          <w:sz w:val="28"/>
          <w:szCs w:val="28"/>
          <w:highlight w:val="none"/>
        </w:rPr>
      </w:pPr>
    </w:p>
    <w:p w14:paraId="0827DC75">
      <w:pPr>
        <w:spacing w:line="400" w:lineRule="exact"/>
        <w:jc w:val="center"/>
        <w:outlineLvl w:val="3"/>
        <w:rPr>
          <w:rFonts w:hint="eastAsia" w:ascii="新宋体" w:hAnsi="新宋体" w:eastAsia="新宋体" w:cs="新宋体"/>
          <w:b/>
          <w:color w:val="auto"/>
          <w:sz w:val="28"/>
          <w:szCs w:val="28"/>
          <w:highlight w:val="none"/>
          <w:lang w:val="en-US" w:eastAsia="zh-CN"/>
        </w:rPr>
      </w:pPr>
      <w:r>
        <w:rPr>
          <w:rFonts w:hint="eastAsia" w:ascii="新宋体" w:hAnsi="新宋体" w:eastAsia="新宋体" w:cs="新宋体"/>
          <w:b/>
          <w:color w:val="auto"/>
          <w:sz w:val="28"/>
          <w:szCs w:val="28"/>
          <w:highlight w:val="none"/>
          <w:lang w:val="en-US" w:eastAsia="zh-CN"/>
        </w:rPr>
        <w:t>3、落实政府采购政策需满足的资格要求证明材料</w:t>
      </w:r>
    </w:p>
    <w:p w14:paraId="45C629D8">
      <w:pPr>
        <w:bidi w:val="0"/>
        <w:rPr>
          <w:rFonts w:hint="eastAsia" w:ascii="新宋体" w:hAnsi="新宋体" w:eastAsia="新宋体" w:cs="新宋体"/>
          <w:b/>
          <w:bCs/>
          <w:color w:val="auto"/>
          <w:szCs w:val="28"/>
          <w:highlight w:val="none"/>
          <w:lang w:val="en-US" w:eastAsia="zh-CN"/>
        </w:rPr>
      </w:pPr>
      <w:r>
        <w:rPr>
          <w:rFonts w:hint="eastAsia" w:ascii="新宋体" w:hAnsi="新宋体" w:eastAsia="新宋体" w:cs="新宋体"/>
          <w:color w:val="auto"/>
          <w:highlight w:val="none"/>
        </w:rPr>
        <w:t>（根据</w:t>
      </w:r>
      <w:r>
        <w:rPr>
          <w:rFonts w:hint="eastAsia" w:ascii="新宋体" w:hAnsi="新宋体" w:eastAsia="新宋体" w:cs="新宋体"/>
          <w:color w:val="auto"/>
          <w:highlight w:val="none"/>
          <w:lang w:val="en-US" w:eastAsia="zh-CN"/>
        </w:rPr>
        <w:t>招标</w:t>
      </w:r>
      <w:r>
        <w:rPr>
          <w:rFonts w:hint="eastAsia" w:ascii="新宋体" w:hAnsi="新宋体" w:eastAsia="新宋体" w:cs="新宋体"/>
          <w:color w:val="auto"/>
          <w:highlight w:val="none"/>
        </w:rPr>
        <w:t>公告落实政府采购政策需满足的资格要求选择提供相应的材料；未要求的，无需提供）</w:t>
      </w:r>
    </w:p>
    <w:p w14:paraId="2698AAF2">
      <w:pPr>
        <w:spacing w:line="460" w:lineRule="exact"/>
        <w:jc w:val="center"/>
        <w:outlineLvl w:val="4"/>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（1）中小企业的相关证明材料</w:t>
      </w:r>
    </w:p>
    <w:p w14:paraId="0030140F">
      <w:pPr>
        <w:spacing w:line="460" w:lineRule="exact"/>
        <w:jc w:val="both"/>
        <w:rPr>
          <w:rFonts w:hint="eastAsia" w:ascii="新宋体" w:hAnsi="新宋体" w:eastAsia="新宋体" w:cs="新宋体"/>
          <w:b/>
          <w:bCs/>
          <w:color w:val="auto"/>
          <w:sz w:val="22"/>
          <w:szCs w:val="22"/>
          <w:highlight w:val="none"/>
        </w:rPr>
      </w:pPr>
    </w:p>
    <w:p w14:paraId="401AE423">
      <w:pPr>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pacing w:val="20"/>
          <w:sz w:val="22"/>
          <w:szCs w:val="22"/>
          <w:highlight w:val="none"/>
        </w:rPr>
        <w:t>中小企业声明函（货物</w:t>
      </w:r>
      <w:r>
        <w:rPr>
          <w:rFonts w:hint="eastAsia" w:ascii="新宋体" w:hAnsi="新宋体" w:eastAsia="新宋体" w:cs="新宋体"/>
          <w:b/>
          <w:bCs/>
          <w:color w:val="auto"/>
          <w:spacing w:val="20"/>
          <w:sz w:val="22"/>
          <w:szCs w:val="22"/>
          <w:highlight w:val="none"/>
          <w:lang w:eastAsia="zh-CN"/>
        </w:rPr>
        <w:t>）</w:t>
      </w:r>
      <w:r>
        <w:rPr>
          <w:rFonts w:hint="eastAsia" w:ascii="新宋体" w:hAnsi="新宋体" w:eastAsia="新宋体" w:cs="新宋体"/>
          <w:b/>
          <w:bCs/>
          <w:color w:val="auto"/>
          <w:sz w:val="22"/>
          <w:szCs w:val="22"/>
          <w:highlight w:val="none"/>
        </w:rPr>
        <w:t>》</w:t>
      </w:r>
    </w:p>
    <w:p w14:paraId="4ABBB47E">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【不属于中小企业单位的无需填写、递交】</w:t>
      </w:r>
    </w:p>
    <w:p w14:paraId="274DDB2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z w:val="22"/>
          <w:szCs w:val="22"/>
          <w:highlight w:val="none"/>
        </w:rPr>
        <w:t>本公司（联合体）郑重声明，根据《政府采购促进中小企业发展管理办法》（财库﹝2020﹞46 号）的规定，本公司（联合体）参加</w:t>
      </w:r>
      <w:r>
        <w:rPr>
          <w:rFonts w:hint="eastAsia" w:ascii="新宋体" w:hAnsi="新宋体" w:eastAsia="新宋体" w:cs="新宋体"/>
          <w:color w:val="auto"/>
          <w:sz w:val="22"/>
          <w:szCs w:val="22"/>
          <w:highlight w:val="none"/>
          <w:u w:val="single"/>
        </w:rPr>
        <w:t>（单位名称）</w:t>
      </w:r>
      <w:r>
        <w:rPr>
          <w:rFonts w:hint="eastAsia" w:ascii="新宋体" w:hAnsi="新宋体" w:eastAsia="新宋体" w:cs="新宋体"/>
          <w:color w:val="auto"/>
          <w:sz w:val="22"/>
          <w:szCs w:val="22"/>
          <w:highlight w:val="none"/>
        </w:rPr>
        <w:t>的</w:t>
      </w:r>
      <w:r>
        <w:rPr>
          <w:rFonts w:hint="eastAsia" w:ascii="新宋体" w:hAnsi="新宋体" w:eastAsia="新宋体" w:cs="新宋体"/>
          <w:color w:val="auto"/>
          <w:sz w:val="22"/>
          <w:szCs w:val="22"/>
          <w:highlight w:val="none"/>
          <w:u w:val="single"/>
        </w:rPr>
        <w:t>（项目名称）</w:t>
      </w:r>
      <w:r>
        <w:rPr>
          <w:rFonts w:hint="eastAsia" w:ascii="新宋体" w:hAnsi="新宋体" w:eastAsia="新宋体" w:cs="新宋体"/>
          <w:color w:val="auto"/>
          <w:sz w:val="22"/>
          <w:szCs w:val="22"/>
          <w:highlight w:val="none"/>
        </w:rPr>
        <w:t>采购活动，提供的货物全部由符合政策要求的中小企业制造。相关企业（含联合体中的中小企业、签订分包意向协议的中小企业）的具体情况如下：</w:t>
      </w:r>
    </w:p>
    <w:p w14:paraId="442AA69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z w:val="22"/>
          <w:szCs w:val="22"/>
          <w:highlight w:val="none"/>
          <w:lang w:val="zh-CN"/>
        </w:rPr>
        <w:t>1.</w:t>
      </w:r>
      <w:r>
        <w:rPr>
          <w:rFonts w:hint="eastAsia" w:ascii="新宋体" w:hAnsi="新宋体" w:eastAsia="新宋体" w:cs="新宋体"/>
          <w:color w:val="auto"/>
          <w:sz w:val="22"/>
          <w:szCs w:val="22"/>
          <w:highlight w:val="none"/>
          <w:u w:val="single"/>
          <w:lang w:val="zh-CN"/>
        </w:rPr>
        <w:t xml:space="preserve">（标的名称） </w:t>
      </w:r>
      <w:r>
        <w:rPr>
          <w:rFonts w:hint="eastAsia" w:ascii="新宋体" w:hAnsi="新宋体" w:eastAsia="新宋体" w:cs="新宋体"/>
          <w:color w:val="auto"/>
          <w:sz w:val="22"/>
          <w:szCs w:val="22"/>
          <w:highlight w:val="none"/>
          <w:lang w:val="zh-CN"/>
        </w:rPr>
        <w:t>，属于</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u w:val="single"/>
        </w:rPr>
        <w:t>（采购文件中明确的所属行业）</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行业；制造商为</w:t>
      </w:r>
      <w:r>
        <w:rPr>
          <w:rFonts w:hint="eastAsia" w:ascii="新宋体" w:hAnsi="新宋体" w:eastAsia="新宋体" w:cs="新宋体"/>
          <w:color w:val="auto"/>
          <w:sz w:val="22"/>
          <w:szCs w:val="22"/>
          <w:highlight w:val="none"/>
          <w:u w:val="single"/>
        </w:rPr>
        <w:t>（企业名称）</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从业人员</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人，营业收入为</w:t>
      </w:r>
      <w:r>
        <w:rPr>
          <w:rFonts w:hint="eastAsia" w:ascii="新宋体" w:hAnsi="新宋体" w:eastAsia="新宋体" w:cs="新宋体"/>
          <w:color w:val="auto"/>
          <w:spacing w:val="20"/>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万元，资产总额为</w:t>
      </w:r>
      <w:r>
        <w:rPr>
          <w:rFonts w:hint="eastAsia" w:ascii="新宋体" w:hAnsi="新宋体" w:eastAsia="新宋体" w:cs="新宋体"/>
          <w:color w:val="auto"/>
          <w:spacing w:val="20"/>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万元，属于</w:t>
      </w:r>
      <w:r>
        <w:rPr>
          <w:rFonts w:hint="eastAsia" w:ascii="新宋体" w:hAnsi="新宋体" w:eastAsia="新宋体" w:cs="新宋体"/>
          <w:color w:val="auto"/>
          <w:sz w:val="22"/>
          <w:szCs w:val="22"/>
          <w:highlight w:val="none"/>
          <w:u w:val="single"/>
        </w:rPr>
        <w:t>（中型企业、小型企业、微型企业）；</w:t>
      </w:r>
    </w:p>
    <w:p w14:paraId="69FB32A7">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z w:val="22"/>
          <w:szCs w:val="22"/>
          <w:highlight w:val="none"/>
          <w:u w:val="single"/>
          <w:lang w:val="en-US" w:eastAsia="zh-CN"/>
        </w:rPr>
        <w:t>2.</w:t>
      </w:r>
      <w:r>
        <w:rPr>
          <w:rFonts w:hint="eastAsia" w:ascii="新宋体" w:hAnsi="新宋体" w:eastAsia="新宋体" w:cs="新宋体"/>
          <w:color w:val="auto"/>
          <w:sz w:val="22"/>
          <w:szCs w:val="22"/>
          <w:highlight w:val="none"/>
          <w:u w:val="single"/>
          <w:lang w:val="zh-CN"/>
        </w:rPr>
        <w:t xml:space="preserve">（标的名称） </w:t>
      </w:r>
      <w:r>
        <w:rPr>
          <w:rFonts w:hint="eastAsia" w:ascii="新宋体" w:hAnsi="新宋体" w:eastAsia="新宋体" w:cs="新宋体"/>
          <w:color w:val="auto"/>
          <w:sz w:val="22"/>
          <w:szCs w:val="22"/>
          <w:highlight w:val="none"/>
          <w:lang w:val="zh-CN"/>
        </w:rPr>
        <w:t>，属于</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u w:val="single"/>
        </w:rPr>
        <w:t>（采购文件中明确的所属行业）</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行业；制造商为</w:t>
      </w:r>
      <w:r>
        <w:rPr>
          <w:rFonts w:hint="eastAsia" w:ascii="新宋体" w:hAnsi="新宋体" w:eastAsia="新宋体" w:cs="新宋体"/>
          <w:color w:val="auto"/>
          <w:sz w:val="22"/>
          <w:szCs w:val="22"/>
          <w:highlight w:val="none"/>
          <w:u w:val="single"/>
        </w:rPr>
        <w:t>（企业名称）</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从业人员</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人，营业收入为</w:t>
      </w:r>
      <w:r>
        <w:rPr>
          <w:rFonts w:hint="eastAsia" w:ascii="新宋体" w:hAnsi="新宋体" w:eastAsia="新宋体" w:cs="新宋体"/>
          <w:color w:val="auto"/>
          <w:spacing w:val="20"/>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万元，资产总额为</w:t>
      </w:r>
      <w:r>
        <w:rPr>
          <w:rFonts w:hint="eastAsia" w:ascii="新宋体" w:hAnsi="新宋体" w:eastAsia="新宋体" w:cs="新宋体"/>
          <w:color w:val="auto"/>
          <w:spacing w:val="20"/>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万元，属于</w:t>
      </w:r>
      <w:r>
        <w:rPr>
          <w:rFonts w:hint="eastAsia" w:ascii="新宋体" w:hAnsi="新宋体" w:eastAsia="新宋体" w:cs="新宋体"/>
          <w:color w:val="auto"/>
          <w:sz w:val="22"/>
          <w:szCs w:val="22"/>
          <w:highlight w:val="none"/>
          <w:u w:val="single"/>
        </w:rPr>
        <w:t>（中型企业、小型企业、微型企业）；</w:t>
      </w:r>
    </w:p>
    <w:p w14:paraId="51AF8943">
      <w:pPr>
        <w:keepNext w:val="0"/>
        <w:keepLines w:val="0"/>
        <w:pageBreakBefore w:val="0"/>
        <w:widowControl w:val="0"/>
        <w:kinsoku/>
        <w:wordWrap/>
        <w:overflowPunct/>
        <w:topLinePunct w:val="0"/>
        <w:autoSpaceDE/>
        <w:autoSpaceDN/>
        <w:bidi w:val="0"/>
        <w:snapToGrid/>
        <w:spacing w:line="460" w:lineRule="exact"/>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w:t>
      </w:r>
    </w:p>
    <w:p w14:paraId="548BAE7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以上企业，不属于大企业的分支机构，不存在控股股东为大企业的情形，也不存在与大企业的负责人为同一人的情形。</w:t>
      </w:r>
    </w:p>
    <w:p w14:paraId="2785022A">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z w:val="22"/>
          <w:szCs w:val="22"/>
          <w:highlight w:val="none"/>
        </w:rPr>
        <w:t>本企业对上述声明内容的真实性负责。如有虚假，将依法承担相应责任。</w:t>
      </w:r>
    </w:p>
    <w:p w14:paraId="1B7B7CC1">
      <w:pPr>
        <w:keepNext w:val="0"/>
        <w:keepLines w:val="0"/>
        <w:pageBreakBefore w:val="0"/>
        <w:widowControl w:val="0"/>
        <w:kinsoku/>
        <w:wordWrap/>
        <w:overflowPunct/>
        <w:topLinePunct w:val="0"/>
        <w:autoSpaceDE/>
        <w:autoSpaceDN/>
        <w:bidi w:val="0"/>
        <w:snapToGrid/>
        <w:spacing w:line="460" w:lineRule="exact"/>
        <w:rPr>
          <w:rFonts w:hint="eastAsia" w:ascii="新宋体" w:hAnsi="新宋体" w:eastAsia="新宋体" w:cs="新宋体"/>
          <w:color w:val="auto"/>
          <w:spacing w:val="20"/>
          <w:sz w:val="22"/>
          <w:szCs w:val="22"/>
          <w:highlight w:val="none"/>
        </w:rPr>
      </w:pPr>
    </w:p>
    <w:p w14:paraId="0C995C30">
      <w:pPr>
        <w:pStyle w:val="10"/>
        <w:keepNext w:val="0"/>
        <w:keepLines w:val="0"/>
        <w:pageBreakBefore w:val="0"/>
        <w:widowControl w:val="0"/>
        <w:kinsoku/>
        <w:wordWrap/>
        <w:overflowPunct/>
        <w:topLinePunct w:val="0"/>
        <w:autoSpaceDE/>
        <w:autoSpaceDN/>
        <w:bidi w:val="0"/>
        <w:snapToGrid/>
        <w:spacing w:line="460" w:lineRule="exact"/>
        <w:rPr>
          <w:rFonts w:hint="eastAsia" w:ascii="新宋体" w:hAnsi="新宋体" w:eastAsia="新宋体" w:cs="新宋体"/>
          <w:color w:val="auto"/>
          <w:sz w:val="22"/>
          <w:szCs w:val="22"/>
          <w:highlight w:val="none"/>
        </w:rPr>
      </w:pPr>
    </w:p>
    <w:p w14:paraId="00D04AA7">
      <w:pPr>
        <w:keepNext w:val="0"/>
        <w:keepLines w:val="0"/>
        <w:pageBreakBefore w:val="0"/>
        <w:widowControl w:val="0"/>
        <w:kinsoku/>
        <w:wordWrap/>
        <w:overflowPunct/>
        <w:topLinePunct w:val="0"/>
        <w:autoSpaceDE/>
        <w:autoSpaceDN/>
        <w:bidi w:val="0"/>
        <w:snapToGrid/>
        <w:spacing w:line="460" w:lineRule="exact"/>
        <w:ind w:firstLine="4680" w:firstLineChars="1800"/>
        <w:jc w:val="both"/>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企业名称（盖章）：</w:t>
      </w:r>
    </w:p>
    <w:p w14:paraId="7FD222EA">
      <w:pPr>
        <w:keepNext w:val="0"/>
        <w:keepLines w:val="0"/>
        <w:pageBreakBefore w:val="0"/>
        <w:widowControl w:val="0"/>
        <w:kinsoku/>
        <w:wordWrap/>
        <w:overflowPunct/>
        <w:topLinePunct w:val="0"/>
        <w:autoSpaceDE/>
        <w:autoSpaceDN/>
        <w:bidi w:val="0"/>
        <w:snapToGrid/>
        <w:spacing w:line="460" w:lineRule="exact"/>
        <w:ind w:firstLine="4680" w:firstLineChars="1800"/>
        <w:jc w:val="both"/>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日 期：</w:t>
      </w:r>
    </w:p>
    <w:p w14:paraId="38C69C43">
      <w:pPr>
        <w:spacing w:line="460" w:lineRule="exact"/>
        <w:jc w:val="center"/>
        <w:rPr>
          <w:rFonts w:hint="eastAsia" w:ascii="新宋体" w:hAnsi="新宋体" w:eastAsia="新宋体" w:cs="新宋体"/>
          <w:color w:val="auto"/>
          <w:spacing w:val="20"/>
          <w:sz w:val="22"/>
          <w:szCs w:val="22"/>
          <w:highlight w:val="none"/>
        </w:rPr>
      </w:pPr>
    </w:p>
    <w:p w14:paraId="0E57E609">
      <w:pP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br w:type="page"/>
      </w:r>
    </w:p>
    <w:p w14:paraId="7A65DB6B">
      <w:pPr>
        <w:spacing w:line="460" w:lineRule="exact"/>
        <w:jc w:val="center"/>
        <w:outlineLvl w:val="4"/>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（2）残疾人福利性单位的相关证明材料</w:t>
      </w:r>
    </w:p>
    <w:p w14:paraId="5BD1BF40">
      <w:pPr>
        <w:spacing w:line="460" w:lineRule="exact"/>
        <w:ind w:firstLine="520" w:firstLineChars="200"/>
        <w:rPr>
          <w:rFonts w:hint="eastAsia" w:ascii="新宋体" w:hAnsi="新宋体" w:eastAsia="新宋体" w:cs="新宋体"/>
          <w:color w:val="auto"/>
          <w:spacing w:val="20"/>
          <w:sz w:val="22"/>
          <w:szCs w:val="22"/>
          <w:highlight w:val="none"/>
        </w:rPr>
      </w:pPr>
    </w:p>
    <w:p w14:paraId="0F3ACFFD">
      <w:pPr>
        <w:spacing w:line="460" w:lineRule="exact"/>
        <w:rPr>
          <w:rFonts w:hint="eastAsia" w:ascii="新宋体" w:hAnsi="新宋体" w:eastAsia="新宋体" w:cs="新宋体"/>
          <w:color w:val="auto"/>
          <w:spacing w:val="20"/>
          <w:sz w:val="22"/>
          <w:szCs w:val="22"/>
          <w:highlight w:val="none"/>
        </w:rPr>
      </w:pPr>
    </w:p>
    <w:p w14:paraId="4494A9DD">
      <w:pPr>
        <w:spacing w:line="460" w:lineRule="exact"/>
        <w:rPr>
          <w:rFonts w:hint="eastAsia" w:ascii="新宋体" w:hAnsi="新宋体" w:eastAsia="新宋体" w:cs="新宋体"/>
          <w:color w:val="auto"/>
          <w:spacing w:val="20"/>
          <w:sz w:val="22"/>
          <w:szCs w:val="22"/>
          <w:highlight w:val="none"/>
        </w:rPr>
      </w:pPr>
    </w:p>
    <w:p w14:paraId="39090F80">
      <w:pPr>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b/>
          <w:color w:val="auto"/>
          <w:spacing w:val="6"/>
          <w:sz w:val="22"/>
          <w:szCs w:val="22"/>
          <w:highlight w:val="none"/>
        </w:rPr>
        <w:t>残疾人福利性单位声明函</w:t>
      </w:r>
    </w:p>
    <w:p w14:paraId="115ACC96">
      <w:pPr>
        <w:widowControl/>
        <w:adjustRightInd w:val="0"/>
        <w:snapToGrid w:val="0"/>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【不属于残疾人福利性单位的无需填写、递交】</w:t>
      </w:r>
    </w:p>
    <w:p w14:paraId="166BA69C">
      <w:pPr>
        <w:snapToGrid w:val="0"/>
        <w:spacing w:line="460" w:lineRule="exact"/>
        <w:jc w:val="center"/>
        <w:rPr>
          <w:rFonts w:hint="eastAsia" w:ascii="新宋体" w:hAnsi="新宋体" w:eastAsia="新宋体" w:cs="新宋体"/>
          <w:b/>
          <w:bCs/>
          <w:color w:val="auto"/>
          <w:sz w:val="22"/>
          <w:szCs w:val="22"/>
          <w:highlight w:val="none"/>
        </w:rPr>
      </w:pPr>
    </w:p>
    <w:p w14:paraId="596484F7">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本单位郑重声明，根据《财政部民政部中国残疾人联合会关于促进残疾人就业政府采购政策的通知》（财库</w:t>
      </w:r>
      <w:r>
        <w:rPr>
          <w:rFonts w:hint="eastAsia" w:ascii="新宋体" w:hAnsi="新宋体" w:eastAsia="新宋体" w:cs="新宋体"/>
          <w:color w:val="auto"/>
          <w:sz w:val="22"/>
          <w:szCs w:val="22"/>
          <w:highlight w:val="none"/>
        </w:rPr>
        <w:t>〔2017〕141</w:t>
      </w:r>
      <w:r>
        <w:rPr>
          <w:rFonts w:hint="eastAsia" w:ascii="新宋体" w:hAnsi="新宋体" w:eastAsia="新宋体" w:cs="新宋体"/>
          <w:color w:val="auto"/>
          <w:spacing w:val="6"/>
          <w:sz w:val="22"/>
          <w:szCs w:val="22"/>
          <w:highlight w:val="none"/>
        </w:rPr>
        <w:t>号）的规定，本单位为符合条件的残疾人福利性单位，且本单位参加</w:t>
      </w:r>
      <w:r>
        <w:rPr>
          <w:rFonts w:hint="eastAsia" w:ascii="新宋体" w:hAnsi="新宋体" w:eastAsia="新宋体" w:cs="新宋体"/>
          <w:color w:val="auto"/>
          <w:spacing w:val="6"/>
          <w:sz w:val="22"/>
          <w:szCs w:val="22"/>
          <w:highlight w:val="none"/>
          <w:u w:val="single"/>
        </w:rPr>
        <w:t>（</w:t>
      </w:r>
      <w:r>
        <w:rPr>
          <w:rFonts w:hint="eastAsia" w:ascii="新宋体" w:hAnsi="新宋体" w:eastAsia="新宋体" w:cs="新宋体"/>
          <w:color w:val="auto"/>
          <w:spacing w:val="6"/>
          <w:sz w:val="22"/>
          <w:szCs w:val="22"/>
          <w:highlight w:val="none"/>
          <w:u w:val="single"/>
          <w:lang w:eastAsia="zh-CN"/>
        </w:rPr>
        <w:t>采购人</w:t>
      </w:r>
      <w:r>
        <w:rPr>
          <w:rFonts w:hint="eastAsia" w:ascii="新宋体" w:hAnsi="新宋体" w:eastAsia="新宋体" w:cs="新宋体"/>
          <w:color w:val="auto"/>
          <w:spacing w:val="6"/>
          <w:sz w:val="22"/>
          <w:szCs w:val="22"/>
          <w:highlight w:val="none"/>
          <w:u w:val="single"/>
        </w:rPr>
        <w:t>名称）</w:t>
      </w:r>
      <w:r>
        <w:rPr>
          <w:rFonts w:hint="eastAsia" w:ascii="新宋体" w:hAnsi="新宋体" w:eastAsia="新宋体" w:cs="新宋体"/>
          <w:color w:val="auto"/>
          <w:spacing w:val="6"/>
          <w:sz w:val="22"/>
          <w:szCs w:val="22"/>
          <w:highlight w:val="none"/>
        </w:rPr>
        <w:t>单位的</w:t>
      </w:r>
      <w:r>
        <w:rPr>
          <w:rFonts w:hint="eastAsia" w:ascii="新宋体" w:hAnsi="新宋体" w:eastAsia="新宋体" w:cs="新宋体"/>
          <w:color w:val="auto"/>
          <w:spacing w:val="6"/>
          <w:sz w:val="22"/>
          <w:szCs w:val="22"/>
          <w:highlight w:val="none"/>
          <w:u w:val="single"/>
        </w:rPr>
        <w:t>（招标项目名称）</w:t>
      </w:r>
      <w:r>
        <w:rPr>
          <w:rFonts w:hint="eastAsia" w:ascii="新宋体" w:hAnsi="新宋体" w:eastAsia="新宋体" w:cs="新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45E826F7">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本单位对上述声明的真实性负责。如有虚假，将依法承担相应责任。</w:t>
      </w:r>
    </w:p>
    <w:p w14:paraId="3375A09F">
      <w:pPr>
        <w:snapToGrid w:val="0"/>
        <w:spacing w:line="460" w:lineRule="exact"/>
        <w:ind w:firstLine="464" w:firstLineChars="200"/>
        <w:rPr>
          <w:rFonts w:hint="eastAsia" w:ascii="新宋体" w:hAnsi="新宋体" w:eastAsia="新宋体" w:cs="新宋体"/>
          <w:color w:val="auto"/>
          <w:spacing w:val="6"/>
          <w:sz w:val="22"/>
          <w:szCs w:val="22"/>
          <w:highlight w:val="none"/>
        </w:rPr>
      </w:pPr>
    </w:p>
    <w:p w14:paraId="09C171D2">
      <w:pPr>
        <w:snapToGrid w:val="0"/>
        <w:spacing w:line="460" w:lineRule="exact"/>
        <w:ind w:firstLine="464" w:firstLineChars="200"/>
        <w:rPr>
          <w:rFonts w:hint="eastAsia" w:ascii="新宋体" w:hAnsi="新宋体" w:eastAsia="新宋体" w:cs="新宋体"/>
          <w:color w:val="auto"/>
          <w:spacing w:val="6"/>
          <w:sz w:val="22"/>
          <w:szCs w:val="22"/>
          <w:highlight w:val="none"/>
        </w:rPr>
      </w:pPr>
    </w:p>
    <w:p w14:paraId="4BB2912E">
      <w:pPr>
        <w:adjustRightInd w:val="0"/>
        <w:snapToGrid w:val="0"/>
        <w:spacing w:line="460" w:lineRule="exact"/>
        <w:ind w:firstLine="440" w:firstLineChars="20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投标人全称（盖章）：</w:t>
      </w:r>
      <w:r>
        <w:rPr>
          <w:rFonts w:hint="eastAsia" w:ascii="新宋体" w:hAnsi="新宋体" w:eastAsia="新宋体" w:cs="新宋体"/>
          <w:color w:val="auto"/>
          <w:kern w:val="0"/>
          <w:sz w:val="22"/>
          <w:szCs w:val="22"/>
          <w:highlight w:val="none"/>
          <w:u w:val="single"/>
        </w:rPr>
        <w:t xml:space="preserve">                    </w:t>
      </w:r>
    </w:p>
    <w:p w14:paraId="662575E1">
      <w:pPr>
        <w:pStyle w:val="2"/>
        <w:spacing w:line="460" w:lineRule="exact"/>
        <w:ind w:left="437" w:leftChars="208" w:firstLine="0" w:firstLineChars="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14:paraId="6D596610">
      <w:pPr>
        <w:pStyle w:val="2"/>
        <w:spacing w:line="460" w:lineRule="exact"/>
        <w:ind w:left="440" w:hanging="440"/>
        <w:rPr>
          <w:rFonts w:hint="eastAsia" w:ascii="新宋体" w:hAnsi="新宋体" w:eastAsia="新宋体" w:cs="新宋体"/>
          <w:color w:val="auto"/>
          <w:kern w:val="0"/>
          <w:sz w:val="22"/>
          <w:szCs w:val="22"/>
          <w:highlight w:val="none"/>
        </w:rPr>
      </w:pPr>
    </w:p>
    <w:p w14:paraId="248682DF">
      <w:pPr>
        <w:pStyle w:val="2"/>
        <w:ind w:left="440" w:hanging="440"/>
        <w:rPr>
          <w:rFonts w:hint="eastAsia" w:ascii="新宋体" w:hAnsi="新宋体" w:eastAsia="新宋体" w:cs="新宋体"/>
          <w:color w:val="auto"/>
          <w:kern w:val="0"/>
          <w:sz w:val="22"/>
          <w:szCs w:val="22"/>
          <w:highlight w:val="none"/>
        </w:rPr>
      </w:pPr>
    </w:p>
    <w:p w14:paraId="3D6729D6">
      <w:pPr>
        <w:pStyle w:val="2"/>
        <w:ind w:left="440" w:hanging="440"/>
        <w:rPr>
          <w:rFonts w:hint="eastAsia" w:ascii="新宋体" w:hAnsi="新宋体" w:eastAsia="新宋体" w:cs="新宋体"/>
          <w:color w:val="auto"/>
          <w:kern w:val="0"/>
          <w:sz w:val="22"/>
          <w:szCs w:val="22"/>
          <w:highlight w:val="none"/>
        </w:rPr>
      </w:pPr>
    </w:p>
    <w:p w14:paraId="640A96EE">
      <w:pPr>
        <w:pStyle w:val="2"/>
        <w:ind w:left="440" w:hanging="440"/>
        <w:rPr>
          <w:rFonts w:hint="eastAsia" w:ascii="新宋体" w:hAnsi="新宋体" w:eastAsia="新宋体" w:cs="新宋体"/>
          <w:color w:val="auto"/>
          <w:kern w:val="0"/>
          <w:sz w:val="22"/>
          <w:szCs w:val="22"/>
          <w:highlight w:val="none"/>
        </w:rPr>
      </w:pPr>
    </w:p>
    <w:p w14:paraId="6B5A1722">
      <w:pPr>
        <w:pStyle w:val="2"/>
        <w:ind w:left="440" w:hanging="440"/>
        <w:rPr>
          <w:rFonts w:hint="eastAsia" w:ascii="新宋体" w:hAnsi="新宋体" w:eastAsia="新宋体" w:cs="新宋体"/>
          <w:color w:val="auto"/>
          <w:kern w:val="0"/>
          <w:sz w:val="22"/>
          <w:szCs w:val="22"/>
          <w:highlight w:val="none"/>
        </w:rPr>
      </w:pPr>
    </w:p>
    <w:p w14:paraId="58083088">
      <w:pPr>
        <w:pStyle w:val="2"/>
        <w:ind w:left="440" w:hanging="440"/>
        <w:rPr>
          <w:rFonts w:hint="eastAsia" w:ascii="新宋体" w:hAnsi="新宋体" w:eastAsia="新宋体" w:cs="新宋体"/>
          <w:color w:val="auto"/>
          <w:kern w:val="0"/>
          <w:sz w:val="22"/>
          <w:szCs w:val="22"/>
          <w:highlight w:val="none"/>
        </w:rPr>
      </w:pPr>
    </w:p>
    <w:p w14:paraId="6FFC2C7F">
      <w:pPr>
        <w:pStyle w:val="2"/>
        <w:ind w:left="440" w:hanging="440"/>
        <w:rPr>
          <w:rFonts w:hint="eastAsia" w:ascii="新宋体" w:hAnsi="新宋体" w:eastAsia="新宋体" w:cs="新宋体"/>
          <w:color w:val="auto"/>
          <w:kern w:val="0"/>
          <w:sz w:val="22"/>
          <w:szCs w:val="22"/>
          <w:highlight w:val="none"/>
        </w:rPr>
      </w:pPr>
    </w:p>
    <w:p w14:paraId="0FBB4F7C">
      <w:pPr>
        <w:pStyle w:val="2"/>
        <w:ind w:left="440" w:hanging="440"/>
        <w:rPr>
          <w:rFonts w:hint="eastAsia" w:ascii="新宋体" w:hAnsi="新宋体" w:eastAsia="新宋体" w:cs="新宋体"/>
          <w:color w:val="auto"/>
          <w:kern w:val="0"/>
          <w:sz w:val="22"/>
          <w:szCs w:val="22"/>
          <w:highlight w:val="none"/>
        </w:rPr>
      </w:pPr>
    </w:p>
    <w:p w14:paraId="417C35D2">
      <w:pPr>
        <w:pStyle w:val="2"/>
        <w:ind w:left="440" w:hanging="440"/>
        <w:rPr>
          <w:rFonts w:hint="eastAsia" w:ascii="新宋体" w:hAnsi="新宋体" w:eastAsia="新宋体" w:cs="新宋体"/>
          <w:color w:val="auto"/>
          <w:kern w:val="0"/>
          <w:sz w:val="22"/>
          <w:szCs w:val="22"/>
          <w:highlight w:val="none"/>
        </w:rPr>
      </w:pPr>
    </w:p>
    <w:p w14:paraId="7C1F6802">
      <w:pPr>
        <w:rPr>
          <w:rFonts w:hint="eastAsia" w:ascii="新宋体" w:hAnsi="新宋体" w:eastAsia="新宋体" w:cs="新宋体"/>
          <w:color w:val="auto"/>
          <w:highlight w:val="none"/>
        </w:rPr>
      </w:pPr>
      <w:r>
        <w:rPr>
          <w:rFonts w:hint="eastAsia" w:ascii="新宋体" w:hAnsi="新宋体" w:eastAsia="新宋体" w:cs="新宋体"/>
          <w:color w:val="auto"/>
          <w:highlight w:val="none"/>
        </w:rPr>
        <w:br w:type="page"/>
      </w:r>
    </w:p>
    <w:p w14:paraId="4A4B9061">
      <w:pPr>
        <w:spacing w:line="460" w:lineRule="exact"/>
        <w:jc w:val="center"/>
        <w:outlineLvl w:val="4"/>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（3）监狱企业的相关证明材料</w:t>
      </w:r>
    </w:p>
    <w:p w14:paraId="76E21665">
      <w:pPr>
        <w:spacing w:line="460" w:lineRule="exact"/>
        <w:ind w:firstLine="466" w:firstLineChars="200"/>
        <w:rPr>
          <w:rFonts w:hint="eastAsia" w:ascii="新宋体" w:hAnsi="新宋体" w:eastAsia="新宋体" w:cs="新宋体"/>
          <w:b/>
          <w:bCs/>
          <w:color w:val="auto"/>
          <w:sz w:val="22"/>
          <w:szCs w:val="22"/>
          <w:highlight w:val="none"/>
          <w:u w:val="single"/>
          <w:lang w:val="zh-CN"/>
        </w:rPr>
      </w:pPr>
      <w:r>
        <w:rPr>
          <w:rFonts w:hint="eastAsia" w:ascii="新宋体" w:hAnsi="新宋体" w:eastAsia="新宋体" w:cs="新宋体"/>
          <w:b/>
          <w:color w:val="auto"/>
          <w:spacing w:val="6"/>
          <w:sz w:val="22"/>
          <w:szCs w:val="22"/>
          <w:highlight w:val="none"/>
        </w:rPr>
        <w:t>需提供相关证明材料，</w:t>
      </w:r>
      <w:r>
        <w:rPr>
          <w:rFonts w:hint="eastAsia" w:ascii="新宋体" w:hAnsi="新宋体" w:eastAsia="新宋体" w:cs="新宋体"/>
          <w:b/>
          <w:bCs/>
          <w:color w:val="auto"/>
          <w:sz w:val="22"/>
          <w:szCs w:val="22"/>
          <w:highlight w:val="none"/>
          <w:u w:val="single"/>
          <w:lang w:val="zh-CN"/>
        </w:rPr>
        <w:t>未提供证明材料或不能清楚辨析</w:t>
      </w:r>
      <w:r>
        <w:rPr>
          <w:rFonts w:hint="eastAsia" w:ascii="新宋体" w:hAnsi="新宋体" w:eastAsia="新宋体" w:cs="新宋体"/>
          <w:b/>
          <w:bCs/>
          <w:color w:val="auto"/>
          <w:sz w:val="22"/>
          <w:szCs w:val="22"/>
          <w:highlight w:val="none"/>
          <w:u w:val="single"/>
        </w:rPr>
        <w:t>是监狱企业的按非监狱企业处理，所提供的证明材料应为最新的最近的</w:t>
      </w:r>
      <w:r>
        <w:rPr>
          <w:rFonts w:hint="eastAsia" w:ascii="新宋体" w:hAnsi="新宋体" w:eastAsia="新宋体" w:cs="新宋体"/>
          <w:b/>
          <w:bCs/>
          <w:color w:val="auto"/>
          <w:sz w:val="22"/>
          <w:szCs w:val="22"/>
          <w:highlight w:val="none"/>
          <w:u w:val="single"/>
          <w:lang w:val="zh-CN"/>
        </w:rPr>
        <w:t>。</w:t>
      </w:r>
    </w:p>
    <w:p w14:paraId="7E345857">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6BAF5A5B">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3E8BDE0C">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420E708D">
      <w:pPr>
        <w:adjustRightInd w:val="0"/>
        <w:snapToGrid w:val="0"/>
        <w:spacing w:line="300" w:lineRule="auto"/>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b/>
          <w:color w:val="auto"/>
          <w:spacing w:val="6"/>
          <w:sz w:val="22"/>
          <w:szCs w:val="22"/>
          <w:highlight w:val="none"/>
        </w:rPr>
        <w:t>监狱企业声明函</w:t>
      </w:r>
    </w:p>
    <w:p w14:paraId="0D25E7B0">
      <w:pPr>
        <w:snapToGrid w:val="0"/>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【非监狱企业不用提供】</w:t>
      </w:r>
    </w:p>
    <w:p w14:paraId="2BC4FD1A">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本企业郑重声明，根据《关于政府采购支持监狱企业发展有关问题的通知》（财库[2014]68号）的规定，本企业为监狱企业。 </w:t>
      </w:r>
    </w:p>
    <w:p w14:paraId="1F6AFCBD">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根据上述标准，我企业属于监狱企业的理由为：</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 </w:t>
      </w:r>
    </w:p>
    <w:p w14:paraId="3F234E5C">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本企业为参加（招标项目名称：</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）（招标编号</w:t>
      </w:r>
      <w:r>
        <w:rPr>
          <w:rFonts w:hint="eastAsia" w:ascii="新宋体" w:hAnsi="新宋体" w:eastAsia="新宋体" w:cs="新宋体"/>
          <w:color w:val="auto"/>
          <w:spacing w:val="6"/>
          <w:sz w:val="22"/>
          <w:szCs w:val="22"/>
          <w:highlight w:val="none"/>
          <w:u w:val="none"/>
        </w:rPr>
        <w:t>：</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）采购活动并承担本工程。</w:t>
      </w:r>
    </w:p>
    <w:p w14:paraId="4F1D54FD">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本企业对上述声明的真实性负责。如有虚假，将依法承担相应责任。</w:t>
      </w:r>
    </w:p>
    <w:p w14:paraId="001ED26A">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投标人全称（盖章）：</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 xml:space="preserve">  </w:t>
      </w:r>
    </w:p>
    <w:p w14:paraId="2D9576E9">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日期：    年    月   日</w:t>
      </w:r>
    </w:p>
    <w:p w14:paraId="32732FAB">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监狱企业参加政府采购活动时，应当提供由省级以上监狱管理局、戒毒管理局（含新疆生产建设兵团）出具的属于监狱企业的证明文件。</w:t>
      </w:r>
    </w:p>
    <w:p w14:paraId="553C7E74">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D969EC1">
      <w:pPr>
        <w:spacing w:line="460" w:lineRule="exact"/>
        <w:rPr>
          <w:rFonts w:hint="eastAsia" w:ascii="新宋体" w:hAnsi="新宋体" w:eastAsia="新宋体" w:cs="新宋体"/>
          <w:color w:val="auto"/>
          <w:spacing w:val="20"/>
          <w:sz w:val="22"/>
          <w:szCs w:val="22"/>
          <w:highlight w:val="none"/>
        </w:rPr>
      </w:pPr>
    </w:p>
    <w:p w14:paraId="5E7F227F">
      <w:pPr>
        <w:pStyle w:val="2"/>
        <w:rPr>
          <w:rFonts w:hint="eastAsia" w:ascii="新宋体" w:hAnsi="新宋体" w:eastAsia="新宋体" w:cs="新宋体"/>
          <w:color w:val="auto"/>
          <w:highlight w:val="none"/>
        </w:rPr>
      </w:pPr>
    </w:p>
    <w:p w14:paraId="0365655F">
      <w:pPr>
        <w:rPr>
          <w:rFonts w:hint="eastAsia" w:ascii="新宋体" w:hAnsi="新宋体" w:eastAsia="新宋体" w:cs="新宋体"/>
          <w:color w:val="auto"/>
          <w:highlight w:val="none"/>
        </w:rPr>
      </w:pPr>
    </w:p>
    <w:p w14:paraId="56969DC2">
      <w:pPr>
        <w:rPr>
          <w:rFonts w:hint="eastAsia" w:ascii="新宋体" w:hAnsi="新宋体" w:eastAsia="新宋体" w:cs="新宋体"/>
          <w:b/>
          <w:bCs w:val="0"/>
          <w:color w:val="auto"/>
          <w:kern w:val="0"/>
          <w:sz w:val="28"/>
          <w:szCs w:val="28"/>
          <w:highlight w:val="none"/>
          <w:lang w:val="en-US" w:eastAsia="zh-CN" w:bidi="ar-SA"/>
        </w:rPr>
      </w:pPr>
    </w:p>
    <w:p w14:paraId="3778E9F8">
      <w:pPr>
        <w:rPr>
          <w:rFonts w:hint="eastAsia" w:ascii="新宋体" w:hAnsi="新宋体" w:eastAsia="新宋体" w:cs="新宋体"/>
          <w:b/>
          <w:bCs/>
          <w:color w:val="auto"/>
          <w:sz w:val="22"/>
          <w:szCs w:val="22"/>
          <w:highlight w:val="none"/>
        </w:rPr>
      </w:pPr>
    </w:p>
    <w:p w14:paraId="1E4DCA1B">
      <w:pPr>
        <w:pStyle w:val="2"/>
        <w:ind w:left="440" w:hanging="440"/>
        <w:rPr>
          <w:rFonts w:hint="eastAsia" w:ascii="新宋体" w:hAnsi="新宋体" w:eastAsia="新宋体" w:cs="新宋体"/>
          <w:color w:val="auto"/>
          <w:kern w:val="0"/>
          <w:sz w:val="22"/>
          <w:szCs w:val="22"/>
          <w:highlight w:val="none"/>
        </w:rPr>
      </w:pPr>
    </w:p>
    <w:p w14:paraId="3310F720">
      <w:pPr>
        <w:pStyle w:val="2"/>
        <w:ind w:left="440" w:hanging="440"/>
        <w:rPr>
          <w:rFonts w:hint="eastAsia" w:ascii="新宋体" w:hAnsi="新宋体" w:eastAsia="新宋体" w:cs="新宋体"/>
          <w:color w:val="auto"/>
          <w:kern w:val="0"/>
          <w:sz w:val="22"/>
          <w:szCs w:val="22"/>
          <w:highlight w:val="none"/>
        </w:rPr>
      </w:pPr>
    </w:p>
    <w:p w14:paraId="2787B953">
      <w:pPr>
        <w:pStyle w:val="2"/>
        <w:ind w:left="440" w:hanging="440"/>
        <w:rPr>
          <w:rFonts w:hint="eastAsia" w:ascii="新宋体" w:hAnsi="新宋体" w:eastAsia="新宋体" w:cs="新宋体"/>
          <w:color w:val="auto"/>
          <w:kern w:val="0"/>
          <w:sz w:val="22"/>
          <w:szCs w:val="22"/>
          <w:highlight w:val="none"/>
        </w:rPr>
      </w:pPr>
    </w:p>
    <w:p w14:paraId="2FA23315">
      <w:pPr>
        <w:pStyle w:val="2"/>
        <w:ind w:left="440" w:hanging="440"/>
        <w:rPr>
          <w:rFonts w:hint="eastAsia" w:ascii="新宋体" w:hAnsi="新宋体" w:eastAsia="新宋体" w:cs="新宋体"/>
          <w:color w:val="auto"/>
          <w:kern w:val="0"/>
          <w:sz w:val="22"/>
          <w:szCs w:val="22"/>
          <w:highlight w:val="none"/>
        </w:rPr>
      </w:pPr>
    </w:p>
    <w:p w14:paraId="700FE6BD">
      <w:pPr>
        <w:pStyle w:val="2"/>
        <w:ind w:left="440" w:hanging="440"/>
        <w:rPr>
          <w:rFonts w:hint="eastAsia" w:ascii="新宋体" w:hAnsi="新宋体" w:eastAsia="新宋体" w:cs="新宋体"/>
          <w:color w:val="auto"/>
          <w:kern w:val="0"/>
          <w:sz w:val="22"/>
          <w:szCs w:val="22"/>
          <w:highlight w:val="none"/>
        </w:rPr>
      </w:pPr>
    </w:p>
    <w:p w14:paraId="4B15F194">
      <w:pPr>
        <w:pStyle w:val="2"/>
        <w:ind w:left="440" w:hanging="440"/>
        <w:rPr>
          <w:rFonts w:hint="eastAsia" w:ascii="新宋体" w:hAnsi="新宋体" w:eastAsia="新宋体" w:cs="新宋体"/>
          <w:color w:val="auto"/>
          <w:kern w:val="0"/>
          <w:sz w:val="22"/>
          <w:szCs w:val="22"/>
          <w:highlight w:val="none"/>
        </w:rPr>
      </w:pPr>
    </w:p>
    <w:p w14:paraId="7ED8C1D0">
      <w:pPr>
        <w:pStyle w:val="2"/>
        <w:ind w:left="440" w:hanging="440"/>
        <w:rPr>
          <w:rFonts w:hint="eastAsia" w:ascii="新宋体" w:hAnsi="新宋体" w:eastAsia="新宋体" w:cs="新宋体"/>
          <w:color w:val="auto"/>
          <w:kern w:val="0"/>
          <w:sz w:val="22"/>
          <w:szCs w:val="22"/>
          <w:highlight w:val="none"/>
        </w:rPr>
      </w:pPr>
    </w:p>
    <w:p w14:paraId="52850EC7">
      <w:pPr>
        <w:rPr>
          <w:rFonts w:hint="eastAsia" w:ascii="新宋体" w:hAnsi="新宋体" w:eastAsia="新宋体" w:cs="新宋体"/>
          <w:b/>
          <w:bCs/>
          <w:color w:val="auto"/>
          <w:sz w:val="22"/>
          <w:szCs w:val="22"/>
          <w:highlight w:val="none"/>
        </w:rPr>
      </w:pPr>
    </w:p>
    <w:p w14:paraId="1419856C">
      <w:pPr>
        <w:outlineLvl w:val="1"/>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附件三</w:t>
      </w:r>
      <w:bookmarkEnd w:id="40"/>
      <w:bookmarkEnd w:id="41"/>
    </w:p>
    <w:p w14:paraId="15FDAAE6">
      <w:pPr>
        <w:spacing w:line="460" w:lineRule="exact"/>
        <w:jc w:val="center"/>
        <w:outlineLvl w:val="2"/>
        <w:rPr>
          <w:rFonts w:hint="eastAsia" w:ascii="新宋体" w:hAnsi="新宋体" w:eastAsia="新宋体" w:cs="新宋体"/>
          <w:b/>
          <w:bCs/>
          <w:color w:val="auto"/>
          <w:sz w:val="28"/>
          <w:szCs w:val="28"/>
          <w:highlight w:val="none"/>
          <w:lang w:val="zh-CN"/>
        </w:rPr>
      </w:pPr>
      <w:bookmarkStart w:id="42" w:name="_Toc29102"/>
      <w:bookmarkStart w:id="43" w:name="_Toc13639"/>
      <w:r>
        <w:rPr>
          <w:rFonts w:hint="eastAsia" w:ascii="新宋体" w:hAnsi="新宋体" w:eastAsia="新宋体" w:cs="新宋体"/>
          <w:b/>
          <w:bCs/>
          <w:color w:val="auto"/>
          <w:sz w:val="28"/>
          <w:szCs w:val="28"/>
          <w:highlight w:val="none"/>
          <w:lang w:val="zh-CN"/>
        </w:rPr>
        <w:t>商务技术文件</w:t>
      </w:r>
      <w:bookmarkEnd w:id="42"/>
      <w:bookmarkEnd w:id="43"/>
    </w:p>
    <w:p w14:paraId="4B6162AC">
      <w:pPr>
        <w:spacing w:line="420" w:lineRule="exact"/>
        <w:jc w:val="center"/>
        <w:outlineLvl w:val="3"/>
        <w:rPr>
          <w:rFonts w:hint="eastAsia" w:ascii="新宋体" w:hAnsi="新宋体" w:eastAsia="新宋体" w:cs="新宋体"/>
          <w:b/>
          <w:bCs/>
          <w:color w:val="auto"/>
          <w:sz w:val="28"/>
          <w:szCs w:val="28"/>
          <w:highlight w:val="none"/>
          <w:lang w:val="zh-CN" w:eastAsia="zh-CN"/>
        </w:rPr>
      </w:pPr>
      <w:r>
        <w:rPr>
          <w:rFonts w:hint="eastAsia" w:ascii="新宋体" w:hAnsi="新宋体" w:eastAsia="新宋体" w:cs="新宋体"/>
          <w:b/>
          <w:bCs/>
          <w:color w:val="auto"/>
          <w:sz w:val="28"/>
          <w:szCs w:val="28"/>
          <w:highlight w:val="none"/>
          <w:lang w:val="zh-CN" w:eastAsia="zh-CN"/>
        </w:rPr>
        <w:t>1、投标函</w:t>
      </w:r>
    </w:p>
    <w:p w14:paraId="4859E440">
      <w:pPr>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致：</w:t>
      </w:r>
      <w:r>
        <w:rPr>
          <w:rFonts w:hint="eastAsia" w:ascii="新宋体" w:hAnsi="新宋体" w:eastAsia="新宋体" w:cs="新宋体"/>
          <w:color w:val="auto"/>
          <w:sz w:val="22"/>
          <w:szCs w:val="22"/>
          <w:highlight w:val="none"/>
          <w:lang w:eastAsia="zh-CN"/>
        </w:rPr>
        <w:t>温州市中心血站</w:t>
      </w:r>
    </w:p>
    <w:p w14:paraId="1929F45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根据贵方为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项目（招标编号：</w:t>
      </w:r>
      <w:r>
        <w:rPr>
          <w:rFonts w:hint="eastAsia" w:ascii="新宋体" w:hAnsi="新宋体" w:eastAsia="新宋体" w:cs="新宋体"/>
          <w:b w:val="0"/>
          <w:bCs/>
          <w:color w:val="auto"/>
          <w:sz w:val="22"/>
          <w:szCs w:val="22"/>
          <w:highlight w:val="none"/>
          <w:u w:val="single"/>
        </w:rPr>
        <w:t xml:space="preserve">         </w:t>
      </w:r>
      <w:r>
        <w:rPr>
          <w:rFonts w:hint="eastAsia" w:ascii="新宋体" w:hAnsi="新宋体" w:eastAsia="新宋体" w:cs="新宋体"/>
          <w:color w:val="auto"/>
          <w:sz w:val="22"/>
          <w:szCs w:val="22"/>
          <w:highlight w:val="none"/>
        </w:rPr>
        <w:t>）的投标邀请，我方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（投标人名称）作为投标人正式授权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（授权代表全名，职务）代表我方处理有关本投标的一切事宜。为此：</w:t>
      </w:r>
    </w:p>
    <w:p w14:paraId="2788C9F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1、我方同意在投标人</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规定的开标日期起遵守本投标书中的承诺且在投标有效期满之前均具有约束力。</w:t>
      </w:r>
    </w:p>
    <w:p w14:paraId="03CEE69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2、我方承诺已经具备《中华人民共和国政府采购法》中规定的参加政府采购活动的供应商应当具备的条件：</w:t>
      </w:r>
    </w:p>
    <w:p w14:paraId="4088116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具有独立承担民事责任的能力；</w:t>
      </w:r>
    </w:p>
    <w:p w14:paraId="32E8BCB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遵守国家法律、行政法规，具有良好的信誉和商业道德；</w:t>
      </w:r>
    </w:p>
    <w:p w14:paraId="0204FAE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具有履行合同的能力和良好的履行合同记录；</w:t>
      </w:r>
    </w:p>
    <w:p w14:paraId="776B2C8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良好的资金、财务状况；</w:t>
      </w:r>
    </w:p>
    <w:p w14:paraId="2F15DB2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提供的产品和服务符合中国政府规定的相应标准和环保标准；</w:t>
      </w:r>
    </w:p>
    <w:p w14:paraId="78FE93A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没有违反政府采购法规、政策的记录；</w:t>
      </w:r>
    </w:p>
    <w:p w14:paraId="4A75F3C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7</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没有发生重大经济纠纷和走私犯罪记录。</w:t>
      </w:r>
    </w:p>
    <w:p w14:paraId="20CF124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3、提供编制和提交投标文件须知规定的全部投标文件，包括资格文件、报价文件、商务技术文件。具体内容为：</w:t>
      </w:r>
    </w:p>
    <w:p w14:paraId="4427058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资格文件</w:t>
      </w:r>
    </w:p>
    <w:p w14:paraId="0AF8AA7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报价文件；</w:t>
      </w:r>
    </w:p>
    <w:p w14:paraId="58F21B0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zh-CN"/>
        </w:rPr>
        <w:t>商务技术文件</w:t>
      </w:r>
      <w:r>
        <w:rPr>
          <w:rFonts w:hint="eastAsia" w:ascii="新宋体" w:hAnsi="新宋体" w:eastAsia="新宋体" w:cs="新宋体"/>
          <w:color w:val="auto"/>
          <w:sz w:val="22"/>
          <w:szCs w:val="22"/>
          <w:highlight w:val="none"/>
        </w:rPr>
        <w:t>；</w:t>
      </w:r>
    </w:p>
    <w:p w14:paraId="56670E2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编制和提交投标文件须知要求投标人提交的全部文件；</w:t>
      </w:r>
    </w:p>
    <w:p w14:paraId="7BF23C8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按</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要求提供和交付的货物和服务的投标报价详见开标一览表；</w:t>
      </w:r>
    </w:p>
    <w:p w14:paraId="2499CBA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保证忠实地执行双方所签订的合同，并承担合同规定的责任和义务；</w:t>
      </w:r>
    </w:p>
    <w:p w14:paraId="3C19CA6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7</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保证遵守</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中的其他有关规定。</w:t>
      </w:r>
    </w:p>
    <w:p w14:paraId="6E84FCD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4、投标有效期内不撤销投标文件，如中标，有效期将延至合同终止日为止。</w:t>
      </w:r>
    </w:p>
    <w:p w14:paraId="57C2AF5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5、我方完全理解贵方不一定要接受最低价的投标。</w:t>
      </w:r>
    </w:p>
    <w:p w14:paraId="125E6B4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6、如中标，按</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规定与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签订合同。如拒绝签订合同，承诺按本项目预算金额的2%对</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进行赔偿；赔偿金额不足以弥补</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损失的，承诺继续承担超过部分的损失。</w:t>
      </w:r>
    </w:p>
    <w:p w14:paraId="248F6C3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7、如中标，按</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规定的招标代理服务费标准，在领取中标通知书时向</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支付招标代理服务费。</w:t>
      </w:r>
    </w:p>
    <w:p w14:paraId="42F127C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8、我方愿意向贵方提供任何与该项投标有关的数据、情况和服务资料。若贵方需要，我方愿意提供我方作出的一切承诺的证明材料。</w:t>
      </w:r>
    </w:p>
    <w:p w14:paraId="281E044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9、我方已详细审核全部</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，包括</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修改书（如有的话）、参考资料及有关附件，确认无误。我方完全理解并接受</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的各项规定和要求，对</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的合理性、合法性不再有异议。</w:t>
      </w:r>
    </w:p>
    <w:p w14:paraId="243EFD5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175729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提供虚假材料谋取中标、成交的；</w:t>
      </w:r>
    </w:p>
    <w:p w14:paraId="167C72A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采取不正当手段诋毁、排挤其他供应商的；</w:t>
      </w:r>
    </w:p>
    <w:p w14:paraId="7C67AD6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、其它供应商或者</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恶意串通的；</w:t>
      </w:r>
    </w:p>
    <w:p w14:paraId="2F6135D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行贿或者提供其他不正当利益的；</w:t>
      </w:r>
    </w:p>
    <w:p w14:paraId="40F70A6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在招标采购过程中与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进行协商谈判的；</w:t>
      </w:r>
    </w:p>
    <w:p w14:paraId="3EE0618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拒绝有关部门监督检查或提供虚假情况的。</w:t>
      </w:r>
    </w:p>
    <w:p w14:paraId="6F05210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供应商有前款第</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至</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项情形之一的，中标、成交无效。</w:t>
      </w:r>
    </w:p>
    <w:p w14:paraId="7DBDDE15">
      <w:pPr>
        <w:spacing w:line="460" w:lineRule="exact"/>
        <w:ind w:firstLine="440" w:firstLineChars="200"/>
        <w:rPr>
          <w:rFonts w:hint="eastAsia" w:ascii="新宋体" w:hAnsi="新宋体" w:eastAsia="新宋体" w:cs="新宋体"/>
          <w:color w:val="auto"/>
          <w:kern w:val="0"/>
          <w:sz w:val="22"/>
          <w:szCs w:val="22"/>
          <w:highlight w:val="none"/>
          <w:lang w:val="zh-CN"/>
        </w:rPr>
      </w:pPr>
    </w:p>
    <w:p w14:paraId="6E817013">
      <w:pPr>
        <w:spacing w:line="460" w:lineRule="exact"/>
        <w:ind w:firstLine="440" w:firstLineChars="20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lang w:val="zh-CN"/>
        </w:rPr>
        <w:t>法定（授权）代表人（签字）：</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u w:val="single"/>
          <w:lang w:val="en-US" w:eastAsia="zh-CN"/>
        </w:rPr>
        <w:t xml:space="preserve">      </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u w:val="single"/>
        </w:rPr>
        <w:tab/>
      </w:r>
    </w:p>
    <w:p w14:paraId="7B6FD99A">
      <w:pPr>
        <w:spacing w:line="460" w:lineRule="exact"/>
        <w:ind w:firstLine="440" w:firstLineChars="200"/>
        <w:rPr>
          <w:rFonts w:hint="eastAsia" w:ascii="新宋体" w:hAnsi="新宋体" w:eastAsia="新宋体" w:cs="新宋体"/>
          <w:color w:val="auto"/>
          <w:kern w:val="0"/>
          <w:sz w:val="22"/>
          <w:szCs w:val="22"/>
          <w:highlight w:val="none"/>
          <w:u w:val="single"/>
          <w:lang w:val="en-US" w:eastAsia="zh-CN"/>
        </w:rPr>
      </w:pPr>
      <w:r>
        <w:rPr>
          <w:rFonts w:hint="eastAsia" w:ascii="新宋体" w:hAnsi="新宋体" w:eastAsia="新宋体" w:cs="新宋体"/>
          <w:color w:val="auto"/>
          <w:kern w:val="0"/>
          <w:sz w:val="22"/>
          <w:szCs w:val="22"/>
          <w:highlight w:val="none"/>
          <w:lang w:val="zh-CN"/>
        </w:rPr>
        <w:t>投标人盖 章：</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u w:val="single"/>
        </w:rPr>
        <w:tab/>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u w:val="single"/>
          <w:lang w:val="en-US" w:eastAsia="zh-CN"/>
        </w:rPr>
        <w:t xml:space="preserve"> </w:t>
      </w:r>
    </w:p>
    <w:p w14:paraId="4B850FBE">
      <w:pPr>
        <w:spacing w:line="460" w:lineRule="exact"/>
        <w:ind w:firstLine="440" w:firstLineChars="200"/>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zh-CN"/>
        </w:rPr>
        <w:t xml:space="preserve">联系电话： </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u w:val="single"/>
          <w:lang w:val="en-US" w:eastAsia="zh-CN"/>
        </w:rPr>
        <w:t xml:space="preserve">          </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lang w:val="zh-CN"/>
        </w:rPr>
        <w:t>电子邮件：</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u w:val="single"/>
          <w:lang w:val="en-US" w:eastAsia="zh-CN"/>
        </w:rPr>
        <w:t xml:space="preserve">   </w:t>
      </w:r>
    </w:p>
    <w:p w14:paraId="2DBA7883">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联系地址：</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u w:val="single"/>
        </w:rPr>
        <w:tab/>
      </w:r>
      <w:r>
        <w:rPr>
          <w:rFonts w:hint="eastAsia" w:ascii="新宋体" w:hAnsi="新宋体" w:eastAsia="新宋体" w:cs="新宋体"/>
          <w:color w:val="auto"/>
          <w:kern w:val="0"/>
          <w:sz w:val="22"/>
          <w:szCs w:val="22"/>
          <w:highlight w:val="none"/>
          <w:u w:val="single"/>
          <w:lang w:val="zh-CN"/>
        </w:rPr>
        <w:t xml:space="preserve">                              </w:t>
      </w:r>
    </w:p>
    <w:p w14:paraId="5F630B3A">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邮政编码：</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lang w:val="zh-CN"/>
        </w:rPr>
        <w:t>传真号码：</w:t>
      </w:r>
      <w:r>
        <w:rPr>
          <w:rFonts w:hint="eastAsia" w:ascii="新宋体" w:hAnsi="新宋体" w:eastAsia="新宋体" w:cs="新宋体"/>
          <w:color w:val="auto"/>
          <w:kern w:val="0"/>
          <w:sz w:val="22"/>
          <w:szCs w:val="22"/>
          <w:highlight w:val="none"/>
          <w:u w:val="single"/>
          <w:lang w:val="zh-CN"/>
        </w:rPr>
        <w:t xml:space="preserve">                    </w:t>
      </w:r>
    </w:p>
    <w:p w14:paraId="2FC1D17D">
      <w:pPr>
        <w:spacing w:line="460" w:lineRule="exact"/>
        <w:ind w:firstLine="440" w:firstLineChars="20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lang w:val="zh-CN"/>
        </w:rPr>
        <w:t>日</w:t>
      </w: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lang w:val="zh-CN"/>
        </w:rPr>
        <w:t>期</w:t>
      </w: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lang w:val="zh-CN"/>
        </w:rPr>
        <w:t>年</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single"/>
        </w:rPr>
        <w:tab/>
      </w:r>
      <w:r>
        <w:rPr>
          <w:rFonts w:hint="eastAsia" w:ascii="新宋体" w:hAnsi="新宋体" w:eastAsia="新宋体" w:cs="新宋体"/>
          <w:color w:val="auto"/>
          <w:kern w:val="0"/>
          <w:sz w:val="22"/>
          <w:szCs w:val="22"/>
          <w:highlight w:val="none"/>
          <w:lang w:val="zh-CN"/>
        </w:rPr>
        <w:t>月</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lang w:val="zh-CN"/>
        </w:rPr>
        <w:t>日</w:t>
      </w:r>
    </w:p>
    <w:p w14:paraId="7AF0BB69">
      <w:pPr>
        <w:spacing w:line="44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lang w:val="zh-CN"/>
        </w:rPr>
        <w:t>注：未按照本投标响应函要求填报的将被视为非实质性响应，从而可能导致该投标文件被拒绝。</w:t>
      </w:r>
    </w:p>
    <w:p w14:paraId="74B208A3">
      <w:pPr>
        <w:pStyle w:val="2"/>
        <w:ind w:left="442" w:hanging="442"/>
        <w:rPr>
          <w:rFonts w:hint="eastAsia" w:ascii="新宋体" w:hAnsi="新宋体" w:eastAsia="新宋体" w:cs="新宋体"/>
          <w:b/>
          <w:bCs/>
          <w:color w:val="auto"/>
          <w:sz w:val="22"/>
          <w:szCs w:val="22"/>
          <w:highlight w:val="none"/>
        </w:rPr>
      </w:pPr>
    </w:p>
    <w:p w14:paraId="25FCE91A">
      <w:pPr>
        <w:pStyle w:val="2"/>
        <w:ind w:left="442" w:hanging="442"/>
        <w:rPr>
          <w:rFonts w:hint="eastAsia" w:ascii="新宋体" w:hAnsi="新宋体" w:eastAsia="新宋体" w:cs="新宋体"/>
          <w:b/>
          <w:bCs/>
          <w:color w:val="auto"/>
          <w:sz w:val="22"/>
          <w:szCs w:val="22"/>
          <w:highlight w:val="none"/>
        </w:rPr>
      </w:pPr>
    </w:p>
    <w:p w14:paraId="5B6D94F9">
      <w:pPr>
        <w:pStyle w:val="2"/>
        <w:ind w:left="442" w:hanging="442"/>
        <w:rPr>
          <w:rFonts w:hint="eastAsia" w:ascii="新宋体" w:hAnsi="新宋体" w:eastAsia="新宋体" w:cs="新宋体"/>
          <w:b/>
          <w:bCs/>
          <w:color w:val="auto"/>
          <w:sz w:val="22"/>
          <w:szCs w:val="22"/>
          <w:highlight w:val="none"/>
        </w:rPr>
      </w:pPr>
    </w:p>
    <w:p w14:paraId="4B8E0325">
      <w:pPr>
        <w:pStyle w:val="2"/>
        <w:ind w:left="442" w:hanging="442"/>
        <w:rPr>
          <w:rFonts w:hint="eastAsia" w:ascii="新宋体" w:hAnsi="新宋体" w:eastAsia="新宋体" w:cs="新宋体"/>
          <w:b/>
          <w:bCs/>
          <w:color w:val="auto"/>
          <w:sz w:val="22"/>
          <w:szCs w:val="22"/>
          <w:highlight w:val="none"/>
        </w:rPr>
      </w:pPr>
    </w:p>
    <w:p w14:paraId="20FD2EBD">
      <w:pPr>
        <w:pStyle w:val="2"/>
        <w:ind w:left="442" w:hanging="442"/>
        <w:rPr>
          <w:rFonts w:hint="eastAsia" w:ascii="新宋体" w:hAnsi="新宋体" w:eastAsia="新宋体" w:cs="新宋体"/>
          <w:b/>
          <w:bCs/>
          <w:color w:val="auto"/>
          <w:sz w:val="22"/>
          <w:szCs w:val="22"/>
          <w:highlight w:val="none"/>
        </w:rPr>
      </w:pPr>
    </w:p>
    <w:p w14:paraId="1F531C07">
      <w:pPr>
        <w:pStyle w:val="2"/>
        <w:ind w:left="442" w:hanging="442"/>
        <w:rPr>
          <w:rFonts w:hint="eastAsia" w:ascii="新宋体" w:hAnsi="新宋体" w:eastAsia="新宋体" w:cs="新宋体"/>
          <w:b/>
          <w:bCs/>
          <w:color w:val="auto"/>
          <w:sz w:val="22"/>
          <w:szCs w:val="22"/>
          <w:highlight w:val="none"/>
        </w:rPr>
      </w:pPr>
    </w:p>
    <w:p w14:paraId="1786D7D1">
      <w:pPr>
        <w:spacing w:line="400" w:lineRule="exact"/>
        <w:jc w:val="center"/>
        <w:rPr>
          <w:rFonts w:hint="eastAsia" w:ascii="新宋体" w:hAnsi="新宋体" w:eastAsia="新宋体" w:cs="新宋体"/>
          <w:b/>
          <w:bCs/>
          <w:color w:val="auto"/>
          <w:sz w:val="28"/>
          <w:szCs w:val="28"/>
          <w:highlight w:val="none"/>
        </w:rPr>
      </w:pPr>
    </w:p>
    <w:p w14:paraId="10C333B3">
      <w:pPr>
        <w:spacing w:line="42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2、法定代表人授权书</w:t>
      </w:r>
    </w:p>
    <w:p w14:paraId="364BCC1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温州市中心血站</w:t>
      </w:r>
      <w:r>
        <w:rPr>
          <w:rFonts w:hint="eastAsia" w:ascii="新宋体" w:hAnsi="新宋体" w:eastAsia="新宋体" w:cs="新宋体"/>
          <w:color w:val="auto"/>
          <w:sz w:val="22"/>
          <w:szCs w:val="22"/>
          <w:highlight w:val="none"/>
        </w:rPr>
        <w:t>：</w:t>
      </w:r>
    </w:p>
    <w:p w14:paraId="5F5D4FBB">
      <w:pPr>
        <w:spacing w:line="460" w:lineRule="exact"/>
        <w:rPr>
          <w:rFonts w:hint="eastAsia" w:ascii="新宋体" w:hAnsi="新宋体" w:eastAsia="新宋体" w:cs="新宋体"/>
          <w:color w:val="auto"/>
          <w:sz w:val="22"/>
          <w:szCs w:val="22"/>
          <w:highlight w:val="none"/>
          <w:u w:val="single"/>
        </w:rPr>
      </w:pPr>
    </w:p>
    <w:p w14:paraId="70211F9E">
      <w:pPr>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（投标人全称）法定代表人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（全权代表姓名）为全权代表，参加贵处组织的（项目名称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）的招标活动，全权代表我方处理招标活动中的一切事宜。</w:t>
      </w:r>
    </w:p>
    <w:p w14:paraId="1308E063">
      <w:pPr>
        <w:spacing w:line="460" w:lineRule="exact"/>
        <w:ind w:firstLine="2955"/>
        <w:rPr>
          <w:rFonts w:hint="eastAsia" w:ascii="新宋体" w:hAnsi="新宋体" w:eastAsia="新宋体" w:cs="新宋体"/>
          <w:color w:val="auto"/>
          <w:sz w:val="22"/>
          <w:szCs w:val="22"/>
          <w:highlight w:val="none"/>
        </w:rPr>
      </w:pPr>
    </w:p>
    <w:p w14:paraId="6A90086B">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7581EE2F">
      <w:pPr>
        <w:spacing w:line="460" w:lineRule="exact"/>
        <w:ind w:firstLine="4081" w:firstLineChars="18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签字或盖章</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t>
      </w:r>
    </w:p>
    <w:p w14:paraId="16E4BFA5">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投标人全称（公章）：</w:t>
      </w:r>
    </w:p>
    <w:p w14:paraId="0F3AAA09">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日   期：  </w:t>
      </w:r>
    </w:p>
    <w:p w14:paraId="7A50D07E">
      <w:pPr>
        <w:spacing w:line="380" w:lineRule="exact"/>
        <w:rPr>
          <w:rFonts w:hint="eastAsia" w:ascii="新宋体" w:hAnsi="新宋体" w:eastAsia="新宋体" w:cs="新宋体"/>
          <w:color w:val="auto"/>
          <w:sz w:val="22"/>
          <w:szCs w:val="22"/>
          <w:highlight w:val="none"/>
        </w:rPr>
      </w:pPr>
    </w:p>
    <w:p w14:paraId="6789E095">
      <w:pPr>
        <w:spacing w:line="380" w:lineRule="exact"/>
        <w:rPr>
          <w:rFonts w:hint="eastAsia" w:ascii="新宋体" w:hAnsi="新宋体" w:eastAsia="新宋体" w:cs="新宋体"/>
          <w:color w:val="auto"/>
          <w:sz w:val="22"/>
          <w:szCs w:val="22"/>
          <w:highlight w:val="none"/>
        </w:rPr>
      </w:pPr>
    </w:p>
    <w:p w14:paraId="3AC8F619">
      <w:pPr>
        <w:spacing w:line="380" w:lineRule="exact"/>
        <w:rPr>
          <w:rFonts w:hint="eastAsia" w:ascii="新宋体" w:hAnsi="新宋体" w:eastAsia="新宋体" w:cs="新宋体"/>
          <w:color w:val="auto"/>
          <w:sz w:val="22"/>
          <w:szCs w:val="22"/>
          <w:highlight w:val="none"/>
        </w:rPr>
      </w:pPr>
    </w:p>
    <w:p w14:paraId="221255C8">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附：</w:t>
      </w:r>
    </w:p>
    <w:p w14:paraId="4C0256EC">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 xml:space="preserve">授权代表姓名：                               </w:t>
      </w:r>
    </w:p>
    <w:p w14:paraId="5C4F249C">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职务：</w:t>
      </w:r>
    </w:p>
    <w:p w14:paraId="7DC691AB">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详细通讯地址：</w:t>
      </w:r>
    </w:p>
    <w:p w14:paraId="201CB20D">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电话：</w:t>
      </w:r>
    </w:p>
    <w:p w14:paraId="4D92C565">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传真：</w:t>
      </w:r>
    </w:p>
    <w:p w14:paraId="492B4345">
      <w:pPr>
        <w:spacing w:line="460" w:lineRule="exact"/>
        <w:ind w:firstLine="539" w:firstLineChars="245"/>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color w:val="auto"/>
          <w:sz w:val="22"/>
          <w:szCs w:val="22"/>
          <w:highlight w:val="none"/>
        </w:rPr>
        <w:t>邮政编码</w:t>
      </w:r>
      <w:r>
        <w:rPr>
          <w:rFonts w:hint="eastAsia" w:ascii="新宋体" w:hAnsi="新宋体" w:eastAsia="新宋体" w:cs="新宋体"/>
          <w:color w:val="auto"/>
          <w:sz w:val="22"/>
          <w:szCs w:val="22"/>
          <w:highlight w:val="none"/>
          <w:lang w:eastAsia="zh-CN"/>
        </w:rPr>
        <w:t>：</w:t>
      </w:r>
    </w:p>
    <w:p w14:paraId="7711E1AF">
      <w:pPr>
        <w:spacing w:line="380" w:lineRule="exact"/>
        <w:rPr>
          <w:rFonts w:hint="eastAsia" w:ascii="新宋体" w:hAnsi="新宋体" w:eastAsia="新宋体" w:cs="新宋体"/>
          <w:color w:val="auto"/>
          <w:sz w:val="22"/>
          <w:szCs w:val="22"/>
          <w:highlight w:val="none"/>
        </w:rPr>
      </w:pPr>
    </w:p>
    <w:p w14:paraId="2161FC15">
      <w:pPr>
        <w:spacing w:line="460" w:lineRule="exact"/>
        <w:jc w:val="center"/>
        <w:rPr>
          <w:rFonts w:hint="eastAsia" w:ascii="新宋体" w:hAnsi="新宋体" w:eastAsia="新宋体" w:cs="新宋体"/>
          <w:b/>
          <w:bCs/>
          <w:color w:val="auto"/>
          <w:sz w:val="28"/>
          <w:szCs w:val="28"/>
          <w:highlight w:val="none"/>
        </w:rPr>
      </w:pPr>
    </w:p>
    <w:p w14:paraId="128AFE61">
      <w:pPr>
        <w:spacing w:line="460" w:lineRule="exact"/>
        <w:jc w:val="center"/>
        <w:rPr>
          <w:rFonts w:hint="eastAsia" w:ascii="新宋体" w:hAnsi="新宋体" w:eastAsia="新宋体" w:cs="新宋体"/>
          <w:b/>
          <w:bCs/>
          <w:color w:val="auto"/>
          <w:sz w:val="28"/>
          <w:szCs w:val="28"/>
          <w:highlight w:val="none"/>
        </w:rPr>
      </w:pPr>
    </w:p>
    <w:p w14:paraId="796CBC4B">
      <w:pPr>
        <w:spacing w:line="460" w:lineRule="exact"/>
        <w:jc w:val="center"/>
        <w:rPr>
          <w:rFonts w:hint="eastAsia" w:ascii="新宋体" w:hAnsi="新宋体" w:eastAsia="新宋体" w:cs="新宋体"/>
          <w:b/>
          <w:bCs/>
          <w:color w:val="auto"/>
          <w:sz w:val="28"/>
          <w:szCs w:val="28"/>
          <w:highlight w:val="none"/>
        </w:rPr>
      </w:pPr>
    </w:p>
    <w:p w14:paraId="1B324F1D">
      <w:pPr>
        <w:spacing w:line="460" w:lineRule="exact"/>
        <w:jc w:val="center"/>
        <w:rPr>
          <w:rFonts w:hint="eastAsia" w:ascii="新宋体" w:hAnsi="新宋体" w:eastAsia="新宋体" w:cs="新宋体"/>
          <w:b/>
          <w:bCs/>
          <w:color w:val="auto"/>
          <w:sz w:val="28"/>
          <w:szCs w:val="28"/>
          <w:highlight w:val="none"/>
        </w:rPr>
      </w:pPr>
    </w:p>
    <w:p w14:paraId="58787A83">
      <w:pPr>
        <w:spacing w:line="460" w:lineRule="exact"/>
        <w:jc w:val="center"/>
        <w:rPr>
          <w:rFonts w:hint="eastAsia" w:ascii="新宋体" w:hAnsi="新宋体" w:eastAsia="新宋体" w:cs="新宋体"/>
          <w:b/>
          <w:bCs/>
          <w:color w:val="auto"/>
          <w:sz w:val="28"/>
          <w:szCs w:val="28"/>
          <w:highlight w:val="none"/>
        </w:rPr>
      </w:pPr>
    </w:p>
    <w:p w14:paraId="30E51F40">
      <w:pPr>
        <w:spacing w:line="460" w:lineRule="exact"/>
        <w:jc w:val="center"/>
        <w:rPr>
          <w:rFonts w:hint="eastAsia" w:ascii="新宋体" w:hAnsi="新宋体" w:eastAsia="新宋体" w:cs="新宋体"/>
          <w:b/>
          <w:bCs/>
          <w:color w:val="auto"/>
          <w:sz w:val="28"/>
          <w:szCs w:val="28"/>
          <w:highlight w:val="none"/>
        </w:rPr>
      </w:pPr>
    </w:p>
    <w:p w14:paraId="1FE8E47B">
      <w:pPr>
        <w:spacing w:line="460" w:lineRule="exact"/>
        <w:jc w:val="center"/>
        <w:rPr>
          <w:rFonts w:hint="eastAsia" w:ascii="新宋体" w:hAnsi="新宋体" w:eastAsia="新宋体" w:cs="新宋体"/>
          <w:b/>
          <w:bCs/>
          <w:color w:val="auto"/>
          <w:sz w:val="28"/>
          <w:szCs w:val="28"/>
          <w:highlight w:val="none"/>
        </w:rPr>
      </w:pPr>
    </w:p>
    <w:p w14:paraId="61E2EAE5">
      <w:pPr>
        <w:spacing w:line="460" w:lineRule="exact"/>
        <w:jc w:val="center"/>
        <w:rPr>
          <w:rFonts w:hint="eastAsia" w:ascii="新宋体" w:hAnsi="新宋体" w:eastAsia="新宋体" w:cs="新宋体"/>
          <w:b/>
          <w:bCs/>
          <w:color w:val="auto"/>
          <w:sz w:val="28"/>
          <w:szCs w:val="28"/>
          <w:highlight w:val="none"/>
        </w:rPr>
      </w:pPr>
    </w:p>
    <w:p w14:paraId="40D2E92D">
      <w:pPr>
        <w:spacing w:line="460" w:lineRule="exact"/>
        <w:jc w:val="center"/>
        <w:rPr>
          <w:rFonts w:hint="eastAsia" w:ascii="新宋体" w:hAnsi="新宋体" w:eastAsia="新宋体" w:cs="新宋体"/>
          <w:b/>
          <w:bCs/>
          <w:color w:val="auto"/>
          <w:sz w:val="28"/>
          <w:szCs w:val="28"/>
          <w:highlight w:val="none"/>
        </w:rPr>
      </w:pPr>
    </w:p>
    <w:p w14:paraId="4243D01B">
      <w:pPr>
        <w:spacing w:line="460" w:lineRule="exact"/>
        <w:jc w:val="center"/>
        <w:rPr>
          <w:rFonts w:hint="eastAsia" w:ascii="新宋体" w:hAnsi="新宋体" w:eastAsia="新宋体" w:cs="新宋体"/>
          <w:b/>
          <w:bCs/>
          <w:color w:val="auto"/>
          <w:sz w:val="28"/>
          <w:szCs w:val="28"/>
          <w:highlight w:val="none"/>
        </w:rPr>
      </w:pPr>
    </w:p>
    <w:p w14:paraId="05FACFDE">
      <w:pPr>
        <w:pStyle w:val="2"/>
        <w:ind w:left="0" w:leftChars="0" w:firstLine="0" w:firstLineChars="0"/>
        <w:rPr>
          <w:rFonts w:hint="eastAsia" w:ascii="新宋体" w:hAnsi="新宋体" w:eastAsia="新宋体" w:cs="新宋体"/>
          <w:b/>
          <w:bCs/>
          <w:color w:val="auto"/>
          <w:sz w:val="28"/>
          <w:szCs w:val="28"/>
          <w:highlight w:val="none"/>
        </w:rPr>
      </w:pPr>
    </w:p>
    <w:p w14:paraId="1136F8E7">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6"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FF68925">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wjaNgAAAAKAQAADwAAAAAAAAABACAAAAAiAAAAZHJzL2Rv&#10;d25yZXYueG1sUEsBAhQAFAAAAAgAh07iQCalZX0BAgAARAQAAA4AAAAAAAAAAQAgAAAAJwEAAGRy&#10;cy9lMm9Eb2MueG1sUEsFBgAAAAAGAAYAWQEAAJoFAAAAAA==&#10;">
                <v:fill on="t" focussize="0,0"/>
                <v:stroke color="#000000" joinstyle="miter"/>
                <v:imagedata o:title=""/>
                <o:lock v:ext="edit" aspectratio="f"/>
                <v:textbox>
                  <w:txbxContent>
                    <w:p w14:paraId="7FF68925">
                      <w:r>
                        <w:rPr>
                          <w:rFonts w:hint="eastAsia" w:ascii="新宋体" w:hAnsi="新宋体" w:eastAsia="新宋体"/>
                          <w:sz w:val="22"/>
                          <w:szCs w:val="22"/>
                        </w:rPr>
                        <w:t xml:space="preserve">  法定代表人身份证（正反面）：</w:t>
                      </w:r>
                    </w:p>
                  </w:txbxContent>
                </v:textbox>
              </v:shape>
            </w:pict>
          </mc:Fallback>
        </mc:AlternateContent>
      </w:r>
    </w:p>
    <w:p w14:paraId="00EFD7E4">
      <w:pPr>
        <w:spacing w:line="460" w:lineRule="exact"/>
        <w:jc w:val="center"/>
        <w:rPr>
          <w:rFonts w:hint="eastAsia" w:ascii="新宋体" w:hAnsi="新宋体" w:eastAsia="新宋体" w:cs="新宋体"/>
          <w:b/>
          <w:bCs/>
          <w:color w:val="auto"/>
          <w:sz w:val="28"/>
          <w:szCs w:val="28"/>
          <w:highlight w:val="none"/>
        </w:rPr>
      </w:pPr>
    </w:p>
    <w:p w14:paraId="07B7C049">
      <w:pPr>
        <w:spacing w:line="460" w:lineRule="exact"/>
        <w:jc w:val="center"/>
        <w:rPr>
          <w:rFonts w:hint="eastAsia" w:ascii="新宋体" w:hAnsi="新宋体" w:eastAsia="新宋体" w:cs="新宋体"/>
          <w:b/>
          <w:bCs/>
          <w:color w:val="auto"/>
          <w:sz w:val="28"/>
          <w:szCs w:val="28"/>
          <w:highlight w:val="none"/>
        </w:rPr>
      </w:pPr>
    </w:p>
    <w:p w14:paraId="49FFB69B">
      <w:pPr>
        <w:spacing w:line="460" w:lineRule="exact"/>
        <w:jc w:val="center"/>
        <w:rPr>
          <w:rFonts w:hint="eastAsia" w:ascii="新宋体" w:hAnsi="新宋体" w:eastAsia="新宋体" w:cs="新宋体"/>
          <w:b/>
          <w:bCs/>
          <w:color w:val="auto"/>
          <w:sz w:val="28"/>
          <w:szCs w:val="28"/>
          <w:highlight w:val="none"/>
        </w:rPr>
      </w:pPr>
    </w:p>
    <w:p w14:paraId="3D3B9E38">
      <w:pPr>
        <w:spacing w:line="460" w:lineRule="exact"/>
        <w:jc w:val="center"/>
        <w:rPr>
          <w:rFonts w:hint="eastAsia" w:ascii="新宋体" w:hAnsi="新宋体" w:eastAsia="新宋体" w:cs="新宋体"/>
          <w:b/>
          <w:bCs/>
          <w:color w:val="auto"/>
          <w:sz w:val="28"/>
          <w:szCs w:val="28"/>
          <w:highlight w:val="none"/>
        </w:rPr>
      </w:pPr>
    </w:p>
    <w:p w14:paraId="11C38082">
      <w:pPr>
        <w:spacing w:line="460" w:lineRule="exact"/>
        <w:jc w:val="center"/>
        <w:rPr>
          <w:rFonts w:hint="eastAsia" w:ascii="新宋体" w:hAnsi="新宋体" w:eastAsia="新宋体" w:cs="新宋体"/>
          <w:b/>
          <w:bCs/>
          <w:color w:val="auto"/>
          <w:sz w:val="28"/>
          <w:szCs w:val="28"/>
          <w:highlight w:val="none"/>
        </w:rPr>
      </w:pPr>
    </w:p>
    <w:p w14:paraId="1905B22F">
      <w:pPr>
        <w:spacing w:line="460" w:lineRule="exact"/>
        <w:jc w:val="center"/>
        <w:rPr>
          <w:rFonts w:hint="eastAsia" w:ascii="新宋体" w:hAnsi="新宋体" w:eastAsia="新宋体" w:cs="新宋体"/>
          <w:b/>
          <w:bCs/>
          <w:color w:val="auto"/>
          <w:sz w:val="28"/>
          <w:szCs w:val="28"/>
          <w:highlight w:val="none"/>
        </w:rPr>
      </w:pPr>
    </w:p>
    <w:p w14:paraId="0EE4E3C1">
      <w:pPr>
        <w:spacing w:line="460" w:lineRule="exact"/>
        <w:jc w:val="center"/>
        <w:rPr>
          <w:rFonts w:hint="eastAsia" w:ascii="新宋体" w:hAnsi="新宋体" w:eastAsia="新宋体" w:cs="新宋体"/>
          <w:b/>
          <w:bCs/>
          <w:color w:val="auto"/>
          <w:sz w:val="28"/>
          <w:szCs w:val="28"/>
          <w:highlight w:val="none"/>
        </w:rPr>
      </w:pPr>
    </w:p>
    <w:p w14:paraId="3929E9E5">
      <w:pPr>
        <w:spacing w:line="460" w:lineRule="exact"/>
        <w:jc w:val="center"/>
        <w:rPr>
          <w:rFonts w:hint="eastAsia" w:ascii="新宋体" w:hAnsi="新宋体" w:eastAsia="新宋体" w:cs="新宋体"/>
          <w:b/>
          <w:bCs/>
          <w:color w:val="auto"/>
          <w:sz w:val="28"/>
          <w:szCs w:val="28"/>
          <w:highlight w:val="none"/>
        </w:rPr>
      </w:pPr>
    </w:p>
    <w:p w14:paraId="63F01B83">
      <w:pPr>
        <w:spacing w:line="460" w:lineRule="exact"/>
        <w:jc w:val="center"/>
        <w:rPr>
          <w:rFonts w:hint="eastAsia" w:ascii="新宋体" w:hAnsi="新宋体" w:eastAsia="新宋体" w:cs="新宋体"/>
          <w:b/>
          <w:bCs/>
          <w:color w:val="auto"/>
          <w:sz w:val="28"/>
          <w:szCs w:val="28"/>
          <w:highlight w:val="none"/>
        </w:rPr>
      </w:pPr>
    </w:p>
    <w:p w14:paraId="5A9187DC">
      <w:pPr>
        <w:spacing w:line="460" w:lineRule="exact"/>
        <w:jc w:val="center"/>
        <w:rPr>
          <w:rFonts w:hint="eastAsia" w:ascii="新宋体" w:hAnsi="新宋体" w:eastAsia="新宋体" w:cs="新宋体"/>
          <w:b/>
          <w:bCs/>
          <w:color w:val="auto"/>
          <w:sz w:val="28"/>
          <w:szCs w:val="28"/>
          <w:highlight w:val="none"/>
        </w:rPr>
      </w:pPr>
    </w:p>
    <w:p w14:paraId="5418DC3A">
      <w:pPr>
        <w:spacing w:line="460" w:lineRule="exact"/>
        <w:jc w:val="center"/>
        <w:rPr>
          <w:rFonts w:hint="eastAsia" w:ascii="新宋体" w:hAnsi="新宋体" w:eastAsia="新宋体" w:cs="新宋体"/>
          <w:b/>
          <w:bCs/>
          <w:color w:val="auto"/>
          <w:sz w:val="28"/>
          <w:szCs w:val="28"/>
          <w:highlight w:val="none"/>
        </w:rPr>
      </w:pPr>
    </w:p>
    <w:p w14:paraId="7C2C43E2">
      <w:pPr>
        <w:spacing w:line="460" w:lineRule="exact"/>
        <w:jc w:val="center"/>
        <w:rPr>
          <w:rFonts w:hint="eastAsia" w:ascii="新宋体" w:hAnsi="新宋体" w:eastAsia="新宋体" w:cs="新宋体"/>
          <w:b/>
          <w:bCs/>
          <w:color w:val="auto"/>
          <w:sz w:val="28"/>
          <w:szCs w:val="28"/>
          <w:highlight w:val="none"/>
        </w:rPr>
      </w:pPr>
    </w:p>
    <w:p w14:paraId="5FC4846F">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7" name="文本框 26"/>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0D77D37">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6" o:spid="_x0000_s1026" o:spt="202" type="#_x0000_t202" style="position:absolute;left:0pt;margin-left:6.95pt;margin-top:-4.25pt;height:305.15pt;width:496.35pt;z-index:251660288;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GqLXdgAAAAKAQAADwAAAAAA&#10;AAABACAAAAAiAAAAZHJzL2Rvd25yZXYueG1sUEsBAhQAFAAAAAgAh07iQELca5wTAgAARgQAAA4A&#10;AAAAAAAAAQAgAAAAJwEAAGRycy9lMm9Eb2MueG1sUEsFBgAAAAAGAAYAWQEAAKwFAAAAAA==&#10;">
                <v:fill on="t" focussize="0,0"/>
                <v:stroke color="#000000" joinstyle="miter"/>
                <v:imagedata o:title=""/>
                <o:lock v:ext="edit" aspectratio="f"/>
                <v:textbox>
                  <w:txbxContent>
                    <w:p w14:paraId="10D77D37">
                      <w:r>
                        <w:rPr>
                          <w:rFonts w:hint="eastAsia" w:ascii="新宋体" w:hAnsi="新宋体" w:eastAsia="新宋体"/>
                          <w:sz w:val="22"/>
                          <w:szCs w:val="22"/>
                        </w:rPr>
                        <w:t xml:space="preserve">  授权代表身份证（正反面）：</w:t>
                      </w:r>
                    </w:p>
                  </w:txbxContent>
                </v:textbox>
              </v:shape>
            </w:pict>
          </mc:Fallback>
        </mc:AlternateContent>
      </w:r>
    </w:p>
    <w:p w14:paraId="288571F3">
      <w:pPr>
        <w:spacing w:line="460" w:lineRule="exact"/>
        <w:jc w:val="center"/>
        <w:rPr>
          <w:rFonts w:hint="eastAsia" w:ascii="新宋体" w:hAnsi="新宋体" w:eastAsia="新宋体" w:cs="新宋体"/>
          <w:b/>
          <w:bCs/>
          <w:color w:val="auto"/>
          <w:sz w:val="28"/>
          <w:szCs w:val="28"/>
          <w:highlight w:val="none"/>
        </w:rPr>
      </w:pPr>
    </w:p>
    <w:p w14:paraId="689749CE">
      <w:pPr>
        <w:spacing w:line="460" w:lineRule="exact"/>
        <w:jc w:val="center"/>
        <w:rPr>
          <w:rFonts w:hint="eastAsia" w:ascii="新宋体" w:hAnsi="新宋体" w:eastAsia="新宋体" w:cs="新宋体"/>
          <w:b/>
          <w:bCs/>
          <w:color w:val="auto"/>
          <w:sz w:val="28"/>
          <w:szCs w:val="28"/>
          <w:highlight w:val="none"/>
        </w:rPr>
      </w:pPr>
    </w:p>
    <w:p w14:paraId="076B6A74">
      <w:pPr>
        <w:spacing w:line="460" w:lineRule="exact"/>
        <w:jc w:val="center"/>
        <w:rPr>
          <w:rFonts w:hint="eastAsia" w:ascii="新宋体" w:hAnsi="新宋体" w:eastAsia="新宋体" w:cs="新宋体"/>
          <w:b/>
          <w:bCs/>
          <w:color w:val="auto"/>
          <w:sz w:val="28"/>
          <w:szCs w:val="28"/>
          <w:highlight w:val="none"/>
        </w:rPr>
      </w:pPr>
    </w:p>
    <w:p w14:paraId="593F3907">
      <w:pPr>
        <w:spacing w:line="460" w:lineRule="exact"/>
        <w:jc w:val="center"/>
        <w:rPr>
          <w:rFonts w:hint="eastAsia" w:ascii="新宋体" w:hAnsi="新宋体" w:eastAsia="新宋体" w:cs="新宋体"/>
          <w:b/>
          <w:bCs/>
          <w:color w:val="auto"/>
          <w:sz w:val="28"/>
          <w:szCs w:val="28"/>
          <w:highlight w:val="none"/>
        </w:rPr>
      </w:pPr>
    </w:p>
    <w:p w14:paraId="5B5E14D0">
      <w:pPr>
        <w:spacing w:line="460" w:lineRule="exact"/>
        <w:jc w:val="center"/>
        <w:rPr>
          <w:rFonts w:hint="eastAsia" w:ascii="新宋体" w:hAnsi="新宋体" w:eastAsia="新宋体" w:cs="新宋体"/>
          <w:b/>
          <w:bCs/>
          <w:color w:val="auto"/>
          <w:sz w:val="28"/>
          <w:szCs w:val="28"/>
          <w:highlight w:val="none"/>
        </w:rPr>
      </w:pPr>
    </w:p>
    <w:p w14:paraId="380F195D">
      <w:pPr>
        <w:spacing w:line="460" w:lineRule="exact"/>
        <w:jc w:val="center"/>
        <w:rPr>
          <w:rFonts w:hint="eastAsia" w:ascii="新宋体" w:hAnsi="新宋体" w:eastAsia="新宋体" w:cs="新宋体"/>
          <w:b/>
          <w:bCs/>
          <w:color w:val="auto"/>
          <w:sz w:val="28"/>
          <w:szCs w:val="28"/>
          <w:highlight w:val="none"/>
        </w:rPr>
      </w:pPr>
    </w:p>
    <w:p w14:paraId="12F1EC96">
      <w:pPr>
        <w:spacing w:line="460" w:lineRule="exact"/>
        <w:jc w:val="center"/>
        <w:rPr>
          <w:rFonts w:hint="eastAsia" w:ascii="新宋体" w:hAnsi="新宋体" w:eastAsia="新宋体" w:cs="新宋体"/>
          <w:b/>
          <w:bCs/>
          <w:color w:val="auto"/>
          <w:sz w:val="28"/>
          <w:szCs w:val="28"/>
          <w:highlight w:val="none"/>
        </w:rPr>
      </w:pPr>
    </w:p>
    <w:p w14:paraId="7DB63F49">
      <w:pPr>
        <w:spacing w:line="460" w:lineRule="exact"/>
        <w:jc w:val="center"/>
        <w:rPr>
          <w:rFonts w:hint="eastAsia" w:ascii="新宋体" w:hAnsi="新宋体" w:eastAsia="新宋体" w:cs="新宋体"/>
          <w:b/>
          <w:bCs/>
          <w:color w:val="auto"/>
          <w:sz w:val="28"/>
          <w:szCs w:val="28"/>
          <w:highlight w:val="none"/>
        </w:rPr>
      </w:pPr>
    </w:p>
    <w:p w14:paraId="2DBBD17E">
      <w:pPr>
        <w:spacing w:line="460" w:lineRule="exact"/>
        <w:jc w:val="center"/>
        <w:rPr>
          <w:rFonts w:hint="eastAsia" w:ascii="新宋体" w:hAnsi="新宋体" w:eastAsia="新宋体" w:cs="新宋体"/>
          <w:b/>
          <w:bCs/>
          <w:color w:val="auto"/>
          <w:sz w:val="28"/>
          <w:szCs w:val="28"/>
          <w:highlight w:val="none"/>
        </w:rPr>
      </w:pPr>
    </w:p>
    <w:p w14:paraId="5CBCEDE5">
      <w:pPr>
        <w:spacing w:line="460" w:lineRule="exact"/>
        <w:jc w:val="center"/>
        <w:rPr>
          <w:rFonts w:hint="eastAsia" w:ascii="新宋体" w:hAnsi="新宋体" w:eastAsia="新宋体" w:cs="新宋体"/>
          <w:b/>
          <w:bCs/>
          <w:color w:val="auto"/>
          <w:sz w:val="28"/>
          <w:szCs w:val="28"/>
          <w:highlight w:val="none"/>
        </w:rPr>
      </w:pPr>
    </w:p>
    <w:p w14:paraId="3CDCF2F0">
      <w:pPr>
        <w:spacing w:line="460" w:lineRule="exact"/>
        <w:jc w:val="center"/>
        <w:rPr>
          <w:rFonts w:hint="eastAsia" w:ascii="新宋体" w:hAnsi="新宋体" w:eastAsia="新宋体" w:cs="新宋体"/>
          <w:b/>
          <w:bCs/>
          <w:color w:val="auto"/>
          <w:sz w:val="28"/>
          <w:szCs w:val="28"/>
          <w:highlight w:val="none"/>
        </w:rPr>
      </w:pPr>
    </w:p>
    <w:p w14:paraId="792FF19E">
      <w:pPr>
        <w:spacing w:line="460" w:lineRule="exact"/>
        <w:jc w:val="center"/>
        <w:rPr>
          <w:rFonts w:hint="eastAsia" w:ascii="新宋体" w:hAnsi="新宋体" w:eastAsia="新宋体" w:cs="新宋体"/>
          <w:b/>
          <w:bCs/>
          <w:color w:val="auto"/>
          <w:sz w:val="28"/>
          <w:szCs w:val="28"/>
          <w:highlight w:val="none"/>
        </w:rPr>
      </w:pPr>
    </w:p>
    <w:p w14:paraId="7CAFF1F7">
      <w:pPr>
        <w:spacing w:line="460" w:lineRule="exact"/>
        <w:jc w:val="center"/>
        <w:rPr>
          <w:rFonts w:hint="eastAsia" w:ascii="新宋体" w:hAnsi="新宋体" w:eastAsia="新宋体" w:cs="新宋体"/>
          <w:b/>
          <w:bCs/>
          <w:color w:val="auto"/>
          <w:sz w:val="28"/>
          <w:szCs w:val="28"/>
          <w:highlight w:val="none"/>
        </w:rPr>
      </w:pPr>
    </w:p>
    <w:p w14:paraId="50EA1038">
      <w:pPr>
        <w:spacing w:line="460" w:lineRule="exact"/>
        <w:jc w:val="center"/>
        <w:rPr>
          <w:rFonts w:hint="eastAsia" w:ascii="新宋体" w:hAnsi="新宋体" w:eastAsia="新宋体" w:cs="新宋体"/>
          <w:b/>
          <w:bCs/>
          <w:color w:val="auto"/>
          <w:sz w:val="28"/>
          <w:szCs w:val="28"/>
          <w:highlight w:val="none"/>
        </w:rPr>
      </w:pPr>
    </w:p>
    <w:p w14:paraId="1A34CF06">
      <w:pPr>
        <w:spacing w:line="460" w:lineRule="exact"/>
        <w:jc w:val="center"/>
        <w:rPr>
          <w:rFonts w:hint="eastAsia" w:ascii="新宋体" w:hAnsi="新宋体" w:eastAsia="新宋体" w:cs="新宋体"/>
          <w:b/>
          <w:bCs/>
          <w:color w:val="auto"/>
          <w:sz w:val="28"/>
          <w:szCs w:val="28"/>
          <w:highlight w:val="none"/>
        </w:rPr>
      </w:pPr>
    </w:p>
    <w:p w14:paraId="5DDB201C">
      <w:pPr>
        <w:spacing w:line="460" w:lineRule="exact"/>
        <w:jc w:val="center"/>
        <w:outlineLvl w:val="3"/>
        <w:rPr>
          <w:rFonts w:hint="eastAsia" w:ascii="新宋体" w:hAnsi="新宋体" w:eastAsia="新宋体" w:cs="新宋体"/>
          <w:b/>
          <w:bCs/>
          <w:color w:val="auto"/>
          <w:sz w:val="22"/>
          <w:szCs w:val="22"/>
          <w:highlight w:val="none"/>
        </w:rPr>
        <w:sectPr>
          <w:headerReference r:id="rId4" w:type="first"/>
          <w:headerReference r:id="rId3" w:type="default"/>
          <w:footerReference r:id="rId5" w:type="default"/>
          <w:pgSz w:w="11906" w:h="16838"/>
          <w:pgMar w:top="1134" w:right="1134" w:bottom="1134" w:left="1134" w:header="850" w:footer="992" w:gutter="0"/>
          <w:cols w:space="720" w:num="1"/>
          <w:titlePg/>
          <w:docGrid w:type="lines" w:linePitch="312" w:charSpace="0"/>
        </w:sectPr>
      </w:pPr>
    </w:p>
    <w:p w14:paraId="28A410CE">
      <w:pPr>
        <w:spacing w:line="42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3、供货清单</w:t>
      </w:r>
    </w:p>
    <w:p w14:paraId="3B69C471">
      <w:pPr>
        <w:numPr>
          <w:ilvl w:val="0"/>
          <w:numId w:val="2"/>
        </w:numPr>
        <w:spacing w:line="440" w:lineRule="exact"/>
        <w:jc w:val="left"/>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成套供货清单（或详细配置清单）</w:t>
      </w:r>
    </w:p>
    <w:p w14:paraId="4413EB5A">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p>
    <w:p w14:paraId="3E3D60B7">
      <w:pPr>
        <w:bidi w:val="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项目名称：</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980"/>
        <w:gridCol w:w="720"/>
        <w:gridCol w:w="900"/>
        <w:gridCol w:w="1440"/>
        <w:gridCol w:w="1440"/>
        <w:gridCol w:w="1080"/>
      </w:tblGrid>
      <w:tr w14:paraId="0E95C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shd w:val="clear" w:color="auto" w:fill="D9D9D9"/>
            <w:noWrap w:val="0"/>
            <w:vAlign w:val="center"/>
          </w:tcPr>
          <w:p w14:paraId="20826AF8">
            <w:pPr>
              <w:spacing w:line="44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260" w:type="dxa"/>
            <w:shd w:val="clear" w:color="auto" w:fill="D9D9D9"/>
            <w:noWrap w:val="0"/>
            <w:vAlign w:val="center"/>
          </w:tcPr>
          <w:p w14:paraId="38D19349">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980" w:type="dxa"/>
            <w:shd w:val="clear" w:color="auto" w:fill="D9D9D9"/>
            <w:noWrap w:val="0"/>
            <w:vAlign w:val="center"/>
          </w:tcPr>
          <w:p w14:paraId="3997B1E5">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品牌、规格型号</w:t>
            </w:r>
          </w:p>
        </w:tc>
        <w:tc>
          <w:tcPr>
            <w:tcW w:w="720" w:type="dxa"/>
            <w:shd w:val="clear" w:color="auto" w:fill="D9D9D9"/>
            <w:noWrap w:val="0"/>
            <w:vAlign w:val="center"/>
          </w:tcPr>
          <w:p w14:paraId="564AB1B5">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单位</w:t>
            </w:r>
          </w:p>
        </w:tc>
        <w:tc>
          <w:tcPr>
            <w:tcW w:w="900" w:type="dxa"/>
            <w:shd w:val="clear" w:color="auto" w:fill="D9D9D9"/>
            <w:noWrap w:val="0"/>
            <w:vAlign w:val="center"/>
          </w:tcPr>
          <w:p w14:paraId="3616C250">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1440" w:type="dxa"/>
            <w:shd w:val="clear" w:color="auto" w:fill="D9D9D9"/>
            <w:noWrap w:val="0"/>
            <w:vAlign w:val="center"/>
          </w:tcPr>
          <w:p w14:paraId="4FE00026">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w:t>
            </w:r>
          </w:p>
        </w:tc>
        <w:tc>
          <w:tcPr>
            <w:tcW w:w="1440" w:type="dxa"/>
            <w:shd w:val="clear" w:color="auto" w:fill="D9D9D9"/>
            <w:noWrap w:val="0"/>
            <w:vAlign w:val="center"/>
          </w:tcPr>
          <w:p w14:paraId="1101D04A">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制造商</w:t>
            </w:r>
          </w:p>
        </w:tc>
        <w:tc>
          <w:tcPr>
            <w:tcW w:w="1080" w:type="dxa"/>
            <w:shd w:val="clear" w:color="auto" w:fill="D9D9D9"/>
            <w:noWrap w:val="0"/>
            <w:vAlign w:val="center"/>
          </w:tcPr>
          <w:p w14:paraId="6F381610">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质保期</w:t>
            </w:r>
          </w:p>
        </w:tc>
      </w:tr>
      <w:tr w14:paraId="516C9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60499C38">
            <w:pPr>
              <w:spacing w:line="380" w:lineRule="exact"/>
              <w:jc w:val="center"/>
              <w:rPr>
                <w:rFonts w:hint="eastAsia" w:ascii="新宋体" w:hAnsi="新宋体" w:eastAsia="新宋体" w:cs="新宋体"/>
                <w:b/>
                <w:bCs/>
                <w:color w:val="auto"/>
                <w:sz w:val="22"/>
                <w:szCs w:val="22"/>
                <w:highlight w:val="none"/>
              </w:rPr>
            </w:pPr>
          </w:p>
        </w:tc>
        <w:tc>
          <w:tcPr>
            <w:tcW w:w="1260" w:type="dxa"/>
            <w:noWrap w:val="0"/>
            <w:vAlign w:val="center"/>
          </w:tcPr>
          <w:p w14:paraId="700863F2">
            <w:pPr>
              <w:spacing w:line="380" w:lineRule="exact"/>
              <w:jc w:val="center"/>
              <w:rPr>
                <w:rFonts w:hint="eastAsia" w:ascii="新宋体" w:hAnsi="新宋体" w:eastAsia="新宋体" w:cs="新宋体"/>
                <w:b/>
                <w:bCs/>
                <w:color w:val="auto"/>
                <w:sz w:val="22"/>
                <w:szCs w:val="22"/>
                <w:highlight w:val="none"/>
              </w:rPr>
            </w:pPr>
          </w:p>
        </w:tc>
        <w:tc>
          <w:tcPr>
            <w:tcW w:w="1980" w:type="dxa"/>
            <w:noWrap w:val="0"/>
            <w:vAlign w:val="center"/>
          </w:tcPr>
          <w:p w14:paraId="7D71DAD2">
            <w:pPr>
              <w:spacing w:line="380" w:lineRule="exact"/>
              <w:jc w:val="center"/>
              <w:rPr>
                <w:rFonts w:hint="eastAsia" w:ascii="新宋体" w:hAnsi="新宋体" w:eastAsia="新宋体" w:cs="新宋体"/>
                <w:b/>
                <w:bCs/>
                <w:color w:val="auto"/>
                <w:sz w:val="22"/>
                <w:szCs w:val="22"/>
                <w:highlight w:val="none"/>
              </w:rPr>
            </w:pPr>
          </w:p>
        </w:tc>
        <w:tc>
          <w:tcPr>
            <w:tcW w:w="720" w:type="dxa"/>
            <w:noWrap w:val="0"/>
            <w:vAlign w:val="center"/>
          </w:tcPr>
          <w:p w14:paraId="50274679">
            <w:pPr>
              <w:spacing w:line="380" w:lineRule="exact"/>
              <w:jc w:val="center"/>
              <w:rPr>
                <w:rFonts w:hint="eastAsia" w:ascii="新宋体" w:hAnsi="新宋体" w:eastAsia="新宋体" w:cs="新宋体"/>
                <w:b/>
                <w:bCs/>
                <w:color w:val="auto"/>
                <w:sz w:val="22"/>
                <w:szCs w:val="22"/>
                <w:highlight w:val="none"/>
              </w:rPr>
            </w:pPr>
          </w:p>
        </w:tc>
        <w:tc>
          <w:tcPr>
            <w:tcW w:w="900" w:type="dxa"/>
            <w:noWrap w:val="0"/>
            <w:vAlign w:val="center"/>
          </w:tcPr>
          <w:p w14:paraId="5FD785C7">
            <w:pPr>
              <w:spacing w:line="380" w:lineRule="exact"/>
              <w:jc w:val="center"/>
              <w:rPr>
                <w:rFonts w:hint="eastAsia" w:ascii="新宋体" w:hAnsi="新宋体" w:eastAsia="新宋体" w:cs="新宋体"/>
                <w:b/>
                <w:bCs/>
                <w:color w:val="auto"/>
                <w:sz w:val="22"/>
                <w:szCs w:val="22"/>
                <w:highlight w:val="none"/>
              </w:rPr>
            </w:pPr>
          </w:p>
        </w:tc>
        <w:tc>
          <w:tcPr>
            <w:tcW w:w="1440" w:type="dxa"/>
            <w:noWrap w:val="0"/>
            <w:vAlign w:val="center"/>
          </w:tcPr>
          <w:p w14:paraId="70D44677">
            <w:pPr>
              <w:spacing w:line="380" w:lineRule="exact"/>
              <w:jc w:val="center"/>
              <w:rPr>
                <w:rFonts w:hint="eastAsia" w:ascii="新宋体" w:hAnsi="新宋体" w:eastAsia="新宋体" w:cs="新宋体"/>
                <w:b/>
                <w:bCs/>
                <w:color w:val="auto"/>
                <w:sz w:val="22"/>
                <w:szCs w:val="22"/>
                <w:highlight w:val="none"/>
              </w:rPr>
            </w:pPr>
          </w:p>
        </w:tc>
        <w:tc>
          <w:tcPr>
            <w:tcW w:w="1440" w:type="dxa"/>
            <w:noWrap w:val="0"/>
            <w:vAlign w:val="center"/>
          </w:tcPr>
          <w:p w14:paraId="40D0547C">
            <w:pPr>
              <w:spacing w:line="380" w:lineRule="exact"/>
              <w:jc w:val="center"/>
              <w:rPr>
                <w:rFonts w:hint="eastAsia" w:ascii="新宋体" w:hAnsi="新宋体" w:eastAsia="新宋体" w:cs="新宋体"/>
                <w:b/>
                <w:bCs/>
                <w:color w:val="auto"/>
                <w:sz w:val="22"/>
                <w:szCs w:val="22"/>
                <w:highlight w:val="none"/>
              </w:rPr>
            </w:pPr>
          </w:p>
        </w:tc>
        <w:tc>
          <w:tcPr>
            <w:tcW w:w="1080" w:type="dxa"/>
            <w:noWrap w:val="0"/>
            <w:vAlign w:val="center"/>
          </w:tcPr>
          <w:p w14:paraId="132561DB">
            <w:pPr>
              <w:spacing w:line="380" w:lineRule="exact"/>
              <w:jc w:val="center"/>
              <w:rPr>
                <w:rFonts w:hint="eastAsia" w:ascii="新宋体" w:hAnsi="新宋体" w:eastAsia="新宋体" w:cs="新宋体"/>
                <w:b/>
                <w:bCs/>
                <w:color w:val="auto"/>
                <w:sz w:val="22"/>
                <w:szCs w:val="22"/>
                <w:highlight w:val="none"/>
              </w:rPr>
            </w:pPr>
          </w:p>
        </w:tc>
      </w:tr>
      <w:tr w14:paraId="7D951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68C47661">
            <w:pPr>
              <w:spacing w:line="380" w:lineRule="exact"/>
              <w:jc w:val="center"/>
              <w:rPr>
                <w:rFonts w:hint="eastAsia" w:ascii="新宋体" w:hAnsi="新宋体" w:eastAsia="新宋体" w:cs="新宋体"/>
                <w:b/>
                <w:bCs/>
                <w:color w:val="auto"/>
                <w:sz w:val="22"/>
                <w:szCs w:val="22"/>
                <w:highlight w:val="none"/>
              </w:rPr>
            </w:pPr>
          </w:p>
        </w:tc>
        <w:tc>
          <w:tcPr>
            <w:tcW w:w="1260" w:type="dxa"/>
            <w:noWrap w:val="0"/>
            <w:vAlign w:val="center"/>
          </w:tcPr>
          <w:p w14:paraId="24BE00F2">
            <w:pPr>
              <w:spacing w:line="380" w:lineRule="exact"/>
              <w:jc w:val="center"/>
              <w:rPr>
                <w:rFonts w:hint="eastAsia" w:ascii="新宋体" w:hAnsi="新宋体" w:eastAsia="新宋体" w:cs="新宋体"/>
                <w:b/>
                <w:bCs/>
                <w:color w:val="auto"/>
                <w:sz w:val="22"/>
                <w:szCs w:val="22"/>
                <w:highlight w:val="none"/>
              </w:rPr>
            </w:pPr>
          </w:p>
        </w:tc>
        <w:tc>
          <w:tcPr>
            <w:tcW w:w="1980" w:type="dxa"/>
            <w:noWrap w:val="0"/>
            <w:vAlign w:val="center"/>
          </w:tcPr>
          <w:p w14:paraId="4EEDFDE3">
            <w:pPr>
              <w:spacing w:line="380" w:lineRule="exact"/>
              <w:jc w:val="center"/>
              <w:rPr>
                <w:rFonts w:hint="eastAsia" w:ascii="新宋体" w:hAnsi="新宋体" w:eastAsia="新宋体" w:cs="新宋体"/>
                <w:b/>
                <w:bCs/>
                <w:color w:val="auto"/>
                <w:sz w:val="22"/>
                <w:szCs w:val="22"/>
                <w:highlight w:val="none"/>
              </w:rPr>
            </w:pPr>
          </w:p>
        </w:tc>
        <w:tc>
          <w:tcPr>
            <w:tcW w:w="720" w:type="dxa"/>
            <w:noWrap w:val="0"/>
            <w:vAlign w:val="center"/>
          </w:tcPr>
          <w:p w14:paraId="5374160B">
            <w:pPr>
              <w:spacing w:line="380" w:lineRule="exact"/>
              <w:jc w:val="center"/>
              <w:rPr>
                <w:rFonts w:hint="eastAsia" w:ascii="新宋体" w:hAnsi="新宋体" w:eastAsia="新宋体" w:cs="新宋体"/>
                <w:b/>
                <w:bCs/>
                <w:color w:val="auto"/>
                <w:sz w:val="22"/>
                <w:szCs w:val="22"/>
                <w:highlight w:val="none"/>
              </w:rPr>
            </w:pPr>
          </w:p>
        </w:tc>
        <w:tc>
          <w:tcPr>
            <w:tcW w:w="900" w:type="dxa"/>
            <w:noWrap w:val="0"/>
            <w:vAlign w:val="center"/>
          </w:tcPr>
          <w:p w14:paraId="78E6DCE4">
            <w:pPr>
              <w:spacing w:line="380" w:lineRule="exact"/>
              <w:jc w:val="center"/>
              <w:rPr>
                <w:rFonts w:hint="eastAsia" w:ascii="新宋体" w:hAnsi="新宋体" w:eastAsia="新宋体" w:cs="新宋体"/>
                <w:b/>
                <w:bCs/>
                <w:color w:val="auto"/>
                <w:sz w:val="22"/>
                <w:szCs w:val="22"/>
                <w:highlight w:val="none"/>
              </w:rPr>
            </w:pPr>
          </w:p>
        </w:tc>
        <w:tc>
          <w:tcPr>
            <w:tcW w:w="1440" w:type="dxa"/>
            <w:noWrap w:val="0"/>
            <w:vAlign w:val="center"/>
          </w:tcPr>
          <w:p w14:paraId="525AE69A">
            <w:pPr>
              <w:spacing w:line="380" w:lineRule="exact"/>
              <w:jc w:val="center"/>
              <w:rPr>
                <w:rFonts w:hint="eastAsia" w:ascii="新宋体" w:hAnsi="新宋体" w:eastAsia="新宋体" w:cs="新宋体"/>
                <w:b/>
                <w:bCs/>
                <w:color w:val="auto"/>
                <w:sz w:val="22"/>
                <w:szCs w:val="22"/>
                <w:highlight w:val="none"/>
              </w:rPr>
            </w:pPr>
          </w:p>
        </w:tc>
        <w:tc>
          <w:tcPr>
            <w:tcW w:w="1440" w:type="dxa"/>
            <w:noWrap w:val="0"/>
            <w:vAlign w:val="center"/>
          </w:tcPr>
          <w:p w14:paraId="7298A1F3">
            <w:pPr>
              <w:spacing w:line="380" w:lineRule="exact"/>
              <w:jc w:val="center"/>
              <w:rPr>
                <w:rFonts w:hint="eastAsia" w:ascii="新宋体" w:hAnsi="新宋体" w:eastAsia="新宋体" w:cs="新宋体"/>
                <w:b/>
                <w:bCs/>
                <w:color w:val="auto"/>
                <w:sz w:val="22"/>
                <w:szCs w:val="22"/>
                <w:highlight w:val="none"/>
              </w:rPr>
            </w:pPr>
          </w:p>
        </w:tc>
        <w:tc>
          <w:tcPr>
            <w:tcW w:w="1080" w:type="dxa"/>
            <w:noWrap w:val="0"/>
            <w:vAlign w:val="center"/>
          </w:tcPr>
          <w:p w14:paraId="78F45298">
            <w:pPr>
              <w:spacing w:line="380" w:lineRule="exact"/>
              <w:jc w:val="center"/>
              <w:rPr>
                <w:rFonts w:hint="eastAsia" w:ascii="新宋体" w:hAnsi="新宋体" w:eastAsia="新宋体" w:cs="新宋体"/>
                <w:b/>
                <w:bCs/>
                <w:color w:val="auto"/>
                <w:sz w:val="22"/>
                <w:szCs w:val="22"/>
                <w:highlight w:val="none"/>
              </w:rPr>
            </w:pPr>
          </w:p>
        </w:tc>
      </w:tr>
      <w:tr w14:paraId="28DF6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16BBB443">
            <w:pPr>
              <w:spacing w:line="380" w:lineRule="exact"/>
              <w:jc w:val="center"/>
              <w:rPr>
                <w:rFonts w:hint="eastAsia" w:ascii="新宋体" w:hAnsi="新宋体" w:eastAsia="新宋体" w:cs="新宋体"/>
                <w:b/>
                <w:bCs/>
                <w:color w:val="auto"/>
                <w:sz w:val="22"/>
                <w:szCs w:val="22"/>
                <w:highlight w:val="none"/>
              </w:rPr>
            </w:pPr>
          </w:p>
        </w:tc>
        <w:tc>
          <w:tcPr>
            <w:tcW w:w="1260" w:type="dxa"/>
            <w:noWrap w:val="0"/>
            <w:vAlign w:val="center"/>
          </w:tcPr>
          <w:p w14:paraId="725FC5CF">
            <w:pPr>
              <w:spacing w:line="380" w:lineRule="exact"/>
              <w:jc w:val="center"/>
              <w:rPr>
                <w:rFonts w:hint="eastAsia" w:ascii="新宋体" w:hAnsi="新宋体" w:eastAsia="新宋体" w:cs="新宋体"/>
                <w:b/>
                <w:bCs/>
                <w:color w:val="auto"/>
                <w:sz w:val="22"/>
                <w:szCs w:val="22"/>
                <w:highlight w:val="none"/>
              </w:rPr>
            </w:pPr>
          </w:p>
        </w:tc>
        <w:tc>
          <w:tcPr>
            <w:tcW w:w="1980" w:type="dxa"/>
            <w:noWrap w:val="0"/>
            <w:vAlign w:val="center"/>
          </w:tcPr>
          <w:p w14:paraId="3C424509">
            <w:pPr>
              <w:spacing w:line="380" w:lineRule="exact"/>
              <w:jc w:val="center"/>
              <w:rPr>
                <w:rFonts w:hint="eastAsia" w:ascii="新宋体" w:hAnsi="新宋体" w:eastAsia="新宋体" w:cs="新宋体"/>
                <w:b/>
                <w:bCs/>
                <w:color w:val="auto"/>
                <w:sz w:val="22"/>
                <w:szCs w:val="22"/>
                <w:highlight w:val="none"/>
              </w:rPr>
            </w:pPr>
          </w:p>
        </w:tc>
        <w:tc>
          <w:tcPr>
            <w:tcW w:w="720" w:type="dxa"/>
            <w:noWrap w:val="0"/>
            <w:vAlign w:val="center"/>
          </w:tcPr>
          <w:p w14:paraId="3C086DDB">
            <w:pPr>
              <w:spacing w:line="380" w:lineRule="exact"/>
              <w:jc w:val="center"/>
              <w:rPr>
                <w:rFonts w:hint="eastAsia" w:ascii="新宋体" w:hAnsi="新宋体" w:eastAsia="新宋体" w:cs="新宋体"/>
                <w:b/>
                <w:bCs/>
                <w:color w:val="auto"/>
                <w:sz w:val="22"/>
                <w:szCs w:val="22"/>
                <w:highlight w:val="none"/>
              </w:rPr>
            </w:pPr>
          </w:p>
        </w:tc>
        <w:tc>
          <w:tcPr>
            <w:tcW w:w="900" w:type="dxa"/>
            <w:noWrap w:val="0"/>
            <w:vAlign w:val="center"/>
          </w:tcPr>
          <w:p w14:paraId="2B16CBF5">
            <w:pPr>
              <w:spacing w:line="380" w:lineRule="exact"/>
              <w:jc w:val="center"/>
              <w:rPr>
                <w:rFonts w:hint="eastAsia" w:ascii="新宋体" w:hAnsi="新宋体" w:eastAsia="新宋体" w:cs="新宋体"/>
                <w:b/>
                <w:bCs/>
                <w:color w:val="auto"/>
                <w:sz w:val="22"/>
                <w:szCs w:val="22"/>
                <w:highlight w:val="none"/>
              </w:rPr>
            </w:pPr>
          </w:p>
        </w:tc>
        <w:tc>
          <w:tcPr>
            <w:tcW w:w="1440" w:type="dxa"/>
            <w:noWrap w:val="0"/>
            <w:vAlign w:val="center"/>
          </w:tcPr>
          <w:p w14:paraId="35E82F24">
            <w:pPr>
              <w:spacing w:line="380" w:lineRule="exact"/>
              <w:jc w:val="center"/>
              <w:rPr>
                <w:rFonts w:hint="eastAsia" w:ascii="新宋体" w:hAnsi="新宋体" w:eastAsia="新宋体" w:cs="新宋体"/>
                <w:b/>
                <w:bCs/>
                <w:color w:val="auto"/>
                <w:sz w:val="22"/>
                <w:szCs w:val="22"/>
                <w:highlight w:val="none"/>
              </w:rPr>
            </w:pPr>
          </w:p>
        </w:tc>
        <w:tc>
          <w:tcPr>
            <w:tcW w:w="1440" w:type="dxa"/>
            <w:noWrap w:val="0"/>
            <w:vAlign w:val="center"/>
          </w:tcPr>
          <w:p w14:paraId="1761D542">
            <w:pPr>
              <w:spacing w:line="380" w:lineRule="exact"/>
              <w:jc w:val="center"/>
              <w:rPr>
                <w:rFonts w:hint="eastAsia" w:ascii="新宋体" w:hAnsi="新宋体" w:eastAsia="新宋体" w:cs="新宋体"/>
                <w:b/>
                <w:bCs/>
                <w:color w:val="auto"/>
                <w:sz w:val="22"/>
                <w:szCs w:val="22"/>
                <w:highlight w:val="none"/>
              </w:rPr>
            </w:pPr>
          </w:p>
        </w:tc>
        <w:tc>
          <w:tcPr>
            <w:tcW w:w="1080" w:type="dxa"/>
            <w:noWrap w:val="0"/>
            <w:vAlign w:val="center"/>
          </w:tcPr>
          <w:p w14:paraId="49616D5C">
            <w:pPr>
              <w:spacing w:line="380" w:lineRule="exact"/>
              <w:jc w:val="center"/>
              <w:rPr>
                <w:rFonts w:hint="eastAsia" w:ascii="新宋体" w:hAnsi="新宋体" w:eastAsia="新宋体" w:cs="新宋体"/>
                <w:b/>
                <w:bCs/>
                <w:color w:val="auto"/>
                <w:sz w:val="22"/>
                <w:szCs w:val="22"/>
                <w:highlight w:val="none"/>
              </w:rPr>
            </w:pPr>
          </w:p>
        </w:tc>
      </w:tr>
      <w:tr w14:paraId="4E849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1F3AA338">
            <w:pPr>
              <w:spacing w:line="380" w:lineRule="exact"/>
              <w:jc w:val="center"/>
              <w:rPr>
                <w:rFonts w:hint="eastAsia" w:ascii="新宋体" w:hAnsi="新宋体" w:eastAsia="新宋体" w:cs="新宋体"/>
                <w:b/>
                <w:bCs/>
                <w:color w:val="auto"/>
                <w:sz w:val="22"/>
                <w:szCs w:val="22"/>
                <w:highlight w:val="none"/>
              </w:rPr>
            </w:pPr>
          </w:p>
        </w:tc>
        <w:tc>
          <w:tcPr>
            <w:tcW w:w="1260" w:type="dxa"/>
            <w:noWrap w:val="0"/>
            <w:vAlign w:val="center"/>
          </w:tcPr>
          <w:p w14:paraId="737EA5F0">
            <w:pPr>
              <w:spacing w:line="380" w:lineRule="exact"/>
              <w:jc w:val="center"/>
              <w:rPr>
                <w:rFonts w:hint="eastAsia" w:ascii="新宋体" w:hAnsi="新宋体" w:eastAsia="新宋体" w:cs="新宋体"/>
                <w:b/>
                <w:bCs/>
                <w:color w:val="auto"/>
                <w:sz w:val="22"/>
                <w:szCs w:val="22"/>
                <w:highlight w:val="none"/>
              </w:rPr>
            </w:pPr>
          </w:p>
        </w:tc>
        <w:tc>
          <w:tcPr>
            <w:tcW w:w="1980" w:type="dxa"/>
            <w:noWrap w:val="0"/>
            <w:vAlign w:val="center"/>
          </w:tcPr>
          <w:p w14:paraId="54BF3CE1">
            <w:pPr>
              <w:spacing w:line="380" w:lineRule="exact"/>
              <w:jc w:val="center"/>
              <w:rPr>
                <w:rFonts w:hint="eastAsia" w:ascii="新宋体" w:hAnsi="新宋体" w:eastAsia="新宋体" w:cs="新宋体"/>
                <w:b/>
                <w:bCs/>
                <w:color w:val="auto"/>
                <w:sz w:val="22"/>
                <w:szCs w:val="22"/>
                <w:highlight w:val="none"/>
              </w:rPr>
            </w:pPr>
          </w:p>
        </w:tc>
        <w:tc>
          <w:tcPr>
            <w:tcW w:w="720" w:type="dxa"/>
            <w:noWrap w:val="0"/>
            <w:vAlign w:val="center"/>
          </w:tcPr>
          <w:p w14:paraId="522C2B99">
            <w:pPr>
              <w:spacing w:line="380" w:lineRule="exact"/>
              <w:jc w:val="center"/>
              <w:rPr>
                <w:rFonts w:hint="eastAsia" w:ascii="新宋体" w:hAnsi="新宋体" w:eastAsia="新宋体" w:cs="新宋体"/>
                <w:b/>
                <w:bCs/>
                <w:color w:val="auto"/>
                <w:sz w:val="22"/>
                <w:szCs w:val="22"/>
                <w:highlight w:val="none"/>
              </w:rPr>
            </w:pPr>
          </w:p>
        </w:tc>
        <w:tc>
          <w:tcPr>
            <w:tcW w:w="900" w:type="dxa"/>
            <w:noWrap w:val="0"/>
            <w:vAlign w:val="center"/>
          </w:tcPr>
          <w:p w14:paraId="560182B9">
            <w:pPr>
              <w:spacing w:line="380" w:lineRule="exact"/>
              <w:jc w:val="center"/>
              <w:rPr>
                <w:rFonts w:hint="eastAsia" w:ascii="新宋体" w:hAnsi="新宋体" w:eastAsia="新宋体" w:cs="新宋体"/>
                <w:b/>
                <w:bCs/>
                <w:color w:val="auto"/>
                <w:sz w:val="22"/>
                <w:szCs w:val="22"/>
                <w:highlight w:val="none"/>
              </w:rPr>
            </w:pPr>
          </w:p>
        </w:tc>
        <w:tc>
          <w:tcPr>
            <w:tcW w:w="1440" w:type="dxa"/>
            <w:noWrap w:val="0"/>
            <w:vAlign w:val="center"/>
          </w:tcPr>
          <w:p w14:paraId="19F34C56">
            <w:pPr>
              <w:spacing w:line="380" w:lineRule="exact"/>
              <w:jc w:val="center"/>
              <w:rPr>
                <w:rFonts w:hint="eastAsia" w:ascii="新宋体" w:hAnsi="新宋体" w:eastAsia="新宋体" w:cs="新宋体"/>
                <w:b/>
                <w:bCs/>
                <w:color w:val="auto"/>
                <w:sz w:val="22"/>
                <w:szCs w:val="22"/>
                <w:highlight w:val="none"/>
              </w:rPr>
            </w:pPr>
          </w:p>
        </w:tc>
        <w:tc>
          <w:tcPr>
            <w:tcW w:w="1440" w:type="dxa"/>
            <w:noWrap w:val="0"/>
            <w:vAlign w:val="center"/>
          </w:tcPr>
          <w:p w14:paraId="214EAF0B">
            <w:pPr>
              <w:spacing w:line="380" w:lineRule="exact"/>
              <w:jc w:val="center"/>
              <w:rPr>
                <w:rFonts w:hint="eastAsia" w:ascii="新宋体" w:hAnsi="新宋体" w:eastAsia="新宋体" w:cs="新宋体"/>
                <w:b/>
                <w:bCs/>
                <w:color w:val="auto"/>
                <w:sz w:val="22"/>
                <w:szCs w:val="22"/>
                <w:highlight w:val="none"/>
              </w:rPr>
            </w:pPr>
          </w:p>
        </w:tc>
        <w:tc>
          <w:tcPr>
            <w:tcW w:w="1080" w:type="dxa"/>
            <w:noWrap w:val="0"/>
            <w:vAlign w:val="center"/>
          </w:tcPr>
          <w:p w14:paraId="12B9E51C">
            <w:pPr>
              <w:spacing w:line="380" w:lineRule="exact"/>
              <w:jc w:val="center"/>
              <w:rPr>
                <w:rFonts w:hint="eastAsia" w:ascii="新宋体" w:hAnsi="新宋体" w:eastAsia="新宋体" w:cs="新宋体"/>
                <w:b/>
                <w:bCs/>
                <w:color w:val="auto"/>
                <w:sz w:val="22"/>
                <w:szCs w:val="22"/>
                <w:highlight w:val="none"/>
              </w:rPr>
            </w:pPr>
          </w:p>
        </w:tc>
      </w:tr>
      <w:tr w14:paraId="7E44F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1173A02F">
            <w:pPr>
              <w:spacing w:line="380" w:lineRule="exact"/>
              <w:jc w:val="center"/>
              <w:rPr>
                <w:rFonts w:hint="eastAsia" w:ascii="新宋体" w:hAnsi="新宋体" w:eastAsia="新宋体" w:cs="新宋体"/>
                <w:b/>
                <w:bCs/>
                <w:color w:val="auto"/>
                <w:sz w:val="22"/>
                <w:szCs w:val="22"/>
                <w:highlight w:val="none"/>
              </w:rPr>
            </w:pPr>
          </w:p>
        </w:tc>
        <w:tc>
          <w:tcPr>
            <w:tcW w:w="1260" w:type="dxa"/>
            <w:noWrap w:val="0"/>
            <w:vAlign w:val="center"/>
          </w:tcPr>
          <w:p w14:paraId="064E2CC9">
            <w:pPr>
              <w:spacing w:line="380" w:lineRule="exact"/>
              <w:jc w:val="center"/>
              <w:rPr>
                <w:rFonts w:hint="eastAsia" w:ascii="新宋体" w:hAnsi="新宋体" w:eastAsia="新宋体" w:cs="新宋体"/>
                <w:b/>
                <w:bCs/>
                <w:color w:val="auto"/>
                <w:sz w:val="22"/>
                <w:szCs w:val="22"/>
                <w:highlight w:val="none"/>
              </w:rPr>
            </w:pPr>
          </w:p>
        </w:tc>
        <w:tc>
          <w:tcPr>
            <w:tcW w:w="1980" w:type="dxa"/>
            <w:noWrap w:val="0"/>
            <w:vAlign w:val="center"/>
          </w:tcPr>
          <w:p w14:paraId="60C69A77">
            <w:pPr>
              <w:spacing w:line="380" w:lineRule="exact"/>
              <w:jc w:val="center"/>
              <w:rPr>
                <w:rFonts w:hint="eastAsia" w:ascii="新宋体" w:hAnsi="新宋体" w:eastAsia="新宋体" w:cs="新宋体"/>
                <w:b/>
                <w:bCs/>
                <w:color w:val="auto"/>
                <w:sz w:val="22"/>
                <w:szCs w:val="22"/>
                <w:highlight w:val="none"/>
              </w:rPr>
            </w:pPr>
          </w:p>
        </w:tc>
        <w:tc>
          <w:tcPr>
            <w:tcW w:w="720" w:type="dxa"/>
            <w:noWrap w:val="0"/>
            <w:vAlign w:val="center"/>
          </w:tcPr>
          <w:p w14:paraId="57FBDAD6">
            <w:pPr>
              <w:spacing w:line="380" w:lineRule="exact"/>
              <w:jc w:val="center"/>
              <w:rPr>
                <w:rFonts w:hint="eastAsia" w:ascii="新宋体" w:hAnsi="新宋体" w:eastAsia="新宋体" w:cs="新宋体"/>
                <w:b/>
                <w:bCs/>
                <w:color w:val="auto"/>
                <w:sz w:val="22"/>
                <w:szCs w:val="22"/>
                <w:highlight w:val="none"/>
              </w:rPr>
            </w:pPr>
          </w:p>
        </w:tc>
        <w:tc>
          <w:tcPr>
            <w:tcW w:w="900" w:type="dxa"/>
            <w:noWrap w:val="0"/>
            <w:vAlign w:val="center"/>
          </w:tcPr>
          <w:p w14:paraId="5B0B18B2">
            <w:pPr>
              <w:spacing w:line="380" w:lineRule="exact"/>
              <w:jc w:val="center"/>
              <w:rPr>
                <w:rFonts w:hint="eastAsia" w:ascii="新宋体" w:hAnsi="新宋体" w:eastAsia="新宋体" w:cs="新宋体"/>
                <w:b/>
                <w:bCs/>
                <w:color w:val="auto"/>
                <w:sz w:val="22"/>
                <w:szCs w:val="22"/>
                <w:highlight w:val="none"/>
              </w:rPr>
            </w:pPr>
          </w:p>
        </w:tc>
        <w:tc>
          <w:tcPr>
            <w:tcW w:w="1440" w:type="dxa"/>
            <w:noWrap w:val="0"/>
            <w:vAlign w:val="center"/>
          </w:tcPr>
          <w:p w14:paraId="245D3F85">
            <w:pPr>
              <w:spacing w:line="380" w:lineRule="exact"/>
              <w:jc w:val="center"/>
              <w:rPr>
                <w:rFonts w:hint="eastAsia" w:ascii="新宋体" w:hAnsi="新宋体" w:eastAsia="新宋体" w:cs="新宋体"/>
                <w:b/>
                <w:bCs/>
                <w:color w:val="auto"/>
                <w:sz w:val="22"/>
                <w:szCs w:val="22"/>
                <w:highlight w:val="none"/>
              </w:rPr>
            </w:pPr>
          </w:p>
        </w:tc>
        <w:tc>
          <w:tcPr>
            <w:tcW w:w="1440" w:type="dxa"/>
            <w:noWrap w:val="0"/>
            <w:vAlign w:val="center"/>
          </w:tcPr>
          <w:p w14:paraId="68F3C4BD">
            <w:pPr>
              <w:spacing w:line="380" w:lineRule="exact"/>
              <w:jc w:val="center"/>
              <w:rPr>
                <w:rFonts w:hint="eastAsia" w:ascii="新宋体" w:hAnsi="新宋体" w:eastAsia="新宋体" w:cs="新宋体"/>
                <w:b/>
                <w:bCs/>
                <w:color w:val="auto"/>
                <w:sz w:val="22"/>
                <w:szCs w:val="22"/>
                <w:highlight w:val="none"/>
              </w:rPr>
            </w:pPr>
          </w:p>
        </w:tc>
        <w:tc>
          <w:tcPr>
            <w:tcW w:w="1080" w:type="dxa"/>
            <w:noWrap w:val="0"/>
            <w:vAlign w:val="center"/>
          </w:tcPr>
          <w:p w14:paraId="70D60CBC">
            <w:pPr>
              <w:spacing w:line="380" w:lineRule="exact"/>
              <w:jc w:val="center"/>
              <w:rPr>
                <w:rFonts w:hint="eastAsia" w:ascii="新宋体" w:hAnsi="新宋体" w:eastAsia="新宋体" w:cs="新宋体"/>
                <w:b/>
                <w:bCs/>
                <w:color w:val="auto"/>
                <w:sz w:val="22"/>
                <w:szCs w:val="22"/>
                <w:highlight w:val="none"/>
              </w:rPr>
            </w:pPr>
          </w:p>
        </w:tc>
      </w:tr>
      <w:tr w14:paraId="64163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020D22D3">
            <w:pPr>
              <w:spacing w:line="380" w:lineRule="exact"/>
              <w:jc w:val="center"/>
              <w:rPr>
                <w:rFonts w:hint="eastAsia" w:ascii="新宋体" w:hAnsi="新宋体" w:eastAsia="新宋体" w:cs="新宋体"/>
                <w:b/>
                <w:bCs/>
                <w:color w:val="auto"/>
                <w:sz w:val="22"/>
                <w:szCs w:val="22"/>
                <w:highlight w:val="none"/>
              </w:rPr>
            </w:pPr>
          </w:p>
        </w:tc>
        <w:tc>
          <w:tcPr>
            <w:tcW w:w="1260" w:type="dxa"/>
            <w:noWrap w:val="0"/>
            <w:vAlign w:val="center"/>
          </w:tcPr>
          <w:p w14:paraId="5A61C172">
            <w:pPr>
              <w:spacing w:line="380" w:lineRule="exact"/>
              <w:jc w:val="center"/>
              <w:rPr>
                <w:rFonts w:hint="eastAsia" w:ascii="新宋体" w:hAnsi="新宋体" w:eastAsia="新宋体" w:cs="新宋体"/>
                <w:b/>
                <w:bCs/>
                <w:color w:val="auto"/>
                <w:sz w:val="22"/>
                <w:szCs w:val="22"/>
                <w:highlight w:val="none"/>
              </w:rPr>
            </w:pPr>
          </w:p>
        </w:tc>
        <w:tc>
          <w:tcPr>
            <w:tcW w:w="1980" w:type="dxa"/>
            <w:noWrap w:val="0"/>
            <w:vAlign w:val="center"/>
          </w:tcPr>
          <w:p w14:paraId="69D382E4">
            <w:pPr>
              <w:spacing w:line="380" w:lineRule="exact"/>
              <w:jc w:val="center"/>
              <w:rPr>
                <w:rFonts w:hint="eastAsia" w:ascii="新宋体" w:hAnsi="新宋体" w:eastAsia="新宋体" w:cs="新宋体"/>
                <w:b/>
                <w:bCs/>
                <w:color w:val="auto"/>
                <w:sz w:val="22"/>
                <w:szCs w:val="22"/>
                <w:highlight w:val="none"/>
              </w:rPr>
            </w:pPr>
          </w:p>
        </w:tc>
        <w:tc>
          <w:tcPr>
            <w:tcW w:w="720" w:type="dxa"/>
            <w:noWrap w:val="0"/>
            <w:vAlign w:val="center"/>
          </w:tcPr>
          <w:p w14:paraId="77EB7D04">
            <w:pPr>
              <w:spacing w:line="380" w:lineRule="exact"/>
              <w:jc w:val="center"/>
              <w:rPr>
                <w:rFonts w:hint="eastAsia" w:ascii="新宋体" w:hAnsi="新宋体" w:eastAsia="新宋体" w:cs="新宋体"/>
                <w:b/>
                <w:bCs/>
                <w:color w:val="auto"/>
                <w:sz w:val="22"/>
                <w:szCs w:val="22"/>
                <w:highlight w:val="none"/>
              </w:rPr>
            </w:pPr>
          </w:p>
        </w:tc>
        <w:tc>
          <w:tcPr>
            <w:tcW w:w="900" w:type="dxa"/>
            <w:noWrap w:val="0"/>
            <w:vAlign w:val="center"/>
          </w:tcPr>
          <w:p w14:paraId="30CB97A6">
            <w:pPr>
              <w:spacing w:line="380" w:lineRule="exact"/>
              <w:jc w:val="center"/>
              <w:rPr>
                <w:rFonts w:hint="eastAsia" w:ascii="新宋体" w:hAnsi="新宋体" w:eastAsia="新宋体" w:cs="新宋体"/>
                <w:b/>
                <w:bCs/>
                <w:color w:val="auto"/>
                <w:sz w:val="22"/>
                <w:szCs w:val="22"/>
                <w:highlight w:val="none"/>
              </w:rPr>
            </w:pPr>
          </w:p>
        </w:tc>
        <w:tc>
          <w:tcPr>
            <w:tcW w:w="1440" w:type="dxa"/>
            <w:noWrap w:val="0"/>
            <w:vAlign w:val="center"/>
          </w:tcPr>
          <w:p w14:paraId="78F49EE5">
            <w:pPr>
              <w:spacing w:line="380" w:lineRule="exact"/>
              <w:jc w:val="center"/>
              <w:rPr>
                <w:rFonts w:hint="eastAsia" w:ascii="新宋体" w:hAnsi="新宋体" w:eastAsia="新宋体" w:cs="新宋体"/>
                <w:b/>
                <w:bCs/>
                <w:color w:val="auto"/>
                <w:sz w:val="22"/>
                <w:szCs w:val="22"/>
                <w:highlight w:val="none"/>
              </w:rPr>
            </w:pPr>
          </w:p>
        </w:tc>
        <w:tc>
          <w:tcPr>
            <w:tcW w:w="1440" w:type="dxa"/>
            <w:noWrap w:val="0"/>
            <w:vAlign w:val="center"/>
          </w:tcPr>
          <w:p w14:paraId="6ECBE637">
            <w:pPr>
              <w:spacing w:line="380" w:lineRule="exact"/>
              <w:jc w:val="center"/>
              <w:rPr>
                <w:rFonts w:hint="eastAsia" w:ascii="新宋体" w:hAnsi="新宋体" w:eastAsia="新宋体" w:cs="新宋体"/>
                <w:b/>
                <w:bCs/>
                <w:color w:val="auto"/>
                <w:sz w:val="22"/>
                <w:szCs w:val="22"/>
                <w:highlight w:val="none"/>
              </w:rPr>
            </w:pPr>
          </w:p>
        </w:tc>
        <w:tc>
          <w:tcPr>
            <w:tcW w:w="1080" w:type="dxa"/>
            <w:noWrap w:val="0"/>
            <w:vAlign w:val="center"/>
          </w:tcPr>
          <w:p w14:paraId="6F3C6EDC">
            <w:pPr>
              <w:spacing w:line="380" w:lineRule="exact"/>
              <w:jc w:val="center"/>
              <w:rPr>
                <w:rFonts w:hint="eastAsia" w:ascii="新宋体" w:hAnsi="新宋体" w:eastAsia="新宋体" w:cs="新宋体"/>
                <w:b/>
                <w:bCs/>
                <w:color w:val="auto"/>
                <w:sz w:val="22"/>
                <w:szCs w:val="22"/>
                <w:highlight w:val="none"/>
              </w:rPr>
            </w:pPr>
          </w:p>
        </w:tc>
      </w:tr>
      <w:tr w14:paraId="464DC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695C7620">
            <w:pPr>
              <w:spacing w:line="380" w:lineRule="exact"/>
              <w:jc w:val="center"/>
              <w:rPr>
                <w:rFonts w:hint="eastAsia" w:ascii="新宋体" w:hAnsi="新宋体" w:eastAsia="新宋体" w:cs="新宋体"/>
                <w:b/>
                <w:bCs/>
                <w:color w:val="auto"/>
                <w:sz w:val="22"/>
                <w:szCs w:val="22"/>
                <w:highlight w:val="none"/>
              </w:rPr>
            </w:pPr>
          </w:p>
        </w:tc>
        <w:tc>
          <w:tcPr>
            <w:tcW w:w="1260" w:type="dxa"/>
            <w:noWrap w:val="0"/>
            <w:vAlign w:val="center"/>
          </w:tcPr>
          <w:p w14:paraId="393D648D">
            <w:pPr>
              <w:spacing w:line="380" w:lineRule="exact"/>
              <w:jc w:val="center"/>
              <w:rPr>
                <w:rFonts w:hint="eastAsia" w:ascii="新宋体" w:hAnsi="新宋体" w:eastAsia="新宋体" w:cs="新宋体"/>
                <w:b/>
                <w:bCs/>
                <w:color w:val="auto"/>
                <w:sz w:val="22"/>
                <w:szCs w:val="22"/>
                <w:highlight w:val="none"/>
              </w:rPr>
            </w:pPr>
          </w:p>
        </w:tc>
        <w:tc>
          <w:tcPr>
            <w:tcW w:w="1980" w:type="dxa"/>
            <w:noWrap w:val="0"/>
            <w:vAlign w:val="center"/>
          </w:tcPr>
          <w:p w14:paraId="7E21515E">
            <w:pPr>
              <w:spacing w:line="380" w:lineRule="exact"/>
              <w:jc w:val="center"/>
              <w:rPr>
                <w:rFonts w:hint="eastAsia" w:ascii="新宋体" w:hAnsi="新宋体" w:eastAsia="新宋体" w:cs="新宋体"/>
                <w:b/>
                <w:bCs/>
                <w:color w:val="auto"/>
                <w:sz w:val="22"/>
                <w:szCs w:val="22"/>
                <w:highlight w:val="none"/>
              </w:rPr>
            </w:pPr>
          </w:p>
        </w:tc>
        <w:tc>
          <w:tcPr>
            <w:tcW w:w="720" w:type="dxa"/>
            <w:noWrap w:val="0"/>
            <w:vAlign w:val="center"/>
          </w:tcPr>
          <w:p w14:paraId="6028D540">
            <w:pPr>
              <w:spacing w:line="380" w:lineRule="exact"/>
              <w:jc w:val="center"/>
              <w:rPr>
                <w:rFonts w:hint="eastAsia" w:ascii="新宋体" w:hAnsi="新宋体" w:eastAsia="新宋体" w:cs="新宋体"/>
                <w:b/>
                <w:bCs/>
                <w:color w:val="auto"/>
                <w:sz w:val="22"/>
                <w:szCs w:val="22"/>
                <w:highlight w:val="none"/>
              </w:rPr>
            </w:pPr>
          </w:p>
        </w:tc>
        <w:tc>
          <w:tcPr>
            <w:tcW w:w="900" w:type="dxa"/>
            <w:noWrap w:val="0"/>
            <w:vAlign w:val="center"/>
          </w:tcPr>
          <w:p w14:paraId="5050E62B">
            <w:pPr>
              <w:spacing w:line="380" w:lineRule="exact"/>
              <w:jc w:val="center"/>
              <w:rPr>
                <w:rFonts w:hint="eastAsia" w:ascii="新宋体" w:hAnsi="新宋体" w:eastAsia="新宋体" w:cs="新宋体"/>
                <w:b/>
                <w:bCs/>
                <w:color w:val="auto"/>
                <w:sz w:val="22"/>
                <w:szCs w:val="22"/>
                <w:highlight w:val="none"/>
              </w:rPr>
            </w:pPr>
          </w:p>
        </w:tc>
        <w:tc>
          <w:tcPr>
            <w:tcW w:w="1440" w:type="dxa"/>
            <w:noWrap w:val="0"/>
            <w:vAlign w:val="center"/>
          </w:tcPr>
          <w:p w14:paraId="181FD81C">
            <w:pPr>
              <w:spacing w:line="380" w:lineRule="exact"/>
              <w:jc w:val="center"/>
              <w:rPr>
                <w:rFonts w:hint="eastAsia" w:ascii="新宋体" w:hAnsi="新宋体" w:eastAsia="新宋体" w:cs="新宋体"/>
                <w:b/>
                <w:bCs/>
                <w:color w:val="auto"/>
                <w:sz w:val="22"/>
                <w:szCs w:val="22"/>
                <w:highlight w:val="none"/>
              </w:rPr>
            </w:pPr>
          </w:p>
        </w:tc>
        <w:tc>
          <w:tcPr>
            <w:tcW w:w="1440" w:type="dxa"/>
            <w:noWrap w:val="0"/>
            <w:vAlign w:val="center"/>
          </w:tcPr>
          <w:p w14:paraId="409AA837">
            <w:pPr>
              <w:spacing w:line="380" w:lineRule="exact"/>
              <w:jc w:val="center"/>
              <w:rPr>
                <w:rFonts w:hint="eastAsia" w:ascii="新宋体" w:hAnsi="新宋体" w:eastAsia="新宋体" w:cs="新宋体"/>
                <w:b/>
                <w:bCs/>
                <w:color w:val="auto"/>
                <w:sz w:val="22"/>
                <w:szCs w:val="22"/>
                <w:highlight w:val="none"/>
              </w:rPr>
            </w:pPr>
          </w:p>
        </w:tc>
        <w:tc>
          <w:tcPr>
            <w:tcW w:w="1080" w:type="dxa"/>
            <w:noWrap w:val="0"/>
            <w:vAlign w:val="center"/>
          </w:tcPr>
          <w:p w14:paraId="5A8AA8CE">
            <w:pPr>
              <w:spacing w:line="380" w:lineRule="exact"/>
              <w:jc w:val="center"/>
              <w:rPr>
                <w:rFonts w:hint="eastAsia" w:ascii="新宋体" w:hAnsi="新宋体" w:eastAsia="新宋体" w:cs="新宋体"/>
                <w:b/>
                <w:bCs/>
                <w:color w:val="auto"/>
                <w:sz w:val="22"/>
                <w:szCs w:val="22"/>
                <w:highlight w:val="none"/>
              </w:rPr>
            </w:pPr>
          </w:p>
        </w:tc>
      </w:tr>
    </w:tbl>
    <w:p w14:paraId="72227595">
      <w:pPr>
        <w:spacing w:line="460" w:lineRule="exact"/>
        <w:ind w:firstLine="5060" w:firstLineChars="23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4A29396A">
      <w:pPr>
        <w:spacing w:line="460" w:lineRule="exact"/>
        <w:ind w:firstLine="5060" w:firstLineChars="23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5E956A81">
      <w:pPr>
        <w:spacing w:line="460" w:lineRule="exact"/>
        <w:ind w:firstLine="5060" w:firstLineChars="23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447632DB">
      <w:pPr>
        <w:spacing w:line="460" w:lineRule="exact"/>
        <w:ind w:firstLine="5269" w:firstLineChars="2395"/>
        <w:rPr>
          <w:rFonts w:hint="eastAsia" w:ascii="新宋体" w:hAnsi="新宋体" w:eastAsia="新宋体" w:cs="新宋体"/>
          <w:color w:val="auto"/>
          <w:sz w:val="22"/>
          <w:szCs w:val="22"/>
          <w:highlight w:val="none"/>
        </w:rPr>
      </w:pPr>
    </w:p>
    <w:p w14:paraId="61E8AF61">
      <w:pPr>
        <w:numPr>
          <w:ilvl w:val="0"/>
          <w:numId w:val="2"/>
        </w:numPr>
        <w:spacing w:line="440" w:lineRule="exact"/>
        <w:jc w:val="left"/>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备品备件清单（如有）</w:t>
      </w:r>
    </w:p>
    <w:p w14:paraId="0941952B">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p>
    <w:p w14:paraId="597B84BD">
      <w:pPr>
        <w:bidi w:val="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项目名称：</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837"/>
        <w:gridCol w:w="863"/>
        <w:gridCol w:w="900"/>
        <w:gridCol w:w="1046"/>
        <w:gridCol w:w="1023"/>
        <w:gridCol w:w="1055"/>
        <w:gridCol w:w="836"/>
      </w:tblGrid>
      <w:tr w14:paraId="224B1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shd w:val="clear" w:color="auto" w:fill="D9D9D9"/>
            <w:noWrap w:val="0"/>
            <w:vAlign w:val="center"/>
          </w:tcPr>
          <w:p w14:paraId="291DD93E">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260" w:type="dxa"/>
            <w:shd w:val="clear" w:color="auto" w:fill="D9D9D9"/>
            <w:noWrap w:val="0"/>
            <w:vAlign w:val="center"/>
          </w:tcPr>
          <w:p w14:paraId="009320BC">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837" w:type="dxa"/>
            <w:shd w:val="clear" w:color="auto" w:fill="D9D9D9"/>
            <w:noWrap w:val="0"/>
            <w:vAlign w:val="center"/>
          </w:tcPr>
          <w:p w14:paraId="1BC35D2E">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品牌、规格型号</w:t>
            </w:r>
          </w:p>
        </w:tc>
        <w:tc>
          <w:tcPr>
            <w:tcW w:w="863" w:type="dxa"/>
            <w:shd w:val="clear" w:color="auto" w:fill="D9D9D9"/>
            <w:noWrap w:val="0"/>
            <w:vAlign w:val="center"/>
          </w:tcPr>
          <w:p w14:paraId="0DA14F5C">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单位</w:t>
            </w:r>
          </w:p>
        </w:tc>
        <w:tc>
          <w:tcPr>
            <w:tcW w:w="900" w:type="dxa"/>
            <w:shd w:val="clear" w:color="auto" w:fill="D9D9D9"/>
            <w:noWrap w:val="0"/>
            <w:vAlign w:val="center"/>
          </w:tcPr>
          <w:p w14:paraId="2EE522D3">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1046" w:type="dxa"/>
            <w:shd w:val="clear" w:color="auto" w:fill="D9D9D9"/>
            <w:noWrap w:val="0"/>
            <w:vAlign w:val="center"/>
          </w:tcPr>
          <w:p w14:paraId="343EF824">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w:t>
            </w:r>
          </w:p>
        </w:tc>
        <w:tc>
          <w:tcPr>
            <w:tcW w:w="1023" w:type="dxa"/>
            <w:shd w:val="clear" w:color="auto" w:fill="D9D9D9"/>
            <w:noWrap w:val="0"/>
            <w:vAlign w:val="center"/>
          </w:tcPr>
          <w:p w14:paraId="36436DC3">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制造商</w:t>
            </w:r>
          </w:p>
        </w:tc>
        <w:tc>
          <w:tcPr>
            <w:tcW w:w="1055" w:type="dxa"/>
            <w:shd w:val="clear" w:color="auto" w:fill="D9D9D9"/>
            <w:noWrap w:val="0"/>
            <w:vAlign w:val="center"/>
          </w:tcPr>
          <w:p w14:paraId="25834DD1">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质保期</w:t>
            </w:r>
          </w:p>
        </w:tc>
        <w:tc>
          <w:tcPr>
            <w:tcW w:w="836" w:type="dxa"/>
            <w:shd w:val="clear" w:color="auto" w:fill="D9D9D9"/>
            <w:noWrap w:val="0"/>
            <w:vAlign w:val="center"/>
          </w:tcPr>
          <w:p w14:paraId="41EC72C3">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单价</w:t>
            </w:r>
          </w:p>
        </w:tc>
      </w:tr>
      <w:tr w14:paraId="6ED8F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62A7931A">
            <w:pPr>
              <w:spacing w:line="380" w:lineRule="exact"/>
              <w:jc w:val="center"/>
              <w:rPr>
                <w:rFonts w:hint="eastAsia" w:ascii="新宋体" w:hAnsi="新宋体" w:eastAsia="新宋体" w:cs="新宋体"/>
                <w:b/>
                <w:bCs/>
                <w:color w:val="auto"/>
                <w:sz w:val="22"/>
                <w:szCs w:val="22"/>
                <w:highlight w:val="none"/>
              </w:rPr>
            </w:pPr>
          </w:p>
        </w:tc>
        <w:tc>
          <w:tcPr>
            <w:tcW w:w="1260" w:type="dxa"/>
            <w:noWrap w:val="0"/>
            <w:vAlign w:val="center"/>
          </w:tcPr>
          <w:p w14:paraId="17985A66">
            <w:pPr>
              <w:spacing w:line="380" w:lineRule="exact"/>
              <w:jc w:val="center"/>
              <w:rPr>
                <w:rFonts w:hint="eastAsia" w:ascii="新宋体" w:hAnsi="新宋体" w:eastAsia="新宋体" w:cs="新宋体"/>
                <w:b/>
                <w:bCs/>
                <w:color w:val="auto"/>
                <w:sz w:val="22"/>
                <w:szCs w:val="22"/>
                <w:highlight w:val="none"/>
              </w:rPr>
            </w:pPr>
          </w:p>
        </w:tc>
        <w:tc>
          <w:tcPr>
            <w:tcW w:w="1837" w:type="dxa"/>
            <w:noWrap w:val="0"/>
            <w:vAlign w:val="center"/>
          </w:tcPr>
          <w:p w14:paraId="3CBF0D01">
            <w:pPr>
              <w:spacing w:line="380" w:lineRule="exact"/>
              <w:jc w:val="center"/>
              <w:rPr>
                <w:rFonts w:hint="eastAsia" w:ascii="新宋体" w:hAnsi="新宋体" w:eastAsia="新宋体" w:cs="新宋体"/>
                <w:b/>
                <w:bCs/>
                <w:color w:val="auto"/>
                <w:sz w:val="22"/>
                <w:szCs w:val="22"/>
                <w:highlight w:val="none"/>
              </w:rPr>
            </w:pPr>
          </w:p>
        </w:tc>
        <w:tc>
          <w:tcPr>
            <w:tcW w:w="863" w:type="dxa"/>
            <w:noWrap w:val="0"/>
            <w:vAlign w:val="center"/>
          </w:tcPr>
          <w:p w14:paraId="55B96835">
            <w:pPr>
              <w:spacing w:line="380" w:lineRule="exact"/>
              <w:jc w:val="center"/>
              <w:rPr>
                <w:rFonts w:hint="eastAsia" w:ascii="新宋体" w:hAnsi="新宋体" w:eastAsia="新宋体" w:cs="新宋体"/>
                <w:b/>
                <w:bCs/>
                <w:color w:val="auto"/>
                <w:sz w:val="22"/>
                <w:szCs w:val="22"/>
                <w:highlight w:val="none"/>
              </w:rPr>
            </w:pPr>
          </w:p>
        </w:tc>
        <w:tc>
          <w:tcPr>
            <w:tcW w:w="900" w:type="dxa"/>
            <w:noWrap w:val="0"/>
            <w:vAlign w:val="center"/>
          </w:tcPr>
          <w:p w14:paraId="21571F96">
            <w:pPr>
              <w:spacing w:line="380" w:lineRule="exact"/>
              <w:jc w:val="center"/>
              <w:rPr>
                <w:rFonts w:hint="eastAsia" w:ascii="新宋体" w:hAnsi="新宋体" w:eastAsia="新宋体" w:cs="新宋体"/>
                <w:b/>
                <w:bCs/>
                <w:color w:val="auto"/>
                <w:sz w:val="22"/>
                <w:szCs w:val="22"/>
                <w:highlight w:val="none"/>
              </w:rPr>
            </w:pPr>
          </w:p>
        </w:tc>
        <w:tc>
          <w:tcPr>
            <w:tcW w:w="1046" w:type="dxa"/>
            <w:noWrap w:val="0"/>
            <w:vAlign w:val="center"/>
          </w:tcPr>
          <w:p w14:paraId="676FB7C8">
            <w:pPr>
              <w:spacing w:line="380" w:lineRule="exact"/>
              <w:jc w:val="center"/>
              <w:rPr>
                <w:rFonts w:hint="eastAsia" w:ascii="新宋体" w:hAnsi="新宋体" w:eastAsia="新宋体" w:cs="新宋体"/>
                <w:b/>
                <w:bCs/>
                <w:color w:val="auto"/>
                <w:sz w:val="22"/>
                <w:szCs w:val="22"/>
                <w:highlight w:val="none"/>
              </w:rPr>
            </w:pPr>
          </w:p>
        </w:tc>
        <w:tc>
          <w:tcPr>
            <w:tcW w:w="1023" w:type="dxa"/>
            <w:noWrap w:val="0"/>
            <w:vAlign w:val="center"/>
          </w:tcPr>
          <w:p w14:paraId="7D14C8ED">
            <w:pPr>
              <w:spacing w:line="380" w:lineRule="exact"/>
              <w:jc w:val="center"/>
              <w:rPr>
                <w:rFonts w:hint="eastAsia" w:ascii="新宋体" w:hAnsi="新宋体" w:eastAsia="新宋体" w:cs="新宋体"/>
                <w:b/>
                <w:bCs/>
                <w:color w:val="auto"/>
                <w:sz w:val="22"/>
                <w:szCs w:val="22"/>
                <w:highlight w:val="none"/>
              </w:rPr>
            </w:pPr>
          </w:p>
        </w:tc>
        <w:tc>
          <w:tcPr>
            <w:tcW w:w="1055" w:type="dxa"/>
            <w:noWrap w:val="0"/>
            <w:vAlign w:val="center"/>
          </w:tcPr>
          <w:p w14:paraId="1D529021">
            <w:pPr>
              <w:spacing w:line="380" w:lineRule="exact"/>
              <w:jc w:val="center"/>
              <w:rPr>
                <w:rFonts w:hint="eastAsia" w:ascii="新宋体" w:hAnsi="新宋体" w:eastAsia="新宋体" w:cs="新宋体"/>
                <w:b/>
                <w:bCs/>
                <w:color w:val="auto"/>
                <w:sz w:val="22"/>
                <w:szCs w:val="22"/>
                <w:highlight w:val="none"/>
              </w:rPr>
            </w:pPr>
          </w:p>
        </w:tc>
        <w:tc>
          <w:tcPr>
            <w:tcW w:w="836" w:type="dxa"/>
            <w:noWrap w:val="0"/>
            <w:vAlign w:val="center"/>
          </w:tcPr>
          <w:p w14:paraId="5332303B">
            <w:pPr>
              <w:spacing w:line="380" w:lineRule="exact"/>
              <w:jc w:val="center"/>
              <w:rPr>
                <w:rFonts w:hint="eastAsia" w:ascii="新宋体" w:hAnsi="新宋体" w:eastAsia="新宋体" w:cs="新宋体"/>
                <w:b/>
                <w:bCs/>
                <w:color w:val="auto"/>
                <w:sz w:val="22"/>
                <w:szCs w:val="22"/>
                <w:highlight w:val="none"/>
              </w:rPr>
            </w:pPr>
          </w:p>
        </w:tc>
      </w:tr>
      <w:tr w14:paraId="14CA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494A2DDD">
            <w:pPr>
              <w:spacing w:line="380" w:lineRule="exact"/>
              <w:jc w:val="center"/>
              <w:rPr>
                <w:rFonts w:hint="eastAsia" w:ascii="新宋体" w:hAnsi="新宋体" w:eastAsia="新宋体" w:cs="新宋体"/>
                <w:b/>
                <w:bCs/>
                <w:color w:val="auto"/>
                <w:sz w:val="22"/>
                <w:szCs w:val="22"/>
                <w:highlight w:val="none"/>
              </w:rPr>
            </w:pPr>
          </w:p>
        </w:tc>
        <w:tc>
          <w:tcPr>
            <w:tcW w:w="1260" w:type="dxa"/>
            <w:noWrap w:val="0"/>
            <w:vAlign w:val="center"/>
          </w:tcPr>
          <w:p w14:paraId="21AB0F08">
            <w:pPr>
              <w:spacing w:line="380" w:lineRule="exact"/>
              <w:jc w:val="center"/>
              <w:rPr>
                <w:rFonts w:hint="eastAsia" w:ascii="新宋体" w:hAnsi="新宋体" w:eastAsia="新宋体" w:cs="新宋体"/>
                <w:b/>
                <w:bCs/>
                <w:color w:val="auto"/>
                <w:sz w:val="22"/>
                <w:szCs w:val="22"/>
                <w:highlight w:val="none"/>
              </w:rPr>
            </w:pPr>
          </w:p>
        </w:tc>
        <w:tc>
          <w:tcPr>
            <w:tcW w:w="1837" w:type="dxa"/>
            <w:noWrap w:val="0"/>
            <w:vAlign w:val="center"/>
          </w:tcPr>
          <w:p w14:paraId="638C3E98">
            <w:pPr>
              <w:spacing w:line="380" w:lineRule="exact"/>
              <w:jc w:val="center"/>
              <w:rPr>
                <w:rFonts w:hint="eastAsia" w:ascii="新宋体" w:hAnsi="新宋体" w:eastAsia="新宋体" w:cs="新宋体"/>
                <w:b/>
                <w:bCs/>
                <w:color w:val="auto"/>
                <w:sz w:val="22"/>
                <w:szCs w:val="22"/>
                <w:highlight w:val="none"/>
              </w:rPr>
            </w:pPr>
          </w:p>
        </w:tc>
        <w:tc>
          <w:tcPr>
            <w:tcW w:w="863" w:type="dxa"/>
            <w:noWrap w:val="0"/>
            <w:vAlign w:val="center"/>
          </w:tcPr>
          <w:p w14:paraId="3A74228D">
            <w:pPr>
              <w:spacing w:line="380" w:lineRule="exact"/>
              <w:jc w:val="center"/>
              <w:rPr>
                <w:rFonts w:hint="eastAsia" w:ascii="新宋体" w:hAnsi="新宋体" w:eastAsia="新宋体" w:cs="新宋体"/>
                <w:b/>
                <w:bCs/>
                <w:color w:val="auto"/>
                <w:sz w:val="22"/>
                <w:szCs w:val="22"/>
                <w:highlight w:val="none"/>
              </w:rPr>
            </w:pPr>
          </w:p>
        </w:tc>
        <w:tc>
          <w:tcPr>
            <w:tcW w:w="900" w:type="dxa"/>
            <w:noWrap w:val="0"/>
            <w:vAlign w:val="center"/>
          </w:tcPr>
          <w:p w14:paraId="481D5A45">
            <w:pPr>
              <w:spacing w:line="380" w:lineRule="exact"/>
              <w:jc w:val="center"/>
              <w:rPr>
                <w:rFonts w:hint="eastAsia" w:ascii="新宋体" w:hAnsi="新宋体" w:eastAsia="新宋体" w:cs="新宋体"/>
                <w:b/>
                <w:bCs/>
                <w:color w:val="auto"/>
                <w:sz w:val="22"/>
                <w:szCs w:val="22"/>
                <w:highlight w:val="none"/>
              </w:rPr>
            </w:pPr>
          </w:p>
        </w:tc>
        <w:tc>
          <w:tcPr>
            <w:tcW w:w="1046" w:type="dxa"/>
            <w:noWrap w:val="0"/>
            <w:vAlign w:val="center"/>
          </w:tcPr>
          <w:p w14:paraId="41A89C00">
            <w:pPr>
              <w:spacing w:line="380" w:lineRule="exact"/>
              <w:jc w:val="center"/>
              <w:rPr>
                <w:rFonts w:hint="eastAsia" w:ascii="新宋体" w:hAnsi="新宋体" w:eastAsia="新宋体" w:cs="新宋体"/>
                <w:b/>
                <w:bCs/>
                <w:color w:val="auto"/>
                <w:sz w:val="22"/>
                <w:szCs w:val="22"/>
                <w:highlight w:val="none"/>
              </w:rPr>
            </w:pPr>
          </w:p>
        </w:tc>
        <w:tc>
          <w:tcPr>
            <w:tcW w:w="1023" w:type="dxa"/>
            <w:noWrap w:val="0"/>
            <w:vAlign w:val="center"/>
          </w:tcPr>
          <w:p w14:paraId="57978D24">
            <w:pPr>
              <w:spacing w:line="380" w:lineRule="exact"/>
              <w:jc w:val="center"/>
              <w:rPr>
                <w:rFonts w:hint="eastAsia" w:ascii="新宋体" w:hAnsi="新宋体" w:eastAsia="新宋体" w:cs="新宋体"/>
                <w:b/>
                <w:bCs/>
                <w:color w:val="auto"/>
                <w:sz w:val="22"/>
                <w:szCs w:val="22"/>
                <w:highlight w:val="none"/>
              </w:rPr>
            </w:pPr>
          </w:p>
        </w:tc>
        <w:tc>
          <w:tcPr>
            <w:tcW w:w="1055" w:type="dxa"/>
            <w:noWrap w:val="0"/>
            <w:vAlign w:val="center"/>
          </w:tcPr>
          <w:p w14:paraId="4557ABF2">
            <w:pPr>
              <w:spacing w:line="380" w:lineRule="exact"/>
              <w:jc w:val="center"/>
              <w:rPr>
                <w:rFonts w:hint="eastAsia" w:ascii="新宋体" w:hAnsi="新宋体" w:eastAsia="新宋体" w:cs="新宋体"/>
                <w:b/>
                <w:bCs/>
                <w:color w:val="auto"/>
                <w:sz w:val="22"/>
                <w:szCs w:val="22"/>
                <w:highlight w:val="none"/>
              </w:rPr>
            </w:pPr>
          </w:p>
        </w:tc>
        <w:tc>
          <w:tcPr>
            <w:tcW w:w="836" w:type="dxa"/>
            <w:noWrap w:val="0"/>
            <w:vAlign w:val="center"/>
          </w:tcPr>
          <w:p w14:paraId="5C77A1E2">
            <w:pPr>
              <w:spacing w:line="380" w:lineRule="exact"/>
              <w:jc w:val="center"/>
              <w:rPr>
                <w:rFonts w:hint="eastAsia" w:ascii="新宋体" w:hAnsi="新宋体" w:eastAsia="新宋体" w:cs="新宋体"/>
                <w:b/>
                <w:bCs/>
                <w:color w:val="auto"/>
                <w:sz w:val="22"/>
                <w:szCs w:val="22"/>
                <w:highlight w:val="none"/>
              </w:rPr>
            </w:pPr>
          </w:p>
        </w:tc>
      </w:tr>
      <w:tr w14:paraId="64C85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68965DEA">
            <w:pPr>
              <w:spacing w:line="380" w:lineRule="exact"/>
              <w:jc w:val="center"/>
              <w:rPr>
                <w:rFonts w:hint="eastAsia" w:ascii="新宋体" w:hAnsi="新宋体" w:eastAsia="新宋体" w:cs="新宋体"/>
                <w:b/>
                <w:bCs/>
                <w:color w:val="auto"/>
                <w:sz w:val="22"/>
                <w:szCs w:val="22"/>
                <w:highlight w:val="none"/>
              </w:rPr>
            </w:pPr>
          </w:p>
        </w:tc>
        <w:tc>
          <w:tcPr>
            <w:tcW w:w="1260" w:type="dxa"/>
            <w:noWrap w:val="0"/>
            <w:vAlign w:val="center"/>
          </w:tcPr>
          <w:p w14:paraId="0ED18A03">
            <w:pPr>
              <w:spacing w:line="380" w:lineRule="exact"/>
              <w:jc w:val="center"/>
              <w:rPr>
                <w:rFonts w:hint="eastAsia" w:ascii="新宋体" w:hAnsi="新宋体" w:eastAsia="新宋体" w:cs="新宋体"/>
                <w:b/>
                <w:bCs/>
                <w:color w:val="auto"/>
                <w:sz w:val="22"/>
                <w:szCs w:val="22"/>
                <w:highlight w:val="none"/>
              </w:rPr>
            </w:pPr>
          </w:p>
        </w:tc>
        <w:tc>
          <w:tcPr>
            <w:tcW w:w="1837" w:type="dxa"/>
            <w:noWrap w:val="0"/>
            <w:vAlign w:val="center"/>
          </w:tcPr>
          <w:p w14:paraId="1156B9E1">
            <w:pPr>
              <w:spacing w:line="380" w:lineRule="exact"/>
              <w:jc w:val="center"/>
              <w:rPr>
                <w:rFonts w:hint="eastAsia" w:ascii="新宋体" w:hAnsi="新宋体" w:eastAsia="新宋体" w:cs="新宋体"/>
                <w:b/>
                <w:bCs/>
                <w:color w:val="auto"/>
                <w:sz w:val="22"/>
                <w:szCs w:val="22"/>
                <w:highlight w:val="none"/>
              </w:rPr>
            </w:pPr>
          </w:p>
        </w:tc>
        <w:tc>
          <w:tcPr>
            <w:tcW w:w="863" w:type="dxa"/>
            <w:noWrap w:val="0"/>
            <w:vAlign w:val="center"/>
          </w:tcPr>
          <w:p w14:paraId="79518D8D">
            <w:pPr>
              <w:spacing w:line="380" w:lineRule="exact"/>
              <w:jc w:val="center"/>
              <w:rPr>
                <w:rFonts w:hint="eastAsia" w:ascii="新宋体" w:hAnsi="新宋体" w:eastAsia="新宋体" w:cs="新宋体"/>
                <w:b/>
                <w:bCs/>
                <w:color w:val="auto"/>
                <w:sz w:val="22"/>
                <w:szCs w:val="22"/>
                <w:highlight w:val="none"/>
              </w:rPr>
            </w:pPr>
          </w:p>
        </w:tc>
        <w:tc>
          <w:tcPr>
            <w:tcW w:w="900" w:type="dxa"/>
            <w:noWrap w:val="0"/>
            <w:vAlign w:val="center"/>
          </w:tcPr>
          <w:p w14:paraId="11A9A825">
            <w:pPr>
              <w:spacing w:line="380" w:lineRule="exact"/>
              <w:jc w:val="center"/>
              <w:rPr>
                <w:rFonts w:hint="eastAsia" w:ascii="新宋体" w:hAnsi="新宋体" w:eastAsia="新宋体" w:cs="新宋体"/>
                <w:b/>
                <w:bCs/>
                <w:color w:val="auto"/>
                <w:sz w:val="22"/>
                <w:szCs w:val="22"/>
                <w:highlight w:val="none"/>
              </w:rPr>
            </w:pPr>
          </w:p>
        </w:tc>
        <w:tc>
          <w:tcPr>
            <w:tcW w:w="1046" w:type="dxa"/>
            <w:noWrap w:val="0"/>
            <w:vAlign w:val="center"/>
          </w:tcPr>
          <w:p w14:paraId="0A88DCCC">
            <w:pPr>
              <w:spacing w:line="380" w:lineRule="exact"/>
              <w:jc w:val="center"/>
              <w:rPr>
                <w:rFonts w:hint="eastAsia" w:ascii="新宋体" w:hAnsi="新宋体" w:eastAsia="新宋体" w:cs="新宋体"/>
                <w:b/>
                <w:bCs/>
                <w:color w:val="auto"/>
                <w:sz w:val="22"/>
                <w:szCs w:val="22"/>
                <w:highlight w:val="none"/>
              </w:rPr>
            </w:pPr>
          </w:p>
        </w:tc>
        <w:tc>
          <w:tcPr>
            <w:tcW w:w="1023" w:type="dxa"/>
            <w:noWrap w:val="0"/>
            <w:vAlign w:val="center"/>
          </w:tcPr>
          <w:p w14:paraId="1AA2BE40">
            <w:pPr>
              <w:spacing w:line="380" w:lineRule="exact"/>
              <w:jc w:val="center"/>
              <w:rPr>
                <w:rFonts w:hint="eastAsia" w:ascii="新宋体" w:hAnsi="新宋体" w:eastAsia="新宋体" w:cs="新宋体"/>
                <w:b/>
                <w:bCs/>
                <w:color w:val="auto"/>
                <w:sz w:val="22"/>
                <w:szCs w:val="22"/>
                <w:highlight w:val="none"/>
              </w:rPr>
            </w:pPr>
          </w:p>
        </w:tc>
        <w:tc>
          <w:tcPr>
            <w:tcW w:w="1055" w:type="dxa"/>
            <w:noWrap w:val="0"/>
            <w:vAlign w:val="center"/>
          </w:tcPr>
          <w:p w14:paraId="42E5494A">
            <w:pPr>
              <w:spacing w:line="380" w:lineRule="exact"/>
              <w:jc w:val="center"/>
              <w:rPr>
                <w:rFonts w:hint="eastAsia" w:ascii="新宋体" w:hAnsi="新宋体" w:eastAsia="新宋体" w:cs="新宋体"/>
                <w:b/>
                <w:bCs/>
                <w:color w:val="auto"/>
                <w:sz w:val="22"/>
                <w:szCs w:val="22"/>
                <w:highlight w:val="none"/>
              </w:rPr>
            </w:pPr>
          </w:p>
        </w:tc>
        <w:tc>
          <w:tcPr>
            <w:tcW w:w="836" w:type="dxa"/>
            <w:noWrap w:val="0"/>
            <w:vAlign w:val="center"/>
          </w:tcPr>
          <w:p w14:paraId="4902F8B2">
            <w:pPr>
              <w:spacing w:line="380" w:lineRule="exact"/>
              <w:jc w:val="center"/>
              <w:rPr>
                <w:rFonts w:hint="eastAsia" w:ascii="新宋体" w:hAnsi="新宋体" w:eastAsia="新宋体" w:cs="新宋体"/>
                <w:b/>
                <w:bCs/>
                <w:color w:val="auto"/>
                <w:sz w:val="22"/>
                <w:szCs w:val="22"/>
                <w:highlight w:val="none"/>
              </w:rPr>
            </w:pPr>
          </w:p>
        </w:tc>
      </w:tr>
      <w:tr w14:paraId="5BDCA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34DE5505">
            <w:pPr>
              <w:spacing w:line="380" w:lineRule="exact"/>
              <w:jc w:val="center"/>
              <w:rPr>
                <w:rFonts w:hint="eastAsia" w:ascii="新宋体" w:hAnsi="新宋体" w:eastAsia="新宋体" w:cs="新宋体"/>
                <w:b/>
                <w:bCs/>
                <w:color w:val="auto"/>
                <w:sz w:val="22"/>
                <w:szCs w:val="22"/>
                <w:highlight w:val="none"/>
              </w:rPr>
            </w:pPr>
          </w:p>
        </w:tc>
        <w:tc>
          <w:tcPr>
            <w:tcW w:w="1260" w:type="dxa"/>
            <w:noWrap w:val="0"/>
            <w:vAlign w:val="center"/>
          </w:tcPr>
          <w:p w14:paraId="168B8D35">
            <w:pPr>
              <w:spacing w:line="380" w:lineRule="exact"/>
              <w:jc w:val="center"/>
              <w:rPr>
                <w:rFonts w:hint="eastAsia" w:ascii="新宋体" w:hAnsi="新宋体" w:eastAsia="新宋体" w:cs="新宋体"/>
                <w:b/>
                <w:bCs/>
                <w:color w:val="auto"/>
                <w:sz w:val="22"/>
                <w:szCs w:val="22"/>
                <w:highlight w:val="none"/>
              </w:rPr>
            </w:pPr>
          </w:p>
        </w:tc>
        <w:tc>
          <w:tcPr>
            <w:tcW w:w="1837" w:type="dxa"/>
            <w:noWrap w:val="0"/>
            <w:vAlign w:val="center"/>
          </w:tcPr>
          <w:p w14:paraId="4C31CD3D">
            <w:pPr>
              <w:spacing w:line="380" w:lineRule="exact"/>
              <w:jc w:val="center"/>
              <w:rPr>
                <w:rFonts w:hint="eastAsia" w:ascii="新宋体" w:hAnsi="新宋体" w:eastAsia="新宋体" w:cs="新宋体"/>
                <w:b/>
                <w:bCs/>
                <w:color w:val="auto"/>
                <w:sz w:val="22"/>
                <w:szCs w:val="22"/>
                <w:highlight w:val="none"/>
              </w:rPr>
            </w:pPr>
          </w:p>
        </w:tc>
        <w:tc>
          <w:tcPr>
            <w:tcW w:w="863" w:type="dxa"/>
            <w:noWrap w:val="0"/>
            <w:vAlign w:val="center"/>
          </w:tcPr>
          <w:p w14:paraId="6C97BE22">
            <w:pPr>
              <w:spacing w:line="380" w:lineRule="exact"/>
              <w:jc w:val="center"/>
              <w:rPr>
                <w:rFonts w:hint="eastAsia" w:ascii="新宋体" w:hAnsi="新宋体" w:eastAsia="新宋体" w:cs="新宋体"/>
                <w:b/>
                <w:bCs/>
                <w:color w:val="auto"/>
                <w:sz w:val="22"/>
                <w:szCs w:val="22"/>
                <w:highlight w:val="none"/>
              </w:rPr>
            </w:pPr>
          </w:p>
        </w:tc>
        <w:tc>
          <w:tcPr>
            <w:tcW w:w="900" w:type="dxa"/>
            <w:noWrap w:val="0"/>
            <w:vAlign w:val="center"/>
          </w:tcPr>
          <w:p w14:paraId="52030009">
            <w:pPr>
              <w:spacing w:line="380" w:lineRule="exact"/>
              <w:jc w:val="center"/>
              <w:rPr>
                <w:rFonts w:hint="eastAsia" w:ascii="新宋体" w:hAnsi="新宋体" w:eastAsia="新宋体" w:cs="新宋体"/>
                <w:b/>
                <w:bCs/>
                <w:color w:val="auto"/>
                <w:sz w:val="22"/>
                <w:szCs w:val="22"/>
                <w:highlight w:val="none"/>
              </w:rPr>
            </w:pPr>
          </w:p>
        </w:tc>
        <w:tc>
          <w:tcPr>
            <w:tcW w:w="1046" w:type="dxa"/>
            <w:noWrap w:val="0"/>
            <w:vAlign w:val="center"/>
          </w:tcPr>
          <w:p w14:paraId="23E37182">
            <w:pPr>
              <w:spacing w:line="380" w:lineRule="exact"/>
              <w:jc w:val="center"/>
              <w:rPr>
                <w:rFonts w:hint="eastAsia" w:ascii="新宋体" w:hAnsi="新宋体" w:eastAsia="新宋体" w:cs="新宋体"/>
                <w:b/>
                <w:bCs/>
                <w:color w:val="auto"/>
                <w:sz w:val="22"/>
                <w:szCs w:val="22"/>
                <w:highlight w:val="none"/>
              </w:rPr>
            </w:pPr>
          </w:p>
        </w:tc>
        <w:tc>
          <w:tcPr>
            <w:tcW w:w="1023" w:type="dxa"/>
            <w:noWrap w:val="0"/>
            <w:vAlign w:val="center"/>
          </w:tcPr>
          <w:p w14:paraId="42270428">
            <w:pPr>
              <w:spacing w:line="380" w:lineRule="exact"/>
              <w:jc w:val="center"/>
              <w:rPr>
                <w:rFonts w:hint="eastAsia" w:ascii="新宋体" w:hAnsi="新宋体" w:eastAsia="新宋体" w:cs="新宋体"/>
                <w:b/>
                <w:bCs/>
                <w:color w:val="auto"/>
                <w:sz w:val="22"/>
                <w:szCs w:val="22"/>
                <w:highlight w:val="none"/>
              </w:rPr>
            </w:pPr>
          </w:p>
        </w:tc>
        <w:tc>
          <w:tcPr>
            <w:tcW w:w="1055" w:type="dxa"/>
            <w:noWrap w:val="0"/>
            <w:vAlign w:val="center"/>
          </w:tcPr>
          <w:p w14:paraId="0DF94109">
            <w:pPr>
              <w:spacing w:line="380" w:lineRule="exact"/>
              <w:jc w:val="center"/>
              <w:rPr>
                <w:rFonts w:hint="eastAsia" w:ascii="新宋体" w:hAnsi="新宋体" w:eastAsia="新宋体" w:cs="新宋体"/>
                <w:b/>
                <w:bCs/>
                <w:color w:val="auto"/>
                <w:sz w:val="22"/>
                <w:szCs w:val="22"/>
                <w:highlight w:val="none"/>
              </w:rPr>
            </w:pPr>
          </w:p>
        </w:tc>
        <w:tc>
          <w:tcPr>
            <w:tcW w:w="836" w:type="dxa"/>
            <w:noWrap w:val="0"/>
            <w:vAlign w:val="center"/>
          </w:tcPr>
          <w:p w14:paraId="059F9690">
            <w:pPr>
              <w:spacing w:line="380" w:lineRule="exact"/>
              <w:jc w:val="center"/>
              <w:rPr>
                <w:rFonts w:hint="eastAsia" w:ascii="新宋体" w:hAnsi="新宋体" w:eastAsia="新宋体" w:cs="新宋体"/>
                <w:b/>
                <w:bCs/>
                <w:color w:val="auto"/>
                <w:sz w:val="22"/>
                <w:szCs w:val="22"/>
                <w:highlight w:val="none"/>
              </w:rPr>
            </w:pPr>
          </w:p>
        </w:tc>
      </w:tr>
    </w:tbl>
    <w:p w14:paraId="759DCB2D">
      <w:pPr>
        <w:spacing w:line="460" w:lineRule="exact"/>
        <w:ind w:firstLine="5060" w:firstLineChars="23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0417DD70">
      <w:pPr>
        <w:spacing w:line="460" w:lineRule="exact"/>
        <w:ind w:firstLine="5060" w:firstLineChars="23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24E7C109">
      <w:pPr>
        <w:spacing w:line="460" w:lineRule="exact"/>
        <w:ind w:firstLine="5060" w:firstLineChars="23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5BE540F3">
      <w:pPr>
        <w:spacing w:line="460" w:lineRule="exact"/>
        <w:rPr>
          <w:rFonts w:hint="eastAsia" w:ascii="新宋体" w:hAnsi="新宋体" w:eastAsia="新宋体" w:cs="新宋体"/>
          <w:color w:val="auto"/>
          <w:sz w:val="22"/>
          <w:szCs w:val="22"/>
          <w:highlight w:val="none"/>
        </w:rPr>
      </w:pPr>
    </w:p>
    <w:p w14:paraId="100BBBE8">
      <w:pPr>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br w:type="page"/>
      </w:r>
    </w:p>
    <w:p w14:paraId="5FE25490">
      <w:pPr>
        <w:spacing w:line="42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4、</w:t>
      </w:r>
      <w:r>
        <w:rPr>
          <w:rFonts w:hint="eastAsia" w:ascii="新宋体" w:hAnsi="新宋体" w:eastAsia="新宋体" w:cs="新宋体"/>
          <w:b/>
          <w:bCs/>
          <w:color w:val="auto"/>
          <w:sz w:val="28"/>
          <w:szCs w:val="28"/>
          <w:highlight w:val="none"/>
          <w:lang w:val="zh-CN" w:eastAsia="zh-CN"/>
        </w:rPr>
        <w:t>偏离表（</w:t>
      </w:r>
      <w:r>
        <w:rPr>
          <w:rFonts w:hint="eastAsia" w:ascii="新宋体" w:hAnsi="新宋体" w:eastAsia="新宋体" w:cs="新宋体"/>
          <w:b/>
          <w:bCs/>
          <w:color w:val="auto"/>
          <w:sz w:val="28"/>
          <w:szCs w:val="28"/>
          <w:highlight w:val="none"/>
          <w:lang w:val="en-US" w:eastAsia="zh-CN"/>
        </w:rPr>
        <w:t>商务、技术偏离</w:t>
      </w:r>
      <w:r>
        <w:rPr>
          <w:rFonts w:hint="eastAsia" w:ascii="新宋体" w:hAnsi="新宋体" w:eastAsia="新宋体" w:cs="新宋体"/>
          <w:b/>
          <w:bCs/>
          <w:color w:val="auto"/>
          <w:sz w:val="28"/>
          <w:szCs w:val="28"/>
          <w:highlight w:val="none"/>
          <w:lang w:val="zh-CN" w:eastAsia="zh-CN"/>
        </w:rPr>
        <w:t>）</w:t>
      </w:r>
    </w:p>
    <w:p w14:paraId="722E0E5B">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p>
    <w:p w14:paraId="61E05566">
      <w:pPr>
        <w:bidi w:val="0"/>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项目名称：</w:t>
      </w:r>
    </w:p>
    <w:tbl>
      <w:tblPr>
        <w:tblStyle w:val="53"/>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687"/>
        <w:gridCol w:w="3402"/>
        <w:gridCol w:w="1580"/>
      </w:tblGrid>
      <w:tr w14:paraId="0AA4B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91" w:type="dxa"/>
            <w:shd w:val="clear" w:color="auto" w:fill="FFFFFF"/>
            <w:vAlign w:val="center"/>
          </w:tcPr>
          <w:p w14:paraId="5DCD2C09">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  号</w:t>
            </w:r>
          </w:p>
        </w:tc>
        <w:tc>
          <w:tcPr>
            <w:tcW w:w="3687" w:type="dxa"/>
            <w:shd w:val="clear" w:color="auto" w:fill="FFFFFF"/>
            <w:vAlign w:val="center"/>
          </w:tcPr>
          <w:p w14:paraId="7D1E3A1F">
            <w:pPr>
              <w:jc w:val="center"/>
              <w:rPr>
                <w:rFonts w:hint="eastAsia" w:ascii="新宋体" w:hAnsi="新宋体" w:eastAsia="新宋体" w:cs="新宋体"/>
                <w:b/>
                <w:color w:val="auto"/>
                <w:sz w:val="22"/>
                <w:szCs w:val="22"/>
                <w:highlight w:val="none"/>
                <w:lang w:eastAsia="zh-CN"/>
              </w:rPr>
            </w:pPr>
            <w:r>
              <w:rPr>
                <w:rFonts w:hint="eastAsia" w:ascii="新宋体" w:hAnsi="新宋体" w:eastAsia="新宋体" w:cs="新宋体"/>
                <w:b/>
                <w:color w:val="auto"/>
                <w:sz w:val="22"/>
                <w:szCs w:val="22"/>
                <w:highlight w:val="none"/>
                <w:lang w:eastAsia="zh-CN"/>
              </w:rPr>
              <w:t>采购文件</w:t>
            </w:r>
          </w:p>
          <w:p w14:paraId="57605AEF">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规格要求</w:t>
            </w:r>
          </w:p>
        </w:tc>
        <w:tc>
          <w:tcPr>
            <w:tcW w:w="3402" w:type="dxa"/>
            <w:shd w:val="clear" w:color="auto" w:fill="FFFFFF"/>
            <w:vAlign w:val="center"/>
          </w:tcPr>
          <w:p w14:paraId="27CF1961">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投标文件</w:t>
            </w:r>
          </w:p>
          <w:p w14:paraId="53F46BB3">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对应规格</w:t>
            </w:r>
          </w:p>
        </w:tc>
        <w:tc>
          <w:tcPr>
            <w:tcW w:w="1580" w:type="dxa"/>
            <w:shd w:val="clear" w:color="auto" w:fill="FFFFFF"/>
            <w:vAlign w:val="center"/>
          </w:tcPr>
          <w:p w14:paraId="00F88C28">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   明</w:t>
            </w:r>
          </w:p>
        </w:tc>
      </w:tr>
      <w:tr w14:paraId="3359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91" w:type="dxa"/>
            <w:vAlign w:val="center"/>
          </w:tcPr>
          <w:p w14:paraId="4170E7C9">
            <w:pPr>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3687" w:type="dxa"/>
            <w:vAlign w:val="center"/>
          </w:tcPr>
          <w:p w14:paraId="62AEA07C">
            <w:pPr>
              <w:jc w:val="center"/>
              <w:rPr>
                <w:rFonts w:hint="eastAsia" w:ascii="新宋体" w:hAnsi="新宋体" w:eastAsia="新宋体" w:cs="新宋体"/>
                <w:color w:val="auto"/>
                <w:sz w:val="22"/>
                <w:szCs w:val="22"/>
                <w:highlight w:val="none"/>
              </w:rPr>
            </w:pPr>
          </w:p>
        </w:tc>
        <w:tc>
          <w:tcPr>
            <w:tcW w:w="3402" w:type="dxa"/>
            <w:vAlign w:val="center"/>
          </w:tcPr>
          <w:p w14:paraId="165B52D3">
            <w:pPr>
              <w:jc w:val="center"/>
              <w:rPr>
                <w:rFonts w:hint="eastAsia" w:ascii="新宋体" w:hAnsi="新宋体" w:eastAsia="新宋体" w:cs="新宋体"/>
                <w:color w:val="auto"/>
                <w:sz w:val="22"/>
                <w:szCs w:val="22"/>
                <w:highlight w:val="none"/>
              </w:rPr>
            </w:pPr>
          </w:p>
        </w:tc>
        <w:tc>
          <w:tcPr>
            <w:tcW w:w="1580" w:type="dxa"/>
            <w:vAlign w:val="center"/>
          </w:tcPr>
          <w:p w14:paraId="55B25425">
            <w:pPr>
              <w:jc w:val="center"/>
              <w:rPr>
                <w:rFonts w:hint="eastAsia" w:ascii="新宋体" w:hAnsi="新宋体" w:eastAsia="新宋体" w:cs="新宋体"/>
                <w:color w:val="auto"/>
                <w:sz w:val="22"/>
                <w:szCs w:val="22"/>
                <w:highlight w:val="none"/>
              </w:rPr>
            </w:pPr>
          </w:p>
        </w:tc>
      </w:tr>
      <w:tr w14:paraId="740D6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4A09440C">
            <w:pPr>
              <w:jc w:val="center"/>
              <w:rPr>
                <w:rFonts w:hint="eastAsia" w:ascii="新宋体" w:hAnsi="新宋体" w:eastAsia="新宋体" w:cs="新宋体"/>
                <w:color w:val="auto"/>
                <w:sz w:val="22"/>
                <w:szCs w:val="22"/>
                <w:highlight w:val="none"/>
              </w:rPr>
            </w:pPr>
          </w:p>
        </w:tc>
        <w:tc>
          <w:tcPr>
            <w:tcW w:w="3687" w:type="dxa"/>
            <w:vAlign w:val="center"/>
          </w:tcPr>
          <w:p w14:paraId="19179EC9">
            <w:pPr>
              <w:jc w:val="center"/>
              <w:rPr>
                <w:rFonts w:hint="eastAsia" w:ascii="新宋体" w:hAnsi="新宋体" w:eastAsia="新宋体" w:cs="新宋体"/>
                <w:color w:val="auto"/>
                <w:sz w:val="22"/>
                <w:szCs w:val="22"/>
                <w:highlight w:val="none"/>
              </w:rPr>
            </w:pPr>
          </w:p>
        </w:tc>
        <w:tc>
          <w:tcPr>
            <w:tcW w:w="3402" w:type="dxa"/>
            <w:vAlign w:val="center"/>
          </w:tcPr>
          <w:p w14:paraId="3A4001EC">
            <w:pPr>
              <w:jc w:val="center"/>
              <w:rPr>
                <w:rFonts w:hint="eastAsia" w:ascii="新宋体" w:hAnsi="新宋体" w:eastAsia="新宋体" w:cs="新宋体"/>
                <w:color w:val="auto"/>
                <w:sz w:val="22"/>
                <w:szCs w:val="22"/>
                <w:highlight w:val="none"/>
              </w:rPr>
            </w:pPr>
          </w:p>
        </w:tc>
        <w:tc>
          <w:tcPr>
            <w:tcW w:w="1580" w:type="dxa"/>
            <w:vAlign w:val="center"/>
          </w:tcPr>
          <w:p w14:paraId="4D771558">
            <w:pPr>
              <w:jc w:val="center"/>
              <w:rPr>
                <w:rFonts w:hint="eastAsia" w:ascii="新宋体" w:hAnsi="新宋体" w:eastAsia="新宋体" w:cs="新宋体"/>
                <w:color w:val="auto"/>
                <w:sz w:val="22"/>
                <w:szCs w:val="22"/>
                <w:highlight w:val="none"/>
              </w:rPr>
            </w:pPr>
          </w:p>
        </w:tc>
      </w:tr>
      <w:tr w14:paraId="1157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2BF91292">
            <w:pPr>
              <w:jc w:val="center"/>
              <w:rPr>
                <w:rFonts w:hint="eastAsia" w:ascii="新宋体" w:hAnsi="新宋体" w:eastAsia="新宋体" w:cs="新宋体"/>
                <w:color w:val="auto"/>
                <w:sz w:val="22"/>
                <w:szCs w:val="22"/>
                <w:highlight w:val="none"/>
              </w:rPr>
            </w:pPr>
          </w:p>
        </w:tc>
        <w:tc>
          <w:tcPr>
            <w:tcW w:w="3687" w:type="dxa"/>
            <w:vAlign w:val="center"/>
          </w:tcPr>
          <w:p w14:paraId="6900CD31">
            <w:pPr>
              <w:jc w:val="center"/>
              <w:rPr>
                <w:rFonts w:hint="eastAsia" w:ascii="新宋体" w:hAnsi="新宋体" w:eastAsia="新宋体" w:cs="新宋体"/>
                <w:color w:val="auto"/>
                <w:sz w:val="22"/>
                <w:szCs w:val="22"/>
                <w:highlight w:val="none"/>
              </w:rPr>
            </w:pPr>
          </w:p>
        </w:tc>
        <w:tc>
          <w:tcPr>
            <w:tcW w:w="3402" w:type="dxa"/>
            <w:vAlign w:val="center"/>
          </w:tcPr>
          <w:p w14:paraId="65E46059">
            <w:pPr>
              <w:jc w:val="center"/>
              <w:rPr>
                <w:rFonts w:hint="eastAsia" w:ascii="新宋体" w:hAnsi="新宋体" w:eastAsia="新宋体" w:cs="新宋体"/>
                <w:color w:val="auto"/>
                <w:sz w:val="22"/>
                <w:szCs w:val="22"/>
                <w:highlight w:val="none"/>
              </w:rPr>
            </w:pPr>
          </w:p>
        </w:tc>
        <w:tc>
          <w:tcPr>
            <w:tcW w:w="1580" w:type="dxa"/>
            <w:vAlign w:val="center"/>
          </w:tcPr>
          <w:p w14:paraId="409F74A6">
            <w:pPr>
              <w:jc w:val="center"/>
              <w:rPr>
                <w:rFonts w:hint="eastAsia" w:ascii="新宋体" w:hAnsi="新宋体" w:eastAsia="新宋体" w:cs="新宋体"/>
                <w:color w:val="auto"/>
                <w:sz w:val="22"/>
                <w:szCs w:val="22"/>
                <w:highlight w:val="none"/>
              </w:rPr>
            </w:pPr>
          </w:p>
        </w:tc>
      </w:tr>
      <w:tr w14:paraId="6543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2B7731A9">
            <w:pPr>
              <w:jc w:val="center"/>
              <w:rPr>
                <w:rFonts w:hint="eastAsia" w:ascii="新宋体" w:hAnsi="新宋体" w:eastAsia="新宋体" w:cs="新宋体"/>
                <w:color w:val="auto"/>
                <w:sz w:val="22"/>
                <w:szCs w:val="22"/>
                <w:highlight w:val="none"/>
              </w:rPr>
            </w:pPr>
          </w:p>
        </w:tc>
        <w:tc>
          <w:tcPr>
            <w:tcW w:w="3687" w:type="dxa"/>
            <w:vAlign w:val="center"/>
          </w:tcPr>
          <w:p w14:paraId="6E646B31">
            <w:pPr>
              <w:jc w:val="center"/>
              <w:rPr>
                <w:rFonts w:hint="eastAsia" w:ascii="新宋体" w:hAnsi="新宋体" w:eastAsia="新宋体" w:cs="新宋体"/>
                <w:color w:val="auto"/>
                <w:sz w:val="22"/>
                <w:szCs w:val="22"/>
                <w:highlight w:val="none"/>
              </w:rPr>
            </w:pPr>
          </w:p>
        </w:tc>
        <w:tc>
          <w:tcPr>
            <w:tcW w:w="3402" w:type="dxa"/>
            <w:vAlign w:val="center"/>
          </w:tcPr>
          <w:p w14:paraId="600D2DBD">
            <w:pPr>
              <w:jc w:val="center"/>
              <w:rPr>
                <w:rFonts w:hint="eastAsia" w:ascii="新宋体" w:hAnsi="新宋体" w:eastAsia="新宋体" w:cs="新宋体"/>
                <w:color w:val="auto"/>
                <w:sz w:val="22"/>
                <w:szCs w:val="22"/>
                <w:highlight w:val="none"/>
              </w:rPr>
            </w:pPr>
          </w:p>
        </w:tc>
        <w:tc>
          <w:tcPr>
            <w:tcW w:w="1580" w:type="dxa"/>
            <w:vAlign w:val="center"/>
          </w:tcPr>
          <w:p w14:paraId="7EC82E16">
            <w:pPr>
              <w:jc w:val="center"/>
              <w:rPr>
                <w:rFonts w:hint="eastAsia" w:ascii="新宋体" w:hAnsi="新宋体" w:eastAsia="新宋体" w:cs="新宋体"/>
                <w:color w:val="auto"/>
                <w:sz w:val="22"/>
                <w:szCs w:val="22"/>
                <w:highlight w:val="none"/>
              </w:rPr>
            </w:pPr>
          </w:p>
        </w:tc>
      </w:tr>
      <w:tr w14:paraId="0B31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71637D9F">
            <w:pPr>
              <w:jc w:val="center"/>
              <w:rPr>
                <w:rFonts w:hint="eastAsia" w:ascii="新宋体" w:hAnsi="新宋体" w:eastAsia="新宋体" w:cs="新宋体"/>
                <w:color w:val="auto"/>
                <w:sz w:val="22"/>
                <w:szCs w:val="22"/>
                <w:highlight w:val="none"/>
              </w:rPr>
            </w:pPr>
          </w:p>
        </w:tc>
        <w:tc>
          <w:tcPr>
            <w:tcW w:w="3687" w:type="dxa"/>
            <w:vAlign w:val="center"/>
          </w:tcPr>
          <w:p w14:paraId="12A15522">
            <w:pPr>
              <w:jc w:val="center"/>
              <w:rPr>
                <w:rFonts w:hint="eastAsia" w:ascii="新宋体" w:hAnsi="新宋体" w:eastAsia="新宋体" w:cs="新宋体"/>
                <w:color w:val="auto"/>
                <w:sz w:val="22"/>
                <w:szCs w:val="22"/>
                <w:highlight w:val="none"/>
              </w:rPr>
            </w:pPr>
          </w:p>
        </w:tc>
        <w:tc>
          <w:tcPr>
            <w:tcW w:w="3402" w:type="dxa"/>
            <w:vAlign w:val="center"/>
          </w:tcPr>
          <w:p w14:paraId="7C8AA5C9">
            <w:pPr>
              <w:jc w:val="center"/>
              <w:rPr>
                <w:rFonts w:hint="eastAsia" w:ascii="新宋体" w:hAnsi="新宋体" w:eastAsia="新宋体" w:cs="新宋体"/>
                <w:color w:val="auto"/>
                <w:sz w:val="22"/>
                <w:szCs w:val="22"/>
                <w:highlight w:val="none"/>
              </w:rPr>
            </w:pPr>
          </w:p>
        </w:tc>
        <w:tc>
          <w:tcPr>
            <w:tcW w:w="1580" w:type="dxa"/>
            <w:vAlign w:val="center"/>
          </w:tcPr>
          <w:p w14:paraId="1B7437FD">
            <w:pPr>
              <w:jc w:val="center"/>
              <w:rPr>
                <w:rFonts w:hint="eastAsia" w:ascii="新宋体" w:hAnsi="新宋体" w:eastAsia="新宋体" w:cs="新宋体"/>
                <w:color w:val="auto"/>
                <w:sz w:val="22"/>
                <w:szCs w:val="22"/>
                <w:highlight w:val="none"/>
              </w:rPr>
            </w:pPr>
          </w:p>
        </w:tc>
      </w:tr>
      <w:tr w14:paraId="2DE7B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26E72289">
            <w:pPr>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3687" w:type="dxa"/>
            <w:vAlign w:val="center"/>
          </w:tcPr>
          <w:p w14:paraId="2C7C2E0E">
            <w:pPr>
              <w:jc w:val="center"/>
              <w:rPr>
                <w:rFonts w:hint="eastAsia" w:ascii="新宋体" w:hAnsi="新宋体" w:eastAsia="新宋体" w:cs="新宋体"/>
                <w:color w:val="auto"/>
                <w:sz w:val="22"/>
                <w:szCs w:val="22"/>
                <w:highlight w:val="none"/>
              </w:rPr>
            </w:pPr>
          </w:p>
        </w:tc>
        <w:tc>
          <w:tcPr>
            <w:tcW w:w="3402" w:type="dxa"/>
            <w:vAlign w:val="center"/>
          </w:tcPr>
          <w:p w14:paraId="4A756197">
            <w:pPr>
              <w:jc w:val="center"/>
              <w:rPr>
                <w:rFonts w:hint="eastAsia" w:ascii="新宋体" w:hAnsi="新宋体" w:eastAsia="新宋体" w:cs="新宋体"/>
                <w:color w:val="auto"/>
                <w:sz w:val="22"/>
                <w:szCs w:val="22"/>
                <w:highlight w:val="none"/>
              </w:rPr>
            </w:pPr>
          </w:p>
        </w:tc>
        <w:tc>
          <w:tcPr>
            <w:tcW w:w="1580" w:type="dxa"/>
            <w:vAlign w:val="center"/>
          </w:tcPr>
          <w:p w14:paraId="0F344CB3">
            <w:pPr>
              <w:jc w:val="center"/>
              <w:rPr>
                <w:rFonts w:hint="eastAsia" w:ascii="新宋体" w:hAnsi="新宋体" w:eastAsia="新宋体" w:cs="新宋体"/>
                <w:color w:val="auto"/>
                <w:sz w:val="22"/>
                <w:szCs w:val="22"/>
                <w:highlight w:val="none"/>
              </w:rPr>
            </w:pPr>
          </w:p>
        </w:tc>
      </w:tr>
      <w:tr w14:paraId="42394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57AB7AB8">
            <w:pPr>
              <w:jc w:val="center"/>
              <w:rPr>
                <w:rFonts w:hint="eastAsia" w:ascii="新宋体" w:hAnsi="新宋体" w:eastAsia="新宋体" w:cs="新宋体"/>
                <w:color w:val="auto"/>
                <w:sz w:val="22"/>
                <w:szCs w:val="22"/>
                <w:highlight w:val="none"/>
              </w:rPr>
            </w:pPr>
          </w:p>
        </w:tc>
        <w:tc>
          <w:tcPr>
            <w:tcW w:w="3687" w:type="dxa"/>
            <w:vAlign w:val="center"/>
          </w:tcPr>
          <w:p w14:paraId="70EC1D05">
            <w:pPr>
              <w:jc w:val="center"/>
              <w:rPr>
                <w:rFonts w:hint="eastAsia" w:ascii="新宋体" w:hAnsi="新宋体" w:eastAsia="新宋体" w:cs="新宋体"/>
                <w:color w:val="auto"/>
                <w:sz w:val="22"/>
                <w:szCs w:val="22"/>
                <w:highlight w:val="none"/>
              </w:rPr>
            </w:pPr>
          </w:p>
        </w:tc>
        <w:tc>
          <w:tcPr>
            <w:tcW w:w="3402" w:type="dxa"/>
            <w:vAlign w:val="center"/>
          </w:tcPr>
          <w:p w14:paraId="3C787A7E">
            <w:pPr>
              <w:jc w:val="center"/>
              <w:rPr>
                <w:rFonts w:hint="eastAsia" w:ascii="新宋体" w:hAnsi="新宋体" w:eastAsia="新宋体" w:cs="新宋体"/>
                <w:color w:val="auto"/>
                <w:sz w:val="22"/>
                <w:szCs w:val="22"/>
                <w:highlight w:val="none"/>
              </w:rPr>
            </w:pPr>
          </w:p>
        </w:tc>
        <w:tc>
          <w:tcPr>
            <w:tcW w:w="1580" w:type="dxa"/>
            <w:vAlign w:val="center"/>
          </w:tcPr>
          <w:p w14:paraId="09D97327">
            <w:pPr>
              <w:jc w:val="center"/>
              <w:rPr>
                <w:rFonts w:hint="eastAsia" w:ascii="新宋体" w:hAnsi="新宋体" w:eastAsia="新宋体" w:cs="新宋体"/>
                <w:color w:val="auto"/>
                <w:sz w:val="22"/>
                <w:szCs w:val="22"/>
                <w:highlight w:val="none"/>
              </w:rPr>
            </w:pPr>
          </w:p>
        </w:tc>
      </w:tr>
      <w:tr w14:paraId="07ED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131E58D2">
            <w:pPr>
              <w:jc w:val="center"/>
              <w:rPr>
                <w:rFonts w:hint="eastAsia" w:ascii="新宋体" w:hAnsi="新宋体" w:eastAsia="新宋体" w:cs="新宋体"/>
                <w:color w:val="auto"/>
                <w:sz w:val="22"/>
                <w:szCs w:val="22"/>
                <w:highlight w:val="none"/>
              </w:rPr>
            </w:pPr>
          </w:p>
        </w:tc>
        <w:tc>
          <w:tcPr>
            <w:tcW w:w="3687" w:type="dxa"/>
            <w:vAlign w:val="center"/>
          </w:tcPr>
          <w:p w14:paraId="5E27D039">
            <w:pPr>
              <w:jc w:val="center"/>
              <w:rPr>
                <w:rFonts w:hint="eastAsia" w:ascii="新宋体" w:hAnsi="新宋体" w:eastAsia="新宋体" w:cs="新宋体"/>
                <w:color w:val="auto"/>
                <w:sz w:val="22"/>
                <w:szCs w:val="22"/>
                <w:highlight w:val="none"/>
              </w:rPr>
            </w:pPr>
          </w:p>
        </w:tc>
        <w:tc>
          <w:tcPr>
            <w:tcW w:w="3402" w:type="dxa"/>
            <w:vAlign w:val="center"/>
          </w:tcPr>
          <w:p w14:paraId="68AC0E48">
            <w:pPr>
              <w:jc w:val="center"/>
              <w:rPr>
                <w:rFonts w:hint="eastAsia" w:ascii="新宋体" w:hAnsi="新宋体" w:eastAsia="新宋体" w:cs="新宋体"/>
                <w:color w:val="auto"/>
                <w:sz w:val="22"/>
                <w:szCs w:val="22"/>
                <w:highlight w:val="none"/>
              </w:rPr>
            </w:pPr>
          </w:p>
        </w:tc>
        <w:tc>
          <w:tcPr>
            <w:tcW w:w="1580" w:type="dxa"/>
            <w:vAlign w:val="center"/>
          </w:tcPr>
          <w:p w14:paraId="679A63F5">
            <w:pPr>
              <w:jc w:val="center"/>
              <w:rPr>
                <w:rFonts w:hint="eastAsia" w:ascii="新宋体" w:hAnsi="新宋体" w:eastAsia="新宋体" w:cs="新宋体"/>
                <w:color w:val="auto"/>
                <w:sz w:val="22"/>
                <w:szCs w:val="22"/>
                <w:highlight w:val="none"/>
              </w:rPr>
            </w:pPr>
          </w:p>
        </w:tc>
      </w:tr>
      <w:tr w14:paraId="6E548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6B73DA1C">
            <w:pPr>
              <w:jc w:val="center"/>
              <w:rPr>
                <w:rFonts w:hint="eastAsia" w:ascii="新宋体" w:hAnsi="新宋体" w:eastAsia="新宋体" w:cs="新宋体"/>
                <w:color w:val="auto"/>
                <w:sz w:val="22"/>
                <w:szCs w:val="22"/>
                <w:highlight w:val="none"/>
              </w:rPr>
            </w:pPr>
          </w:p>
        </w:tc>
        <w:tc>
          <w:tcPr>
            <w:tcW w:w="3687" w:type="dxa"/>
            <w:vAlign w:val="center"/>
          </w:tcPr>
          <w:p w14:paraId="04DED318">
            <w:pPr>
              <w:jc w:val="center"/>
              <w:rPr>
                <w:rFonts w:hint="eastAsia" w:ascii="新宋体" w:hAnsi="新宋体" w:eastAsia="新宋体" w:cs="新宋体"/>
                <w:color w:val="auto"/>
                <w:sz w:val="22"/>
                <w:szCs w:val="22"/>
                <w:highlight w:val="none"/>
              </w:rPr>
            </w:pPr>
          </w:p>
        </w:tc>
        <w:tc>
          <w:tcPr>
            <w:tcW w:w="3402" w:type="dxa"/>
            <w:vAlign w:val="center"/>
          </w:tcPr>
          <w:p w14:paraId="6EC71825">
            <w:pPr>
              <w:jc w:val="center"/>
              <w:rPr>
                <w:rFonts w:hint="eastAsia" w:ascii="新宋体" w:hAnsi="新宋体" w:eastAsia="新宋体" w:cs="新宋体"/>
                <w:color w:val="auto"/>
                <w:sz w:val="22"/>
                <w:szCs w:val="22"/>
                <w:highlight w:val="none"/>
              </w:rPr>
            </w:pPr>
          </w:p>
        </w:tc>
        <w:tc>
          <w:tcPr>
            <w:tcW w:w="1580" w:type="dxa"/>
            <w:vAlign w:val="center"/>
          </w:tcPr>
          <w:p w14:paraId="5946FE77">
            <w:pPr>
              <w:jc w:val="center"/>
              <w:rPr>
                <w:rFonts w:hint="eastAsia" w:ascii="新宋体" w:hAnsi="新宋体" w:eastAsia="新宋体" w:cs="新宋体"/>
                <w:color w:val="auto"/>
                <w:sz w:val="22"/>
                <w:szCs w:val="22"/>
                <w:highlight w:val="none"/>
              </w:rPr>
            </w:pPr>
          </w:p>
        </w:tc>
      </w:tr>
      <w:tr w14:paraId="6F16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0160D43D">
            <w:pPr>
              <w:jc w:val="center"/>
              <w:rPr>
                <w:rFonts w:hint="eastAsia" w:ascii="新宋体" w:hAnsi="新宋体" w:eastAsia="新宋体" w:cs="新宋体"/>
                <w:color w:val="auto"/>
                <w:sz w:val="22"/>
                <w:szCs w:val="22"/>
                <w:highlight w:val="none"/>
              </w:rPr>
            </w:pPr>
          </w:p>
        </w:tc>
        <w:tc>
          <w:tcPr>
            <w:tcW w:w="3687" w:type="dxa"/>
            <w:vAlign w:val="center"/>
          </w:tcPr>
          <w:p w14:paraId="0EA3EE3E">
            <w:pPr>
              <w:jc w:val="center"/>
              <w:rPr>
                <w:rFonts w:hint="eastAsia" w:ascii="新宋体" w:hAnsi="新宋体" w:eastAsia="新宋体" w:cs="新宋体"/>
                <w:color w:val="auto"/>
                <w:sz w:val="22"/>
                <w:szCs w:val="22"/>
                <w:highlight w:val="none"/>
              </w:rPr>
            </w:pPr>
          </w:p>
        </w:tc>
        <w:tc>
          <w:tcPr>
            <w:tcW w:w="3402" w:type="dxa"/>
            <w:vAlign w:val="center"/>
          </w:tcPr>
          <w:p w14:paraId="3089A8C3">
            <w:pPr>
              <w:jc w:val="center"/>
              <w:rPr>
                <w:rFonts w:hint="eastAsia" w:ascii="新宋体" w:hAnsi="新宋体" w:eastAsia="新宋体" w:cs="新宋体"/>
                <w:color w:val="auto"/>
                <w:sz w:val="22"/>
                <w:szCs w:val="22"/>
                <w:highlight w:val="none"/>
              </w:rPr>
            </w:pPr>
          </w:p>
        </w:tc>
        <w:tc>
          <w:tcPr>
            <w:tcW w:w="1580" w:type="dxa"/>
            <w:vAlign w:val="center"/>
          </w:tcPr>
          <w:p w14:paraId="4ED7AE1F">
            <w:pPr>
              <w:jc w:val="center"/>
              <w:rPr>
                <w:rFonts w:hint="eastAsia" w:ascii="新宋体" w:hAnsi="新宋体" w:eastAsia="新宋体" w:cs="新宋体"/>
                <w:color w:val="auto"/>
                <w:sz w:val="22"/>
                <w:szCs w:val="22"/>
                <w:highlight w:val="none"/>
              </w:rPr>
            </w:pPr>
          </w:p>
        </w:tc>
      </w:tr>
      <w:tr w14:paraId="34D21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5D8B41A2">
            <w:pPr>
              <w:jc w:val="center"/>
              <w:rPr>
                <w:rFonts w:hint="eastAsia" w:ascii="新宋体" w:hAnsi="新宋体" w:eastAsia="新宋体" w:cs="新宋体"/>
                <w:color w:val="auto"/>
                <w:sz w:val="22"/>
                <w:szCs w:val="22"/>
                <w:highlight w:val="none"/>
              </w:rPr>
            </w:pPr>
          </w:p>
        </w:tc>
        <w:tc>
          <w:tcPr>
            <w:tcW w:w="3687" w:type="dxa"/>
            <w:vAlign w:val="center"/>
          </w:tcPr>
          <w:p w14:paraId="0BB752E2">
            <w:pPr>
              <w:jc w:val="center"/>
              <w:rPr>
                <w:rFonts w:hint="eastAsia" w:ascii="新宋体" w:hAnsi="新宋体" w:eastAsia="新宋体" w:cs="新宋体"/>
                <w:color w:val="auto"/>
                <w:sz w:val="22"/>
                <w:szCs w:val="22"/>
                <w:highlight w:val="none"/>
              </w:rPr>
            </w:pPr>
          </w:p>
        </w:tc>
        <w:tc>
          <w:tcPr>
            <w:tcW w:w="3402" w:type="dxa"/>
            <w:vAlign w:val="center"/>
          </w:tcPr>
          <w:p w14:paraId="1DC096F3">
            <w:pPr>
              <w:jc w:val="center"/>
              <w:rPr>
                <w:rFonts w:hint="eastAsia" w:ascii="新宋体" w:hAnsi="新宋体" w:eastAsia="新宋体" w:cs="新宋体"/>
                <w:color w:val="auto"/>
                <w:sz w:val="22"/>
                <w:szCs w:val="22"/>
                <w:highlight w:val="none"/>
              </w:rPr>
            </w:pPr>
          </w:p>
        </w:tc>
        <w:tc>
          <w:tcPr>
            <w:tcW w:w="1580" w:type="dxa"/>
            <w:vAlign w:val="center"/>
          </w:tcPr>
          <w:p w14:paraId="7FD01D8A">
            <w:pPr>
              <w:jc w:val="center"/>
              <w:rPr>
                <w:rFonts w:hint="eastAsia" w:ascii="新宋体" w:hAnsi="新宋体" w:eastAsia="新宋体" w:cs="新宋体"/>
                <w:color w:val="auto"/>
                <w:sz w:val="22"/>
                <w:szCs w:val="22"/>
                <w:highlight w:val="none"/>
              </w:rPr>
            </w:pPr>
          </w:p>
        </w:tc>
      </w:tr>
    </w:tbl>
    <w:p w14:paraId="40E8F3A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注：如有偏离，必须在偏离表中进行详细对比说明并注明正偏离和负偏离，如不说明偏离情况，视为完全响应采购文件要求无偏离</w:t>
      </w:r>
    </w:p>
    <w:p w14:paraId="086631DF">
      <w:pPr>
        <w:spacing w:line="460" w:lineRule="exact"/>
        <w:ind w:firstLine="5060" w:firstLineChars="2300"/>
        <w:rPr>
          <w:rFonts w:hint="eastAsia" w:ascii="新宋体" w:hAnsi="新宋体" w:eastAsia="新宋体" w:cs="新宋体"/>
          <w:color w:val="auto"/>
          <w:sz w:val="22"/>
          <w:szCs w:val="22"/>
          <w:highlight w:val="none"/>
        </w:rPr>
      </w:pPr>
      <w:bookmarkStart w:id="44" w:name="_Toc415152386"/>
      <w:r>
        <w:rPr>
          <w:rFonts w:hint="eastAsia" w:ascii="新宋体" w:hAnsi="新宋体" w:eastAsia="新宋体" w:cs="新宋体"/>
          <w:color w:val="auto"/>
          <w:sz w:val="22"/>
          <w:szCs w:val="22"/>
          <w:highlight w:val="none"/>
        </w:rPr>
        <w:t>投标人全称（盖章）：</w:t>
      </w:r>
    </w:p>
    <w:p w14:paraId="61BB19EF">
      <w:pPr>
        <w:spacing w:line="460" w:lineRule="exact"/>
        <w:ind w:firstLine="5060" w:firstLineChars="23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6AB45741">
      <w:pPr>
        <w:spacing w:line="460" w:lineRule="exact"/>
        <w:ind w:firstLine="5060" w:firstLineChars="23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3A6A26BD">
      <w:pPr>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4"/>
          <w:highlight w:val="none"/>
        </w:rPr>
        <w:br w:type="page"/>
      </w:r>
      <w:bookmarkEnd w:id="44"/>
    </w:p>
    <w:p w14:paraId="27F65ED2">
      <w:pPr>
        <w:spacing w:line="42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5、其他必要提供的资料</w:t>
      </w:r>
    </w:p>
    <w:p w14:paraId="35259CF4">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p>
    <w:p w14:paraId="4125D665">
      <w:pPr>
        <w:bidi w:val="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项目名称：</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0"/>
      </w:tblGrid>
      <w:tr w14:paraId="67DAB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5" w:hRule="atLeast"/>
        </w:trPr>
        <w:tc>
          <w:tcPr>
            <w:tcW w:w="9820" w:type="dxa"/>
            <w:noWrap w:val="0"/>
            <w:vAlign w:val="top"/>
          </w:tcPr>
          <w:p w14:paraId="04C17097">
            <w:pPr>
              <w:jc w:val="center"/>
              <w:rPr>
                <w:rFonts w:hint="eastAsia" w:ascii="新宋体" w:hAnsi="新宋体" w:eastAsia="新宋体" w:cs="新宋体"/>
                <w:color w:val="auto"/>
                <w:highlight w:val="none"/>
              </w:rPr>
            </w:pPr>
            <w:r>
              <w:rPr>
                <w:rFonts w:hint="eastAsia" w:ascii="新宋体" w:hAnsi="新宋体" w:eastAsia="新宋体" w:cs="新宋体"/>
                <w:b/>
                <w:bCs/>
                <w:color w:val="auto"/>
                <w:sz w:val="22"/>
                <w:szCs w:val="22"/>
                <w:highlight w:val="none"/>
                <w:u w:val="single"/>
                <w:lang w:val="en-US" w:eastAsia="zh-CN"/>
              </w:rPr>
              <w:t>根据</w:t>
            </w:r>
            <w:r>
              <w:rPr>
                <w:rFonts w:hint="eastAsia" w:ascii="新宋体" w:hAnsi="新宋体" w:eastAsia="新宋体" w:cs="新宋体"/>
                <w:b/>
                <w:bCs/>
                <w:color w:val="auto"/>
                <w:sz w:val="22"/>
                <w:szCs w:val="22"/>
                <w:highlight w:val="none"/>
                <w:u w:val="single"/>
              </w:rPr>
              <w:t>评标标准</w:t>
            </w:r>
            <w:r>
              <w:rPr>
                <w:rFonts w:hint="eastAsia" w:ascii="新宋体" w:hAnsi="新宋体" w:eastAsia="新宋体" w:cs="新宋体"/>
                <w:b/>
                <w:bCs/>
                <w:color w:val="auto"/>
                <w:sz w:val="22"/>
                <w:szCs w:val="22"/>
                <w:highlight w:val="none"/>
                <w:u w:val="single"/>
                <w:lang w:val="en-US" w:eastAsia="zh-CN"/>
              </w:rPr>
              <w:t>自行提供</w:t>
            </w:r>
          </w:p>
        </w:tc>
      </w:tr>
    </w:tbl>
    <w:p w14:paraId="143EC5CF">
      <w:pPr>
        <w:rPr>
          <w:rFonts w:hint="eastAsia" w:ascii="新宋体" w:hAnsi="新宋体" w:eastAsia="新宋体" w:cs="新宋体"/>
          <w:color w:val="auto"/>
          <w:highlight w:val="none"/>
        </w:rPr>
      </w:pPr>
    </w:p>
    <w:p w14:paraId="62DE4C70">
      <w:pPr>
        <w:rPr>
          <w:rFonts w:hint="eastAsia" w:ascii="新宋体" w:hAnsi="新宋体" w:eastAsia="新宋体" w:cs="新宋体"/>
          <w:color w:val="auto"/>
          <w:highlight w:val="none"/>
        </w:rPr>
      </w:pPr>
    </w:p>
    <w:p w14:paraId="2A49A915">
      <w:pPr>
        <w:spacing w:line="460" w:lineRule="exact"/>
        <w:ind w:firstLine="5060" w:firstLineChars="23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5D1BB61B">
      <w:pPr>
        <w:spacing w:line="460" w:lineRule="exact"/>
        <w:ind w:firstLine="5060" w:firstLineChars="23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276A8702">
      <w:pPr>
        <w:spacing w:line="460" w:lineRule="exact"/>
        <w:ind w:firstLine="5060" w:firstLineChars="23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5B01D1FE">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p>
    <w:p w14:paraId="1049C219">
      <w:pPr>
        <w:rPr>
          <w:rFonts w:hint="eastAsia" w:ascii="新宋体" w:hAnsi="新宋体" w:eastAsia="新宋体" w:cs="新宋体"/>
          <w:color w:val="auto"/>
          <w:sz w:val="22"/>
          <w:szCs w:val="22"/>
          <w:highlight w:val="none"/>
        </w:rPr>
        <w:sectPr>
          <w:pgSz w:w="11906" w:h="16838"/>
          <w:pgMar w:top="1134" w:right="1134" w:bottom="1134" w:left="1134" w:header="850" w:footer="992" w:gutter="0"/>
          <w:cols w:space="720" w:num="1"/>
          <w:docGrid w:type="lines" w:linePitch="321" w:charSpace="0"/>
        </w:sectPr>
      </w:pPr>
    </w:p>
    <w:p w14:paraId="28E22894">
      <w:pPr>
        <w:pStyle w:val="4"/>
        <w:numPr>
          <w:ilvl w:val="0"/>
          <w:numId w:val="0"/>
        </w:numPr>
        <w:jc w:val="center"/>
        <w:rPr>
          <w:rFonts w:hint="eastAsia" w:ascii="新宋体" w:hAnsi="新宋体" w:eastAsia="新宋体" w:cs="新宋体"/>
          <w:color w:val="auto"/>
          <w:highlight w:val="none"/>
        </w:rPr>
      </w:pPr>
      <w:bookmarkStart w:id="45" w:name="_Toc3381"/>
      <w:bookmarkStart w:id="46" w:name="_Toc10142"/>
      <w:bookmarkStart w:id="47" w:name="_Toc221356895"/>
      <w:bookmarkStart w:id="48" w:name="_Toc221356958"/>
      <w:r>
        <w:rPr>
          <w:rFonts w:hint="eastAsia" w:ascii="新宋体" w:hAnsi="新宋体" w:eastAsia="新宋体" w:cs="新宋体"/>
          <w:color w:val="auto"/>
          <w:highlight w:val="none"/>
          <w:lang w:val="en-US" w:eastAsia="zh-CN"/>
        </w:rPr>
        <w:t xml:space="preserve">第四部分   </w:t>
      </w:r>
      <w:r>
        <w:rPr>
          <w:rFonts w:hint="eastAsia" w:ascii="新宋体" w:hAnsi="新宋体" w:eastAsia="新宋体" w:cs="新宋体"/>
          <w:color w:val="auto"/>
          <w:highlight w:val="none"/>
        </w:rPr>
        <w:t>项目技术规范和服务要求</w:t>
      </w:r>
      <w:bookmarkEnd w:id="45"/>
      <w:bookmarkEnd w:id="46"/>
    </w:p>
    <w:bookmarkEnd w:id="47"/>
    <w:bookmarkEnd w:id="48"/>
    <w:p w14:paraId="6808B1D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bookmarkStart w:id="49" w:name="jinjicd"/>
      <w:bookmarkEnd w:id="49"/>
      <w:bookmarkStart w:id="50" w:name="csmb"/>
      <w:bookmarkEnd w:id="50"/>
      <w:bookmarkStart w:id="51" w:name="_Toc18194"/>
      <w:bookmarkStart w:id="52" w:name="_Toc30323"/>
      <w:r>
        <w:rPr>
          <w:rFonts w:hint="eastAsia" w:ascii="新宋体" w:hAnsi="新宋体" w:eastAsia="新宋体" w:cs="新宋体"/>
          <w:b/>
          <w:bCs/>
          <w:color w:val="auto"/>
          <w:sz w:val="22"/>
          <w:szCs w:val="22"/>
          <w:highlight w:val="none"/>
        </w:rPr>
        <w:t>一、相关说明</w:t>
      </w:r>
    </w:p>
    <w:p w14:paraId="497C79F8">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供应商应对招标标段范围内的所有内容进行投标，提供产品及其附件的设计、采购、制造、检测、试验、至最终目的地的运输和保险、现场仓储以及安装、验收、技术服务及相关文件的提交、质保期维护等服务。</w:t>
      </w:r>
    </w:p>
    <w:p w14:paraId="398D4D2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投标供应商所投产品及主要部件的名称、品牌、型号、技术参数、性能、数量、单价、合价、制造商、质保期等应在投标文件中明确，对采购文件的技术条款及要求应予以实质性响应，如有偏离应在偏离表中注明。</w:t>
      </w:r>
    </w:p>
    <w:p w14:paraId="6077670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上述技术标准和规范如果有不足之处或者未能达到国际和国家最新标准的时候，投标供应商应使选用的设备和材料符合最新版本的国际和国家的标准、规范，并提供采用的国家和国际标准、规范以及所采用的版本的有关技术资料。</w:t>
      </w:r>
    </w:p>
    <w:p w14:paraId="4A42F4D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投标供应商采用其它标准和规范时，应在投标书中注明是采用何种标准，并应保证设备达到或优于国家规定的现行相关标准。</w:t>
      </w:r>
    </w:p>
    <w:p w14:paraId="48F8DDD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对国家规定有强制性规范或条例或认证要求的设备或材料，投标供应商提供的设备或材料应符合该类要求。</w:t>
      </w:r>
    </w:p>
    <w:p w14:paraId="0BF37B5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招标内容中要求出具原厂售后服务或者原厂授权的，投标供应商可以承诺在中标后7个工作日内提供，如逾期无法提供，将视为自动放弃中标资格处理。</w:t>
      </w:r>
    </w:p>
    <w:p w14:paraId="0A47E28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二</w:t>
      </w:r>
      <w:r>
        <w:rPr>
          <w:rFonts w:hint="eastAsia" w:ascii="新宋体" w:hAnsi="新宋体" w:eastAsia="新宋体" w:cs="新宋体"/>
          <w:b/>
          <w:color w:val="auto"/>
          <w:sz w:val="22"/>
          <w:szCs w:val="22"/>
          <w:highlight w:val="none"/>
        </w:rPr>
        <w:t>、</w:t>
      </w:r>
      <w:r>
        <w:rPr>
          <w:rFonts w:hint="eastAsia" w:ascii="新宋体" w:hAnsi="新宋体" w:eastAsia="新宋体" w:cs="新宋体"/>
          <w:b/>
          <w:bCs/>
          <w:color w:val="auto"/>
          <w:sz w:val="22"/>
          <w:szCs w:val="22"/>
          <w:highlight w:val="none"/>
        </w:rPr>
        <w:t>项目名称</w:t>
      </w:r>
    </w:p>
    <w:tbl>
      <w:tblPr>
        <w:tblStyle w:val="54"/>
        <w:tblW w:w="9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99"/>
        <w:gridCol w:w="1803"/>
        <w:gridCol w:w="2197"/>
        <w:gridCol w:w="1741"/>
      </w:tblGrid>
      <w:tr w14:paraId="6012A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9" w:type="dxa"/>
            <w:vAlign w:val="center"/>
          </w:tcPr>
          <w:p w14:paraId="3576E705">
            <w:pPr>
              <w:pStyle w:val="2"/>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vertAlign w:val="baseline"/>
              </w:rPr>
            </w:pPr>
            <w:r>
              <w:rPr>
                <w:rFonts w:hint="eastAsia" w:ascii="新宋体" w:hAnsi="新宋体" w:eastAsia="新宋体" w:cs="新宋体"/>
                <w:b w:val="0"/>
                <w:bCs w:val="0"/>
                <w:color w:val="auto"/>
                <w:sz w:val="22"/>
                <w:szCs w:val="22"/>
                <w:highlight w:val="none"/>
              </w:rPr>
              <w:t>名称</w:t>
            </w:r>
          </w:p>
        </w:tc>
        <w:tc>
          <w:tcPr>
            <w:tcW w:w="1803" w:type="dxa"/>
            <w:vAlign w:val="center"/>
          </w:tcPr>
          <w:p w14:paraId="59E7813F">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新宋体" w:hAnsi="新宋体" w:eastAsia="新宋体" w:cs="新宋体"/>
                <w:b w:val="0"/>
                <w:bCs w:val="0"/>
                <w:color w:val="auto"/>
                <w:sz w:val="22"/>
                <w:szCs w:val="22"/>
                <w:highlight w:val="none"/>
                <w:vertAlign w:val="baseline"/>
              </w:rPr>
            </w:pPr>
            <w:r>
              <w:rPr>
                <w:rFonts w:hint="eastAsia" w:ascii="新宋体" w:hAnsi="新宋体" w:eastAsia="新宋体" w:cs="新宋体"/>
                <w:b w:val="0"/>
                <w:bCs w:val="0"/>
                <w:color w:val="auto"/>
                <w:sz w:val="22"/>
                <w:szCs w:val="22"/>
                <w:highlight w:val="none"/>
              </w:rPr>
              <w:t>数量：</w:t>
            </w:r>
            <w:r>
              <w:rPr>
                <w:rFonts w:hint="eastAsia" w:ascii="新宋体" w:hAnsi="新宋体" w:eastAsia="新宋体" w:cs="新宋体"/>
                <w:b w:val="0"/>
                <w:bCs w:val="0"/>
                <w:color w:val="auto"/>
                <w:sz w:val="22"/>
                <w:szCs w:val="22"/>
                <w:highlight w:val="none"/>
                <w:lang w:val="en-US" w:eastAsia="zh-CN"/>
              </w:rPr>
              <w:t>盒（480人份/盒）</w:t>
            </w:r>
          </w:p>
        </w:tc>
        <w:tc>
          <w:tcPr>
            <w:tcW w:w="2197" w:type="dxa"/>
            <w:vAlign w:val="center"/>
          </w:tcPr>
          <w:p w14:paraId="2FCB6387">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新宋体" w:hAnsi="新宋体" w:eastAsia="新宋体" w:cs="新宋体"/>
                <w:b w:val="0"/>
                <w:bCs w:val="0"/>
                <w:color w:val="auto"/>
                <w:sz w:val="22"/>
                <w:szCs w:val="22"/>
                <w:highlight w:val="none"/>
                <w:vertAlign w:val="baseline"/>
              </w:rPr>
            </w:pPr>
            <w:r>
              <w:rPr>
                <w:rFonts w:hint="eastAsia" w:ascii="新宋体" w:hAnsi="新宋体" w:eastAsia="新宋体" w:cs="新宋体"/>
                <w:b w:val="0"/>
                <w:bCs w:val="0"/>
                <w:color w:val="auto"/>
                <w:sz w:val="22"/>
                <w:szCs w:val="22"/>
                <w:highlight w:val="none"/>
              </w:rPr>
              <w:t>预算：元人民币</w:t>
            </w:r>
          </w:p>
        </w:tc>
        <w:tc>
          <w:tcPr>
            <w:tcW w:w="1741" w:type="dxa"/>
            <w:vAlign w:val="center"/>
          </w:tcPr>
          <w:p w14:paraId="2A59500E">
            <w:pPr>
              <w:pStyle w:val="2"/>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vertAlign w:val="baseline"/>
                <w:lang w:eastAsia="zh-CN"/>
              </w:rPr>
            </w:pPr>
            <w:r>
              <w:rPr>
                <w:rFonts w:hint="eastAsia" w:ascii="新宋体" w:hAnsi="新宋体" w:eastAsia="新宋体" w:cs="新宋体"/>
                <w:b w:val="0"/>
                <w:bCs w:val="0"/>
                <w:color w:val="auto"/>
                <w:sz w:val="22"/>
                <w:szCs w:val="22"/>
                <w:highlight w:val="none"/>
                <w:vertAlign w:val="baseline"/>
                <w:lang w:eastAsia="zh-CN"/>
              </w:rPr>
              <w:t>备注</w:t>
            </w:r>
          </w:p>
        </w:tc>
      </w:tr>
      <w:tr w14:paraId="4405C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9" w:type="dxa"/>
            <w:vAlign w:val="center"/>
          </w:tcPr>
          <w:p w14:paraId="32651930">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新宋体" w:hAnsi="新宋体" w:eastAsia="新宋体" w:cs="新宋体"/>
                <w:b w:val="0"/>
                <w:bCs w:val="0"/>
                <w:color w:val="auto"/>
                <w:sz w:val="22"/>
                <w:szCs w:val="22"/>
                <w:highlight w:val="none"/>
                <w:vertAlign w:val="baseline"/>
                <w:lang w:eastAsia="zh-CN"/>
              </w:rPr>
            </w:pPr>
            <w:r>
              <w:rPr>
                <w:rFonts w:hint="eastAsia" w:ascii="新宋体" w:hAnsi="新宋体" w:eastAsia="新宋体" w:cs="新宋体"/>
                <w:color w:val="auto"/>
                <w:kern w:val="2"/>
                <w:sz w:val="22"/>
                <w:szCs w:val="24"/>
                <w:highlight w:val="none"/>
                <w:lang w:val="en-US" w:eastAsia="zh-CN" w:bidi="ar-SA"/>
              </w:rPr>
              <w:t>乙肝试剂（乙肝表面抗原试剂）</w:t>
            </w:r>
          </w:p>
        </w:tc>
        <w:tc>
          <w:tcPr>
            <w:tcW w:w="1803" w:type="dxa"/>
            <w:vAlign w:val="center"/>
          </w:tcPr>
          <w:p w14:paraId="143576D0">
            <w:pPr>
              <w:pStyle w:val="2"/>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vertAlign w:val="baseline"/>
                <w:lang w:val="en-US" w:eastAsia="zh-CN"/>
              </w:rPr>
            </w:pPr>
            <w:r>
              <w:rPr>
                <w:rFonts w:hint="eastAsia" w:ascii="新宋体" w:hAnsi="新宋体" w:eastAsia="新宋体" w:cs="新宋体"/>
                <w:color w:val="auto"/>
                <w:sz w:val="22"/>
                <w:szCs w:val="22"/>
                <w:highlight w:val="none"/>
                <w:lang w:val="en-US" w:eastAsia="zh-CN"/>
              </w:rPr>
              <w:t>270</w:t>
            </w:r>
          </w:p>
        </w:tc>
        <w:tc>
          <w:tcPr>
            <w:tcW w:w="2197" w:type="dxa"/>
            <w:vAlign w:val="center"/>
          </w:tcPr>
          <w:p w14:paraId="56EF3A64">
            <w:pPr>
              <w:pStyle w:val="2"/>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vertAlign w:val="baseline"/>
                <w:lang w:eastAsia="zh-CN"/>
              </w:rPr>
            </w:pPr>
            <w:r>
              <w:rPr>
                <w:rFonts w:hint="eastAsia" w:ascii="新宋体" w:hAnsi="新宋体" w:eastAsia="新宋体" w:cs="新宋体"/>
                <w:color w:val="auto"/>
                <w:sz w:val="22"/>
                <w:szCs w:val="22"/>
                <w:highlight w:val="none"/>
                <w:lang w:val="en-US" w:eastAsia="zh-CN"/>
              </w:rPr>
              <w:t>831600</w:t>
            </w:r>
          </w:p>
        </w:tc>
        <w:tc>
          <w:tcPr>
            <w:tcW w:w="1741" w:type="dxa"/>
            <w:vAlign w:val="center"/>
          </w:tcPr>
          <w:p w14:paraId="4C03AF2F">
            <w:pPr>
              <w:pStyle w:val="2"/>
              <w:keepNext w:val="0"/>
              <w:keepLines w:val="0"/>
              <w:pageBreakBefore w:val="0"/>
              <w:widowControl w:val="0"/>
              <w:kinsoku/>
              <w:wordWrap/>
              <w:overflowPunct/>
              <w:topLinePunct w:val="0"/>
              <w:autoSpaceDE/>
              <w:autoSpaceDN/>
              <w:bidi w:val="0"/>
              <w:adjustRightInd/>
              <w:snapToGrid/>
              <w:spacing w:line="460" w:lineRule="exact"/>
              <w:ind w:left="-4" w:leftChars="-28" w:hanging="55" w:hangingChars="25"/>
              <w:jc w:val="center"/>
              <w:textAlignment w:val="auto"/>
              <w:rPr>
                <w:rFonts w:hint="eastAsia" w:ascii="新宋体" w:hAnsi="新宋体" w:eastAsia="新宋体" w:cs="新宋体"/>
                <w:b w:val="0"/>
                <w:bCs w:val="0"/>
                <w:color w:val="auto"/>
                <w:sz w:val="22"/>
                <w:szCs w:val="22"/>
                <w:highlight w:val="none"/>
                <w:vertAlign w:val="baseline"/>
              </w:rPr>
            </w:pPr>
            <w:r>
              <w:rPr>
                <w:rFonts w:hint="eastAsia" w:ascii="新宋体" w:hAnsi="新宋体" w:eastAsia="新宋体" w:cs="新宋体"/>
                <w:b w:val="0"/>
                <w:bCs w:val="0"/>
                <w:color w:val="auto"/>
                <w:sz w:val="22"/>
                <w:szCs w:val="22"/>
                <w:highlight w:val="none"/>
                <w:u w:val="single"/>
                <w:lang w:val="en-US" w:eastAsia="zh-CN"/>
              </w:rPr>
              <w:t>本项目允许进口产品投标</w:t>
            </w:r>
          </w:p>
        </w:tc>
      </w:tr>
    </w:tbl>
    <w:p w14:paraId="256C6959">
      <w:pPr>
        <w:pStyle w:val="38"/>
        <w:keepNext w:val="0"/>
        <w:keepLines w:val="0"/>
        <w:pageBreakBefore w:val="0"/>
        <w:widowControl w:val="0"/>
        <w:tabs>
          <w:tab w:val="right" w:leader="dot" w:pos="9118"/>
        </w:tabs>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三、</w:t>
      </w:r>
      <w:r>
        <w:rPr>
          <w:rFonts w:hint="eastAsia" w:ascii="新宋体" w:hAnsi="新宋体" w:eastAsia="新宋体" w:cs="新宋体"/>
          <w:b/>
          <w:bCs/>
          <w:caps w:val="0"/>
          <w:color w:val="auto"/>
          <w:sz w:val="22"/>
          <w:szCs w:val="22"/>
          <w:highlight w:val="none"/>
        </w:rPr>
        <w:t>技术规格</w:t>
      </w:r>
    </w:p>
    <w:tbl>
      <w:tblPr>
        <w:tblStyle w:val="53"/>
        <w:tblW w:w="9457"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8"/>
        <w:gridCol w:w="1843"/>
        <w:gridCol w:w="6946"/>
      </w:tblGrid>
      <w:tr w14:paraId="10559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668" w:type="dxa"/>
            <w:shd w:val="clear" w:color="auto" w:fill="auto"/>
            <w:noWrap w:val="0"/>
            <w:vAlign w:val="center"/>
          </w:tcPr>
          <w:p w14:paraId="0F3B54E6">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序号</w:t>
            </w:r>
          </w:p>
        </w:tc>
        <w:tc>
          <w:tcPr>
            <w:tcW w:w="1843" w:type="dxa"/>
            <w:shd w:val="clear" w:color="auto" w:fill="auto"/>
            <w:noWrap w:val="0"/>
            <w:vAlign w:val="center"/>
          </w:tcPr>
          <w:p w14:paraId="564743BB">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项目内容</w:t>
            </w:r>
          </w:p>
        </w:tc>
        <w:tc>
          <w:tcPr>
            <w:tcW w:w="6946" w:type="dxa"/>
            <w:shd w:val="clear" w:color="auto" w:fill="auto"/>
            <w:noWrap w:val="0"/>
            <w:vAlign w:val="center"/>
          </w:tcPr>
          <w:p w14:paraId="6D3CDE22">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技术要求</w:t>
            </w:r>
          </w:p>
        </w:tc>
      </w:tr>
      <w:tr w14:paraId="5B767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68" w:type="dxa"/>
            <w:shd w:val="clear" w:color="auto" w:fill="auto"/>
            <w:noWrap w:val="0"/>
            <w:vAlign w:val="top"/>
          </w:tcPr>
          <w:p w14:paraId="488801B9">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1843" w:type="dxa"/>
            <w:shd w:val="clear" w:color="auto" w:fill="auto"/>
            <w:noWrap w:val="0"/>
            <w:vAlign w:val="top"/>
          </w:tcPr>
          <w:p w14:paraId="07D1FDEF">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品目名称</w:t>
            </w:r>
          </w:p>
        </w:tc>
        <w:tc>
          <w:tcPr>
            <w:tcW w:w="6946" w:type="dxa"/>
            <w:shd w:val="clear" w:color="auto" w:fill="auto"/>
            <w:noWrap w:val="0"/>
            <w:vAlign w:val="top"/>
          </w:tcPr>
          <w:p w14:paraId="439A4AD8">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乙型肝炎病毒表面抗原诊断试剂盒</w:t>
            </w:r>
          </w:p>
        </w:tc>
      </w:tr>
      <w:tr w14:paraId="3BF30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68" w:type="dxa"/>
            <w:shd w:val="clear" w:color="auto" w:fill="auto"/>
            <w:noWrap w:val="0"/>
            <w:vAlign w:val="top"/>
          </w:tcPr>
          <w:p w14:paraId="2CA4FAB3">
            <w:pPr>
              <w:keepNext w:val="0"/>
              <w:keepLines w:val="0"/>
              <w:pageBreakBefore w:val="0"/>
              <w:widowControl/>
              <w:kinsoku/>
              <w:wordWrap/>
              <w:overflowPunct/>
              <w:topLinePunct w:val="0"/>
              <w:bidi w:val="0"/>
              <w:snapToGrid/>
              <w:spacing w:line="440" w:lineRule="exact"/>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1843" w:type="dxa"/>
            <w:shd w:val="clear" w:color="auto" w:fill="auto"/>
            <w:noWrap w:val="0"/>
            <w:vAlign w:val="top"/>
          </w:tcPr>
          <w:p w14:paraId="5205055D">
            <w:pPr>
              <w:keepNext w:val="0"/>
              <w:keepLines w:val="0"/>
              <w:pageBreakBefore w:val="0"/>
              <w:widowControl/>
              <w:kinsoku/>
              <w:wordWrap/>
              <w:overflowPunct/>
              <w:topLinePunct w:val="0"/>
              <w:bidi w:val="0"/>
              <w:snapToGrid/>
              <w:spacing w:line="440" w:lineRule="exact"/>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注册类别</w:t>
            </w:r>
          </w:p>
        </w:tc>
        <w:tc>
          <w:tcPr>
            <w:tcW w:w="6946" w:type="dxa"/>
            <w:shd w:val="clear" w:color="auto" w:fill="auto"/>
            <w:noWrap w:val="0"/>
            <w:vAlign w:val="top"/>
          </w:tcPr>
          <w:p w14:paraId="038D225E">
            <w:pPr>
              <w:keepNext w:val="0"/>
              <w:keepLines w:val="0"/>
              <w:pageBreakBefore w:val="0"/>
              <w:widowControl/>
              <w:kinsoku/>
              <w:wordWrap/>
              <w:overflowPunct/>
              <w:topLinePunct w:val="0"/>
              <w:bidi w:val="0"/>
              <w:snapToGrid/>
              <w:spacing w:line="440" w:lineRule="exact"/>
              <w:jc w:val="left"/>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rPr>
              <w:t>药</w:t>
            </w:r>
            <w:r>
              <w:rPr>
                <w:rFonts w:hint="eastAsia" w:ascii="新宋体" w:hAnsi="新宋体" w:eastAsia="新宋体" w:cs="新宋体"/>
                <w:color w:val="auto"/>
                <w:kern w:val="0"/>
                <w:sz w:val="22"/>
                <w:szCs w:val="22"/>
                <w:highlight w:val="none"/>
                <w:lang w:val="en-US" w:eastAsia="zh-CN"/>
              </w:rPr>
              <w:t>械</w:t>
            </w:r>
          </w:p>
        </w:tc>
      </w:tr>
      <w:tr w14:paraId="66542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68" w:type="dxa"/>
            <w:shd w:val="clear" w:color="auto" w:fill="auto"/>
            <w:noWrap w:val="0"/>
            <w:vAlign w:val="top"/>
          </w:tcPr>
          <w:p w14:paraId="6B90C4B7">
            <w:pPr>
              <w:keepNext w:val="0"/>
              <w:keepLines w:val="0"/>
              <w:pageBreakBefore w:val="0"/>
              <w:widowControl/>
              <w:kinsoku/>
              <w:wordWrap/>
              <w:overflowPunct/>
              <w:topLinePunct w:val="0"/>
              <w:bidi w:val="0"/>
              <w:snapToGrid/>
              <w:spacing w:line="440" w:lineRule="exact"/>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1843" w:type="dxa"/>
            <w:shd w:val="clear" w:color="auto" w:fill="auto"/>
            <w:noWrap w:val="0"/>
            <w:vAlign w:val="top"/>
          </w:tcPr>
          <w:p w14:paraId="6A6BE87E">
            <w:pPr>
              <w:keepNext w:val="0"/>
              <w:keepLines w:val="0"/>
              <w:pageBreakBefore w:val="0"/>
              <w:widowControl/>
              <w:kinsoku/>
              <w:wordWrap/>
              <w:overflowPunct/>
              <w:topLinePunct w:val="0"/>
              <w:bidi w:val="0"/>
              <w:snapToGrid/>
              <w:spacing w:line="440" w:lineRule="exact"/>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规格</w:t>
            </w:r>
          </w:p>
        </w:tc>
        <w:tc>
          <w:tcPr>
            <w:tcW w:w="6946" w:type="dxa"/>
            <w:shd w:val="clear" w:color="auto" w:fill="auto"/>
            <w:noWrap w:val="0"/>
            <w:vAlign w:val="top"/>
          </w:tcPr>
          <w:p w14:paraId="6829F8A2">
            <w:pPr>
              <w:keepNext w:val="0"/>
              <w:keepLines w:val="0"/>
              <w:pageBreakBefore w:val="0"/>
              <w:widowControl/>
              <w:kinsoku/>
              <w:wordWrap/>
              <w:overflowPunct/>
              <w:topLinePunct w:val="0"/>
              <w:bidi w:val="0"/>
              <w:snapToGrid/>
              <w:spacing w:line="440" w:lineRule="exact"/>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96测试/盒、480测试/盒</w:t>
            </w:r>
          </w:p>
        </w:tc>
      </w:tr>
      <w:tr w14:paraId="4E54B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68" w:type="dxa"/>
            <w:shd w:val="clear" w:color="auto" w:fill="auto"/>
            <w:noWrap w:val="0"/>
            <w:vAlign w:val="top"/>
          </w:tcPr>
          <w:p w14:paraId="1B4A2211">
            <w:pPr>
              <w:keepNext w:val="0"/>
              <w:keepLines w:val="0"/>
              <w:pageBreakBefore w:val="0"/>
              <w:widowControl/>
              <w:kinsoku/>
              <w:wordWrap/>
              <w:overflowPunct/>
              <w:topLinePunct w:val="0"/>
              <w:bidi w:val="0"/>
              <w:snapToGrid/>
              <w:spacing w:line="440" w:lineRule="exact"/>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1843" w:type="dxa"/>
            <w:shd w:val="clear" w:color="auto" w:fill="auto"/>
            <w:noWrap w:val="0"/>
            <w:vAlign w:val="top"/>
          </w:tcPr>
          <w:p w14:paraId="346EED8C">
            <w:pPr>
              <w:keepNext w:val="0"/>
              <w:keepLines w:val="0"/>
              <w:pageBreakBefore w:val="0"/>
              <w:widowControl/>
              <w:kinsoku/>
              <w:wordWrap/>
              <w:overflowPunct/>
              <w:topLinePunct w:val="0"/>
              <w:bidi w:val="0"/>
              <w:snapToGrid/>
              <w:spacing w:line="440" w:lineRule="exact"/>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原理</w:t>
            </w:r>
          </w:p>
        </w:tc>
        <w:tc>
          <w:tcPr>
            <w:tcW w:w="6946" w:type="dxa"/>
            <w:shd w:val="clear" w:color="auto" w:fill="auto"/>
            <w:noWrap w:val="0"/>
            <w:vAlign w:val="top"/>
          </w:tcPr>
          <w:p w14:paraId="0FD7946B">
            <w:pPr>
              <w:keepNext w:val="0"/>
              <w:keepLines w:val="0"/>
              <w:pageBreakBefore w:val="0"/>
              <w:widowControl/>
              <w:kinsoku/>
              <w:wordWrap/>
              <w:overflowPunct/>
              <w:topLinePunct w:val="0"/>
              <w:bidi w:val="0"/>
              <w:snapToGrid/>
              <w:spacing w:line="440" w:lineRule="exact"/>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ELISA   二步法</w:t>
            </w:r>
          </w:p>
        </w:tc>
      </w:tr>
      <w:tr w14:paraId="43C14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68" w:type="dxa"/>
            <w:shd w:val="clear" w:color="auto" w:fill="auto"/>
            <w:noWrap w:val="0"/>
            <w:vAlign w:val="top"/>
          </w:tcPr>
          <w:p w14:paraId="28C52DC1">
            <w:pPr>
              <w:keepNext w:val="0"/>
              <w:keepLines w:val="0"/>
              <w:pageBreakBefore w:val="0"/>
              <w:widowControl/>
              <w:kinsoku/>
              <w:wordWrap/>
              <w:overflowPunct/>
              <w:topLinePunct w:val="0"/>
              <w:bidi w:val="0"/>
              <w:snapToGrid/>
              <w:spacing w:line="440" w:lineRule="exact"/>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p>
        </w:tc>
        <w:tc>
          <w:tcPr>
            <w:tcW w:w="1843" w:type="dxa"/>
            <w:shd w:val="clear" w:color="auto" w:fill="auto"/>
            <w:noWrap w:val="0"/>
            <w:vAlign w:val="top"/>
          </w:tcPr>
          <w:p w14:paraId="0AB695DC">
            <w:pPr>
              <w:keepNext w:val="0"/>
              <w:keepLines w:val="0"/>
              <w:pageBreakBefore w:val="0"/>
              <w:widowControl/>
              <w:kinsoku/>
              <w:wordWrap/>
              <w:overflowPunct/>
              <w:topLinePunct w:val="0"/>
              <w:bidi w:val="0"/>
              <w:snapToGrid/>
              <w:spacing w:line="440" w:lineRule="exact"/>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适用性</w:t>
            </w:r>
          </w:p>
        </w:tc>
        <w:tc>
          <w:tcPr>
            <w:tcW w:w="6946" w:type="dxa"/>
            <w:shd w:val="clear" w:color="auto" w:fill="auto"/>
            <w:noWrap w:val="0"/>
            <w:vAlign w:val="top"/>
          </w:tcPr>
          <w:p w14:paraId="4AB5A8B9">
            <w:pPr>
              <w:keepNext w:val="0"/>
              <w:keepLines w:val="0"/>
              <w:pageBreakBefore w:val="0"/>
              <w:widowControl/>
              <w:kinsoku/>
              <w:wordWrap/>
              <w:overflowPunct/>
              <w:topLinePunct w:val="0"/>
              <w:bidi w:val="0"/>
              <w:snapToGrid/>
              <w:spacing w:line="440" w:lineRule="exact"/>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每条8个测试，适用常见的自动化系统。</w:t>
            </w:r>
          </w:p>
        </w:tc>
      </w:tr>
      <w:tr w14:paraId="5AEBB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668" w:type="dxa"/>
            <w:shd w:val="clear" w:color="auto" w:fill="auto"/>
            <w:noWrap w:val="0"/>
            <w:vAlign w:val="top"/>
          </w:tcPr>
          <w:p w14:paraId="0D95C70C">
            <w:pPr>
              <w:keepNext w:val="0"/>
              <w:keepLines w:val="0"/>
              <w:pageBreakBefore w:val="0"/>
              <w:widowControl/>
              <w:kinsoku/>
              <w:wordWrap/>
              <w:overflowPunct/>
              <w:topLinePunct w:val="0"/>
              <w:bidi w:val="0"/>
              <w:snapToGrid/>
              <w:spacing w:line="440" w:lineRule="exact"/>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c>
          <w:tcPr>
            <w:tcW w:w="1843" w:type="dxa"/>
            <w:shd w:val="clear" w:color="auto" w:fill="auto"/>
            <w:noWrap w:val="0"/>
            <w:vAlign w:val="top"/>
          </w:tcPr>
          <w:p w14:paraId="052A3468">
            <w:pPr>
              <w:keepNext w:val="0"/>
              <w:keepLines w:val="0"/>
              <w:pageBreakBefore w:val="0"/>
              <w:widowControl/>
              <w:kinsoku/>
              <w:wordWrap/>
              <w:overflowPunct/>
              <w:topLinePunct w:val="0"/>
              <w:bidi w:val="0"/>
              <w:snapToGrid/>
              <w:spacing w:line="440" w:lineRule="exact"/>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使用标本</w:t>
            </w:r>
          </w:p>
        </w:tc>
        <w:tc>
          <w:tcPr>
            <w:tcW w:w="6946" w:type="dxa"/>
            <w:shd w:val="clear" w:color="auto" w:fill="auto"/>
            <w:noWrap w:val="0"/>
            <w:vAlign w:val="top"/>
          </w:tcPr>
          <w:p w14:paraId="37D2A01D">
            <w:pPr>
              <w:keepNext w:val="0"/>
              <w:keepLines w:val="0"/>
              <w:pageBreakBefore w:val="0"/>
              <w:widowControl/>
              <w:kinsoku/>
              <w:wordWrap/>
              <w:overflowPunct/>
              <w:topLinePunct w:val="0"/>
              <w:bidi w:val="0"/>
              <w:snapToGrid/>
              <w:spacing w:line="440" w:lineRule="exact"/>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血清、血浆，且须明确说明投标检测试剂适用标本以及标本的运输储存条件和要求</w:t>
            </w:r>
            <w:r>
              <w:rPr>
                <w:rFonts w:hint="eastAsia" w:ascii="新宋体" w:hAnsi="新宋体" w:eastAsia="新宋体" w:cs="新宋体"/>
                <w:bCs/>
                <w:color w:val="auto"/>
                <w:kern w:val="0"/>
                <w:sz w:val="22"/>
                <w:szCs w:val="22"/>
                <w:highlight w:val="none"/>
              </w:rPr>
              <w:t>（须提供有效的试剂说明书给予佐证）</w:t>
            </w:r>
          </w:p>
        </w:tc>
      </w:tr>
      <w:tr w14:paraId="4F7F7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68" w:type="dxa"/>
            <w:shd w:val="clear" w:color="auto" w:fill="auto"/>
            <w:noWrap w:val="0"/>
            <w:vAlign w:val="top"/>
          </w:tcPr>
          <w:p w14:paraId="51C6620C">
            <w:pPr>
              <w:keepNext w:val="0"/>
              <w:keepLines w:val="0"/>
              <w:pageBreakBefore w:val="0"/>
              <w:widowControl/>
              <w:kinsoku/>
              <w:wordWrap/>
              <w:overflowPunct/>
              <w:topLinePunct w:val="0"/>
              <w:bidi w:val="0"/>
              <w:snapToGrid/>
              <w:spacing w:line="440" w:lineRule="exact"/>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kern w:val="0"/>
                <w:sz w:val="22"/>
                <w:szCs w:val="22"/>
                <w:highlight w:val="none"/>
              </w:rPr>
              <w:t>7</w:t>
            </w:r>
          </w:p>
        </w:tc>
        <w:tc>
          <w:tcPr>
            <w:tcW w:w="1843" w:type="dxa"/>
            <w:shd w:val="clear" w:color="auto" w:fill="auto"/>
            <w:noWrap w:val="0"/>
            <w:vAlign w:val="top"/>
          </w:tcPr>
          <w:p w14:paraId="4592C457">
            <w:pPr>
              <w:keepNext w:val="0"/>
              <w:keepLines w:val="0"/>
              <w:pageBreakBefore w:val="0"/>
              <w:widowControl/>
              <w:kinsoku/>
              <w:wordWrap/>
              <w:overflowPunct/>
              <w:topLinePunct w:val="0"/>
              <w:bidi w:val="0"/>
              <w:snapToGrid/>
              <w:spacing w:line="440" w:lineRule="exact"/>
              <w:jc w:val="left"/>
              <w:textAlignment w:val="auto"/>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样品稀释液加入步骤</w:t>
            </w:r>
          </w:p>
        </w:tc>
        <w:tc>
          <w:tcPr>
            <w:tcW w:w="6946" w:type="dxa"/>
            <w:shd w:val="clear" w:color="auto" w:fill="auto"/>
            <w:noWrap w:val="0"/>
            <w:vAlign w:val="top"/>
          </w:tcPr>
          <w:p w14:paraId="67F4989A">
            <w:pPr>
              <w:keepNext w:val="0"/>
              <w:keepLines w:val="0"/>
              <w:pageBreakBefore w:val="0"/>
              <w:widowControl/>
              <w:kinsoku/>
              <w:wordWrap/>
              <w:overflowPunct/>
              <w:topLinePunct w:val="0"/>
              <w:bidi w:val="0"/>
              <w:snapToGrid/>
              <w:spacing w:line="440" w:lineRule="exact"/>
              <w:jc w:val="left"/>
              <w:textAlignment w:val="auto"/>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为减少样品在检测时的非特异性反应，反应孔加入样品前须有加入样品稀释液的步骤。（须提供有效的试剂说明书给予佐证）</w:t>
            </w:r>
          </w:p>
        </w:tc>
      </w:tr>
      <w:tr w14:paraId="23817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668" w:type="dxa"/>
            <w:shd w:val="clear" w:color="auto" w:fill="auto"/>
            <w:noWrap w:val="0"/>
            <w:vAlign w:val="top"/>
          </w:tcPr>
          <w:p w14:paraId="02D0CFA7">
            <w:pPr>
              <w:keepNext w:val="0"/>
              <w:keepLines w:val="0"/>
              <w:pageBreakBefore w:val="0"/>
              <w:widowControl/>
              <w:kinsoku/>
              <w:wordWrap/>
              <w:overflowPunct/>
              <w:topLinePunct w:val="0"/>
              <w:bidi w:val="0"/>
              <w:snapToGrid/>
              <w:spacing w:line="440" w:lineRule="exact"/>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p>
        </w:tc>
        <w:tc>
          <w:tcPr>
            <w:tcW w:w="1843" w:type="dxa"/>
            <w:shd w:val="clear" w:color="auto" w:fill="auto"/>
            <w:noWrap w:val="0"/>
            <w:vAlign w:val="top"/>
          </w:tcPr>
          <w:p w14:paraId="77B71874">
            <w:pPr>
              <w:keepNext w:val="0"/>
              <w:keepLines w:val="0"/>
              <w:pageBreakBefore w:val="0"/>
              <w:widowControl/>
              <w:kinsoku/>
              <w:wordWrap/>
              <w:overflowPunct/>
              <w:topLinePunct w:val="0"/>
              <w:bidi w:val="0"/>
              <w:snapToGrid/>
              <w:spacing w:line="440" w:lineRule="exact"/>
              <w:jc w:val="left"/>
              <w:textAlignment w:val="auto"/>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底物液要求</w:t>
            </w:r>
          </w:p>
        </w:tc>
        <w:tc>
          <w:tcPr>
            <w:tcW w:w="6946" w:type="dxa"/>
            <w:shd w:val="clear" w:color="auto" w:fill="auto"/>
            <w:noWrap w:val="0"/>
            <w:vAlign w:val="top"/>
          </w:tcPr>
          <w:p w14:paraId="64C070A1">
            <w:pPr>
              <w:keepNext w:val="0"/>
              <w:keepLines w:val="0"/>
              <w:pageBreakBefore w:val="0"/>
              <w:kinsoku/>
              <w:wordWrap/>
              <w:overflowPunct/>
              <w:topLinePunct w:val="0"/>
              <w:bidi w:val="0"/>
              <w:snapToGrid/>
              <w:spacing w:line="44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检测试剂使用性能稳定、安全无毒害性TMB底物液</w:t>
            </w:r>
          </w:p>
          <w:p w14:paraId="77B73C13">
            <w:pPr>
              <w:keepNext w:val="0"/>
              <w:keepLines w:val="0"/>
              <w:pageBreakBefore w:val="0"/>
              <w:kinsoku/>
              <w:wordWrap/>
              <w:overflowPunct/>
              <w:topLinePunct w:val="0"/>
              <w:bidi w:val="0"/>
              <w:snapToGrid/>
              <w:spacing w:line="44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底物液配制后须保持48小时内稳定有效</w:t>
            </w:r>
          </w:p>
          <w:p w14:paraId="3E2E2092">
            <w:pPr>
              <w:keepNext w:val="0"/>
              <w:keepLines w:val="0"/>
              <w:pageBreakBefore w:val="0"/>
              <w:kinsoku/>
              <w:wordWrap/>
              <w:overflowPunct/>
              <w:topLinePunct w:val="0"/>
              <w:bidi w:val="0"/>
              <w:snapToGrid/>
              <w:spacing w:line="44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kern w:val="0"/>
                <w:sz w:val="22"/>
                <w:szCs w:val="22"/>
                <w:highlight w:val="none"/>
              </w:rPr>
              <w:t>（须提供有效的试剂说明书给予佐证）</w:t>
            </w:r>
          </w:p>
        </w:tc>
      </w:tr>
      <w:tr w14:paraId="34941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trPr>
        <w:tc>
          <w:tcPr>
            <w:tcW w:w="668" w:type="dxa"/>
            <w:shd w:val="clear" w:color="auto" w:fill="auto"/>
            <w:noWrap w:val="0"/>
            <w:vAlign w:val="top"/>
          </w:tcPr>
          <w:p w14:paraId="153E6F1C">
            <w:pPr>
              <w:keepNext w:val="0"/>
              <w:keepLines w:val="0"/>
              <w:pageBreakBefore w:val="0"/>
              <w:widowControl/>
              <w:kinsoku/>
              <w:wordWrap/>
              <w:overflowPunct/>
              <w:topLinePunct w:val="0"/>
              <w:bidi w:val="0"/>
              <w:snapToGrid/>
              <w:spacing w:line="440" w:lineRule="exact"/>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kern w:val="0"/>
                <w:sz w:val="22"/>
                <w:szCs w:val="22"/>
                <w:highlight w:val="none"/>
              </w:rPr>
              <w:t>9</w:t>
            </w:r>
          </w:p>
        </w:tc>
        <w:tc>
          <w:tcPr>
            <w:tcW w:w="1843" w:type="dxa"/>
            <w:shd w:val="clear" w:color="auto" w:fill="auto"/>
            <w:noWrap w:val="0"/>
            <w:vAlign w:val="top"/>
          </w:tcPr>
          <w:p w14:paraId="04AF6B95">
            <w:pPr>
              <w:keepNext w:val="0"/>
              <w:keepLines w:val="0"/>
              <w:pageBreakBefore w:val="0"/>
              <w:widowControl/>
              <w:kinsoku/>
              <w:wordWrap/>
              <w:overflowPunct/>
              <w:topLinePunct w:val="0"/>
              <w:bidi w:val="0"/>
              <w:snapToGrid/>
              <w:spacing w:line="440" w:lineRule="exact"/>
              <w:jc w:val="left"/>
              <w:textAlignment w:val="auto"/>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各组份试剂加入监测</w:t>
            </w:r>
          </w:p>
        </w:tc>
        <w:tc>
          <w:tcPr>
            <w:tcW w:w="6946" w:type="dxa"/>
            <w:shd w:val="clear" w:color="auto" w:fill="auto"/>
            <w:noWrap w:val="0"/>
            <w:vAlign w:val="top"/>
          </w:tcPr>
          <w:p w14:paraId="7548A2A7">
            <w:pPr>
              <w:keepNext w:val="0"/>
              <w:keepLines w:val="0"/>
              <w:pageBreakBefore w:val="0"/>
              <w:widowControl/>
              <w:kinsoku/>
              <w:wordWrap/>
              <w:overflowPunct/>
              <w:topLinePunct w:val="0"/>
              <w:bidi w:val="0"/>
              <w:snapToGrid/>
              <w:spacing w:line="440" w:lineRule="exact"/>
              <w:jc w:val="left"/>
              <w:textAlignment w:val="auto"/>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每一步骤的组份试剂加入后都有颜色变化，可通过特定波长监测包括标本加入、酶加入、底物加入共三个步骤的加入确认。（须提供有效的试剂说明书给予佐证）</w:t>
            </w:r>
          </w:p>
        </w:tc>
      </w:tr>
      <w:tr w14:paraId="564D5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trPr>
        <w:tc>
          <w:tcPr>
            <w:tcW w:w="668" w:type="dxa"/>
            <w:shd w:val="clear" w:color="auto" w:fill="auto"/>
            <w:noWrap w:val="0"/>
            <w:vAlign w:val="top"/>
          </w:tcPr>
          <w:p w14:paraId="7E3B037A">
            <w:pPr>
              <w:keepNext w:val="0"/>
              <w:keepLines w:val="0"/>
              <w:pageBreakBefore w:val="0"/>
              <w:widowControl/>
              <w:kinsoku/>
              <w:wordWrap/>
              <w:overflowPunct/>
              <w:topLinePunct w:val="0"/>
              <w:bidi w:val="0"/>
              <w:snapToGrid/>
              <w:spacing w:line="440" w:lineRule="exact"/>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kern w:val="0"/>
                <w:sz w:val="22"/>
                <w:szCs w:val="22"/>
                <w:highlight w:val="none"/>
              </w:rPr>
              <w:t>10</w:t>
            </w:r>
          </w:p>
        </w:tc>
        <w:tc>
          <w:tcPr>
            <w:tcW w:w="1843" w:type="dxa"/>
            <w:shd w:val="clear" w:color="auto" w:fill="auto"/>
            <w:noWrap w:val="0"/>
            <w:vAlign w:val="top"/>
          </w:tcPr>
          <w:p w14:paraId="286542BC">
            <w:pPr>
              <w:keepNext w:val="0"/>
              <w:keepLines w:val="0"/>
              <w:pageBreakBefore w:val="0"/>
              <w:widowControl/>
              <w:kinsoku/>
              <w:wordWrap/>
              <w:overflowPunct/>
              <w:topLinePunct w:val="0"/>
              <w:bidi w:val="0"/>
              <w:snapToGrid/>
              <w:spacing w:line="440" w:lineRule="exact"/>
              <w:jc w:val="left"/>
              <w:textAlignment w:val="auto"/>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孵育温度和时间要求</w:t>
            </w:r>
          </w:p>
        </w:tc>
        <w:tc>
          <w:tcPr>
            <w:tcW w:w="6946" w:type="dxa"/>
            <w:shd w:val="clear" w:color="auto" w:fill="auto"/>
            <w:noWrap w:val="0"/>
            <w:vAlign w:val="top"/>
          </w:tcPr>
          <w:p w14:paraId="54D45BEF">
            <w:pPr>
              <w:keepNext w:val="0"/>
              <w:keepLines w:val="0"/>
              <w:pageBreakBefore w:val="0"/>
              <w:widowControl/>
              <w:kinsoku/>
              <w:wordWrap/>
              <w:overflowPunct/>
              <w:topLinePunct w:val="0"/>
              <w:bidi w:val="0"/>
              <w:snapToGrid/>
              <w:spacing w:line="440" w:lineRule="exact"/>
              <w:jc w:val="left"/>
              <w:textAlignment w:val="auto"/>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明确反应孵育温度及允许变化量，为符合国家药典对孵育时间的要求，并符合实验室对时间成本的控制，整体孵育时间时间要求控制在≤120分钟。（须提供有效的试剂说明书给予佐证）</w:t>
            </w:r>
          </w:p>
        </w:tc>
      </w:tr>
      <w:tr w14:paraId="0E84D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 w:hRule="atLeast"/>
        </w:trPr>
        <w:tc>
          <w:tcPr>
            <w:tcW w:w="668" w:type="dxa"/>
            <w:shd w:val="clear" w:color="auto" w:fill="auto"/>
            <w:noWrap w:val="0"/>
            <w:vAlign w:val="top"/>
          </w:tcPr>
          <w:p w14:paraId="20F40CE5">
            <w:pPr>
              <w:keepNext w:val="0"/>
              <w:keepLines w:val="0"/>
              <w:pageBreakBefore w:val="0"/>
              <w:widowControl/>
              <w:kinsoku/>
              <w:wordWrap/>
              <w:overflowPunct/>
              <w:topLinePunct w:val="0"/>
              <w:bidi w:val="0"/>
              <w:snapToGrid/>
              <w:spacing w:line="440" w:lineRule="exact"/>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kern w:val="0"/>
                <w:sz w:val="22"/>
                <w:szCs w:val="22"/>
                <w:highlight w:val="none"/>
              </w:rPr>
              <w:t>11</w:t>
            </w:r>
          </w:p>
        </w:tc>
        <w:tc>
          <w:tcPr>
            <w:tcW w:w="1843" w:type="dxa"/>
            <w:shd w:val="clear" w:color="auto" w:fill="auto"/>
            <w:noWrap w:val="0"/>
            <w:vAlign w:val="top"/>
          </w:tcPr>
          <w:p w14:paraId="21FCB4B0">
            <w:pPr>
              <w:keepNext w:val="0"/>
              <w:keepLines w:val="0"/>
              <w:pageBreakBefore w:val="0"/>
              <w:widowControl/>
              <w:kinsoku/>
              <w:wordWrap/>
              <w:overflowPunct/>
              <w:topLinePunct w:val="0"/>
              <w:bidi w:val="0"/>
              <w:snapToGrid/>
              <w:spacing w:line="440" w:lineRule="exact"/>
              <w:jc w:val="left"/>
              <w:textAlignment w:val="auto"/>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反应孔型</w:t>
            </w:r>
          </w:p>
        </w:tc>
        <w:tc>
          <w:tcPr>
            <w:tcW w:w="6946" w:type="dxa"/>
            <w:shd w:val="clear" w:color="auto" w:fill="auto"/>
            <w:noWrap w:val="0"/>
            <w:vAlign w:val="top"/>
          </w:tcPr>
          <w:p w14:paraId="2FBD3E30">
            <w:pPr>
              <w:keepNext w:val="0"/>
              <w:keepLines w:val="0"/>
              <w:pageBreakBefore w:val="0"/>
              <w:widowControl/>
              <w:kinsoku/>
              <w:wordWrap/>
              <w:overflowPunct/>
              <w:topLinePunct w:val="0"/>
              <w:bidi w:val="0"/>
              <w:snapToGrid/>
              <w:spacing w:line="440" w:lineRule="exact"/>
              <w:jc w:val="left"/>
              <w:textAlignment w:val="auto"/>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为最大限度保证循环洗涤效果和最少洗涤残留，要求反应孔为U型底。（须提供反应孔有效</w:t>
            </w:r>
            <w:r>
              <w:rPr>
                <w:rFonts w:hint="eastAsia" w:ascii="新宋体" w:hAnsi="新宋体" w:eastAsia="新宋体" w:cs="新宋体"/>
                <w:b/>
                <w:color w:val="auto"/>
                <w:kern w:val="0"/>
                <w:sz w:val="22"/>
                <w:szCs w:val="22"/>
                <w:highlight w:val="none"/>
                <w:lang w:val="en-US" w:eastAsia="zh-CN"/>
              </w:rPr>
              <w:t>证明材料</w:t>
            </w:r>
            <w:r>
              <w:rPr>
                <w:rFonts w:hint="eastAsia" w:ascii="新宋体" w:hAnsi="新宋体" w:eastAsia="新宋体" w:cs="新宋体"/>
                <w:b/>
                <w:color w:val="auto"/>
                <w:kern w:val="0"/>
                <w:sz w:val="22"/>
                <w:szCs w:val="22"/>
                <w:highlight w:val="none"/>
              </w:rPr>
              <w:t>）</w:t>
            </w:r>
          </w:p>
        </w:tc>
      </w:tr>
      <w:tr w14:paraId="70E1F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68" w:type="dxa"/>
            <w:shd w:val="clear" w:color="auto" w:fill="auto"/>
            <w:noWrap w:val="0"/>
            <w:vAlign w:val="top"/>
          </w:tcPr>
          <w:p w14:paraId="06AFAABF">
            <w:pPr>
              <w:keepNext w:val="0"/>
              <w:keepLines w:val="0"/>
              <w:pageBreakBefore w:val="0"/>
              <w:widowControl/>
              <w:kinsoku/>
              <w:wordWrap/>
              <w:overflowPunct/>
              <w:topLinePunct w:val="0"/>
              <w:bidi w:val="0"/>
              <w:snapToGrid/>
              <w:spacing w:line="440" w:lineRule="exact"/>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12</w:t>
            </w:r>
          </w:p>
        </w:tc>
        <w:tc>
          <w:tcPr>
            <w:tcW w:w="1843" w:type="dxa"/>
            <w:shd w:val="clear" w:color="auto" w:fill="auto"/>
            <w:noWrap w:val="0"/>
            <w:vAlign w:val="top"/>
          </w:tcPr>
          <w:p w14:paraId="05B44585">
            <w:pPr>
              <w:keepNext w:val="0"/>
              <w:keepLines w:val="0"/>
              <w:pageBreakBefore w:val="0"/>
              <w:widowControl/>
              <w:kinsoku/>
              <w:wordWrap/>
              <w:overflowPunct/>
              <w:topLinePunct w:val="0"/>
              <w:bidi w:val="0"/>
              <w:snapToGrid/>
              <w:spacing w:line="440" w:lineRule="exact"/>
              <w:jc w:val="left"/>
              <w:textAlignment w:val="auto"/>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试剂特异性</w:t>
            </w:r>
          </w:p>
        </w:tc>
        <w:tc>
          <w:tcPr>
            <w:tcW w:w="6946" w:type="dxa"/>
            <w:shd w:val="clear" w:color="auto" w:fill="auto"/>
            <w:noWrap w:val="0"/>
            <w:vAlign w:val="top"/>
          </w:tcPr>
          <w:p w14:paraId="1C0EA240">
            <w:pPr>
              <w:pStyle w:val="204"/>
              <w:keepNext w:val="0"/>
              <w:keepLines w:val="0"/>
              <w:pageBreakBefore w:val="0"/>
              <w:kinsoku/>
              <w:wordWrap/>
              <w:overflowPunct/>
              <w:topLinePunct w:val="0"/>
              <w:bidi w:val="0"/>
              <w:snapToGrid/>
              <w:spacing w:line="440" w:lineRule="exact"/>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检测特异性</w:t>
            </w:r>
            <w:r>
              <w:rPr>
                <w:rFonts w:hint="eastAsia" w:ascii="新宋体" w:hAnsi="新宋体" w:eastAsia="新宋体" w:cs="新宋体"/>
                <w:bCs/>
                <w:color w:val="auto"/>
                <w:sz w:val="22"/>
                <w:szCs w:val="22"/>
                <w:highlight w:val="none"/>
              </w:rPr>
              <w:t xml:space="preserve"> ≥99.97% </w:t>
            </w:r>
          </w:p>
        </w:tc>
      </w:tr>
      <w:tr w14:paraId="6F955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68" w:type="dxa"/>
            <w:shd w:val="clear" w:color="auto" w:fill="auto"/>
            <w:noWrap w:val="0"/>
            <w:vAlign w:val="top"/>
          </w:tcPr>
          <w:p w14:paraId="663C26C5">
            <w:pPr>
              <w:keepNext w:val="0"/>
              <w:keepLines w:val="0"/>
              <w:pageBreakBefore w:val="0"/>
              <w:widowControl/>
              <w:kinsoku/>
              <w:wordWrap/>
              <w:overflowPunct/>
              <w:topLinePunct w:val="0"/>
              <w:bidi w:val="0"/>
              <w:snapToGrid/>
              <w:spacing w:line="440" w:lineRule="exact"/>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13</w:t>
            </w:r>
          </w:p>
        </w:tc>
        <w:tc>
          <w:tcPr>
            <w:tcW w:w="1843" w:type="dxa"/>
            <w:shd w:val="clear" w:color="auto" w:fill="auto"/>
            <w:noWrap w:val="0"/>
            <w:vAlign w:val="top"/>
          </w:tcPr>
          <w:p w14:paraId="7E6AD6B0">
            <w:pPr>
              <w:keepNext w:val="0"/>
              <w:keepLines w:val="0"/>
              <w:pageBreakBefore w:val="0"/>
              <w:widowControl/>
              <w:kinsoku/>
              <w:wordWrap/>
              <w:overflowPunct/>
              <w:topLinePunct w:val="0"/>
              <w:bidi w:val="0"/>
              <w:snapToGrid/>
              <w:spacing w:line="440" w:lineRule="exact"/>
              <w:jc w:val="left"/>
              <w:textAlignment w:val="auto"/>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试剂灵敏度</w:t>
            </w:r>
          </w:p>
        </w:tc>
        <w:tc>
          <w:tcPr>
            <w:tcW w:w="6946" w:type="dxa"/>
            <w:shd w:val="clear" w:color="auto" w:fill="auto"/>
            <w:noWrap w:val="0"/>
            <w:vAlign w:val="top"/>
          </w:tcPr>
          <w:p w14:paraId="6B1D0FC2">
            <w:pPr>
              <w:keepNext w:val="0"/>
              <w:keepLines w:val="0"/>
              <w:pageBreakBefore w:val="0"/>
              <w:widowControl/>
              <w:kinsoku/>
              <w:wordWrap/>
              <w:overflowPunct/>
              <w:topLinePunct w:val="0"/>
              <w:bidi w:val="0"/>
              <w:snapToGrid/>
              <w:spacing w:line="440" w:lineRule="exact"/>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检测灵敏度100%</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最低检测灵敏度为</w:t>
            </w:r>
            <w:r>
              <w:rPr>
                <w:rFonts w:hint="eastAsia" w:ascii="新宋体" w:hAnsi="新宋体" w:eastAsia="新宋体" w:cs="新宋体"/>
                <w:color w:val="auto"/>
                <w:sz w:val="21"/>
                <w:highlight w:val="none"/>
              </w:rPr>
              <w:t>≤</w:t>
            </w:r>
            <w:r>
              <w:rPr>
                <w:rFonts w:hint="eastAsia" w:ascii="新宋体" w:hAnsi="新宋体" w:eastAsia="新宋体" w:cs="新宋体"/>
                <w:color w:val="auto"/>
                <w:kern w:val="0"/>
                <w:sz w:val="22"/>
                <w:szCs w:val="22"/>
                <w:highlight w:val="none"/>
                <w:lang w:val="en-US" w:eastAsia="zh-CN"/>
              </w:rPr>
              <w:t>0.1IU/ml</w:t>
            </w:r>
            <w:r>
              <w:rPr>
                <w:rFonts w:hint="eastAsia" w:ascii="新宋体" w:hAnsi="新宋体" w:eastAsia="新宋体" w:cs="新宋体"/>
                <w:color w:val="auto"/>
                <w:kern w:val="0"/>
                <w:sz w:val="22"/>
                <w:szCs w:val="22"/>
                <w:highlight w:val="none"/>
              </w:rPr>
              <w:t>。</w:t>
            </w:r>
          </w:p>
        </w:tc>
      </w:tr>
      <w:tr w14:paraId="0A34F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668" w:type="dxa"/>
            <w:shd w:val="clear" w:color="auto" w:fill="auto"/>
            <w:noWrap w:val="0"/>
            <w:vAlign w:val="top"/>
          </w:tcPr>
          <w:p w14:paraId="1663CDBB">
            <w:pPr>
              <w:keepNext w:val="0"/>
              <w:keepLines w:val="0"/>
              <w:pageBreakBefore w:val="0"/>
              <w:widowControl/>
              <w:kinsoku/>
              <w:wordWrap/>
              <w:overflowPunct/>
              <w:topLinePunct w:val="0"/>
              <w:bidi w:val="0"/>
              <w:snapToGrid/>
              <w:spacing w:line="440" w:lineRule="exact"/>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kern w:val="0"/>
                <w:sz w:val="22"/>
                <w:szCs w:val="22"/>
                <w:highlight w:val="none"/>
              </w:rPr>
              <w:t>14</w:t>
            </w:r>
          </w:p>
        </w:tc>
        <w:tc>
          <w:tcPr>
            <w:tcW w:w="1843" w:type="dxa"/>
            <w:shd w:val="clear" w:color="auto" w:fill="auto"/>
            <w:noWrap w:val="0"/>
            <w:vAlign w:val="top"/>
          </w:tcPr>
          <w:p w14:paraId="6C83B3AF">
            <w:pPr>
              <w:keepNext w:val="0"/>
              <w:keepLines w:val="0"/>
              <w:pageBreakBefore w:val="0"/>
              <w:widowControl/>
              <w:kinsoku/>
              <w:wordWrap/>
              <w:overflowPunct/>
              <w:topLinePunct w:val="0"/>
              <w:bidi w:val="0"/>
              <w:snapToGrid/>
              <w:spacing w:line="440" w:lineRule="exact"/>
              <w:jc w:val="left"/>
              <w:textAlignment w:val="auto"/>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精密性</w:t>
            </w:r>
          </w:p>
        </w:tc>
        <w:tc>
          <w:tcPr>
            <w:tcW w:w="6946" w:type="dxa"/>
            <w:shd w:val="clear" w:color="auto" w:fill="auto"/>
            <w:noWrap w:val="0"/>
            <w:vAlign w:val="top"/>
          </w:tcPr>
          <w:p w14:paraId="4A1B832E">
            <w:pPr>
              <w:keepNext w:val="0"/>
              <w:keepLines w:val="0"/>
              <w:pageBreakBefore w:val="0"/>
              <w:widowControl/>
              <w:kinsoku/>
              <w:wordWrap/>
              <w:overflowPunct/>
              <w:topLinePunct w:val="0"/>
              <w:bidi w:val="0"/>
              <w:snapToGrid/>
              <w:spacing w:line="440" w:lineRule="exact"/>
              <w:jc w:val="left"/>
              <w:textAlignment w:val="auto"/>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试剂说明书</w:t>
            </w:r>
            <w:r>
              <w:rPr>
                <w:rFonts w:hint="eastAsia" w:ascii="新宋体" w:hAnsi="新宋体" w:eastAsia="新宋体" w:cs="新宋体"/>
                <w:b/>
                <w:color w:val="auto"/>
                <w:kern w:val="0"/>
                <w:sz w:val="22"/>
                <w:szCs w:val="22"/>
                <w:highlight w:val="none"/>
                <w:lang w:val="en-US" w:eastAsia="zh-CN"/>
              </w:rPr>
              <w:t>说</w:t>
            </w:r>
            <w:r>
              <w:rPr>
                <w:rFonts w:hint="eastAsia" w:ascii="新宋体" w:hAnsi="新宋体" w:eastAsia="新宋体" w:cs="新宋体"/>
                <w:b/>
                <w:color w:val="auto"/>
                <w:kern w:val="0"/>
                <w:sz w:val="22"/>
                <w:szCs w:val="22"/>
                <w:highlight w:val="none"/>
              </w:rPr>
              <w:t>明试剂精密性评估数据，批内、批间变异均须≤15%（须提供有效的试剂说明书给予佐证）</w:t>
            </w:r>
          </w:p>
        </w:tc>
      </w:tr>
      <w:tr w14:paraId="7A320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68" w:type="dxa"/>
            <w:shd w:val="clear" w:color="auto" w:fill="auto"/>
            <w:noWrap w:val="0"/>
            <w:vAlign w:val="top"/>
          </w:tcPr>
          <w:p w14:paraId="54472E28">
            <w:pPr>
              <w:keepNext w:val="0"/>
              <w:keepLines w:val="0"/>
              <w:pageBreakBefore w:val="0"/>
              <w:widowControl/>
              <w:kinsoku/>
              <w:wordWrap/>
              <w:overflowPunct/>
              <w:topLinePunct w:val="0"/>
              <w:bidi w:val="0"/>
              <w:snapToGrid/>
              <w:spacing w:line="440" w:lineRule="exact"/>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15</w:t>
            </w:r>
          </w:p>
        </w:tc>
        <w:tc>
          <w:tcPr>
            <w:tcW w:w="1843" w:type="dxa"/>
            <w:shd w:val="clear" w:color="auto" w:fill="auto"/>
            <w:noWrap w:val="0"/>
            <w:vAlign w:val="top"/>
          </w:tcPr>
          <w:p w14:paraId="653C0FD9">
            <w:pPr>
              <w:keepNext w:val="0"/>
              <w:keepLines w:val="0"/>
              <w:pageBreakBefore w:val="0"/>
              <w:widowControl/>
              <w:kinsoku/>
              <w:wordWrap/>
              <w:overflowPunct/>
              <w:topLinePunct w:val="0"/>
              <w:bidi w:val="0"/>
              <w:snapToGrid/>
              <w:spacing w:line="440" w:lineRule="exact"/>
              <w:jc w:val="left"/>
              <w:textAlignment w:val="auto"/>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产品质量认证</w:t>
            </w:r>
          </w:p>
        </w:tc>
        <w:tc>
          <w:tcPr>
            <w:tcW w:w="6946" w:type="dxa"/>
            <w:shd w:val="clear" w:color="auto" w:fill="auto"/>
            <w:noWrap w:val="0"/>
            <w:vAlign w:val="top"/>
          </w:tcPr>
          <w:p w14:paraId="549CC3FB">
            <w:pPr>
              <w:keepNext w:val="0"/>
              <w:keepLines w:val="0"/>
              <w:pageBreakBefore w:val="0"/>
              <w:kinsoku/>
              <w:wordWrap/>
              <w:overflowPunct/>
              <w:topLinePunct w:val="0"/>
              <w:bidi w:val="0"/>
              <w:snapToGrid/>
              <w:spacing w:line="44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投标产品制造商具备ISO9001、ISO13485认证；</w:t>
            </w:r>
          </w:p>
        </w:tc>
      </w:tr>
      <w:tr w14:paraId="55A05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 w:hRule="atLeast"/>
        </w:trPr>
        <w:tc>
          <w:tcPr>
            <w:tcW w:w="668" w:type="dxa"/>
            <w:shd w:val="clear" w:color="auto" w:fill="auto"/>
            <w:noWrap w:val="0"/>
            <w:vAlign w:val="top"/>
          </w:tcPr>
          <w:p w14:paraId="29137FDB">
            <w:pPr>
              <w:keepNext w:val="0"/>
              <w:keepLines w:val="0"/>
              <w:pageBreakBefore w:val="0"/>
              <w:widowControl/>
              <w:kinsoku/>
              <w:wordWrap/>
              <w:overflowPunct/>
              <w:topLinePunct w:val="0"/>
              <w:bidi w:val="0"/>
              <w:snapToGrid/>
              <w:spacing w:line="440" w:lineRule="exact"/>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16</w:t>
            </w:r>
          </w:p>
        </w:tc>
        <w:tc>
          <w:tcPr>
            <w:tcW w:w="1843" w:type="dxa"/>
            <w:shd w:val="clear" w:color="auto" w:fill="auto"/>
            <w:noWrap w:val="0"/>
            <w:vAlign w:val="center"/>
          </w:tcPr>
          <w:p w14:paraId="36F790A2">
            <w:pPr>
              <w:keepNext w:val="0"/>
              <w:keepLines w:val="0"/>
              <w:pageBreakBefore w:val="0"/>
              <w:widowControl/>
              <w:kinsoku/>
              <w:wordWrap/>
              <w:overflowPunct/>
              <w:topLinePunct w:val="0"/>
              <w:bidi w:val="0"/>
              <w:snapToGrid/>
              <w:spacing w:line="440" w:lineRule="exact"/>
              <w:jc w:val="center"/>
              <w:textAlignment w:val="auto"/>
              <w:rPr>
                <w:rFonts w:hint="eastAsia" w:ascii="新宋体" w:hAnsi="新宋体" w:eastAsia="新宋体" w:cs="新宋体"/>
                <w:bCs/>
                <w:color w:val="auto"/>
                <w:kern w:val="0"/>
                <w:sz w:val="22"/>
                <w:szCs w:val="22"/>
                <w:highlight w:val="none"/>
              </w:rPr>
            </w:pPr>
            <w:r>
              <w:rPr>
                <w:rFonts w:hint="eastAsia" w:ascii="新宋体" w:hAnsi="新宋体" w:eastAsia="新宋体" w:cs="新宋体"/>
                <w:color w:val="auto"/>
                <w:kern w:val="0"/>
                <w:sz w:val="22"/>
                <w:szCs w:val="22"/>
                <w:highlight w:val="none"/>
              </w:rPr>
              <w:t>资质认证</w:t>
            </w:r>
          </w:p>
        </w:tc>
        <w:tc>
          <w:tcPr>
            <w:tcW w:w="6946" w:type="dxa"/>
            <w:shd w:val="clear" w:color="auto" w:fill="auto"/>
            <w:noWrap w:val="0"/>
            <w:vAlign w:val="center"/>
          </w:tcPr>
          <w:p w14:paraId="22C6ED50">
            <w:pPr>
              <w:keepNext w:val="0"/>
              <w:keepLines w:val="0"/>
              <w:pageBreakBefore w:val="0"/>
              <w:widowControl/>
              <w:kinsoku/>
              <w:wordWrap/>
              <w:overflowPunct/>
              <w:topLinePunct w:val="0"/>
              <w:bidi w:val="0"/>
              <w:snapToGrid/>
              <w:spacing w:line="44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通过中国食品药品监督管理局注册，每批试剂盒必须有中国药品生物制品检定院检定合格报告。</w:t>
            </w:r>
          </w:p>
        </w:tc>
      </w:tr>
    </w:tbl>
    <w:p w14:paraId="00B3947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四、</w:t>
      </w:r>
      <w:r>
        <w:rPr>
          <w:rFonts w:hint="eastAsia" w:ascii="新宋体" w:hAnsi="新宋体" w:eastAsia="新宋体" w:cs="新宋体"/>
          <w:b/>
          <w:bCs/>
          <w:color w:val="auto"/>
          <w:sz w:val="22"/>
          <w:szCs w:val="22"/>
          <w:highlight w:val="none"/>
          <w:lang w:val="en-US" w:eastAsia="zh-CN"/>
        </w:rPr>
        <w:t>其他要求：</w:t>
      </w:r>
    </w:p>
    <w:p w14:paraId="5AA6588C">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1、产品标准和规范应符合最新版本的中华人民共和国国家标准/规范，或相应的国际标准/规范，或厂家标准/规范</w:t>
      </w:r>
    </w:p>
    <w:p w14:paraId="691A0717">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本标书中的技术要求不得被认为是详尽无遗的，无论规定与否，投标供应商应提供所有投标文件没有规定但投标供应商认为完成本项目必要或必须的设备和材料，应在技术标表中一一列明并在商务标分项报价表中列出对应价格。</w:t>
      </w:r>
    </w:p>
    <w:p w14:paraId="78C2F19A">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本次标书所列的技术性能及配置均为最低要求，投标供应商可以按技术性能及配置要求选用的设备功能、配置、技术性能等于或高于招标文件要求，并完全满足采购需要，否则将可能作出对投标供应商不利的评定。</w:t>
      </w:r>
    </w:p>
    <w:p w14:paraId="1EFEC000">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4、保证所供货物、服务或其任何一部分不受第三方提出侵犯其专利权、商标权、版权和工业设计权的指控。</w:t>
      </w:r>
    </w:p>
    <w:p w14:paraId="6AD79433">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5、交货地点：采购单位指定地点。</w:t>
      </w:r>
    </w:p>
    <w:p w14:paraId="354314C6">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b/>
          <w:bCs/>
          <w:color w:val="auto"/>
          <w:kern w:val="0"/>
          <w:sz w:val="22"/>
          <w:szCs w:val="22"/>
          <w:highlight w:val="none"/>
          <w:u w:val="single"/>
          <w:lang w:val="en-US" w:eastAsia="zh-CN"/>
        </w:rPr>
        <w:t>供货方式：分批。乙方接到甲方订货通知后，15天内送达。</w:t>
      </w:r>
    </w:p>
    <w:p w14:paraId="33F4E880">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rPr>
        <w:t>、付款方式见“第二部分 合同主要条款”规定；</w:t>
      </w:r>
    </w:p>
    <w:p w14:paraId="11426EE2">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8、合同期限：自合同签订之日起，至提供完本项目要求的数量</w:t>
      </w:r>
      <w:r>
        <w:rPr>
          <w:rFonts w:hint="eastAsia" w:ascii="新宋体" w:hAnsi="新宋体" w:eastAsia="新宋体" w:cs="新宋体"/>
          <w:bCs/>
          <w:color w:val="auto"/>
          <w:sz w:val="22"/>
          <w:szCs w:val="22"/>
          <w:highlight w:val="none"/>
          <w:lang w:val="en-US" w:eastAsia="zh-CN"/>
        </w:rPr>
        <w:t>为止。</w:t>
      </w:r>
    </w:p>
    <w:p w14:paraId="7D7E5497">
      <w:pPr>
        <w:rPr>
          <w:rFonts w:hint="eastAsia" w:ascii="新宋体" w:hAnsi="新宋体" w:eastAsia="新宋体" w:cs="新宋体"/>
          <w:color w:val="auto"/>
          <w:highlight w:val="none"/>
        </w:rPr>
      </w:pPr>
      <w:r>
        <w:rPr>
          <w:rFonts w:hint="eastAsia" w:ascii="新宋体" w:hAnsi="新宋体" w:eastAsia="新宋体" w:cs="新宋体"/>
          <w:color w:val="auto"/>
          <w:highlight w:val="none"/>
        </w:rPr>
        <w:br w:type="page"/>
      </w:r>
    </w:p>
    <w:p w14:paraId="471F6532">
      <w:pPr>
        <w:pStyle w:val="4"/>
        <w:rPr>
          <w:rFonts w:hint="eastAsia" w:ascii="新宋体" w:hAnsi="新宋体" w:eastAsia="新宋体" w:cs="新宋体"/>
          <w:color w:val="auto"/>
          <w:highlight w:val="none"/>
        </w:rPr>
      </w:pPr>
      <w:r>
        <w:rPr>
          <w:rFonts w:hint="eastAsia" w:ascii="新宋体" w:hAnsi="新宋体" w:eastAsia="新宋体" w:cs="新宋体"/>
          <w:color w:val="auto"/>
          <w:highlight w:val="none"/>
        </w:rPr>
        <w:t>第五部分   评标原则及方法</w:t>
      </w:r>
      <w:bookmarkEnd w:id="51"/>
      <w:bookmarkEnd w:id="52"/>
    </w:p>
    <w:p w14:paraId="354FB264">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14:paraId="12C59B35">
      <w:pPr>
        <w:spacing w:line="460" w:lineRule="exact"/>
        <w:ind w:firstLine="442" w:firstLineChars="200"/>
        <w:outlineLvl w:val="1"/>
        <w:rPr>
          <w:rFonts w:hint="eastAsia" w:ascii="新宋体" w:hAnsi="新宋体" w:eastAsia="新宋体" w:cs="新宋体"/>
          <w:b/>
          <w:color w:val="auto"/>
          <w:sz w:val="22"/>
          <w:szCs w:val="22"/>
          <w:highlight w:val="none"/>
        </w:rPr>
      </w:pPr>
      <w:bookmarkStart w:id="53" w:name="_Toc4407"/>
      <w:bookmarkStart w:id="54" w:name="_Toc15713"/>
      <w:r>
        <w:rPr>
          <w:rFonts w:hint="eastAsia" w:ascii="新宋体" w:hAnsi="新宋体" w:eastAsia="新宋体" w:cs="新宋体"/>
          <w:b/>
          <w:color w:val="auto"/>
          <w:sz w:val="22"/>
          <w:szCs w:val="22"/>
          <w:highlight w:val="none"/>
        </w:rPr>
        <w:t>一、总 则</w:t>
      </w:r>
      <w:bookmarkEnd w:id="53"/>
      <w:bookmarkEnd w:id="54"/>
    </w:p>
    <w:p w14:paraId="5AF6B957">
      <w:pPr>
        <w:spacing w:line="460" w:lineRule="exact"/>
        <w:ind w:firstLine="440" w:firstLineChars="200"/>
        <w:rPr>
          <w:rFonts w:hint="eastAsia" w:ascii="新宋体" w:hAnsi="新宋体" w:eastAsia="新宋体" w:cs="新宋体"/>
          <w:b/>
          <w:color w:val="auto"/>
          <w:sz w:val="22"/>
          <w:highlight w:val="none"/>
        </w:rPr>
      </w:pPr>
      <w:r>
        <w:rPr>
          <w:rFonts w:hint="eastAsia" w:ascii="新宋体" w:hAnsi="新宋体" w:eastAsia="新宋体" w:cs="新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的商务、技术要求，对投标文件进行综合评定，提出优选方案，编写评标报告。对落标单位，评委会不作任何落标解释。投标人不得以任何方式干扰招投标工作的进行，一经发现其投标文件将被拒绝。</w:t>
      </w:r>
    </w:p>
    <w:p w14:paraId="17BD4AD9">
      <w:pPr>
        <w:spacing w:line="460" w:lineRule="exact"/>
        <w:ind w:firstLine="442" w:firstLineChars="200"/>
        <w:outlineLvl w:val="1"/>
        <w:rPr>
          <w:rFonts w:hint="eastAsia" w:ascii="新宋体" w:hAnsi="新宋体" w:eastAsia="新宋体" w:cs="新宋体"/>
          <w:b/>
          <w:color w:val="auto"/>
          <w:sz w:val="22"/>
          <w:szCs w:val="22"/>
          <w:highlight w:val="none"/>
        </w:rPr>
      </w:pPr>
      <w:bookmarkStart w:id="55" w:name="_Toc23152"/>
      <w:bookmarkStart w:id="56" w:name="_Toc24468"/>
      <w:r>
        <w:rPr>
          <w:rFonts w:hint="eastAsia" w:ascii="新宋体" w:hAnsi="新宋体" w:eastAsia="新宋体" w:cs="新宋体"/>
          <w:b/>
          <w:color w:val="auto"/>
          <w:sz w:val="22"/>
          <w:szCs w:val="22"/>
          <w:highlight w:val="none"/>
        </w:rPr>
        <w:t>二、评标组织</w:t>
      </w:r>
      <w:bookmarkEnd w:id="55"/>
      <w:bookmarkEnd w:id="56"/>
    </w:p>
    <w:p w14:paraId="12FEA18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评标工作由</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组建的评标委员会负责，评标全过程由有关部门指导监督。</w:t>
      </w:r>
    </w:p>
    <w:p w14:paraId="038AB5EA">
      <w:pPr>
        <w:spacing w:line="460" w:lineRule="exact"/>
        <w:ind w:firstLine="442" w:firstLineChars="200"/>
        <w:outlineLvl w:val="1"/>
        <w:rPr>
          <w:rFonts w:hint="eastAsia" w:ascii="新宋体" w:hAnsi="新宋体" w:eastAsia="新宋体" w:cs="新宋体"/>
          <w:b/>
          <w:color w:val="auto"/>
          <w:sz w:val="22"/>
          <w:szCs w:val="22"/>
          <w:highlight w:val="none"/>
        </w:rPr>
      </w:pPr>
      <w:bookmarkStart w:id="57" w:name="_Toc67"/>
      <w:bookmarkStart w:id="58" w:name="_Toc15153"/>
      <w:r>
        <w:rPr>
          <w:rFonts w:hint="eastAsia" w:ascii="新宋体" w:hAnsi="新宋体" w:eastAsia="新宋体" w:cs="新宋体"/>
          <w:b/>
          <w:color w:val="auto"/>
          <w:sz w:val="22"/>
          <w:szCs w:val="22"/>
          <w:highlight w:val="none"/>
        </w:rPr>
        <w:t>三、评标程序</w:t>
      </w:r>
      <w:bookmarkEnd w:id="57"/>
      <w:bookmarkEnd w:id="58"/>
    </w:p>
    <w:p w14:paraId="1165257F">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1、</w:t>
      </w:r>
      <w:r>
        <w:rPr>
          <w:rFonts w:hint="eastAsia" w:ascii="新宋体" w:hAnsi="新宋体" w:eastAsia="新宋体" w:cs="新宋体"/>
          <w:bCs/>
          <w:color w:val="auto"/>
          <w:sz w:val="22"/>
          <w:szCs w:val="22"/>
          <w:highlight w:val="none"/>
        </w:rPr>
        <w:t>评标委员按照</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中规定的评标方法和标准，对投标文件进行商务和技术评估，综合比较与评价</w:t>
      </w:r>
      <w:r>
        <w:rPr>
          <w:rFonts w:hint="eastAsia" w:ascii="新宋体" w:hAnsi="新宋体" w:eastAsia="新宋体" w:cs="新宋体"/>
          <w:color w:val="auto"/>
          <w:sz w:val="22"/>
          <w:szCs w:val="22"/>
          <w:highlight w:val="none"/>
        </w:rPr>
        <w:t>，根据综合评审结果，提交评审报告。</w:t>
      </w:r>
    </w:p>
    <w:p w14:paraId="1DF36A37">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2、提供相同品牌产品且通过资格审查、符合性审查的不同投标人参加同一合同项下投标的,按一家投标人计算,评审后综合得分最高的同品牌投标人获得中标人推荐资格；综合得分相同的,报价最低一家供应商获得中标人推荐资格；均相同时采取随机抽取方式确认一个投标人获得中标人推荐资格,其他同品牌投标人不作为中标候选人。</w:t>
      </w:r>
    </w:p>
    <w:p w14:paraId="525704A2">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rPr>
        <w:t>非单一产品采购项目，应当根据采购项目技术构成、产品价格比重等合理确定核心产品。多家投标人提供的核心产品品牌相同的，按前款规定处理。</w:t>
      </w:r>
    </w:p>
    <w:p w14:paraId="5D12DE4F">
      <w:pPr>
        <w:spacing w:line="460" w:lineRule="exact"/>
        <w:ind w:firstLine="442" w:firstLineChars="200"/>
        <w:outlineLvl w:val="1"/>
        <w:rPr>
          <w:rFonts w:hint="eastAsia" w:ascii="新宋体" w:hAnsi="新宋体" w:eastAsia="新宋体" w:cs="新宋体"/>
          <w:b/>
          <w:color w:val="auto"/>
          <w:sz w:val="22"/>
          <w:szCs w:val="22"/>
          <w:highlight w:val="none"/>
        </w:rPr>
      </w:pPr>
      <w:bookmarkStart w:id="59" w:name="_Toc11306"/>
      <w:bookmarkStart w:id="60" w:name="_Toc24825"/>
      <w:r>
        <w:rPr>
          <w:rFonts w:hint="eastAsia" w:ascii="新宋体" w:hAnsi="新宋体" w:eastAsia="新宋体" w:cs="新宋体"/>
          <w:b/>
          <w:color w:val="auto"/>
          <w:sz w:val="22"/>
          <w:szCs w:val="22"/>
          <w:highlight w:val="none"/>
        </w:rPr>
        <w:t>四、评标办法</w:t>
      </w:r>
      <w:bookmarkEnd w:id="59"/>
      <w:bookmarkEnd w:id="60"/>
    </w:p>
    <w:p w14:paraId="7AACA2B4">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本次采购采用百分制综合评分法，即投标人最大限度地满足</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实质性要求的基础上，按照</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的各项因素进行综合评审后，以评标总得分最高的投标人和次高的投标人作为第一和第二排序的中标候选人的评标方法。根据采购要求，</w:t>
      </w:r>
      <w:r>
        <w:rPr>
          <w:rFonts w:hint="eastAsia" w:ascii="新宋体" w:hAnsi="新宋体" w:eastAsia="新宋体" w:cs="新宋体"/>
          <w:b/>
          <w:color w:val="auto"/>
          <w:sz w:val="22"/>
          <w:szCs w:val="22"/>
          <w:highlight w:val="none"/>
        </w:rPr>
        <w:t>总分设定为100分：技术标</w:t>
      </w:r>
      <w:r>
        <w:rPr>
          <w:rFonts w:hint="eastAsia" w:ascii="新宋体" w:hAnsi="新宋体" w:eastAsia="新宋体" w:cs="新宋体"/>
          <w:b/>
          <w:color w:val="auto"/>
          <w:sz w:val="22"/>
          <w:szCs w:val="22"/>
          <w:highlight w:val="none"/>
          <w:lang w:val="en-US" w:eastAsia="zh-CN"/>
        </w:rPr>
        <w:t>70</w:t>
      </w:r>
      <w:r>
        <w:rPr>
          <w:rFonts w:hint="eastAsia" w:ascii="新宋体" w:hAnsi="新宋体" w:eastAsia="新宋体" w:cs="新宋体"/>
          <w:b/>
          <w:color w:val="auto"/>
          <w:sz w:val="22"/>
          <w:szCs w:val="22"/>
          <w:highlight w:val="none"/>
        </w:rPr>
        <w:t>分（权值</w:t>
      </w:r>
      <w:r>
        <w:rPr>
          <w:rFonts w:hint="eastAsia" w:ascii="新宋体" w:hAnsi="新宋体" w:eastAsia="新宋体" w:cs="新宋体"/>
          <w:b/>
          <w:color w:val="auto"/>
          <w:sz w:val="22"/>
          <w:szCs w:val="22"/>
          <w:highlight w:val="none"/>
          <w:lang w:val="en-US" w:eastAsia="zh-CN"/>
        </w:rPr>
        <w:t>70</w:t>
      </w:r>
      <w:r>
        <w:rPr>
          <w:rFonts w:hint="eastAsia" w:ascii="新宋体" w:hAnsi="新宋体" w:eastAsia="新宋体" w:cs="新宋体"/>
          <w:b/>
          <w:color w:val="auto"/>
          <w:sz w:val="22"/>
          <w:szCs w:val="22"/>
          <w:highlight w:val="none"/>
        </w:rPr>
        <w:t>%），商务标（报价）</w:t>
      </w:r>
      <w:r>
        <w:rPr>
          <w:rFonts w:hint="eastAsia" w:ascii="新宋体" w:hAnsi="新宋体" w:eastAsia="新宋体" w:cs="新宋体"/>
          <w:b/>
          <w:color w:val="auto"/>
          <w:sz w:val="22"/>
          <w:szCs w:val="22"/>
          <w:highlight w:val="none"/>
          <w:lang w:val="en-US" w:eastAsia="zh-CN"/>
        </w:rPr>
        <w:t>30</w:t>
      </w:r>
      <w:r>
        <w:rPr>
          <w:rFonts w:hint="eastAsia" w:ascii="新宋体" w:hAnsi="新宋体" w:eastAsia="新宋体" w:cs="新宋体"/>
          <w:b/>
          <w:color w:val="auto"/>
          <w:sz w:val="22"/>
          <w:szCs w:val="22"/>
          <w:highlight w:val="none"/>
        </w:rPr>
        <w:t>分（权值</w:t>
      </w:r>
      <w:r>
        <w:rPr>
          <w:rFonts w:hint="eastAsia" w:ascii="新宋体" w:hAnsi="新宋体" w:eastAsia="新宋体" w:cs="新宋体"/>
          <w:b/>
          <w:color w:val="auto"/>
          <w:sz w:val="22"/>
          <w:szCs w:val="22"/>
          <w:highlight w:val="none"/>
          <w:lang w:val="en-US" w:eastAsia="zh-CN"/>
        </w:rPr>
        <w:t>30</w:t>
      </w:r>
      <w:r>
        <w:rPr>
          <w:rFonts w:hint="eastAsia" w:ascii="新宋体" w:hAnsi="新宋体" w:eastAsia="新宋体" w:cs="新宋体"/>
          <w:b/>
          <w:color w:val="auto"/>
          <w:sz w:val="22"/>
          <w:szCs w:val="22"/>
          <w:highlight w:val="none"/>
        </w:rPr>
        <w:t>%）。</w:t>
      </w:r>
    </w:p>
    <w:p w14:paraId="7E0CE1D3">
      <w:pPr>
        <w:numPr>
          <w:ilvl w:val="0"/>
          <w:numId w:val="0"/>
        </w:numPr>
        <w:spacing w:line="460" w:lineRule="exact"/>
        <w:ind w:firstLine="442" w:firstLineChars="200"/>
        <w:outlineLvl w:val="1"/>
        <w:rPr>
          <w:rFonts w:hint="eastAsia" w:ascii="新宋体" w:hAnsi="新宋体" w:eastAsia="新宋体" w:cs="新宋体"/>
          <w:b/>
          <w:color w:val="auto"/>
          <w:sz w:val="22"/>
          <w:szCs w:val="22"/>
          <w:highlight w:val="none"/>
        </w:rPr>
      </w:pPr>
      <w:bookmarkStart w:id="61" w:name="_Toc11450"/>
      <w:bookmarkStart w:id="62" w:name="_Toc1535"/>
      <w:r>
        <w:rPr>
          <w:rFonts w:hint="eastAsia" w:ascii="新宋体" w:hAnsi="新宋体" w:eastAsia="新宋体" w:cs="新宋体"/>
          <w:b/>
          <w:color w:val="auto"/>
          <w:sz w:val="22"/>
          <w:szCs w:val="22"/>
          <w:highlight w:val="none"/>
          <w:lang w:val="en-US" w:eastAsia="zh-CN"/>
        </w:rPr>
        <w:t>五、</w:t>
      </w:r>
      <w:r>
        <w:rPr>
          <w:rFonts w:hint="eastAsia" w:ascii="新宋体" w:hAnsi="新宋体" w:eastAsia="新宋体" w:cs="新宋体"/>
          <w:b/>
          <w:color w:val="auto"/>
          <w:sz w:val="22"/>
          <w:szCs w:val="22"/>
          <w:highlight w:val="none"/>
        </w:rPr>
        <w:t>评分细则</w:t>
      </w:r>
      <w:bookmarkEnd w:id="61"/>
      <w:bookmarkEnd w:id="62"/>
    </w:p>
    <w:p w14:paraId="5BF9164F">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1、技术分的评定：技术标</w:t>
      </w:r>
      <w:r>
        <w:rPr>
          <w:rFonts w:hint="eastAsia" w:ascii="新宋体" w:hAnsi="新宋体" w:eastAsia="新宋体" w:cs="新宋体"/>
          <w:b/>
          <w:color w:val="auto"/>
          <w:sz w:val="22"/>
          <w:szCs w:val="22"/>
          <w:highlight w:val="none"/>
          <w:lang w:val="en-US" w:eastAsia="zh-CN"/>
        </w:rPr>
        <w:t>70</w:t>
      </w:r>
      <w:r>
        <w:rPr>
          <w:rFonts w:hint="eastAsia" w:ascii="新宋体" w:hAnsi="新宋体" w:eastAsia="新宋体" w:cs="新宋体"/>
          <w:b/>
          <w:color w:val="auto"/>
          <w:sz w:val="22"/>
          <w:szCs w:val="22"/>
          <w:highlight w:val="none"/>
        </w:rPr>
        <w:t>分（权值</w:t>
      </w:r>
      <w:r>
        <w:rPr>
          <w:rFonts w:hint="eastAsia" w:ascii="新宋体" w:hAnsi="新宋体" w:eastAsia="新宋体" w:cs="新宋体"/>
          <w:b/>
          <w:color w:val="auto"/>
          <w:sz w:val="22"/>
          <w:szCs w:val="22"/>
          <w:highlight w:val="none"/>
          <w:lang w:val="en-US" w:eastAsia="zh-CN"/>
        </w:rPr>
        <w:t>70</w:t>
      </w:r>
      <w:r>
        <w:rPr>
          <w:rFonts w:hint="eastAsia" w:ascii="新宋体" w:hAnsi="新宋体" w:eastAsia="新宋体" w:cs="新宋体"/>
          <w:b/>
          <w:color w:val="auto"/>
          <w:sz w:val="22"/>
          <w:szCs w:val="22"/>
          <w:highlight w:val="none"/>
        </w:rPr>
        <w:t>%）</w:t>
      </w:r>
    </w:p>
    <w:p w14:paraId="497FCB8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新宋体" w:hAnsi="新宋体" w:eastAsia="新宋体" w:cs="新宋体"/>
          <w:color w:val="auto"/>
          <w:sz w:val="22"/>
          <w:highlight w:val="none"/>
        </w:rPr>
        <w:t>各评标委员会成员对各投标人的各项评分内容评分的算术平均值为各投标人技术分得分</w:t>
      </w:r>
      <w:r>
        <w:rPr>
          <w:rFonts w:hint="eastAsia" w:ascii="新宋体" w:hAnsi="新宋体" w:eastAsia="新宋体" w:cs="新宋体"/>
          <w:color w:val="auto"/>
          <w:sz w:val="22"/>
          <w:szCs w:val="22"/>
          <w:highlight w:val="none"/>
        </w:rPr>
        <w:t>（小数点后按四舍五入保留2位）。</w:t>
      </w:r>
    </w:p>
    <w:tbl>
      <w:tblPr>
        <w:tblStyle w:val="53"/>
        <w:tblW w:w="99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436"/>
        <w:gridCol w:w="777"/>
        <w:gridCol w:w="6995"/>
      </w:tblGrid>
      <w:tr w14:paraId="066E7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706" w:type="dxa"/>
            <w:noWrap w:val="0"/>
            <w:vAlign w:val="center"/>
          </w:tcPr>
          <w:p w14:paraId="788847D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序号</w:t>
            </w:r>
          </w:p>
        </w:tc>
        <w:tc>
          <w:tcPr>
            <w:tcW w:w="1436" w:type="dxa"/>
            <w:noWrap w:val="0"/>
            <w:vAlign w:val="center"/>
          </w:tcPr>
          <w:p w14:paraId="07CBCF8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评分项目</w:t>
            </w:r>
          </w:p>
        </w:tc>
        <w:tc>
          <w:tcPr>
            <w:tcW w:w="777" w:type="dxa"/>
            <w:noWrap w:val="0"/>
            <w:vAlign w:val="center"/>
          </w:tcPr>
          <w:p w14:paraId="0F6FE40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分值</w:t>
            </w:r>
          </w:p>
        </w:tc>
        <w:tc>
          <w:tcPr>
            <w:tcW w:w="6995" w:type="dxa"/>
            <w:noWrap w:val="0"/>
            <w:vAlign w:val="center"/>
          </w:tcPr>
          <w:p w14:paraId="0A0A5E0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评分标准</w:t>
            </w:r>
          </w:p>
        </w:tc>
      </w:tr>
      <w:tr w14:paraId="320C9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06" w:type="dxa"/>
            <w:noWrap w:val="0"/>
            <w:vAlign w:val="center"/>
          </w:tcPr>
          <w:p w14:paraId="27DE6C1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lang w:val="en-US" w:eastAsia="zh-CN"/>
              </w:rPr>
              <w:t>1</w:t>
            </w:r>
          </w:p>
        </w:tc>
        <w:tc>
          <w:tcPr>
            <w:tcW w:w="1436" w:type="dxa"/>
            <w:noWrap w:val="0"/>
            <w:vAlign w:val="center"/>
          </w:tcPr>
          <w:p w14:paraId="5712429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投标人综合</w:t>
            </w:r>
            <w:r>
              <w:rPr>
                <w:rFonts w:hint="eastAsia" w:ascii="新宋体" w:hAnsi="新宋体" w:eastAsia="新宋体" w:cs="新宋体"/>
                <w:b w:val="0"/>
                <w:bCs w:val="0"/>
                <w:color w:val="auto"/>
                <w:sz w:val="22"/>
                <w:szCs w:val="22"/>
                <w:highlight w:val="none"/>
                <w:lang w:val="en-US" w:eastAsia="zh-CN"/>
              </w:rPr>
              <w:t>情况</w:t>
            </w:r>
          </w:p>
        </w:tc>
        <w:tc>
          <w:tcPr>
            <w:tcW w:w="777" w:type="dxa"/>
            <w:noWrap w:val="0"/>
            <w:vAlign w:val="center"/>
          </w:tcPr>
          <w:p w14:paraId="71AF000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6分</w:t>
            </w:r>
          </w:p>
        </w:tc>
        <w:tc>
          <w:tcPr>
            <w:tcW w:w="6995" w:type="dxa"/>
            <w:noWrap w:val="0"/>
            <w:vAlign w:val="center"/>
          </w:tcPr>
          <w:p w14:paraId="120261CB">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根据</w:t>
            </w:r>
            <w:r>
              <w:rPr>
                <w:rFonts w:hint="eastAsia" w:ascii="新宋体" w:hAnsi="新宋体" w:eastAsia="新宋体" w:cs="新宋体"/>
                <w:b w:val="0"/>
                <w:bCs w:val="0"/>
                <w:color w:val="auto"/>
                <w:sz w:val="22"/>
                <w:szCs w:val="22"/>
                <w:highlight w:val="none"/>
              </w:rPr>
              <w:t>投标人公司基本情况等</w:t>
            </w:r>
            <w:r>
              <w:rPr>
                <w:rFonts w:hint="eastAsia" w:ascii="新宋体" w:hAnsi="新宋体" w:eastAsia="新宋体" w:cs="新宋体"/>
                <w:b w:val="0"/>
                <w:bCs w:val="0"/>
                <w:color w:val="auto"/>
                <w:sz w:val="22"/>
                <w:szCs w:val="22"/>
                <w:highlight w:val="none"/>
                <w:lang w:val="en-US" w:eastAsia="zh-CN"/>
              </w:rPr>
              <w:t>综合评审：</w:t>
            </w:r>
          </w:p>
          <w:p w14:paraId="3B297213">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投标人基本情况优的得6分；</w:t>
            </w:r>
          </w:p>
          <w:p w14:paraId="2F73D6A3">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基本情况一般的得4分；</w:t>
            </w:r>
          </w:p>
          <w:p w14:paraId="42B7FBB7">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基本情况较差的得2分；</w:t>
            </w:r>
          </w:p>
          <w:p w14:paraId="4D975408">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未提供的，不得分。</w:t>
            </w: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bCs/>
                <w:color w:val="auto"/>
                <w:sz w:val="22"/>
                <w:szCs w:val="22"/>
                <w:highlight w:val="none"/>
                <w:lang w:val="zh-CN" w:bidi="ar"/>
              </w:rPr>
              <w:t>评分范围：</w:t>
            </w:r>
            <w:r>
              <w:rPr>
                <w:rFonts w:hint="eastAsia" w:ascii="新宋体" w:hAnsi="新宋体" w:eastAsia="新宋体" w:cs="新宋体"/>
                <w:bCs/>
                <w:color w:val="auto"/>
                <w:sz w:val="22"/>
                <w:szCs w:val="22"/>
                <w:highlight w:val="none"/>
                <w:lang w:val="en-US" w:eastAsia="zh-CN" w:bidi="ar"/>
              </w:rPr>
              <w:t>6</w:t>
            </w:r>
            <w:r>
              <w:rPr>
                <w:rFonts w:hint="eastAsia" w:ascii="新宋体" w:hAnsi="新宋体" w:eastAsia="新宋体" w:cs="新宋体"/>
                <w:bCs/>
                <w:color w:val="auto"/>
                <w:sz w:val="22"/>
                <w:szCs w:val="22"/>
                <w:highlight w:val="none"/>
                <w:lang w:bidi="ar"/>
              </w:rPr>
              <w:t>，</w:t>
            </w:r>
            <w:r>
              <w:rPr>
                <w:rFonts w:hint="eastAsia" w:ascii="新宋体" w:hAnsi="新宋体" w:eastAsia="新宋体" w:cs="新宋体"/>
                <w:bCs/>
                <w:color w:val="auto"/>
                <w:sz w:val="22"/>
                <w:szCs w:val="22"/>
                <w:highlight w:val="none"/>
                <w:lang w:val="en-US" w:eastAsia="zh-CN" w:bidi="ar"/>
              </w:rPr>
              <w:t>4</w:t>
            </w:r>
            <w:r>
              <w:rPr>
                <w:rFonts w:hint="eastAsia" w:ascii="新宋体" w:hAnsi="新宋体" w:eastAsia="新宋体" w:cs="新宋体"/>
                <w:bCs/>
                <w:color w:val="auto"/>
                <w:sz w:val="22"/>
                <w:szCs w:val="22"/>
                <w:highlight w:val="none"/>
                <w:lang w:bidi="ar"/>
              </w:rPr>
              <w:t>，</w:t>
            </w:r>
            <w:r>
              <w:rPr>
                <w:rFonts w:hint="eastAsia" w:ascii="新宋体" w:hAnsi="新宋体" w:eastAsia="新宋体" w:cs="新宋体"/>
                <w:bCs/>
                <w:color w:val="auto"/>
                <w:sz w:val="22"/>
                <w:szCs w:val="22"/>
                <w:highlight w:val="none"/>
                <w:lang w:val="en-US" w:eastAsia="zh-CN" w:bidi="ar"/>
              </w:rPr>
              <w:t>2</w:t>
            </w:r>
            <w:r>
              <w:rPr>
                <w:rFonts w:hint="eastAsia" w:ascii="新宋体" w:hAnsi="新宋体" w:eastAsia="新宋体" w:cs="新宋体"/>
                <w:bCs/>
                <w:color w:val="auto"/>
                <w:sz w:val="22"/>
                <w:szCs w:val="22"/>
                <w:highlight w:val="none"/>
                <w:lang w:bidi="ar"/>
              </w:rPr>
              <w:t>，</w:t>
            </w:r>
            <w:r>
              <w:rPr>
                <w:rFonts w:hint="eastAsia" w:ascii="新宋体" w:hAnsi="新宋体" w:eastAsia="新宋体" w:cs="新宋体"/>
                <w:bCs/>
                <w:color w:val="auto"/>
                <w:sz w:val="22"/>
                <w:szCs w:val="22"/>
                <w:highlight w:val="none"/>
                <w:lang w:val="en-US" w:eastAsia="zh-CN" w:bidi="ar"/>
              </w:rPr>
              <w:t>0</w:t>
            </w:r>
            <w:r>
              <w:rPr>
                <w:rFonts w:hint="eastAsia" w:ascii="新宋体" w:hAnsi="新宋体" w:eastAsia="新宋体" w:cs="新宋体"/>
                <w:color w:val="auto"/>
                <w:kern w:val="0"/>
                <w:sz w:val="22"/>
                <w:szCs w:val="22"/>
                <w:highlight w:val="none"/>
                <w:lang w:eastAsia="zh-CN" w:bidi="ar"/>
              </w:rPr>
              <w:t>）</w:t>
            </w:r>
          </w:p>
        </w:tc>
      </w:tr>
      <w:tr w14:paraId="7272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06" w:type="dxa"/>
            <w:noWrap w:val="0"/>
            <w:vAlign w:val="center"/>
          </w:tcPr>
          <w:p w14:paraId="6E496EC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2</w:t>
            </w:r>
          </w:p>
        </w:tc>
        <w:tc>
          <w:tcPr>
            <w:tcW w:w="1436" w:type="dxa"/>
            <w:noWrap w:val="0"/>
            <w:vAlign w:val="center"/>
          </w:tcPr>
          <w:p w14:paraId="56B1647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技术功能偏离</w:t>
            </w:r>
          </w:p>
        </w:tc>
        <w:tc>
          <w:tcPr>
            <w:tcW w:w="777" w:type="dxa"/>
            <w:noWrap w:val="0"/>
            <w:vAlign w:val="center"/>
          </w:tcPr>
          <w:p w14:paraId="2957F79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34分</w:t>
            </w:r>
          </w:p>
        </w:tc>
        <w:tc>
          <w:tcPr>
            <w:tcW w:w="6995" w:type="dxa"/>
            <w:noWrap w:val="0"/>
            <w:vAlign w:val="center"/>
          </w:tcPr>
          <w:p w14:paraId="0FC06A1F">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对应于</w:t>
            </w:r>
            <w:r>
              <w:rPr>
                <w:rFonts w:hint="eastAsia" w:ascii="新宋体" w:hAnsi="新宋体" w:eastAsia="新宋体" w:cs="新宋体"/>
                <w:b w:val="0"/>
                <w:bCs w:val="0"/>
                <w:color w:val="auto"/>
                <w:sz w:val="22"/>
                <w:szCs w:val="22"/>
                <w:highlight w:val="none"/>
                <w:lang w:eastAsia="zh-CN"/>
              </w:rPr>
              <w:t>采购文件</w:t>
            </w:r>
            <w:r>
              <w:rPr>
                <w:rFonts w:hint="eastAsia" w:ascii="新宋体" w:hAnsi="新宋体" w:eastAsia="新宋体" w:cs="新宋体"/>
                <w:b w:val="0"/>
                <w:bCs w:val="0"/>
                <w:color w:val="auto"/>
                <w:sz w:val="22"/>
                <w:szCs w:val="22"/>
                <w:highlight w:val="none"/>
              </w:rPr>
              <w:t>技术指标和商务条款的偏离度，</w:t>
            </w:r>
            <w:r>
              <w:rPr>
                <w:rFonts w:hint="eastAsia" w:ascii="新宋体" w:hAnsi="新宋体" w:eastAsia="新宋体" w:cs="新宋体"/>
                <w:b w:val="0"/>
                <w:bCs/>
                <w:color w:val="auto"/>
                <w:sz w:val="22"/>
                <w:szCs w:val="22"/>
                <w:highlight w:val="none"/>
              </w:rPr>
              <w:t>▲</w:t>
            </w:r>
            <w:r>
              <w:rPr>
                <w:rFonts w:hint="eastAsia" w:ascii="新宋体" w:hAnsi="新宋体" w:eastAsia="新宋体" w:cs="新宋体"/>
                <w:b w:val="0"/>
                <w:bCs/>
                <w:color w:val="auto"/>
                <w:sz w:val="22"/>
                <w:szCs w:val="22"/>
                <w:highlight w:val="none"/>
                <w:lang w:val="en-US" w:eastAsia="zh-CN"/>
              </w:rPr>
              <w:t>指标除外，</w:t>
            </w:r>
            <w:r>
              <w:rPr>
                <w:rFonts w:hint="eastAsia" w:ascii="新宋体" w:hAnsi="新宋体" w:eastAsia="新宋体" w:cs="新宋体"/>
                <w:b w:val="0"/>
                <w:bCs w:val="0"/>
                <w:color w:val="auto"/>
                <w:sz w:val="22"/>
                <w:szCs w:val="22"/>
                <w:highlight w:val="none"/>
              </w:rPr>
              <w:t>一项技术、商务指标负偏离扣</w:t>
            </w:r>
            <w:r>
              <w:rPr>
                <w:rFonts w:hint="eastAsia" w:ascii="新宋体" w:hAnsi="新宋体" w:eastAsia="新宋体" w:cs="新宋体"/>
                <w:b w:val="0"/>
                <w:bCs w:val="0"/>
                <w:color w:val="auto"/>
                <w:sz w:val="22"/>
                <w:szCs w:val="22"/>
                <w:highlight w:val="none"/>
                <w:lang w:val="en-US" w:eastAsia="zh-CN"/>
              </w:rPr>
              <w:t>2</w:t>
            </w:r>
            <w:r>
              <w:rPr>
                <w:rFonts w:hint="eastAsia" w:ascii="新宋体" w:hAnsi="新宋体" w:eastAsia="新宋体" w:cs="新宋体"/>
                <w:b w:val="0"/>
                <w:bCs w:val="0"/>
                <w:color w:val="auto"/>
                <w:sz w:val="22"/>
                <w:szCs w:val="22"/>
                <w:highlight w:val="none"/>
              </w:rPr>
              <w:t>分，每一项功能性指标和带★号负偏离扣</w:t>
            </w:r>
            <w:r>
              <w:rPr>
                <w:rFonts w:hint="eastAsia" w:ascii="新宋体" w:hAnsi="新宋体" w:eastAsia="新宋体" w:cs="新宋体"/>
                <w:b w:val="0"/>
                <w:bCs w:val="0"/>
                <w:color w:val="auto"/>
                <w:sz w:val="22"/>
                <w:szCs w:val="22"/>
                <w:highlight w:val="none"/>
                <w:lang w:val="en-US" w:eastAsia="zh-CN"/>
              </w:rPr>
              <w:t>5</w:t>
            </w:r>
            <w:r>
              <w:rPr>
                <w:rFonts w:hint="eastAsia" w:ascii="新宋体" w:hAnsi="新宋体" w:eastAsia="新宋体" w:cs="新宋体"/>
                <w:b w:val="0"/>
                <w:bCs w:val="0"/>
                <w:color w:val="auto"/>
                <w:sz w:val="22"/>
                <w:szCs w:val="22"/>
                <w:highlight w:val="none"/>
              </w:rPr>
              <w:t>分</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扣完为止。(商务条款、技术规格偏离表)</w:t>
            </w:r>
          </w:p>
        </w:tc>
      </w:tr>
      <w:tr w14:paraId="76525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06" w:type="dxa"/>
            <w:noWrap w:val="0"/>
            <w:vAlign w:val="center"/>
          </w:tcPr>
          <w:p w14:paraId="41A1487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3</w:t>
            </w:r>
          </w:p>
        </w:tc>
        <w:tc>
          <w:tcPr>
            <w:tcW w:w="1436" w:type="dxa"/>
            <w:noWrap w:val="0"/>
            <w:vAlign w:val="center"/>
          </w:tcPr>
          <w:p w14:paraId="611279B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投标产品的技术和性能</w:t>
            </w:r>
          </w:p>
        </w:tc>
        <w:tc>
          <w:tcPr>
            <w:tcW w:w="777" w:type="dxa"/>
            <w:noWrap w:val="0"/>
            <w:vAlign w:val="center"/>
          </w:tcPr>
          <w:p w14:paraId="56962D8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8</w:t>
            </w:r>
            <w:r>
              <w:rPr>
                <w:rFonts w:hint="eastAsia" w:ascii="新宋体" w:hAnsi="新宋体" w:eastAsia="新宋体" w:cs="新宋体"/>
                <w:b w:val="0"/>
                <w:bCs w:val="0"/>
                <w:color w:val="auto"/>
                <w:sz w:val="22"/>
                <w:szCs w:val="22"/>
                <w:highlight w:val="none"/>
              </w:rPr>
              <w:t>分</w:t>
            </w:r>
          </w:p>
        </w:tc>
        <w:tc>
          <w:tcPr>
            <w:tcW w:w="6995" w:type="dxa"/>
            <w:noWrap w:val="0"/>
            <w:vAlign w:val="center"/>
          </w:tcPr>
          <w:p w14:paraId="3EFF70C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评委对投标货物的技术和性能综合评</w:t>
            </w:r>
            <w:r>
              <w:rPr>
                <w:rFonts w:hint="eastAsia" w:ascii="新宋体" w:hAnsi="新宋体" w:eastAsia="新宋体" w:cs="新宋体"/>
                <w:b w:val="0"/>
                <w:bCs w:val="0"/>
                <w:color w:val="auto"/>
                <w:sz w:val="22"/>
                <w:szCs w:val="22"/>
                <w:highlight w:val="none"/>
                <w:lang w:val="en-US" w:eastAsia="zh-CN"/>
              </w:rPr>
              <w:t>审</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(投标产品技术质量水平及正偏离等证明材料进行比较)</w:t>
            </w:r>
          </w:p>
          <w:p w14:paraId="50FF37F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val="en-US"/>
              </w:rPr>
            </w:pP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b w:val="0"/>
                <w:bCs w:val="0"/>
                <w:color w:val="auto"/>
                <w:sz w:val="22"/>
                <w:szCs w:val="22"/>
                <w:highlight w:val="none"/>
              </w:rPr>
              <w:t>最优得8分，次等得6分，以此类推。</w:t>
            </w:r>
            <w:r>
              <w:rPr>
                <w:rFonts w:hint="eastAsia" w:ascii="新宋体" w:hAnsi="新宋体" w:eastAsia="新宋体" w:cs="新宋体"/>
                <w:bCs/>
                <w:color w:val="auto"/>
                <w:sz w:val="22"/>
                <w:szCs w:val="22"/>
                <w:highlight w:val="none"/>
                <w:lang w:val="zh-CN" w:bidi="ar"/>
              </w:rPr>
              <w:t>评分范围：</w:t>
            </w:r>
            <w:r>
              <w:rPr>
                <w:rFonts w:hint="eastAsia" w:ascii="新宋体" w:hAnsi="新宋体" w:eastAsia="新宋体" w:cs="新宋体"/>
                <w:bCs/>
                <w:color w:val="auto"/>
                <w:sz w:val="22"/>
                <w:szCs w:val="22"/>
                <w:highlight w:val="none"/>
                <w:lang w:val="en-US" w:eastAsia="zh-CN" w:bidi="ar"/>
              </w:rPr>
              <w:t>8，6</w:t>
            </w:r>
            <w:r>
              <w:rPr>
                <w:rFonts w:hint="eastAsia" w:ascii="新宋体" w:hAnsi="新宋体" w:eastAsia="新宋体" w:cs="新宋体"/>
                <w:bCs/>
                <w:color w:val="auto"/>
                <w:sz w:val="22"/>
                <w:szCs w:val="22"/>
                <w:highlight w:val="none"/>
                <w:lang w:bidi="ar"/>
              </w:rPr>
              <w:t>，</w:t>
            </w:r>
            <w:r>
              <w:rPr>
                <w:rFonts w:hint="eastAsia" w:ascii="新宋体" w:hAnsi="新宋体" w:eastAsia="新宋体" w:cs="新宋体"/>
                <w:bCs/>
                <w:color w:val="auto"/>
                <w:sz w:val="22"/>
                <w:szCs w:val="22"/>
                <w:highlight w:val="none"/>
                <w:lang w:val="en-US" w:eastAsia="zh-CN" w:bidi="ar"/>
              </w:rPr>
              <w:t>4</w:t>
            </w:r>
            <w:r>
              <w:rPr>
                <w:rFonts w:hint="eastAsia" w:ascii="新宋体" w:hAnsi="新宋体" w:eastAsia="新宋体" w:cs="新宋体"/>
                <w:bCs/>
                <w:color w:val="auto"/>
                <w:sz w:val="22"/>
                <w:szCs w:val="22"/>
                <w:highlight w:val="none"/>
                <w:lang w:bidi="ar"/>
              </w:rPr>
              <w:t>，</w:t>
            </w:r>
            <w:r>
              <w:rPr>
                <w:rFonts w:hint="eastAsia" w:ascii="新宋体" w:hAnsi="新宋体" w:eastAsia="新宋体" w:cs="新宋体"/>
                <w:bCs/>
                <w:color w:val="auto"/>
                <w:sz w:val="22"/>
                <w:szCs w:val="22"/>
                <w:highlight w:val="none"/>
                <w:lang w:val="en-US" w:eastAsia="zh-CN" w:bidi="ar"/>
              </w:rPr>
              <w:t>2</w:t>
            </w:r>
            <w:r>
              <w:rPr>
                <w:rFonts w:hint="eastAsia" w:ascii="新宋体" w:hAnsi="新宋体" w:eastAsia="新宋体" w:cs="新宋体"/>
                <w:bCs/>
                <w:color w:val="auto"/>
                <w:sz w:val="22"/>
                <w:szCs w:val="22"/>
                <w:highlight w:val="none"/>
                <w:lang w:bidi="ar"/>
              </w:rPr>
              <w:t>，</w:t>
            </w:r>
            <w:r>
              <w:rPr>
                <w:rFonts w:hint="eastAsia" w:ascii="新宋体" w:hAnsi="新宋体" w:eastAsia="新宋体" w:cs="新宋体"/>
                <w:bCs/>
                <w:color w:val="auto"/>
                <w:sz w:val="22"/>
                <w:szCs w:val="22"/>
                <w:highlight w:val="none"/>
                <w:lang w:val="en-US" w:eastAsia="zh-CN" w:bidi="ar"/>
              </w:rPr>
              <w:t>0</w:t>
            </w:r>
            <w:r>
              <w:rPr>
                <w:rFonts w:hint="eastAsia" w:ascii="新宋体" w:hAnsi="新宋体" w:eastAsia="新宋体" w:cs="新宋体"/>
                <w:color w:val="auto"/>
                <w:kern w:val="0"/>
                <w:sz w:val="22"/>
                <w:szCs w:val="22"/>
                <w:highlight w:val="none"/>
                <w:lang w:eastAsia="zh-CN" w:bidi="ar"/>
              </w:rPr>
              <w:t>）</w:t>
            </w:r>
          </w:p>
        </w:tc>
      </w:tr>
      <w:tr w14:paraId="75E4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6" w:type="dxa"/>
            <w:noWrap w:val="0"/>
            <w:vAlign w:val="center"/>
          </w:tcPr>
          <w:p w14:paraId="41D9688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4</w:t>
            </w:r>
          </w:p>
        </w:tc>
        <w:tc>
          <w:tcPr>
            <w:tcW w:w="1436" w:type="dxa"/>
            <w:noWrap w:val="0"/>
            <w:vAlign w:val="center"/>
          </w:tcPr>
          <w:p w14:paraId="6100AE4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投标货物档次</w:t>
            </w:r>
          </w:p>
        </w:tc>
        <w:tc>
          <w:tcPr>
            <w:tcW w:w="777" w:type="dxa"/>
            <w:noWrap w:val="0"/>
            <w:vAlign w:val="center"/>
          </w:tcPr>
          <w:p w14:paraId="1915B76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6分</w:t>
            </w:r>
          </w:p>
        </w:tc>
        <w:tc>
          <w:tcPr>
            <w:tcW w:w="6995" w:type="dxa"/>
            <w:noWrap w:val="0"/>
            <w:vAlign w:val="center"/>
          </w:tcPr>
          <w:p w14:paraId="2F40CD9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根据投标货物的品牌（知名度、美誉度）</w:t>
            </w:r>
            <w:r>
              <w:rPr>
                <w:rFonts w:hint="eastAsia" w:ascii="新宋体" w:hAnsi="新宋体" w:eastAsia="新宋体" w:cs="新宋体"/>
                <w:b w:val="0"/>
                <w:bCs w:val="0"/>
                <w:color w:val="auto"/>
                <w:sz w:val="22"/>
                <w:szCs w:val="22"/>
                <w:highlight w:val="none"/>
              </w:rPr>
              <w:t>综合评</w:t>
            </w:r>
            <w:r>
              <w:rPr>
                <w:rFonts w:hint="eastAsia" w:ascii="新宋体" w:hAnsi="新宋体" w:eastAsia="新宋体" w:cs="新宋体"/>
                <w:b w:val="0"/>
                <w:bCs w:val="0"/>
                <w:color w:val="auto"/>
                <w:sz w:val="22"/>
                <w:szCs w:val="22"/>
                <w:highlight w:val="none"/>
                <w:lang w:val="en-US" w:eastAsia="zh-CN"/>
              </w:rPr>
              <w:t>审：</w:t>
            </w:r>
          </w:p>
          <w:p w14:paraId="1076B76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知名度、美誉度、货物档次较高的得6分；</w:t>
            </w:r>
          </w:p>
          <w:p w14:paraId="13EA6B5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知名度、美誉度、货物档次一般的得4分；</w:t>
            </w:r>
          </w:p>
          <w:p w14:paraId="3781B05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知名度、美誉度、货物档次较低的得2分；</w:t>
            </w:r>
          </w:p>
          <w:p w14:paraId="1714A37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未提供的，不得分。</w:t>
            </w: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bCs/>
                <w:color w:val="auto"/>
                <w:sz w:val="22"/>
                <w:szCs w:val="22"/>
                <w:highlight w:val="none"/>
                <w:lang w:val="zh-CN" w:bidi="ar"/>
              </w:rPr>
              <w:t>评分范围：</w:t>
            </w:r>
            <w:r>
              <w:rPr>
                <w:rFonts w:hint="eastAsia" w:ascii="新宋体" w:hAnsi="新宋体" w:eastAsia="新宋体" w:cs="新宋体"/>
                <w:bCs/>
                <w:color w:val="auto"/>
                <w:sz w:val="22"/>
                <w:szCs w:val="22"/>
                <w:highlight w:val="none"/>
                <w:lang w:val="en-US" w:eastAsia="zh-CN" w:bidi="ar"/>
              </w:rPr>
              <w:t>6</w:t>
            </w:r>
            <w:r>
              <w:rPr>
                <w:rFonts w:hint="eastAsia" w:ascii="新宋体" w:hAnsi="新宋体" w:eastAsia="新宋体" w:cs="新宋体"/>
                <w:bCs/>
                <w:color w:val="auto"/>
                <w:sz w:val="22"/>
                <w:szCs w:val="22"/>
                <w:highlight w:val="none"/>
                <w:lang w:bidi="ar"/>
              </w:rPr>
              <w:t>，</w:t>
            </w:r>
            <w:r>
              <w:rPr>
                <w:rFonts w:hint="eastAsia" w:ascii="新宋体" w:hAnsi="新宋体" w:eastAsia="新宋体" w:cs="新宋体"/>
                <w:bCs/>
                <w:color w:val="auto"/>
                <w:sz w:val="22"/>
                <w:szCs w:val="22"/>
                <w:highlight w:val="none"/>
                <w:lang w:val="en-US" w:eastAsia="zh-CN" w:bidi="ar"/>
              </w:rPr>
              <w:t>4</w:t>
            </w:r>
            <w:r>
              <w:rPr>
                <w:rFonts w:hint="eastAsia" w:ascii="新宋体" w:hAnsi="新宋体" w:eastAsia="新宋体" w:cs="新宋体"/>
                <w:bCs/>
                <w:color w:val="auto"/>
                <w:sz w:val="22"/>
                <w:szCs w:val="22"/>
                <w:highlight w:val="none"/>
                <w:lang w:bidi="ar"/>
              </w:rPr>
              <w:t>，</w:t>
            </w:r>
            <w:r>
              <w:rPr>
                <w:rFonts w:hint="eastAsia" w:ascii="新宋体" w:hAnsi="新宋体" w:eastAsia="新宋体" w:cs="新宋体"/>
                <w:bCs/>
                <w:color w:val="auto"/>
                <w:sz w:val="22"/>
                <w:szCs w:val="22"/>
                <w:highlight w:val="none"/>
                <w:lang w:val="en-US" w:eastAsia="zh-CN" w:bidi="ar"/>
              </w:rPr>
              <w:t>2</w:t>
            </w:r>
            <w:r>
              <w:rPr>
                <w:rFonts w:hint="eastAsia" w:ascii="新宋体" w:hAnsi="新宋体" w:eastAsia="新宋体" w:cs="新宋体"/>
                <w:bCs/>
                <w:color w:val="auto"/>
                <w:sz w:val="22"/>
                <w:szCs w:val="22"/>
                <w:highlight w:val="none"/>
                <w:lang w:bidi="ar"/>
              </w:rPr>
              <w:t>，</w:t>
            </w:r>
            <w:r>
              <w:rPr>
                <w:rFonts w:hint="eastAsia" w:ascii="新宋体" w:hAnsi="新宋体" w:eastAsia="新宋体" w:cs="新宋体"/>
                <w:bCs/>
                <w:color w:val="auto"/>
                <w:sz w:val="22"/>
                <w:szCs w:val="22"/>
                <w:highlight w:val="none"/>
                <w:lang w:val="en-US" w:eastAsia="zh-CN" w:bidi="ar"/>
              </w:rPr>
              <w:t>0</w:t>
            </w:r>
            <w:r>
              <w:rPr>
                <w:rFonts w:hint="eastAsia" w:ascii="新宋体" w:hAnsi="新宋体" w:eastAsia="新宋体" w:cs="新宋体"/>
                <w:color w:val="auto"/>
                <w:kern w:val="0"/>
                <w:sz w:val="22"/>
                <w:szCs w:val="22"/>
                <w:highlight w:val="none"/>
                <w:lang w:eastAsia="zh-CN" w:bidi="ar"/>
              </w:rPr>
              <w:t>）</w:t>
            </w:r>
          </w:p>
        </w:tc>
      </w:tr>
      <w:tr w14:paraId="5F493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06" w:type="dxa"/>
            <w:vMerge w:val="restart"/>
            <w:noWrap w:val="0"/>
            <w:vAlign w:val="center"/>
          </w:tcPr>
          <w:p w14:paraId="1A887F86">
            <w:pPr>
              <w:pStyle w:val="2"/>
              <w:keepNext w:val="0"/>
              <w:keepLines w:val="0"/>
              <w:pageBreakBefore w:val="0"/>
              <w:widowControl w:val="0"/>
              <w:kinsoku/>
              <w:wordWrap/>
              <w:overflowPunct/>
              <w:topLinePunct w:val="0"/>
              <w:autoSpaceDE/>
              <w:autoSpaceDN/>
              <w:bidi w:val="0"/>
              <w:adjustRightInd/>
              <w:snapToGrid/>
              <w:spacing w:line="460" w:lineRule="exact"/>
              <w:ind w:left="440" w:leftChars="0" w:hanging="440" w:hangingChars="200"/>
              <w:jc w:val="center"/>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5</w:t>
            </w:r>
          </w:p>
        </w:tc>
        <w:tc>
          <w:tcPr>
            <w:tcW w:w="1436" w:type="dxa"/>
            <w:vMerge w:val="restart"/>
            <w:noWrap w:val="0"/>
            <w:vAlign w:val="center"/>
          </w:tcPr>
          <w:p w14:paraId="35FDAE51">
            <w:pPr>
              <w:pStyle w:val="2"/>
              <w:keepNext w:val="0"/>
              <w:keepLines w:val="0"/>
              <w:pageBreakBefore w:val="0"/>
              <w:widowControl w:val="0"/>
              <w:kinsoku/>
              <w:wordWrap/>
              <w:overflowPunct/>
              <w:topLinePunct w:val="0"/>
              <w:autoSpaceDE/>
              <w:autoSpaceDN/>
              <w:bidi w:val="0"/>
              <w:adjustRightInd/>
              <w:snapToGrid/>
              <w:spacing w:line="460" w:lineRule="exact"/>
              <w:ind w:left="440" w:leftChars="0" w:hanging="440" w:hangingChars="200"/>
              <w:jc w:val="center"/>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售后服务</w:t>
            </w:r>
          </w:p>
        </w:tc>
        <w:tc>
          <w:tcPr>
            <w:tcW w:w="777" w:type="dxa"/>
            <w:vMerge w:val="restart"/>
            <w:noWrap w:val="0"/>
            <w:vAlign w:val="center"/>
          </w:tcPr>
          <w:p w14:paraId="26D81C2E">
            <w:pPr>
              <w:pStyle w:val="2"/>
              <w:keepNext w:val="0"/>
              <w:keepLines w:val="0"/>
              <w:pageBreakBefore w:val="0"/>
              <w:widowControl w:val="0"/>
              <w:kinsoku/>
              <w:wordWrap/>
              <w:overflowPunct/>
              <w:topLinePunct w:val="0"/>
              <w:autoSpaceDE/>
              <w:autoSpaceDN/>
              <w:bidi w:val="0"/>
              <w:adjustRightInd/>
              <w:snapToGrid/>
              <w:spacing w:line="460" w:lineRule="exact"/>
              <w:ind w:left="440" w:leftChars="0" w:hanging="440" w:hangingChars="200"/>
              <w:jc w:val="center"/>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12分</w:t>
            </w:r>
          </w:p>
        </w:tc>
        <w:tc>
          <w:tcPr>
            <w:tcW w:w="6995" w:type="dxa"/>
            <w:noWrap w:val="0"/>
            <w:vAlign w:val="center"/>
          </w:tcPr>
          <w:p w14:paraId="0D74E1E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rPr>
              <w:t>评委对制造商在就近地区的售后服务能力进行综合评</w:t>
            </w:r>
            <w:r>
              <w:rPr>
                <w:rFonts w:hint="eastAsia" w:ascii="新宋体" w:hAnsi="新宋体" w:eastAsia="新宋体" w:cs="新宋体"/>
                <w:b w:val="0"/>
                <w:bCs w:val="0"/>
                <w:color w:val="auto"/>
                <w:sz w:val="22"/>
                <w:szCs w:val="22"/>
                <w:highlight w:val="none"/>
                <w:lang w:val="en-US" w:eastAsia="zh-CN"/>
              </w:rPr>
              <w:t>审：</w:t>
            </w:r>
          </w:p>
          <w:p w14:paraId="030040D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售后服务能力</w:t>
            </w:r>
            <w:r>
              <w:rPr>
                <w:rFonts w:hint="eastAsia" w:ascii="新宋体" w:hAnsi="新宋体" w:eastAsia="新宋体" w:cs="新宋体"/>
                <w:color w:val="auto"/>
                <w:sz w:val="22"/>
                <w:szCs w:val="22"/>
                <w:highlight w:val="none"/>
                <w:lang w:val="en-US" w:eastAsia="zh-CN"/>
              </w:rPr>
              <w:t>强，售后响应时间短的得6分；</w:t>
            </w:r>
          </w:p>
          <w:p w14:paraId="06ED450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售后服务能力</w:t>
            </w:r>
            <w:r>
              <w:rPr>
                <w:rFonts w:hint="eastAsia" w:ascii="新宋体" w:hAnsi="新宋体" w:eastAsia="新宋体" w:cs="新宋体"/>
                <w:color w:val="auto"/>
                <w:sz w:val="22"/>
                <w:szCs w:val="22"/>
                <w:highlight w:val="none"/>
                <w:lang w:val="en-US" w:eastAsia="zh-CN"/>
              </w:rPr>
              <w:t>一般，售后响应时间较短的得4分</w:t>
            </w:r>
            <w:r>
              <w:rPr>
                <w:rFonts w:hint="eastAsia" w:ascii="新宋体" w:hAnsi="新宋体" w:eastAsia="新宋体" w:cs="新宋体"/>
                <w:color w:val="auto"/>
                <w:sz w:val="22"/>
                <w:szCs w:val="22"/>
                <w:highlight w:val="none"/>
                <w:lang w:eastAsia="zh-CN"/>
              </w:rPr>
              <w:t>；</w:t>
            </w:r>
          </w:p>
          <w:p w14:paraId="11FC890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售后服务能力</w:t>
            </w:r>
            <w:r>
              <w:rPr>
                <w:rFonts w:hint="eastAsia" w:ascii="新宋体" w:hAnsi="新宋体" w:eastAsia="新宋体" w:cs="新宋体"/>
                <w:color w:val="auto"/>
                <w:sz w:val="22"/>
                <w:szCs w:val="22"/>
                <w:highlight w:val="none"/>
                <w:lang w:val="en-US" w:eastAsia="zh-CN"/>
              </w:rPr>
              <w:t>较差，售后响应时间较长的得2分；</w:t>
            </w:r>
          </w:p>
          <w:p w14:paraId="5624DD1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color w:val="auto"/>
                <w:sz w:val="22"/>
                <w:szCs w:val="22"/>
                <w:highlight w:val="none"/>
                <w:lang w:val="en-US" w:eastAsia="zh-CN"/>
              </w:rPr>
              <w:t>需提供相应的证明材料，未提供不得分。</w:t>
            </w: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bCs/>
                <w:color w:val="auto"/>
                <w:sz w:val="22"/>
                <w:szCs w:val="22"/>
                <w:highlight w:val="none"/>
                <w:lang w:val="zh-CN" w:bidi="ar"/>
              </w:rPr>
              <w:t>评分范围：</w:t>
            </w:r>
            <w:r>
              <w:rPr>
                <w:rFonts w:hint="eastAsia" w:ascii="新宋体" w:hAnsi="新宋体" w:eastAsia="新宋体" w:cs="新宋体"/>
                <w:bCs/>
                <w:color w:val="auto"/>
                <w:sz w:val="22"/>
                <w:szCs w:val="22"/>
                <w:highlight w:val="none"/>
                <w:lang w:val="en-US" w:eastAsia="zh-CN" w:bidi="ar"/>
              </w:rPr>
              <w:t>6</w:t>
            </w:r>
            <w:r>
              <w:rPr>
                <w:rFonts w:hint="eastAsia" w:ascii="新宋体" w:hAnsi="新宋体" w:eastAsia="新宋体" w:cs="新宋体"/>
                <w:bCs/>
                <w:color w:val="auto"/>
                <w:sz w:val="22"/>
                <w:szCs w:val="22"/>
                <w:highlight w:val="none"/>
                <w:lang w:bidi="ar"/>
              </w:rPr>
              <w:t>，</w:t>
            </w:r>
            <w:r>
              <w:rPr>
                <w:rFonts w:hint="eastAsia" w:ascii="新宋体" w:hAnsi="新宋体" w:eastAsia="新宋体" w:cs="新宋体"/>
                <w:bCs/>
                <w:color w:val="auto"/>
                <w:sz w:val="22"/>
                <w:szCs w:val="22"/>
                <w:highlight w:val="none"/>
                <w:lang w:val="en-US" w:eastAsia="zh-CN" w:bidi="ar"/>
              </w:rPr>
              <w:t>4</w:t>
            </w:r>
            <w:r>
              <w:rPr>
                <w:rFonts w:hint="eastAsia" w:ascii="新宋体" w:hAnsi="新宋体" w:eastAsia="新宋体" w:cs="新宋体"/>
                <w:bCs/>
                <w:color w:val="auto"/>
                <w:sz w:val="22"/>
                <w:szCs w:val="22"/>
                <w:highlight w:val="none"/>
                <w:lang w:bidi="ar"/>
              </w:rPr>
              <w:t>，</w:t>
            </w:r>
            <w:r>
              <w:rPr>
                <w:rFonts w:hint="eastAsia" w:ascii="新宋体" w:hAnsi="新宋体" w:eastAsia="新宋体" w:cs="新宋体"/>
                <w:bCs/>
                <w:color w:val="auto"/>
                <w:sz w:val="22"/>
                <w:szCs w:val="22"/>
                <w:highlight w:val="none"/>
                <w:lang w:val="en-US" w:eastAsia="zh-CN" w:bidi="ar"/>
              </w:rPr>
              <w:t>2</w:t>
            </w:r>
            <w:r>
              <w:rPr>
                <w:rFonts w:hint="eastAsia" w:ascii="新宋体" w:hAnsi="新宋体" w:eastAsia="新宋体" w:cs="新宋体"/>
                <w:bCs/>
                <w:color w:val="auto"/>
                <w:sz w:val="22"/>
                <w:szCs w:val="22"/>
                <w:highlight w:val="none"/>
                <w:lang w:bidi="ar"/>
              </w:rPr>
              <w:t>，</w:t>
            </w:r>
            <w:r>
              <w:rPr>
                <w:rFonts w:hint="eastAsia" w:ascii="新宋体" w:hAnsi="新宋体" w:eastAsia="新宋体" w:cs="新宋体"/>
                <w:bCs/>
                <w:color w:val="auto"/>
                <w:sz w:val="22"/>
                <w:szCs w:val="22"/>
                <w:highlight w:val="none"/>
                <w:lang w:val="en-US" w:eastAsia="zh-CN" w:bidi="ar"/>
              </w:rPr>
              <w:t>0</w:t>
            </w:r>
            <w:r>
              <w:rPr>
                <w:rFonts w:hint="eastAsia" w:ascii="新宋体" w:hAnsi="新宋体" w:eastAsia="新宋体" w:cs="新宋体"/>
                <w:color w:val="auto"/>
                <w:kern w:val="0"/>
                <w:sz w:val="22"/>
                <w:szCs w:val="22"/>
                <w:highlight w:val="none"/>
                <w:lang w:eastAsia="zh-CN" w:bidi="ar"/>
              </w:rPr>
              <w:t>）</w:t>
            </w:r>
          </w:p>
        </w:tc>
      </w:tr>
      <w:tr w14:paraId="366BF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06" w:type="dxa"/>
            <w:vMerge w:val="continue"/>
            <w:noWrap w:val="0"/>
            <w:vAlign w:val="center"/>
          </w:tcPr>
          <w:p w14:paraId="312933B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highlight w:val="none"/>
              </w:rPr>
            </w:pPr>
          </w:p>
        </w:tc>
        <w:tc>
          <w:tcPr>
            <w:tcW w:w="1436" w:type="dxa"/>
            <w:vMerge w:val="continue"/>
            <w:noWrap w:val="0"/>
            <w:vAlign w:val="center"/>
          </w:tcPr>
          <w:p w14:paraId="04DDCD2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highlight w:val="none"/>
              </w:rPr>
            </w:pPr>
          </w:p>
        </w:tc>
        <w:tc>
          <w:tcPr>
            <w:tcW w:w="777" w:type="dxa"/>
            <w:vMerge w:val="continue"/>
            <w:noWrap w:val="0"/>
            <w:vAlign w:val="center"/>
          </w:tcPr>
          <w:p w14:paraId="4210246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highlight w:val="none"/>
              </w:rPr>
            </w:pPr>
          </w:p>
        </w:tc>
        <w:tc>
          <w:tcPr>
            <w:tcW w:w="6995" w:type="dxa"/>
            <w:noWrap w:val="0"/>
            <w:vAlign w:val="center"/>
          </w:tcPr>
          <w:p w14:paraId="08DEEBD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rPr>
              <w:t>质量保证</w:t>
            </w:r>
            <w:r>
              <w:rPr>
                <w:rFonts w:hint="eastAsia" w:ascii="新宋体" w:hAnsi="新宋体" w:eastAsia="新宋体" w:cs="新宋体"/>
                <w:b w:val="0"/>
                <w:bCs w:val="0"/>
                <w:color w:val="auto"/>
                <w:sz w:val="22"/>
                <w:szCs w:val="22"/>
                <w:highlight w:val="none"/>
                <w:lang w:val="en-US" w:eastAsia="zh-CN"/>
              </w:rPr>
              <w:t>措施</w:t>
            </w:r>
            <w:r>
              <w:rPr>
                <w:rFonts w:hint="eastAsia" w:ascii="新宋体" w:hAnsi="新宋体" w:eastAsia="新宋体" w:cs="新宋体"/>
                <w:b w:val="0"/>
                <w:bCs w:val="0"/>
                <w:color w:val="auto"/>
                <w:sz w:val="22"/>
                <w:szCs w:val="22"/>
                <w:highlight w:val="none"/>
              </w:rPr>
              <w:t>综合评</w:t>
            </w:r>
            <w:r>
              <w:rPr>
                <w:rFonts w:hint="eastAsia" w:ascii="新宋体" w:hAnsi="新宋体" w:eastAsia="新宋体" w:cs="新宋体"/>
                <w:b w:val="0"/>
                <w:bCs w:val="0"/>
                <w:color w:val="auto"/>
                <w:sz w:val="22"/>
                <w:szCs w:val="22"/>
                <w:highlight w:val="none"/>
                <w:lang w:val="en-US" w:eastAsia="zh-CN"/>
              </w:rPr>
              <w:t>审：</w:t>
            </w:r>
          </w:p>
          <w:p w14:paraId="177241C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rPr>
              <w:t>质量保证</w:t>
            </w:r>
            <w:r>
              <w:rPr>
                <w:rFonts w:hint="eastAsia" w:ascii="新宋体" w:hAnsi="新宋体" w:eastAsia="新宋体" w:cs="新宋体"/>
                <w:b w:val="0"/>
                <w:bCs w:val="0"/>
                <w:color w:val="auto"/>
                <w:sz w:val="22"/>
                <w:szCs w:val="22"/>
                <w:highlight w:val="none"/>
                <w:lang w:val="en-US" w:eastAsia="zh-CN"/>
              </w:rPr>
              <w:t>措施合理、完善，保证能力强的得6分；</w:t>
            </w:r>
          </w:p>
          <w:p w14:paraId="4A27F09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质量保证</w:t>
            </w:r>
            <w:r>
              <w:rPr>
                <w:rFonts w:hint="eastAsia" w:ascii="新宋体" w:hAnsi="新宋体" w:eastAsia="新宋体" w:cs="新宋体"/>
                <w:b w:val="0"/>
                <w:bCs w:val="0"/>
                <w:color w:val="auto"/>
                <w:sz w:val="22"/>
                <w:szCs w:val="22"/>
                <w:highlight w:val="none"/>
                <w:lang w:val="en-US" w:eastAsia="zh-CN"/>
              </w:rPr>
              <w:t>措施一般，保证能力一般的得4分；</w:t>
            </w:r>
          </w:p>
          <w:p w14:paraId="4BB18E1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质量保证</w:t>
            </w:r>
            <w:r>
              <w:rPr>
                <w:rFonts w:hint="eastAsia" w:ascii="新宋体" w:hAnsi="新宋体" w:eastAsia="新宋体" w:cs="新宋体"/>
                <w:b w:val="0"/>
                <w:bCs w:val="0"/>
                <w:color w:val="auto"/>
                <w:sz w:val="22"/>
                <w:szCs w:val="22"/>
                <w:highlight w:val="none"/>
                <w:lang w:val="en-US" w:eastAsia="zh-CN"/>
              </w:rPr>
              <w:t>措施不合理、保证能力较差的得2分；</w:t>
            </w:r>
          </w:p>
          <w:p w14:paraId="08FD32B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未提供不得分。</w:t>
            </w: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bCs/>
                <w:color w:val="auto"/>
                <w:sz w:val="22"/>
                <w:szCs w:val="22"/>
                <w:highlight w:val="none"/>
                <w:lang w:val="zh-CN" w:bidi="ar"/>
              </w:rPr>
              <w:t>评分范围：</w:t>
            </w:r>
            <w:r>
              <w:rPr>
                <w:rFonts w:hint="eastAsia" w:ascii="新宋体" w:hAnsi="新宋体" w:eastAsia="新宋体" w:cs="新宋体"/>
                <w:bCs/>
                <w:color w:val="auto"/>
                <w:sz w:val="22"/>
                <w:szCs w:val="22"/>
                <w:highlight w:val="none"/>
                <w:lang w:val="en-US" w:eastAsia="zh-CN" w:bidi="ar"/>
              </w:rPr>
              <w:t>6</w:t>
            </w:r>
            <w:r>
              <w:rPr>
                <w:rFonts w:hint="eastAsia" w:ascii="新宋体" w:hAnsi="新宋体" w:eastAsia="新宋体" w:cs="新宋体"/>
                <w:bCs/>
                <w:color w:val="auto"/>
                <w:sz w:val="22"/>
                <w:szCs w:val="22"/>
                <w:highlight w:val="none"/>
                <w:lang w:bidi="ar"/>
              </w:rPr>
              <w:t>，</w:t>
            </w:r>
            <w:r>
              <w:rPr>
                <w:rFonts w:hint="eastAsia" w:ascii="新宋体" w:hAnsi="新宋体" w:eastAsia="新宋体" w:cs="新宋体"/>
                <w:bCs/>
                <w:color w:val="auto"/>
                <w:sz w:val="22"/>
                <w:szCs w:val="22"/>
                <w:highlight w:val="none"/>
                <w:lang w:val="en-US" w:eastAsia="zh-CN" w:bidi="ar"/>
              </w:rPr>
              <w:t>4</w:t>
            </w:r>
            <w:r>
              <w:rPr>
                <w:rFonts w:hint="eastAsia" w:ascii="新宋体" w:hAnsi="新宋体" w:eastAsia="新宋体" w:cs="新宋体"/>
                <w:bCs/>
                <w:color w:val="auto"/>
                <w:sz w:val="22"/>
                <w:szCs w:val="22"/>
                <w:highlight w:val="none"/>
                <w:lang w:bidi="ar"/>
              </w:rPr>
              <w:t>，</w:t>
            </w:r>
            <w:r>
              <w:rPr>
                <w:rFonts w:hint="eastAsia" w:ascii="新宋体" w:hAnsi="新宋体" w:eastAsia="新宋体" w:cs="新宋体"/>
                <w:bCs/>
                <w:color w:val="auto"/>
                <w:sz w:val="22"/>
                <w:szCs w:val="22"/>
                <w:highlight w:val="none"/>
                <w:lang w:val="en-US" w:eastAsia="zh-CN" w:bidi="ar"/>
              </w:rPr>
              <w:t>2</w:t>
            </w:r>
            <w:r>
              <w:rPr>
                <w:rFonts w:hint="eastAsia" w:ascii="新宋体" w:hAnsi="新宋体" w:eastAsia="新宋体" w:cs="新宋体"/>
                <w:bCs/>
                <w:color w:val="auto"/>
                <w:sz w:val="22"/>
                <w:szCs w:val="22"/>
                <w:highlight w:val="none"/>
                <w:lang w:bidi="ar"/>
              </w:rPr>
              <w:t>，</w:t>
            </w:r>
            <w:r>
              <w:rPr>
                <w:rFonts w:hint="eastAsia" w:ascii="新宋体" w:hAnsi="新宋体" w:eastAsia="新宋体" w:cs="新宋体"/>
                <w:bCs/>
                <w:color w:val="auto"/>
                <w:sz w:val="22"/>
                <w:szCs w:val="22"/>
                <w:highlight w:val="none"/>
                <w:lang w:val="en-US" w:eastAsia="zh-CN" w:bidi="ar"/>
              </w:rPr>
              <w:t>0</w:t>
            </w:r>
            <w:r>
              <w:rPr>
                <w:rFonts w:hint="eastAsia" w:ascii="新宋体" w:hAnsi="新宋体" w:eastAsia="新宋体" w:cs="新宋体"/>
                <w:color w:val="auto"/>
                <w:kern w:val="0"/>
                <w:sz w:val="22"/>
                <w:szCs w:val="22"/>
                <w:highlight w:val="none"/>
                <w:lang w:eastAsia="zh-CN" w:bidi="ar"/>
              </w:rPr>
              <w:t>）</w:t>
            </w:r>
          </w:p>
        </w:tc>
      </w:tr>
      <w:tr w14:paraId="22E6C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6" w:type="dxa"/>
            <w:noWrap w:val="0"/>
            <w:vAlign w:val="center"/>
          </w:tcPr>
          <w:p w14:paraId="72EF99D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6</w:t>
            </w:r>
          </w:p>
        </w:tc>
        <w:tc>
          <w:tcPr>
            <w:tcW w:w="1436" w:type="dxa"/>
            <w:noWrap w:val="0"/>
            <w:vAlign w:val="center"/>
          </w:tcPr>
          <w:p w14:paraId="1762208E">
            <w:pPr>
              <w:pStyle w:val="2"/>
              <w:keepNext w:val="0"/>
              <w:keepLines w:val="0"/>
              <w:pageBreakBefore w:val="0"/>
              <w:widowControl w:val="0"/>
              <w:kinsoku/>
              <w:wordWrap/>
              <w:overflowPunct/>
              <w:topLinePunct w:val="0"/>
              <w:autoSpaceDE/>
              <w:autoSpaceDN/>
              <w:bidi w:val="0"/>
              <w:adjustRightInd/>
              <w:snapToGrid/>
              <w:spacing w:line="460" w:lineRule="exact"/>
              <w:ind w:left="440" w:leftChars="0" w:hanging="440" w:hangingChars="200"/>
              <w:jc w:val="center"/>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rPr>
              <w:t>市场</w:t>
            </w:r>
            <w:r>
              <w:rPr>
                <w:rFonts w:hint="eastAsia" w:ascii="新宋体" w:hAnsi="新宋体" w:eastAsia="新宋体" w:cs="新宋体"/>
                <w:b w:val="0"/>
                <w:bCs w:val="0"/>
                <w:color w:val="auto"/>
                <w:sz w:val="22"/>
                <w:szCs w:val="22"/>
                <w:highlight w:val="none"/>
                <w:lang w:val="en-US" w:eastAsia="zh-CN"/>
              </w:rPr>
              <w:t>业绩</w:t>
            </w:r>
          </w:p>
        </w:tc>
        <w:tc>
          <w:tcPr>
            <w:tcW w:w="777" w:type="dxa"/>
            <w:noWrap w:val="0"/>
            <w:vAlign w:val="center"/>
          </w:tcPr>
          <w:p w14:paraId="0BD25D93">
            <w:pPr>
              <w:pStyle w:val="2"/>
              <w:keepNext w:val="0"/>
              <w:keepLines w:val="0"/>
              <w:pageBreakBefore w:val="0"/>
              <w:widowControl w:val="0"/>
              <w:kinsoku/>
              <w:wordWrap/>
              <w:overflowPunct/>
              <w:topLinePunct w:val="0"/>
              <w:autoSpaceDE/>
              <w:autoSpaceDN/>
              <w:bidi w:val="0"/>
              <w:adjustRightInd/>
              <w:snapToGrid/>
              <w:spacing w:line="460" w:lineRule="exact"/>
              <w:ind w:left="440" w:leftChars="0" w:hanging="440" w:hangingChars="200"/>
              <w:jc w:val="center"/>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3分</w:t>
            </w:r>
          </w:p>
        </w:tc>
        <w:tc>
          <w:tcPr>
            <w:tcW w:w="6995" w:type="dxa"/>
            <w:noWrap w:val="0"/>
            <w:vAlign w:val="center"/>
          </w:tcPr>
          <w:p w14:paraId="14220B6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color w:val="auto"/>
                <w:sz w:val="22"/>
                <w:szCs w:val="22"/>
                <w:highlight w:val="none"/>
                <w:vertAlign w:val="baseline"/>
              </w:rPr>
              <w:t>提供202</w:t>
            </w:r>
            <w:r>
              <w:rPr>
                <w:rFonts w:hint="eastAsia" w:ascii="新宋体" w:hAnsi="新宋体" w:eastAsia="新宋体" w:cs="新宋体"/>
                <w:color w:val="auto"/>
                <w:sz w:val="22"/>
                <w:szCs w:val="22"/>
                <w:highlight w:val="none"/>
                <w:vertAlign w:val="baseline"/>
                <w:lang w:val="en-US" w:eastAsia="zh-CN"/>
              </w:rPr>
              <w:t>2</w:t>
            </w:r>
            <w:r>
              <w:rPr>
                <w:rFonts w:hint="eastAsia" w:ascii="新宋体" w:hAnsi="新宋体" w:eastAsia="新宋体" w:cs="新宋体"/>
                <w:color w:val="auto"/>
                <w:sz w:val="22"/>
                <w:szCs w:val="22"/>
                <w:highlight w:val="none"/>
                <w:vertAlign w:val="baseline"/>
              </w:rPr>
              <w:t>年1月1日</w:t>
            </w:r>
            <w:r>
              <w:rPr>
                <w:rFonts w:hint="eastAsia" w:ascii="新宋体" w:hAnsi="新宋体" w:eastAsia="新宋体" w:cs="新宋体"/>
                <w:color w:val="auto"/>
                <w:sz w:val="22"/>
                <w:szCs w:val="22"/>
                <w:highlight w:val="none"/>
                <w:vertAlign w:val="baseline"/>
                <w:lang w:eastAsia="zh-CN"/>
              </w:rPr>
              <w:t>（</w:t>
            </w:r>
            <w:r>
              <w:rPr>
                <w:rFonts w:hint="eastAsia" w:ascii="新宋体" w:hAnsi="新宋体" w:eastAsia="新宋体" w:cs="新宋体"/>
                <w:color w:val="auto"/>
                <w:sz w:val="22"/>
                <w:szCs w:val="22"/>
                <w:highlight w:val="none"/>
                <w:vertAlign w:val="baseline"/>
                <w:lang w:val="en-US" w:eastAsia="zh-CN"/>
              </w:rPr>
              <w:t>以合同签订时间为准</w:t>
            </w:r>
            <w:r>
              <w:rPr>
                <w:rFonts w:hint="eastAsia" w:ascii="新宋体" w:hAnsi="新宋体" w:eastAsia="新宋体" w:cs="新宋体"/>
                <w:color w:val="auto"/>
                <w:sz w:val="22"/>
                <w:szCs w:val="22"/>
                <w:highlight w:val="none"/>
                <w:vertAlign w:val="baseline"/>
                <w:lang w:eastAsia="zh-CN"/>
              </w:rPr>
              <w:t>）</w:t>
            </w:r>
            <w:r>
              <w:rPr>
                <w:rFonts w:hint="eastAsia" w:ascii="新宋体" w:hAnsi="新宋体" w:eastAsia="新宋体" w:cs="新宋体"/>
                <w:color w:val="auto"/>
                <w:sz w:val="22"/>
                <w:szCs w:val="22"/>
                <w:highlight w:val="none"/>
                <w:vertAlign w:val="baseline"/>
              </w:rPr>
              <w:t>起至今与最终不同用户签订的投标产品采购合同复印件，每份有效合同得0.5分，最多得3分。</w:t>
            </w:r>
            <w:r>
              <w:rPr>
                <w:rFonts w:hint="eastAsia" w:ascii="新宋体" w:hAnsi="新宋体" w:eastAsia="新宋体" w:cs="新宋体"/>
                <w:b w:val="0"/>
                <w:bCs w:val="0"/>
                <w:color w:val="auto"/>
                <w:sz w:val="22"/>
                <w:szCs w:val="22"/>
                <w:highlight w:val="none"/>
              </w:rPr>
              <w:t>（提供合同原件扫描加盖单位公章）</w:t>
            </w:r>
          </w:p>
          <w:p w14:paraId="36D26E0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color w:val="auto"/>
                <w:sz w:val="22"/>
                <w:szCs w:val="22"/>
                <w:highlight w:val="none"/>
                <w:vertAlign w:val="baseline"/>
              </w:rPr>
              <w:t>根据《浙江省财政厅关于进一步加大政府采购支持中小企业力度助力扎实稳住经济的通知》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须提供证明材料。</w:t>
            </w:r>
          </w:p>
        </w:tc>
      </w:tr>
      <w:tr w14:paraId="0383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706" w:type="dxa"/>
            <w:noWrap w:val="0"/>
            <w:vAlign w:val="center"/>
          </w:tcPr>
          <w:p w14:paraId="36460B8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7</w:t>
            </w:r>
          </w:p>
        </w:tc>
        <w:tc>
          <w:tcPr>
            <w:tcW w:w="1436" w:type="dxa"/>
            <w:noWrap w:val="0"/>
            <w:vAlign w:val="center"/>
          </w:tcPr>
          <w:p w14:paraId="7ECD8EF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rPr>
              <w:t>环境标志产品、节能产品评审</w:t>
            </w:r>
          </w:p>
        </w:tc>
        <w:tc>
          <w:tcPr>
            <w:tcW w:w="777" w:type="dxa"/>
            <w:noWrap w:val="0"/>
            <w:vAlign w:val="center"/>
          </w:tcPr>
          <w:p w14:paraId="3F573A6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1分</w:t>
            </w:r>
          </w:p>
        </w:tc>
        <w:tc>
          <w:tcPr>
            <w:tcW w:w="6995" w:type="dxa"/>
            <w:noWrap w:val="0"/>
            <w:vAlign w:val="center"/>
          </w:tcPr>
          <w:p w14:paraId="21F9FDB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kern w:val="0"/>
                <w:sz w:val="22"/>
                <w:szCs w:val="22"/>
                <w:highlight w:val="none"/>
              </w:rPr>
              <w:t>环境标志产品、节能产品评审（1分）：投标产品主体列入财政部、环境保护部“环境标志产品政府采购清单”的得0.5分、投标产品主体列入财政部、国家发展改革委“节能产品政府采购清单”的得0.5分；投标人须提供有效期内采购清单，并显著标识，否则不得分。</w:t>
            </w:r>
          </w:p>
        </w:tc>
      </w:tr>
    </w:tbl>
    <w:p w14:paraId="777EAACA">
      <w:pPr>
        <w:pStyle w:val="2"/>
        <w:spacing w:line="460" w:lineRule="exact"/>
        <w:ind w:left="439" w:leftChars="209" w:firstLine="0" w:firstLineChars="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2、报价评分（</w:t>
      </w:r>
      <w:r>
        <w:rPr>
          <w:rFonts w:hint="eastAsia" w:ascii="新宋体" w:hAnsi="新宋体" w:eastAsia="新宋体" w:cs="新宋体"/>
          <w:b/>
          <w:color w:val="auto"/>
          <w:sz w:val="22"/>
          <w:szCs w:val="22"/>
          <w:highlight w:val="none"/>
          <w:lang w:val="en-US" w:eastAsia="zh-CN"/>
        </w:rPr>
        <w:t>30</w:t>
      </w:r>
      <w:r>
        <w:rPr>
          <w:rFonts w:hint="eastAsia" w:ascii="新宋体" w:hAnsi="新宋体" w:eastAsia="新宋体" w:cs="新宋体"/>
          <w:b/>
          <w:color w:val="auto"/>
          <w:sz w:val="22"/>
          <w:szCs w:val="22"/>
          <w:highlight w:val="none"/>
        </w:rPr>
        <w:t>分）（权值</w:t>
      </w:r>
      <w:r>
        <w:rPr>
          <w:rFonts w:hint="eastAsia" w:ascii="新宋体" w:hAnsi="新宋体" w:eastAsia="新宋体" w:cs="新宋体"/>
          <w:b/>
          <w:color w:val="auto"/>
          <w:sz w:val="22"/>
          <w:szCs w:val="22"/>
          <w:highlight w:val="none"/>
          <w:lang w:val="en-US" w:eastAsia="zh-CN"/>
        </w:rPr>
        <w:t>30</w:t>
      </w:r>
      <w:r>
        <w:rPr>
          <w:rFonts w:hint="eastAsia" w:ascii="新宋体" w:hAnsi="新宋体" w:eastAsia="新宋体" w:cs="新宋体"/>
          <w:b/>
          <w:color w:val="auto"/>
          <w:sz w:val="22"/>
          <w:szCs w:val="22"/>
          <w:highlight w:val="none"/>
        </w:rPr>
        <w:t>%）：</w:t>
      </w:r>
    </w:p>
    <w:p w14:paraId="58237C7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满足</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要求且投标报价最低的投标报价为评标基准价，其余投标人投标报价与该基准价对比，计算出商务报价评分值（保留小数2位）：</w:t>
      </w:r>
    </w:p>
    <w:p w14:paraId="428C32D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1）有效投标人的投标报价等于评标基准价时其报价分为满分</w:t>
      </w:r>
      <w:r>
        <w:rPr>
          <w:rFonts w:hint="eastAsia" w:ascii="新宋体" w:hAnsi="新宋体" w:eastAsia="新宋体" w:cs="新宋体"/>
          <w:color w:val="auto"/>
          <w:sz w:val="22"/>
          <w:szCs w:val="22"/>
          <w:highlight w:val="none"/>
          <w:lang w:val="en-US" w:eastAsia="zh-CN"/>
        </w:rPr>
        <w:t>30</w:t>
      </w:r>
      <w:r>
        <w:rPr>
          <w:rFonts w:hint="eastAsia" w:ascii="新宋体" w:hAnsi="新宋体" w:eastAsia="新宋体" w:cs="新宋体"/>
          <w:color w:val="auto"/>
          <w:sz w:val="22"/>
          <w:szCs w:val="22"/>
          <w:highlight w:val="none"/>
        </w:rPr>
        <w:t>分；</w:t>
      </w:r>
    </w:p>
    <w:p w14:paraId="04C47E2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2）其他投标人的价格分按以下公式计算：</w:t>
      </w:r>
    </w:p>
    <w:p w14:paraId="7183AE5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投标报价得分=（评分基准价/投标人投标报价）× 价格权值 ×100（保留小数2位）</w:t>
      </w:r>
    </w:p>
    <w:p w14:paraId="100D71DB">
      <w:pPr>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根据《政府采购促进中小企业发展管理办法》（财库〔2020〕46号）、《财政部关于进一步加大政府采购支持中小企业力度的通知》（财库〔2022〕19号）有关规定，对投标产品为小型或微型企业生产的，价格给予10%的扣除，用扣除后的价格参与价格评分。</w:t>
      </w:r>
    </w:p>
    <w:p w14:paraId="06209873">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zh-CN"/>
        </w:rPr>
        <w:t>监狱企业、</w:t>
      </w:r>
      <w:r>
        <w:rPr>
          <w:rFonts w:hint="eastAsia" w:ascii="新宋体" w:hAnsi="新宋体" w:eastAsia="新宋体" w:cs="新宋体"/>
          <w:b/>
          <w:color w:val="auto"/>
          <w:sz w:val="22"/>
          <w:szCs w:val="22"/>
          <w:highlight w:val="none"/>
        </w:rPr>
        <w:t>残疾人福利性单位</w:t>
      </w:r>
      <w:r>
        <w:rPr>
          <w:rFonts w:hint="eastAsia" w:ascii="新宋体" w:hAnsi="新宋体" w:eastAsia="新宋体" w:cs="新宋体"/>
          <w:b/>
          <w:bCs/>
          <w:color w:val="auto"/>
          <w:sz w:val="22"/>
          <w:szCs w:val="22"/>
          <w:highlight w:val="none"/>
          <w:lang w:val="zh-CN"/>
        </w:rPr>
        <w:t>视同小微企业，其产品参加本项目投标的，享受小微企业同等的价格扣除。</w:t>
      </w:r>
    </w:p>
    <w:p w14:paraId="273C1C9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满足</w:t>
      </w:r>
      <w:r>
        <w:rPr>
          <w:rFonts w:hint="eastAsia" w:ascii="新宋体" w:hAnsi="新宋体" w:eastAsia="新宋体" w:cs="新宋体"/>
          <w:color w:val="auto"/>
          <w:sz w:val="22"/>
          <w:szCs w:val="22"/>
          <w:highlight w:val="none"/>
          <w:lang w:val="en-US" w:eastAsia="zh-CN"/>
        </w:rPr>
        <w:t>小微企业</w:t>
      </w:r>
      <w:r>
        <w:rPr>
          <w:rFonts w:hint="eastAsia" w:ascii="新宋体" w:hAnsi="新宋体" w:eastAsia="新宋体" w:cs="新宋体"/>
          <w:color w:val="auto"/>
          <w:sz w:val="22"/>
          <w:szCs w:val="22"/>
          <w:highlight w:val="none"/>
        </w:rPr>
        <w:t>折扣条件的商务（报价）分=[评标基准价/(投标报价*</w:t>
      </w: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rPr>
        <w:t>0%)]×3</w:t>
      </w:r>
      <w:r>
        <w:rPr>
          <w:rFonts w:hint="eastAsia" w:ascii="新宋体" w:hAnsi="新宋体" w:eastAsia="新宋体" w:cs="新宋体"/>
          <w:color w:val="auto"/>
          <w:sz w:val="22"/>
          <w:szCs w:val="22"/>
          <w:highlight w:val="none"/>
          <w:lang w:val="en-US" w:eastAsia="zh-CN"/>
        </w:rPr>
        <w:t>0</w:t>
      </w:r>
      <w:r>
        <w:rPr>
          <w:rFonts w:hint="eastAsia" w:ascii="新宋体" w:hAnsi="新宋体" w:eastAsia="新宋体" w:cs="新宋体"/>
          <w:color w:val="auto"/>
          <w:sz w:val="22"/>
          <w:szCs w:val="22"/>
          <w:highlight w:val="none"/>
        </w:rPr>
        <w:t>。</w:t>
      </w:r>
    </w:p>
    <w:p w14:paraId="4E0CA4DC">
      <w:pPr>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满足</w:t>
      </w:r>
      <w:r>
        <w:rPr>
          <w:rFonts w:hint="eastAsia" w:ascii="新宋体" w:hAnsi="新宋体" w:eastAsia="新宋体" w:cs="新宋体"/>
          <w:color w:val="auto"/>
          <w:sz w:val="22"/>
          <w:szCs w:val="22"/>
          <w:highlight w:val="none"/>
          <w:lang w:val="en-US" w:eastAsia="zh-CN"/>
        </w:rPr>
        <w:t>联合体</w:t>
      </w:r>
      <w:r>
        <w:rPr>
          <w:rFonts w:hint="eastAsia" w:ascii="新宋体" w:hAnsi="新宋体" w:eastAsia="新宋体" w:cs="新宋体"/>
          <w:color w:val="auto"/>
          <w:sz w:val="22"/>
          <w:szCs w:val="22"/>
          <w:highlight w:val="none"/>
        </w:rPr>
        <w:t>折扣条件的商务（报价）分=[评标基准价/(投标报价*</w:t>
      </w:r>
      <w:r>
        <w:rPr>
          <w:rFonts w:hint="eastAsia" w:ascii="新宋体" w:hAnsi="新宋体" w:eastAsia="新宋体" w:cs="新宋体"/>
          <w:color w:val="auto"/>
          <w:sz w:val="22"/>
          <w:szCs w:val="22"/>
          <w:highlight w:val="none"/>
          <w:lang w:val="en-US" w:eastAsia="zh-CN"/>
        </w:rPr>
        <w:t>96</w:t>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en-US" w:eastAsia="zh-CN"/>
        </w:rPr>
        <w:t>0</w:t>
      </w:r>
      <w:r>
        <w:rPr>
          <w:rFonts w:hint="eastAsia" w:ascii="新宋体" w:hAnsi="新宋体" w:eastAsia="新宋体" w:cs="新宋体"/>
          <w:color w:val="auto"/>
          <w:sz w:val="22"/>
          <w:szCs w:val="22"/>
          <w:highlight w:val="none"/>
        </w:rPr>
        <w:t>。</w:t>
      </w:r>
    </w:p>
    <w:p w14:paraId="361C30E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3、有效投标人的综合得分为技术分和商务（报价）分的总和。</w:t>
      </w:r>
    </w:p>
    <w:p w14:paraId="203631A0">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lang w:val="en-US" w:eastAsia="zh-CN"/>
        </w:rPr>
        <w:t>4</w:t>
      </w:r>
      <w:r>
        <w:rPr>
          <w:rFonts w:hint="eastAsia" w:ascii="新宋体" w:hAnsi="新宋体" w:eastAsia="新宋体" w:cs="新宋体"/>
          <w:b/>
          <w:bCs/>
          <w:color w:val="auto"/>
          <w:sz w:val="22"/>
          <w:szCs w:val="22"/>
          <w:highlight w:val="none"/>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6FD0891">
      <w:pPr>
        <w:spacing w:line="460" w:lineRule="exact"/>
        <w:ind w:firstLine="442" w:firstLineChars="200"/>
        <w:outlineLvl w:val="1"/>
        <w:rPr>
          <w:rFonts w:hint="eastAsia" w:ascii="新宋体" w:hAnsi="新宋体" w:eastAsia="新宋体" w:cs="新宋体"/>
          <w:b/>
          <w:bCs/>
          <w:color w:val="auto"/>
          <w:sz w:val="22"/>
          <w:szCs w:val="22"/>
          <w:highlight w:val="none"/>
        </w:rPr>
      </w:pPr>
      <w:bookmarkStart w:id="63" w:name="_Toc2482"/>
      <w:bookmarkStart w:id="64" w:name="_Toc4727"/>
      <w:r>
        <w:rPr>
          <w:rFonts w:hint="eastAsia" w:ascii="新宋体" w:hAnsi="新宋体" w:eastAsia="新宋体" w:cs="新宋体"/>
          <w:b/>
          <w:bCs/>
          <w:color w:val="auto"/>
          <w:sz w:val="22"/>
          <w:szCs w:val="22"/>
          <w:highlight w:val="none"/>
        </w:rPr>
        <w:t>六、定标办法</w:t>
      </w:r>
      <w:bookmarkEnd w:id="63"/>
      <w:bookmarkEnd w:id="64"/>
    </w:p>
    <w:p w14:paraId="38057361">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14:paraId="166C733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1.1由评标委员会确定中标候选人。</w:t>
      </w:r>
    </w:p>
    <w:p w14:paraId="76B1ABA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1.2评标委员会依据法律、法规及</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有关规定按评审后得分（即商务技术分与报价得分之和）由高到低顺序排序，得分前二名的投标人确定为该项目的第一和第二中标候选人（得分相同的，按投标报价由低到高顺序排列。得分且投标报价相同的并列。）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推荐。</w:t>
      </w:r>
    </w:p>
    <w:p w14:paraId="5258A76D">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2、确定中标人</w:t>
      </w:r>
    </w:p>
    <w:p w14:paraId="095D4014">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2.1</w:t>
      </w:r>
      <w:r>
        <w:rPr>
          <w:rFonts w:hint="eastAsia" w:ascii="新宋体" w:hAnsi="新宋体" w:eastAsia="新宋体" w:cs="新宋体"/>
          <w:b/>
          <w:bCs/>
          <w:color w:val="auto"/>
          <w:sz w:val="22"/>
          <w:szCs w:val="22"/>
          <w:highlight w:val="none"/>
          <w:lang w:eastAsia="zh-CN"/>
        </w:rPr>
        <w:t>采购人</w:t>
      </w:r>
      <w:r>
        <w:rPr>
          <w:rFonts w:hint="eastAsia" w:ascii="新宋体" w:hAnsi="新宋体" w:eastAsia="新宋体" w:cs="新宋体"/>
          <w:b/>
          <w:bCs/>
          <w:color w:val="auto"/>
          <w:sz w:val="22"/>
          <w:szCs w:val="22"/>
          <w:highlight w:val="none"/>
        </w:rPr>
        <w:t>按照评标报告中推荐的中标候选供应商顺序确定中标人；中标候选人并列的，由评标委员会全体成员记名投票按少数服从多数的原则确定排名。</w:t>
      </w:r>
    </w:p>
    <w:p w14:paraId="6419D17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2.2如中标人放弃中标；或未能在规定时间内与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签订合同的；或者经质疑，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审查后，确因排名第一的候选人在本次采购活动中存在违法违规行为或其他原因使质疑成立的，</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可以视情况直接确定排名第二的候选人为中标人或重新组织招标。</w:t>
      </w:r>
    </w:p>
    <w:p w14:paraId="58F20A1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中标人确定后，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将在指定媒体公告中标结果，</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向中标人发出中标通知书。</w:t>
      </w:r>
    </w:p>
    <w:p w14:paraId="192620C8">
      <w:pPr>
        <w:spacing w:line="460" w:lineRule="exact"/>
        <w:ind w:firstLine="442" w:firstLineChars="200"/>
        <w:outlineLvl w:val="1"/>
        <w:rPr>
          <w:rFonts w:hint="eastAsia" w:ascii="新宋体" w:hAnsi="新宋体" w:eastAsia="新宋体" w:cs="新宋体"/>
          <w:b/>
          <w:color w:val="auto"/>
          <w:sz w:val="22"/>
          <w:szCs w:val="22"/>
          <w:highlight w:val="none"/>
        </w:rPr>
      </w:pPr>
      <w:bookmarkStart w:id="65" w:name="_Toc17587"/>
      <w:bookmarkStart w:id="66" w:name="_Toc3629"/>
      <w:r>
        <w:rPr>
          <w:rFonts w:hint="eastAsia" w:ascii="新宋体" w:hAnsi="新宋体" w:eastAsia="新宋体" w:cs="新宋体"/>
          <w:b/>
          <w:color w:val="auto"/>
          <w:sz w:val="22"/>
          <w:szCs w:val="22"/>
          <w:highlight w:val="none"/>
        </w:rPr>
        <w:t>七、投标人义务</w:t>
      </w:r>
      <w:bookmarkEnd w:id="65"/>
      <w:bookmarkEnd w:id="66"/>
    </w:p>
    <w:p w14:paraId="240075F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投标人应随时接受评标委员会的询标，解答包括有关的商务、技术问题等。评标结束，所有评标资料存招标机构备查。</w:t>
      </w:r>
    </w:p>
    <w:p w14:paraId="530CDB55">
      <w:pPr>
        <w:spacing w:line="460" w:lineRule="exact"/>
        <w:ind w:firstLine="442"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b/>
          <w:bCs/>
          <w:color w:val="auto"/>
          <w:sz w:val="22"/>
          <w:szCs w:val="22"/>
          <w:highlight w:val="none"/>
          <w:lang w:val="en-US" w:eastAsia="zh-CN"/>
        </w:rPr>
        <w:t>2、中标供应商须提供纸质投标响应文件并加盖单位公章一份，送至代理公司。</w:t>
      </w:r>
    </w:p>
    <w:sectPr>
      <w:headerReference r:id="rId6" w:type="default"/>
      <w:footerReference r:id="rId7" w:type="default"/>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auto"/>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Helvetica">
    <w:altName w:val="Arial"/>
    <w:panose1 w:val="020B0604020202020204"/>
    <w:charset w:val="00"/>
    <w:family w:val="swiss"/>
    <w:pitch w:val="default"/>
    <w:sig w:usb0="00000000" w:usb1="00000000" w:usb2="00000000" w:usb3="00000000" w:csb0="0000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390F4">
    <w:pPr>
      <w:pStyle w:val="35"/>
      <w:framePr w:wrap="around" w:vAnchor="text" w:hAnchor="margin" w:xAlign="center" w:y="1"/>
      <w:rPr>
        <w:rStyle w:val="57"/>
      </w:rPr>
    </w:pPr>
    <w:r>
      <w:fldChar w:fldCharType="begin"/>
    </w:r>
    <w:r>
      <w:rPr>
        <w:rStyle w:val="57"/>
      </w:rPr>
      <w:instrText xml:space="preserve">PAGE  </w:instrText>
    </w:r>
    <w:r>
      <w:fldChar w:fldCharType="separate"/>
    </w:r>
    <w:r>
      <w:rPr>
        <w:rStyle w:val="57"/>
      </w:rPr>
      <w:t>56</w:t>
    </w:r>
    <w:r>
      <w:fldChar w:fldCharType="end"/>
    </w:r>
  </w:p>
  <w:p w14:paraId="45767A6D">
    <w:pPr>
      <w:pStyle w:val="35"/>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958D9">
    <w:pPr>
      <w:pStyle w:val="35"/>
      <w:framePr w:wrap="around" w:vAnchor="text" w:hAnchor="margin" w:xAlign="center" w:y="1"/>
      <w:rPr>
        <w:rStyle w:val="57"/>
      </w:rPr>
    </w:pPr>
    <w:r>
      <w:fldChar w:fldCharType="begin"/>
    </w:r>
    <w:r>
      <w:rPr>
        <w:rStyle w:val="57"/>
      </w:rPr>
      <w:instrText xml:space="preserve">PAGE  </w:instrText>
    </w:r>
    <w:r>
      <w:fldChar w:fldCharType="separate"/>
    </w:r>
    <w:r>
      <w:rPr>
        <w:rStyle w:val="57"/>
      </w:rPr>
      <w:t>76</w:t>
    </w:r>
    <w:r>
      <w:fldChar w:fldCharType="end"/>
    </w:r>
  </w:p>
  <w:p w14:paraId="64590E7C">
    <w:pPr>
      <w:pStyle w:val="35"/>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00265">
    <w:pPr>
      <w:pStyle w:val="36"/>
      <w:pBdr>
        <w:bottom w:val="single" w:color="auto" w:sz="6" w:space="0"/>
      </w:pBdr>
      <w:jc w:val="both"/>
      <w:rPr>
        <w:rFonts w:hint="eastAsia" w:eastAsia="宋体"/>
        <w:lang w:eastAsia="zh-CN"/>
      </w:rPr>
    </w:pPr>
    <w:r>
      <w:rPr>
        <w:rFonts w:hint="eastAsia" w:ascii="新宋体" w:hAnsi="新宋体" w:eastAsia="新宋体" w:cs="新宋体"/>
      </w:rPr>
      <w:t>温州市政府（分散）采购</w:t>
    </w:r>
    <w:r>
      <w:rPr>
        <w:rFonts w:hint="eastAsia" w:ascii="新宋体" w:hAnsi="新宋体" w:eastAsia="新宋体" w:cs="新宋体"/>
        <w:lang w:eastAsia="zh-CN"/>
      </w:rPr>
      <w:t>采购文件</w:t>
    </w:r>
    <w:r>
      <w:rPr>
        <w:rFonts w:hint="eastAsia" w:ascii="新宋体" w:hAnsi="新宋体" w:eastAsia="新宋体" w:cs="新宋体"/>
      </w:rPr>
      <w:t xml:space="preserve">                                     项目编号：</w:t>
    </w:r>
    <w:r>
      <w:rPr>
        <w:rFonts w:hint="eastAsia" w:ascii="新宋体" w:hAnsi="新宋体" w:eastAsia="新宋体" w:cs="新宋体"/>
        <w:lang w:eastAsia="zh-CN"/>
      </w:rPr>
      <w:t>WZLCZB（L）-2025-01008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E3754">
    <w:pPr>
      <w:pStyle w:val="3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86EE5">
    <w:pPr>
      <w:pStyle w:val="36"/>
      <w:pBdr>
        <w:bottom w:val="single" w:color="auto" w:sz="6" w:space="0"/>
      </w:pBdr>
      <w:jc w:val="both"/>
      <w:rPr>
        <w:rFonts w:hint="eastAsia" w:eastAsia="宋体"/>
        <w:lang w:eastAsia="zh-CN"/>
      </w:rPr>
    </w:pPr>
    <w:r>
      <w:rPr>
        <w:rFonts w:hint="eastAsia" w:ascii="新宋体" w:hAnsi="新宋体" w:eastAsia="新宋体" w:cs="新宋体"/>
      </w:rPr>
      <w:t>温州市政府（分散）采购</w:t>
    </w:r>
    <w:r>
      <w:rPr>
        <w:rFonts w:hint="eastAsia" w:ascii="新宋体" w:hAnsi="新宋体" w:eastAsia="新宋体" w:cs="新宋体"/>
        <w:lang w:eastAsia="zh-CN"/>
      </w:rPr>
      <w:t>采购文件</w:t>
    </w:r>
    <w:r>
      <w:rPr>
        <w:rFonts w:hint="eastAsia" w:ascii="新宋体" w:hAnsi="新宋体" w:eastAsia="新宋体" w:cs="新宋体"/>
      </w:rPr>
      <w:t xml:space="preserve">                                     项目编号：</w:t>
    </w:r>
    <w:r>
      <w:rPr>
        <w:rFonts w:hint="eastAsia" w:ascii="新宋体" w:hAnsi="新宋体" w:eastAsia="新宋体" w:cs="新宋体"/>
        <w:lang w:eastAsia="zh-CN"/>
      </w:rPr>
      <w:t>WZLCZB（L）-2025-01008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D44ECF"/>
    <w:multiLevelType w:val="multilevel"/>
    <w:tmpl w:val="1FD44ECF"/>
    <w:lvl w:ilvl="0" w:tentative="0">
      <w:start w:val="1"/>
      <w:numFmt w:val="decimal"/>
      <w:lvlText w:val="（%1）"/>
      <w:lvlJc w:val="left"/>
      <w:pPr>
        <w:tabs>
          <w:tab w:val="left" w:pos="720"/>
        </w:tabs>
        <w:ind w:left="3240" w:hanging="720"/>
      </w:pPr>
      <w:rPr>
        <w:rFonts w:hint="default"/>
      </w:rPr>
    </w:lvl>
    <w:lvl w:ilvl="1" w:tentative="0">
      <w:start w:val="1"/>
      <w:numFmt w:val="lowerLetter"/>
      <w:lvlText w:val="%2)"/>
      <w:lvlJc w:val="left"/>
      <w:pPr>
        <w:tabs>
          <w:tab w:val="left" w:pos="840"/>
        </w:tabs>
        <w:ind w:left="3150" w:hanging="420"/>
      </w:pPr>
    </w:lvl>
    <w:lvl w:ilvl="2" w:tentative="0">
      <w:start w:val="1"/>
      <w:numFmt w:val="lowerRoman"/>
      <w:lvlText w:val="%3."/>
      <w:lvlJc w:val="right"/>
      <w:pPr>
        <w:tabs>
          <w:tab w:val="left" w:pos="1260"/>
        </w:tabs>
        <w:ind w:left="3570" w:hanging="420"/>
      </w:pPr>
    </w:lvl>
    <w:lvl w:ilvl="3" w:tentative="0">
      <w:start w:val="1"/>
      <w:numFmt w:val="decimal"/>
      <w:lvlText w:val="%4."/>
      <w:lvlJc w:val="left"/>
      <w:pPr>
        <w:tabs>
          <w:tab w:val="left" w:pos="1680"/>
        </w:tabs>
        <w:ind w:left="3990" w:hanging="420"/>
      </w:pPr>
    </w:lvl>
    <w:lvl w:ilvl="4" w:tentative="0">
      <w:start w:val="1"/>
      <w:numFmt w:val="lowerLetter"/>
      <w:lvlText w:val="%5)"/>
      <w:lvlJc w:val="left"/>
      <w:pPr>
        <w:tabs>
          <w:tab w:val="left" w:pos="2100"/>
        </w:tabs>
        <w:ind w:left="4410" w:hanging="420"/>
      </w:pPr>
    </w:lvl>
    <w:lvl w:ilvl="5" w:tentative="0">
      <w:start w:val="1"/>
      <w:numFmt w:val="lowerRoman"/>
      <w:lvlText w:val="%6."/>
      <w:lvlJc w:val="right"/>
      <w:pPr>
        <w:tabs>
          <w:tab w:val="left" w:pos="2520"/>
        </w:tabs>
        <w:ind w:left="4830" w:hanging="420"/>
      </w:pPr>
    </w:lvl>
    <w:lvl w:ilvl="6" w:tentative="0">
      <w:start w:val="1"/>
      <w:numFmt w:val="decimal"/>
      <w:lvlText w:val="%7."/>
      <w:lvlJc w:val="left"/>
      <w:pPr>
        <w:tabs>
          <w:tab w:val="left" w:pos="2940"/>
        </w:tabs>
        <w:ind w:left="5250" w:hanging="420"/>
      </w:pPr>
    </w:lvl>
    <w:lvl w:ilvl="7" w:tentative="0">
      <w:start w:val="1"/>
      <w:numFmt w:val="lowerLetter"/>
      <w:lvlText w:val="%8)"/>
      <w:lvlJc w:val="left"/>
      <w:pPr>
        <w:tabs>
          <w:tab w:val="left" w:pos="3360"/>
        </w:tabs>
        <w:ind w:left="5670" w:hanging="420"/>
      </w:pPr>
    </w:lvl>
    <w:lvl w:ilvl="8" w:tentative="0">
      <w:start w:val="1"/>
      <w:numFmt w:val="lowerRoman"/>
      <w:lvlText w:val="%9."/>
      <w:lvlJc w:val="right"/>
      <w:pPr>
        <w:tabs>
          <w:tab w:val="left" w:pos="3780"/>
        </w:tabs>
        <w:ind w:left="6090" w:hanging="420"/>
      </w:pPr>
    </w:lvl>
  </w:abstractNum>
  <w:abstractNum w:abstractNumId="1">
    <w:nsid w:val="52D7A3B6"/>
    <w:multiLevelType w:val="singleLevel"/>
    <w:tmpl w:val="52D7A3B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M2JkNDhjZjM1ZDA0OTYyYzExNzBlMGM3MmIzMGEifQ=="/>
  </w:docVars>
  <w:rsids>
    <w:rsidRoot w:val="00172A27"/>
    <w:rsid w:val="000149E3"/>
    <w:rsid w:val="00020693"/>
    <w:rsid w:val="000217C7"/>
    <w:rsid w:val="00026A46"/>
    <w:rsid w:val="00027D0D"/>
    <w:rsid w:val="00031F49"/>
    <w:rsid w:val="00037B6F"/>
    <w:rsid w:val="000474B4"/>
    <w:rsid w:val="00063600"/>
    <w:rsid w:val="000A6326"/>
    <w:rsid w:val="000B2878"/>
    <w:rsid w:val="0010260A"/>
    <w:rsid w:val="00121549"/>
    <w:rsid w:val="0013451B"/>
    <w:rsid w:val="00146E35"/>
    <w:rsid w:val="00172A27"/>
    <w:rsid w:val="00176791"/>
    <w:rsid w:val="0018007B"/>
    <w:rsid w:val="0019644F"/>
    <w:rsid w:val="001B0F17"/>
    <w:rsid w:val="001B2275"/>
    <w:rsid w:val="001D4048"/>
    <w:rsid w:val="001D49A1"/>
    <w:rsid w:val="001E7897"/>
    <w:rsid w:val="001F5D2B"/>
    <w:rsid w:val="002018F6"/>
    <w:rsid w:val="002044B9"/>
    <w:rsid w:val="00212172"/>
    <w:rsid w:val="00223CC1"/>
    <w:rsid w:val="00227214"/>
    <w:rsid w:val="00230913"/>
    <w:rsid w:val="00243D5B"/>
    <w:rsid w:val="002447E7"/>
    <w:rsid w:val="00261F3C"/>
    <w:rsid w:val="00270294"/>
    <w:rsid w:val="00271C2D"/>
    <w:rsid w:val="002843F3"/>
    <w:rsid w:val="00296547"/>
    <w:rsid w:val="002A31D6"/>
    <w:rsid w:val="002B5782"/>
    <w:rsid w:val="002C08AE"/>
    <w:rsid w:val="002C09AD"/>
    <w:rsid w:val="002D20EE"/>
    <w:rsid w:val="002D2D3D"/>
    <w:rsid w:val="002E7DAB"/>
    <w:rsid w:val="00303CC3"/>
    <w:rsid w:val="003058EA"/>
    <w:rsid w:val="00327AB8"/>
    <w:rsid w:val="00350DF6"/>
    <w:rsid w:val="00351F86"/>
    <w:rsid w:val="00352124"/>
    <w:rsid w:val="0035435E"/>
    <w:rsid w:val="00357388"/>
    <w:rsid w:val="00357A7B"/>
    <w:rsid w:val="003654EF"/>
    <w:rsid w:val="00372FCF"/>
    <w:rsid w:val="00373BB2"/>
    <w:rsid w:val="00380B23"/>
    <w:rsid w:val="00383F1F"/>
    <w:rsid w:val="003B0A15"/>
    <w:rsid w:val="003B1471"/>
    <w:rsid w:val="003B5050"/>
    <w:rsid w:val="003C713C"/>
    <w:rsid w:val="003F3276"/>
    <w:rsid w:val="00405F28"/>
    <w:rsid w:val="0041137E"/>
    <w:rsid w:val="00430AB9"/>
    <w:rsid w:val="00441256"/>
    <w:rsid w:val="0045663E"/>
    <w:rsid w:val="00461389"/>
    <w:rsid w:val="0046542D"/>
    <w:rsid w:val="00481BD3"/>
    <w:rsid w:val="004B66F1"/>
    <w:rsid w:val="004C013A"/>
    <w:rsid w:val="004C7034"/>
    <w:rsid w:val="005001D6"/>
    <w:rsid w:val="00522EF2"/>
    <w:rsid w:val="005238A3"/>
    <w:rsid w:val="00526065"/>
    <w:rsid w:val="00532669"/>
    <w:rsid w:val="00533C40"/>
    <w:rsid w:val="00555FA3"/>
    <w:rsid w:val="00561E5D"/>
    <w:rsid w:val="0056534C"/>
    <w:rsid w:val="00565E01"/>
    <w:rsid w:val="005674BB"/>
    <w:rsid w:val="00572B8A"/>
    <w:rsid w:val="00582AEF"/>
    <w:rsid w:val="00586839"/>
    <w:rsid w:val="00587A14"/>
    <w:rsid w:val="005A1DD3"/>
    <w:rsid w:val="005A3AA2"/>
    <w:rsid w:val="005A65DF"/>
    <w:rsid w:val="005B3595"/>
    <w:rsid w:val="005C388F"/>
    <w:rsid w:val="00607A59"/>
    <w:rsid w:val="00631E7A"/>
    <w:rsid w:val="0064398C"/>
    <w:rsid w:val="00644CD7"/>
    <w:rsid w:val="00647AB1"/>
    <w:rsid w:val="00654A9F"/>
    <w:rsid w:val="00665E12"/>
    <w:rsid w:val="00692D32"/>
    <w:rsid w:val="00696C82"/>
    <w:rsid w:val="006A1CF7"/>
    <w:rsid w:val="006B3E1C"/>
    <w:rsid w:val="006C06F0"/>
    <w:rsid w:val="006D6C7C"/>
    <w:rsid w:val="006E2672"/>
    <w:rsid w:val="007068AC"/>
    <w:rsid w:val="00722BB3"/>
    <w:rsid w:val="00725254"/>
    <w:rsid w:val="00740E65"/>
    <w:rsid w:val="00753072"/>
    <w:rsid w:val="007546B0"/>
    <w:rsid w:val="007671B7"/>
    <w:rsid w:val="00774E3F"/>
    <w:rsid w:val="00776F48"/>
    <w:rsid w:val="00780CBF"/>
    <w:rsid w:val="00781B95"/>
    <w:rsid w:val="007A21E8"/>
    <w:rsid w:val="007A62BD"/>
    <w:rsid w:val="007B564B"/>
    <w:rsid w:val="007B769B"/>
    <w:rsid w:val="007E29D6"/>
    <w:rsid w:val="007E6E86"/>
    <w:rsid w:val="007F2164"/>
    <w:rsid w:val="00800A72"/>
    <w:rsid w:val="00804ACD"/>
    <w:rsid w:val="0080543D"/>
    <w:rsid w:val="00817CE2"/>
    <w:rsid w:val="00831C7B"/>
    <w:rsid w:val="00832D9C"/>
    <w:rsid w:val="00836E00"/>
    <w:rsid w:val="00846CC5"/>
    <w:rsid w:val="00850622"/>
    <w:rsid w:val="00870DFA"/>
    <w:rsid w:val="00871EBE"/>
    <w:rsid w:val="00873949"/>
    <w:rsid w:val="00875629"/>
    <w:rsid w:val="00877499"/>
    <w:rsid w:val="00892732"/>
    <w:rsid w:val="00893202"/>
    <w:rsid w:val="0089599B"/>
    <w:rsid w:val="008A127E"/>
    <w:rsid w:val="008B2FA9"/>
    <w:rsid w:val="008C2D7B"/>
    <w:rsid w:val="008C31BC"/>
    <w:rsid w:val="008D62C9"/>
    <w:rsid w:val="008D75C3"/>
    <w:rsid w:val="008E0B76"/>
    <w:rsid w:val="008E26D5"/>
    <w:rsid w:val="008F4E37"/>
    <w:rsid w:val="008F7BE3"/>
    <w:rsid w:val="008F7D27"/>
    <w:rsid w:val="009016FC"/>
    <w:rsid w:val="00902AA2"/>
    <w:rsid w:val="009254A6"/>
    <w:rsid w:val="0093089E"/>
    <w:rsid w:val="00933974"/>
    <w:rsid w:val="00936127"/>
    <w:rsid w:val="00945DCB"/>
    <w:rsid w:val="009652E5"/>
    <w:rsid w:val="00973F7A"/>
    <w:rsid w:val="0097671D"/>
    <w:rsid w:val="00977673"/>
    <w:rsid w:val="00987F54"/>
    <w:rsid w:val="00991B38"/>
    <w:rsid w:val="00996305"/>
    <w:rsid w:val="009C748F"/>
    <w:rsid w:val="009E4D45"/>
    <w:rsid w:val="00A24A5C"/>
    <w:rsid w:val="00A42424"/>
    <w:rsid w:val="00A45873"/>
    <w:rsid w:val="00A56219"/>
    <w:rsid w:val="00A61866"/>
    <w:rsid w:val="00A77176"/>
    <w:rsid w:val="00A92B83"/>
    <w:rsid w:val="00A957CF"/>
    <w:rsid w:val="00AA3DA6"/>
    <w:rsid w:val="00AA7C87"/>
    <w:rsid w:val="00AD31D4"/>
    <w:rsid w:val="00AD66E6"/>
    <w:rsid w:val="00AE4B39"/>
    <w:rsid w:val="00AF7BEB"/>
    <w:rsid w:val="00B06E43"/>
    <w:rsid w:val="00B2584A"/>
    <w:rsid w:val="00B41362"/>
    <w:rsid w:val="00B43A9E"/>
    <w:rsid w:val="00B44537"/>
    <w:rsid w:val="00B5466C"/>
    <w:rsid w:val="00B74039"/>
    <w:rsid w:val="00B87E26"/>
    <w:rsid w:val="00B9767A"/>
    <w:rsid w:val="00BA78D1"/>
    <w:rsid w:val="00BB0805"/>
    <w:rsid w:val="00BC0A13"/>
    <w:rsid w:val="00BC2B54"/>
    <w:rsid w:val="00BC4AC5"/>
    <w:rsid w:val="00BC66D1"/>
    <w:rsid w:val="00BF1399"/>
    <w:rsid w:val="00BF32BD"/>
    <w:rsid w:val="00C12358"/>
    <w:rsid w:val="00C232C8"/>
    <w:rsid w:val="00C468B7"/>
    <w:rsid w:val="00C67C97"/>
    <w:rsid w:val="00C70CE6"/>
    <w:rsid w:val="00C758F7"/>
    <w:rsid w:val="00C816DD"/>
    <w:rsid w:val="00C95163"/>
    <w:rsid w:val="00CB584C"/>
    <w:rsid w:val="00CC06DE"/>
    <w:rsid w:val="00CC3B91"/>
    <w:rsid w:val="00CE590D"/>
    <w:rsid w:val="00CF5C76"/>
    <w:rsid w:val="00D00FFE"/>
    <w:rsid w:val="00D13A1C"/>
    <w:rsid w:val="00D224FF"/>
    <w:rsid w:val="00D27DB2"/>
    <w:rsid w:val="00D3078D"/>
    <w:rsid w:val="00D30E82"/>
    <w:rsid w:val="00D47AC2"/>
    <w:rsid w:val="00D56369"/>
    <w:rsid w:val="00D70EBE"/>
    <w:rsid w:val="00D73718"/>
    <w:rsid w:val="00D7763D"/>
    <w:rsid w:val="00D844F8"/>
    <w:rsid w:val="00DB09B7"/>
    <w:rsid w:val="00DB2DE0"/>
    <w:rsid w:val="00DB41D0"/>
    <w:rsid w:val="00DF073C"/>
    <w:rsid w:val="00DF0B3F"/>
    <w:rsid w:val="00E02244"/>
    <w:rsid w:val="00E05AD1"/>
    <w:rsid w:val="00E11D98"/>
    <w:rsid w:val="00E15CD1"/>
    <w:rsid w:val="00E22045"/>
    <w:rsid w:val="00E248CD"/>
    <w:rsid w:val="00E36483"/>
    <w:rsid w:val="00E53874"/>
    <w:rsid w:val="00E5643F"/>
    <w:rsid w:val="00E56BD4"/>
    <w:rsid w:val="00E57D1E"/>
    <w:rsid w:val="00E72ABC"/>
    <w:rsid w:val="00E74DBC"/>
    <w:rsid w:val="00E76E5A"/>
    <w:rsid w:val="00EC182D"/>
    <w:rsid w:val="00EC6C26"/>
    <w:rsid w:val="00EC7DF8"/>
    <w:rsid w:val="00ED2873"/>
    <w:rsid w:val="00ED3B24"/>
    <w:rsid w:val="00ED7497"/>
    <w:rsid w:val="00EE45C7"/>
    <w:rsid w:val="00EF4A4C"/>
    <w:rsid w:val="00F03D32"/>
    <w:rsid w:val="00F06ABE"/>
    <w:rsid w:val="00F270F8"/>
    <w:rsid w:val="00F27576"/>
    <w:rsid w:val="00F36312"/>
    <w:rsid w:val="00F5082C"/>
    <w:rsid w:val="00F52CCB"/>
    <w:rsid w:val="00F52CD3"/>
    <w:rsid w:val="00F52E99"/>
    <w:rsid w:val="00F60DCB"/>
    <w:rsid w:val="00F80AAA"/>
    <w:rsid w:val="00F93BBA"/>
    <w:rsid w:val="00F95280"/>
    <w:rsid w:val="00FA662A"/>
    <w:rsid w:val="00FB0E0C"/>
    <w:rsid w:val="00FB1229"/>
    <w:rsid w:val="00FB62B3"/>
    <w:rsid w:val="00FC44CE"/>
    <w:rsid w:val="00FD52B1"/>
    <w:rsid w:val="00FF3A66"/>
    <w:rsid w:val="00FF6977"/>
    <w:rsid w:val="0116709E"/>
    <w:rsid w:val="01606883"/>
    <w:rsid w:val="017E2EFE"/>
    <w:rsid w:val="019C0F58"/>
    <w:rsid w:val="020D29B1"/>
    <w:rsid w:val="021F634E"/>
    <w:rsid w:val="021F7DAD"/>
    <w:rsid w:val="0224444B"/>
    <w:rsid w:val="022D7429"/>
    <w:rsid w:val="02451328"/>
    <w:rsid w:val="027D25C0"/>
    <w:rsid w:val="02841565"/>
    <w:rsid w:val="02B3222E"/>
    <w:rsid w:val="02CB2CD8"/>
    <w:rsid w:val="02F63BA4"/>
    <w:rsid w:val="03134011"/>
    <w:rsid w:val="031D0871"/>
    <w:rsid w:val="03283281"/>
    <w:rsid w:val="03331487"/>
    <w:rsid w:val="03400B54"/>
    <w:rsid w:val="034456E0"/>
    <w:rsid w:val="034A64CB"/>
    <w:rsid w:val="037D10FB"/>
    <w:rsid w:val="039714E5"/>
    <w:rsid w:val="03BE392F"/>
    <w:rsid w:val="03E13A1E"/>
    <w:rsid w:val="04156ACE"/>
    <w:rsid w:val="042A5AFC"/>
    <w:rsid w:val="043D6DF1"/>
    <w:rsid w:val="043F2279"/>
    <w:rsid w:val="044865A2"/>
    <w:rsid w:val="048D46D7"/>
    <w:rsid w:val="04A01243"/>
    <w:rsid w:val="04BA38D0"/>
    <w:rsid w:val="04C27070"/>
    <w:rsid w:val="04E23C80"/>
    <w:rsid w:val="04FD6D0A"/>
    <w:rsid w:val="050751FC"/>
    <w:rsid w:val="05166806"/>
    <w:rsid w:val="0529508C"/>
    <w:rsid w:val="053A30CA"/>
    <w:rsid w:val="057D25F0"/>
    <w:rsid w:val="05936339"/>
    <w:rsid w:val="05A864BD"/>
    <w:rsid w:val="05D76F02"/>
    <w:rsid w:val="062F7E7F"/>
    <w:rsid w:val="0650016B"/>
    <w:rsid w:val="06535B8C"/>
    <w:rsid w:val="06695ADA"/>
    <w:rsid w:val="067F52AB"/>
    <w:rsid w:val="06843699"/>
    <w:rsid w:val="06931F1F"/>
    <w:rsid w:val="06E17425"/>
    <w:rsid w:val="06E81491"/>
    <w:rsid w:val="07081502"/>
    <w:rsid w:val="072046E3"/>
    <w:rsid w:val="07373C8C"/>
    <w:rsid w:val="074234A9"/>
    <w:rsid w:val="0747552D"/>
    <w:rsid w:val="07592C30"/>
    <w:rsid w:val="07791E20"/>
    <w:rsid w:val="078177D5"/>
    <w:rsid w:val="07924879"/>
    <w:rsid w:val="079C0E64"/>
    <w:rsid w:val="07D60F62"/>
    <w:rsid w:val="07F01CB1"/>
    <w:rsid w:val="082A6B76"/>
    <w:rsid w:val="08621901"/>
    <w:rsid w:val="0873007F"/>
    <w:rsid w:val="08911C02"/>
    <w:rsid w:val="08913549"/>
    <w:rsid w:val="08A026E0"/>
    <w:rsid w:val="08B53A61"/>
    <w:rsid w:val="08E76FD5"/>
    <w:rsid w:val="08FD20E7"/>
    <w:rsid w:val="09101BCD"/>
    <w:rsid w:val="091751CA"/>
    <w:rsid w:val="09257549"/>
    <w:rsid w:val="09315C91"/>
    <w:rsid w:val="09324E46"/>
    <w:rsid w:val="09453417"/>
    <w:rsid w:val="09510BFE"/>
    <w:rsid w:val="097E368B"/>
    <w:rsid w:val="09816EE6"/>
    <w:rsid w:val="099757EE"/>
    <w:rsid w:val="09A34824"/>
    <w:rsid w:val="09B85302"/>
    <w:rsid w:val="09B94936"/>
    <w:rsid w:val="09BE20F9"/>
    <w:rsid w:val="09CA7E31"/>
    <w:rsid w:val="09D26DBF"/>
    <w:rsid w:val="09DB53D8"/>
    <w:rsid w:val="09F65854"/>
    <w:rsid w:val="0A07422F"/>
    <w:rsid w:val="0A1B49C1"/>
    <w:rsid w:val="0A214154"/>
    <w:rsid w:val="0A3D0590"/>
    <w:rsid w:val="0A7416D8"/>
    <w:rsid w:val="0A7A04B3"/>
    <w:rsid w:val="0A8455AD"/>
    <w:rsid w:val="0A8945EB"/>
    <w:rsid w:val="0AED28DB"/>
    <w:rsid w:val="0AF972EB"/>
    <w:rsid w:val="0BAC1F4C"/>
    <w:rsid w:val="0BAD28E2"/>
    <w:rsid w:val="0BBE4F63"/>
    <w:rsid w:val="0BD1763E"/>
    <w:rsid w:val="0BDA530A"/>
    <w:rsid w:val="0BFA07E4"/>
    <w:rsid w:val="0C0247C0"/>
    <w:rsid w:val="0C0506D0"/>
    <w:rsid w:val="0C186C57"/>
    <w:rsid w:val="0C353302"/>
    <w:rsid w:val="0C496297"/>
    <w:rsid w:val="0C660E5E"/>
    <w:rsid w:val="0C9A109E"/>
    <w:rsid w:val="0CA74D09"/>
    <w:rsid w:val="0CA943CD"/>
    <w:rsid w:val="0CA9483B"/>
    <w:rsid w:val="0CC47DEB"/>
    <w:rsid w:val="0CC51217"/>
    <w:rsid w:val="0CF12CA2"/>
    <w:rsid w:val="0D0A01F7"/>
    <w:rsid w:val="0D1F1C9D"/>
    <w:rsid w:val="0D735BCC"/>
    <w:rsid w:val="0D7C2119"/>
    <w:rsid w:val="0D920730"/>
    <w:rsid w:val="0DE33D9A"/>
    <w:rsid w:val="0DF2282E"/>
    <w:rsid w:val="0E022677"/>
    <w:rsid w:val="0E064CB1"/>
    <w:rsid w:val="0E2021E3"/>
    <w:rsid w:val="0E255A66"/>
    <w:rsid w:val="0E39220B"/>
    <w:rsid w:val="0E4706D1"/>
    <w:rsid w:val="0E4B6575"/>
    <w:rsid w:val="0E5C2643"/>
    <w:rsid w:val="0E6537C4"/>
    <w:rsid w:val="0E701E1B"/>
    <w:rsid w:val="0E750CB0"/>
    <w:rsid w:val="0E8E6882"/>
    <w:rsid w:val="0ED9462C"/>
    <w:rsid w:val="0EE50D43"/>
    <w:rsid w:val="0EF26D17"/>
    <w:rsid w:val="0F0377AE"/>
    <w:rsid w:val="0F0E6EE3"/>
    <w:rsid w:val="0F706416"/>
    <w:rsid w:val="0F9D0EBF"/>
    <w:rsid w:val="0FCD5779"/>
    <w:rsid w:val="0FD03A0D"/>
    <w:rsid w:val="10381F40"/>
    <w:rsid w:val="104869BA"/>
    <w:rsid w:val="10575CC4"/>
    <w:rsid w:val="105C5B5E"/>
    <w:rsid w:val="106164CC"/>
    <w:rsid w:val="10867034"/>
    <w:rsid w:val="10A25D7C"/>
    <w:rsid w:val="10A834AA"/>
    <w:rsid w:val="10B5773E"/>
    <w:rsid w:val="10F47168"/>
    <w:rsid w:val="1102285D"/>
    <w:rsid w:val="110264F1"/>
    <w:rsid w:val="1104198D"/>
    <w:rsid w:val="1105049E"/>
    <w:rsid w:val="112717A7"/>
    <w:rsid w:val="112E2296"/>
    <w:rsid w:val="11397FB3"/>
    <w:rsid w:val="115434FF"/>
    <w:rsid w:val="115D3896"/>
    <w:rsid w:val="11697CFE"/>
    <w:rsid w:val="11B62E53"/>
    <w:rsid w:val="11F9036B"/>
    <w:rsid w:val="12103D4D"/>
    <w:rsid w:val="12245EF7"/>
    <w:rsid w:val="12345EA5"/>
    <w:rsid w:val="124027F2"/>
    <w:rsid w:val="125A673E"/>
    <w:rsid w:val="12775E6D"/>
    <w:rsid w:val="12A01322"/>
    <w:rsid w:val="12AB0828"/>
    <w:rsid w:val="12B25142"/>
    <w:rsid w:val="12E05DF5"/>
    <w:rsid w:val="133616DD"/>
    <w:rsid w:val="133868DC"/>
    <w:rsid w:val="13582BF6"/>
    <w:rsid w:val="13583E3E"/>
    <w:rsid w:val="138356B4"/>
    <w:rsid w:val="13884680"/>
    <w:rsid w:val="13996DA4"/>
    <w:rsid w:val="13A56966"/>
    <w:rsid w:val="13A73C91"/>
    <w:rsid w:val="13B56A40"/>
    <w:rsid w:val="13D309B3"/>
    <w:rsid w:val="13E2070F"/>
    <w:rsid w:val="13EC3F05"/>
    <w:rsid w:val="13F8202D"/>
    <w:rsid w:val="14077D57"/>
    <w:rsid w:val="14342819"/>
    <w:rsid w:val="14904D9F"/>
    <w:rsid w:val="14965811"/>
    <w:rsid w:val="14C904F8"/>
    <w:rsid w:val="14D92610"/>
    <w:rsid w:val="14FE78F7"/>
    <w:rsid w:val="15001500"/>
    <w:rsid w:val="154A25D7"/>
    <w:rsid w:val="15522008"/>
    <w:rsid w:val="15525604"/>
    <w:rsid w:val="156E5828"/>
    <w:rsid w:val="15B36E57"/>
    <w:rsid w:val="15B43A33"/>
    <w:rsid w:val="15C02CFA"/>
    <w:rsid w:val="15D02588"/>
    <w:rsid w:val="16077F5E"/>
    <w:rsid w:val="163004AD"/>
    <w:rsid w:val="164356BB"/>
    <w:rsid w:val="16696D72"/>
    <w:rsid w:val="166F777C"/>
    <w:rsid w:val="169C21B8"/>
    <w:rsid w:val="169C6B59"/>
    <w:rsid w:val="16BB60A4"/>
    <w:rsid w:val="16D604C4"/>
    <w:rsid w:val="173A5387"/>
    <w:rsid w:val="17484EA6"/>
    <w:rsid w:val="174F00A2"/>
    <w:rsid w:val="17725C57"/>
    <w:rsid w:val="17755246"/>
    <w:rsid w:val="17800AEC"/>
    <w:rsid w:val="18061B0D"/>
    <w:rsid w:val="18071853"/>
    <w:rsid w:val="18121892"/>
    <w:rsid w:val="18245E40"/>
    <w:rsid w:val="182A3E5C"/>
    <w:rsid w:val="186B461D"/>
    <w:rsid w:val="188B4950"/>
    <w:rsid w:val="18C7387D"/>
    <w:rsid w:val="18C76564"/>
    <w:rsid w:val="18DC4207"/>
    <w:rsid w:val="18F04591"/>
    <w:rsid w:val="18F9585A"/>
    <w:rsid w:val="19087A11"/>
    <w:rsid w:val="191B7534"/>
    <w:rsid w:val="19267572"/>
    <w:rsid w:val="193463F1"/>
    <w:rsid w:val="19594DA9"/>
    <w:rsid w:val="196C6250"/>
    <w:rsid w:val="196E2C37"/>
    <w:rsid w:val="1974690A"/>
    <w:rsid w:val="19C072D3"/>
    <w:rsid w:val="19E632E0"/>
    <w:rsid w:val="1A25720B"/>
    <w:rsid w:val="1A510684"/>
    <w:rsid w:val="1A6171B2"/>
    <w:rsid w:val="1A66082C"/>
    <w:rsid w:val="1A7A3206"/>
    <w:rsid w:val="1AA65F2A"/>
    <w:rsid w:val="1AA666F2"/>
    <w:rsid w:val="1AC000B4"/>
    <w:rsid w:val="1ADC340E"/>
    <w:rsid w:val="1AED2C78"/>
    <w:rsid w:val="1AEF15D5"/>
    <w:rsid w:val="1B1F6B22"/>
    <w:rsid w:val="1B257957"/>
    <w:rsid w:val="1B343FD0"/>
    <w:rsid w:val="1B356551"/>
    <w:rsid w:val="1B377F92"/>
    <w:rsid w:val="1B3E4ABA"/>
    <w:rsid w:val="1B677902"/>
    <w:rsid w:val="1B9D2D2C"/>
    <w:rsid w:val="1BAB13EA"/>
    <w:rsid w:val="1BE02644"/>
    <w:rsid w:val="1BEE40C9"/>
    <w:rsid w:val="1BF27CE6"/>
    <w:rsid w:val="1BF57F17"/>
    <w:rsid w:val="1BFC6DBC"/>
    <w:rsid w:val="1C13053F"/>
    <w:rsid w:val="1C162BF5"/>
    <w:rsid w:val="1C212DFA"/>
    <w:rsid w:val="1C3065A1"/>
    <w:rsid w:val="1C32514E"/>
    <w:rsid w:val="1C753733"/>
    <w:rsid w:val="1C8449C2"/>
    <w:rsid w:val="1C8676F7"/>
    <w:rsid w:val="1C8B5EF5"/>
    <w:rsid w:val="1C9B7764"/>
    <w:rsid w:val="1C9C37E6"/>
    <w:rsid w:val="1CA3081A"/>
    <w:rsid w:val="1CB81673"/>
    <w:rsid w:val="1CEB7EC5"/>
    <w:rsid w:val="1D0A50BD"/>
    <w:rsid w:val="1D2A3DAB"/>
    <w:rsid w:val="1D46542E"/>
    <w:rsid w:val="1D6359BB"/>
    <w:rsid w:val="1D664936"/>
    <w:rsid w:val="1D71729C"/>
    <w:rsid w:val="1D7373B4"/>
    <w:rsid w:val="1D981331"/>
    <w:rsid w:val="1DAB3C89"/>
    <w:rsid w:val="1DBC130B"/>
    <w:rsid w:val="1DBE6139"/>
    <w:rsid w:val="1DC06E93"/>
    <w:rsid w:val="1DCC77C2"/>
    <w:rsid w:val="1DCF4890"/>
    <w:rsid w:val="1DF52813"/>
    <w:rsid w:val="1DFB57EB"/>
    <w:rsid w:val="1E0062C5"/>
    <w:rsid w:val="1E1A4A5E"/>
    <w:rsid w:val="1E4F15C4"/>
    <w:rsid w:val="1E665E93"/>
    <w:rsid w:val="1E6D0B8E"/>
    <w:rsid w:val="1E7012E8"/>
    <w:rsid w:val="1E740910"/>
    <w:rsid w:val="1E8A1B7B"/>
    <w:rsid w:val="1EAF32E5"/>
    <w:rsid w:val="1ED05FDD"/>
    <w:rsid w:val="1EDA4565"/>
    <w:rsid w:val="1F0115E6"/>
    <w:rsid w:val="1F0A1D41"/>
    <w:rsid w:val="1F43063A"/>
    <w:rsid w:val="1F5417D9"/>
    <w:rsid w:val="1F607217"/>
    <w:rsid w:val="1F8B73B9"/>
    <w:rsid w:val="1FB06AB2"/>
    <w:rsid w:val="1FBF3F6B"/>
    <w:rsid w:val="1FC0508F"/>
    <w:rsid w:val="1FD17519"/>
    <w:rsid w:val="1FDB3B9B"/>
    <w:rsid w:val="1FDE37FF"/>
    <w:rsid w:val="1FE77E87"/>
    <w:rsid w:val="1FE87CF6"/>
    <w:rsid w:val="20142293"/>
    <w:rsid w:val="202875D1"/>
    <w:rsid w:val="203B6405"/>
    <w:rsid w:val="204042C4"/>
    <w:rsid w:val="204434A6"/>
    <w:rsid w:val="208E2CB0"/>
    <w:rsid w:val="20C7192F"/>
    <w:rsid w:val="20C94ACB"/>
    <w:rsid w:val="20DA4942"/>
    <w:rsid w:val="20F3606E"/>
    <w:rsid w:val="20FA2C9D"/>
    <w:rsid w:val="213009EF"/>
    <w:rsid w:val="213D75BE"/>
    <w:rsid w:val="213F7AB1"/>
    <w:rsid w:val="215726A0"/>
    <w:rsid w:val="217A33A1"/>
    <w:rsid w:val="218710D4"/>
    <w:rsid w:val="21872636"/>
    <w:rsid w:val="218F2648"/>
    <w:rsid w:val="21AB5C9B"/>
    <w:rsid w:val="21B427AB"/>
    <w:rsid w:val="21BD46E0"/>
    <w:rsid w:val="21E274F2"/>
    <w:rsid w:val="22067C29"/>
    <w:rsid w:val="22134C1B"/>
    <w:rsid w:val="22206C77"/>
    <w:rsid w:val="22314D0B"/>
    <w:rsid w:val="227C0C68"/>
    <w:rsid w:val="227D1F07"/>
    <w:rsid w:val="229E355B"/>
    <w:rsid w:val="22AE5DFE"/>
    <w:rsid w:val="22C82C18"/>
    <w:rsid w:val="22DE7DE0"/>
    <w:rsid w:val="22F24251"/>
    <w:rsid w:val="23025E80"/>
    <w:rsid w:val="235C31B0"/>
    <w:rsid w:val="238447CD"/>
    <w:rsid w:val="238D0EEE"/>
    <w:rsid w:val="23B93239"/>
    <w:rsid w:val="23C16FD2"/>
    <w:rsid w:val="24106BD2"/>
    <w:rsid w:val="242C445B"/>
    <w:rsid w:val="247E04BE"/>
    <w:rsid w:val="248B6BF0"/>
    <w:rsid w:val="24975A35"/>
    <w:rsid w:val="24A451C8"/>
    <w:rsid w:val="24A95A92"/>
    <w:rsid w:val="24B0777F"/>
    <w:rsid w:val="24B21E7E"/>
    <w:rsid w:val="24B80E3D"/>
    <w:rsid w:val="24BA3A6C"/>
    <w:rsid w:val="24C14262"/>
    <w:rsid w:val="24DB11B1"/>
    <w:rsid w:val="24DB1DC1"/>
    <w:rsid w:val="254579AD"/>
    <w:rsid w:val="254C6870"/>
    <w:rsid w:val="25550995"/>
    <w:rsid w:val="257F66CF"/>
    <w:rsid w:val="25916749"/>
    <w:rsid w:val="25D9375F"/>
    <w:rsid w:val="25E5097B"/>
    <w:rsid w:val="25ED1CE2"/>
    <w:rsid w:val="260366CA"/>
    <w:rsid w:val="2612386C"/>
    <w:rsid w:val="26190B1E"/>
    <w:rsid w:val="261954E5"/>
    <w:rsid w:val="26232D49"/>
    <w:rsid w:val="26251690"/>
    <w:rsid w:val="26360630"/>
    <w:rsid w:val="263D4CDE"/>
    <w:rsid w:val="26647088"/>
    <w:rsid w:val="26B25A04"/>
    <w:rsid w:val="26DA1D14"/>
    <w:rsid w:val="26E86A48"/>
    <w:rsid w:val="27101EDB"/>
    <w:rsid w:val="272E26D1"/>
    <w:rsid w:val="27360181"/>
    <w:rsid w:val="27450F96"/>
    <w:rsid w:val="27A03254"/>
    <w:rsid w:val="27A230C5"/>
    <w:rsid w:val="27A851CF"/>
    <w:rsid w:val="27EC18B9"/>
    <w:rsid w:val="27F6755B"/>
    <w:rsid w:val="2835156C"/>
    <w:rsid w:val="28451D51"/>
    <w:rsid w:val="285E7742"/>
    <w:rsid w:val="285F589C"/>
    <w:rsid w:val="2860075F"/>
    <w:rsid w:val="288E7537"/>
    <w:rsid w:val="28957DF4"/>
    <w:rsid w:val="28D51CE9"/>
    <w:rsid w:val="28E0382C"/>
    <w:rsid w:val="28FB2940"/>
    <w:rsid w:val="28FF661A"/>
    <w:rsid w:val="2935387C"/>
    <w:rsid w:val="295642C7"/>
    <w:rsid w:val="29923BE6"/>
    <w:rsid w:val="29A85B4A"/>
    <w:rsid w:val="29C00AAE"/>
    <w:rsid w:val="29D70027"/>
    <w:rsid w:val="29E4565C"/>
    <w:rsid w:val="2A217644"/>
    <w:rsid w:val="2A5522DC"/>
    <w:rsid w:val="2A6D7AE4"/>
    <w:rsid w:val="2A81126C"/>
    <w:rsid w:val="2A9A509F"/>
    <w:rsid w:val="2ABE75C5"/>
    <w:rsid w:val="2AC54EDF"/>
    <w:rsid w:val="2AD0715B"/>
    <w:rsid w:val="2ADE1592"/>
    <w:rsid w:val="2AE72478"/>
    <w:rsid w:val="2AFE6BB2"/>
    <w:rsid w:val="2AFF547A"/>
    <w:rsid w:val="2B0F5BE3"/>
    <w:rsid w:val="2B194010"/>
    <w:rsid w:val="2B1A0A86"/>
    <w:rsid w:val="2B3544FB"/>
    <w:rsid w:val="2B766889"/>
    <w:rsid w:val="2BB62C14"/>
    <w:rsid w:val="2BB82208"/>
    <w:rsid w:val="2BB86F96"/>
    <w:rsid w:val="2BBA1AC6"/>
    <w:rsid w:val="2BC1544C"/>
    <w:rsid w:val="2BF45826"/>
    <w:rsid w:val="2BF83122"/>
    <w:rsid w:val="2C1F1A7F"/>
    <w:rsid w:val="2C4D4422"/>
    <w:rsid w:val="2C61592A"/>
    <w:rsid w:val="2C7A7FEE"/>
    <w:rsid w:val="2CAA1EE8"/>
    <w:rsid w:val="2CF23348"/>
    <w:rsid w:val="2D0212AF"/>
    <w:rsid w:val="2D0721CE"/>
    <w:rsid w:val="2D2D0FB8"/>
    <w:rsid w:val="2D401D7D"/>
    <w:rsid w:val="2D5369A4"/>
    <w:rsid w:val="2D553E12"/>
    <w:rsid w:val="2D563294"/>
    <w:rsid w:val="2D572DE8"/>
    <w:rsid w:val="2D7657B0"/>
    <w:rsid w:val="2D880354"/>
    <w:rsid w:val="2D8E0951"/>
    <w:rsid w:val="2DA66D99"/>
    <w:rsid w:val="2DA92533"/>
    <w:rsid w:val="2DC542FD"/>
    <w:rsid w:val="2DED783E"/>
    <w:rsid w:val="2E027319"/>
    <w:rsid w:val="2E70692E"/>
    <w:rsid w:val="2E740C9C"/>
    <w:rsid w:val="2E912614"/>
    <w:rsid w:val="2EB82B9B"/>
    <w:rsid w:val="2EDB211E"/>
    <w:rsid w:val="2F2105FF"/>
    <w:rsid w:val="2F3802F5"/>
    <w:rsid w:val="2F5C1DA5"/>
    <w:rsid w:val="2FAB4DBA"/>
    <w:rsid w:val="2FAF734F"/>
    <w:rsid w:val="2FB74538"/>
    <w:rsid w:val="2FF16930"/>
    <w:rsid w:val="30255652"/>
    <w:rsid w:val="302A5959"/>
    <w:rsid w:val="305B0C4B"/>
    <w:rsid w:val="306F34C7"/>
    <w:rsid w:val="30E71C81"/>
    <w:rsid w:val="31024AE6"/>
    <w:rsid w:val="31232744"/>
    <w:rsid w:val="313F60CD"/>
    <w:rsid w:val="316C164E"/>
    <w:rsid w:val="31AC33EA"/>
    <w:rsid w:val="31B469D0"/>
    <w:rsid w:val="31D64F96"/>
    <w:rsid w:val="32017181"/>
    <w:rsid w:val="3202578C"/>
    <w:rsid w:val="326D3B31"/>
    <w:rsid w:val="327021FA"/>
    <w:rsid w:val="327B1627"/>
    <w:rsid w:val="329C1DF0"/>
    <w:rsid w:val="329E2BA3"/>
    <w:rsid w:val="32AE7A75"/>
    <w:rsid w:val="32E032B1"/>
    <w:rsid w:val="32EF11A3"/>
    <w:rsid w:val="32EF2028"/>
    <w:rsid w:val="33011C41"/>
    <w:rsid w:val="333C6A3D"/>
    <w:rsid w:val="33644CFD"/>
    <w:rsid w:val="33774568"/>
    <w:rsid w:val="33A0028D"/>
    <w:rsid w:val="33A570FA"/>
    <w:rsid w:val="33D32C1C"/>
    <w:rsid w:val="33D92429"/>
    <w:rsid w:val="33E0226A"/>
    <w:rsid w:val="33FA3B34"/>
    <w:rsid w:val="343B3818"/>
    <w:rsid w:val="343C1893"/>
    <w:rsid w:val="34854716"/>
    <w:rsid w:val="35160D6B"/>
    <w:rsid w:val="351D3779"/>
    <w:rsid w:val="357911C3"/>
    <w:rsid w:val="358526AE"/>
    <w:rsid w:val="35B54B22"/>
    <w:rsid w:val="35DF0F8E"/>
    <w:rsid w:val="35E623C9"/>
    <w:rsid w:val="35E83CBD"/>
    <w:rsid w:val="35EF293B"/>
    <w:rsid w:val="35F13A2A"/>
    <w:rsid w:val="360453EB"/>
    <w:rsid w:val="361633A9"/>
    <w:rsid w:val="362C0965"/>
    <w:rsid w:val="36495F37"/>
    <w:rsid w:val="36523501"/>
    <w:rsid w:val="366A6E58"/>
    <w:rsid w:val="37282883"/>
    <w:rsid w:val="37366041"/>
    <w:rsid w:val="373D0F4E"/>
    <w:rsid w:val="37625DAE"/>
    <w:rsid w:val="377717B0"/>
    <w:rsid w:val="378C5758"/>
    <w:rsid w:val="37922808"/>
    <w:rsid w:val="379D7A74"/>
    <w:rsid w:val="37A03DDA"/>
    <w:rsid w:val="37AF57BC"/>
    <w:rsid w:val="37DC389E"/>
    <w:rsid w:val="37E41DF1"/>
    <w:rsid w:val="37FC364E"/>
    <w:rsid w:val="382206B3"/>
    <w:rsid w:val="38463090"/>
    <w:rsid w:val="3882116E"/>
    <w:rsid w:val="388234B9"/>
    <w:rsid w:val="38973473"/>
    <w:rsid w:val="38A56CC9"/>
    <w:rsid w:val="38C05F24"/>
    <w:rsid w:val="38D750B8"/>
    <w:rsid w:val="38F2240C"/>
    <w:rsid w:val="38F741FC"/>
    <w:rsid w:val="39171CC0"/>
    <w:rsid w:val="393F39C1"/>
    <w:rsid w:val="3941283A"/>
    <w:rsid w:val="3950742F"/>
    <w:rsid w:val="395212E1"/>
    <w:rsid w:val="395765D1"/>
    <w:rsid w:val="39654761"/>
    <w:rsid w:val="398E0DAD"/>
    <w:rsid w:val="39976574"/>
    <w:rsid w:val="39A165F9"/>
    <w:rsid w:val="39A22205"/>
    <w:rsid w:val="39B72706"/>
    <w:rsid w:val="39C84E5A"/>
    <w:rsid w:val="39DE0D55"/>
    <w:rsid w:val="39FA0921"/>
    <w:rsid w:val="3A1E1EAB"/>
    <w:rsid w:val="3A3457E8"/>
    <w:rsid w:val="3A3F0320"/>
    <w:rsid w:val="3A536E24"/>
    <w:rsid w:val="3A565A98"/>
    <w:rsid w:val="3A810ECA"/>
    <w:rsid w:val="3A871F8A"/>
    <w:rsid w:val="3AA31206"/>
    <w:rsid w:val="3AB57780"/>
    <w:rsid w:val="3AC37DF0"/>
    <w:rsid w:val="3AC65AD2"/>
    <w:rsid w:val="3ACF5A26"/>
    <w:rsid w:val="3AD35612"/>
    <w:rsid w:val="3AE76371"/>
    <w:rsid w:val="3AE80991"/>
    <w:rsid w:val="3B1B509F"/>
    <w:rsid w:val="3B3575B2"/>
    <w:rsid w:val="3B4764C1"/>
    <w:rsid w:val="3B4A51A8"/>
    <w:rsid w:val="3B54731C"/>
    <w:rsid w:val="3B67428D"/>
    <w:rsid w:val="3B713350"/>
    <w:rsid w:val="3B7A26BE"/>
    <w:rsid w:val="3B8406BA"/>
    <w:rsid w:val="3BA471B6"/>
    <w:rsid w:val="3BE767A5"/>
    <w:rsid w:val="3C073099"/>
    <w:rsid w:val="3C1701DB"/>
    <w:rsid w:val="3C2E25AC"/>
    <w:rsid w:val="3C33699A"/>
    <w:rsid w:val="3C41291B"/>
    <w:rsid w:val="3C447C27"/>
    <w:rsid w:val="3C4E3440"/>
    <w:rsid w:val="3C97031E"/>
    <w:rsid w:val="3D01778A"/>
    <w:rsid w:val="3D5F1707"/>
    <w:rsid w:val="3E225ED0"/>
    <w:rsid w:val="3E23342E"/>
    <w:rsid w:val="3E29108F"/>
    <w:rsid w:val="3E763568"/>
    <w:rsid w:val="3EB341AB"/>
    <w:rsid w:val="3EC20226"/>
    <w:rsid w:val="3EC33FD7"/>
    <w:rsid w:val="3EC451E1"/>
    <w:rsid w:val="3EC47F80"/>
    <w:rsid w:val="3EE2622E"/>
    <w:rsid w:val="3EE91017"/>
    <w:rsid w:val="3F1E63B0"/>
    <w:rsid w:val="3F2226EC"/>
    <w:rsid w:val="3F601C75"/>
    <w:rsid w:val="3FAC6CE4"/>
    <w:rsid w:val="3FDA48AC"/>
    <w:rsid w:val="3FDD4106"/>
    <w:rsid w:val="4018038B"/>
    <w:rsid w:val="402A3DD6"/>
    <w:rsid w:val="402E363B"/>
    <w:rsid w:val="40375320"/>
    <w:rsid w:val="403A7A13"/>
    <w:rsid w:val="40562031"/>
    <w:rsid w:val="4080695A"/>
    <w:rsid w:val="40883F9A"/>
    <w:rsid w:val="40A6403B"/>
    <w:rsid w:val="40A92971"/>
    <w:rsid w:val="40C31767"/>
    <w:rsid w:val="40D11C13"/>
    <w:rsid w:val="40D14228"/>
    <w:rsid w:val="40D25C2C"/>
    <w:rsid w:val="40E32648"/>
    <w:rsid w:val="413F338F"/>
    <w:rsid w:val="415D3A83"/>
    <w:rsid w:val="418E0B2C"/>
    <w:rsid w:val="41A50FA5"/>
    <w:rsid w:val="41CC07BC"/>
    <w:rsid w:val="41DD5AAF"/>
    <w:rsid w:val="41E40AD4"/>
    <w:rsid w:val="41E53E7C"/>
    <w:rsid w:val="420569A4"/>
    <w:rsid w:val="422E01F2"/>
    <w:rsid w:val="4246080B"/>
    <w:rsid w:val="42CE24FD"/>
    <w:rsid w:val="42F302DD"/>
    <w:rsid w:val="430B5EBA"/>
    <w:rsid w:val="43260C43"/>
    <w:rsid w:val="438034F8"/>
    <w:rsid w:val="4388321A"/>
    <w:rsid w:val="43940D48"/>
    <w:rsid w:val="43953319"/>
    <w:rsid w:val="43C04933"/>
    <w:rsid w:val="43EA37DE"/>
    <w:rsid w:val="441A31FF"/>
    <w:rsid w:val="446A3759"/>
    <w:rsid w:val="446B4961"/>
    <w:rsid w:val="449428DA"/>
    <w:rsid w:val="449D218D"/>
    <w:rsid w:val="449D552C"/>
    <w:rsid w:val="44BD0248"/>
    <w:rsid w:val="44E86A19"/>
    <w:rsid w:val="45132E7E"/>
    <w:rsid w:val="45A046DF"/>
    <w:rsid w:val="45AC020B"/>
    <w:rsid w:val="45B15EF6"/>
    <w:rsid w:val="45B457B1"/>
    <w:rsid w:val="45B725A0"/>
    <w:rsid w:val="45D22078"/>
    <w:rsid w:val="45F468CD"/>
    <w:rsid w:val="462E25CA"/>
    <w:rsid w:val="46303A17"/>
    <w:rsid w:val="465A58CC"/>
    <w:rsid w:val="467E5DD2"/>
    <w:rsid w:val="46931FE6"/>
    <w:rsid w:val="46D637ED"/>
    <w:rsid w:val="46DD3F38"/>
    <w:rsid w:val="46F16F1D"/>
    <w:rsid w:val="46FD2CBF"/>
    <w:rsid w:val="47040E65"/>
    <w:rsid w:val="472910BD"/>
    <w:rsid w:val="47553E8E"/>
    <w:rsid w:val="475C108B"/>
    <w:rsid w:val="477C293C"/>
    <w:rsid w:val="47980FDC"/>
    <w:rsid w:val="47A02A41"/>
    <w:rsid w:val="47CA2F97"/>
    <w:rsid w:val="47CA63D4"/>
    <w:rsid w:val="47D84675"/>
    <w:rsid w:val="47E17B3A"/>
    <w:rsid w:val="481379C4"/>
    <w:rsid w:val="481947FE"/>
    <w:rsid w:val="48366669"/>
    <w:rsid w:val="483B043E"/>
    <w:rsid w:val="4853266E"/>
    <w:rsid w:val="486B0826"/>
    <w:rsid w:val="486B1D8E"/>
    <w:rsid w:val="489A7399"/>
    <w:rsid w:val="48A93D74"/>
    <w:rsid w:val="48B1679E"/>
    <w:rsid w:val="48D139F6"/>
    <w:rsid w:val="48F56DD6"/>
    <w:rsid w:val="491916C6"/>
    <w:rsid w:val="49573AC8"/>
    <w:rsid w:val="4961628B"/>
    <w:rsid w:val="49AA7971"/>
    <w:rsid w:val="49B515B1"/>
    <w:rsid w:val="49FE240E"/>
    <w:rsid w:val="4A0A7CBB"/>
    <w:rsid w:val="4A141151"/>
    <w:rsid w:val="4A316318"/>
    <w:rsid w:val="4A643B84"/>
    <w:rsid w:val="4A777A6A"/>
    <w:rsid w:val="4AC9062D"/>
    <w:rsid w:val="4AE52C42"/>
    <w:rsid w:val="4AF2187D"/>
    <w:rsid w:val="4AF4011B"/>
    <w:rsid w:val="4AFC3953"/>
    <w:rsid w:val="4B1E385E"/>
    <w:rsid w:val="4B6870F9"/>
    <w:rsid w:val="4B6C2969"/>
    <w:rsid w:val="4B7A2609"/>
    <w:rsid w:val="4BCF6DCB"/>
    <w:rsid w:val="4BD06B38"/>
    <w:rsid w:val="4BDF321A"/>
    <w:rsid w:val="4BEE1D43"/>
    <w:rsid w:val="4C0065CE"/>
    <w:rsid w:val="4C18241E"/>
    <w:rsid w:val="4C227943"/>
    <w:rsid w:val="4C286B5D"/>
    <w:rsid w:val="4C4373DD"/>
    <w:rsid w:val="4C472142"/>
    <w:rsid w:val="4C5F22C4"/>
    <w:rsid w:val="4CF80F08"/>
    <w:rsid w:val="4D563E01"/>
    <w:rsid w:val="4DC43B09"/>
    <w:rsid w:val="4DC86CD0"/>
    <w:rsid w:val="4DD62C1F"/>
    <w:rsid w:val="4DF46D27"/>
    <w:rsid w:val="4E367509"/>
    <w:rsid w:val="4E5211BA"/>
    <w:rsid w:val="4E76149E"/>
    <w:rsid w:val="4E762A71"/>
    <w:rsid w:val="4E7F6390"/>
    <w:rsid w:val="4E90713C"/>
    <w:rsid w:val="4E911651"/>
    <w:rsid w:val="4E935AF8"/>
    <w:rsid w:val="4E9D1D1E"/>
    <w:rsid w:val="4EBB3EDA"/>
    <w:rsid w:val="4EEE65AD"/>
    <w:rsid w:val="4F0E0B1D"/>
    <w:rsid w:val="4F3A3567"/>
    <w:rsid w:val="4F6C41E3"/>
    <w:rsid w:val="4F8A0B61"/>
    <w:rsid w:val="4F9C55BF"/>
    <w:rsid w:val="4FB410CF"/>
    <w:rsid w:val="4FBD41CA"/>
    <w:rsid w:val="4FD246D2"/>
    <w:rsid w:val="50077D56"/>
    <w:rsid w:val="50131451"/>
    <w:rsid w:val="50245755"/>
    <w:rsid w:val="503600B3"/>
    <w:rsid w:val="507D4F01"/>
    <w:rsid w:val="50831BFE"/>
    <w:rsid w:val="50922478"/>
    <w:rsid w:val="50B52FE4"/>
    <w:rsid w:val="50BF2E54"/>
    <w:rsid w:val="510252D6"/>
    <w:rsid w:val="51305EE3"/>
    <w:rsid w:val="51390BE4"/>
    <w:rsid w:val="51975E1F"/>
    <w:rsid w:val="51BC697B"/>
    <w:rsid w:val="51C804DE"/>
    <w:rsid w:val="51CF0D4C"/>
    <w:rsid w:val="51E10471"/>
    <w:rsid w:val="51E12FF8"/>
    <w:rsid w:val="51E33826"/>
    <w:rsid w:val="51E71C22"/>
    <w:rsid w:val="520C6B50"/>
    <w:rsid w:val="522E62F3"/>
    <w:rsid w:val="5293590B"/>
    <w:rsid w:val="52967C7B"/>
    <w:rsid w:val="52A33960"/>
    <w:rsid w:val="52B476CE"/>
    <w:rsid w:val="52B67E93"/>
    <w:rsid w:val="52F47A95"/>
    <w:rsid w:val="530D6D8F"/>
    <w:rsid w:val="531645CA"/>
    <w:rsid w:val="531F2A96"/>
    <w:rsid w:val="53262EC9"/>
    <w:rsid w:val="53734149"/>
    <w:rsid w:val="5391219B"/>
    <w:rsid w:val="53915C12"/>
    <w:rsid w:val="53932760"/>
    <w:rsid w:val="539873E7"/>
    <w:rsid w:val="53A17D41"/>
    <w:rsid w:val="53B46D0C"/>
    <w:rsid w:val="53F171B7"/>
    <w:rsid w:val="53F87A3F"/>
    <w:rsid w:val="54087353"/>
    <w:rsid w:val="54375044"/>
    <w:rsid w:val="544232E7"/>
    <w:rsid w:val="54557110"/>
    <w:rsid w:val="545D6CB6"/>
    <w:rsid w:val="549661B6"/>
    <w:rsid w:val="54A34D96"/>
    <w:rsid w:val="54D24E79"/>
    <w:rsid w:val="54F430A2"/>
    <w:rsid w:val="5503429F"/>
    <w:rsid w:val="551027C6"/>
    <w:rsid w:val="552F7315"/>
    <w:rsid w:val="55440F33"/>
    <w:rsid w:val="554B0FDD"/>
    <w:rsid w:val="55631D2D"/>
    <w:rsid w:val="55AA6F28"/>
    <w:rsid w:val="55BB1E97"/>
    <w:rsid w:val="55C8709D"/>
    <w:rsid w:val="560509A3"/>
    <w:rsid w:val="56250237"/>
    <w:rsid w:val="56450A3C"/>
    <w:rsid w:val="564569EB"/>
    <w:rsid w:val="56921A85"/>
    <w:rsid w:val="56AB5944"/>
    <w:rsid w:val="56F645A2"/>
    <w:rsid w:val="57214861"/>
    <w:rsid w:val="572B4616"/>
    <w:rsid w:val="57541EAD"/>
    <w:rsid w:val="577465D8"/>
    <w:rsid w:val="577A658F"/>
    <w:rsid w:val="57A14827"/>
    <w:rsid w:val="57A5627A"/>
    <w:rsid w:val="57A91DD2"/>
    <w:rsid w:val="57AE5029"/>
    <w:rsid w:val="57C23486"/>
    <w:rsid w:val="57CE4606"/>
    <w:rsid w:val="57D123D3"/>
    <w:rsid w:val="57DF3814"/>
    <w:rsid w:val="5807247D"/>
    <w:rsid w:val="58117CC1"/>
    <w:rsid w:val="582C3384"/>
    <w:rsid w:val="58624A55"/>
    <w:rsid w:val="59216A89"/>
    <w:rsid w:val="59A175DF"/>
    <w:rsid w:val="59B819C2"/>
    <w:rsid w:val="59C7668D"/>
    <w:rsid w:val="59F7428A"/>
    <w:rsid w:val="59FC4729"/>
    <w:rsid w:val="59FF697B"/>
    <w:rsid w:val="5A0A04BC"/>
    <w:rsid w:val="5A0B75E4"/>
    <w:rsid w:val="5A15685D"/>
    <w:rsid w:val="5A323EDC"/>
    <w:rsid w:val="5A36378A"/>
    <w:rsid w:val="5A4E7FD5"/>
    <w:rsid w:val="5A575BFF"/>
    <w:rsid w:val="5A77586F"/>
    <w:rsid w:val="5AA12CBD"/>
    <w:rsid w:val="5AB40905"/>
    <w:rsid w:val="5ACA65CD"/>
    <w:rsid w:val="5ACC7A53"/>
    <w:rsid w:val="5AE51758"/>
    <w:rsid w:val="5B237EEB"/>
    <w:rsid w:val="5B581F93"/>
    <w:rsid w:val="5B6B529B"/>
    <w:rsid w:val="5B93247B"/>
    <w:rsid w:val="5BAB667D"/>
    <w:rsid w:val="5BB250E2"/>
    <w:rsid w:val="5BB3320D"/>
    <w:rsid w:val="5BBFEE14"/>
    <w:rsid w:val="5BC31A45"/>
    <w:rsid w:val="5BC772C9"/>
    <w:rsid w:val="5BF00094"/>
    <w:rsid w:val="5BF50377"/>
    <w:rsid w:val="5C465FA2"/>
    <w:rsid w:val="5C544090"/>
    <w:rsid w:val="5C726BB6"/>
    <w:rsid w:val="5C7322D1"/>
    <w:rsid w:val="5C870F46"/>
    <w:rsid w:val="5CBC3B9B"/>
    <w:rsid w:val="5CC91C52"/>
    <w:rsid w:val="5CEF4070"/>
    <w:rsid w:val="5CFC28A8"/>
    <w:rsid w:val="5D246FFC"/>
    <w:rsid w:val="5D331782"/>
    <w:rsid w:val="5D36426B"/>
    <w:rsid w:val="5D7A3B33"/>
    <w:rsid w:val="5D9A103A"/>
    <w:rsid w:val="5DC818E3"/>
    <w:rsid w:val="5DDA696A"/>
    <w:rsid w:val="5DF52A7C"/>
    <w:rsid w:val="5E410FFD"/>
    <w:rsid w:val="5E544606"/>
    <w:rsid w:val="5E8E05EA"/>
    <w:rsid w:val="5EFB61FA"/>
    <w:rsid w:val="5F2C7D02"/>
    <w:rsid w:val="5F7663E9"/>
    <w:rsid w:val="5FB656F9"/>
    <w:rsid w:val="5FBC2CFA"/>
    <w:rsid w:val="5FC53466"/>
    <w:rsid w:val="5FD13015"/>
    <w:rsid w:val="60190EE3"/>
    <w:rsid w:val="601D48F2"/>
    <w:rsid w:val="601E31F8"/>
    <w:rsid w:val="602832C7"/>
    <w:rsid w:val="60307BB1"/>
    <w:rsid w:val="603D1F50"/>
    <w:rsid w:val="603F673E"/>
    <w:rsid w:val="605467C6"/>
    <w:rsid w:val="60D605A1"/>
    <w:rsid w:val="60E23609"/>
    <w:rsid w:val="613D1565"/>
    <w:rsid w:val="61464F6C"/>
    <w:rsid w:val="61515A7F"/>
    <w:rsid w:val="61633E93"/>
    <w:rsid w:val="61A4558D"/>
    <w:rsid w:val="61C32B70"/>
    <w:rsid w:val="61D46DD9"/>
    <w:rsid w:val="61E045CD"/>
    <w:rsid w:val="61E23930"/>
    <w:rsid w:val="61FD4A0F"/>
    <w:rsid w:val="62016875"/>
    <w:rsid w:val="62100B67"/>
    <w:rsid w:val="623E052A"/>
    <w:rsid w:val="6241319E"/>
    <w:rsid w:val="6242484B"/>
    <w:rsid w:val="628B7263"/>
    <w:rsid w:val="628D49EE"/>
    <w:rsid w:val="62902D58"/>
    <w:rsid w:val="6290385D"/>
    <w:rsid w:val="62AE4BDA"/>
    <w:rsid w:val="62C97640"/>
    <w:rsid w:val="62D27C48"/>
    <w:rsid w:val="6307315E"/>
    <w:rsid w:val="63184211"/>
    <w:rsid w:val="631B5AD9"/>
    <w:rsid w:val="632E7764"/>
    <w:rsid w:val="635C575B"/>
    <w:rsid w:val="636863CF"/>
    <w:rsid w:val="63752C12"/>
    <w:rsid w:val="638C1080"/>
    <w:rsid w:val="63B413CF"/>
    <w:rsid w:val="63D4721A"/>
    <w:rsid w:val="63FF6C27"/>
    <w:rsid w:val="6405263C"/>
    <w:rsid w:val="642454D9"/>
    <w:rsid w:val="64557DB3"/>
    <w:rsid w:val="6464336B"/>
    <w:rsid w:val="648D360B"/>
    <w:rsid w:val="64D33EFF"/>
    <w:rsid w:val="653C5193"/>
    <w:rsid w:val="655C7828"/>
    <w:rsid w:val="65CB1350"/>
    <w:rsid w:val="65FD7F1B"/>
    <w:rsid w:val="66291C05"/>
    <w:rsid w:val="66330E7B"/>
    <w:rsid w:val="66351622"/>
    <w:rsid w:val="665A2304"/>
    <w:rsid w:val="669C6349"/>
    <w:rsid w:val="66A80AC6"/>
    <w:rsid w:val="66CF3F7F"/>
    <w:rsid w:val="67144976"/>
    <w:rsid w:val="67202357"/>
    <w:rsid w:val="67603F26"/>
    <w:rsid w:val="67670D0C"/>
    <w:rsid w:val="67A9330C"/>
    <w:rsid w:val="67B36B6E"/>
    <w:rsid w:val="67D3264E"/>
    <w:rsid w:val="68024DD3"/>
    <w:rsid w:val="680F332B"/>
    <w:rsid w:val="6832253F"/>
    <w:rsid w:val="685C3C4D"/>
    <w:rsid w:val="685F19E3"/>
    <w:rsid w:val="687102AD"/>
    <w:rsid w:val="68724B40"/>
    <w:rsid w:val="68902798"/>
    <w:rsid w:val="690C7142"/>
    <w:rsid w:val="69412846"/>
    <w:rsid w:val="695907E9"/>
    <w:rsid w:val="6964290E"/>
    <w:rsid w:val="69794BD2"/>
    <w:rsid w:val="698304CD"/>
    <w:rsid w:val="69932BAE"/>
    <w:rsid w:val="69A16FDB"/>
    <w:rsid w:val="69BA6060"/>
    <w:rsid w:val="69F73D8C"/>
    <w:rsid w:val="6A041525"/>
    <w:rsid w:val="6A223F21"/>
    <w:rsid w:val="6A4771F0"/>
    <w:rsid w:val="6A641277"/>
    <w:rsid w:val="6A985E45"/>
    <w:rsid w:val="6AAD0001"/>
    <w:rsid w:val="6ACC3B62"/>
    <w:rsid w:val="6AE24654"/>
    <w:rsid w:val="6AE30427"/>
    <w:rsid w:val="6B1B05C6"/>
    <w:rsid w:val="6B2C0FBC"/>
    <w:rsid w:val="6B35684E"/>
    <w:rsid w:val="6B6C1D6A"/>
    <w:rsid w:val="6B6D666B"/>
    <w:rsid w:val="6B706DFD"/>
    <w:rsid w:val="6B735145"/>
    <w:rsid w:val="6B76701F"/>
    <w:rsid w:val="6B972EBA"/>
    <w:rsid w:val="6BAF67DE"/>
    <w:rsid w:val="6BB64940"/>
    <w:rsid w:val="6BBA5ABD"/>
    <w:rsid w:val="6BC04151"/>
    <w:rsid w:val="6BFF6B53"/>
    <w:rsid w:val="6C161EDD"/>
    <w:rsid w:val="6C17534B"/>
    <w:rsid w:val="6C52384A"/>
    <w:rsid w:val="6C5F577B"/>
    <w:rsid w:val="6C5F6B13"/>
    <w:rsid w:val="6C710D22"/>
    <w:rsid w:val="6C831486"/>
    <w:rsid w:val="6C8C7141"/>
    <w:rsid w:val="6C903E5F"/>
    <w:rsid w:val="6C92595F"/>
    <w:rsid w:val="6CA31D11"/>
    <w:rsid w:val="6CE513BE"/>
    <w:rsid w:val="6CEE595E"/>
    <w:rsid w:val="6CF82160"/>
    <w:rsid w:val="6D094BFA"/>
    <w:rsid w:val="6D1D7324"/>
    <w:rsid w:val="6D283EB3"/>
    <w:rsid w:val="6D476F5C"/>
    <w:rsid w:val="6D524D35"/>
    <w:rsid w:val="6D57260A"/>
    <w:rsid w:val="6D5E7E22"/>
    <w:rsid w:val="6D631E8B"/>
    <w:rsid w:val="6D691E34"/>
    <w:rsid w:val="6DA45721"/>
    <w:rsid w:val="6DDA08E3"/>
    <w:rsid w:val="6DEF5724"/>
    <w:rsid w:val="6E2D7396"/>
    <w:rsid w:val="6E3F2A1C"/>
    <w:rsid w:val="6E555DD6"/>
    <w:rsid w:val="6E73203B"/>
    <w:rsid w:val="6E977E1E"/>
    <w:rsid w:val="6E9A083E"/>
    <w:rsid w:val="6F1013D6"/>
    <w:rsid w:val="6F1830F3"/>
    <w:rsid w:val="6F2C4E6B"/>
    <w:rsid w:val="6F6E6E2B"/>
    <w:rsid w:val="6F7502BE"/>
    <w:rsid w:val="6F8E346E"/>
    <w:rsid w:val="6F922D77"/>
    <w:rsid w:val="6F9E073A"/>
    <w:rsid w:val="6FA85985"/>
    <w:rsid w:val="6FEA2DEF"/>
    <w:rsid w:val="6FF03DFF"/>
    <w:rsid w:val="70231C9D"/>
    <w:rsid w:val="703E7AC3"/>
    <w:rsid w:val="70411BFE"/>
    <w:rsid w:val="707B5C7D"/>
    <w:rsid w:val="708C386D"/>
    <w:rsid w:val="7093353E"/>
    <w:rsid w:val="70A25D2A"/>
    <w:rsid w:val="70EC15F1"/>
    <w:rsid w:val="70F606D1"/>
    <w:rsid w:val="710B3229"/>
    <w:rsid w:val="710C3141"/>
    <w:rsid w:val="71104E62"/>
    <w:rsid w:val="713927A1"/>
    <w:rsid w:val="713C57D0"/>
    <w:rsid w:val="71426CAF"/>
    <w:rsid w:val="7150636D"/>
    <w:rsid w:val="715F2EF4"/>
    <w:rsid w:val="719525E5"/>
    <w:rsid w:val="71C43EDF"/>
    <w:rsid w:val="71D12B7B"/>
    <w:rsid w:val="72047D57"/>
    <w:rsid w:val="722E4A91"/>
    <w:rsid w:val="724B7048"/>
    <w:rsid w:val="72563FB1"/>
    <w:rsid w:val="726E28BC"/>
    <w:rsid w:val="729701F7"/>
    <w:rsid w:val="72C13435"/>
    <w:rsid w:val="72EF6B00"/>
    <w:rsid w:val="7332304C"/>
    <w:rsid w:val="73460DCF"/>
    <w:rsid w:val="736F51CC"/>
    <w:rsid w:val="73765DF7"/>
    <w:rsid w:val="739C093C"/>
    <w:rsid w:val="739D0315"/>
    <w:rsid w:val="73CE4F10"/>
    <w:rsid w:val="73DE0BF4"/>
    <w:rsid w:val="73EF72A5"/>
    <w:rsid w:val="73F12089"/>
    <w:rsid w:val="740166CA"/>
    <w:rsid w:val="741606DE"/>
    <w:rsid w:val="74677303"/>
    <w:rsid w:val="746B4618"/>
    <w:rsid w:val="748E187D"/>
    <w:rsid w:val="74A9176B"/>
    <w:rsid w:val="74D612A7"/>
    <w:rsid w:val="74F727ED"/>
    <w:rsid w:val="75165209"/>
    <w:rsid w:val="75176D76"/>
    <w:rsid w:val="75395A4F"/>
    <w:rsid w:val="75402693"/>
    <w:rsid w:val="75A62599"/>
    <w:rsid w:val="75C718AC"/>
    <w:rsid w:val="75E5168E"/>
    <w:rsid w:val="75E65018"/>
    <w:rsid w:val="75FB3847"/>
    <w:rsid w:val="75FD7923"/>
    <w:rsid w:val="764536B8"/>
    <w:rsid w:val="764C1E95"/>
    <w:rsid w:val="765340BE"/>
    <w:rsid w:val="76600B0B"/>
    <w:rsid w:val="769040A2"/>
    <w:rsid w:val="76EC025F"/>
    <w:rsid w:val="76F00E8F"/>
    <w:rsid w:val="77104195"/>
    <w:rsid w:val="773106E6"/>
    <w:rsid w:val="7739357A"/>
    <w:rsid w:val="77532B5B"/>
    <w:rsid w:val="778F5B0D"/>
    <w:rsid w:val="77A72B49"/>
    <w:rsid w:val="77BA48A1"/>
    <w:rsid w:val="77EA45C3"/>
    <w:rsid w:val="77F1105C"/>
    <w:rsid w:val="77F3515D"/>
    <w:rsid w:val="77F537AF"/>
    <w:rsid w:val="78366808"/>
    <w:rsid w:val="78427D95"/>
    <w:rsid w:val="785505CD"/>
    <w:rsid w:val="785F7D92"/>
    <w:rsid w:val="787273D3"/>
    <w:rsid w:val="78942820"/>
    <w:rsid w:val="78B2018D"/>
    <w:rsid w:val="78CE3373"/>
    <w:rsid w:val="78EA06B1"/>
    <w:rsid w:val="79303653"/>
    <w:rsid w:val="79332894"/>
    <w:rsid w:val="79432FDA"/>
    <w:rsid w:val="794E031B"/>
    <w:rsid w:val="795A1679"/>
    <w:rsid w:val="796340FE"/>
    <w:rsid w:val="79CD580C"/>
    <w:rsid w:val="79D941C5"/>
    <w:rsid w:val="79F651E3"/>
    <w:rsid w:val="7A17628C"/>
    <w:rsid w:val="7A4A0DFD"/>
    <w:rsid w:val="7A552236"/>
    <w:rsid w:val="7A616556"/>
    <w:rsid w:val="7A735659"/>
    <w:rsid w:val="7A7E0068"/>
    <w:rsid w:val="7AB60141"/>
    <w:rsid w:val="7AB817D3"/>
    <w:rsid w:val="7AC17447"/>
    <w:rsid w:val="7AD70C9B"/>
    <w:rsid w:val="7ADA5B3C"/>
    <w:rsid w:val="7ADC203B"/>
    <w:rsid w:val="7AF44B79"/>
    <w:rsid w:val="7B3856F0"/>
    <w:rsid w:val="7B4531F1"/>
    <w:rsid w:val="7B4D07FD"/>
    <w:rsid w:val="7B6A15AB"/>
    <w:rsid w:val="7BAB3DF5"/>
    <w:rsid w:val="7BBD17C9"/>
    <w:rsid w:val="7BD26364"/>
    <w:rsid w:val="7BD36C7F"/>
    <w:rsid w:val="7BDB29F1"/>
    <w:rsid w:val="7BF1074D"/>
    <w:rsid w:val="7C2F53CB"/>
    <w:rsid w:val="7C3A3603"/>
    <w:rsid w:val="7C461D0D"/>
    <w:rsid w:val="7C485C63"/>
    <w:rsid w:val="7C556F97"/>
    <w:rsid w:val="7CA27DFF"/>
    <w:rsid w:val="7CA834CE"/>
    <w:rsid w:val="7CB9036C"/>
    <w:rsid w:val="7D047631"/>
    <w:rsid w:val="7D220123"/>
    <w:rsid w:val="7D3475DB"/>
    <w:rsid w:val="7D771F95"/>
    <w:rsid w:val="7D7BA450"/>
    <w:rsid w:val="7D942460"/>
    <w:rsid w:val="7DDD5D1F"/>
    <w:rsid w:val="7E0B3754"/>
    <w:rsid w:val="7E3C4D54"/>
    <w:rsid w:val="7E470D98"/>
    <w:rsid w:val="7E563F68"/>
    <w:rsid w:val="7E5A6E88"/>
    <w:rsid w:val="7E750639"/>
    <w:rsid w:val="7EA55CBC"/>
    <w:rsid w:val="7EC40A24"/>
    <w:rsid w:val="7EF100A0"/>
    <w:rsid w:val="7F5F072D"/>
    <w:rsid w:val="7F711C25"/>
    <w:rsid w:val="7FB40554"/>
    <w:rsid w:val="7FBA1359"/>
    <w:rsid w:val="7FF41FF0"/>
    <w:rsid w:val="E7F328BB"/>
    <w:rsid w:val="EAFF4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29"/>
    <w:autoRedefine/>
    <w:qFormat/>
    <w:uiPriority w:val="0"/>
    <w:pPr>
      <w:keepNext/>
      <w:jc w:val="center"/>
      <w:outlineLvl w:val="0"/>
    </w:pPr>
    <w:rPr>
      <w:rFonts w:eastAsia="黑体"/>
      <w:b/>
      <w:sz w:val="32"/>
      <w:szCs w:val="20"/>
    </w:rPr>
  </w:style>
  <w:style w:type="paragraph" w:styleId="5">
    <w:name w:val="heading 2"/>
    <w:basedOn w:val="1"/>
    <w:next w:val="1"/>
    <w:link w:val="67"/>
    <w:autoRedefine/>
    <w:qFormat/>
    <w:uiPriority w:val="0"/>
    <w:pPr>
      <w:keepNext/>
      <w:outlineLvl w:val="1"/>
    </w:pPr>
    <w:rPr>
      <w:rFonts w:ascii="仿宋_GB2312"/>
      <w:b/>
      <w:sz w:val="28"/>
      <w:szCs w:val="32"/>
    </w:rPr>
  </w:style>
  <w:style w:type="paragraph" w:styleId="6">
    <w:name w:val="heading 3"/>
    <w:basedOn w:val="1"/>
    <w:next w:val="1"/>
    <w:link w:val="152"/>
    <w:autoRedefine/>
    <w:qFormat/>
    <w:uiPriority w:val="0"/>
    <w:pPr>
      <w:keepNext/>
      <w:keepLines/>
      <w:spacing w:line="540" w:lineRule="atLeast"/>
      <w:outlineLvl w:val="2"/>
    </w:pPr>
    <w:rPr>
      <w:rFonts w:eastAsia="黑体"/>
      <w:b/>
      <w:sz w:val="28"/>
      <w:szCs w:val="20"/>
    </w:rPr>
  </w:style>
  <w:style w:type="paragraph" w:styleId="7">
    <w:name w:val="heading 4"/>
    <w:basedOn w:val="1"/>
    <w:next w:val="1"/>
    <w:link w:val="149"/>
    <w:autoRedefine/>
    <w:qFormat/>
    <w:uiPriority w:val="0"/>
    <w:pPr>
      <w:keepNext/>
      <w:keepLines/>
      <w:spacing w:line="540" w:lineRule="atLeast"/>
      <w:outlineLvl w:val="3"/>
    </w:pPr>
    <w:rPr>
      <w:sz w:val="28"/>
      <w:szCs w:val="28"/>
    </w:rPr>
  </w:style>
  <w:style w:type="paragraph" w:styleId="8">
    <w:name w:val="heading 5"/>
    <w:basedOn w:val="1"/>
    <w:next w:val="1"/>
    <w:link w:val="132"/>
    <w:autoRedefine/>
    <w:qFormat/>
    <w:uiPriority w:val="0"/>
    <w:pPr>
      <w:keepNext/>
      <w:keepLines/>
      <w:spacing w:before="280" w:after="290" w:line="372" w:lineRule="auto"/>
      <w:outlineLvl w:val="4"/>
    </w:pPr>
    <w:rPr>
      <w:b/>
      <w:bCs/>
      <w:kern w:val="0"/>
      <w:sz w:val="28"/>
      <w:szCs w:val="28"/>
    </w:rPr>
  </w:style>
  <w:style w:type="paragraph" w:styleId="9">
    <w:name w:val="heading 6"/>
    <w:basedOn w:val="1"/>
    <w:next w:val="10"/>
    <w:link w:val="173"/>
    <w:autoRedefine/>
    <w:qFormat/>
    <w:uiPriority w:val="0"/>
    <w:pPr>
      <w:keepNext/>
      <w:keepLines/>
      <w:spacing w:before="240" w:after="64" w:line="317" w:lineRule="auto"/>
      <w:outlineLvl w:val="5"/>
    </w:pPr>
    <w:rPr>
      <w:rFonts w:ascii="Arial" w:hAnsi="Arial" w:eastAsia="黑体"/>
      <w:b/>
      <w:sz w:val="24"/>
      <w:szCs w:val="20"/>
    </w:rPr>
  </w:style>
  <w:style w:type="paragraph" w:styleId="11">
    <w:name w:val="heading 7"/>
    <w:basedOn w:val="1"/>
    <w:next w:val="10"/>
    <w:link w:val="70"/>
    <w:autoRedefine/>
    <w:qFormat/>
    <w:uiPriority w:val="0"/>
    <w:pPr>
      <w:keepNext/>
      <w:keepLines/>
      <w:spacing w:before="240" w:after="64" w:line="317" w:lineRule="auto"/>
      <w:outlineLvl w:val="6"/>
    </w:pPr>
    <w:rPr>
      <w:b/>
      <w:sz w:val="24"/>
      <w:szCs w:val="20"/>
    </w:rPr>
  </w:style>
  <w:style w:type="paragraph" w:styleId="12">
    <w:name w:val="heading 8"/>
    <w:basedOn w:val="1"/>
    <w:next w:val="10"/>
    <w:link w:val="176"/>
    <w:autoRedefine/>
    <w:qFormat/>
    <w:uiPriority w:val="0"/>
    <w:pPr>
      <w:keepNext/>
      <w:keepLines/>
      <w:spacing w:before="240" w:after="64" w:line="317" w:lineRule="auto"/>
      <w:outlineLvl w:val="7"/>
    </w:pPr>
    <w:rPr>
      <w:rFonts w:ascii="Arial" w:hAnsi="Arial" w:eastAsia="黑体"/>
      <w:sz w:val="24"/>
      <w:szCs w:val="20"/>
    </w:rPr>
  </w:style>
  <w:style w:type="paragraph" w:styleId="13">
    <w:name w:val="heading 9"/>
    <w:basedOn w:val="1"/>
    <w:next w:val="10"/>
    <w:link w:val="163"/>
    <w:autoRedefine/>
    <w:qFormat/>
    <w:uiPriority w:val="0"/>
    <w:pPr>
      <w:keepNext/>
      <w:keepLines/>
      <w:spacing w:before="240" w:after="64" w:line="317" w:lineRule="auto"/>
      <w:outlineLvl w:val="8"/>
    </w:pPr>
    <w:rPr>
      <w:rFonts w:ascii="Arial" w:hAnsi="Arial" w:eastAsia="黑体"/>
      <w:szCs w:val="20"/>
    </w:rPr>
  </w:style>
  <w:style w:type="character" w:default="1" w:styleId="55">
    <w:name w:val="Default Paragraph Font"/>
    <w:autoRedefine/>
    <w:semiHidden/>
    <w:unhideWhenUsed/>
    <w:qFormat/>
    <w:uiPriority w:val="1"/>
  </w:style>
  <w:style w:type="table" w:default="1" w:styleId="53">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44"/>
    <w:autoRedefine/>
    <w:qFormat/>
    <w:uiPriority w:val="0"/>
    <w:pPr>
      <w:ind w:left="480" w:hanging="480" w:hangingChars="200"/>
    </w:pPr>
    <w:rPr>
      <w:sz w:val="24"/>
    </w:rPr>
  </w:style>
  <w:style w:type="paragraph" w:styleId="3">
    <w:name w:val="macro"/>
    <w:link w:val="118"/>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10">
    <w:name w:val="Normal Indent"/>
    <w:basedOn w:val="1"/>
    <w:next w:val="1"/>
    <w:link w:val="105"/>
    <w:autoRedefine/>
    <w:qFormat/>
    <w:uiPriority w:val="0"/>
    <w:pPr>
      <w:adjustRightInd w:val="0"/>
      <w:spacing w:line="312" w:lineRule="atLeast"/>
      <w:ind w:firstLine="420"/>
      <w:textAlignment w:val="baseline"/>
    </w:pPr>
    <w:rPr>
      <w:rFonts w:ascii="仿宋_GB2312"/>
      <w:b/>
      <w:kern w:val="0"/>
      <w:szCs w:val="32"/>
    </w:rPr>
  </w:style>
  <w:style w:type="paragraph" w:styleId="14">
    <w:name w:val="toc 7"/>
    <w:basedOn w:val="1"/>
    <w:next w:val="1"/>
    <w:autoRedefine/>
    <w:qFormat/>
    <w:uiPriority w:val="0"/>
    <w:pPr>
      <w:autoSpaceDE w:val="0"/>
      <w:autoSpaceDN w:val="0"/>
      <w:adjustRightInd w:val="0"/>
      <w:ind w:left="2520" w:leftChars="1200"/>
      <w:jc w:val="left"/>
    </w:pPr>
    <w:rPr>
      <w:kern w:val="0"/>
      <w:sz w:val="20"/>
      <w:szCs w:val="20"/>
    </w:rPr>
  </w:style>
  <w:style w:type="paragraph" w:styleId="15">
    <w:name w:val="List Number"/>
    <w:basedOn w:val="1"/>
    <w:autoRedefine/>
    <w:qFormat/>
    <w:uiPriority w:val="0"/>
    <w:pPr>
      <w:tabs>
        <w:tab w:val="left" w:pos="360"/>
      </w:tabs>
      <w:ind w:left="360" w:hanging="360" w:hangingChars="200"/>
    </w:pPr>
  </w:style>
  <w:style w:type="paragraph" w:styleId="16">
    <w:name w:val="caption"/>
    <w:basedOn w:val="1"/>
    <w:next w:val="1"/>
    <w:autoRedefine/>
    <w:qFormat/>
    <w:uiPriority w:val="0"/>
    <w:pPr>
      <w:autoSpaceDE w:val="0"/>
      <w:autoSpaceDN w:val="0"/>
      <w:adjustRightInd w:val="0"/>
      <w:jc w:val="left"/>
    </w:pPr>
    <w:rPr>
      <w:rFonts w:ascii="Arial" w:hAnsi="Arial" w:eastAsia="黑体" w:cs="Arial"/>
      <w:kern w:val="0"/>
      <w:sz w:val="20"/>
      <w:szCs w:val="20"/>
    </w:rPr>
  </w:style>
  <w:style w:type="paragraph" w:styleId="17">
    <w:name w:val="List Bullet"/>
    <w:basedOn w:val="1"/>
    <w:autoRedefine/>
    <w:qFormat/>
    <w:uiPriority w:val="0"/>
    <w:pPr>
      <w:tabs>
        <w:tab w:val="left" w:pos="360"/>
      </w:tabs>
    </w:pPr>
    <w:rPr>
      <w:rFonts w:ascii="Calibri" w:hAnsi="Calibri"/>
      <w:szCs w:val="22"/>
    </w:rPr>
  </w:style>
  <w:style w:type="paragraph" w:styleId="18">
    <w:name w:val="Document Map"/>
    <w:basedOn w:val="1"/>
    <w:link w:val="131"/>
    <w:autoRedefine/>
    <w:qFormat/>
    <w:uiPriority w:val="0"/>
    <w:pPr>
      <w:shd w:val="clear" w:color="auto" w:fill="000080"/>
    </w:pPr>
  </w:style>
  <w:style w:type="paragraph" w:styleId="19">
    <w:name w:val="annotation text"/>
    <w:basedOn w:val="1"/>
    <w:link w:val="91"/>
    <w:autoRedefine/>
    <w:qFormat/>
    <w:uiPriority w:val="0"/>
    <w:pPr>
      <w:jc w:val="left"/>
    </w:pPr>
  </w:style>
  <w:style w:type="paragraph" w:styleId="20">
    <w:name w:val="Salutation"/>
    <w:basedOn w:val="1"/>
    <w:next w:val="1"/>
    <w:link w:val="79"/>
    <w:autoRedefine/>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1">
    <w:name w:val="Body Text 3"/>
    <w:basedOn w:val="1"/>
    <w:link w:val="95"/>
    <w:autoRedefine/>
    <w:qFormat/>
    <w:uiPriority w:val="0"/>
    <w:pPr>
      <w:autoSpaceDE w:val="0"/>
      <w:autoSpaceDN w:val="0"/>
      <w:adjustRightInd w:val="0"/>
      <w:jc w:val="center"/>
    </w:pPr>
  </w:style>
  <w:style w:type="paragraph" w:styleId="22">
    <w:name w:val="Body Text"/>
    <w:basedOn w:val="1"/>
    <w:next w:val="23"/>
    <w:link w:val="164"/>
    <w:autoRedefine/>
    <w:qFormat/>
    <w:uiPriority w:val="0"/>
    <w:pPr>
      <w:spacing w:after="120"/>
    </w:pPr>
    <w:rPr>
      <w:rFonts w:ascii="仿宋_GB2312"/>
      <w:b/>
    </w:rPr>
  </w:style>
  <w:style w:type="paragraph" w:styleId="23">
    <w:name w:val="toc 4"/>
    <w:basedOn w:val="1"/>
    <w:next w:val="1"/>
    <w:autoRedefine/>
    <w:qFormat/>
    <w:uiPriority w:val="0"/>
    <w:pPr>
      <w:autoSpaceDE w:val="0"/>
      <w:autoSpaceDN w:val="0"/>
      <w:adjustRightInd w:val="0"/>
      <w:ind w:left="1260" w:leftChars="600"/>
      <w:jc w:val="left"/>
    </w:pPr>
    <w:rPr>
      <w:kern w:val="0"/>
      <w:sz w:val="20"/>
      <w:szCs w:val="20"/>
    </w:rPr>
  </w:style>
  <w:style w:type="paragraph" w:styleId="24">
    <w:name w:val="List Number 3"/>
    <w:basedOn w:val="1"/>
    <w:autoRedefine/>
    <w:qFormat/>
    <w:uiPriority w:val="0"/>
    <w:pPr>
      <w:tabs>
        <w:tab w:val="left" w:pos="1200"/>
      </w:tabs>
      <w:ind w:left="1200" w:leftChars="400" w:hanging="360" w:hangingChars="200"/>
    </w:pPr>
  </w:style>
  <w:style w:type="paragraph" w:styleId="25">
    <w:name w:val="Block Text"/>
    <w:basedOn w:val="1"/>
    <w:autoRedefine/>
    <w:qFormat/>
    <w:uiPriority w:val="0"/>
    <w:pPr>
      <w:spacing w:line="520" w:lineRule="exact"/>
      <w:ind w:left="540" w:leftChars="257" w:right="-514"/>
    </w:pPr>
    <w:rPr>
      <w:rFonts w:ascii="宋体" w:hAnsi="宋体"/>
      <w:sz w:val="24"/>
    </w:rPr>
  </w:style>
  <w:style w:type="paragraph" w:styleId="26">
    <w:name w:val="List Bullet 2"/>
    <w:basedOn w:val="1"/>
    <w:autoRedefine/>
    <w:qFormat/>
    <w:uiPriority w:val="0"/>
    <w:pPr>
      <w:tabs>
        <w:tab w:val="left" w:pos="780"/>
      </w:tabs>
      <w:spacing w:line="360" w:lineRule="auto"/>
      <w:ind w:left="780" w:leftChars="200" w:hanging="360" w:hangingChars="200"/>
    </w:pPr>
  </w:style>
  <w:style w:type="paragraph" w:styleId="27">
    <w:name w:val="toc 5"/>
    <w:basedOn w:val="1"/>
    <w:next w:val="1"/>
    <w:autoRedefine/>
    <w:qFormat/>
    <w:uiPriority w:val="0"/>
    <w:pPr>
      <w:autoSpaceDE w:val="0"/>
      <w:autoSpaceDN w:val="0"/>
      <w:adjustRightInd w:val="0"/>
      <w:ind w:left="1680" w:leftChars="800"/>
      <w:jc w:val="left"/>
    </w:pPr>
    <w:rPr>
      <w:kern w:val="0"/>
      <w:sz w:val="20"/>
      <w:szCs w:val="20"/>
    </w:rPr>
  </w:style>
  <w:style w:type="paragraph" w:styleId="28">
    <w:name w:val="toc 3"/>
    <w:basedOn w:val="1"/>
    <w:next w:val="1"/>
    <w:autoRedefine/>
    <w:qFormat/>
    <w:uiPriority w:val="0"/>
    <w:pPr>
      <w:ind w:left="840" w:leftChars="400"/>
    </w:pPr>
  </w:style>
  <w:style w:type="paragraph" w:styleId="29">
    <w:name w:val="Plain Text"/>
    <w:basedOn w:val="1"/>
    <w:link w:val="192"/>
    <w:autoRedefine/>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0">
    <w:name w:val="List Number 4"/>
    <w:basedOn w:val="1"/>
    <w:autoRedefine/>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1">
    <w:name w:val="toc 8"/>
    <w:basedOn w:val="1"/>
    <w:next w:val="1"/>
    <w:autoRedefine/>
    <w:qFormat/>
    <w:uiPriority w:val="0"/>
    <w:pPr>
      <w:autoSpaceDE w:val="0"/>
      <w:autoSpaceDN w:val="0"/>
      <w:adjustRightInd w:val="0"/>
      <w:ind w:left="2940" w:leftChars="1400"/>
      <w:jc w:val="left"/>
    </w:pPr>
    <w:rPr>
      <w:kern w:val="0"/>
      <w:sz w:val="20"/>
      <w:szCs w:val="20"/>
    </w:rPr>
  </w:style>
  <w:style w:type="paragraph" w:styleId="32">
    <w:name w:val="Date"/>
    <w:basedOn w:val="1"/>
    <w:next w:val="1"/>
    <w:link w:val="133"/>
    <w:autoRedefine/>
    <w:qFormat/>
    <w:uiPriority w:val="0"/>
    <w:pPr>
      <w:ind w:left="100" w:leftChars="2500"/>
    </w:pPr>
  </w:style>
  <w:style w:type="paragraph" w:styleId="33">
    <w:name w:val="Body Text Indent 2"/>
    <w:basedOn w:val="1"/>
    <w:link w:val="178"/>
    <w:autoRedefine/>
    <w:qFormat/>
    <w:uiPriority w:val="0"/>
    <w:pPr>
      <w:spacing w:line="500" w:lineRule="exact"/>
      <w:ind w:firstLine="511" w:firstLineChars="213"/>
    </w:pPr>
    <w:rPr>
      <w:sz w:val="24"/>
    </w:rPr>
  </w:style>
  <w:style w:type="paragraph" w:styleId="34">
    <w:name w:val="Balloon Text"/>
    <w:basedOn w:val="1"/>
    <w:link w:val="151"/>
    <w:autoRedefine/>
    <w:qFormat/>
    <w:uiPriority w:val="0"/>
    <w:rPr>
      <w:sz w:val="18"/>
      <w:szCs w:val="18"/>
    </w:rPr>
  </w:style>
  <w:style w:type="paragraph" w:styleId="35">
    <w:name w:val="footer"/>
    <w:basedOn w:val="1"/>
    <w:link w:val="120"/>
    <w:autoRedefine/>
    <w:qFormat/>
    <w:uiPriority w:val="0"/>
    <w:pPr>
      <w:tabs>
        <w:tab w:val="center" w:pos="4153"/>
        <w:tab w:val="right" w:pos="8306"/>
      </w:tabs>
      <w:snapToGrid w:val="0"/>
      <w:jc w:val="left"/>
    </w:pPr>
    <w:rPr>
      <w:sz w:val="18"/>
      <w:szCs w:val="18"/>
    </w:rPr>
  </w:style>
  <w:style w:type="paragraph" w:styleId="36">
    <w:name w:val="header"/>
    <w:basedOn w:val="1"/>
    <w:link w:val="135"/>
    <w:autoRedefine/>
    <w:qFormat/>
    <w:uiPriority w:val="0"/>
    <w:pPr>
      <w:pBdr>
        <w:bottom w:val="single" w:color="auto" w:sz="6" w:space="1"/>
      </w:pBdr>
      <w:tabs>
        <w:tab w:val="center" w:pos="4153"/>
        <w:tab w:val="right" w:pos="8306"/>
      </w:tabs>
      <w:snapToGrid w:val="0"/>
      <w:jc w:val="center"/>
    </w:pPr>
    <w:rPr>
      <w:sz w:val="18"/>
      <w:szCs w:val="18"/>
    </w:rPr>
  </w:style>
  <w:style w:type="paragraph" w:styleId="37">
    <w:name w:val="Signature"/>
    <w:basedOn w:val="1"/>
    <w:link w:val="154"/>
    <w:autoRedefine/>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38">
    <w:name w:val="toc 1"/>
    <w:basedOn w:val="39"/>
    <w:next w:val="1"/>
    <w:autoRedefine/>
    <w:qFormat/>
    <w:uiPriority w:val="0"/>
  </w:style>
  <w:style w:type="paragraph" w:styleId="39">
    <w:name w:val="index 1"/>
    <w:basedOn w:val="1"/>
    <w:next w:val="1"/>
    <w:autoRedefine/>
    <w:qFormat/>
    <w:uiPriority w:val="0"/>
  </w:style>
  <w:style w:type="paragraph" w:styleId="40">
    <w:name w:val="Subtitle"/>
    <w:basedOn w:val="1"/>
    <w:next w:val="1"/>
    <w:link w:val="134"/>
    <w:autoRedefine/>
    <w:qFormat/>
    <w:uiPriority w:val="0"/>
    <w:pPr>
      <w:spacing w:before="240" w:after="60" w:line="312" w:lineRule="auto"/>
      <w:jc w:val="center"/>
      <w:outlineLvl w:val="1"/>
    </w:pPr>
    <w:rPr>
      <w:rFonts w:ascii="Cambria" w:hAnsi="Cambria"/>
      <w:b/>
      <w:bCs/>
      <w:kern w:val="28"/>
      <w:sz w:val="32"/>
      <w:szCs w:val="32"/>
    </w:rPr>
  </w:style>
  <w:style w:type="paragraph" w:styleId="41">
    <w:name w:val="List Number 5"/>
    <w:basedOn w:val="1"/>
    <w:autoRedefine/>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2">
    <w:name w:val="List"/>
    <w:basedOn w:val="1"/>
    <w:autoRedefine/>
    <w:qFormat/>
    <w:uiPriority w:val="0"/>
    <w:pPr>
      <w:ind w:left="200" w:hanging="200" w:hangingChars="200"/>
    </w:pPr>
  </w:style>
  <w:style w:type="paragraph" w:styleId="43">
    <w:name w:val="toc 6"/>
    <w:basedOn w:val="1"/>
    <w:next w:val="1"/>
    <w:autoRedefine/>
    <w:qFormat/>
    <w:uiPriority w:val="0"/>
    <w:pPr>
      <w:autoSpaceDE w:val="0"/>
      <w:autoSpaceDN w:val="0"/>
      <w:adjustRightInd w:val="0"/>
      <w:ind w:left="2100" w:leftChars="1000"/>
      <w:jc w:val="left"/>
    </w:pPr>
    <w:rPr>
      <w:kern w:val="0"/>
      <w:sz w:val="20"/>
      <w:szCs w:val="20"/>
    </w:rPr>
  </w:style>
  <w:style w:type="paragraph" w:styleId="44">
    <w:name w:val="Body Text Indent 3"/>
    <w:basedOn w:val="1"/>
    <w:link w:val="146"/>
    <w:autoRedefine/>
    <w:qFormat/>
    <w:uiPriority w:val="0"/>
    <w:pPr>
      <w:spacing w:line="500" w:lineRule="exact"/>
      <w:ind w:left="511" w:hanging="511" w:hangingChars="213"/>
    </w:pPr>
    <w:rPr>
      <w:sz w:val="24"/>
    </w:rPr>
  </w:style>
  <w:style w:type="paragraph" w:styleId="45">
    <w:name w:val="toc 2"/>
    <w:basedOn w:val="1"/>
    <w:next w:val="1"/>
    <w:autoRedefine/>
    <w:qFormat/>
    <w:uiPriority w:val="0"/>
    <w:pPr>
      <w:ind w:left="420" w:leftChars="200"/>
    </w:pPr>
  </w:style>
  <w:style w:type="paragraph" w:styleId="46">
    <w:name w:val="toc 9"/>
    <w:basedOn w:val="1"/>
    <w:next w:val="1"/>
    <w:autoRedefine/>
    <w:qFormat/>
    <w:uiPriority w:val="0"/>
    <w:pPr>
      <w:autoSpaceDE w:val="0"/>
      <w:autoSpaceDN w:val="0"/>
      <w:adjustRightInd w:val="0"/>
      <w:ind w:left="3360" w:leftChars="1600"/>
      <w:jc w:val="left"/>
    </w:pPr>
    <w:rPr>
      <w:kern w:val="0"/>
      <w:sz w:val="20"/>
      <w:szCs w:val="20"/>
    </w:rPr>
  </w:style>
  <w:style w:type="paragraph" w:styleId="47">
    <w:name w:val="Body Text 2"/>
    <w:basedOn w:val="1"/>
    <w:link w:val="198"/>
    <w:autoRedefine/>
    <w:qFormat/>
    <w:uiPriority w:val="0"/>
    <w:pPr>
      <w:autoSpaceDE w:val="0"/>
      <w:autoSpaceDN w:val="0"/>
      <w:adjustRightInd w:val="0"/>
      <w:spacing w:after="120" w:line="480" w:lineRule="auto"/>
      <w:jc w:val="left"/>
    </w:pPr>
  </w:style>
  <w:style w:type="paragraph" w:styleId="48">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49">
    <w:name w:val="Title"/>
    <w:basedOn w:val="1"/>
    <w:next w:val="1"/>
    <w:link w:val="111"/>
    <w:autoRedefine/>
    <w:qFormat/>
    <w:uiPriority w:val="0"/>
    <w:pPr>
      <w:spacing w:before="240" w:after="60"/>
      <w:jc w:val="center"/>
      <w:outlineLvl w:val="0"/>
    </w:pPr>
    <w:rPr>
      <w:rFonts w:ascii="Cambria" w:hAnsi="Cambria"/>
      <w:b/>
      <w:bCs/>
      <w:sz w:val="32"/>
      <w:szCs w:val="32"/>
    </w:rPr>
  </w:style>
  <w:style w:type="paragraph" w:styleId="50">
    <w:name w:val="annotation subject"/>
    <w:basedOn w:val="19"/>
    <w:next w:val="19"/>
    <w:link w:val="96"/>
    <w:autoRedefine/>
    <w:qFormat/>
    <w:uiPriority w:val="0"/>
    <w:rPr>
      <w:b/>
      <w:bCs/>
    </w:rPr>
  </w:style>
  <w:style w:type="paragraph" w:styleId="51">
    <w:name w:val="Body Text First Indent"/>
    <w:basedOn w:val="22"/>
    <w:next w:val="43"/>
    <w:link w:val="196"/>
    <w:autoRedefine/>
    <w:qFormat/>
    <w:uiPriority w:val="0"/>
    <w:pPr>
      <w:autoSpaceDE w:val="0"/>
      <w:autoSpaceDN w:val="0"/>
      <w:adjustRightInd w:val="0"/>
      <w:ind w:firstLine="420" w:firstLineChars="100"/>
      <w:jc w:val="left"/>
    </w:pPr>
    <w:rPr>
      <w:rFonts w:ascii="Times New Roman"/>
      <w:b w:val="0"/>
      <w:kern w:val="0"/>
      <w:sz w:val="20"/>
      <w:szCs w:val="20"/>
    </w:rPr>
  </w:style>
  <w:style w:type="paragraph" w:styleId="52">
    <w:name w:val="Body Text First Indent 2"/>
    <w:basedOn w:val="2"/>
    <w:autoRedefine/>
    <w:qFormat/>
    <w:uiPriority w:val="0"/>
    <w:pPr>
      <w:spacing w:after="120"/>
      <w:ind w:left="420" w:leftChars="200" w:firstLine="420"/>
    </w:pPr>
    <w:rPr>
      <w:rFonts w:cs="宋体"/>
      <w:sz w:val="21"/>
      <w:szCs w:val="21"/>
    </w:rPr>
  </w:style>
  <w:style w:type="table" w:styleId="54">
    <w:name w:val="Table Grid"/>
    <w:basedOn w:val="5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basedOn w:val="55"/>
    <w:autoRedefine/>
    <w:qFormat/>
    <w:uiPriority w:val="0"/>
    <w:rPr>
      <w:rFonts w:ascii="仿宋_GB2312" w:eastAsia="仿宋_GB2312"/>
      <w:bCs/>
      <w:sz w:val="32"/>
      <w:szCs w:val="32"/>
    </w:rPr>
  </w:style>
  <w:style w:type="character" w:styleId="57">
    <w:name w:val="page number"/>
    <w:basedOn w:val="55"/>
    <w:autoRedefine/>
    <w:qFormat/>
    <w:uiPriority w:val="0"/>
  </w:style>
  <w:style w:type="character" w:styleId="58">
    <w:name w:val="FollowedHyperlink"/>
    <w:autoRedefine/>
    <w:qFormat/>
    <w:uiPriority w:val="0"/>
    <w:rPr>
      <w:rFonts w:ascii="仿宋_GB2312" w:eastAsia="仿宋_GB2312"/>
      <w:b/>
      <w:color w:val="800080"/>
      <w:sz w:val="32"/>
      <w:szCs w:val="32"/>
      <w:u w:val="none"/>
    </w:rPr>
  </w:style>
  <w:style w:type="character" w:styleId="59">
    <w:name w:val="Emphasis"/>
    <w:autoRedefine/>
    <w:qFormat/>
    <w:uiPriority w:val="0"/>
    <w:rPr>
      <w:i/>
      <w:iCs/>
    </w:rPr>
  </w:style>
  <w:style w:type="character" w:styleId="60">
    <w:name w:val="line number"/>
    <w:basedOn w:val="55"/>
    <w:autoRedefine/>
    <w:qFormat/>
    <w:uiPriority w:val="0"/>
  </w:style>
  <w:style w:type="character" w:styleId="61">
    <w:name w:val="Hyperlink"/>
    <w:autoRedefine/>
    <w:qFormat/>
    <w:uiPriority w:val="0"/>
    <w:rPr>
      <w:rFonts w:ascii="仿宋_GB2312" w:eastAsia="仿宋_GB2312"/>
      <w:b/>
      <w:color w:val="0000FF"/>
      <w:sz w:val="32"/>
      <w:szCs w:val="32"/>
      <w:u w:val="none"/>
    </w:rPr>
  </w:style>
  <w:style w:type="character" w:styleId="62">
    <w:name w:val="annotation reference"/>
    <w:autoRedefine/>
    <w:qFormat/>
    <w:uiPriority w:val="0"/>
    <w:rPr>
      <w:sz w:val="21"/>
      <w:szCs w:val="21"/>
    </w:rPr>
  </w:style>
  <w:style w:type="character" w:styleId="63">
    <w:name w:val="HTML Cite"/>
    <w:autoRedefine/>
    <w:qFormat/>
    <w:uiPriority w:val="0"/>
    <w:rPr>
      <w:color w:val="008000"/>
    </w:rPr>
  </w:style>
  <w:style w:type="paragraph" w:customStyle="1" w:styleId="64">
    <w:name w:val="Char3 Char Char Char"/>
    <w:basedOn w:val="1"/>
    <w:autoRedefine/>
    <w:qFormat/>
    <w:uiPriority w:val="0"/>
  </w:style>
  <w:style w:type="character" w:customStyle="1" w:styleId="65">
    <w:name w:val="不明显参考1"/>
    <w:autoRedefine/>
    <w:qFormat/>
    <w:uiPriority w:val="0"/>
    <w:rPr>
      <w:smallCaps/>
      <w:color w:val="C0504D"/>
      <w:u w:val="single"/>
    </w:rPr>
  </w:style>
  <w:style w:type="character" w:customStyle="1" w:styleId="66">
    <w:name w:val="PI Char1"/>
    <w:autoRedefine/>
    <w:qFormat/>
    <w:uiPriority w:val="0"/>
    <w:rPr>
      <w:rFonts w:eastAsia="宋体"/>
      <w:kern w:val="2"/>
      <w:sz w:val="24"/>
      <w:szCs w:val="24"/>
      <w:lang w:val="en-US" w:eastAsia="zh-CN" w:bidi="ar-SA"/>
    </w:rPr>
  </w:style>
  <w:style w:type="character" w:customStyle="1" w:styleId="67">
    <w:name w:val="标题 2 Char"/>
    <w:link w:val="5"/>
    <w:autoRedefine/>
    <w:qFormat/>
    <w:uiPriority w:val="0"/>
    <w:rPr>
      <w:rFonts w:ascii="仿宋_GB2312" w:eastAsia="宋体"/>
      <w:b/>
      <w:kern w:val="2"/>
      <w:sz w:val="28"/>
      <w:szCs w:val="32"/>
      <w:lang w:val="en-US" w:eastAsia="zh-CN" w:bidi="ar-SA"/>
    </w:rPr>
  </w:style>
  <w:style w:type="character" w:customStyle="1" w:styleId="68">
    <w:name w:val="pt141"/>
    <w:autoRedefine/>
    <w:qFormat/>
    <w:uiPriority w:val="0"/>
    <w:rPr>
      <w:color w:val="330066"/>
      <w:spacing w:val="450"/>
      <w:sz w:val="22"/>
      <w:szCs w:val="22"/>
    </w:rPr>
  </w:style>
  <w:style w:type="character" w:customStyle="1" w:styleId="69">
    <w:name w:val="Char Char27"/>
    <w:autoRedefine/>
    <w:qFormat/>
    <w:uiPriority w:val="0"/>
    <w:rPr>
      <w:rFonts w:eastAsia="宋体"/>
      <w:kern w:val="2"/>
      <w:sz w:val="28"/>
      <w:lang w:val="en-US" w:eastAsia="zh-CN" w:bidi="ar-SA"/>
    </w:rPr>
  </w:style>
  <w:style w:type="character" w:customStyle="1" w:styleId="70">
    <w:name w:val="标题 7 Char"/>
    <w:link w:val="11"/>
    <w:autoRedefine/>
    <w:qFormat/>
    <w:uiPriority w:val="0"/>
    <w:rPr>
      <w:rFonts w:eastAsia="宋体"/>
      <w:b/>
      <w:kern w:val="2"/>
      <w:sz w:val="24"/>
      <w:lang w:val="en-US" w:eastAsia="zh-CN" w:bidi="ar-SA"/>
    </w:rPr>
  </w:style>
  <w:style w:type="character" w:customStyle="1" w:styleId="71">
    <w:name w:val="明显参考1"/>
    <w:autoRedefine/>
    <w:qFormat/>
    <w:uiPriority w:val="0"/>
    <w:rPr>
      <w:b/>
      <w:bCs/>
      <w:smallCaps/>
      <w:color w:val="C0504D"/>
      <w:spacing w:val="5"/>
      <w:u w:val="single"/>
    </w:rPr>
  </w:style>
  <w:style w:type="character" w:customStyle="1" w:styleId="72">
    <w:name w:val="书籍标题1"/>
    <w:autoRedefine/>
    <w:qFormat/>
    <w:uiPriority w:val="0"/>
    <w:rPr>
      <w:b/>
      <w:bCs/>
      <w:smallCaps/>
      <w:spacing w:val="5"/>
    </w:rPr>
  </w:style>
  <w:style w:type="character" w:customStyle="1" w:styleId="73">
    <w:name w:val="Char Char61"/>
    <w:autoRedefine/>
    <w:qFormat/>
    <w:uiPriority w:val="0"/>
    <w:rPr>
      <w:rFonts w:ascii="Times New Roman" w:hAnsi="Times New Roman" w:eastAsia="宋体" w:cs="Times New Roman"/>
      <w:szCs w:val="24"/>
    </w:rPr>
  </w:style>
  <w:style w:type="character" w:customStyle="1" w:styleId="74">
    <w:name w:val="Char Char24"/>
    <w:autoRedefine/>
    <w:qFormat/>
    <w:uiPriority w:val="0"/>
    <w:rPr>
      <w:rFonts w:eastAsia="宋体"/>
      <w:b/>
      <w:kern w:val="2"/>
      <w:sz w:val="28"/>
      <w:lang w:val="en-US" w:eastAsia="zh-CN" w:bidi="ar-SA"/>
    </w:rPr>
  </w:style>
  <w:style w:type="character" w:customStyle="1" w:styleId="75">
    <w:name w:val="Style4"/>
    <w:autoRedefine/>
    <w:qFormat/>
    <w:uiPriority w:val="0"/>
    <w:rPr>
      <w:rFonts w:ascii="Calibri" w:hAnsi="宋体" w:eastAsia="宋体" w:cs="Times New Roman"/>
      <w:szCs w:val="22"/>
      <w:lang w:eastAsia="zh-CN"/>
    </w:rPr>
  </w:style>
  <w:style w:type="character" w:customStyle="1" w:styleId="76">
    <w:name w:val="Style1"/>
    <w:autoRedefine/>
    <w:qFormat/>
    <w:uiPriority w:val="0"/>
    <w:rPr>
      <w:rFonts w:ascii="Calibri" w:hAnsi="宋体" w:eastAsia="宋体" w:cs="Times New Roman"/>
      <w:sz w:val="22"/>
      <w:szCs w:val="22"/>
      <w:lang w:eastAsia="zh-CN"/>
    </w:rPr>
  </w:style>
  <w:style w:type="character" w:customStyle="1" w:styleId="77">
    <w:name w:val="heading 1 Char1"/>
    <w:autoRedefine/>
    <w:qFormat/>
    <w:uiPriority w:val="0"/>
    <w:rPr>
      <w:rFonts w:eastAsia="宋体"/>
      <w:b/>
      <w:bCs/>
      <w:kern w:val="44"/>
      <w:sz w:val="44"/>
      <w:szCs w:val="44"/>
      <w:lang w:val="en-US" w:eastAsia="zh-CN" w:bidi="ar-SA"/>
    </w:rPr>
  </w:style>
  <w:style w:type="character" w:customStyle="1" w:styleId="78">
    <w:name w:val="Style5"/>
    <w:autoRedefine/>
    <w:qFormat/>
    <w:uiPriority w:val="0"/>
    <w:rPr>
      <w:rFonts w:ascii="Calibri" w:hAnsi="宋体" w:eastAsia="宋体" w:cs="Times New Roman"/>
      <w:sz w:val="22"/>
      <w:szCs w:val="22"/>
      <w:lang w:eastAsia="zh-CN"/>
    </w:rPr>
  </w:style>
  <w:style w:type="character" w:customStyle="1" w:styleId="79">
    <w:name w:val="称呼 Char"/>
    <w:link w:val="20"/>
    <w:autoRedefine/>
    <w:qFormat/>
    <w:uiPriority w:val="0"/>
    <w:rPr>
      <w:rFonts w:ascii="仿宋_GB2312" w:eastAsia="仿宋_GB2312"/>
      <w:b/>
      <w:sz w:val="24"/>
      <w:szCs w:val="32"/>
    </w:rPr>
  </w:style>
  <w:style w:type="character" w:customStyle="1" w:styleId="80">
    <w:name w:val="Ò³Ã¼ Char Char2"/>
    <w:autoRedefine/>
    <w:qFormat/>
    <w:uiPriority w:val="0"/>
    <w:rPr>
      <w:kern w:val="2"/>
      <w:sz w:val="18"/>
      <w:szCs w:val="18"/>
    </w:rPr>
  </w:style>
  <w:style w:type="character" w:customStyle="1" w:styleId="81">
    <w:name w:val="明显强调1"/>
    <w:autoRedefine/>
    <w:qFormat/>
    <w:uiPriority w:val="0"/>
    <w:rPr>
      <w:b/>
      <w:bCs/>
      <w:i/>
      <w:iCs/>
      <w:color w:val="4F81BD"/>
    </w:rPr>
  </w:style>
  <w:style w:type="character" w:customStyle="1" w:styleId="82">
    <w:name w:val="样式 标题 3 + 黑体 小四 Char Char"/>
    <w:link w:val="83"/>
    <w:autoRedefine/>
    <w:qFormat/>
    <w:uiPriority w:val="0"/>
    <w:rPr>
      <w:rFonts w:ascii="黑体" w:hAnsi="Arial" w:eastAsia="黑体"/>
      <w:bCs/>
      <w:sz w:val="24"/>
      <w:szCs w:val="24"/>
      <w:lang w:bidi="ar-SA"/>
    </w:rPr>
  </w:style>
  <w:style w:type="paragraph" w:customStyle="1" w:styleId="83">
    <w:name w:val="样式 标题 3 + 黑体 小四"/>
    <w:basedOn w:val="6"/>
    <w:link w:val="82"/>
    <w:autoRedefine/>
    <w:qFormat/>
    <w:uiPriority w:val="0"/>
    <w:pPr>
      <w:spacing w:before="260" w:after="260" w:line="413" w:lineRule="auto"/>
    </w:pPr>
    <w:rPr>
      <w:rFonts w:ascii="黑体" w:hAnsi="Arial"/>
      <w:b w:val="0"/>
      <w:bCs/>
      <w:kern w:val="0"/>
      <w:sz w:val="24"/>
      <w:szCs w:val="24"/>
    </w:rPr>
  </w:style>
  <w:style w:type="character" w:customStyle="1" w:styleId="84">
    <w:name w:val="heading 7 Char1"/>
    <w:autoRedefine/>
    <w:qFormat/>
    <w:uiPriority w:val="0"/>
    <w:rPr>
      <w:rFonts w:ascii="Arial" w:hAnsi="Arial" w:eastAsia="黑体"/>
      <w:sz w:val="21"/>
      <w:szCs w:val="21"/>
      <w:lang w:val="en-US" w:eastAsia="zh-CN" w:bidi="ar-SA"/>
    </w:rPr>
  </w:style>
  <w:style w:type="character" w:customStyle="1" w:styleId="85">
    <w:name w:val="Char Char1"/>
    <w:autoRedefine/>
    <w:qFormat/>
    <w:uiPriority w:val="0"/>
    <w:rPr>
      <w:rFonts w:eastAsia="宋体"/>
      <w:sz w:val="21"/>
      <w:lang w:val="en-US" w:eastAsia="zh-CN" w:bidi="ar-SA"/>
    </w:rPr>
  </w:style>
  <w:style w:type="character" w:customStyle="1" w:styleId="86">
    <w:name w:val="Char Char12"/>
    <w:autoRedefine/>
    <w:qFormat/>
    <w:uiPriority w:val="0"/>
    <w:rPr>
      <w:rFonts w:eastAsia="宋体"/>
      <w:kern w:val="2"/>
      <w:sz w:val="21"/>
      <w:szCs w:val="24"/>
      <w:lang w:val="en-US" w:eastAsia="zh-CN" w:bidi="ar-SA"/>
    </w:rPr>
  </w:style>
  <w:style w:type="character" w:customStyle="1" w:styleId="87">
    <w:name w:val="Char Char18"/>
    <w:autoRedefine/>
    <w:qFormat/>
    <w:uiPriority w:val="0"/>
    <w:rPr>
      <w:b/>
      <w:bCs/>
      <w:kern w:val="2"/>
      <w:sz w:val="32"/>
      <w:szCs w:val="32"/>
    </w:rPr>
  </w:style>
  <w:style w:type="character" w:customStyle="1" w:styleId="88">
    <w:name w:val="Char Char4"/>
    <w:autoRedefine/>
    <w:qFormat/>
    <w:uiPriority w:val="0"/>
    <w:rPr>
      <w:rFonts w:ascii="Cambria" w:hAnsi="Cambria" w:eastAsia="宋体"/>
      <w:b/>
      <w:bCs/>
      <w:sz w:val="32"/>
      <w:szCs w:val="32"/>
      <w:lang w:bidi="ar-SA"/>
    </w:rPr>
  </w:style>
  <w:style w:type="character" w:customStyle="1" w:styleId="89">
    <w:name w:val="PI Char"/>
    <w:autoRedefine/>
    <w:qFormat/>
    <w:uiPriority w:val="0"/>
    <w:rPr>
      <w:rFonts w:ascii="宋体" w:hAnsi="宋体"/>
      <w:sz w:val="24"/>
    </w:rPr>
  </w:style>
  <w:style w:type="character" w:customStyle="1" w:styleId="90">
    <w:name w:val="明显参考2"/>
    <w:autoRedefine/>
    <w:qFormat/>
    <w:uiPriority w:val="0"/>
    <w:rPr>
      <w:b/>
      <w:bCs/>
      <w:smallCaps/>
      <w:color w:val="C0504D"/>
      <w:spacing w:val="5"/>
      <w:u w:val="single"/>
    </w:rPr>
  </w:style>
  <w:style w:type="character" w:customStyle="1" w:styleId="91">
    <w:name w:val="批注文字 Char"/>
    <w:link w:val="19"/>
    <w:autoRedefine/>
    <w:qFormat/>
    <w:uiPriority w:val="0"/>
    <w:rPr>
      <w:rFonts w:eastAsia="宋体"/>
      <w:kern w:val="2"/>
      <w:sz w:val="21"/>
      <w:szCs w:val="24"/>
      <w:lang w:val="en-US" w:eastAsia="zh-CN" w:bidi="ar-SA"/>
    </w:rPr>
  </w:style>
  <w:style w:type="character" w:customStyle="1" w:styleId="92">
    <w:name w:val="Style2"/>
    <w:autoRedefine/>
    <w:qFormat/>
    <w:uiPriority w:val="0"/>
    <w:rPr>
      <w:rFonts w:ascii="Calibri" w:hAnsi="宋体" w:eastAsia="宋体" w:cs="Times New Roman"/>
      <w:sz w:val="22"/>
      <w:szCs w:val="22"/>
      <w:lang w:eastAsia="zh-CN"/>
    </w:rPr>
  </w:style>
  <w:style w:type="character" w:customStyle="1" w:styleId="93">
    <w:name w:val="Footer-Even Char1"/>
    <w:autoRedefine/>
    <w:qFormat/>
    <w:uiPriority w:val="0"/>
    <w:rPr>
      <w:rFonts w:eastAsia="宋体"/>
      <w:kern w:val="2"/>
      <w:sz w:val="18"/>
      <w:szCs w:val="18"/>
      <w:lang w:val="en-US" w:eastAsia="zh-CN" w:bidi="ar-SA"/>
    </w:rPr>
  </w:style>
  <w:style w:type="character" w:customStyle="1" w:styleId="94">
    <w:name w:val="heading 4 Char1"/>
    <w:autoRedefine/>
    <w:qFormat/>
    <w:uiPriority w:val="0"/>
    <w:rPr>
      <w:rFonts w:ascii="Cambria" w:hAnsi="Cambria" w:eastAsia="宋体"/>
      <w:b/>
      <w:bCs/>
      <w:kern w:val="2"/>
      <w:sz w:val="28"/>
      <w:szCs w:val="28"/>
      <w:lang w:val="en-US" w:eastAsia="zh-CN" w:bidi="ar-SA"/>
    </w:rPr>
  </w:style>
  <w:style w:type="character" w:customStyle="1" w:styleId="95">
    <w:name w:val="正文文本 3 Char"/>
    <w:basedOn w:val="55"/>
    <w:link w:val="21"/>
    <w:autoRedefine/>
    <w:qFormat/>
    <w:uiPriority w:val="0"/>
  </w:style>
  <w:style w:type="character" w:customStyle="1" w:styleId="96">
    <w:name w:val="批注主题 Char"/>
    <w:link w:val="50"/>
    <w:autoRedefine/>
    <w:qFormat/>
    <w:uiPriority w:val="0"/>
    <w:rPr>
      <w:rFonts w:eastAsia="宋体"/>
      <w:b/>
      <w:bCs/>
      <w:kern w:val="2"/>
      <w:sz w:val="21"/>
      <w:szCs w:val="24"/>
      <w:lang w:val="en-US" w:eastAsia="zh-CN" w:bidi="ar-SA"/>
    </w:rPr>
  </w:style>
  <w:style w:type="character" w:customStyle="1" w:styleId="97">
    <w:name w:val="不明显参考11"/>
    <w:qFormat/>
    <w:uiPriority w:val="0"/>
    <w:rPr>
      <w:smallCaps/>
      <w:color w:val="C0504D"/>
      <w:u w:val="single"/>
    </w:rPr>
  </w:style>
  <w:style w:type="character" w:customStyle="1" w:styleId="98">
    <w:name w:val="Plain Text Char"/>
    <w:qFormat/>
    <w:uiPriority w:val="0"/>
    <w:rPr>
      <w:rFonts w:ascii="宋体" w:hAnsi="Courier New" w:eastAsia="宋体" w:cs="Times New Roman"/>
      <w:sz w:val="21"/>
      <w:szCs w:val="21"/>
    </w:rPr>
  </w:style>
  <w:style w:type="character" w:customStyle="1" w:styleId="99">
    <w:name w:val="Char Char111"/>
    <w:autoRedefine/>
    <w:qFormat/>
    <w:uiPriority w:val="0"/>
    <w:rPr>
      <w:rFonts w:ascii="Times New Roman" w:hAnsi="Times New Roman" w:eastAsia="宋体" w:cs="Times New Roman"/>
      <w:sz w:val="18"/>
      <w:szCs w:val="18"/>
    </w:rPr>
  </w:style>
  <w:style w:type="character" w:customStyle="1" w:styleId="100">
    <w:name w:val="无间距字符"/>
    <w:link w:val="101"/>
    <w:autoRedefine/>
    <w:qFormat/>
    <w:uiPriority w:val="0"/>
    <w:rPr>
      <w:rFonts w:eastAsia="Times New Roman"/>
      <w:sz w:val="22"/>
      <w:szCs w:val="22"/>
      <w:lang w:val="en-US" w:eastAsia="zh-CN" w:bidi="ar-SA"/>
    </w:rPr>
  </w:style>
  <w:style w:type="paragraph" w:customStyle="1" w:styleId="101">
    <w:name w:val="无间距"/>
    <w:link w:val="100"/>
    <w:autoRedefine/>
    <w:qFormat/>
    <w:uiPriority w:val="0"/>
    <w:rPr>
      <w:rFonts w:ascii="Times New Roman" w:hAnsi="Times New Roman" w:eastAsia="Times New Roman" w:cs="Times New Roman"/>
      <w:sz w:val="22"/>
      <w:szCs w:val="22"/>
      <w:lang w:val="en-US" w:eastAsia="zh-CN" w:bidi="ar-SA"/>
    </w:rPr>
  </w:style>
  <w:style w:type="character" w:customStyle="1" w:styleId="102">
    <w:name w:val="heading 5 Char2"/>
    <w:qFormat/>
    <w:uiPriority w:val="0"/>
    <w:rPr>
      <w:b/>
      <w:bCs/>
      <w:kern w:val="2"/>
      <w:sz w:val="28"/>
      <w:szCs w:val="28"/>
    </w:rPr>
  </w:style>
  <w:style w:type="character" w:customStyle="1" w:styleId="103">
    <w:name w:val="样式2 Char Char"/>
    <w:link w:val="104"/>
    <w:autoRedefine/>
    <w:qFormat/>
    <w:uiPriority w:val="0"/>
    <w:rPr>
      <w:rFonts w:ascii="宋体" w:hAnsi="宋体" w:eastAsia="宋体"/>
      <w:bCs/>
      <w:kern w:val="2"/>
      <w:sz w:val="28"/>
      <w:szCs w:val="28"/>
      <w:lang w:val="en-US" w:eastAsia="zh-CN" w:bidi="ar-SA"/>
    </w:rPr>
  </w:style>
  <w:style w:type="paragraph" w:customStyle="1" w:styleId="104">
    <w:name w:val="样式2"/>
    <w:basedOn w:val="5"/>
    <w:link w:val="103"/>
    <w:autoRedefine/>
    <w:qFormat/>
    <w:uiPriority w:val="0"/>
    <w:pPr>
      <w:keepLines/>
      <w:snapToGrid w:val="0"/>
      <w:spacing w:before="260" w:afterLines="50" w:line="480" w:lineRule="exact"/>
      <w:ind w:firstLine="556"/>
    </w:pPr>
    <w:rPr>
      <w:rFonts w:ascii="宋体" w:hAnsi="宋体"/>
      <w:b w:val="0"/>
      <w:bCs/>
      <w:szCs w:val="28"/>
    </w:rPr>
  </w:style>
  <w:style w:type="character" w:customStyle="1" w:styleId="105">
    <w:name w:val="正文缩进 Char"/>
    <w:link w:val="10"/>
    <w:qFormat/>
    <w:uiPriority w:val="0"/>
    <w:rPr>
      <w:rFonts w:ascii="仿宋_GB2312" w:eastAsia="宋体"/>
      <w:b/>
      <w:sz w:val="21"/>
      <w:szCs w:val="32"/>
      <w:lang w:val="en-US" w:eastAsia="zh-CN" w:bidi="ar-SA"/>
    </w:rPr>
  </w:style>
  <w:style w:type="character" w:customStyle="1" w:styleId="106">
    <w:name w:val="heading 2 Char1"/>
    <w:autoRedefine/>
    <w:qFormat/>
    <w:uiPriority w:val="0"/>
    <w:rPr>
      <w:rFonts w:ascii="Cambria" w:hAnsi="Cambria" w:eastAsia="宋体"/>
      <w:b/>
      <w:bCs/>
      <w:kern w:val="2"/>
      <w:sz w:val="32"/>
      <w:szCs w:val="32"/>
      <w:lang w:val="en-US" w:eastAsia="zh-CN" w:bidi="ar-SA"/>
    </w:rPr>
  </w:style>
  <w:style w:type="character" w:customStyle="1" w:styleId="107">
    <w:name w:val="heading 3 Char1"/>
    <w:qFormat/>
    <w:uiPriority w:val="0"/>
    <w:rPr>
      <w:rFonts w:eastAsia="宋体"/>
      <w:b/>
      <w:bCs/>
      <w:kern w:val="2"/>
      <w:sz w:val="32"/>
      <w:szCs w:val="32"/>
      <w:lang w:val="en-US" w:eastAsia="zh-CN" w:bidi="ar-SA"/>
    </w:rPr>
  </w:style>
  <w:style w:type="character" w:customStyle="1" w:styleId="108">
    <w:name w:val="Char Char15"/>
    <w:autoRedefine/>
    <w:qFormat/>
    <w:uiPriority w:val="0"/>
    <w:rPr>
      <w:rFonts w:ascii="Arial" w:hAnsi="Arial" w:eastAsia="黑体"/>
      <w:sz w:val="24"/>
      <w:szCs w:val="24"/>
    </w:rPr>
  </w:style>
  <w:style w:type="character" w:customStyle="1" w:styleId="109">
    <w:name w:val="heading 1 Char"/>
    <w:autoRedefine/>
    <w:qFormat/>
    <w:uiPriority w:val="0"/>
    <w:rPr>
      <w:rFonts w:ascii="Arial" w:hAnsi="Arial" w:eastAsia="黑体"/>
      <w:b/>
      <w:sz w:val="36"/>
      <w:szCs w:val="36"/>
    </w:rPr>
  </w:style>
  <w:style w:type="character" w:customStyle="1" w:styleId="110">
    <w:name w:val="ändrad Char"/>
    <w:autoRedefine/>
    <w:qFormat/>
    <w:uiPriority w:val="0"/>
    <w:rPr>
      <w:rFonts w:eastAsia="宋体"/>
      <w:kern w:val="2"/>
      <w:sz w:val="21"/>
      <w:szCs w:val="24"/>
      <w:lang w:val="en-US" w:eastAsia="zh-CN" w:bidi="ar-SA"/>
    </w:rPr>
  </w:style>
  <w:style w:type="character" w:customStyle="1" w:styleId="111">
    <w:name w:val="标题 Char"/>
    <w:link w:val="49"/>
    <w:qFormat/>
    <w:uiPriority w:val="0"/>
    <w:rPr>
      <w:rFonts w:ascii="Cambria" w:hAnsi="Cambria" w:eastAsia="宋体"/>
      <w:b/>
      <w:bCs/>
      <w:kern w:val="2"/>
      <w:sz w:val="32"/>
      <w:szCs w:val="32"/>
      <w:lang w:val="en-US" w:eastAsia="zh-CN" w:bidi="ar-SA"/>
    </w:rPr>
  </w:style>
  <w:style w:type="character" w:customStyle="1" w:styleId="112">
    <w:name w:val="Char Char22"/>
    <w:autoRedefine/>
    <w:qFormat/>
    <w:uiPriority w:val="0"/>
    <w:rPr>
      <w:rFonts w:ascii="Arial" w:hAnsi="Arial" w:eastAsia="黑体"/>
      <w:b/>
      <w:bCs/>
      <w:kern w:val="44"/>
      <w:sz w:val="30"/>
      <w:szCs w:val="44"/>
      <w:lang w:val="en-US" w:eastAsia="zh-CN" w:bidi="ar-SA"/>
    </w:rPr>
  </w:style>
  <w:style w:type="character" w:customStyle="1" w:styleId="113">
    <w:name w:val="blue1"/>
    <w:basedOn w:val="55"/>
    <w:autoRedefine/>
    <w:qFormat/>
    <w:uiPriority w:val="0"/>
  </w:style>
  <w:style w:type="character" w:customStyle="1" w:styleId="114">
    <w:name w:val="样式 宋体"/>
    <w:autoRedefine/>
    <w:qFormat/>
    <w:uiPriority w:val="0"/>
    <w:rPr>
      <w:rFonts w:ascii="宋体" w:hAnsi="宋体" w:eastAsia="宋体"/>
      <w:sz w:val="24"/>
      <w:szCs w:val="24"/>
    </w:rPr>
  </w:style>
  <w:style w:type="character" w:customStyle="1" w:styleId="115">
    <w:name w:val="dandyren_title1"/>
    <w:autoRedefine/>
    <w:qFormat/>
    <w:uiPriority w:val="0"/>
    <w:rPr>
      <w:b/>
      <w:bCs/>
      <w:color w:val="FF6633"/>
      <w:sz w:val="18"/>
      <w:szCs w:val="18"/>
    </w:rPr>
  </w:style>
  <w:style w:type="character" w:customStyle="1" w:styleId="116">
    <w:name w:val="font21"/>
    <w:basedOn w:val="55"/>
    <w:autoRedefine/>
    <w:qFormat/>
    <w:uiPriority w:val="0"/>
    <w:rPr>
      <w:rFonts w:ascii="Wingdings 2" w:hAnsi="Wingdings 2" w:eastAsia="Wingdings 2" w:cs="Wingdings 2"/>
      <w:b/>
      <w:color w:val="000000"/>
      <w:sz w:val="20"/>
      <w:szCs w:val="20"/>
      <w:u w:val="none"/>
    </w:rPr>
  </w:style>
  <w:style w:type="character" w:customStyle="1" w:styleId="117">
    <w:name w:val="Ò³Ã¼ Char Char1"/>
    <w:autoRedefine/>
    <w:qFormat/>
    <w:uiPriority w:val="0"/>
    <w:rPr>
      <w:rFonts w:eastAsia="宋体"/>
      <w:kern w:val="2"/>
      <w:sz w:val="18"/>
      <w:szCs w:val="18"/>
      <w:lang w:val="en-US" w:eastAsia="zh-CN" w:bidi="ar-SA"/>
    </w:rPr>
  </w:style>
  <w:style w:type="character" w:customStyle="1" w:styleId="118">
    <w:name w:val="宏文本 Char"/>
    <w:link w:val="3"/>
    <w:autoRedefine/>
    <w:qFormat/>
    <w:uiPriority w:val="0"/>
    <w:rPr>
      <w:rFonts w:ascii="Courier New" w:hAnsi="Courier New" w:eastAsia="Times New Roman"/>
      <w:kern w:val="2"/>
      <w:sz w:val="24"/>
      <w:szCs w:val="24"/>
      <w:lang w:val="en-US" w:eastAsia="zh-CN" w:bidi="ar-SA"/>
    </w:rPr>
  </w:style>
  <w:style w:type="character" w:customStyle="1" w:styleId="119">
    <w:name w:val="Footer-Even Char"/>
    <w:autoRedefine/>
    <w:qFormat/>
    <w:uiPriority w:val="0"/>
    <w:rPr>
      <w:sz w:val="18"/>
      <w:szCs w:val="18"/>
    </w:rPr>
  </w:style>
  <w:style w:type="character" w:customStyle="1" w:styleId="120">
    <w:name w:val="页脚 Char"/>
    <w:link w:val="35"/>
    <w:autoRedefine/>
    <w:qFormat/>
    <w:uiPriority w:val="0"/>
    <w:rPr>
      <w:rFonts w:eastAsia="宋体"/>
      <w:kern w:val="2"/>
      <w:sz w:val="18"/>
      <w:szCs w:val="18"/>
      <w:lang w:val="en-US" w:eastAsia="zh-CN" w:bidi="ar-SA"/>
    </w:rPr>
  </w:style>
  <w:style w:type="character" w:customStyle="1" w:styleId="121">
    <w:name w:val="style111"/>
    <w:autoRedefine/>
    <w:qFormat/>
    <w:uiPriority w:val="0"/>
    <w:rPr>
      <w:sz w:val="27"/>
      <w:szCs w:val="27"/>
    </w:rPr>
  </w:style>
  <w:style w:type="character" w:customStyle="1" w:styleId="122">
    <w:name w:val="PI Char2"/>
    <w:autoRedefine/>
    <w:qFormat/>
    <w:uiPriority w:val="0"/>
    <w:rPr>
      <w:kern w:val="2"/>
      <w:sz w:val="24"/>
      <w:szCs w:val="24"/>
    </w:rPr>
  </w:style>
  <w:style w:type="character" w:customStyle="1" w:styleId="123">
    <w:name w:val="gray6"/>
    <w:basedOn w:val="55"/>
    <w:autoRedefine/>
    <w:qFormat/>
    <w:uiPriority w:val="0"/>
  </w:style>
  <w:style w:type="character" w:customStyle="1" w:styleId="124">
    <w:name w:val="Char Char Char1"/>
    <w:autoRedefine/>
    <w:qFormat/>
    <w:uiPriority w:val="0"/>
    <w:rPr>
      <w:rFonts w:ascii="宋体" w:hAnsi="Courier New"/>
      <w:sz w:val="21"/>
      <w:szCs w:val="21"/>
    </w:rPr>
  </w:style>
  <w:style w:type="character" w:customStyle="1" w:styleId="125">
    <w:name w:val="Char Char121"/>
    <w:autoRedefine/>
    <w:qFormat/>
    <w:uiPriority w:val="0"/>
    <w:rPr>
      <w:rFonts w:eastAsia="宋体"/>
      <w:kern w:val="2"/>
      <w:sz w:val="21"/>
      <w:szCs w:val="24"/>
      <w:lang w:val="en-US" w:eastAsia="zh-CN" w:bidi="ar-SA"/>
    </w:rPr>
  </w:style>
  <w:style w:type="character" w:customStyle="1" w:styleId="126">
    <w:name w:val="Char Char Char Char Char Char Char Char Char"/>
    <w:autoRedefine/>
    <w:qFormat/>
    <w:uiPriority w:val="0"/>
    <w:rPr>
      <w:rFonts w:ascii="宋体" w:hAnsi="Courier New" w:eastAsia="宋体"/>
      <w:sz w:val="21"/>
      <w:szCs w:val="21"/>
      <w:lang w:val="en-US" w:eastAsia="zh-CN" w:bidi="ar-SA"/>
    </w:rPr>
  </w:style>
  <w:style w:type="character" w:customStyle="1" w:styleId="127">
    <w:name w:val="heading 4 Char2"/>
    <w:autoRedefine/>
    <w:qFormat/>
    <w:uiPriority w:val="0"/>
    <w:rPr>
      <w:rFonts w:ascii="Cambria" w:hAnsi="Cambria"/>
      <w:b/>
      <w:bCs/>
      <w:kern w:val="2"/>
      <w:sz w:val="28"/>
      <w:szCs w:val="28"/>
    </w:rPr>
  </w:style>
  <w:style w:type="character" w:customStyle="1" w:styleId="128">
    <w:name w:val="heading 3 Char"/>
    <w:autoRedefine/>
    <w:qFormat/>
    <w:uiPriority w:val="0"/>
    <w:rPr>
      <w:rFonts w:ascii="Arial" w:hAnsi="Arial" w:eastAsia="黑体"/>
      <w:sz w:val="28"/>
      <w:szCs w:val="24"/>
    </w:rPr>
  </w:style>
  <w:style w:type="character" w:customStyle="1" w:styleId="129">
    <w:name w:val="标题 1 Char"/>
    <w:link w:val="4"/>
    <w:autoRedefine/>
    <w:qFormat/>
    <w:uiPriority w:val="0"/>
    <w:rPr>
      <w:rFonts w:eastAsia="黑体"/>
      <w:b/>
      <w:kern w:val="2"/>
      <w:sz w:val="32"/>
      <w:lang w:val="en-US" w:eastAsia="zh-CN" w:bidi="ar-SA"/>
    </w:rPr>
  </w:style>
  <w:style w:type="character" w:customStyle="1" w:styleId="130">
    <w:name w:val="Char Char16"/>
    <w:autoRedefine/>
    <w:qFormat/>
    <w:uiPriority w:val="0"/>
    <w:rPr>
      <w:b/>
      <w:bCs/>
      <w:kern w:val="2"/>
      <w:sz w:val="28"/>
      <w:szCs w:val="28"/>
    </w:rPr>
  </w:style>
  <w:style w:type="character" w:customStyle="1" w:styleId="131">
    <w:name w:val="文档结构图 Char"/>
    <w:link w:val="18"/>
    <w:autoRedefine/>
    <w:qFormat/>
    <w:uiPriority w:val="0"/>
    <w:rPr>
      <w:rFonts w:eastAsia="宋体"/>
      <w:kern w:val="2"/>
      <w:sz w:val="21"/>
      <w:szCs w:val="24"/>
      <w:lang w:val="en-US" w:eastAsia="zh-CN" w:bidi="ar-SA"/>
    </w:rPr>
  </w:style>
  <w:style w:type="character" w:customStyle="1" w:styleId="132">
    <w:name w:val="标题 5 Char"/>
    <w:link w:val="8"/>
    <w:autoRedefine/>
    <w:qFormat/>
    <w:uiPriority w:val="0"/>
    <w:rPr>
      <w:rFonts w:eastAsia="宋体"/>
      <w:b/>
      <w:bCs/>
      <w:sz w:val="28"/>
      <w:szCs w:val="28"/>
      <w:lang w:bidi="ar-SA"/>
    </w:rPr>
  </w:style>
  <w:style w:type="character" w:customStyle="1" w:styleId="133">
    <w:name w:val="日期 Char"/>
    <w:link w:val="32"/>
    <w:autoRedefine/>
    <w:qFormat/>
    <w:uiPriority w:val="0"/>
    <w:rPr>
      <w:rFonts w:eastAsia="宋体"/>
      <w:kern w:val="2"/>
      <w:sz w:val="21"/>
      <w:szCs w:val="24"/>
      <w:lang w:val="en-US" w:eastAsia="zh-CN" w:bidi="ar-SA"/>
    </w:rPr>
  </w:style>
  <w:style w:type="character" w:customStyle="1" w:styleId="134">
    <w:name w:val="副标题 Char"/>
    <w:link w:val="40"/>
    <w:autoRedefine/>
    <w:qFormat/>
    <w:uiPriority w:val="0"/>
    <w:rPr>
      <w:rFonts w:ascii="Cambria" w:hAnsi="Cambria" w:eastAsia="宋体"/>
      <w:b/>
      <w:bCs/>
      <w:kern w:val="28"/>
      <w:sz w:val="32"/>
      <w:szCs w:val="32"/>
      <w:lang w:val="en-US" w:eastAsia="zh-CN" w:bidi="ar-SA"/>
    </w:rPr>
  </w:style>
  <w:style w:type="character" w:customStyle="1" w:styleId="135">
    <w:name w:val="页眉 Char"/>
    <w:link w:val="36"/>
    <w:autoRedefine/>
    <w:qFormat/>
    <w:uiPriority w:val="0"/>
    <w:rPr>
      <w:rFonts w:eastAsia="宋体"/>
      <w:kern w:val="2"/>
      <w:sz w:val="18"/>
      <w:szCs w:val="18"/>
      <w:lang w:val="en-US" w:eastAsia="zh-CN" w:bidi="ar-SA"/>
    </w:rPr>
  </w:style>
  <w:style w:type="character" w:customStyle="1" w:styleId="136">
    <w:name w:val="style13"/>
    <w:basedOn w:val="55"/>
    <w:autoRedefine/>
    <w:qFormat/>
    <w:uiPriority w:val="0"/>
  </w:style>
  <w:style w:type="character" w:customStyle="1" w:styleId="137">
    <w:name w:val="textcolor1"/>
    <w:autoRedefine/>
    <w:qFormat/>
    <w:uiPriority w:val="0"/>
    <w:rPr>
      <w:rFonts w:ascii="仿宋_GB2312" w:eastAsia="仿宋_GB2312"/>
      <w:b/>
      <w:color w:val="FF6600"/>
      <w:sz w:val="32"/>
      <w:szCs w:val="32"/>
    </w:rPr>
  </w:style>
  <w:style w:type="character" w:customStyle="1" w:styleId="138">
    <w:name w:val="Table Text Char Char"/>
    <w:link w:val="139"/>
    <w:autoRedefine/>
    <w:qFormat/>
    <w:uiPriority w:val="0"/>
    <w:rPr>
      <w:sz w:val="21"/>
      <w:lang w:val="en-US" w:eastAsia="en-US" w:bidi="ar-SA"/>
    </w:rPr>
  </w:style>
  <w:style w:type="paragraph" w:customStyle="1" w:styleId="139">
    <w:name w:val="Table Text"/>
    <w:basedOn w:val="1"/>
    <w:link w:val="138"/>
    <w:autoRedefine/>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40">
    <w:name w:val="Ò³Ã¼ Char Char"/>
    <w:autoRedefine/>
    <w:qFormat/>
    <w:uiPriority w:val="0"/>
    <w:rPr>
      <w:sz w:val="18"/>
      <w:szCs w:val="18"/>
    </w:rPr>
  </w:style>
  <w:style w:type="character" w:customStyle="1" w:styleId="141">
    <w:name w:val="heading 2 Char2"/>
    <w:autoRedefine/>
    <w:qFormat/>
    <w:uiPriority w:val="0"/>
    <w:rPr>
      <w:rFonts w:ascii="Cambria" w:hAnsi="Cambria"/>
      <w:b/>
      <w:bCs/>
      <w:kern w:val="2"/>
      <w:sz w:val="32"/>
      <w:szCs w:val="32"/>
    </w:rPr>
  </w:style>
  <w:style w:type="character" w:customStyle="1" w:styleId="142">
    <w:name w:val="书籍标题11"/>
    <w:autoRedefine/>
    <w:qFormat/>
    <w:uiPriority w:val="0"/>
    <w:rPr>
      <w:b/>
      <w:bCs/>
      <w:smallCaps/>
      <w:spacing w:val="5"/>
    </w:rPr>
  </w:style>
  <w:style w:type="character" w:customStyle="1" w:styleId="143">
    <w:name w:val="Char Char21"/>
    <w:autoRedefine/>
    <w:qFormat/>
    <w:uiPriority w:val="0"/>
    <w:rPr>
      <w:rFonts w:ascii="Times New Roman" w:hAnsi="Times New Roman" w:eastAsia="宋体" w:cs="Times New Roman"/>
      <w:b/>
      <w:bCs/>
      <w:kern w:val="44"/>
      <w:sz w:val="44"/>
      <w:szCs w:val="44"/>
    </w:rPr>
  </w:style>
  <w:style w:type="character" w:customStyle="1" w:styleId="144">
    <w:name w:val="正文文本缩进 Char"/>
    <w:link w:val="2"/>
    <w:autoRedefine/>
    <w:qFormat/>
    <w:uiPriority w:val="0"/>
    <w:rPr>
      <w:rFonts w:eastAsia="宋体"/>
      <w:kern w:val="2"/>
      <w:sz w:val="24"/>
      <w:szCs w:val="24"/>
      <w:lang w:val="en-US" w:eastAsia="zh-CN" w:bidi="ar-SA"/>
    </w:rPr>
  </w:style>
  <w:style w:type="character" w:customStyle="1" w:styleId="145">
    <w:name w:val="不明显强调1"/>
    <w:autoRedefine/>
    <w:qFormat/>
    <w:uiPriority w:val="0"/>
    <w:rPr>
      <w:i/>
      <w:iCs/>
      <w:color w:val="808080"/>
    </w:rPr>
  </w:style>
  <w:style w:type="character" w:customStyle="1" w:styleId="146">
    <w:name w:val="正文文本缩进 3 Char"/>
    <w:link w:val="44"/>
    <w:autoRedefine/>
    <w:qFormat/>
    <w:uiPriority w:val="0"/>
    <w:rPr>
      <w:rFonts w:eastAsia="宋体"/>
      <w:kern w:val="2"/>
      <w:sz w:val="24"/>
      <w:szCs w:val="24"/>
      <w:lang w:val="en-US" w:eastAsia="zh-CN" w:bidi="ar-SA"/>
    </w:rPr>
  </w:style>
  <w:style w:type="character" w:customStyle="1" w:styleId="147">
    <w:name w:val="heading 5 Char"/>
    <w:autoRedefine/>
    <w:qFormat/>
    <w:uiPriority w:val="0"/>
    <w:rPr>
      <w:rFonts w:ascii="Arial" w:hAnsi="Arial" w:eastAsia="黑体"/>
      <w:sz w:val="21"/>
      <w:szCs w:val="21"/>
    </w:rPr>
  </w:style>
  <w:style w:type="character" w:customStyle="1" w:styleId="148">
    <w:name w:val="Style3"/>
    <w:autoRedefine/>
    <w:qFormat/>
    <w:uiPriority w:val="0"/>
    <w:rPr>
      <w:rFonts w:ascii="Calibri" w:hAnsi="宋体" w:eastAsia="宋体" w:cs="Times New Roman"/>
      <w:szCs w:val="22"/>
      <w:lang w:eastAsia="zh-CN"/>
    </w:rPr>
  </w:style>
  <w:style w:type="character" w:customStyle="1" w:styleId="149">
    <w:name w:val="标题 4 Char"/>
    <w:link w:val="7"/>
    <w:autoRedefine/>
    <w:qFormat/>
    <w:uiPriority w:val="0"/>
    <w:rPr>
      <w:rFonts w:eastAsia="宋体"/>
      <w:kern w:val="2"/>
      <w:sz w:val="28"/>
      <w:szCs w:val="28"/>
      <w:lang w:val="en-US" w:eastAsia="zh-CN" w:bidi="ar-SA"/>
    </w:rPr>
  </w:style>
  <w:style w:type="character" w:customStyle="1" w:styleId="150">
    <w:name w:val="Char Char241"/>
    <w:autoRedefine/>
    <w:qFormat/>
    <w:uiPriority w:val="0"/>
    <w:rPr>
      <w:rFonts w:eastAsia="宋体"/>
      <w:b/>
      <w:kern w:val="2"/>
      <w:sz w:val="28"/>
      <w:lang w:val="en-US" w:eastAsia="zh-CN" w:bidi="ar-SA"/>
    </w:rPr>
  </w:style>
  <w:style w:type="character" w:customStyle="1" w:styleId="151">
    <w:name w:val="批注框文本 Char"/>
    <w:link w:val="34"/>
    <w:autoRedefine/>
    <w:qFormat/>
    <w:uiPriority w:val="0"/>
    <w:rPr>
      <w:rFonts w:eastAsia="宋体"/>
      <w:kern w:val="2"/>
      <w:sz w:val="18"/>
      <w:szCs w:val="18"/>
      <w:lang w:val="en-US" w:eastAsia="zh-CN" w:bidi="ar-SA"/>
    </w:rPr>
  </w:style>
  <w:style w:type="character" w:customStyle="1" w:styleId="152">
    <w:name w:val="标题 3 Char"/>
    <w:link w:val="6"/>
    <w:autoRedefine/>
    <w:qFormat/>
    <w:uiPriority w:val="0"/>
    <w:rPr>
      <w:rFonts w:eastAsia="黑体"/>
      <w:b/>
      <w:kern w:val="2"/>
      <w:sz w:val="28"/>
      <w:lang w:val="en-US" w:eastAsia="zh-CN" w:bidi="ar-SA"/>
    </w:rPr>
  </w:style>
  <w:style w:type="character" w:customStyle="1" w:styleId="153">
    <w:name w:val="明显强调11"/>
    <w:autoRedefine/>
    <w:qFormat/>
    <w:uiPriority w:val="0"/>
    <w:rPr>
      <w:b/>
      <w:bCs/>
      <w:i/>
      <w:iCs/>
      <w:color w:val="4F81BD"/>
    </w:rPr>
  </w:style>
  <w:style w:type="character" w:customStyle="1" w:styleId="154">
    <w:name w:val="签名 Char"/>
    <w:link w:val="37"/>
    <w:autoRedefine/>
    <w:qFormat/>
    <w:uiPriority w:val="0"/>
    <w:rPr>
      <w:rFonts w:ascii="仿宋_GB2312" w:eastAsia="仿宋_GB2312"/>
      <w:b/>
      <w:sz w:val="24"/>
      <w:szCs w:val="32"/>
    </w:rPr>
  </w:style>
  <w:style w:type="character" w:customStyle="1" w:styleId="155">
    <w:name w:val="heading 3 Char2"/>
    <w:autoRedefine/>
    <w:qFormat/>
    <w:uiPriority w:val="0"/>
    <w:rPr>
      <w:b/>
      <w:bCs/>
      <w:kern w:val="2"/>
      <w:sz w:val="32"/>
      <w:szCs w:val="32"/>
    </w:rPr>
  </w:style>
  <w:style w:type="character" w:customStyle="1" w:styleId="156">
    <w:name w:val="style21"/>
    <w:autoRedefine/>
    <w:qFormat/>
    <w:uiPriority w:val="0"/>
    <w:rPr>
      <w:sz w:val="15"/>
      <w:szCs w:val="15"/>
    </w:rPr>
  </w:style>
  <w:style w:type="character" w:customStyle="1" w:styleId="157">
    <w:name w:val="Char Char271"/>
    <w:autoRedefine/>
    <w:qFormat/>
    <w:uiPriority w:val="0"/>
    <w:rPr>
      <w:rFonts w:eastAsia="宋体"/>
      <w:kern w:val="2"/>
      <w:sz w:val="28"/>
      <w:lang w:val="en-US" w:eastAsia="zh-CN" w:bidi="ar-SA"/>
    </w:rPr>
  </w:style>
  <w:style w:type="character" w:customStyle="1" w:styleId="158">
    <w:name w:val="表格 Char Char"/>
    <w:link w:val="159"/>
    <w:autoRedefine/>
    <w:qFormat/>
    <w:uiPriority w:val="0"/>
    <w:rPr>
      <w:rFonts w:ascii="宋体" w:hAnsi="宋体" w:eastAsia="宋体"/>
      <w:lang w:val="en-US" w:eastAsia="zh-CN" w:bidi="ar-SA"/>
    </w:rPr>
  </w:style>
  <w:style w:type="paragraph" w:customStyle="1" w:styleId="159">
    <w:name w:val="表格"/>
    <w:basedOn w:val="1"/>
    <w:link w:val="158"/>
    <w:autoRedefine/>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60">
    <w:name w:val="heading 6 Char1"/>
    <w:autoRedefine/>
    <w:qFormat/>
    <w:uiPriority w:val="0"/>
    <w:rPr>
      <w:rFonts w:ascii="Arial" w:hAnsi="Arial" w:eastAsia="黑体"/>
      <w:kern w:val="2"/>
      <w:sz w:val="24"/>
      <w:szCs w:val="24"/>
      <w:lang w:val="en-US" w:eastAsia="zh-CN" w:bidi="ar-SA"/>
    </w:rPr>
  </w:style>
  <w:style w:type="character" w:customStyle="1" w:styleId="161">
    <w:name w:val="Char Char211"/>
    <w:autoRedefine/>
    <w:qFormat/>
    <w:uiPriority w:val="0"/>
    <w:rPr>
      <w:rFonts w:ascii="Times New Roman" w:hAnsi="Times New Roman" w:eastAsia="宋体" w:cs="Times New Roman"/>
      <w:b/>
      <w:bCs/>
      <w:kern w:val="44"/>
      <w:sz w:val="44"/>
      <w:szCs w:val="44"/>
    </w:rPr>
  </w:style>
  <w:style w:type="character" w:customStyle="1" w:styleId="162">
    <w:name w:val="不明显强调11"/>
    <w:autoRedefine/>
    <w:qFormat/>
    <w:uiPriority w:val="0"/>
    <w:rPr>
      <w:i/>
      <w:iCs/>
      <w:color w:val="808080"/>
    </w:rPr>
  </w:style>
  <w:style w:type="character" w:customStyle="1" w:styleId="163">
    <w:name w:val="标题 9 Char"/>
    <w:link w:val="13"/>
    <w:autoRedefine/>
    <w:qFormat/>
    <w:uiPriority w:val="0"/>
    <w:rPr>
      <w:rFonts w:ascii="Arial" w:hAnsi="Arial" w:eastAsia="黑体"/>
      <w:kern w:val="2"/>
      <w:sz w:val="21"/>
      <w:lang w:val="en-US" w:eastAsia="zh-CN" w:bidi="ar-SA"/>
    </w:rPr>
  </w:style>
  <w:style w:type="character" w:customStyle="1" w:styleId="164">
    <w:name w:val="正文文本 Char"/>
    <w:link w:val="22"/>
    <w:autoRedefine/>
    <w:qFormat/>
    <w:uiPriority w:val="0"/>
    <w:rPr>
      <w:rFonts w:ascii="仿宋_GB2312" w:eastAsia="宋体"/>
      <w:b/>
      <w:kern w:val="2"/>
      <w:sz w:val="21"/>
      <w:szCs w:val="24"/>
      <w:lang w:val="en-US" w:eastAsia="zh-CN" w:bidi="ar-SA"/>
    </w:rPr>
  </w:style>
  <w:style w:type="character" w:customStyle="1" w:styleId="165">
    <w:name w:val="明显引用 Char"/>
    <w:link w:val="166"/>
    <w:autoRedefine/>
    <w:qFormat/>
    <w:uiPriority w:val="0"/>
    <w:rPr>
      <w:rFonts w:ascii="Calibri" w:hAnsi="Calibri" w:eastAsia="宋体"/>
      <w:b/>
      <w:bCs/>
      <w:i/>
      <w:iCs/>
      <w:color w:val="4F81BD"/>
      <w:lang w:val="en-US" w:eastAsia="zh-CN" w:bidi="ar-SA"/>
    </w:rPr>
  </w:style>
  <w:style w:type="paragraph" w:styleId="166">
    <w:name w:val="Intense Quote"/>
    <w:basedOn w:val="1"/>
    <w:next w:val="1"/>
    <w:link w:val="165"/>
    <w:autoRedefine/>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7">
    <w:name w:val="heading 5 Char1"/>
    <w:autoRedefine/>
    <w:qFormat/>
    <w:uiPriority w:val="0"/>
    <w:rPr>
      <w:rFonts w:eastAsia="宋体"/>
      <w:b/>
      <w:bCs/>
      <w:kern w:val="2"/>
      <w:sz w:val="28"/>
      <w:szCs w:val="28"/>
      <w:lang w:val="en-US" w:eastAsia="zh-CN" w:bidi="ar-SA"/>
    </w:rPr>
  </w:style>
  <w:style w:type="character" w:customStyle="1" w:styleId="168">
    <w:name w:val="Texte Char Char"/>
    <w:autoRedefine/>
    <w:qFormat/>
    <w:uiPriority w:val="0"/>
    <w:rPr>
      <w:rFonts w:ascii="宋体" w:hAnsi="Courier New" w:eastAsia="宋体"/>
      <w:sz w:val="21"/>
      <w:szCs w:val="21"/>
      <w:lang w:val="en-US" w:eastAsia="zh-CN" w:bidi="ar-SA"/>
    </w:rPr>
  </w:style>
  <w:style w:type="character" w:customStyle="1" w:styleId="169">
    <w:name w:val="正文1 Char Char"/>
    <w:link w:val="170"/>
    <w:autoRedefine/>
    <w:qFormat/>
    <w:uiPriority w:val="0"/>
    <w:rPr>
      <w:rFonts w:ascii="宋体" w:hAnsi="宋体" w:eastAsia="宋体" w:cs="宋体"/>
      <w:sz w:val="21"/>
      <w:lang w:val="en-US" w:eastAsia="zh-CN" w:bidi="ar-SA"/>
    </w:rPr>
  </w:style>
  <w:style w:type="paragraph" w:customStyle="1" w:styleId="170">
    <w:name w:val="正文1"/>
    <w:basedOn w:val="1"/>
    <w:link w:val="169"/>
    <w:autoRedefine/>
    <w:qFormat/>
    <w:uiPriority w:val="0"/>
    <w:pPr>
      <w:widowControl/>
      <w:spacing w:line="360" w:lineRule="auto"/>
      <w:ind w:left="360" w:firstLine="420"/>
      <w:jc w:val="left"/>
    </w:pPr>
    <w:rPr>
      <w:rFonts w:ascii="宋体" w:hAnsi="宋体" w:cs="宋体"/>
      <w:kern w:val="0"/>
      <w:szCs w:val="20"/>
    </w:rPr>
  </w:style>
  <w:style w:type="character" w:customStyle="1" w:styleId="171">
    <w:name w:val="heading 8 Char1"/>
    <w:autoRedefine/>
    <w:qFormat/>
    <w:uiPriority w:val="0"/>
    <w:rPr>
      <w:rFonts w:ascii="Arial" w:hAnsi="Arial" w:eastAsia="黑体"/>
      <w:sz w:val="24"/>
      <w:lang w:val="en-US" w:eastAsia="zh-CN" w:bidi="ar-SA"/>
    </w:rPr>
  </w:style>
  <w:style w:type="character" w:customStyle="1" w:styleId="172">
    <w:name w:val="heading 9 Char1"/>
    <w:autoRedefine/>
    <w:qFormat/>
    <w:uiPriority w:val="0"/>
    <w:rPr>
      <w:rFonts w:ascii="Arial" w:hAnsi="Arial" w:eastAsia="黑体"/>
      <w:sz w:val="21"/>
      <w:lang w:val="en-US" w:eastAsia="zh-CN" w:bidi="ar-SA"/>
    </w:rPr>
  </w:style>
  <w:style w:type="character" w:customStyle="1" w:styleId="173">
    <w:name w:val="标题 6 Char"/>
    <w:link w:val="9"/>
    <w:autoRedefine/>
    <w:qFormat/>
    <w:uiPriority w:val="0"/>
    <w:rPr>
      <w:rFonts w:ascii="Arial" w:hAnsi="Arial" w:eastAsia="黑体"/>
      <w:b/>
      <w:kern w:val="2"/>
      <w:sz w:val="24"/>
      <w:lang w:val="en-US" w:eastAsia="zh-CN" w:bidi="ar-SA"/>
    </w:rPr>
  </w:style>
  <w:style w:type="character" w:customStyle="1" w:styleId="174">
    <w:name w:val="ändrad Char1"/>
    <w:autoRedefine/>
    <w:qFormat/>
    <w:uiPriority w:val="0"/>
    <w:rPr>
      <w:rFonts w:ascii="仿宋_GB2312" w:eastAsia="宋体"/>
      <w:b/>
      <w:kern w:val="2"/>
      <w:sz w:val="21"/>
      <w:szCs w:val="24"/>
      <w:lang w:val="en-US" w:eastAsia="zh-CN" w:bidi="ar-SA"/>
    </w:rPr>
  </w:style>
  <w:style w:type="character" w:customStyle="1" w:styleId="175">
    <w:name w:val="Char Char41"/>
    <w:autoRedefine/>
    <w:qFormat/>
    <w:uiPriority w:val="0"/>
    <w:rPr>
      <w:rFonts w:ascii="Cambria" w:hAnsi="Cambria" w:eastAsia="宋体"/>
      <w:b/>
      <w:bCs/>
      <w:sz w:val="32"/>
      <w:szCs w:val="32"/>
      <w:lang w:bidi="ar-SA"/>
    </w:rPr>
  </w:style>
  <w:style w:type="character" w:customStyle="1" w:styleId="176">
    <w:name w:val="标题 8 Char"/>
    <w:link w:val="12"/>
    <w:autoRedefine/>
    <w:qFormat/>
    <w:uiPriority w:val="0"/>
    <w:rPr>
      <w:rFonts w:ascii="Arial" w:hAnsi="Arial" w:eastAsia="黑体"/>
      <w:kern w:val="2"/>
      <w:sz w:val="24"/>
      <w:lang w:val="en-US" w:eastAsia="zh-CN" w:bidi="ar-SA"/>
    </w:rPr>
  </w:style>
  <w:style w:type="character" w:customStyle="1" w:styleId="177">
    <w:name w:val="Char Char11"/>
    <w:autoRedefine/>
    <w:qFormat/>
    <w:uiPriority w:val="0"/>
    <w:rPr>
      <w:rFonts w:ascii="Times New Roman" w:hAnsi="Times New Roman" w:eastAsia="宋体" w:cs="Times New Roman"/>
      <w:sz w:val="18"/>
      <w:szCs w:val="18"/>
    </w:rPr>
  </w:style>
  <w:style w:type="character" w:customStyle="1" w:styleId="178">
    <w:name w:val="正文文本缩进 2 Char"/>
    <w:link w:val="33"/>
    <w:autoRedefine/>
    <w:qFormat/>
    <w:uiPriority w:val="0"/>
    <w:rPr>
      <w:rFonts w:eastAsia="宋体"/>
      <w:kern w:val="2"/>
      <w:sz w:val="24"/>
      <w:szCs w:val="24"/>
      <w:lang w:val="en-US" w:eastAsia="zh-CN" w:bidi="ar-SA"/>
    </w:rPr>
  </w:style>
  <w:style w:type="character" w:customStyle="1" w:styleId="179">
    <w:name w:val="Char Char6"/>
    <w:autoRedefine/>
    <w:qFormat/>
    <w:uiPriority w:val="0"/>
    <w:rPr>
      <w:rFonts w:ascii="Times New Roman" w:hAnsi="Times New Roman" w:eastAsia="宋体" w:cs="Times New Roman"/>
      <w:szCs w:val="24"/>
    </w:rPr>
  </w:style>
  <w:style w:type="character" w:customStyle="1" w:styleId="180">
    <w:name w:val="Char Char Char"/>
    <w:autoRedefine/>
    <w:qFormat/>
    <w:uiPriority w:val="0"/>
    <w:rPr>
      <w:rFonts w:ascii="宋体" w:hAnsi="Courier New" w:eastAsia="宋体"/>
      <w:b/>
      <w:sz w:val="21"/>
      <w:szCs w:val="21"/>
      <w:lang w:val="en-US" w:eastAsia="zh-CN" w:bidi="ar-SA"/>
    </w:rPr>
  </w:style>
  <w:style w:type="character" w:customStyle="1" w:styleId="181">
    <w:name w:val="heading 2 Char"/>
    <w:autoRedefine/>
    <w:qFormat/>
    <w:uiPriority w:val="0"/>
    <w:rPr>
      <w:rFonts w:ascii="Arial" w:hAnsi="Arial" w:eastAsia="黑体" w:cs="Times New Roman"/>
      <w:sz w:val="30"/>
      <w:szCs w:val="24"/>
    </w:rPr>
  </w:style>
  <w:style w:type="character" w:customStyle="1" w:styleId="182">
    <w:name w:val="Char Char2"/>
    <w:autoRedefine/>
    <w:qFormat/>
    <w:uiPriority w:val="0"/>
    <w:rPr>
      <w:rFonts w:ascii="Arial" w:hAnsi="Arial" w:eastAsia="黑体"/>
      <w:b/>
      <w:bCs/>
      <w:kern w:val="44"/>
      <w:sz w:val="30"/>
      <w:szCs w:val="44"/>
      <w:lang w:val="en-US" w:eastAsia="zh-CN" w:bidi="ar-SA"/>
    </w:rPr>
  </w:style>
  <w:style w:type="character" w:customStyle="1" w:styleId="183">
    <w:name w:val="Footer-Even Char2"/>
    <w:autoRedefine/>
    <w:qFormat/>
    <w:uiPriority w:val="0"/>
    <w:rPr>
      <w:kern w:val="2"/>
      <w:sz w:val="18"/>
      <w:szCs w:val="18"/>
    </w:rPr>
  </w:style>
  <w:style w:type="character" w:customStyle="1" w:styleId="184">
    <w:name w:val="Char Char17"/>
    <w:autoRedefine/>
    <w:qFormat/>
    <w:uiPriority w:val="0"/>
    <w:rPr>
      <w:rFonts w:ascii="Cambria" w:hAnsi="Cambria"/>
      <w:b/>
      <w:bCs/>
      <w:kern w:val="2"/>
      <w:sz w:val="28"/>
      <w:szCs w:val="28"/>
    </w:rPr>
  </w:style>
  <w:style w:type="character" w:customStyle="1" w:styleId="185">
    <w:name w:val="heading 4 Char"/>
    <w:autoRedefine/>
    <w:qFormat/>
    <w:uiPriority w:val="0"/>
    <w:rPr>
      <w:rFonts w:ascii="Arial" w:hAnsi="Arial" w:eastAsia="黑体" w:cs="Times New Roman"/>
      <w:sz w:val="21"/>
      <w:szCs w:val="21"/>
    </w:rPr>
  </w:style>
  <w:style w:type="character" w:customStyle="1" w:styleId="186">
    <w:name w:val="Char Char20"/>
    <w:autoRedefine/>
    <w:qFormat/>
    <w:uiPriority w:val="0"/>
    <w:rPr>
      <w:b/>
      <w:bCs/>
      <w:kern w:val="44"/>
      <w:sz w:val="44"/>
      <w:szCs w:val="44"/>
    </w:rPr>
  </w:style>
  <w:style w:type="character" w:customStyle="1" w:styleId="187">
    <w:name w:val="heading 1 Char2"/>
    <w:autoRedefine/>
    <w:qFormat/>
    <w:uiPriority w:val="0"/>
    <w:rPr>
      <w:b/>
      <w:bCs/>
      <w:kern w:val="44"/>
      <w:sz w:val="44"/>
      <w:szCs w:val="44"/>
    </w:rPr>
  </w:style>
  <w:style w:type="character" w:customStyle="1" w:styleId="188">
    <w:name w:val="font11"/>
    <w:autoRedefine/>
    <w:qFormat/>
    <w:uiPriority w:val="0"/>
    <w:rPr>
      <w:rFonts w:hint="eastAsia" w:ascii="宋体" w:hAnsi="宋体" w:eastAsia="宋体" w:cs="宋体"/>
      <w:b/>
      <w:color w:val="000000"/>
      <w:sz w:val="20"/>
      <w:szCs w:val="20"/>
      <w:u w:val="none"/>
    </w:rPr>
  </w:style>
  <w:style w:type="character" w:customStyle="1" w:styleId="189">
    <w:name w:val="表正文 Char2"/>
    <w:autoRedefine/>
    <w:qFormat/>
    <w:uiPriority w:val="0"/>
    <w:rPr>
      <w:rFonts w:ascii="Times New Roman" w:hAnsi="Times New Roman" w:eastAsia="宋体" w:cs="Times New Roman"/>
      <w:szCs w:val="24"/>
    </w:rPr>
  </w:style>
  <w:style w:type="character" w:customStyle="1" w:styleId="190">
    <w:name w:val="引用 Char"/>
    <w:link w:val="191"/>
    <w:autoRedefine/>
    <w:qFormat/>
    <w:uiPriority w:val="0"/>
    <w:rPr>
      <w:rFonts w:ascii="Calibri" w:hAnsi="Calibri" w:eastAsia="宋体"/>
      <w:i/>
      <w:iCs/>
      <w:color w:val="000000"/>
      <w:lang w:val="en-US" w:eastAsia="zh-CN" w:bidi="ar-SA"/>
    </w:rPr>
  </w:style>
  <w:style w:type="paragraph" w:styleId="191">
    <w:name w:val="Quote"/>
    <w:basedOn w:val="1"/>
    <w:next w:val="1"/>
    <w:link w:val="190"/>
    <w:autoRedefine/>
    <w:qFormat/>
    <w:uiPriority w:val="0"/>
    <w:rPr>
      <w:rFonts w:ascii="Calibri" w:hAnsi="Calibri"/>
      <w:i/>
      <w:iCs/>
      <w:color w:val="000000"/>
      <w:kern w:val="0"/>
      <w:sz w:val="20"/>
      <w:szCs w:val="20"/>
    </w:rPr>
  </w:style>
  <w:style w:type="character" w:customStyle="1" w:styleId="192">
    <w:name w:val="纯文本 Char"/>
    <w:link w:val="29"/>
    <w:autoRedefine/>
    <w:qFormat/>
    <w:uiPriority w:val="0"/>
    <w:rPr>
      <w:rFonts w:ascii="宋体" w:hAnsi="Courier New" w:eastAsia="宋体"/>
      <w:b/>
      <w:sz w:val="21"/>
      <w:szCs w:val="21"/>
      <w:lang w:val="en-US" w:eastAsia="zh-CN" w:bidi="ar-SA"/>
    </w:rPr>
  </w:style>
  <w:style w:type="character" w:customStyle="1" w:styleId="193">
    <w:name w:val="Char Char19"/>
    <w:autoRedefine/>
    <w:qFormat/>
    <w:uiPriority w:val="0"/>
    <w:rPr>
      <w:rFonts w:ascii="Cambria" w:hAnsi="Cambria"/>
      <w:b/>
      <w:bCs/>
      <w:kern w:val="2"/>
      <w:sz w:val="32"/>
      <w:szCs w:val="32"/>
    </w:rPr>
  </w:style>
  <w:style w:type="character" w:customStyle="1" w:styleId="194">
    <w:name w:val="style41"/>
    <w:autoRedefine/>
    <w:qFormat/>
    <w:uiPriority w:val="0"/>
    <w:rPr>
      <w:color w:val="auto"/>
    </w:rPr>
  </w:style>
  <w:style w:type="character" w:customStyle="1" w:styleId="195">
    <w:name w:val="Char Char201"/>
    <w:autoRedefine/>
    <w:qFormat/>
    <w:uiPriority w:val="0"/>
    <w:rPr>
      <w:rFonts w:ascii="Cambria" w:hAnsi="Cambria" w:eastAsia="宋体" w:cs="Times New Roman"/>
      <w:b/>
      <w:bCs/>
      <w:sz w:val="32"/>
      <w:szCs w:val="32"/>
    </w:rPr>
  </w:style>
  <w:style w:type="character" w:customStyle="1" w:styleId="196">
    <w:name w:val="正文首行缩进 Char"/>
    <w:link w:val="51"/>
    <w:autoRedefine/>
    <w:qFormat/>
    <w:uiPriority w:val="0"/>
    <w:rPr>
      <w:rFonts w:eastAsia="宋体"/>
      <w:lang w:val="en-US" w:eastAsia="zh-CN" w:bidi="ar-SA"/>
    </w:rPr>
  </w:style>
  <w:style w:type="character" w:customStyle="1" w:styleId="197">
    <w:name w:val="smalltxt1"/>
    <w:autoRedefine/>
    <w:qFormat/>
    <w:uiPriority w:val="0"/>
    <w:rPr>
      <w:rFonts w:hint="default" w:ascii="ˎ̥" w:hAnsi="ˎ̥"/>
      <w:sz w:val="24"/>
      <w:szCs w:val="24"/>
    </w:rPr>
  </w:style>
  <w:style w:type="character" w:customStyle="1" w:styleId="198">
    <w:name w:val="正文文本 2 Char"/>
    <w:basedOn w:val="55"/>
    <w:link w:val="47"/>
    <w:autoRedefine/>
    <w:qFormat/>
    <w:uiPriority w:val="0"/>
  </w:style>
  <w:style w:type="paragraph" w:customStyle="1" w:styleId="19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00">
    <w:name w:val="Char Char Char Char"/>
    <w:basedOn w:val="1"/>
    <w:autoRedefine/>
    <w:qFormat/>
    <w:uiPriority w:val="0"/>
    <w:pPr>
      <w:autoSpaceDE w:val="0"/>
      <w:autoSpaceDN w:val="0"/>
      <w:adjustRightInd w:val="0"/>
      <w:jc w:val="left"/>
    </w:pPr>
    <w:rPr>
      <w:rFonts w:ascii="Tahoma" w:hAnsi="Tahoma"/>
      <w:kern w:val="0"/>
      <w:sz w:val="24"/>
      <w:szCs w:val="20"/>
    </w:rPr>
  </w:style>
  <w:style w:type="paragraph" w:customStyle="1" w:styleId="201">
    <w:name w:val="表内文字"/>
    <w:basedOn w:val="1"/>
    <w:autoRedefine/>
    <w:qFormat/>
    <w:uiPriority w:val="0"/>
    <w:pPr>
      <w:spacing w:line="240" w:lineRule="atLeast"/>
      <w:jc w:val="center"/>
    </w:pPr>
    <w:rPr>
      <w:rFonts w:ascii="Arial" w:hAnsi="Arial" w:cs="Arial"/>
      <w:b/>
      <w:bCs/>
    </w:rPr>
  </w:style>
  <w:style w:type="paragraph" w:customStyle="1" w:styleId="202">
    <w:name w:val="列项——（一级）"/>
    <w:autoRedefine/>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3">
    <w:name w:val="Char Char Char Char Char Char Char"/>
    <w:basedOn w:val="1"/>
    <w:autoRedefine/>
    <w:qFormat/>
    <w:uiPriority w:val="0"/>
    <w:rPr>
      <w:rFonts w:ascii="仿宋_GB2312" w:eastAsia="仿宋_GB2312"/>
      <w:b/>
      <w:sz w:val="32"/>
      <w:szCs w:val="32"/>
    </w:rPr>
  </w:style>
  <w:style w:type="paragraph" w:customStyle="1" w:styleId="20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5">
    <w:name w:val="列出段落1"/>
    <w:basedOn w:val="1"/>
    <w:autoRedefine/>
    <w:qFormat/>
    <w:uiPriority w:val="0"/>
    <w:pPr>
      <w:ind w:firstLine="420" w:firstLineChars="200"/>
    </w:pPr>
    <w:rPr>
      <w:szCs w:val="20"/>
    </w:rPr>
  </w:style>
  <w:style w:type="paragraph" w:customStyle="1" w:styleId="206">
    <w:name w:val="一级条标题"/>
    <w:next w:val="1"/>
    <w:autoRedefine/>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7">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8">
    <w:name w:val="技术报告正文"/>
    <w:basedOn w:val="1"/>
    <w:autoRedefine/>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09">
    <w:name w:val="xl8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10">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2">
    <w:name w:val="NICMAN Body Text"/>
    <w:basedOn w:val="1"/>
    <w:next w:val="22"/>
    <w:autoRedefine/>
    <w:qFormat/>
    <w:uiPriority w:val="0"/>
    <w:pPr>
      <w:autoSpaceDE w:val="0"/>
      <w:autoSpaceDN w:val="0"/>
      <w:adjustRightInd w:val="0"/>
      <w:spacing w:after="120"/>
      <w:jc w:val="left"/>
    </w:pPr>
    <w:rPr>
      <w:kern w:val="0"/>
      <w:sz w:val="20"/>
      <w:szCs w:val="20"/>
    </w:rPr>
  </w:style>
  <w:style w:type="paragraph" w:customStyle="1" w:styleId="213">
    <w:name w:val="Char Char Char Char Char Char Char Char Char Char Char Char Char"/>
    <w:basedOn w:val="1"/>
    <w:autoRedefine/>
    <w:qFormat/>
    <w:uiPriority w:val="0"/>
    <w:rPr>
      <w:rFonts w:ascii="Tahoma" w:hAnsi="Tahoma"/>
      <w:sz w:val="24"/>
      <w:szCs w:val="20"/>
    </w:rPr>
  </w:style>
  <w:style w:type="paragraph" w:customStyle="1" w:styleId="214">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5">
    <w:name w:val="正文缩进1"/>
    <w:basedOn w:val="1"/>
    <w:next w:val="2"/>
    <w:autoRedefine/>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6">
    <w:name w:val="Table Heading"/>
    <w:autoRedefine/>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7">
    <w:name w:val="Char Char Char Char1"/>
    <w:basedOn w:val="18"/>
    <w:autoRedefine/>
    <w:qFormat/>
    <w:uiPriority w:val="0"/>
    <w:rPr>
      <w:rFonts w:ascii="Tahoma" w:hAnsi="Tahoma"/>
      <w:sz w:val="24"/>
    </w:rPr>
  </w:style>
  <w:style w:type="paragraph" w:customStyle="1" w:styleId="218">
    <w:name w:val="正文 首行缩进:  2 字符 Char"/>
    <w:basedOn w:val="1"/>
    <w:autoRedefine/>
    <w:qFormat/>
    <w:uiPriority w:val="0"/>
    <w:pPr>
      <w:spacing w:line="360" w:lineRule="auto"/>
      <w:ind w:firstLine="480"/>
    </w:pPr>
    <w:rPr>
      <w:rFonts w:cs="宋体"/>
      <w:sz w:val="24"/>
      <w:szCs w:val="20"/>
    </w:rPr>
  </w:style>
  <w:style w:type="paragraph" w:customStyle="1" w:styleId="219">
    <w:name w:val="样式1"/>
    <w:basedOn w:val="1"/>
    <w:autoRedefine/>
    <w:qFormat/>
    <w:uiPriority w:val="0"/>
    <w:pPr>
      <w:autoSpaceDE w:val="0"/>
      <w:autoSpaceDN w:val="0"/>
      <w:adjustRightInd w:val="0"/>
      <w:spacing w:line="400" w:lineRule="exact"/>
    </w:pPr>
    <w:rPr>
      <w:rFonts w:ascii="宋体" w:cs="宋体"/>
      <w:kern w:val="0"/>
    </w:rPr>
  </w:style>
  <w:style w:type="paragraph" w:customStyle="1" w:styleId="22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1">
    <w:name w:val="小标题"/>
    <w:basedOn w:val="1"/>
    <w:autoRedefine/>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2">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23">
    <w:name w:val="Char Char Char Char Char Char Char Char Char Char"/>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224">
    <w:name w:val="样式"/>
    <w:basedOn w:val="1"/>
    <w:autoRedefine/>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5">
    <w:name w:val="二级条标题"/>
    <w:basedOn w:val="206"/>
    <w:next w:val="1"/>
    <w:autoRedefine/>
    <w:qFormat/>
    <w:uiPriority w:val="0"/>
    <w:pPr>
      <w:tabs>
        <w:tab w:val="left" w:pos="4309"/>
        <w:tab w:val="clear" w:pos="3889"/>
      </w:tabs>
      <w:ind w:left="4309"/>
      <w:outlineLvl w:val="3"/>
    </w:pPr>
  </w:style>
  <w:style w:type="paragraph" w:customStyle="1" w:styleId="226">
    <w:name w:val="正文－恩普"/>
    <w:basedOn w:val="10"/>
    <w:autoRedefine/>
    <w:qFormat/>
    <w:uiPriority w:val="0"/>
    <w:pPr>
      <w:adjustRightInd/>
      <w:spacing w:line="360" w:lineRule="auto"/>
      <w:ind w:firstLine="200" w:firstLineChars="200"/>
      <w:textAlignment w:val="auto"/>
    </w:pPr>
    <w:rPr>
      <w:kern w:val="2"/>
      <w:sz w:val="24"/>
      <w:szCs w:val="24"/>
    </w:rPr>
  </w:style>
  <w:style w:type="paragraph" w:customStyle="1" w:styleId="227">
    <w:name w:val="列表内容"/>
    <w:basedOn w:val="1"/>
    <w:next w:val="1"/>
    <w:autoRedefine/>
    <w:qFormat/>
    <w:uiPriority w:val="0"/>
    <w:pPr>
      <w:widowControl/>
      <w:autoSpaceDE w:val="0"/>
      <w:autoSpaceDN w:val="0"/>
      <w:adjustRightInd w:val="0"/>
      <w:ind w:firstLine="200"/>
      <w:jc w:val="left"/>
    </w:pPr>
    <w:rPr>
      <w:kern w:val="0"/>
      <w:sz w:val="18"/>
      <w:szCs w:val="20"/>
    </w:rPr>
  </w:style>
  <w:style w:type="paragraph" w:customStyle="1" w:styleId="228">
    <w:name w:val="正文（首行缩进）"/>
    <w:basedOn w:val="2"/>
    <w:autoRedefine/>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29">
    <w:name w:val="xl8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30">
    <w:name w:val="文字"/>
    <w:basedOn w:val="1"/>
    <w:autoRedefine/>
    <w:qFormat/>
    <w:uiPriority w:val="0"/>
    <w:pPr>
      <w:tabs>
        <w:tab w:val="left" w:pos="8520"/>
      </w:tabs>
      <w:spacing w:line="312" w:lineRule="auto"/>
      <w:ind w:right="-210" w:firstLine="556"/>
    </w:pPr>
    <w:rPr>
      <w:rFonts w:ascii="宋体"/>
      <w:sz w:val="28"/>
      <w:szCs w:val="20"/>
    </w:rPr>
  </w:style>
  <w:style w:type="paragraph" w:customStyle="1" w:styleId="23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2">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3">
    <w:name w:val="标准段落"/>
    <w:basedOn w:val="1"/>
    <w:autoRedefine/>
    <w:qFormat/>
    <w:uiPriority w:val="0"/>
    <w:pPr>
      <w:spacing w:after="120" w:line="360" w:lineRule="auto"/>
      <w:ind w:firstLine="420"/>
    </w:pPr>
    <w:rPr>
      <w:rFonts w:ascii="黑体" w:hAnsi="宋体" w:eastAsia="黑体"/>
      <w:b/>
      <w:spacing w:val="6"/>
      <w:szCs w:val="22"/>
    </w:rPr>
  </w:style>
  <w:style w:type="paragraph" w:customStyle="1" w:styleId="234">
    <w:name w:val="三级条标题"/>
    <w:basedOn w:val="225"/>
    <w:next w:val="1"/>
    <w:autoRedefine/>
    <w:qFormat/>
    <w:uiPriority w:val="0"/>
    <w:pPr>
      <w:tabs>
        <w:tab w:val="left" w:pos="4729"/>
        <w:tab w:val="clear" w:pos="4309"/>
      </w:tabs>
      <w:ind w:left="4729"/>
      <w:outlineLvl w:val="4"/>
    </w:pPr>
  </w:style>
  <w:style w:type="paragraph" w:customStyle="1" w:styleId="235">
    <w:name w:val="Test2"/>
    <w:basedOn w:val="5"/>
    <w:autoRedefine/>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6">
    <w:name w:val="默认段落字体 Para Char Char Char Char Char Char Char"/>
    <w:basedOn w:val="1"/>
    <w:autoRedefine/>
    <w:qFormat/>
    <w:uiPriority w:val="0"/>
  </w:style>
  <w:style w:type="paragraph" w:customStyle="1" w:styleId="237">
    <w:name w:val="标准小四"/>
    <w:basedOn w:val="1"/>
    <w:autoRedefine/>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8">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9">
    <w:name w:val="Char1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40">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1">
    <w:name w:val="样式 样式 正文文本缩进 + 仿宋_GB2312 小四 首行缩进:  0 厘米 行距: 1.5 倍行距 + (中文) 仿宋_GB... Char Char"/>
    <w:basedOn w:val="1"/>
    <w:autoRedefine/>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2">
    <w:name w:val="列表段落"/>
    <w:basedOn w:val="1"/>
    <w:autoRedefine/>
    <w:qFormat/>
    <w:uiPriority w:val="0"/>
    <w:pPr>
      <w:ind w:firstLine="420" w:firstLineChars="200"/>
    </w:pPr>
    <w:rPr>
      <w:rFonts w:ascii="Calibri" w:hAnsi="Calibri"/>
      <w:szCs w:val="22"/>
    </w:rPr>
  </w:style>
  <w:style w:type="paragraph" w:customStyle="1" w:styleId="243">
    <w:name w:val="五级条标题"/>
    <w:basedOn w:val="244"/>
    <w:next w:val="1"/>
    <w:autoRedefine/>
    <w:qFormat/>
    <w:uiPriority w:val="0"/>
    <w:pPr>
      <w:tabs>
        <w:tab w:val="left" w:pos="5149"/>
        <w:tab w:val="left" w:pos="5569"/>
      </w:tabs>
      <w:ind w:left="5569"/>
      <w:outlineLvl w:val="6"/>
    </w:pPr>
  </w:style>
  <w:style w:type="paragraph" w:customStyle="1" w:styleId="244">
    <w:name w:val="四级条标题"/>
    <w:basedOn w:val="234"/>
    <w:next w:val="1"/>
    <w:qFormat/>
    <w:uiPriority w:val="0"/>
    <w:pPr>
      <w:tabs>
        <w:tab w:val="left" w:pos="5149"/>
        <w:tab w:val="clear" w:pos="4729"/>
      </w:tabs>
      <w:ind w:left="5149"/>
      <w:outlineLvl w:val="5"/>
    </w:pPr>
  </w:style>
  <w:style w:type="paragraph" w:customStyle="1" w:styleId="245">
    <w:name w:val="正文-宋体四号"/>
    <w:basedOn w:val="1"/>
    <w:qFormat/>
    <w:uiPriority w:val="0"/>
    <w:pPr>
      <w:spacing w:line="360" w:lineRule="auto"/>
      <w:ind w:firstLine="560" w:firstLineChars="200"/>
    </w:pPr>
    <w:rPr>
      <w:rFonts w:cs="宋体"/>
      <w:sz w:val="28"/>
      <w:szCs w:val="20"/>
    </w:rPr>
  </w:style>
  <w:style w:type="paragraph" w:customStyle="1" w:styleId="246">
    <w:name w:val="纯文本1"/>
    <w:basedOn w:val="1"/>
    <w:autoRedefine/>
    <w:qFormat/>
    <w:uiPriority w:val="0"/>
    <w:pPr>
      <w:adjustRightInd w:val="0"/>
      <w:textAlignment w:val="baseline"/>
    </w:pPr>
    <w:rPr>
      <w:rFonts w:ascii="宋体" w:hAnsi="Courier New" w:eastAsia="楷体_GB2312"/>
      <w:sz w:val="28"/>
      <w:szCs w:val="20"/>
    </w:rPr>
  </w:style>
  <w:style w:type="paragraph" w:customStyle="1" w:styleId="247">
    <w:name w:val="Char2"/>
    <w:basedOn w:val="1"/>
    <w:qFormat/>
    <w:uiPriority w:val="0"/>
  </w:style>
  <w:style w:type="paragraph" w:customStyle="1" w:styleId="248">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49">
    <w:name w:val="样式5"/>
    <w:basedOn w:val="10"/>
    <w:autoRedefine/>
    <w:qFormat/>
    <w:uiPriority w:val="0"/>
    <w:pPr>
      <w:adjustRightInd/>
      <w:spacing w:line="360" w:lineRule="auto"/>
      <w:ind w:firstLine="200" w:firstLineChars="200"/>
      <w:textAlignment w:val="auto"/>
    </w:pPr>
    <w:rPr>
      <w:sz w:val="28"/>
      <w:szCs w:val="21"/>
    </w:rPr>
  </w:style>
  <w:style w:type="paragraph" w:customStyle="1" w:styleId="250">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1">
    <w:name w:val="Char Char Char Char Char Char Char Char Char Char Char Char Char1"/>
    <w:basedOn w:val="1"/>
    <w:autoRedefine/>
    <w:qFormat/>
    <w:uiPriority w:val="0"/>
  </w:style>
  <w:style w:type="paragraph" w:customStyle="1" w:styleId="252">
    <w:name w:val="样式 标题 1Level 1Level 11h1II+IHeading1H1-Heading 1Header 1..."/>
    <w:basedOn w:val="4"/>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3">
    <w:name w:val="样式 标题 3 + 黑色 段前: 5 磅 段后: 5 磅 行距: 1.5 倍行距"/>
    <w:basedOn w:val="1"/>
    <w:qFormat/>
    <w:uiPriority w:val="0"/>
    <w:pPr>
      <w:ind w:left="855" w:hanging="855"/>
    </w:pPr>
    <w:rPr>
      <w:sz w:val="24"/>
      <w:szCs w:val="20"/>
    </w:rPr>
  </w:style>
  <w:style w:type="paragraph" w:customStyle="1" w:styleId="254">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5">
    <w:name w:val="ÕýÎÄÊ×ÐÐËõ½ø"/>
    <w:basedOn w:val="1"/>
    <w:autoRedefine/>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7">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8">
    <w:name w:val="标书正文带编号"/>
    <w:basedOn w:val="1"/>
    <w:autoRedefine/>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9">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60">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1">
    <w:name w:val="Char Char1 Char Char Char Char Char Char Char Char Char Char Char Char Char Char"/>
    <w:basedOn w:val="1"/>
    <w:autoRedefine/>
    <w:qFormat/>
    <w:uiPriority w:val="0"/>
    <w:pPr>
      <w:widowControl/>
      <w:autoSpaceDE w:val="0"/>
      <w:autoSpaceDN w:val="0"/>
      <w:adjustRightInd w:val="0"/>
      <w:spacing w:after="160" w:line="240" w:lineRule="exact"/>
      <w:jc w:val="left"/>
    </w:pPr>
    <w:rPr>
      <w:kern w:val="0"/>
      <w:sz w:val="20"/>
      <w:szCs w:val="20"/>
    </w:rPr>
  </w:style>
  <w:style w:type="paragraph" w:customStyle="1" w:styleId="26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4">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5">
    <w:name w:val="tabletext"/>
    <w:basedOn w:val="1"/>
    <w:qFormat/>
    <w:uiPriority w:val="0"/>
    <w:pPr>
      <w:widowControl/>
      <w:spacing w:line="300" w:lineRule="atLeast"/>
      <w:jc w:val="left"/>
    </w:pPr>
    <w:rPr>
      <w:rFonts w:ascii="宋体" w:hAnsi="宋体" w:cs="宋体"/>
      <w:kern w:val="0"/>
      <w:sz w:val="18"/>
      <w:szCs w:val="18"/>
    </w:rPr>
  </w:style>
  <w:style w:type="paragraph" w:customStyle="1" w:styleId="266">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7">
    <w:name w:val="TOC 标题1"/>
    <w:basedOn w:val="4"/>
    <w:next w:val="1"/>
    <w:autoRedefine/>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8">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69">
    <w:name w:val="xl8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70">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71">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2">
    <w:name w:val="正文样式 首行缩进:  0.74 厘米"/>
    <w:basedOn w:val="1"/>
    <w:autoRedefine/>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3">
    <w:name w:val="简单回函地址"/>
    <w:basedOn w:val="1"/>
    <w:qFormat/>
    <w:uiPriority w:val="0"/>
  </w:style>
  <w:style w:type="paragraph" w:customStyle="1" w:styleId="274">
    <w:name w:val="前言、引言标题"/>
    <w:next w:val="1"/>
    <w:autoRedefine/>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5">
    <w:name w:val="正文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6">
    <w:name w:val="部分1"/>
    <w:basedOn w:val="1"/>
    <w:autoRedefine/>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7">
    <w:name w:val="1 Char"/>
    <w:basedOn w:val="10"/>
    <w:qFormat/>
    <w:uiPriority w:val="0"/>
    <w:pPr>
      <w:adjustRightInd/>
      <w:spacing w:line="360" w:lineRule="auto"/>
      <w:ind w:firstLine="200" w:firstLineChars="200"/>
      <w:textAlignment w:val="auto"/>
    </w:pPr>
    <w:rPr>
      <w:kern w:val="2"/>
    </w:rPr>
  </w:style>
  <w:style w:type="paragraph" w:customStyle="1" w:styleId="278">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9">
    <w:name w:val="TOC 标题2"/>
    <w:basedOn w:val="4"/>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80">
    <w:name w:val="Char Char"/>
    <w:basedOn w:val="1"/>
    <w:qFormat/>
    <w:uiPriority w:val="0"/>
    <w:rPr>
      <w:rFonts w:ascii="仿宋_GB2312" w:eastAsia="仿宋_GB2312"/>
      <w:b/>
      <w:sz w:val="32"/>
      <w:szCs w:val="32"/>
    </w:rPr>
  </w:style>
  <w:style w:type="paragraph" w:customStyle="1" w:styleId="281">
    <w:name w:val="l正文"/>
    <w:basedOn w:val="1"/>
    <w:qFormat/>
    <w:uiPriority w:val="0"/>
    <w:pPr>
      <w:spacing w:line="360" w:lineRule="auto"/>
      <w:ind w:firstLine="200" w:firstLineChars="200"/>
    </w:pPr>
    <w:rPr>
      <w:rFonts w:ascii="宋体" w:hAnsi="宋体"/>
      <w:sz w:val="24"/>
    </w:rPr>
  </w:style>
  <w:style w:type="paragraph" w:customStyle="1" w:styleId="282">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4">
    <w:name w:val="Item List in Table"/>
    <w:autoRedefin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5">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86">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7">
    <w:name w:val="Char Char Char Char Char Char Char1"/>
    <w:basedOn w:val="1"/>
    <w:qFormat/>
    <w:uiPriority w:val="0"/>
    <w:rPr>
      <w:rFonts w:ascii="仿宋_GB2312" w:eastAsia="仿宋_GB2312"/>
      <w:b/>
      <w:sz w:val="32"/>
      <w:szCs w:val="32"/>
    </w:rPr>
  </w:style>
  <w:style w:type="paragraph" w:customStyle="1" w:styleId="288">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9">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0">
    <w:name w:val="标题2"/>
    <w:basedOn w:val="5"/>
    <w:qFormat/>
    <w:uiPriority w:val="0"/>
    <w:pPr>
      <w:tabs>
        <w:tab w:val="left" w:pos="709"/>
      </w:tabs>
    </w:pPr>
    <w:rPr>
      <w:rFonts w:ascii="宋体" w:hAnsi="宋体"/>
      <w:sz w:val="36"/>
      <w:szCs w:val="36"/>
    </w:rPr>
  </w:style>
  <w:style w:type="paragraph" w:customStyle="1" w:styleId="291">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3">
    <w:name w:val="Char1"/>
    <w:basedOn w:val="1"/>
    <w:qFormat/>
    <w:uiPriority w:val="0"/>
    <w:rPr>
      <w:rFonts w:ascii="仿宋_GB2312" w:eastAsia="仿宋_GB2312"/>
      <w:b/>
      <w:sz w:val="32"/>
      <w:szCs w:val="32"/>
    </w:rPr>
  </w:style>
  <w:style w:type="paragraph" w:customStyle="1" w:styleId="294">
    <w:name w:val="正文字缩2字"/>
    <w:basedOn w:val="1"/>
    <w:qFormat/>
    <w:uiPriority w:val="0"/>
    <w:pPr>
      <w:spacing w:before="60" w:after="60" w:line="360" w:lineRule="auto"/>
      <w:ind w:left="200" w:leftChars="200" w:firstLine="200" w:firstLineChars="200"/>
    </w:pPr>
    <w:rPr>
      <w:sz w:val="24"/>
    </w:rPr>
  </w:style>
  <w:style w:type="paragraph" w:customStyle="1" w:styleId="295">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6">
    <w:name w:val="保留正文"/>
    <w:basedOn w:val="22"/>
    <w:qFormat/>
    <w:uiPriority w:val="0"/>
    <w:pPr>
      <w:keepNext/>
      <w:spacing w:after="160"/>
    </w:pPr>
    <w:rPr>
      <w:szCs w:val="20"/>
    </w:rPr>
  </w:style>
  <w:style w:type="paragraph" w:customStyle="1" w:styleId="297">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9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0">
    <w:name w:val="Char"/>
    <w:basedOn w:val="1"/>
    <w:qFormat/>
    <w:uiPriority w:val="0"/>
    <w:rPr>
      <w:rFonts w:ascii="仿宋_GB2312" w:eastAsia="仿宋_GB2312"/>
      <w:b/>
      <w:sz w:val="32"/>
      <w:szCs w:val="32"/>
    </w:rPr>
  </w:style>
  <w:style w:type="paragraph" w:customStyle="1" w:styleId="301">
    <w:name w:val="Char21"/>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302">
    <w:name w:val="正文文字表格居中"/>
    <w:basedOn w:val="1"/>
    <w:next w:val="47"/>
    <w:autoRedefine/>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3">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4">
    <w:name w:val="Char1 Char Char Char Char Char Char"/>
    <w:basedOn w:val="1"/>
    <w:qFormat/>
    <w:uiPriority w:val="0"/>
    <w:rPr>
      <w:rFonts w:ascii="宋体" w:hAnsi="宋体"/>
      <w:color w:val="000000"/>
      <w:sz w:val="24"/>
    </w:rPr>
  </w:style>
  <w:style w:type="paragraph" w:customStyle="1" w:styleId="305">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6">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8">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09">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10">
    <w:name w:val="xl83"/>
    <w:basedOn w:val="1"/>
    <w:autoRedefine/>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1">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3">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4">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5">
    <w:name w:val="章标题"/>
    <w:next w:val="1"/>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6">
    <w:name w:val="样式 标题 3 + 黑体 小四 非加粗"/>
    <w:basedOn w:val="6"/>
    <w:qFormat/>
    <w:uiPriority w:val="0"/>
    <w:pPr>
      <w:spacing w:before="260" w:after="260" w:line="413" w:lineRule="auto"/>
    </w:pPr>
    <w:rPr>
      <w:rFonts w:ascii="黑体" w:hAnsi="黑体"/>
      <w:b w:val="0"/>
      <w:kern w:val="0"/>
      <w:sz w:val="24"/>
      <w:szCs w:val="32"/>
    </w:rPr>
  </w:style>
  <w:style w:type="paragraph" w:customStyle="1" w:styleId="317">
    <w:name w:val="正文_0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19">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20">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1">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2">
    <w:name w:val="文档正文"/>
    <w:basedOn w:val="1"/>
    <w:autoRedefine/>
    <w:qFormat/>
    <w:uiPriority w:val="0"/>
    <w:pPr>
      <w:adjustRightInd w:val="0"/>
      <w:spacing w:line="300" w:lineRule="auto"/>
      <w:ind w:firstLine="567"/>
      <w:textAlignment w:val="baseline"/>
    </w:pPr>
    <w:rPr>
      <w:kern w:val="0"/>
      <w:sz w:val="24"/>
      <w:szCs w:val="20"/>
    </w:rPr>
  </w:style>
  <w:style w:type="paragraph" w:customStyle="1" w:styleId="323">
    <w:name w:val="列出段落2"/>
    <w:basedOn w:val="1"/>
    <w:qFormat/>
    <w:uiPriority w:val="0"/>
    <w:pPr>
      <w:ind w:firstLine="420" w:firstLineChars="200"/>
    </w:pPr>
  </w:style>
  <w:style w:type="paragraph" w:customStyle="1" w:styleId="324">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5">
    <w:name w:val="È±Ê¡ÎÄ±¾ Char"/>
    <w:basedOn w:val="1"/>
    <w:qFormat/>
    <w:uiPriority w:val="0"/>
    <w:pPr>
      <w:widowControl/>
      <w:overflowPunct w:val="0"/>
      <w:autoSpaceDE w:val="0"/>
      <w:autoSpaceDN w:val="0"/>
      <w:adjustRightInd w:val="0"/>
      <w:textAlignment w:val="baseline"/>
    </w:pPr>
    <w:rPr>
      <w:szCs w:val="21"/>
      <w:lang w:val="zh-CN"/>
    </w:rPr>
  </w:style>
  <w:style w:type="paragraph" w:customStyle="1" w:styleId="326">
    <w:name w:val="p0"/>
    <w:basedOn w:val="1"/>
    <w:qFormat/>
    <w:uiPriority w:val="0"/>
    <w:pPr>
      <w:widowControl/>
    </w:pPr>
    <w:rPr>
      <w:kern w:val="0"/>
      <w:szCs w:val="21"/>
    </w:rPr>
  </w:style>
  <w:style w:type="paragraph" w:customStyle="1" w:styleId="327">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8">
    <w:name w:val="TableGrid"/>
    <w:qFormat/>
    <w:uiPriority w:val="0"/>
    <w:tblPr>
      <w:tblCellMar>
        <w:top w:w="0" w:type="dxa"/>
        <w:left w:w="0" w:type="dxa"/>
        <w:bottom w:w="0" w:type="dxa"/>
        <w:right w:w="0" w:type="dxa"/>
      </w:tblCellMar>
    </w:tblPr>
  </w:style>
  <w:style w:type="paragraph" w:styleId="329">
    <w:name w:val="List Paragraph"/>
    <w:basedOn w:val="1"/>
    <w:autoRedefine/>
    <w:qFormat/>
    <w:uiPriority w:val="99"/>
    <w:pPr>
      <w:ind w:firstLine="420" w:firstLineChars="200"/>
    </w:pPr>
  </w:style>
  <w:style w:type="paragraph" w:customStyle="1" w:styleId="330">
    <w:name w:val="正文段"/>
    <w:basedOn w:val="1"/>
    <w:qFormat/>
    <w:uiPriority w:val="0"/>
    <w:pPr>
      <w:widowControl/>
      <w:snapToGrid w:val="0"/>
      <w:spacing w:afterLines="50"/>
      <w:ind w:firstLine="200" w:firstLineChars="200"/>
    </w:pPr>
    <w:rPr>
      <w:sz w:val="24"/>
      <w:szCs w:val="20"/>
    </w:rPr>
  </w:style>
  <w:style w:type="paragraph" w:customStyle="1" w:styleId="331">
    <w:name w:val="_Style 3"/>
    <w:basedOn w:val="1"/>
    <w:next w:val="1"/>
    <w:qFormat/>
    <w:uiPriority w:val="34"/>
    <w:pPr>
      <w:spacing w:line="360" w:lineRule="auto"/>
      <w:ind w:firstLine="420" w:firstLineChars="200"/>
    </w:pPr>
  </w:style>
  <w:style w:type="paragraph" w:customStyle="1" w:styleId="332">
    <w:name w:val="_Style 2"/>
    <w:basedOn w:val="1"/>
    <w:next w:val="1"/>
    <w:autoRedefine/>
    <w:qFormat/>
    <w:uiPriority w:val="0"/>
    <w:pPr>
      <w:pBdr>
        <w:bottom w:val="single" w:color="auto" w:sz="6" w:space="1"/>
      </w:pBdr>
      <w:jc w:val="center"/>
    </w:pPr>
    <w:rPr>
      <w:rFonts w:ascii="Arial"/>
      <w:vanish/>
      <w:sz w:val="16"/>
    </w:rPr>
  </w:style>
  <w:style w:type="character" w:customStyle="1" w:styleId="333">
    <w:name w:val="font31"/>
    <w:basedOn w:val="55"/>
    <w:qFormat/>
    <w:uiPriority w:val="0"/>
    <w:rPr>
      <w:rFonts w:hint="eastAsia" w:ascii="宋体" w:hAnsi="宋体" w:eastAsia="宋体" w:cs="宋体"/>
      <w:color w:val="000000"/>
      <w:sz w:val="24"/>
      <w:szCs w:val="24"/>
      <w:u w:val="single"/>
    </w:rPr>
  </w:style>
  <w:style w:type="paragraph" w:customStyle="1" w:styleId="334">
    <w:name w:val="表格文字"/>
    <w:basedOn w:val="1"/>
    <w:next w:val="22"/>
    <w:qFormat/>
    <w:uiPriority w:val="0"/>
    <w:pPr>
      <w:adjustRightInd w:val="0"/>
      <w:spacing w:line="420" w:lineRule="atLeast"/>
      <w:jc w:val="left"/>
      <w:textAlignment w:val="baseline"/>
    </w:pPr>
    <w:rPr>
      <w:kern w:val="0"/>
    </w:rPr>
  </w:style>
  <w:style w:type="character" w:customStyle="1" w:styleId="335">
    <w:name w:val="font01"/>
    <w:basedOn w:val="55"/>
    <w:qFormat/>
    <w:uiPriority w:val="0"/>
    <w:rPr>
      <w:rFonts w:ascii="Arial" w:hAnsi="Arial" w:cs="Arial"/>
      <w:color w:val="000000"/>
      <w:sz w:val="18"/>
      <w:szCs w:val="18"/>
      <w:u w:val="none"/>
    </w:rPr>
  </w:style>
  <w:style w:type="paragraph" w:customStyle="1" w:styleId="336">
    <w:name w:val="列出段落3"/>
    <w:basedOn w:val="1"/>
    <w:qFormat/>
    <w:uiPriority w:val="34"/>
    <w:pPr>
      <w:adjustRightInd w:val="0"/>
      <w:snapToGrid w:val="0"/>
      <w:spacing w:after="200"/>
      <w:ind w:firstLine="420" w:firstLineChars="200"/>
    </w:pPr>
    <w:rPr>
      <w:rFonts w:ascii="Tahoma" w:hAnsi="Tahoma" w:eastAsia="微软雅黑"/>
      <w:sz w:val="22"/>
    </w:rPr>
  </w:style>
  <w:style w:type="paragraph" w:customStyle="1" w:styleId="337">
    <w:name w:val="标题3 附件1"/>
    <w:basedOn w:val="1"/>
    <w:qFormat/>
    <w:uiPriority w:val="0"/>
    <w:pPr>
      <w:keepNext/>
      <w:keepLines/>
      <w:spacing w:before="340" w:after="330" w:line="360" w:lineRule="exact"/>
      <w:jc w:val="left"/>
      <w:outlineLvl w:val="2"/>
    </w:pPr>
    <w:rPr>
      <w:b/>
      <w:bCs/>
      <w:kern w:val="44"/>
      <w:szCs w:val="21"/>
    </w:rPr>
  </w:style>
  <w:style w:type="character" w:customStyle="1" w:styleId="338">
    <w:name w:val="font61"/>
    <w:basedOn w:val="55"/>
    <w:qFormat/>
    <w:uiPriority w:val="0"/>
    <w:rPr>
      <w:rFonts w:hint="eastAsia" w:ascii="宋体" w:hAnsi="宋体" w:eastAsia="宋体" w:cs="宋体"/>
      <w:color w:val="000000"/>
      <w:sz w:val="20"/>
      <w:szCs w:val="20"/>
      <w:u w:val="none"/>
    </w:rPr>
  </w:style>
  <w:style w:type="character" w:customStyle="1" w:styleId="339">
    <w:name w:val="font81"/>
    <w:basedOn w:val="55"/>
    <w:qFormat/>
    <w:uiPriority w:val="0"/>
    <w:rPr>
      <w:rFonts w:ascii="Calibri" w:hAnsi="Calibri" w:cs="Calibri"/>
      <w:color w:val="000000"/>
      <w:sz w:val="20"/>
      <w:szCs w:val="20"/>
      <w:u w:val="none"/>
    </w:rPr>
  </w:style>
  <w:style w:type="character" w:customStyle="1" w:styleId="340">
    <w:name w:val="font71"/>
    <w:basedOn w:val="55"/>
    <w:qFormat/>
    <w:uiPriority w:val="0"/>
    <w:rPr>
      <w:rFonts w:hint="eastAsia" w:ascii="宋体" w:hAnsi="宋体" w:eastAsia="宋体" w:cs="宋体"/>
      <w:color w:val="000000"/>
      <w:sz w:val="22"/>
      <w:szCs w:val="22"/>
      <w:u w:val="none"/>
    </w:rPr>
  </w:style>
  <w:style w:type="paragraph" w:customStyle="1" w:styleId="341">
    <w:name w:val="列出段落51"/>
    <w:basedOn w:val="1"/>
    <w:qFormat/>
    <w:uiPriority w:val="34"/>
    <w:pPr>
      <w:ind w:firstLine="420" w:firstLineChars="200"/>
    </w:pPr>
    <w:rPr>
      <w:rFonts w:ascii="Calibri" w:hAnsi="Calibri"/>
      <w:sz w:val="24"/>
    </w:rPr>
  </w:style>
  <w:style w:type="table" w:customStyle="1" w:styleId="34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49</Pages>
  <Words>18125</Words>
  <Characters>18948</Characters>
  <Lines>434</Lines>
  <Paragraphs>122</Paragraphs>
  <TotalTime>2</TotalTime>
  <ScaleCrop>false</ScaleCrop>
  <LinksUpToDate>false</LinksUpToDate>
  <CharactersWithSpaces>19608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2020-10-14T14:50:00Z</dcterms:created>
  <dc:creator>zyq</dc:creator>
  <cp:lastModifiedBy>乐圣天</cp:lastModifiedBy>
  <cp:lastPrinted>2021-03-23T15:00:00Z</cp:lastPrinted>
  <dcterms:modified xsi:type="dcterms:W3CDTF">2025-01-03T11:05:14Z</dcterms:modified>
  <dc:title>招标文件目录</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557B0BC0AA67401A81AC73E19E738652_13</vt:lpwstr>
  </property>
  <property fmtid="{D5CDD505-2E9C-101B-9397-08002B2CF9AE}" pid="4" name="KSOTemplateDocerSaveRecord">
    <vt:lpwstr>eyJoZGlkIjoiZTQzM2JkNDhjZjM1ZDA0OTYyYzExNzBlMGM3MmIzMGEiLCJ1c2VySWQiOiIxMzg0MTA1MjE1In0=</vt:lpwstr>
  </property>
</Properties>
</file>