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DB519E">
      <w:pPr>
        <w:spacing w:line="360" w:lineRule="auto"/>
        <w:jc w:val="center"/>
        <w:rPr>
          <w:rFonts w:ascii="仿宋" w:hAnsi="仿宋" w:eastAsia="仿宋" w:cs="仿宋"/>
          <w:b/>
          <w:color w:val="000000" w:themeColor="text1"/>
          <w:sz w:val="24"/>
          <w14:textFill>
            <w14:solidFill>
              <w14:schemeClr w14:val="tx1"/>
            </w14:solidFill>
          </w14:textFill>
        </w:rPr>
      </w:pPr>
    </w:p>
    <w:p w14:paraId="15D6F630">
      <w:pPr>
        <w:adjustRightInd/>
        <w:spacing w:line="360" w:lineRule="auto"/>
        <w:jc w:val="center"/>
        <w:rPr>
          <w:rFonts w:hint="eastAsia" w:ascii="仿宋" w:hAnsi="仿宋" w:eastAsia="仿宋" w:cs="仿宋"/>
          <w:color w:val="000000" w:themeColor="text1"/>
          <w:sz w:val="44"/>
          <w:szCs w:val="44"/>
          <w:lang w:eastAsia="zh-CN"/>
          <w14:textFill>
            <w14:solidFill>
              <w14:schemeClr w14:val="tx1"/>
            </w14:solidFill>
          </w14:textFill>
        </w:rPr>
      </w:pPr>
      <w:r>
        <w:rPr>
          <w:rFonts w:hint="eastAsia" w:ascii="仿宋" w:hAnsi="仿宋" w:eastAsia="仿宋" w:cs="仿宋"/>
          <w:color w:val="000000" w:themeColor="text1"/>
          <w:sz w:val="60"/>
          <w:szCs w:val="60"/>
          <w:lang w:eastAsia="zh-CN"/>
          <w14:textFill>
            <w14:solidFill>
              <w14:schemeClr w14:val="tx1"/>
            </w14:solidFill>
          </w14:textFill>
        </w:rPr>
        <w:t>温州公安数据域数据处理服务平台</w:t>
      </w:r>
    </w:p>
    <w:p w14:paraId="72AF5677">
      <w:pPr>
        <w:adjustRightInd/>
        <w:jc w:val="center"/>
        <w:rPr>
          <w:rFonts w:ascii="仿宋" w:hAnsi="仿宋" w:eastAsia="仿宋" w:cs="仿宋"/>
          <w:color w:val="000000" w:themeColor="text1"/>
          <w:sz w:val="96"/>
          <w:szCs w:val="96"/>
          <w14:textFill>
            <w14:solidFill>
              <w14:schemeClr w14:val="tx1"/>
            </w14:solidFill>
          </w14:textFill>
        </w:rPr>
      </w:pPr>
      <w:bookmarkStart w:id="623" w:name="_GoBack"/>
      <w:bookmarkEnd w:id="623"/>
    </w:p>
    <w:p w14:paraId="4B951AED">
      <w:pPr>
        <w:adjustRightInd/>
        <w:jc w:val="center"/>
        <w:rPr>
          <w:rFonts w:ascii="仿宋" w:hAnsi="仿宋" w:eastAsia="仿宋" w:cs="仿宋"/>
          <w:color w:val="000000" w:themeColor="text1"/>
          <w:sz w:val="56"/>
          <w:szCs w:val="56"/>
          <w14:textFill>
            <w14:solidFill>
              <w14:schemeClr w14:val="tx1"/>
            </w14:solidFill>
          </w14:textFill>
        </w:rPr>
      </w:pPr>
      <w:r>
        <w:rPr>
          <w:rFonts w:hint="eastAsia" w:ascii="仿宋" w:hAnsi="仿宋" w:eastAsia="仿宋" w:cs="仿宋"/>
          <w:color w:val="000000" w:themeColor="text1"/>
          <w:sz w:val="96"/>
          <w:szCs w:val="96"/>
          <w14:textFill>
            <w14:solidFill>
              <w14:schemeClr w14:val="tx1"/>
            </w14:solidFill>
          </w14:textFill>
        </w:rPr>
        <w:t>采购文件</w:t>
      </w:r>
      <w:r>
        <w:rPr>
          <w:rFonts w:hint="eastAsia" w:ascii="仿宋" w:hAnsi="仿宋" w:eastAsia="仿宋" w:cs="仿宋"/>
          <w:color w:val="000000" w:themeColor="text1"/>
          <w:sz w:val="56"/>
          <w:szCs w:val="56"/>
          <w14:textFill>
            <w14:solidFill>
              <w14:schemeClr w14:val="tx1"/>
            </w14:solidFill>
          </w14:textFill>
        </w:rPr>
        <w:t xml:space="preserve"> </w:t>
      </w:r>
    </w:p>
    <w:p w14:paraId="3236CE24">
      <w:pPr>
        <w:adjustRightInd/>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 xml:space="preserve"> （电子招投标）</w:t>
      </w:r>
    </w:p>
    <w:p w14:paraId="7B8EFEF6">
      <w:pPr>
        <w:snapToGrid w:val="0"/>
        <w:spacing w:line="360" w:lineRule="auto"/>
        <w:jc w:val="center"/>
        <w:rPr>
          <w:rFonts w:ascii="仿宋" w:hAnsi="仿宋" w:eastAsia="仿宋" w:cs="仿宋"/>
          <w:color w:val="000000" w:themeColor="text1"/>
          <w:sz w:val="30"/>
          <w:szCs w:val="30"/>
          <w14:textFill>
            <w14:solidFill>
              <w14:schemeClr w14:val="tx1"/>
            </w14:solidFill>
          </w14:textFill>
        </w:rPr>
      </w:pPr>
    </w:p>
    <w:p w14:paraId="37D812F0">
      <w:pPr>
        <w:keepNext/>
        <w:keepLines/>
        <w:tabs>
          <w:tab w:val="left" w:pos="432"/>
        </w:tabs>
        <w:adjustRightInd/>
        <w:rPr>
          <w:rFonts w:ascii="仿宋" w:eastAsia="仿宋" w:cs="仿宋"/>
          <w:color w:val="000000" w:themeColor="text1"/>
          <w14:textFill>
            <w14:solidFill>
              <w14:schemeClr w14:val="tx1"/>
            </w14:solidFill>
          </w14:textFill>
        </w:rPr>
      </w:pPr>
    </w:p>
    <w:p w14:paraId="775B467E">
      <w:pPr>
        <w:snapToGrid w:val="0"/>
        <w:spacing w:line="360" w:lineRule="auto"/>
        <w:jc w:val="cente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采购方式：竞争性磋商</w:t>
      </w:r>
    </w:p>
    <w:p w14:paraId="03AC50A7">
      <w:pPr>
        <w:snapToGrid w:val="0"/>
        <w:spacing w:line="360" w:lineRule="auto"/>
        <w:jc w:val="center"/>
        <w:rPr>
          <w:rFonts w:hint="eastAsia" w:ascii="仿宋" w:hAnsi="仿宋" w:eastAsia="仿宋" w:cs="仿宋"/>
          <w:color w:val="000000" w:themeColor="text1"/>
          <w:sz w:val="32"/>
          <w:szCs w:val="32"/>
          <w:u w:val="single"/>
          <w:lang w:eastAsia="zh-CN"/>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编号：</w:t>
      </w:r>
      <w:r>
        <w:rPr>
          <w:rFonts w:hint="eastAsia" w:ascii="仿宋" w:hAnsi="仿宋" w:eastAsia="仿宋" w:cs="仿宋"/>
          <w:color w:val="000000" w:themeColor="text1"/>
          <w:sz w:val="32"/>
          <w:szCs w:val="32"/>
          <w:lang w:eastAsia="zh-CN"/>
          <w14:textFill>
            <w14:solidFill>
              <w14:schemeClr w14:val="tx1"/>
            </w14:solidFill>
          </w14:textFill>
        </w:rPr>
        <w:t>WZLCZB（W）-2025-03089</w:t>
      </w:r>
    </w:p>
    <w:p w14:paraId="049EDA55">
      <w:pPr>
        <w:adjustRightInd/>
        <w:spacing w:line="360" w:lineRule="auto"/>
        <w:rPr>
          <w:rFonts w:ascii="仿宋" w:hAnsi="仿宋" w:eastAsia="仿宋" w:cs="仿宋"/>
          <w:color w:val="000000" w:themeColor="text1"/>
          <w:sz w:val="28"/>
          <w:szCs w:val="20"/>
          <w14:textFill>
            <w14:solidFill>
              <w14:schemeClr w14:val="tx1"/>
            </w14:solidFill>
          </w14:textFill>
        </w:rPr>
      </w:pPr>
    </w:p>
    <w:p w14:paraId="5D2AA32D">
      <w:pPr>
        <w:spacing w:line="360" w:lineRule="auto"/>
        <w:rPr>
          <w:rFonts w:ascii="仿宋" w:hAnsi="仿宋" w:eastAsia="仿宋" w:cs="仿宋"/>
          <w:b/>
          <w:color w:val="000000" w:themeColor="text1"/>
          <w:sz w:val="44"/>
          <w:szCs w:val="44"/>
          <w14:textFill>
            <w14:solidFill>
              <w14:schemeClr w14:val="tx1"/>
            </w14:solidFill>
          </w14:textFill>
        </w:rPr>
      </w:pPr>
    </w:p>
    <w:p w14:paraId="47C2ED4F">
      <w:pPr>
        <w:spacing w:line="360" w:lineRule="auto"/>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 xml:space="preserve"> </w:t>
      </w:r>
    </w:p>
    <w:p w14:paraId="1C16C21F">
      <w:pPr>
        <w:pStyle w:val="4"/>
        <w:rPr>
          <w:color w:val="000000" w:themeColor="text1"/>
          <w14:textFill>
            <w14:solidFill>
              <w14:schemeClr w14:val="tx1"/>
            </w14:solidFill>
          </w14:textFill>
        </w:rPr>
      </w:pPr>
    </w:p>
    <w:p w14:paraId="3021F19C">
      <w:pPr>
        <w:rPr>
          <w:color w:val="000000" w:themeColor="text1"/>
          <w14:textFill>
            <w14:solidFill>
              <w14:schemeClr w14:val="tx1"/>
            </w14:solidFill>
          </w14:textFill>
        </w:rPr>
      </w:pPr>
    </w:p>
    <w:p w14:paraId="213EB90D">
      <w:pPr>
        <w:rPr>
          <w:color w:val="000000" w:themeColor="text1"/>
          <w14:textFill>
            <w14:solidFill>
              <w14:schemeClr w14:val="tx1"/>
            </w14:solidFill>
          </w14:textFill>
        </w:rPr>
      </w:pPr>
    </w:p>
    <w:p w14:paraId="7E4DF738">
      <w:pPr>
        <w:snapToGrid w:val="0"/>
        <w:spacing w:line="360" w:lineRule="auto"/>
        <w:jc w:val="center"/>
        <w:rPr>
          <w:rFonts w:ascii="仿宋" w:hAnsi="仿宋" w:eastAsia="仿宋" w:cs="仿宋"/>
          <w:color w:val="000000" w:themeColor="text1"/>
          <w:sz w:val="32"/>
          <w:szCs w:val="32"/>
          <w14:textFill>
            <w14:solidFill>
              <w14:schemeClr w14:val="tx1"/>
            </w14:solidFill>
          </w14:textFill>
        </w:rPr>
      </w:pPr>
      <w:bookmarkStart w:id="0" w:name="_Toc9404"/>
      <w:bookmarkStart w:id="1" w:name="_Toc12612"/>
      <w:r>
        <w:rPr>
          <w:rFonts w:hint="eastAsia" w:ascii="仿宋" w:hAnsi="仿宋" w:eastAsia="仿宋" w:cs="仿宋"/>
          <w:color w:val="000000" w:themeColor="text1"/>
          <w:sz w:val="32"/>
          <w:szCs w:val="32"/>
          <w14:textFill>
            <w14:solidFill>
              <w14:schemeClr w14:val="tx1"/>
            </w14:solidFill>
          </w14:textFill>
        </w:rPr>
        <w:t>采   购  人：温州市公安局</w:t>
      </w:r>
      <w:bookmarkEnd w:id="0"/>
      <w:bookmarkEnd w:id="1"/>
    </w:p>
    <w:p w14:paraId="101214D6">
      <w:pPr>
        <w:spacing w:line="360" w:lineRule="auto"/>
        <w:jc w:val="center"/>
        <w:rPr>
          <w:rFonts w:ascii="仿宋" w:hAnsi="仿宋" w:eastAsia="仿宋" w:cs="仿宋"/>
          <w:bCs/>
          <w:color w:val="000000" w:themeColor="text1"/>
          <w:sz w:val="32"/>
          <w:szCs w:val="32"/>
          <w14:textFill>
            <w14:solidFill>
              <w14:schemeClr w14:val="tx1"/>
            </w14:solidFill>
          </w14:textFill>
        </w:rPr>
      </w:pPr>
      <w:r>
        <w:rPr>
          <w:rFonts w:hint="eastAsia" w:ascii="仿宋" w:hAnsi="仿宋" w:eastAsia="仿宋" w:cs="仿宋"/>
          <w:bCs/>
          <w:color w:val="000000" w:themeColor="text1"/>
          <w:sz w:val="32"/>
          <w:szCs w:val="32"/>
          <w14:textFill>
            <w14:solidFill>
              <w14:schemeClr w14:val="tx1"/>
            </w14:solidFill>
          </w14:textFill>
        </w:rPr>
        <w:t>采购代理机构</w:t>
      </w:r>
      <w:r>
        <w:rPr>
          <w:rFonts w:hint="eastAsia" w:ascii="仿宋" w:hAnsi="仿宋" w:eastAsia="仿宋" w:cs="仿宋"/>
          <w:color w:val="000000" w:themeColor="text1"/>
          <w:sz w:val="32"/>
          <w:szCs w:val="32"/>
          <w14:textFill>
            <w14:solidFill>
              <w14:schemeClr w14:val="tx1"/>
            </w14:solidFill>
          </w14:textFill>
        </w:rPr>
        <w:t>：温州历程招标有限公司</w:t>
      </w:r>
    </w:p>
    <w:p w14:paraId="20B60207">
      <w:pPr>
        <w:snapToGrid w:val="0"/>
        <w:spacing w:line="360" w:lineRule="auto"/>
        <w:jc w:val="center"/>
        <w:rPr>
          <w:rFonts w:ascii="仿宋" w:hAnsi="仿宋" w:eastAsia="仿宋" w:cs="仿宋"/>
          <w:bCs/>
          <w:color w:val="000000" w:themeColor="text1"/>
          <w:sz w:val="32"/>
          <w:szCs w:val="32"/>
          <w14:textFill>
            <w14:solidFill>
              <w14:schemeClr w14:val="tx1"/>
            </w14:solidFill>
          </w14:textFill>
        </w:rPr>
      </w:pPr>
      <w:r>
        <w:rPr>
          <w:rFonts w:hint="eastAsia" w:ascii="仿宋" w:hAnsi="仿宋" w:eastAsia="仿宋" w:cs="仿宋"/>
          <w:bCs/>
          <w:color w:val="000000" w:themeColor="text1"/>
          <w:sz w:val="32"/>
          <w:szCs w:val="32"/>
          <w14:textFill>
            <w14:solidFill>
              <w14:schemeClr w14:val="tx1"/>
            </w14:solidFill>
          </w14:textFill>
        </w:rPr>
        <w:t>二〇二</w:t>
      </w:r>
      <w:r>
        <w:rPr>
          <w:rFonts w:hint="eastAsia" w:ascii="仿宋" w:hAnsi="仿宋" w:eastAsia="仿宋" w:cs="仿宋"/>
          <w:bCs/>
          <w:color w:val="000000" w:themeColor="text1"/>
          <w:sz w:val="32"/>
          <w:szCs w:val="32"/>
          <w:lang w:eastAsia="zh-CN"/>
          <w14:textFill>
            <w14:solidFill>
              <w14:schemeClr w14:val="tx1"/>
            </w14:solidFill>
          </w14:textFill>
        </w:rPr>
        <w:t>五</w:t>
      </w:r>
      <w:r>
        <w:rPr>
          <w:rFonts w:hint="eastAsia" w:ascii="仿宋" w:hAnsi="仿宋" w:eastAsia="仿宋" w:cs="仿宋"/>
          <w:bCs/>
          <w:color w:val="000000" w:themeColor="text1"/>
          <w:sz w:val="32"/>
          <w:szCs w:val="32"/>
          <w14:textFill>
            <w14:solidFill>
              <w14:schemeClr w14:val="tx1"/>
            </w14:solidFill>
          </w14:textFill>
        </w:rPr>
        <w:t>年</w:t>
      </w:r>
    </w:p>
    <w:p w14:paraId="14D39D93">
      <w:pPr>
        <w:spacing w:line="360" w:lineRule="auto"/>
        <w:jc w:val="center"/>
        <w:rPr>
          <w:rFonts w:ascii="仿宋" w:hAnsi="仿宋" w:eastAsia="仿宋" w:cs="仿宋"/>
          <w:b/>
          <w:color w:val="000000" w:themeColor="text1"/>
          <w:sz w:val="48"/>
          <w:szCs w:val="48"/>
          <w14:textFill>
            <w14:solidFill>
              <w14:schemeClr w14:val="tx1"/>
            </w14:solidFill>
          </w14:textFill>
        </w:rPr>
        <w:sectPr>
          <w:headerReference r:id="rId4" w:type="first"/>
          <w:headerReference r:id="rId3" w:type="default"/>
          <w:pgSz w:w="11906" w:h="16838"/>
          <w:pgMar w:top="1440" w:right="1080" w:bottom="1440" w:left="1080" w:header="851" w:footer="850" w:gutter="0"/>
          <w:pgNumType w:start="1"/>
          <w:cols w:space="720" w:num="1"/>
          <w:titlePg/>
          <w:docGrid w:linePitch="312" w:charSpace="0"/>
        </w:sectPr>
      </w:pPr>
      <w:bookmarkStart w:id="2" w:name="_Hlt67893495"/>
      <w:bookmarkEnd w:id="2"/>
    </w:p>
    <w:sdt>
      <w:sdtPr>
        <w:rPr>
          <w:rFonts w:ascii="宋体" w:hAnsi="宋体"/>
          <w:color w:val="000000" w:themeColor="text1"/>
          <w14:textFill>
            <w14:solidFill>
              <w14:schemeClr w14:val="tx1"/>
            </w14:solidFill>
          </w14:textFill>
        </w:rPr>
        <w:id w:val="147479664"/>
        <w15:color w:val="DBDBDB"/>
        <w:docPartObj>
          <w:docPartGallery w:val="Table of Contents"/>
          <w:docPartUnique/>
        </w:docPartObj>
      </w:sdtPr>
      <w:sdtEndPr>
        <w:rPr>
          <w:rFonts w:hint="eastAsia" w:ascii="仿宋" w:hAnsi="Times New Roman" w:eastAsia="仿宋" w:cs="仿宋"/>
          <w:b/>
          <w:color w:val="000000" w:themeColor="text1"/>
          <w14:textFill>
            <w14:solidFill>
              <w14:schemeClr w14:val="tx1"/>
            </w14:solidFill>
          </w14:textFill>
        </w:rPr>
      </w:sdtEndPr>
      <w:sdtContent>
        <w:p w14:paraId="07F06C58">
          <w:pPr>
            <w:jc w:val="center"/>
            <w:rPr>
              <w:color w:val="000000" w:themeColor="text1"/>
              <w:sz w:val="24"/>
              <w:szCs w:val="32"/>
              <w14:textFill>
                <w14:solidFill>
                  <w14:schemeClr w14:val="tx1"/>
                </w14:solidFill>
              </w14:textFill>
            </w:rPr>
          </w:pPr>
          <w:bookmarkStart w:id="3" w:name="_Toc22492"/>
          <w:r>
            <w:rPr>
              <w:rFonts w:ascii="宋体" w:hAnsi="宋体"/>
              <w:b/>
              <w:bCs/>
              <w:color w:val="000000" w:themeColor="text1"/>
              <w:sz w:val="36"/>
              <w:szCs w:val="44"/>
              <w14:textFill>
                <w14:solidFill>
                  <w14:schemeClr w14:val="tx1"/>
                </w14:solidFill>
              </w14:textFill>
            </w:rPr>
            <w:t>目</w:t>
          </w:r>
          <w:r>
            <w:rPr>
              <w:rFonts w:hint="eastAsia" w:ascii="宋体" w:hAnsi="宋体"/>
              <w:b/>
              <w:bCs/>
              <w:color w:val="000000" w:themeColor="text1"/>
              <w:sz w:val="36"/>
              <w:szCs w:val="44"/>
              <w14:textFill>
                <w14:solidFill>
                  <w14:schemeClr w14:val="tx1"/>
                </w14:solidFill>
              </w14:textFill>
            </w:rPr>
            <w:t xml:space="preserve">  </w:t>
          </w:r>
          <w:r>
            <w:rPr>
              <w:rFonts w:ascii="宋体" w:hAnsi="宋体"/>
              <w:b/>
              <w:bCs/>
              <w:color w:val="000000" w:themeColor="text1"/>
              <w:sz w:val="36"/>
              <w:szCs w:val="44"/>
              <w14:textFill>
                <w14:solidFill>
                  <w14:schemeClr w14:val="tx1"/>
                </w14:solidFill>
              </w14:textFill>
            </w:rPr>
            <w:t>录</w:t>
          </w:r>
        </w:p>
        <w:p w14:paraId="2D79163B">
          <w:pPr>
            <w:pStyle w:val="34"/>
            <w:tabs>
              <w:tab w:val="right" w:leader="dot" w:pos="9746"/>
            </w:tabs>
            <w:rPr>
              <w:b/>
              <w:color w:val="000000" w:themeColor="text1"/>
              <w14:textFill>
                <w14:solidFill>
                  <w14:schemeClr w14:val="tx1"/>
                </w14:solidFill>
              </w14:textFill>
            </w:rPr>
          </w:pPr>
          <w:r>
            <w:rPr>
              <w:rStyle w:val="25"/>
              <w:rFonts w:hint="eastAsia" w:ascii="仿宋" w:eastAsia="仿宋"/>
            </w:rPr>
            <w:fldChar w:fldCharType="begin"/>
          </w:r>
          <w:r>
            <w:rPr>
              <w:rStyle w:val="25"/>
              <w:rFonts w:hint="eastAsia" w:ascii="仿宋" w:eastAsia="仿宋" w:cs="仿宋"/>
              <w:color w:val="000000" w:themeColor="text1"/>
              <w14:textFill>
                <w14:solidFill>
                  <w14:schemeClr w14:val="tx1"/>
                </w14:solidFill>
              </w14:textFill>
            </w:rPr>
            <w:instrText xml:space="preserve">TOC \o "1-2" \h \u </w:instrText>
          </w:r>
          <w:r>
            <w:rPr>
              <w:rStyle w:val="25"/>
              <w:rFonts w:hint="eastAsia" w:ascii="仿宋" w:eastAsia="仿宋"/>
            </w:rPr>
            <w:fldChar w:fldCharType="separate"/>
          </w:r>
        </w:p>
        <w:p w14:paraId="1956A57F">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"_Toc19618" </w:instrText>
          </w:r>
          <w:r>
            <w:fldChar w:fldCharType="separate"/>
          </w:r>
          <w:r>
            <w:rPr>
              <w:rFonts w:hint="eastAsia" w:ascii="仿宋" w:hAnsi="仿宋" w:eastAsia="仿宋" w:cs="仿宋"/>
              <w:bCs/>
              <w:color w:val="000000" w:themeColor="text1"/>
              <w:sz w:val="22"/>
              <w:szCs w:val="22"/>
              <w14:textFill>
                <w14:solidFill>
                  <w14:schemeClr w14:val="tx1"/>
                </w14:solidFill>
              </w14:textFill>
            </w:rPr>
            <w:t>第一部分 采购公告</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_Toc19618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2</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C17C2FB">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"_Toc25687" </w:instrText>
          </w:r>
          <w:r>
            <w:fldChar w:fldCharType="separate"/>
          </w:r>
          <w:r>
            <w:rPr>
              <w:rFonts w:hint="eastAsia" w:ascii="仿宋" w:hAnsi="仿宋" w:eastAsia="仿宋" w:cs="仿宋"/>
              <w:bCs/>
              <w:color w:val="000000" w:themeColor="text1"/>
              <w:sz w:val="22"/>
              <w:szCs w:val="28"/>
              <w14:textFill>
                <w14:solidFill>
                  <w14:schemeClr w14:val="tx1"/>
                </w14:solidFill>
              </w14:textFill>
            </w:rPr>
            <w:t>一、项目基本情况</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_Toc25687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2</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69FDE1B">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"_Toc9283" </w:instrText>
          </w:r>
          <w:r>
            <w:fldChar w:fldCharType="separate"/>
          </w:r>
          <w:r>
            <w:rPr>
              <w:rFonts w:hint="eastAsia" w:ascii="仿宋" w:hAnsi="仿宋" w:eastAsia="仿宋" w:cs="仿宋"/>
              <w:bCs/>
              <w:color w:val="000000" w:themeColor="text1"/>
              <w:sz w:val="22"/>
              <w:szCs w:val="28"/>
              <w14:textFill>
                <w14:solidFill>
                  <w14:schemeClr w14:val="tx1"/>
                </w14:solidFill>
              </w14:textFill>
            </w:rPr>
            <w:t>二、申请人的资格要求：</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_Toc9283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2</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5E187581">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"_Toc894" </w:instrText>
          </w:r>
          <w:r>
            <w:fldChar w:fldCharType="separate"/>
          </w:r>
          <w:r>
            <w:rPr>
              <w:rFonts w:hint="eastAsia" w:ascii="仿宋" w:hAnsi="仿宋" w:eastAsia="仿宋" w:cs="仿宋"/>
              <w:bCs/>
              <w:color w:val="000000" w:themeColor="text1"/>
              <w:sz w:val="22"/>
              <w:szCs w:val="28"/>
              <w14:textFill>
                <w14:solidFill>
                  <w14:schemeClr w14:val="tx1"/>
                </w14:solidFill>
              </w14:textFill>
            </w:rPr>
            <w:t>三、获取采购文件</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_Toc894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2</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6B60C731">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"_Toc11382" </w:instrText>
          </w:r>
          <w:r>
            <w:fldChar w:fldCharType="separate"/>
          </w:r>
          <w:r>
            <w:rPr>
              <w:rFonts w:hint="eastAsia" w:ascii="仿宋" w:hAnsi="仿宋" w:eastAsia="仿宋" w:cs="仿宋"/>
              <w:bCs/>
              <w:color w:val="000000" w:themeColor="text1"/>
              <w:sz w:val="22"/>
              <w:szCs w:val="28"/>
              <w14:textFill>
                <w14:solidFill>
                  <w14:schemeClr w14:val="tx1"/>
                </w14:solidFill>
              </w14:textFill>
            </w:rPr>
            <w:t>四、提交响应文件截止时间、开启时间和地点</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_Toc11382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3</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7AC6858E">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"_Toc9413" </w:instrText>
          </w:r>
          <w:r>
            <w:fldChar w:fldCharType="separate"/>
          </w:r>
          <w:r>
            <w:rPr>
              <w:rFonts w:hint="eastAsia" w:ascii="仿宋" w:hAnsi="仿宋" w:eastAsia="仿宋" w:cs="仿宋"/>
              <w:bCs/>
              <w:color w:val="000000" w:themeColor="text1"/>
              <w:sz w:val="22"/>
              <w:szCs w:val="28"/>
              <w14:textFill>
                <w14:solidFill>
                  <w14:schemeClr w14:val="tx1"/>
                </w14:solidFill>
              </w14:textFill>
            </w:rPr>
            <w:t>五、公告期限</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_Toc9413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3</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CFE8203">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"_Toc19617" </w:instrText>
          </w:r>
          <w:r>
            <w:fldChar w:fldCharType="separate"/>
          </w:r>
          <w:r>
            <w:rPr>
              <w:rFonts w:hint="eastAsia" w:ascii="仿宋" w:hAnsi="仿宋" w:eastAsia="仿宋" w:cs="仿宋"/>
              <w:bCs/>
              <w:color w:val="000000" w:themeColor="text1"/>
              <w:sz w:val="22"/>
              <w:szCs w:val="28"/>
              <w14:textFill>
                <w14:solidFill>
                  <w14:schemeClr w14:val="tx1"/>
                </w14:solidFill>
              </w14:textFill>
            </w:rPr>
            <w:t>六、其他补充事宜</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_Toc19617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3</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3ACE7672">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"_Toc9060" </w:instrText>
          </w:r>
          <w:r>
            <w:fldChar w:fldCharType="separate"/>
          </w:r>
          <w:r>
            <w:rPr>
              <w:rFonts w:hint="eastAsia" w:ascii="仿宋" w:hAnsi="仿宋" w:eastAsia="仿宋" w:cs="仿宋"/>
              <w:bCs/>
              <w:color w:val="000000" w:themeColor="text1"/>
              <w:sz w:val="22"/>
              <w:szCs w:val="28"/>
              <w14:textFill>
                <w14:solidFill>
                  <w14:schemeClr w14:val="tx1"/>
                </w14:solidFill>
              </w14:textFill>
            </w:rPr>
            <w:t>七、对本次采购提出询问、质疑、投诉，请按以下方式联系</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_Toc9060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4</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1DA2C696">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"_Toc29190" </w:instrText>
          </w:r>
          <w:r>
            <w:fldChar w:fldCharType="separate"/>
          </w:r>
          <w:r>
            <w:rPr>
              <w:rFonts w:hint="eastAsia" w:ascii="仿宋" w:hAnsi="仿宋" w:eastAsia="仿宋" w:cs="仿宋"/>
              <w:bCs/>
              <w:color w:val="000000" w:themeColor="text1"/>
              <w:sz w:val="22"/>
              <w:szCs w:val="22"/>
              <w14:textFill>
                <w14:solidFill>
                  <w14:schemeClr w14:val="tx1"/>
                </w14:solidFill>
              </w14:textFill>
            </w:rPr>
            <w:t>第二部分 供应商须知</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_Toc29190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5</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08A933CC">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"_Toc5005" </w:instrText>
          </w:r>
          <w:r>
            <w:fldChar w:fldCharType="separate"/>
          </w:r>
          <w:r>
            <w:rPr>
              <w:rFonts w:hint="eastAsia" w:ascii="仿宋" w:hAnsi="仿宋" w:eastAsia="仿宋" w:cs="仿宋"/>
              <w:bCs/>
              <w:color w:val="000000" w:themeColor="text1"/>
              <w:sz w:val="22"/>
              <w:szCs w:val="22"/>
              <w14:textFill>
                <w14:solidFill>
                  <w14:schemeClr w14:val="tx1"/>
                </w14:solidFill>
              </w14:textFill>
            </w:rPr>
            <w:t>前附表</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_Toc5005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5</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5E34E1A3">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"_Toc13346" </w:instrText>
          </w:r>
          <w:r>
            <w:fldChar w:fldCharType="separate"/>
          </w:r>
          <w:r>
            <w:rPr>
              <w:rFonts w:hint="eastAsia" w:ascii="仿宋" w:hAnsi="仿宋" w:eastAsia="仿宋" w:cs="仿宋"/>
              <w:bCs/>
              <w:color w:val="000000" w:themeColor="text1"/>
              <w:sz w:val="22"/>
              <w:szCs w:val="22"/>
              <w14:textFill>
                <w14:solidFill>
                  <w14:schemeClr w14:val="tx1"/>
                </w14:solidFill>
              </w14:textFill>
            </w:rPr>
            <w:t>一、总则</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_Toc13346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9</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DC123D3">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"_Toc31381" </w:instrText>
          </w:r>
          <w:r>
            <w:fldChar w:fldCharType="separate"/>
          </w:r>
          <w:r>
            <w:rPr>
              <w:rFonts w:hint="eastAsia" w:ascii="仿宋" w:hAnsi="仿宋" w:eastAsia="仿宋" w:cs="仿宋"/>
              <w:bCs/>
              <w:color w:val="000000" w:themeColor="text1"/>
              <w:sz w:val="22"/>
              <w:szCs w:val="22"/>
              <w14:textFill>
                <w14:solidFill>
                  <w14:schemeClr w14:val="tx1"/>
                </w14:solidFill>
              </w14:textFill>
            </w:rPr>
            <w:t>二、采购文件的构成、澄清、修改</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_Toc31381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13</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658827EC">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"_Toc18329" </w:instrText>
          </w:r>
          <w:r>
            <w:fldChar w:fldCharType="separate"/>
          </w:r>
          <w:r>
            <w:rPr>
              <w:rFonts w:hint="eastAsia" w:ascii="仿宋" w:hAnsi="仿宋" w:eastAsia="仿宋" w:cs="仿宋"/>
              <w:bCs/>
              <w:color w:val="000000" w:themeColor="text1"/>
              <w:sz w:val="22"/>
              <w:szCs w:val="22"/>
              <w14:textFill>
                <w14:solidFill>
                  <w14:schemeClr w14:val="tx1"/>
                </w14:solidFill>
              </w14:textFill>
            </w:rPr>
            <w:t>三、磋商响应</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_Toc18329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13</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33707382">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"_Toc29865" </w:instrText>
          </w:r>
          <w:r>
            <w:fldChar w:fldCharType="separate"/>
          </w:r>
          <w:r>
            <w:rPr>
              <w:rFonts w:hint="eastAsia" w:ascii="仿宋" w:hAnsi="仿宋" w:eastAsia="仿宋" w:cs="仿宋"/>
              <w:bCs/>
              <w:color w:val="000000" w:themeColor="text1"/>
              <w:sz w:val="22"/>
              <w:szCs w:val="22"/>
              <w14:textFill>
                <w14:solidFill>
                  <w14:schemeClr w14:val="tx1"/>
                </w14:solidFill>
              </w14:textFill>
            </w:rPr>
            <w:t>四、响应文件开启、资格审查与信用信息查询</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_Toc29865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16</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7C0C15D8">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"_Toc4496" </w:instrText>
          </w:r>
          <w:r>
            <w:fldChar w:fldCharType="separate"/>
          </w:r>
          <w:r>
            <w:rPr>
              <w:rFonts w:hint="eastAsia" w:ascii="仿宋" w:hAnsi="仿宋" w:eastAsia="仿宋" w:cs="仿宋"/>
              <w:bCs/>
              <w:color w:val="000000" w:themeColor="text1"/>
              <w:sz w:val="22"/>
              <w:szCs w:val="22"/>
              <w14:textFill>
                <w14:solidFill>
                  <w14:schemeClr w14:val="tx1"/>
                </w14:solidFill>
              </w14:textFill>
            </w:rPr>
            <w:t>五、评审</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_Toc4496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17</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76AEF494">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"_Toc27972" </w:instrText>
          </w:r>
          <w:r>
            <w:fldChar w:fldCharType="separate"/>
          </w:r>
          <w:r>
            <w:rPr>
              <w:rFonts w:hint="eastAsia" w:ascii="仿宋" w:hAnsi="仿宋" w:eastAsia="仿宋" w:cs="仿宋"/>
              <w:bCs/>
              <w:color w:val="000000" w:themeColor="text1"/>
              <w:sz w:val="22"/>
              <w:szCs w:val="22"/>
              <w14:textFill>
                <w14:solidFill>
                  <w14:schemeClr w14:val="tx1"/>
                </w14:solidFill>
              </w14:textFill>
            </w:rPr>
            <w:t>六、评审结果确定</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_Toc27972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17</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30E9CE5F">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"_Toc9951" </w:instrText>
          </w:r>
          <w:r>
            <w:fldChar w:fldCharType="separate"/>
          </w:r>
          <w:r>
            <w:rPr>
              <w:rFonts w:hint="eastAsia" w:ascii="仿宋" w:hAnsi="仿宋" w:eastAsia="仿宋" w:cs="仿宋"/>
              <w:bCs/>
              <w:color w:val="000000" w:themeColor="text1"/>
              <w:sz w:val="22"/>
              <w:szCs w:val="22"/>
              <w14:textFill>
                <w14:solidFill>
                  <w14:schemeClr w14:val="tx1"/>
                </w14:solidFill>
              </w14:textFill>
            </w:rPr>
            <w:t>七、合同授予</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_Toc9951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18</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149EEF0D">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"_Toc10266" </w:instrText>
          </w:r>
          <w:r>
            <w:fldChar w:fldCharType="separate"/>
          </w:r>
          <w:r>
            <w:rPr>
              <w:rFonts w:hint="eastAsia" w:ascii="仿宋" w:hAnsi="仿宋" w:eastAsia="仿宋" w:cs="仿宋"/>
              <w:bCs/>
              <w:color w:val="000000" w:themeColor="text1"/>
              <w:sz w:val="22"/>
              <w:szCs w:val="22"/>
              <w14:textFill>
                <w14:solidFill>
                  <w14:schemeClr w14:val="tx1"/>
                </w14:solidFill>
              </w14:textFill>
            </w:rPr>
            <w:t>八、电子交易活动的中止</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_Toc10266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18</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304585B6">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"_Toc7610" </w:instrText>
          </w:r>
          <w:r>
            <w:fldChar w:fldCharType="separate"/>
          </w:r>
          <w:r>
            <w:rPr>
              <w:rFonts w:hint="eastAsia" w:ascii="仿宋" w:hAnsi="仿宋" w:eastAsia="仿宋" w:cs="仿宋"/>
              <w:bCs/>
              <w:color w:val="000000" w:themeColor="text1"/>
              <w:sz w:val="22"/>
              <w:szCs w:val="22"/>
              <w14:textFill>
                <w14:solidFill>
                  <w14:schemeClr w14:val="tx1"/>
                </w14:solidFill>
              </w14:textFill>
            </w:rPr>
            <w:t>九、验收</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_Toc7610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19</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76277599">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"_Toc1683" </w:instrText>
          </w:r>
          <w:r>
            <w:fldChar w:fldCharType="separate"/>
          </w:r>
          <w:r>
            <w:rPr>
              <w:rFonts w:hint="eastAsia" w:ascii="仿宋" w:hAnsi="仿宋" w:eastAsia="仿宋" w:cs="仿宋"/>
              <w:bCs/>
              <w:color w:val="000000" w:themeColor="text1"/>
              <w:kern w:val="2"/>
              <w:sz w:val="22"/>
              <w:szCs w:val="22"/>
              <w14:textFill>
                <w14:solidFill>
                  <w14:schemeClr w14:val="tx1"/>
                </w14:solidFill>
              </w14:textFill>
            </w:rPr>
            <w:t>第三部分 采购需求</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_Toc1683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20</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62D770A8">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"_Toc3529" </w:instrText>
          </w:r>
          <w:r>
            <w:fldChar w:fldCharType="separate"/>
          </w:r>
          <w:r>
            <w:rPr>
              <w:rFonts w:hint="eastAsia" w:ascii="仿宋" w:hAnsi="仿宋" w:eastAsia="仿宋" w:cs="仿宋"/>
              <w:bCs/>
              <w:color w:val="000000" w:themeColor="text1"/>
              <w:sz w:val="22"/>
              <w:szCs w:val="48"/>
              <w14:textFill>
                <w14:solidFill>
                  <w14:schemeClr w14:val="tx1"/>
                </w14:solidFill>
              </w14:textFill>
            </w:rPr>
            <w:t>第四部分 评审办法</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_Toc3529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41</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7E09C374">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"_Toc19074" </w:instrText>
          </w:r>
          <w:r>
            <w:fldChar w:fldCharType="separate"/>
          </w:r>
          <w:r>
            <w:rPr>
              <w:rFonts w:hint="eastAsia" w:ascii="仿宋" w:hAnsi="仿宋" w:eastAsia="仿宋" w:cs="仿宋"/>
              <w:bCs/>
              <w:color w:val="000000" w:themeColor="text1"/>
              <w:sz w:val="22"/>
              <w:szCs w:val="22"/>
              <w14:textFill>
                <w14:solidFill>
                  <w14:schemeClr w14:val="tx1"/>
                </w14:solidFill>
              </w14:textFill>
            </w:rPr>
            <w:t>第五部分 拟签订的合同文本</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_Toc19074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51</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579C44F5">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"_Toc11158" </w:instrText>
          </w:r>
          <w:r>
            <w:fldChar w:fldCharType="separate"/>
          </w:r>
          <w:r>
            <w:rPr>
              <w:rFonts w:hint="eastAsia" w:ascii="仿宋" w:hAnsi="仿宋" w:eastAsia="仿宋" w:cs="仿宋"/>
              <w:bCs/>
              <w:color w:val="000000" w:themeColor="text1"/>
              <w:sz w:val="22"/>
              <w:szCs w:val="22"/>
              <w14:textFill>
                <w14:solidFill>
                  <w14:schemeClr w14:val="tx1"/>
                </w14:solidFill>
              </w14:textFill>
            </w:rPr>
            <w:t>第六部分 应提交的有关格式范例</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_Toc11158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69</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10E42BF">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"_Toc12589" </w:instrText>
          </w:r>
          <w:r>
            <w:fldChar w:fldCharType="separate"/>
          </w:r>
          <w:r>
            <w:rPr>
              <w:rFonts w:hint="eastAsia" w:ascii="仿宋" w:hAnsi="仿宋" w:eastAsia="仿宋" w:cs="仿宋"/>
              <w:bCs/>
              <w:color w:val="000000" w:themeColor="text1"/>
              <w:sz w:val="22"/>
              <w:szCs w:val="22"/>
              <w14:textFill>
                <w14:solidFill>
                  <w14:schemeClr w14:val="tx1"/>
                </w14:solidFill>
              </w14:textFill>
            </w:rPr>
            <w:t>资格文件部分</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_Toc12589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69</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3B2367C3">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"_Toc640" </w:instrText>
          </w:r>
          <w:r>
            <w:fldChar w:fldCharType="separate"/>
          </w:r>
          <w:r>
            <w:rPr>
              <w:rFonts w:hint="eastAsia" w:ascii="仿宋" w:hAnsi="仿宋" w:eastAsia="仿宋" w:cs="仿宋"/>
              <w:bCs/>
              <w:color w:val="000000" w:themeColor="text1"/>
              <w:sz w:val="22"/>
              <w:szCs w:val="22"/>
              <w14:textFill>
                <w14:solidFill>
                  <w14:schemeClr w14:val="tx1"/>
                </w14:solidFill>
              </w14:textFill>
            </w:rPr>
            <w:t>商务技术文件部分</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_Toc640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77</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58507D87">
          <w:pPr>
            <w:pStyle w:val="35"/>
            <w:tabs>
              <w:tab w:val="right" w:leader="dot" w:pos="9746"/>
            </w:tabs>
            <w:spacing w:line="360" w:lineRule="auto"/>
            <w:ind w:left="420"/>
            <w:rPr>
              <w:rFonts w:ascii="仿宋" w:hAnsi="仿宋" w:eastAsia="仿宋" w:cs="仿宋"/>
              <w:bCs/>
              <w:color w:val="000000" w:themeColor="text1"/>
              <w:sz w:val="22"/>
              <w:szCs w:val="22"/>
              <w14:textFill>
                <w14:solidFill>
                  <w14:schemeClr w14:val="tx1"/>
                </w14:solidFill>
              </w14:textFill>
            </w:rPr>
          </w:pPr>
          <w:r>
            <w:fldChar w:fldCharType="begin"/>
          </w:r>
          <w:r>
            <w:instrText xml:space="preserve"> HYPERLINK \l "_Toc13144" </w:instrText>
          </w:r>
          <w:r>
            <w:fldChar w:fldCharType="separate"/>
          </w:r>
          <w:r>
            <w:rPr>
              <w:rFonts w:hint="eastAsia" w:ascii="仿宋" w:hAnsi="仿宋" w:eastAsia="仿宋" w:cs="仿宋"/>
              <w:bCs/>
              <w:color w:val="000000" w:themeColor="text1"/>
              <w:sz w:val="22"/>
              <w:szCs w:val="22"/>
              <w14:textFill>
                <w14:solidFill>
                  <w14:schemeClr w14:val="tx1"/>
                </w14:solidFill>
              </w14:textFill>
            </w:rPr>
            <w:t>报价文件部分</w:t>
          </w:r>
          <w:r>
            <w:rPr>
              <w:rFonts w:hint="eastAsia" w:ascii="仿宋" w:hAnsi="仿宋" w:eastAsia="仿宋" w:cs="仿宋"/>
              <w:bCs/>
              <w:color w:val="000000" w:themeColor="text1"/>
              <w:sz w:val="22"/>
              <w:szCs w:val="22"/>
              <w14:textFill>
                <w14:solidFill>
                  <w14:schemeClr w14:val="tx1"/>
                </w14:solidFill>
              </w14:textFill>
            </w:rPr>
            <w:tab/>
          </w:r>
          <w:r>
            <w:rPr>
              <w:rFonts w:hint="eastAsia" w:ascii="仿宋" w:hAnsi="仿宋" w:eastAsia="仿宋" w:cs="仿宋"/>
              <w:bCs/>
              <w:color w:val="000000" w:themeColor="text1"/>
              <w:sz w:val="22"/>
              <w:szCs w:val="22"/>
              <w14:textFill>
                <w14:solidFill>
                  <w14:schemeClr w14:val="tx1"/>
                </w14:solidFill>
              </w14:textFill>
            </w:rPr>
            <w:fldChar w:fldCharType="begin"/>
          </w:r>
          <w:r>
            <w:rPr>
              <w:rFonts w:hint="eastAsia" w:ascii="仿宋" w:hAnsi="仿宋" w:eastAsia="仿宋" w:cs="仿宋"/>
              <w:bCs/>
              <w:color w:val="000000" w:themeColor="text1"/>
              <w:sz w:val="22"/>
              <w:szCs w:val="22"/>
              <w14:textFill>
                <w14:solidFill>
                  <w14:schemeClr w14:val="tx1"/>
                </w14:solidFill>
              </w14:textFill>
            </w:rPr>
            <w:instrText xml:space="preserve"> PAGEREF _Toc13144 \h </w:instrText>
          </w:r>
          <w:r>
            <w:rPr>
              <w:rFonts w:hint="eastAsia" w:ascii="仿宋" w:hAnsi="仿宋" w:eastAsia="仿宋" w:cs="仿宋"/>
              <w:bCs/>
              <w:color w:val="000000" w:themeColor="text1"/>
              <w:sz w:val="22"/>
              <w:szCs w:val="22"/>
              <w14:textFill>
                <w14:solidFill>
                  <w14:schemeClr w14:val="tx1"/>
                </w14:solidFill>
              </w14:textFill>
            </w:rPr>
            <w:fldChar w:fldCharType="separate"/>
          </w:r>
          <w:r>
            <w:rPr>
              <w:rFonts w:hint="eastAsia" w:ascii="仿宋" w:hAnsi="仿宋" w:eastAsia="仿宋" w:cs="仿宋"/>
              <w:bCs/>
              <w:color w:val="000000" w:themeColor="text1"/>
              <w:sz w:val="22"/>
              <w:szCs w:val="22"/>
              <w14:textFill>
                <w14:solidFill>
                  <w14:schemeClr w14:val="tx1"/>
                </w14:solidFill>
              </w14:textFill>
            </w:rPr>
            <w:t>84</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fldChar w:fldCharType="end"/>
          </w:r>
        </w:p>
        <w:p w14:paraId="22EC8E25">
          <w:pPr>
            <w:pStyle w:val="34"/>
            <w:tabs>
              <w:tab w:val="right" w:leader="dot" w:pos="9746"/>
            </w:tabs>
            <w:spacing w:line="360" w:lineRule="auto"/>
            <w:rPr>
              <w:rFonts w:ascii="仿宋" w:hAnsi="仿宋" w:eastAsia="仿宋" w:cs="仿宋"/>
              <w:bCs/>
              <w:color w:val="000000" w:themeColor="text1"/>
              <w:sz w:val="22"/>
              <w:szCs w:val="22"/>
              <w14:textFill>
                <w14:solidFill>
                  <w14:schemeClr w14:val="tx1"/>
                </w14:solidFill>
              </w14:textFill>
            </w:rPr>
          </w:pPr>
        </w:p>
        <w:p w14:paraId="6815DCB5">
          <w:pPr>
            <w:rPr>
              <w:rFonts w:ascii="仿宋" w:eastAsia="仿宋" w:cs="仿宋"/>
              <w:b/>
              <w:color w:val="000000" w:themeColor="text1"/>
              <w14:textFill>
                <w14:solidFill>
                  <w14:schemeClr w14:val="tx1"/>
                </w14:solidFill>
              </w14:textFill>
            </w:rPr>
          </w:pPr>
          <w:r>
            <w:rPr>
              <w:rFonts w:hint="eastAsia" w:ascii="仿宋" w:eastAsia="仿宋" w:cs="仿宋"/>
              <w:b/>
              <w:color w:val="000000" w:themeColor="text1"/>
              <w14:textFill>
                <w14:solidFill>
                  <w14:schemeClr w14:val="tx1"/>
                </w14:solidFill>
              </w14:textFill>
            </w:rPr>
            <w:fldChar w:fldCharType="end"/>
          </w:r>
        </w:p>
      </w:sdtContent>
    </w:sdt>
    <w:p w14:paraId="29C0FF98">
      <w:pPr>
        <w:rPr>
          <w:rFonts w:ascii="仿宋" w:eastAsia="仿宋" w:cs="仿宋"/>
          <w:b/>
          <w:color w:val="000000" w:themeColor="text1"/>
          <w14:textFill>
            <w14:solidFill>
              <w14:schemeClr w14:val="tx1"/>
            </w14:solidFill>
          </w14:textFill>
        </w:rPr>
      </w:pPr>
    </w:p>
    <w:p w14:paraId="6C1A3D03">
      <w:pPr>
        <w:rPr>
          <w:rStyle w:val="25"/>
          <w:rFonts w:ascii="仿宋" w:eastAsia="仿宋" w:cs="仿宋"/>
          <w:color w:val="000000" w:themeColor="text1"/>
          <w14:textFill>
            <w14:solidFill>
              <w14:schemeClr w14:val="tx1"/>
            </w14:solidFill>
          </w14:textFill>
        </w:rPr>
      </w:pPr>
      <w:r>
        <w:rPr>
          <w:rStyle w:val="25"/>
          <w:rFonts w:hint="eastAsia" w:ascii="仿宋" w:eastAsia="仿宋" w:cs="仿宋"/>
          <w:color w:val="000000" w:themeColor="text1"/>
          <w14:textFill>
            <w14:solidFill>
              <w14:schemeClr w14:val="tx1"/>
            </w14:solidFill>
          </w14:textFill>
        </w:rPr>
        <w:br w:type="page"/>
      </w:r>
    </w:p>
    <w:p w14:paraId="45A39147">
      <w:pPr>
        <w:pStyle w:val="14"/>
        <w:tabs>
          <w:tab w:val="right" w:leader="dot" w:pos="9746"/>
        </w:tabs>
        <w:spacing w:line="360" w:lineRule="auto"/>
        <w:jc w:val="center"/>
        <w:outlineLvl w:val="0"/>
        <w:rPr>
          <w:rFonts w:ascii="仿宋" w:hAnsi="仿宋" w:eastAsia="仿宋" w:cs="仿宋"/>
          <w:b/>
          <w:color w:val="000000" w:themeColor="text1"/>
          <w:sz w:val="36"/>
          <w:szCs w:val="20"/>
          <w14:textFill>
            <w14:solidFill>
              <w14:schemeClr w14:val="tx1"/>
            </w14:solidFill>
          </w14:textFill>
        </w:rPr>
      </w:pPr>
      <w:bookmarkStart w:id="4" w:name="_Toc19618"/>
      <w:r>
        <w:rPr>
          <w:rStyle w:val="25"/>
          <w:rFonts w:hint="eastAsia" w:ascii="仿宋" w:eastAsia="仿宋" w:cs="仿宋"/>
          <w:color w:val="000000" w:themeColor="text1"/>
          <w14:textFill>
            <w14:solidFill>
              <w14:schemeClr w14:val="tx1"/>
            </w14:solidFill>
          </w14:textFill>
        </w:rPr>
        <w:t>第一部分 采购公告</w:t>
      </w:r>
      <w:bookmarkEnd w:id="3"/>
      <w:bookmarkEnd w:id="4"/>
    </w:p>
    <w:p w14:paraId="2F092DEE">
      <w:pPr>
        <w:pBdr>
          <w:top w:val="single" w:color="auto" w:sz="4" w:space="1"/>
          <w:left w:val="single" w:color="auto" w:sz="4" w:space="4"/>
          <w:bottom w:val="single" w:color="auto" w:sz="4" w:space="1"/>
          <w:right w:val="single" w:color="auto" w:sz="4" w:space="4"/>
        </w:pBdr>
        <w:spacing w:line="360" w:lineRule="auto"/>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项目概况</w:t>
      </w:r>
    </w:p>
    <w:p w14:paraId="0E33D4D6">
      <w:pPr>
        <w:pBdr>
          <w:top w:val="single" w:color="auto" w:sz="4" w:space="1"/>
          <w:left w:val="single" w:color="auto" w:sz="4" w:space="4"/>
          <w:bottom w:val="single" w:color="auto" w:sz="4" w:space="1"/>
          <w:right w:val="single" w:color="auto" w:sz="4" w:space="4"/>
        </w:pBdr>
        <w:spacing w:line="360" w:lineRule="auto"/>
        <w:ind w:firstLine="440" w:firstLineChars="200"/>
        <w:rPr>
          <w:rFonts w:ascii="仿宋" w:hAnsi="仿宋" w:eastAsia="仿宋" w:cs="仿宋"/>
          <w:color w:val="000000" w:themeColor="text1"/>
          <w:sz w:val="22"/>
          <w:szCs w:val="22"/>
          <w:u w:val="single"/>
          <w14:textFill>
            <w14:solidFill>
              <w14:schemeClr w14:val="tx1"/>
            </w14:solidFill>
          </w14:textFill>
        </w:rPr>
      </w:pPr>
      <w:r>
        <w:rPr>
          <w:rFonts w:hint="eastAsia" w:ascii="仿宋" w:hAnsi="仿宋" w:eastAsia="仿宋" w:cs="仿宋"/>
          <w:color w:val="000000" w:themeColor="text1"/>
          <w:sz w:val="22"/>
          <w:szCs w:val="22"/>
          <w:lang w:eastAsia="zh-CN"/>
          <w14:textFill>
            <w14:solidFill>
              <w14:schemeClr w14:val="tx1"/>
            </w14:solidFill>
          </w14:textFill>
        </w:rPr>
        <w:t>温州公安数据域数据处理服务平台</w:t>
      </w:r>
      <w:r>
        <w:rPr>
          <w:rFonts w:hint="eastAsia" w:ascii="仿宋" w:hAnsi="仿宋" w:eastAsia="仿宋" w:cs="仿宋"/>
          <w:color w:val="000000" w:themeColor="text1"/>
          <w:sz w:val="22"/>
          <w:szCs w:val="22"/>
          <w14:textFill>
            <w14:solidFill>
              <w14:schemeClr w14:val="tx1"/>
            </w14:solidFill>
          </w14:textFill>
        </w:rPr>
        <w:t>的潜在供应商应在政采云平台（</w:t>
      </w:r>
      <w:r>
        <w:fldChar w:fldCharType="begin"/>
      </w:r>
      <w:r>
        <w:instrText xml:space="preserve"> HYPERLINK "https://www.zcygov.cn/）获取（下载）招标文件，并于2021年" </w:instrText>
      </w:r>
      <w:r>
        <w:fldChar w:fldCharType="separate"/>
      </w:r>
      <w:r>
        <w:rPr>
          <w:rStyle w:val="23"/>
          <w:rFonts w:hint="eastAsia" w:ascii="仿宋" w:hAnsi="仿宋" w:eastAsia="仿宋" w:cs="仿宋"/>
          <w:snapToGrid/>
          <w:color w:val="000000" w:themeColor="text1"/>
          <w:kern w:val="2"/>
          <w:sz w:val="22"/>
          <w:szCs w:val="22"/>
          <w14:textFill>
            <w14:solidFill>
              <w14:schemeClr w14:val="tx1"/>
            </w14:solidFill>
          </w14:textFill>
        </w:rPr>
        <w:t>https://www.zcygov.cn/）获取（下载）采购文件，并于</w:t>
      </w:r>
      <w:r>
        <w:rPr>
          <w:rFonts w:hint="eastAsia" w:ascii="仿宋" w:hAnsi="仿宋" w:eastAsia="仿宋" w:cs="仿宋"/>
          <w:color w:val="000000" w:themeColor="text1"/>
          <w:sz w:val="22"/>
          <w:szCs w:val="22"/>
          <w14:textFill>
            <w14:solidFill>
              <w14:schemeClr w14:val="tx1"/>
            </w14:solidFill>
          </w14:textFill>
        </w:rPr>
        <w:t>2025年</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月</w:t>
      </w:r>
      <w:r>
        <w:rPr>
          <w:rFonts w:hint="eastAsia" w:ascii="仿宋" w:hAnsi="仿宋" w:eastAsia="仿宋" w:cs="仿宋"/>
          <w:color w:val="000000" w:themeColor="text1"/>
          <w:sz w:val="22"/>
          <w:szCs w:val="22"/>
          <w:lang w:val="en-US" w:eastAsia="zh-CN"/>
          <w14:textFill>
            <w14:solidFill>
              <w14:schemeClr w14:val="tx1"/>
            </w14:solidFill>
          </w14:textFill>
        </w:rPr>
        <w:t>11</w:t>
      </w:r>
      <w:r>
        <w:rPr>
          <w:rFonts w:hint="eastAsia" w:ascii="仿宋" w:hAnsi="仿宋" w:eastAsia="仿宋" w:cs="仿宋"/>
          <w:color w:val="000000" w:themeColor="text1"/>
          <w:sz w:val="22"/>
          <w:szCs w:val="22"/>
          <w14:textFill>
            <w14:solidFill>
              <w14:schemeClr w14:val="tx1"/>
            </w14:solidFill>
          </w14:textFill>
        </w:rPr>
        <w:t>日09点30分</w:t>
      </w:r>
      <w:r>
        <w:rPr>
          <w:rFonts w:hint="eastAsia" w:ascii="仿宋" w:hAnsi="仿宋" w:eastAsia="仿宋" w:cs="仿宋"/>
          <w:bCs/>
          <w:color w:val="000000" w:themeColor="text1"/>
          <w:sz w:val="22"/>
          <w:szCs w:val="22"/>
          <w14:textFill>
            <w14:solidFill>
              <w14:schemeClr w14:val="tx1"/>
            </w14:solidFill>
          </w14:textFill>
        </w:rPr>
        <w:t>00秒</w:t>
      </w:r>
      <w:r>
        <w:rPr>
          <w:rFonts w:hint="eastAsia" w:ascii="仿宋" w:hAnsi="仿宋" w:eastAsia="仿宋" w:cs="仿宋"/>
          <w:bCs/>
          <w:color w:val="000000" w:themeColor="text1"/>
          <w:sz w:val="22"/>
          <w:szCs w:val="22"/>
          <w14:textFill>
            <w14:solidFill>
              <w14:schemeClr w14:val="tx1"/>
            </w14:solidFill>
          </w14:textFill>
        </w:rPr>
        <w:fldChar w:fldCharType="end"/>
      </w:r>
      <w:r>
        <w:rPr>
          <w:rFonts w:hint="eastAsia" w:ascii="仿宋" w:hAnsi="仿宋" w:eastAsia="仿宋" w:cs="仿宋"/>
          <w:bCs/>
          <w:color w:val="000000" w:themeColor="text1"/>
          <w:sz w:val="22"/>
          <w:szCs w:val="22"/>
          <w14:textFill>
            <w14:solidFill>
              <w14:schemeClr w14:val="tx1"/>
            </w14:solidFill>
          </w14:textFill>
        </w:rPr>
        <w:t>（北京时间）前</w:t>
      </w:r>
      <w:r>
        <w:rPr>
          <w:rFonts w:hint="eastAsia" w:ascii="仿宋" w:hAnsi="仿宋" w:eastAsia="仿宋" w:cs="仿宋"/>
          <w:color w:val="000000" w:themeColor="text1"/>
          <w:sz w:val="22"/>
          <w:szCs w:val="22"/>
          <w14:textFill>
            <w14:solidFill>
              <w14:schemeClr w14:val="tx1"/>
            </w14:solidFill>
          </w14:textFill>
        </w:rPr>
        <w:t>递交（上传）响应文件。</w:t>
      </w:r>
    </w:p>
    <w:p w14:paraId="7578D341">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5" w:name="_Toc25687"/>
      <w:r>
        <w:rPr>
          <w:rFonts w:hint="eastAsia" w:ascii="仿宋" w:hAnsi="仿宋" w:eastAsia="仿宋" w:cs="仿宋"/>
          <w:b/>
          <w:color w:val="000000" w:themeColor="text1"/>
          <w:sz w:val="22"/>
          <w:szCs w:val="22"/>
          <w14:textFill>
            <w14:solidFill>
              <w14:schemeClr w14:val="tx1"/>
            </w14:solidFill>
          </w14:textFill>
        </w:rPr>
        <w:t>一、项目基本情况</w:t>
      </w:r>
      <w:bookmarkEnd w:id="5"/>
      <w:r>
        <w:rPr>
          <w:rFonts w:hint="eastAsia" w:ascii="仿宋" w:hAnsi="仿宋" w:eastAsia="仿宋" w:cs="仿宋"/>
          <w:b/>
          <w:color w:val="000000" w:themeColor="text1"/>
          <w:sz w:val="22"/>
          <w:szCs w:val="22"/>
          <w14:textFill>
            <w14:solidFill>
              <w14:schemeClr w14:val="tx1"/>
            </w14:solidFill>
          </w14:textFill>
        </w:rPr>
        <w:t xml:space="preserve">                                            </w:t>
      </w:r>
    </w:p>
    <w:p w14:paraId="374D69B0">
      <w:pPr>
        <w:spacing w:line="360" w:lineRule="auto"/>
        <w:ind w:firstLine="482"/>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项目编号：</w:t>
      </w:r>
      <w:r>
        <w:rPr>
          <w:rFonts w:hint="eastAsia" w:ascii="仿宋" w:hAnsi="仿宋" w:eastAsia="仿宋" w:cs="仿宋"/>
          <w:bCs/>
          <w:color w:val="000000" w:themeColor="text1"/>
          <w:sz w:val="22"/>
          <w:szCs w:val="22"/>
          <w:lang w:eastAsia="zh-CN"/>
          <w14:textFill>
            <w14:solidFill>
              <w14:schemeClr w14:val="tx1"/>
            </w14:solidFill>
          </w14:textFill>
        </w:rPr>
        <w:t>WZLCZB（W）-2025-03089</w:t>
      </w:r>
      <w:r>
        <w:rPr>
          <w:rFonts w:hint="eastAsia" w:ascii="仿宋" w:hAnsi="仿宋" w:eastAsia="仿宋" w:cs="仿宋"/>
          <w:bCs/>
          <w:color w:val="000000" w:themeColor="text1"/>
          <w:sz w:val="22"/>
          <w:szCs w:val="22"/>
          <w14:textFill>
            <w14:solidFill>
              <w14:schemeClr w14:val="tx1"/>
            </w14:solidFill>
          </w14:textFill>
        </w:rPr>
        <w:t xml:space="preserve"> </w:t>
      </w:r>
      <w:r>
        <w:rPr>
          <w:rFonts w:hint="eastAsia" w:ascii="仿宋" w:hAnsi="仿宋" w:eastAsia="仿宋" w:cs="仿宋"/>
          <w:color w:val="000000" w:themeColor="text1"/>
          <w:sz w:val="22"/>
          <w:szCs w:val="22"/>
          <w14:textFill>
            <w14:solidFill>
              <w14:schemeClr w14:val="tx1"/>
            </w14:solidFill>
          </w14:textFill>
        </w:rPr>
        <w:t xml:space="preserve">  </w:t>
      </w:r>
    </w:p>
    <w:p w14:paraId="2FDC4F31">
      <w:pPr>
        <w:spacing w:line="360" w:lineRule="auto"/>
        <w:ind w:firstLine="482"/>
        <w:rPr>
          <w:rFonts w:hint="eastAsia" w:ascii="仿宋" w:hAnsi="仿宋" w:eastAsia="仿宋" w:cs="仿宋"/>
          <w:color w:val="000000" w:themeColor="text1"/>
          <w:sz w:val="22"/>
          <w:szCs w:val="22"/>
          <w:lang w:eastAsia="zh-CN"/>
          <w14:textFill>
            <w14:solidFill>
              <w14:schemeClr w14:val="tx1"/>
            </w14:solidFill>
          </w14:textFill>
        </w:rPr>
      </w:pPr>
      <w:bookmarkStart w:id="6" w:name="_Toc6138"/>
      <w:bookmarkStart w:id="7" w:name="_Toc24632"/>
      <w:r>
        <w:rPr>
          <w:rFonts w:hint="eastAsia" w:ascii="仿宋" w:hAnsi="仿宋" w:eastAsia="仿宋" w:cs="仿宋"/>
          <w:b/>
          <w:color w:val="000000" w:themeColor="text1"/>
          <w:sz w:val="22"/>
          <w:szCs w:val="22"/>
          <w14:textFill>
            <w14:solidFill>
              <w14:schemeClr w14:val="tx1"/>
            </w14:solidFill>
          </w14:textFill>
        </w:rPr>
        <w:t>项目名称：</w:t>
      </w:r>
      <w:bookmarkEnd w:id="6"/>
      <w:bookmarkEnd w:id="7"/>
      <w:r>
        <w:rPr>
          <w:rFonts w:hint="eastAsia" w:ascii="仿宋" w:hAnsi="仿宋" w:eastAsia="仿宋" w:cs="仿宋"/>
          <w:color w:val="000000" w:themeColor="text1"/>
          <w:sz w:val="22"/>
          <w:szCs w:val="22"/>
          <w:lang w:eastAsia="zh-CN"/>
          <w14:textFill>
            <w14:solidFill>
              <w14:schemeClr w14:val="tx1"/>
            </w14:solidFill>
          </w14:textFill>
        </w:rPr>
        <w:t>温州公安数据域数据处理服务平台</w:t>
      </w:r>
    </w:p>
    <w:p w14:paraId="31D6E4DE">
      <w:pPr>
        <w:spacing w:line="360" w:lineRule="auto"/>
        <w:ind w:firstLine="48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采购方式：</w:t>
      </w:r>
      <w:r>
        <w:rPr>
          <w:rFonts w:hint="eastAsia" w:ascii="仿宋" w:hAnsi="仿宋" w:eastAsia="仿宋" w:cs="仿宋"/>
          <w:bCs/>
          <w:color w:val="000000" w:themeColor="text1"/>
          <w:sz w:val="22"/>
          <w:szCs w:val="22"/>
          <w14:textFill>
            <w14:solidFill>
              <w14:schemeClr w14:val="tx1"/>
            </w14:solidFill>
          </w14:textFill>
        </w:rPr>
        <w:t>竞争性磋商</w:t>
      </w:r>
    </w:p>
    <w:p w14:paraId="1C16D8DD">
      <w:pPr>
        <w:spacing w:line="360" w:lineRule="auto"/>
        <w:ind w:firstLine="48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预算金额（元）：</w:t>
      </w:r>
      <w:r>
        <w:rPr>
          <w:rFonts w:hint="eastAsia" w:ascii="仿宋" w:hAnsi="仿宋" w:eastAsia="仿宋" w:cs="仿宋"/>
          <w:bCs/>
          <w:color w:val="000000" w:themeColor="text1"/>
          <w:sz w:val="22"/>
          <w:szCs w:val="22"/>
          <w14:textFill>
            <w14:solidFill>
              <w14:schemeClr w14:val="tx1"/>
            </w14:solidFill>
          </w14:textFill>
        </w:rPr>
        <w:t>1191000</w:t>
      </w:r>
    </w:p>
    <w:p w14:paraId="338A6350">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最高限价（元）：</w:t>
      </w:r>
      <w:r>
        <w:rPr>
          <w:rFonts w:hint="eastAsia" w:ascii="仿宋" w:hAnsi="仿宋" w:eastAsia="仿宋" w:cs="仿宋"/>
          <w:bCs/>
          <w:color w:val="000000" w:themeColor="text1"/>
          <w:sz w:val="22"/>
          <w:szCs w:val="22"/>
          <w14:textFill>
            <w14:solidFill>
              <w14:schemeClr w14:val="tx1"/>
            </w14:solidFill>
          </w14:textFill>
        </w:rPr>
        <w:t>1191000</w:t>
      </w:r>
      <w:r>
        <w:rPr>
          <w:rFonts w:hint="eastAsia" w:ascii="仿宋" w:hAnsi="仿宋" w:eastAsia="仿宋" w:cs="仿宋"/>
          <w:color w:val="000000" w:themeColor="text1"/>
          <w:sz w:val="22"/>
          <w:szCs w:val="22"/>
          <w14:textFill>
            <w14:solidFill>
              <w14:schemeClr w14:val="tx1"/>
            </w14:solidFill>
          </w14:textFill>
        </w:rPr>
        <w:t xml:space="preserve">            </w:t>
      </w:r>
    </w:p>
    <w:p w14:paraId="5F10C369">
      <w:pPr>
        <w:spacing w:line="360" w:lineRule="auto"/>
        <w:ind w:firstLine="480"/>
        <w:rPr>
          <w:rFonts w:ascii="仿宋" w:hAnsi="仿宋" w:eastAsia="仿宋" w:cs="仿宋"/>
          <w:b/>
          <w:color w:val="000000" w:themeColor="text1"/>
          <w:sz w:val="22"/>
          <w:szCs w:val="22"/>
          <w14:textFill>
            <w14:solidFill>
              <w14:schemeClr w14:val="tx1"/>
            </w14:solidFill>
          </w14:textFill>
        </w:rPr>
      </w:pPr>
    </w:p>
    <w:p w14:paraId="21257AB3">
      <w:pPr>
        <w:spacing w:line="360" w:lineRule="auto"/>
        <w:ind w:firstLine="48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采购需求：</w:t>
      </w:r>
      <w:bookmarkStart w:id="8" w:name="_Toc26996"/>
      <w:bookmarkStart w:id="9" w:name="_Toc142"/>
      <w:bookmarkStart w:id="10" w:name="_Toc28404"/>
    </w:p>
    <w:p w14:paraId="35E0D98E">
      <w:pPr>
        <w:spacing w:line="360" w:lineRule="auto"/>
        <w:ind w:firstLine="480"/>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数量：</w:t>
      </w:r>
      <w:r>
        <w:rPr>
          <w:rFonts w:hint="eastAsia" w:ascii="仿宋" w:hAnsi="仿宋" w:eastAsia="仿宋" w:cs="仿宋"/>
          <w:color w:val="000000" w:themeColor="text1"/>
          <w:sz w:val="22"/>
          <w:szCs w:val="22"/>
          <w14:textFill>
            <w14:solidFill>
              <w14:schemeClr w14:val="tx1"/>
            </w14:solidFill>
          </w14:textFill>
        </w:rPr>
        <w:t xml:space="preserve"> 1</w:t>
      </w:r>
      <w:r>
        <w:rPr>
          <w:rFonts w:hint="eastAsia" w:ascii="仿宋" w:hAnsi="仿宋" w:eastAsia="仿宋" w:cs="仿宋"/>
          <w:b/>
          <w:bCs/>
          <w:color w:val="000000" w:themeColor="text1"/>
          <w:sz w:val="22"/>
          <w:szCs w:val="22"/>
          <w14:textFill>
            <w14:solidFill>
              <w14:schemeClr w14:val="tx1"/>
            </w14:solidFill>
          </w14:textFill>
        </w:rPr>
        <w:t xml:space="preserve">                   </w:t>
      </w:r>
    </w:p>
    <w:p w14:paraId="0E06DCBA">
      <w:pPr>
        <w:spacing w:line="360" w:lineRule="auto"/>
        <w:ind w:firstLine="48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预算金额（元）：</w:t>
      </w:r>
      <w:r>
        <w:rPr>
          <w:rFonts w:hint="eastAsia" w:ascii="仿宋" w:hAnsi="仿宋" w:eastAsia="仿宋" w:cs="仿宋"/>
          <w:bCs/>
          <w:color w:val="000000" w:themeColor="text1"/>
          <w:sz w:val="22"/>
          <w:szCs w:val="22"/>
          <w14:textFill>
            <w14:solidFill>
              <w14:schemeClr w14:val="tx1"/>
            </w14:solidFill>
          </w14:textFill>
        </w:rPr>
        <w:t>1191000</w:t>
      </w:r>
    </w:p>
    <w:p w14:paraId="384E91A1">
      <w:pPr>
        <w:spacing w:line="360" w:lineRule="auto"/>
        <w:ind w:firstLine="480"/>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单位：</w:t>
      </w:r>
      <w:r>
        <w:rPr>
          <w:rFonts w:hint="eastAsia" w:ascii="仿宋" w:hAnsi="仿宋" w:eastAsia="仿宋" w:cs="仿宋"/>
          <w:bCs/>
          <w:color w:val="000000" w:themeColor="text1"/>
          <w:sz w:val="22"/>
          <w:szCs w:val="22"/>
          <w14:textFill>
            <w14:solidFill>
              <w14:schemeClr w14:val="tx1"/>
            </w14:solidFill>
          </w14:textFill>
        </w:rPr>
        <w:t xml:space="preserve">项 </w:t>
      </w:r>
      <w:r>
        <w:rPr>
          <w:rFonts w:hint="eastAsia" w:ascii="仿宋" w:hAnsi="仿宋" w:eastAsia="仿宋" w:cs="仿宋"/>
          <w:b/>
          <w:bCs/>
          <w:color w:val="000000" w:themeColor="text1"/>
          <w:sz w:val="22"/>
          <w:szCs w:val="22"/>
          <w14:textFill>
            <w14:solidFill>
              <w14:schemeClr w14:val="tx1"/>
            </w14:solidFill>
          </w14:textFill>
        </w:rPr>
        <w:t xml:space="preserve">          </w:t>
      </w:r>
    </w:p>
    <w:p w14:paraId="3935A0F6">
      <w:pPr>
        <w:spacing w:line="360" w:lineRule="auto"/>
        <w:ind w:firstLine="480"/>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简要规格描述：</w:t>
      </w:r>
      <w:r>
        <w:rPr>
          <w:rFonts w:hint="eastAsia" w:ascii="仿宋" w:hAnsi="仿宋" w:eastAsia="仿宋" w:cs="仿宋"/>
          <w:color w:val="000000" w:themeColor="text1"/>
          <w:sz w:val="22"/>
          <w:szCs w:val="22"/>
          <w14:textFill>
            <w14:solidFill>
              <w14:schemeClr w14:val="tx1"/>
            </w14:solidFill>
          </w14:textFill>
        </w:rPr>
        <w:t>具体详见采购文件第三部分采购需求</w:t>
      </w:r>
      <w:r>
        <w:rPr>
          <w:rFonts w:hint="eastAsia" w:ascii="仿宋" w:hAnsi="仿宋" w:eastAsia="仿宋" w:cs="仿宋"/>
          <w:b/>
          <w:bCs/>
          <w:color w:val="000000" w:themeColor="text1"/>
          <w:sz w:val="22"/>
          <w:szCs w:val="22"/>
          <w14:textFill>
            <w14:solidFill>
              <w14:schemeClr w14:val="tx1"/>
            </w14:solidFill>
          </w14:textFill>
        </w:rPr>
        <w:t xml:space="preserve">           </w:t>
      </w:r>
    </w:p>
    <w:p w14:paraId="596CBE2E">
      <w:pPr>
        <w:spacing w:line="360" w:lineRule="auto"/>
        <w:ind w:firstLine="480"/>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备注：</w:t>
      </w:r>
    </w:p>
    <w:p w14:paraId="3BC8C91F">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合同履约期限：</w:t>
      </w:r>
      <w:bookmarkEnd w:id="8"/>
      <w:bookmarkEnd w:id="9"/>
      <w:r>
        <w:rPr>
          <w:rFonts w:hint="eastAsia" w:ascii="仿宋" w:hAnsi="仿宋" w:eastAsia="仿宋" w:cs="仿宋"/>
          <w:bCs/>
          <w:color w:val="000000" w:themeColor="text1"/>
          <w:sz w:val="22"/>
          <w:szCs w:val="22"/>
          <w14:textFill>
            <w14:solidFill>
              <w14:schemeClr w14:val="tx1"/>
            </w14:solidFill>
          </w14:textFill>
        </w:rPr>
        <w:t>标项 1，具体详见采购文件第三部分采购需求</w:t>
      </w:r>
      <w:bookmarkEnd w:id="10"/>
      <w:r>
        <w:rPr>
          <w:rFonts w:hint="eastAsia" w:ascii="仿宋" w:hAnsi="仿宋" w:eastAsia="仿宋" w:cs="仿宋"/>
          <w:color w:val="000000" w:themeColor="text1"/>
          <w:sz w:val="22"/>
          <w:szCs w:val="22"/>
          <w14:textFill>
            <w14:solidFill>
              <w14:schemeClr w14:val="tx1"/>
            </w14:solidFill>
          </w14:textFill>
        </w:rPr>
        <w:t xml:space="preserve"> </w:t>
      </w:r>
    </w:p>
    <w:p w14:paraId="20D87F02">
      <w:pPr>
        <w:spacing w:line="360" w:lineRule="auto"/>
        <w:ind w:firstLine="48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本项目</w:t>
      </w:r>
      <w:r>
        <w:rPr>
          <w:rFonts w:hint="eastAsia" w:ascii="仿宋" w:hAnsi="仿宋" w:eastAsia="仿宋" w:cs="仿宋"/>
          <w:b/>
          <w:color w:val="000000" w:themeColor="text1"/>
          <w:sz w:val="24"/>
          <w14:textFill>
            <w14:solidFill>
              <w14:schemeClr w14:val="tx1"/>
            </w14:solidFill>
          </w14:textFill>
        </w:rPr>
        <w:t>（</w:t>
      </w:r>
      <w:r>
        <w:rPr>
          <w:rFonts w:hint="eastAsia" w:ascii="仿宋" w:hAnsi="仿宋" w:eastAsia="仿宋" w:cs="仿宋"/>
          <w:color w:val="000000" w:themeColor="text1"/>
          <w:kern w:val="0"/>
          <w:sz w:val="24"/>
          <w14:textFill>
            <w14:solidFill>
              <w14:schemeClr w14:val="tx1"/>
            </w14:solidFill>
          </w14:textFill>
        </w:rPr>
        <w:sym w:font="Wingdings" w:char="00FE"/>
      </w:r>
      <w:r>
        <w:rPr>
          <w:rFonts w:hint="eastAsia" w:ascii="仿宋" w:hAnsi="仿宋" w:eastAsia="仿宋" w:cs="仿宋"/>
          <w:b/>
          <w:color w:val="000000" w:themeColor="text1"/>
          <w:sz w:val="24"/>
          <w14:textFill>
            <w14:solidFill>
              <w14:schemeClr w14:val="tx1"/>
            </w14:solidFill>
          </w14:textFill>
        </w:rPr>
        <w:t>是，</w:t>
      </w:r>
      <w:r>
        <w:rPr>
          <w:rFonts w:hint="eastAsia" w:ascii="仿宋" w:hAnsi="仿宋" w:eastAsia="仿宋" w:cs="仿宋"/>
          <w:color w:val="000000" w:themeColor="text1"/>
          <w:kern w:val="0"/>
          <w:sz w:val="24"/>
          <w14:textFill>
            <w14:solidFill>
              <w14:schemeClr w14:val="tx1"/>
            </w14:solidFill>
          </w14:textFill>
        </w:rPr>
        <w:sym w:font="Wingdings" w:char="00A8"/>
      </w:r>
      <w:r>
        <w:rPr>
          <w:rFonts w:hint="eastAsia" w:ascii="仿宋" w:hAnsi="仿宋" w:eastAsia="仿宋" w:cs="仿宋"/>
          <w:b/>
          <w:color w:val="000000" w:themeColor="text1"/>
          <w:sz w:val="24"/>
          <w14:textFill>
            <w14:solidFill>
              <w14:schemeClr w14:val="tx1"/>
            </w14:solidFill>
          </w14:textFill>
        </w:rPr>
        <w:t>否）</w:t>
      </w:r>
      <w:r>
        <w:rPr>
          <w:rFonts w:hint="eastAsia" w:ascii="仿宋" w:hAnsi="仿宋" w:eastAsia="仿宋" w:cs="仿宋"/>
          <w:b/>
          <w:color w:val="000000" w:themeColor="text1"/>
          <w:sz w:val="22"/>
          <w:szCs w:val="22"/>
          <w14:textFill>
            <w14:solidFill>
              <w14:schemeClr w14:val="tx1"/>
            </w14:solidFill>
          </w14:textFill>
        </w:rPr>
        <w:t>接受联合体响应</w:t>
      </w:r>
      <w:r>
        <w:rPr>
          <w:rFonts w:hint="eastAsia" w:ascii="仿宋" w:hAnsi="仿宋" w:eastAsia="仿宋" w:cs="仿宋"/>
          <w:color w:val="000000" w:themeColor="text1"/>
          <w:kern w:val="0"/>
          <w:sz w:val="22"/>
          <w:szCs w:val="22"/>
          <w14:textFill>
            <w14:solidFill>
              <w14:schemeClr w14:val="tx1"/>
            </w14:solidFill>
          </w14:textFill>
        </w:rPr>
        <w:t>。</w:t>
      </w:r>
    </w:p>
    <w:p w14:paraId="2C8D33EA">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11" w:name="_Toc9283"/>
      <w:bookmarkStart w:id="12" w:name="_Toc8285"/>
      <w:r>
        <w:rPr>
          <w:rFonts w:hint="eastAsia" w:ascii="仿宋" w:hAnsi="仿宋" w:eastAsia="仿宋" w:cs="仿宋"/>
          <w:b/>
          <w:color w:val="000000" w:themeColor="text1"/>
          <w:sz w:val="22"/>
          <w:szCs w:val="22"/>
          <w14:textFill>
            <w14:solidFill>
              <w14:schemeClr w14:val="tx1"/>
            </w14:solidFill>
          </w14:textFill>
        </w:rPr>
        <w:t>二、申请人的资格要求：</w:t>
      </w:r>
      <w:bookmarkEnd w:id="11"/>
      <w:bookmarkEnd w:id="12"/>
    </w:p>
    <w:p w14:paraId="400D56B9">
      <w:pPr>
        <w:shd w:val="clear"/>
        <w:spacing w:line="360" w:lineRule="auto"/>
        <w:ind w:firstLine="480"/>
        <w:rPr>
          <w:rFonts w:ascii="仿宋" w:hAnsi="仿宋" w:eastAsia="仿宋" w:cs="仿宋"/>
          <w:snapToGrid w:val="0"/>
          <w:color w:val="000000" w:themeColor="text1"/>
          <w:kern w:val="28"/>
          <w:sz w:val="22"/>
          <w:szCs w:val="22"/>
          <w:highlight w:val="none"/>
          <w14:textFill>
            <w14:solidFill>
              <w14:schemeClr w14:val="tx1"/>
            </w14:solidFill>
          </w14:textFill>
        </w:rPr>
      </w:pPr>
      <w:r>
        <w:rPr>
          <w:rFonts w:hint="eastAsia" w:ascii="仿宋" w:hAnsi="仿宋" w:eastAsia="仿宋" w:cs="仿宋"/>
          <w:snapToGrid w:val="0"/>
          <w:color w:val="000000" w:themeColor="text1"/>
          <w:kern w:val="28"/>
          <w:sz w:val="22"/>
          <w:szCs w:val="22"/>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w:t>
      </w:r>
      <w:r>
        <w:rPr>
          <w:rFonts w:hint="eastAsia" w:ascii="仿宋" w:hAnsi="仿宋" w:eastAsia="仿宋" w:cs="仿宋"/>
          <w:snapToGrid w:val="0"/>
          <w:color w:val="000000" w:themeColor="text1"/>
          <w:kern w:val="28"/>
          <w:sz w:val="22"/>
          <w:szCs w:val="22"/>
          <w:highlight w:val="none"/>
          <w14:textFill>
            <w14:solidFill>
              <w14:schemeClr w14:val="tx1"/>
            </w14:solidFill>
          </w14:textFill>
        </w:rPr>
        <w:t>严重违法失信行为记录名单；</w:t>
      </w:r>
    </w:p>
    <w:p w14:paraId="5AC4D252">
      <w:pPr>
        <w:shd w:val="clear"/>
        <w:spacing w:line="360" w:lineRule="auto"/>
        <w:ind w:firstLine="480"/>
        <w:rPr>
          <w:rFonts w:ascii="仿宋" w:hAnsi="仿宋" w:eastAsia="仿宋" w:cs="仿宋"/>
          <w:snapToGrid w:val="0"/>
          <w:color w:val="000000" w:themeColor="text1"/>
          <w:kern w:val="28"/>
          <w:sz w:val="22"/>
          <w:szCs w:val="22"/>
          <w:highlight w:val="none"/>
          <w14:textFill>
            <w14:solidFill>
              <w14:schemeClr w14:val="tx1"/>
            </w14:solidFill>
          </w14:textFill>
        </w:rPr>
      </w:pPr>
      <w:r>
        <w:rPr>
          <w:rFonts w:hint="eastAsia" w:ascii="仿宋" w:hAnsi="仿宋" w:eastAsia="仿宋" w:cs="仿宋"/>
          <w:snapToGrid w:val="0"/>
          <w:color w:val="000000" w:themeColor="text1"/>
          <w:kern w:val="28"/>
          <w:sz w:val="22"/>
          <w:szCs w:val="22"/>
          <w:highlight w:val="none"/>
          <w14:textFill>
            <w14:solidFill>
              <w14:schemeClr w14:val="tx1"/>
            </w14:solidFill>
          </w14:textFill>
        </w:rPr>
        <w:t>2.落实政府采购政策需满足的资格要求：标项1：供应商为中小企业，服务全部由符合政策要求的中小企业承接，提供中小企业声明函；</w:t>
      </w:r>
    </w:p>
    <w:p w14:paraId="4BC568D5">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snapToGrid w:val="0"/>
          <w:color w:val="000000" w:themeColor="text1"/>
          <w:kern w:val="28"/>
          <w:sz w:val="22"/>
          <w:szCs w:val="22"/>
          <w14:textFill>
            <w14:solidFill>
              <w14:schemeClr w14:val="tx1"/>
            </w14:solidFill>
          </w14:textFill>
        </w:rPr>
        <w:t>3.本</w:t>
      </w:r>
      <w:r>
        <w:rPr>
          <w:rFonts w:hint="eastAsia" w:ascii="仿宋" w:hAnsi="仿宋" w:eastAsia="仿宋" w:cs="仿宋"/>
          <w:color w:val="000000" w:themeColor="text1"/>
          <w:sz w:val="22"/>
          <w:szCs w:val="22"/>
          <w14:textFill>
            <w14:solidFill>
              <w14:schemeClr w14:val="tx1"/>
            </w14:solidFill>
          </w14:textFill>
        </w:rPr>
        <w:t>项目的特定资格要求：无。</w:t>
      </w:r>
    </w:p>
    <w:p w14:paraId="6F53936F">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13" w:name="_Toc22771"/>
      <w:bookmarkStart w:id="14" w:name="_Toc894"/>
      <w:r>
        <w:rPr>
          <w:rFonts w:hint="eastAsia" w:ascii="仿宋" w:hAnsi="仿宋" w:eastAsia="仿宋" w:cs="仿宋"/>
          <w:b/>
          <w:color w:val="000000" w:themeColor="text1"/>
          <w:sz w:val="22"/>
          <w:szCs w:val="22"/>
          <w14:textFill>
            <w14:solidFill>
              <w14:schemeClr w14:val="tx1"/>
            </w14:solidFill>
          </w14:textFill>
        </w:rPr>
        <w:t>三、获取采购文件</w:t>
      </w:r>
      <w:bookmarkEnd w:id="13"/>
      <w:bookmarkEnd w:id="14"/>
      <w:r>
        <w:rPr>
          <w:rFonts w:hint="eastAsia" w:ascii="仿宋" w:hAnsi="仿宋" w:eastAsia="仿宋" w:cs="仿宋"/>
          <w:b/>
          <w:color w:val="000000" w:themeColor="text1"/>
          <w:sz w:val="22"/>
          <w:szCs w:val="22"/>
          <w14:textFill>
            <w14:solidFill>
              <w14:schemeClr w14:val="tx1"/>
            </w14:solidFill>
          </w14:textFill>
        </w:rPr>
        <w:t xml:space="preserve"> </w:t>
      </w:r>
    </w:p>
    <w:p w14:paraId="744C0447">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时间：</w:t>
      </w:r>
      <w:r>
        <w:rPr>
          <w:rFonts w:hint="eastAsia" w:ascii="仿宋" w:hAnsi="仿宋" w:eastAsia="仿宋" w:cs="仿宋"/>
          <w:color w:val="000000" w:themeColor="text1"/>
          <w:sz w:val="22"/>
          <w:szCs w:val="22"/>
          <w:lang w:val="en-US" w:eastAsia="zh-CN"/>
          <w14:textFill>
            <w14:solidFill>
              <w14:schemeClr w14:val="tx1"/>
            </w14:solidFill>
          </w14:textFill>
        </w:rPr>
        <w:t>2025年3月31日</w:t>
      </w:r>
      <w:r>
        <w:rPr>
          <w:rFonts w:hint="eastAsia" w:ascii="仿宋" w:hAnsi="仿宋" w:eastAsia="仿宋" w:cs="仿宋"/>
          <w:color w:val="000000" w:themeColor="text1"/>
          <w:sz w:val="22"/>
          <w:szCs w:val="22"/>
          <w14:textFill>
            <w14:solidFill>
              <w14:schemeClr w14:val="tx1"/>
            </w14:solidFill>
          </w14:textFill>
        </w:rPr>
        <w:t>至2025年</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月</w:t>
      </w:r>
      <w:r>
        <w:rPr>
          <w:rFonts w:hint="eastAsia" w:ascii="仿宋" w:hAnsi="仿宋" w:eastAsia="仿宋" w:cs="仿宋"/>
          <w:color w:val="000000" w:themeColor="text1"/>
          <w:sz w:val="22"/>
          <w:szCs w:val="22"/>
          <w:lang w:val="en-US" w:eastAsia="zh-CN"/>
          <w14:textFill>
            <w14:solidFill>
              <w14:schemeClr w14:val="tx1"/>
            </w14:solidFill>
          </w14:textFill>
        </w:rPr>
        <w:t>11</w:t>
      </w:r>
      <w:r>
        <w:rPr>
          <w:rFonts w:hint="eastAsia" w:ascii="仿宋" w:hAnsi="仿宋" w:eastAsia="仿宋" w:cs="仿宋"/>
          <w:color w:val="000000" w:themeColor="text1"/>
          <w:sz w:val="22"/>
          <w:szCs w:val="22"/>
          <w14:textFill>
            <w14:solidFill>
              <w14:schemeClr w14:val="tx1"/>
            </w14:solidFill>
          </w14:textFill>
        </w:rPr>
        <w:t>日，每天上午00:00至12:00 ，下午12:00至23:59（北京时间，线上获取法定节假日均可，线下获取文件法定节假日除外）</w:t>
      </w:r>
    </w:p>
    <w:p w14:paraId="234D1AD8">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地点（网址）：</w:t>
      </w:r>
      <w:r>
        <w:rPr>
          <w:rFonts w:hint="eastAsia" w:ascii="仿宋" w:hAnsi="仿宋" w:eastAsia="仿宋" w:cs="仿宋"/>
          <w:color w:val="000000" w:themeColor="text1"/>
          <w:sz w:val="22"/>
          <w:szCs w:val="22"/>
          <w14:textFill>
            <w14:solidFill>
              <w14:schemeClr w14:val="tx1"/>
            </w14:solidFill>
          </w14:textFill>
        </w:rPr>
        <w:t xml:space="preserve">政采云平台（https://www.zcygov.cn/） </w:t>
      </w:r>
    </w:p>
    <w:p w14:paraId="600B9E78">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方式：</w:t>
      </w:r>
      <w:r>
        <w:rPr>
          <w:rFonts w:hint="eastAsia" w:ascii="仿宋" w:hAnsi="仿宋" w:eastAsia="仿宋" w:cs="仿宋"/>
          <w:color w:val="000000" w:themeColor="text1"/>
          <w:sz w:val="22"/>
          <w:szCs w:val="22"/>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38CB3ECE">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售价（元）：</w:t>
      </w:r>
      <w:r>
        <w:rPr>
          <w:rFonts w:hint="eastAsia" w:ascii="仿宋" w:hAnsi="仿宋" w:eastAsia="仿宋" w:cs="仿宋"/>
          <w:color w:val="000000" w:themeColor="text1"/>
          <w:sz w:val="22"/>
          <w:szCs w:val="22"/>
          <w14:textFill>
            <w14:solidFill>
              <w14:schemeClr w14:val="tx1"/>
            </w14:solidFill>
          </w14:textFill>
        </w:rPr>
        <w:t xml:space="preserve">0 </w:t>
      </w:r>
      <w:r>
        <w:rPr>
          <w:rFonts w:hint="eastAsia" w:ascii="仿宋" w:hAnsi="仿宋" w:eastAsia="仿宋" w:cs="仿宋"/>
          <w:color w:val="000000" w:themeColor="text1"/>
          <w:sz w:val="22"/>
          <w:szCs w:val="22"/>
          <w14:textFill>
            <w14:solidFill>
              <w14:schemeClr w14:val="tx1"/>
            </w14:solidFill>
          </w14:textFill>
        </w:rPr>
        <w:tab/>
      </w:r>
    </w:p>
    <w:p w14:paraId="68353D2D">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15" w:name="_Toc11382"/>
      <w:bookmarkStart w:id="16" w:name="_Toc30229"/>
      <w:r>
        <w:rPr>
          <w:rFonts w:hint="eastAsia" w:ascii="仿宋" w:hAnsi="仿宋" w:eastAsia="仿宋" w:cs="仿宋"/>
          <w:b/>
          <w:color w:val="000000" w:themeColor="text1"/>
          <w:sz w:val="22"/>
          <w:szCs w:val="22"/>
          <w14:textFill>
            <w14:solidFill>
              <w14:schemeClr w14:val="tx1"/>
            </w14:solidFill>
          </w14:textFill>
        </w:rPr>
        <w:t>四、提交响应文件截止时间、开启时间和地点</w:t>
      </w:r>
      <w:bookmarkEnd w:id="15"/>
      <w:bookmarkEnd w:id="16"/>
    </w:p>
    <w:p w14:paraId="5D78C71B">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提交响应文件截止时间：</w:t>
      </w:r>
      <w:r>
        <w:rPr>
          <w:rFonts w:hint="eastAsia" w:ascii="仿宋" w:hAnsi="仿宋" w:eastAsia="仿宋" w:cs="仿宋"/>
          <w:color w:val="000000" w:themeColor="text1"/>
          <w:sz w:val="22"/>
          <w:szCs w:val="22"/>
          <w14:textFill>
            <w14:solidFill>
              <w14:schemeClr w14:val="tx1"/>
            </w14:solidFill>
          </w14:textFill>
        </w:rPr>
        <w:t>2025年</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月</w:t>
      </w:r>
      <w:r>
        <w:rPr>
          <w:rFonts w:hint="eastAsia" w:ascii="仿宋" w:hAnsi="仿宋" w:eastAsia="仿宋" w:cs="仿宋"/>
          <w:color w:val="000000" w:themeColor="text1"/>
          <w:sz w:val="22"/>
          <w:szCs w:val="22"/>
          <w:lang w:val="en-US" w:eastAsia="zh-CN"/>
          <w14:textFill>
            <w14:solidFill>
              <w14:schemeClr w14:val="tx1"/>
            </w14:solidFill>
          </w14:textFill>
        </w:rPr>
        <w:t>11</w:t>
      </w:r>
      <w:r>
        <w:rPr>
          <w:rFonts w:hint="eastAsia" w:ascii="仿宋" w:hAnsi="仿宋" w:eastAsia="仿宋" w:cs="仿宋"/>
          <w:color w:val="000000" w:themeColor="text1"/>
          <w:sz w:val="22"/>
          <w:szCs w:val="22"/>
          <w14:textFill>
            <w14:solidFill>
              <w14:schemeClr w14:val="tx1"/>
            </w14:solidFill>
          </w14:textFill>
        </w:rPr>
        <w:t>日09点30分</w:t>
      </w:r>
      <w:r>
        <w:rPr>
          <w:rFonts w:hint="eastAsia" w:ascii="仿宋" w:hAnsi="仿宋" w:eastAsia="仿宋" w:cs="仿宋"/>
          <w:bCs/>
          <w:color w:val="000000" w:themeColor="text1"/>
          <w:sz w:val="22"/>
          <w:szCs w:val="22"/>
          <w14:textFill>
            <w14:solidFill>
              <w14:schemeClr w14:val="tx1"/>
            </w14:solidFill>
          </w14:textFill>
        </w:rPr>
        <w:t>00秒</w:t>
      </w:r>
      <w:r>
        <w:rPr>
          <w:rFonts w:hint="eastAsia" w:ascii="仿宋" w:hAnsi="仿宋" w:eastAsia="仿宋" w:cs="仿宋"/>
          <w:color w:val="000000" w:themeColor="text1"/>
          <w:sz w:val="22"/>
          <w:szCs w:val="22"/>
          <w14:textFill>
            <w14:solidFill>
              <w14:schemeClr w14:val="tx1"/>
            </w14:solidFill>
          </w14:textFill>
        </w:rPr>
        <w:t>（北京时间）</w:t>
      </w:r>
    </w:p>
    <w:p w14:paraId="7D7B35E4">
      <w:pPr>
        <w:spacing w:line="360" w:lineRule="auto"/>
        <w:ind w:firstLine="442" w:firstLineChars="2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响应地点（网址）：</w:t>
      </w:r>
      <w:r>
        <w:rPr>
          <w:rFonts w:hint="eastAsia" w:ascii="仿宋" w:hAnsi="仿宋" w:eastAsia="仿宋" w:cs="仿宋"/>
          <w:color w:val="000000" w:themeColor="text1"/>
          <w:sz w:val="22"/>
          <w:szCs w:val="22"/>
          <w14:textFill>
            <w14:solidFill>
              <w14:schemeClr w14:val="tx1"/>
            </w14:solidFill>
          </w14:textFill>
        </w:rPr>
        <w:t xml:space="preserve">温州市鹿城区勤民路鹿城壹号18幢803室（政采云https://www.zcygov.cn/） </w:t>
      </w:r>
    </w:p>
    <w:p w14:paraId="7ACF58EC">
      <w:pPr>
        <w:spacing w:line="360" w:lineRule="auto"/>
        <w:ind w:firstLine="442" w:firstLineChars="20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开启时间：</w:t>
      </w:r>
      <w:r>
        <w:rPr>
          <w:rFonts w:hint="eastAsia" w:ascii="仿宋" w:hAnsi="仿宋" w:eastAsia="仿宋" w:cs="仿宋"/>
          <w:color w:val="000000" w:themeColor="text1"/>
          <w:sz w:val="22"/>
          <w:szCs w:val="22"/>
          <w14:textFill>
            <w14:solidFill>
              <w14:schemeClr w14:val="tx1"/>
            </w14:solidFill>
          </w14:textFill>
        </w:rPr>
        <w:t>2025年</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月</w:t>
      </w:r>
      <w:r>
        <w:rPr>
          <w:rFonts w:hint="eastAsia" w:ascii="仿宋" w:hAnsi="仿宋" w:eastAsia="仿宋" w:cs="仿宋"/>
          <w:color w:val="000000" w:themeColor="text1"/>
          <w:sz w:val="22"/>
          <w:szCs w:val="22"/>
          <w:lang w:val="en-US" w:eastAsia="zh-CN"/>
          <w14:textFill>
            <w14:solidFill>
              <w14:schemeClr w14:val="tx1"/>
            </w14:solidFill>
          </w14:textFill>
        </w:rPr>
        <w:t>11</w:t>
      </w:r>
      <w:r>
        <w:rPr>
          <w:rFonts w:hint="eastAsia" w:ascii="仿宋" w:hAnsi="仿宋" w:eastAsia="仿宋" w:cs="仿宋"/>
          <w:color w:val="000000" w:themeColor="text1"/>
          <w:sz w:val="22"/>
          <w:szCs w:val="22"/>
          <w14:textFill>
            <w14:solidFill>
              <w14:schemeClr w14:val="tx1"/>
            </w14:solidFill>
          </w14:textFill>
        </w:rPr>
        <w:t>日09点30分</w:t>
      </w:r>
      <w:r>
        <w:rPr>
          <w:rFonts w:hint="eastAsia" w:ascii="仿宋" w:hAnsi="仿宋" w:eastAsia="仿宋" w:cs="仿宋"/>
          <w:bCs/>
          <w:color w:val="000000" w:themeColor="text1"/>
          <w:sz w:val="22"/>
          <w:szCs w:val="22"/>
          <w14:textFill>
            <w14:solidFill>
              <w14:schemeClr w14:val="tx1"/>
            </w14:solidFill>
          </w14:textFill>
        </w:rPr>
        <w:t>00秒</w:t>
      </w:r>
    </w:p>
    <w:p w14:paraId="7F93418D">
      <w:pPr>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地点（网址）：</w:t>
      </w:r>
      <w:r>
        <w:rPr>
          <w:rFonts w:hint="eastAsia" w:ascii="仿宋" w:hAnsi="仿宋" w:eastAsia="仿宋" w:cs="仿宋"/>
          <w:color w:val="000000" w:themeColor="text1"/>
          <w:sz w:val="22"/>
          <w:szCs w:val="22"/>
          <w14:textFill>
            <w14:solidFill>
              <w14:schemeClr w14:val="tx1"/>
            </w14:solidFill>
          </w14:textFill>
        </w:rPr>
        <w:t>温州市鹿城区勤民路鹿城壹号18幢803室（政采云https://www.zcygov.cn/）</w:t>
      </w:r>
    </w:p>
    <w:p w14:paraId="4F46CD1C">
      <w:pPr>
        <w:spacing w:line="360" w:lineRule="auto"/>
        <w:outlineLvl w:val="1"/>
        <w:rPr>
          <w:rFonts w:ascii="仿宋" w:hAnsi="仿宋" w:eastAsia="仿宋" w:cs="仿宋"/>
          <w:color w:val="000000" w:themeColor="text1"/>
          <w:sz w:val="22"/>
          <w:szCs w:val="22"/>
          <w14:textFill>
            <w14:solidFill>
              <w14:schemeClr w14:val="tx1"/>
            </w14:solidFill>
          </w14:textFill>
        </w:rPr>
      </w:pPr>
      <w:bookmarkStart w:id="17" w:name="_Toc9413"/>
      <w:bookmarkStart w:id="18" w:name="_Toc29743"/>
      <w:r>
        <w:rPr>
          <w:rFonts w:hint="eastAsia" w:ascii="仿宋" w:hAnsi="仿宋" w:eastAsia="仿宋" w:cs="仿宋"/>
          <w:b/>
          <w:color w:val="000000" w:themeColor="text1"/>
          <w:sz w:val="22"/>
          <w:szCs w:val="22"/>
          <w14:textFill>
            <w14:solidFill>
              <w14:schemeClr w14:val="tx1"/>
            </w14:solidFill>
          </w14:textFill>
        </w:rPr>
        <w:t>五、公告期限</w:t>
      </w:r>
      <w:bookmarkEnd w:id="17"/>
      <w:bookmarkEnd w:id="18"/>
      <w:r>
        <w:rPr>
          <w:rFonts w:hint="eastAsia" w:ascii="仿宋" w:hAnsi="仿宋" w:eastAsia="仿宋" w:cs="仿宋"/>
          <w:b/>
          <w:color w:val="000000" w:themeColor="text1"/>
          <w:sz w:val="22"/>
          <w:szCs w:val="22"/>
          <w14:textFill>
            <w14:solidFill>
              <w14:schemeClr w14:val="tx1"/>
            </w14:solidFill>
          </w14:textFill>
        </w:rPr>
        <w:t xml:space="preserve"> </w:t>
      </w:r>
    </w:p>
    <w:p w14:paraId="6A3793FF">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自本公告发布之日起3个工作日。</w:t>
      </w:r>
    </w:p>
    <w:p w14:paraId="71357BE5">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19" w:name="_Toc19617"/>
      <w:bookmarkStart w:id="20" w:name="_Toc15055"/>
      <w:r>
        <w:rPr>
          <w:rFonts w:hint="eastAsia" w:ascii="仿宋" w:hAnsi="仿宋" w:eastAsia="仿宋" w:cs="仿宋"/>
          <w:b/>
          <w:color w:val="000000" w:themeColor="text1"/>
          <w:sz w:val="22"/>
          <w:szCs w:val="22"/>
          <w14:textFill>
            <w14:solidFill>
              <w14:schemeClr w14:val="tx1"/>
            </w14:solidFill>
          </w14:textFill>
        </w:rPr>
        <w:t>六、其他补充事宜</w:t>
      </w:r>
      <w:bookmarkEnd w:id="19"/>
      <w:bookmarkEnd w:id="20"/>
    </w:p>
    <w:p w14:paraId="2BDEED5D">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2244D54A">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45B73CD1">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21A4FBF7">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其他事项：（一）电子招投标的说明：①电子招投标：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响应文件”、“标书关联”、“标书检查”、“电子签名”、“生成电子标书”等操作；⑤响应文件的传输递交：投标人在投标截止时间前将加密的响应文件上传至政府采购云平台； ⑥响应文件的解密：投标人按照平台提示和采购文件的规定在半小时内完成在线解密；⑦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   </w:t>
      </w:r>
    </w:p>
    <w:p w14:paraId="5162E4A2">
      <w:pPr>
        <w:spacing w:line="360" w:lineRule="auto"/>
        <w:outlineLvl w:val="1"/>
        <w:rPr>
          <w:rFonts w:ascii="仿宋" w:hAnsi="仿宋" w:eastAsia="仿宋" w:cs="仿宋"/>
          <w:b/>
          <w:color w:val="000000" w:themeColor="text1"/>
          <w:sz w:val="22"/>
          <w:szCs w:val="22"/>
          <w14:textFill>
            <w14:solidFill>
              <w14:schemeClr w14:val="tx1"/>
            </w14:solidFill>
          </w14:textFill>
        </w:rPr>
      </w:pPr>
      <w:bookmarkStart w:id="21" w:name="_Toc9060"/>
      <w:bookmarkStart w:id="22" w:name="_Toc8157"/>
      <w:r>
        <w:rPr>
          <w:rFonts w:hint="eastAsia" w:ascii="仿宋" w:hAnsi="仿宋" w:eastAsia="仿宋" w:cs="仿宋"/>
          <w:b/>
          <w:color w:val="000000" w:themeColor="text1"/>
          <w:sz w:val="22"/>
          <w:szCs w:val="22"/>
          <w14:textFill>
            <w14:solidFill>
              <w14:schemeClr w14:val="tx1"/>
            </w14:solidFill>
          </w14:textFill>
        </w:rPr>
        <w:t>七、对本次采购提出询问、质疑、投诉，请按以下方式联系</w:t>
      </w:r>
      <w:bookmarkEnd w:id="21"/>
      <w:bookmarkEnd w:id="22"/>
    </w:p>
    <w:p w14:paraId="59E9F3A4">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1.采购人信息</w:t>
      </w:r>
    </w:p>
    <w:p w14:paraId="7F34BDC8">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名    称：温州市公安局</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25618E61">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地    址：温州市惠民路公安科技大楼</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2A9FE84C">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传    真：/</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539F62E8">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项目联系人（询问）：陈先生</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24A23A12">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项目联系方式（询问）：0577-89980308</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7E9A8B91">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质疑联系人：陈先生</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09E94160">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质疑联系方式：0577-89980308</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547DB18D">
      <w:pPr>
        <w:spacing w:line="36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2.采购代理机构信息            </w:t>
      </w:r>
    </w:p>
    <w:p w14:paraId="75115878">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名    称：温州历程招标有限公司   </w:t>
      </w:r>
    </w:p>
    <w:p w14:paraId="357BE32A">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地    址：温州市鹿城区勤民路鹿城壹号18幢803室</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6CC68790">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传    真：0577-89887255</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174BA031">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项目联系人（询问）：温碧霞</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、郑永强                  </w:t>
      </w:r>
    </w:p>
    <w:p w14:paraId="4B4D3B76">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项目联系方式（询问）：0577-89887322、13757727199</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6CEEF887">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质疑联系人：肖忠文</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26C14B01">
      <w:pPr>
        <w:spacing w:line="360" w:lineRule="auto"/>
        <w:ind w:firstLine="48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质疑联系方式：13757727199     </w:t>
      </w:r>
    </w:p>
    <w:p w14:paraId="606737DC">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3.同级政府采购监督管理部门</w:t>
      </w:r>
    </w:p>
    <w:p w14:paraId="72D6CC3C">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名    称：温州市财政局政府采购监管处 </w:t>
      </w:r>
    </w:p>
    <w:p w14:paraId="3566076B">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地    址：温州市鹿城区绣山路299号 </w:t>
      </w:r>
    </w:p>
    <w:p w14:paraId="263763D2">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传    真：/ </w:t>
      </w:r>
    </w:p>
    <w:p w14:paraId="35FD41DC">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联系人 ：项先生、蔡女士</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4FD47534">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监督投诉电话：0577-88532725、88521948</w:t>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ab/>
      </w:r>
      <w:r>
        <w:rPr>
          <w:rFonts w:hint="eastAsia" w:ascii="仿宋" w:hAnsi="仿宋" w:eastAsia="仿宋" w:cs="仿宋"/>
          <w:color w:val="000000" w:themeColor="text1"/>
          <w:sz w:val="22"/>
          <w:szCs w:val="22"/>
          <w14:textFill>
            <w14:solidFill>
              <w14:schemeClr w14:val="tx1"/>
            </w14:solidFill>
          </w14:textFill>
        </w:rPr>
        <w:t xml:space="preserve">                         </w:t>
      </w:r>
    </w:p>
    <w:p w14:paraId="24A13564">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p>
    <w:p w14:paraId="578A0D93">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14:paraId="6637AED8">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CA问题联系电话（人工）：汇信CA 400-888-4636；天谷CA 400-087-8198。</w:t>
      </w:r>
    </w:p>
    <w:p w14:paraId="013B8AA3">
      <w:pPr>
        <w:numPr>
          <w:ilvl w:val="0"/>
          <w:numId w:val="1"/>
        </w:numPr>
        <w:adjustRightInd/>
        <w:spacing w:line="360" w:lineRule="auto"/>
        <w:jc w:val="center"/>
        <w:outlineLvl w:val="0"/>
        <w:rPr>
          <w:rStyle w:val="25"/>
          <w:rFonts w:asci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36"/>
          <w:szCs w:val="20"/>
          <w14:textFill>
            <w14:solidFill>
              <w14:schemeClr w14:val="tx1"/>
            </w14:solidFill>
          </w14:textFill>
        </w:rPr>
        <w:t xml:space="preserve"> </w:t>
      </w:r>
      <w:bookmarkStart w:id="23" w:name="_Toc1879858288"/>
      <w:bookmarkStart w:id="24" w:name="_Toc29190"/>
      <w:bookmarkStart w:id="25" w:name="_Toc4823"/>
      <w:r>
        <w:rPr>
          <w:rStyle w:val="25"/>
          <w:rFonts w:hint="eastAsia" w:ascii="仿宋" w:eastAsia="仿宋" w:cs="仿宋"/>
          <w:color w:val="000000" w:themeColor="text1"/>
          <w14:textFill>
            <w14:solidFill>
              <w14:schemeClr w14:val="tx1"/>
            </w14:solidFill>
          </w14:textFill>
        </w:rPr>
        <w:t>供应商须知</w:t>
      </w:r>
      <w:bookmarkEnd w:id="23"/>
      <w:bookmarkEnd w:id="24"/>
      <w:bookmarkEnd w:id="25"/>
    </w:p>
    <w:p w14:paraId="64422D7C">
      <w:pPr>
        <w:adjustRightInd/>
        <w:spacing w:line="360" w:lineRule="auto"/>
        <w:jc w:val="center"/>
        <w:outlineLvl w:val="1"/>
        <w:rPr>
          <w:rStyle w:val="25"/>
          <w:rFonts w:ascii="仿宋" w:eastAsia="仿宋" w:cs="仿宋"/>
          <w:color w:val="000000" w:themeColor="text1"/>
          <w14:textFill>
            <w14:solidFill>
              <w14:schemeClr w14:val="tx1"/>
            </w14:solidFill>
          </w14:textFill>
        </w:rPr>
      </w:pPr>
      <w:bookmarkStart w:id="26" w:name="_Toc5005"/>
      <w:bookmarkStart w:id="27" w:name="_Toc11436"/>
      <w:bookmarkStart w:id="28" w:name="_Toc998831752"/>
      <w:r>
        <w:rPr>
          <w:rStyle w:val="25"/>
          <w:rFonts w:hint="eastAsia" w:ascii="仿宋" w:eastAsia="仿宋" w:cs="仿宋"/>
          <w:color w:val="000000" w:themeColor="text1"/>
          <w14:textFill>
            <w14:solidFill>
              <w14:schemeClr w14:val="tx1"/>
            </w14:solidFill>
          </w14:textFill>
        </w:rPr>
        <w:t>前附表</w:t>
      </w:r>
      <w:bookmarkEnd w:id="26"/>
      <w:bookmarkEnd w:id="27"/>
      <w:bookmarkEnd w:id="28"/>
    </w:p>
    <w:tbl>
      <w:tblPr>
        <w:tblStyle w:val="2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47"/>
        <w:gridCol w:w="2340"/>
        <w:gridCol w:w="6514"/>
      </w:tblGrid>
      <w:tr w14:paraId="7E292C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31" w:hRule="atLeast"/>
          <w:tblHeader/>
          <w:jc w:val="center"/>
        </w:trPr>
        <w:tc>
          <w:tcPr>
            <w:tcW w:w="947" w:type="dxa"/>
            <w:vAlign w:val="center"/>
          </w:tcPr>
          <w:p w14:paraId="59D7D692">
            <w:pPr>
              <w:jc w:val="cente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序号</w:t>
            </w:r>
          </w:p>
        </w:tc>
        <w:tc>
          <w:tcPr>
            <w:tcW w:w="2340" w:type="dxa"/>
            <w:vAlign w:val="center"/>
          </w:tcPr>
          <w:p w14:paraId="484F9341">
            <w:pPr>
              <w:jc w:val="cente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项   目</w:t>
            </w:r>
          </w:p>
        </w:tc>
        <w:tc>
          <w:tcPr>
            <w:tcW w:w="6514" w:type="dxa"/>
            <w:vAlign w:val="center"/>
          </w:tcPr>
          <w:p w14:paraId="2FD0F3E4">
            <w:pPr>
              <w:jc w:val="cente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内       容</w:t>
            </w:r>
          </w:p>
        </w:tc>
      </w:tr>
      <w:tr w14:paraId="2339DC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6" w:hRule="atLeast"/>
          <w:jc w:val="center"/>
        </w:trPr>
        <w:tc>
          <w:tcPr>
            <w:tcW w:w="947" w:type="dxa"/>
            <w:vAlign w:val="center"/>
          </w:tcPr>
          <w:p w14:paraId="0C8BA75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w:t>
            </w:r>
          </w:p>
        </w:tc>
        <w:tc>
          <w:tcPr>
            <w:tcW w:w="2340" w:type="dxa"/>
            <w:vAlign w:val="center"/>
          </w:tcPr>
          <w:p w14:paraId="64A0A746">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项目名称</w:t>
            </w:r>
          </w:p>
        </w:tc>
        <w:tc>
          <w:tcPr>
            <w:tcW w:w="6514" w:type="dxa"/>
            <w:vAlign w:val="center"/>
          </w:tcPr>
          <w:p w14:paraId="023E1860">
            <w:pPr>
              <w:jc w:val="left"/>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详见第一部分“采购公告”</w:t>
            </w:r>
          </w:p>
        </w:tc>
      </w:tr>
      <w:tr w14:paraId="36A290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947" w:type="dxa"/>
            <w:vAlign w:val="center"/>
          </w:tcPr>
          <w:p w14:paraId="7DD04BCB">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w:t>
            </w:r>
          </w:p>
        </w:tc>
        <w:tc>
          <w:tcPr>
            <w:tcW w:w="2340" w:type="dxa"/>
            <w:vAlign w:val="center"/>
          </w:tcPr>
          <w:p w14:paraId="3AF8B1C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合同履行地点</w:t>
            </w:r>
          </w:p>
        </w:tc>
        <w:tc>
          <w:tcPr>
            <w:tcW w:w="6514" w:type="dxa"/>
            <w:vAlign w:val="center"/>
          </w:tcPr>
          <w:p w14:paraId="71C89254">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详见第一部分“采购公告”</w:t>
            </w:r>
          </w:p>
        </w:tc>
      </w:tr>
      <w:tr w14:paraId="45059E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947" w:type="dxa"/>
            <w:vAlign w:val="center"/>
          </w:tcPr>
          <w:p w14:paraId="158CC0BB">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w:t>
            </w:r>
          </w:p>
        </w:tc>
        <w:tc>
          <w:tcPr>
            <w:tcW w:w="2340" w:type="dxa"/>
            <w:vAlign w:val="center"/>
          </w:tcPr>
          <w:p w14:paraId="53CA92C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项目编号</w:t>
            </w:r>
          </w:p>
        </w:tc>
        <w:tc>
          <w:tcPr>
            <w:tcW w:w="6514" w:type="dxa"/>
            <w:vAlign w:val="center"/>
          </w:tcPr>
          <w:p w14:paraId="1D6EF6FA">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详见第一部分“采购公告”</w:t>
            </w:r>
          </w:p>
        </w:tc>
      </w:tr>
      <w:tr w14:paraId="1945A7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947" w:type="dxa"/>
            <w:vAlign w:val="center"/>
          </w:tcPr>
          <w:p w14:paraId="0394D765">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w:t>
            </w:r>
          </w:p>
        </w:tc>
        <w:tc>
          <w:tcPr>
            <w:tcW w:w="2340" w:type="dxa"/>
            <w:vAlign w:val="center"/>
          </w:tcPr>
          <w:p w14:paraId="0017DE8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采购方式</w:t>
            </w:r>
          </w:p>
        </w:tc>
        <w:tc>
          <w:tcPr>
            <w:tcW w:w="6514" w:type="dxa"/>
            <w:vAlign w:val="center"/>
          </w:tcPr>
          <w:p w14:paraId="2EC0107F">
            <w:pPr>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竞争性磋商</w:t>
            </w:r>
          </w:p>
        </w:tc>
      </w:tr>
      <w:tr w14:paraId="5285A3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3" w:hRule="atLeast"/>
          <w:jc w:val="center"/>
        </w:trPr>
        <w:tc>
          <w:tcPr>
            <w:tcW w:w="947" w:type="dxa"/>
            <w:vAlign w:val="center"/>
          </w:tcPr>
          <w:p w14:paraId="20459497">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p>
        </w:tc>
        <w:tc>
          <w:tcPr>
            <w:tcW w:w="2340" w:type="dxa"/>
            <w:vAlign w:val="center"/>
          </w:tcPr>
          <w:p w14:paraId="28622D6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采购需求</w:t>
            </w:r>
          </w:p>
        </w:tc>
        <w:tc>
          <w:tcPr>
            <w:tcW w:w="6514" w:type="dxa"/>
            <w:vAlign w:val="center"/>
          </w:tcPr>
          <w:p w14:paraId="59740235">
            <w:pP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详见第一部分“采购公告”</w:t>
            </w:r>
          </w:p>
        </w:tc>
      </w:tr>
      <w:tr w14:paraId="4B1C63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1" w:hRule="atLeast"/>
          <w:jc w:val="center"/>
        </w:trPr>
        <w:tc>
          <w:tcPr>
            <w:tcW w:w="947" w:type="dxa"/>
            <w:vAlign w:val="center"/>
          </w:tcPr>
          <w:p w14:paraId="6BED263C">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w:t>
            </w:r>
          </w:p>
        </w:tc>
        <w:tc>
          <w:tcPr>
            <w:tcW w:w="2340" w:type="dxa"/>
            <w:vAlign w:val="center"/>
          </w:tcPr>
          <w:p w14:paraId="03E0C5C9">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合同履约期限</w:t>
            </w:r>
          </w:p>
        </w:tc>
        <w:tc>
          <w:tcPr>
            <w:tcW w:w="6514" w:type="dxa"/>
            <w:vAlign w:val="center"/>
          </w:tcPr>
          <w:p w14:paraId="61105867">
            <w:pP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详见第一部分“采购公告”</w:t>
            </w:r>
          </w:p>
        </w:tc>
      </w:tr>
      <w:tr w14:paraId="46CCA7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947" w:type="dxa"/>
            <w:vAlign w:val="center"/>
          </w:tcPr>
          <w:p w14:paraId="1B3336C6">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7</w:t>
            </w:r>
          </w:p>
        </w:tc>
        <w:tc>
          <w:tcPr>
            <w:tcW w:w="2340" w:type="dxa"/>
            <w:vAlign w:val="center"/>
          </w:tcPr>
          <w:p w14:paraId="16C9071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资金来源</w:t>
            </w:r>
          </w:p>
        </w:tc>
        <w:tc>
          <w:tcPr>
            <w:tcW w:w="6514" w:type="dxa"/>
            <w:vAlign w:val="center"/>
          </w:tcPr>
          <w:p w14:paraId="39211FC5">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财政资金</w:t>
            </w:r>
          </w:p>
        </w:tc>
      </w:tr>
      <w:tr w14:paraId="3FD51B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947" w:type="dxa"/>
            <w:vAlign w:val="center"/>
          </w:tcPr>
          <w:p w14:paraId="343FD8CA">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8</w:t>
            </w:r>
          </w:p>
        </w:tc>
        <w:tc>
          <w:tcPr>
            <w:tcW w:w="2340" w:type="dxa"/>
            <w:vAlign w:val="center"/>
          </w:tcPr>
          <w:p w14:paraId="106C8F35">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磋商保证金</w:t>
            </w:r>
          </w:p>
        </w:tc>
        <w:tc>
          <w:tcPr>
            <w:tcW w:w="6514" w:type="dxa"/>
            <w:vAlign w:val="center"/>
          </w:tcPr>
          <w:p w14:paraId="2FBEA538">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本项目不需要缴纳磋商保证金。</w:t>
            </w:r>
          </w:p>
        </w:tc>
      </w:tr>
      <w:tr w14:paraId="0C3CCC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jc w:val="center"/>
        </w:trPr>
        <w:tc>
          <w:tcPr>
            <w:tcW w:w="947" w:type="dxa"/>
            <w:vAlign w:val="center"/>
          </w:tcPr>
          <w:p w14:paraId="6D86320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9</w:t>
            </w:r>
          </w:p>
        </w:tc>
        <w:tc>
          <w:tcPr>
            <w:tcW w:w="2340" w:type="dxa"/>
            <w:vAlign w:val="center"/>
          </w:tcPr>
          <w:p w14:paraId="5039AEC0">
            <w:pPr>
              <w:jc w:val="center"/>
              <w:rPr>
                <w:rFonts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履约保证金</w:t>
            </w:r>
          </w:p>
        </w:tc>
        <w:tc>
          <w:tcPr>
            <w:tcW w:w="6514" w:type="dxa"/>
            <w:vAlign w:val="center"/>
          </w:tcPr>
          <w:p w14:paraId="4FF1D9C9">
            <w:pPr>
              <w:rPr>
                <w:rFonts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本项目不需要缴纳履约保证金。</w:t>
            </w:r>
          </w:p>
        </w:tc>
      </w:tr>
      <w:tr w14:paraId="531A38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947" w:type="dxa"/>
            <w:vAlign w:val="center"/>
          </w:tcPr>
          <w:p w14:paraId="1375E550">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10</w:t>
            </w:r>
          </w:p>
        </w:tc>
        <w:tc>
          <w:tcPr>
            <w:tcW w:w="2340" w:type="dxa"/>
            <w:vAlign w:val="center"/>
          </w:tcPr>
          <w:p w14:paraId="2CEAEAE8">
            <w:pPr>
              <w:jc w:val="cente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u w:val="single"/>
                <w14:textFill>
                  <w14:solidFill>
                    <w14:schemeClr w14:val="tx1"/>
                  </w14:solidFill>
                </w14:textFill>
              </w:rPr>
              <w:t>▲最高限价</w:t>
            </w:r>
          </w:p>
        </w:tc>
        <w:tc>
          <w:tcPr>
            <w:tcW w:w="6514" w:type="dxa"/>
            <w:vAlign w:val="center"/>
          </w:tcPr>
          <w:p w14:paraId="4B428CA3">
            <w:pP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详见第一部分“采购公告”</w:t>
            </w:r>
          </w:p>
        </w:tc>
      </w:tr>
      <w:tr w14:paraId="23D702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947" w:type="dxa"/>
            <w:vAlign w:val="center"/>
          </w:tcPr>
          <w:p w14:paraId="2FF89CA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11</w:t>
            </w:r>
          </w:p>
        </w:tc>
        <w:tc>
          <w:tcPr>
            <w:tcW w:w="2340" w:type="dxa"/>
            <w:vAlign w:val="center"/>
          </w:tcPr>
          <w:p w14:paraId="6F9E1F7C">
            <w:pPr>
              <w:jc w:val="cente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响应文件开启前答疑会或现场踏勘</w:t>
            </w:r>
          </w:p>
        </w:tc>
        <w:tc>
          <w:tcPr>
            <w:tcW w:w="6514" w:type="dxa"/>
            <w:vAlign w:val="center"/>
          </w:tcPr>
          <w:p w14:paraId="202AC512">
            <w:pP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sym w:font="Wingdings" w:char="00FE"/>
            </w:r>
            <w:r>
              <w:rPr>
                <w:rFonts w:hint="eastAsia" w:ascii="仿宋" w:hAnsi="仿宋" w:eastAsia="仿宋" w:cs="仿宋"/>
                <w:color w:val="000000" w:themeColor="text1"/>
                <w:kern w:val="0"/>
                <w:sz w:val="22"/>
                <w:szCs w:val="22"/>
                <w14:textFill>
                  <w14:solidFill>
                    <w14:schemeClr w14:val="tx1"/>
                  </w14:solidFill>
                </w14:textFill>
              </w:rPr>
              <w:t xml:space="preserve"> 不组织。</w:t>
            </w:r>
          </w:p>
        </w:tc>
      </w:tr>
      <w:tr w14:paraId="2BE265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2" w:hRule="atLeast"/>
          <w:jc w:val="center"/>
        </w:trPr>
        <w:tc>
          <w:tcPr>
            <w:tcW w:w="947" w:type="dxa"/>
            <w:vAlign w:val="center"/>
          </w:tcPr>
          <w:p w14:paraId="0A7892FD">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w:t>
            </w:r>
          </w:p>
        </w:tc>
        <w:tc>
          <w:tcPr>
            <w:tcW w:w="2340" w:type="dxa"/>
            <w:vAlign w:val="center"/>
          </w:tcPr>
          <w:p w14:paraId="4EABAAD5">
            <w:pPr>
              <w:jc w:val="center"/>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分包与转包</w:t>
            </w:r>
          </w:p>
        </w:tc>
        <w:tc>
          <w:tcPr>
            <w:tcW w:w="6514" w:type="dxa"/>
            <w:vAlign w:val="center"/>
          </w:tcPr>
          <w:p w14:paraId="2AC58CB0">
            <w:pP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（1）分包：</w:t>
            </w:r>
          </w:p>
          <w:p w14:paraId="77B31792">
            <w:pP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sym w:font="Wingdings" w:char="00A8"/>
            </w:r>
            <w:r>
              <w:rPr>
                <w:rFonts w:hint="eastAsia" w:ascii="仿宋" w:hAnsi="仿宋" w:eastAsia="仿宋" w:cs="仿宋"/>
                <w:bCs/>
                <w:color w:val="000000" w:themeColor="text1"/>
                <w:kern w:val="0"/>
                <w:sz w:val="22"/>
                <w:szCs w:val="22"/>
                <w14:textFill>
                  <w14:solidFill>
                    <w14:schemeClr w14:val="tx1"/>
                  </w14:solidFill>
                </w14:textFill>
              </w:rPr>
              <w:t xml:space="preserve"> 同意将非主体、非关键性的</w:t>
            </w:r>
            <w:r>
              <w:rPr>
                <w:rFonts w:hint="eastAsia" w:ascii="仿宋" w:hAnsi="仿宋" w:eastAsia="仿宋" w:cs="仿宋"/>
                <w:bCs/>
                <w:color w:val="000000" w:themeColor="text1"/>
                <w:kern w:val="0"/>
                <w:sz w:val="22"/>
                <w:szCs w:val="22"/>
                <w:u w:val="single"/>
                <w14:textFill>
                  <w14:solidFill>
                    <w14:schemeClr w14:val="tx1"/>
                  </w14:solidFill>
                </w14:textFill>
              </w:rPr>
              <w:t xml:space="preserve">             </w:t>
            </w:r>
            <w:r>
              <w:rPr>
                <w:rFonts w:hint="eastAsia" w:ascii="仿宋" w:hAnsi="仿宋" w:eastAsia="仿宋" w:cs="仿宋"/>
                <w:bCs/>
                <w:color w:val="000000" w:themeColor="text1"/>
                <w:kern w:val="0"/>
                <w:sz w:val="22"/>
                <w:szCs w:val="22"/>
                <w14:textFill>
                  <w14:solidFill>
                    <w14:schemeClr w14:val="tx1"/>
                  </w14:solidFill>
                </w14:textFill>
              </w:rPr>
              <w:t>工作分包。</w:t>
            </w:r>
          </w:p>
          <w:p w14:paraId="2C9C41DD">
            <w:pP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sym w:font="Wingdings" w:char="00FE"/>
            </w:r>
            <w:r>
              <w:rPr>
                <w:rFonts w:hint="eastAsia" w:ascii="仿宋" w:hAnsi="仿宋" w:eastAsia="仿宋" w:cs="仿宋"/>
                <w:bCs/>
                <w:color w:val="000000" w:themeColor="text1"/>
                <w:kern w:val="0"/>
                <w:sz w:val="22"/>
                <w:szCs w:val="22"/>
                <w14:textFill>
                  <w14:solidFill>
                    <w14:schemeClr w14:val="tx1"/>
                  </w14:solidFill>
                </w14:textFill>
              </w:rPr>
              <w:t xml:space="preserve"> 不同意分包。</w:t>
            </w:r>
          </w:p>
          <w:p w14:paraId="01977EA6">
            <w:pPr>
              <w:numPr>
                <w:ilvl w:val="0"/>
                <w:numId w:val="2"/>
              </w:num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转包：本项目不允许转包。</w:t>
            </w:r>
          </w:p>
        </w:tc>
      </w:tr>
      <w:tr w14:paraId="745CF1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6" w:hRule="atLeast"/>
          <w:jc w:val="center"/>
        </w:trPr>
        <w:tc>
          <w:tcPr>
            <w:tcW w:w="947" w:type="dxa"/>
            <w:vAlign w:val="center"/>
          </w:tcPr>
          <w:p w14:paraId="274D2BCE">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13</w:t>
            </w:r>
          </w:p>
        </w:tc>
        <w:tc>
          <w:tcPr>
            <w:tcW w:w="2340" w:type="dxa"/>
            <w:vAlign w:val="center"/>
          </w:tcPr>
          <w:p w14:paraId="569633E5">
            <w:pPr>
              <w:jc w:val="cente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项目属性与核心产品</w:t>
            </w:r>
          </w:p>
        </w:tc>
        <w:tc>
          <w:tcPr>
            <w:tcW w:w="6514" w:type="dxa"/>
            <w:vAlign w:val="center"/>
          </w:tcPr>
          <w:p w14:paraId="5B51C745">
            <w:pP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sym w:font="Wingdings" w:char="00A8"/>
            </w:r>
            <w:r>
              <w:rPr>
                <w:rFonts w:hint="eastAsia" w:ascii="仿宋" w:hAnsi="仿宋" w:eastAsia="仿宋" w:cs="仿宋"/>
                <w:color w:val="000000" w:themeColor="text1"/>
                <w:kern w:val="0"/>
                <w:sz w:val="22"/>
                <w:szCs w:val="22"/>
                <w14:textFill>
                  <w14:solidFill>
                    <w14:schemeClr w14:val="tx1"/>
                  </w14:solidFill>
                </w14:textFill>
              </w:rPr>
              <w:t>货物类，单一产品或核心产品为：</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w:t>
            </w:r>
          </w:p>
          <w:p w14:paraId="6B5699F3">
            <w:pPr>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sym w:font="Wingdings" w:char="00FE"/>
            </w:r>
            <w:r>
              <w:rPr>
                <w:rFonts w:hint="eastAsia" w:ascii="仿宋" w:hAnsi="仿宋" w:eastAsia="仿宋" w:cs="仿宋"/>
                <w:color w:val="000000" w:themeColor="text1"/>
                <w:kern w:val="0"/>
                <w:sz w:val="22"/>
                <w:szCs w:val="22"/>
                <w14:textFill>
                  <w14:solidFill>
                    <w14:schemeClr w14:val="tx1"/>
                  </w14:solidFill>
                </w14:textFill>
              </w:rPr>
              <w:t>服务类。</w:t>
            </w:r>
          </w:p>
        </w:tc>
      </w:tr>
      <w:tr w14:paraId="38DC92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947" w:type="dxa"/>
            <w:vAlign w:val="center"/>
          </w:tcPr>
          <w:p w14:paraId="2C99FC4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14</w:t>
            </w:r>
          </w:p>
        </w:tc>
        <w:tc>
          <w:tcPr>
            <w:tcW w:w="2340" w:type="dxa"/>
            <w:vAlign w:val="center"/>
          </w:tcPr>
          <w:p w14:paraId="2A6F6863">
            <w:pPr>
              <w:jc w:val="center"/>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是否允许采购进口产品</w:t>
            </w:r>
          </w:p>
        </w:tc>
        <w:tc>
          <w:tcPr>
            <w:tcW w:w="6514" w:type="dxa"/>
            <w:vAlign w:val="center"/>
          </w:tcPr>
          <w:p w14:paraId="0F0473D6">
            <w:pP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sym w:font="Wingdings" w:char="00FE"/>
            </w:r>
            <w:r>
              <w:rPr>
                <w:rFonts w:hint="eastAsia" w:ascii="仿宋" w:hAnsi="仿宋" w:eastAsia="仿宋" w:cs="仿宋"/>
                <w:bCs/>
                <w:color w:val="000000" w:themeColor="text1"/>
                <w:kern w:val="0"/>
                <w:sz w:val="22"/>
                <w:szCs w:val="22"/>
                <w14:textFill>
                  <w14:solidFill>
                    <w14:schemeClr w14:val="tx1"/>
                  </w14:solidFill>
                </w14:textFill>
              </w:rPr>
              <w:t>本项目不允许采购进口产品。</w:t>
            </w:r>
          </w:p>
        </w:tc>
      </w:tr>
      <w:tr w14:paraId="4B5258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947" w:type="dxa"/>
            <w:vAlign w:val="center"/>
          </w:tcPr>
          <w:p w14:paraId="00E7C76A">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15</w:t>
            </w:r>
          </w:p>
        </w:tc>
        <w:tc>
          <w:tcPr>
            <w:tcW w:w="2340" w:type="dxa"/>
            <w:vAlign w:val="center"/>
          </w:tcPr>
          <w:p w14:paraId="56D9E7E0">
            <w:pPr>
              <w:jc w:val="center"/>
              <w:rPr>
                <w:rFonts w:ascii="仿宋" w:hAnsi="仿宋" w:eastAsia="仿宋" w:cs="仿宋"/>
                <w:bCs/>
                <w:snapToGrid w:val="0"/>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样品提供</w:t>
            </w:r>
          </w:p>
        </w:tc>
        <w:tc>
          <w:tcPr>
            <w:tcW w:w="6514" w:type="dxa"/>
            <w:vAlign w:val="center"/>
          </w:tcPr>
          <w:p w14:paraId="00A16953">
            <w:pPr>
              <w:rPr>
                <w:rFonts w:ascii="仿宋" w:hAnsi="仿宋" w:eastAsia="仿宋" w:cs="仿宋"/>
                <w:snapToGrid w:val="0"/>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sym w:font="Wingdings" w:char="00FE"/>
            </w:r>
            <w:r>
              <w:rPr>
                <w:rFonts w:hint="eastAsia" w:ascii="仿宋" w:hAnsi="仿宋" w:eastAsia="仿宋" w:cs="仿宋"/>
                <w:color w:val="000000" w:themeColor="text1"/>
                <w:kern w:val="0"/>
                <w:sz w:val="22"/>
                <w:szCs w:val="22"/>
                <w14:textFill>
                  <w14:solidFill>
                    <w14:schemeClr w14:val="tx1"/>
                  </w14:solidFill>
                </w14:textFill>
              </w:rPr>
              <w:t xml:space="preserve"> </w:t>
            </w:r>
            <w:r>
              <w:rPr>
                <w:rFonts w:hint="eastAsia" w:ascii="仿宋" w:hAnsi="仿宋" w:eastAsia="仿宋" w:cs="仿宋"/>
                <w:color w:val="000000" w:themeColor="text1"/>
                <w:sz w:val="22"/>
                <w:szCs w:val="22"/>
                <w14:textFill>
                  <w14:solidFill>
                    <w14:schemeClr w14:val="tx1"/>
                  </w14:solidFill>
                </w14:textFill>
              </w:rPr>
              <w:t>不要求提供。</w:t>
            </w:r>
          </w:p>
        </w:tc>
      </w:tr>
      <w:tr w14:paraId="7C6A61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3" w:hRule="atLeast"/>
          <w:jc w:val="center"/>
        </w:trPr>
        <w:tc>
          <w:tcPr>
            <w:tcW w:w="947" w:type="dxa"/>
            <w:vAlign w:val="center"/>
          </w:tcPr>
          <w:p w14:paraId="310C1F6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w:t>
            </w:r>
          </w:p>
        </w:tc>
        <w:tc>
          <w:tcPr>
            <w:tcW w:w="2340" w:type="dxa"/>
            <w:vAlign w:val="center"/>
          </w:tcPr>
          <w:p w14:paraId="391D1B1E">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方案讲解演示</w:t>
            </w:r>
          </w:p>
        </w:tc>
        <w:tc>
          <w:tcPr>
            <w:tcW w:w="6514" w:type="dxa"/>
            <w:vAlign w:val="center"/>
          </w:tcPr>
          <w:p w14:paraId="2CA614EF">
            <w:pPr>
              <w:shd w:val="clear"/>
              <w:rPr>
                <w:rFonts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kern w:val="0"/>
                <w:sz w:val="22"/>
                <w:szCs w:val="22"/>
                <w:highlight w:val="none"/>
                <w14:textFill>
                  <w14:solidFill>
                    <w14:schemeClr w14:val="tx1"/>
                  </w14:solidFill>
                </w14:textFill>
              </w:rPr>
              <w:sym w:font="Wingdings" w:char="00FE"/>
            </w:r>
            <w:r>
              <w:rPr>
                <w:rFonts w:hint="eastAsia" w:ascii="仿宋" w:hAnsi="仿宋" w:eastAsia="仿宋" w:cs="仿宋"/>
                <w:color w:val="000000" w:themeColor="text1"/>
                <w:kern w:val="0"/>
                <w:sz w:val="22"/>
                <w:szCs w:val="22"/>
                <w:highlight w:val="none"/>
                <w14:textFill>
                  <w14:solidFill>
                    <w14:schemeClr w14:val="tx1"/>
                  </w14:solidFill>
                </w14:textFill>
              </w:rPr>
              <w:t xml:space="preserve"> </w:t>
            </w:r>
            <w:r>
              <w:rPr>
                <w:rFonts w:hint="eastAsia" w:ascii="仿宋" w:hAnsi="仿宋" w:eastAsia="仿宋" w:cs="仿宋"/>
                <w:color w:val="000000" w:themeColor="text1"/>
                <w:sz w:val="22"/>
                <w:szCs w:val="22"/>
                <w:highlight w:val="none"/>
                <w14:textFill>
                  <w14:solidFill>
                    <w14:schemeClr w14:val="tx1"/>
                  </w14:solidFill>
                </w14:textFill>
              </w:rPr>
              <w:t>不组织。</w:t>
            </w:r>
          </w:p>
          <w:p w14:paraId="7A7DCFCA">
            <w:pPr>
              <w:rPr>
                <w:rFonts w:ascii="仿宋" w:hAnsi="仿宋" w:eastAsia="仿宋" w:cs="仿宋"/>
                <w:color w:val="000000" w:themeColor="text1"/>
                <w:kern w:val="0"/>
                <w:sz w:val="22"/>
                <w:szCs w:val="22"/>
                <w:highlight w:val="none"/>
                <w14:textFill>
                  <w14:solidFill>
                    <w14:schemeClr w14:val="tx1"/>
                  </w14:solidFill>
                </w14:textFill>
              </w:rPr>
            </w:pPr>
            <w:r>
              <w:rPr>
                <w:rFonts w:hint="eastAsia" w:ascii="仿宋" w:hAnsi="仿宋" w:eastAsia="仿宋" w:cs="仿宋"/>
                <w:color w:val="000000" w:themeColor="text1"/>
                <w:kern w:val="0"/>
                <w:sz w:val="22"/>
                <w:szCs w:val="22"/>
                <w:highlight w:val="none"/>
                <w14:textFill>
                  <w14:solidFill>
                    <w14:schemeClr w14:val="tx1"/>
                  </w14:solidFill>
                </w14:textFill>
              </w:rPr>
              <w:sym w:font="Wingdings" w:char="00A8"/>
            </w:r>
            <w:r>
              <w:rPr>
                <w:rFonts w:hint="eastAsia" w:ascii="仿宋" w:hAnsi="仿宋" w:eastAsia="仿宋" w:cs="仿宋"/>
                <w:color w:val="000000" w:themeColor="text1"/>
                <w:kern w:val="0"/>
                <w:sz w:val="22"/>
                <w:szCs w:val="22"/>
                <w:highlight w:val="none"/>
                <w14:textFill>
                  <w14:solidFill>
                    <w14:schemeClr w14:val="tx1"/>
                  </w14:solidFill>
                </w14:textFill>
              </w:rPr>
              <w:t xml:space="preserve"> 组织。</w:t>
            </w:r>
          </w:p>
          <w:p w14:paraId="479976B6">
            <w:pPr>
              <w:ind w:firstLine="220" w:firstLine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在评审时安排每个供应商进行方案讲解演示。每个供应商时间不超过1</w:t>
            </w:r>
            <w:r>
              <w:rPr>
                <w:rFonts w:hint="eastAsia" w:ascii="仿宋" w:hAnsi="仿宋" w:eastAsia="仿宋" w:cs="仿宋"/>
                <w:color w:val="000000" w:themeColor="text1"/>
                <w:kern w:val="0"/>
                <w:sz w:val="22"/>
                <w:szCs w:val="22"/>
                <w:lang w:val="en-US" w:eastAsia="zh-CN"/>
                <w14:textFill>
                  <w14:solidFill>
                    <w14:schemeClr w14:val="tx1"/>
                  </w14:solidFill>
                </w14:textFill>
              </w:rPr>
              <w:t>0</w:t>
            </w:r>
            <w:r>
              <w:rPr>
                <w:rFonts w:hint="eastAsia" w:ascii="仿宋" w:hAnsi="仿宋" w:eastAsia="仿宋" w:cs="仿宋"/>
                <w:color w:val="000000" w:themeColor="text1"/>
                <w:kern w:val="0"/>
                <w:sz w:val="22"/>
                <w:szCs w:val="22"/>
                <w14:textFill>
                  <w14:solidFill>
                    <w14:schemeClr w14:val="tx1"/>
                  </w14:solidFill>
                </w14:textFill>
              </w:rPr>
              <w:t>分钟，讲解次序以响应文件开启时间解密时间先后次序为准，讲解演示人员不超过2人。讲解演示结束后按要求解答磋商小组提问。</w:t>
            </w:r>
          </w:p>
          <w:p w14:paraId="656C078C">
            <w:pPr>
              <w:ind w:firstLine="220" w:firstLine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03C3DA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7" w:type="dxa"/>
            <w:vAlign w:val="center"/>
          </w:tcPr>
          <w:p w14:paraId="181CC53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17</w:t>
            </w:r>
          </w:p>
        </w:tc>
        <w:tc>
          <w:tcPr>
            <w:tcW w:w="2340" w:type="dxa"/>
            <w:vAlign w:val="center"/>
          </w:tcPr>
          <w:p w14:paraId="22C7B36B">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响应文件的编制</w:t>
            </w:r>
          </w:p>
        </w:tc>
        <w:tc>
          <w:tcPr>
            <w:tcW w:w="6514" w:type="dxa"/>
            <w:vAlign w:val="center"/>
          </w:tcPr>
          <w:p w14:paraId="623AC5D1">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详见第二部分“</w:t>
            </w:r>
            <w:r>
              <w:rPr>
                <w:rFonts w:hint="eastAsia" w:ascii="仿宋" w:hAnsi="仿宋" w:eastAsia="仿宋" w:cs="仿宋"/>
                <w:color w:val="000000" w:themeColor="text1"/>
                <w:sz w:val="22"/>
                <w:szCs w:val="22"/>
                <w:lang w:val="zh-CN"/>
                <w14:textFill>
                  <w14:solidFill>
                    <w14:schemeClr w14:val="tx1"/>
                  </w14:solidFill>
                </w14:textFill>
              </w:rPr>
              <w:t>供应商须知</w:t>
            </w:r>
            <w:r>
              <w:rPr>
                <w:rFonts w:hint="eastAsia" w:ascii="仿宋" w:hAnsi="仿宋" w:eastAsia="仿宋" w:cs="仿宋"/>
                <w:bCs/>
                <w:color w:val="000000" w:themeColor="text1"/>
                <w:kern w:val="0"/>
                <w:sz w:val="22"/>
                <w:szCs w:val="22"/>
                <w14:textFill>
                  <w14:solidFill>
                    <w14:schemeClr w14:val="tx1"/>
                  </w14:solidFill>
                </w14:textFill>
              </w:rPr>
              <w:t>”</w:t>
            </w:r>
            <w:r>
              <w:rPr>
                <w:rFonts w:hint="eastAsia" w:ascii="仿宋" w:hAnsi="仿宋" w:eastAsia="仿宋" w:cs="仿宋"/>
                <w:color w:val="000000" w:themeColor="text1"/>
                <w:sz w:val="22"/>
                <w:szCs w:val="22"/>
                <w:lang w:val="zh-CN"/>
                <w14:textFill>
                  <w14:solidFill>
                    <w14:schemeClr w14:val="tx1"/>
                  </w14:solidFill>
                </w14:textFill>
              </w:rPr>
              <w:t>第</w:t>
            </w:r>
            <w:r>
              <w:rPr>
                <w:rFonts w:hint="eastAsia" w:ascii="仿宋" w:hAnsi="仿宋" w:eastAsia="仿宋" w:cs="仿宋"/>
                <w:color w:val="000000" w:themeColor="text1"/>
                <w:sz w:val="22"/>
                <w:szCs w:val="22"/>
                <w14:textFill>
                  <w14:solidFill>
                    <w14:schemeClr w14:val="tx1"/>
                  </w14:solidFill>
                </w14:textFill>
              </w:rPr>
              <w:t>12</w:t>
            </w:r>
            <w:r>
              <w:rPr>
                <w:rFonts w:hint="eastAsia" w:ascii="仿宋" w:hAnsi="仿宋" w:eastAsia="仿宋" w:cs="仿宋"/>
                <w:color w:val="000000" w:themeColor="text1"/>
                <w:sz w:val="22"/>
                <w:szCs w:val="22"/>
                <w:lang w:val="zh-CN"/>
                <w14:textFill>
                  <w14:solidFill>
                    <w14:schemeClr w14:val="tx1"/>
                  </w14:solidFill>
                </w14:textFill>
              </w:rPr>
              <w:t>款</w:t>
            </w:r>
          </w:p>
        </w:tc>
      </w:tr>
      <w:tr w14:paraId="258FF5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7" w:type="dxa"/>
            <w:vAlign w:val="center"/>
          </w:tcPr>
          <w:p w14:paraId="0BAB4926">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18</w:t>
            </w:r>
          </w:p>
        </w:tc>
        <w:tc>
          <w:tcPr>
            <w:tcW w:w="2340" w:type="dxa"/>
            <w:vAlign w:val="center"/>
          </w:tcPr>
          <w:p w14:paraId="4521EB08">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响应文件的形式</w:t>
            </w:r>
          </w:p>
        </w:tc>
        <w:tc>
          <w:tcPr>
            <w:tcW w:w="6514" w:type="dxa"/>
            <w:vAlign w:val="center"/>
          </w:tcPr>
          <w:p w14:paraId="41425C89">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电子响应文件（包括“电子加密响应文件”和“备份响应文件”，在响应文件编制完成后同时生成）；</w:t>
            </w:r>
          </w:p>
          <w:p w14:paraId="29E4CA50">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（1）“电子加密响应文件”是指通过“政采云电子交易客户端”完成响应文件编制后生成并加密的数据电文形式的响应文件。</w:t>
            </w:r>
          </w:p>
          <w:p w14:paraId="49323109">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（2）“备份响应文件”是指与“电子加密响应文件”同时生成的数据电文形式的电子文件（备份标书，用于供应商标书解密异常时应急使用），其他方式编制的备份响应文件视为无效备份响应文件。</w:t>
            </w:r>
          </w:p>
        </w:tc>
      </w:tr>
      <w:tr w14:paraId="487676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5" w:hRule="atLeast"/>
          <w:jc w:val="center"/>
        </w:trPr>
        <w:tc>
          <w:tcPr>
            <w:tcW w:w="947" w:type="dxa"/>
            <w:vAlign w:val="center"/>
          </w:tcPr>
          <w:p w14:paraId="1EBD56BA">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19</w:t>
            </w:r>
          </w:p>
        </w:tc>
        <w:tc>
          <w:tcPr>
            <w:tcW w:w="2340" w:type="dxa"/>
            <w:vAlign w:val="center"/>
          </w:tcPr>
          <w:p w14:paraId="60B4EAD2">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响应文件的传输递交</w:t>
            </w:r>
          </w:p>
        </w:tc>
        <w:tc>
          <w:tcPr>
            <w:tcW w:w="6514" w:type="dxa"/>
            <w:vAlign w:val="center"/>
          </w:tcPr>
          <w:p w14:paraId="17A15E8C">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详见第二部分“供应商须知”第15款</w:t>
            </w:r>
          </w:p>
          <w:p w14:paraId="24B4D5B0">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注：上传、递交过程中如有疑问，可咨询“政采云”客服热线：95763</w:t>
            </w:r>
          </w:p>
        </w:tc>
      </w:tr>
      <w:tr w14:paraId="645864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0" w:hRule="atLeast"/>
          <w:jc w:val="center"/>
        </w:trPr>
        <w:tc>
          <w:tcPr>
            <w:tcW w:w="947" w:type="dxa"/>
            <w:vAlign w:val="center"/>
          </w:tcPr>
          <w:p w14:paraId="03B0346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20</w:t>
            </w:r>
          </w:p>
        </w:tc>
        <w:tc>
          <w:tcPr>
            <w:tcW w:w="2340" w:type="dxa"/>
            <w:vAlign w:val="center"/>
          </w:tcPr>
          <w:p w14:paraId="19D834E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提交响应文件截止时间、开启时间和地点</w:t>
            </w:r>
          </w:p>
        </w:tc>
        <w:tc>
          <w:tcPr>
            <w:tcW w:w="6514" w:type="dxa"/>
            <w:vAlign w:val="center"/>
          </w:tcPr>
          <w:p w14:paraId="1673678E">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详见第一部分“采购公告”</w:t>
            </w:r>
          </w:p>
        </w:tc>
      </w:tr>
      <w:tr w14:paraId="042373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947" w:type="dxa"/>
            <w:vAlign w:val="center"/>
          </w:tcPr>
          <w:p w14:paraId="2E25276D">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w:t>
            </w:r>
          </w:p>
        </w:tc>
        <w:tc>
          <w:tcPr>
            <w:tcW w:w="2340" w:type="dxa"/>
            <w:vAlign w:val="center"/>
          </w:tcPr>
          <w:p w14:paraId="62664B1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磋商小组的组建</w:t>
            </w:r>
          </w:p>
        </w:tc>
        <w:tc>
          <w:tcPr>
            <w:tcW w:w="6514" w:type="dxa"/>
            <w:vAlign w:val="center"/>
          </w:tcPr>
          <w:p w14:paraId="095B06E0">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磋商小组由采购人代表和评审专家组成，成员人数应当为 3 人以上单数，其中评审专家不得少于成员总数的三分之二。</w:t>
            </w:r>
          </w:p>
        </w:tc>
      </w:tr>
      <w:tr w14:paraId="1DDEFD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947" w:type="dxa"/>
            <w:vAlign w:val="center"/>
          </w:tcPr>
          <w:p w14:paraId="5F084638">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22</w:t>
            </w:r>
          </w:p>
        </w:tc>
        <w:tc>
          <w:tcPr>
            <w:tcW w:w="2340" w:type="dxa"/>
            <w:vAlign w:val="center"/>
          </w:tcPr>
          <w:p w14:paraId="5B7ABD7D">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评审办法</w:t>
            </w:r>
          </w:p>
        </w:tc>
        <w:tc>
          <w:tcPr>
            <w:tcW w:w="6514" w:type="dxa"/>
            <w:vAlign w:val="center"/>
          </w:tcPr>
          <w:p w14:paraId="0EC45AE0">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详见第四部分“评审办法前附表”</w:t>
            </w:r>
          </w:p>
        </w:tc>
      </w:tr>
      <w:tr w14:paraId="3ED86C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jc w:val="center"/>
        </w:trPr>
        <w:tc>
          <w:tcPr>
            <w:tcW w:w="947" w:type="dxa"/>
            <w:vAlign w:val="center"/>
          </w:tcPr>
          <w:p w14:paraId="0EB0AF5C">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w:t>
            </w:r>
          </w:p>
        </w:tc>
        <w:tc>
          <w:tcPr>
            <w:tcW w:w="2340" w:type="dxa"/>
            <w:vAlign w:val="center"/>
          </w:tcPr>
          <w:p w14:paraId="2B44204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成交结果公告</w:t>
            </w:r>
          </w:p>
        </w:tc>
        <w:tc>
          <w:tcPr>
            <w:tcW w:w="6514" w:type="dxa"/>
            <w:vAlign w:val="center"/>
          </w:tcPr>
          <w:p w14:paraId="6F983FE7">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结果经采购人确认后2个工作日内，采购代理机构将对外发布成交公告和成交通知书。采购代理机构按相关政府采购规定将成交结果发布在政府采购网上进行公示，公示期为1个工作日。采购人、采购代理机构及磋商小组对未成交的供应商不作落标原因解释。</w:t>
            </w:r>
          </w:p>
        </w:tc>
      </w:tr>
      <w:tr w14:paraId="07A1D7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947" w:type="dxa"/>
            <w:vAlign w:val="center"/>
          </w:tcPr>
          <w:p w14:paraId="0FC7D780">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24</w:t>
            </w:r>
          </w:p>
        </w:tc>
        <w:tc>
          <w:tcPr>
            <w:tcW w:w="2340" w:type="dxa"/>
            <w:vAlign w:val="center"/>
          </w:tcPr>
          <w:p w14:paraId="00A31149">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合同签订时间</w:t>
            </w:r>
          </w:p>
        </w:tc>
        <w:tc>
          <w:tcPr>
            <w:tcW w:w="6514" w:type="dxa"/>
            <w:vAlign w:val="center"/>
          </w:tcPr>
          <w:p w14:paraId="0ADAD173">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成交通知书发出后30日内。</w:t>
            </w:r>
          </w:p>
        </w:tc>
      </w:tr>
      <w:tr w14:paraId="5462ED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9" w:hRule="atLeast"/>
          <w:jc w:val="center"/>
        </w:trPr>
        <w:tc>
          <w:tcPr>
            <w:tcW w:w="947" w:type="dxa"/>
            <w:vAlign w:val="center"/>
          </w:tcPr>
          <w:p w14:paraId="66D66EE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25</w:t>
            </w:r>
          </w:p>
        </w:tc>
        <w:tc>
          <w:tcPr>
            <w:tcW w:w="2340" w:type="dxa"/>
            <w:vAlign w:val="center"/>
          </w:tcPr>
          <w:p w14:paraId="4B6AA5F2">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磋商有效期</w:t>
            </w:r>
          </w:p>
        </w:tc>
        <w:tc>
          <w:tcPr>
            <w:tcW w:w="6514" w:type="dxa"/>
            <w:vAlign w:val="center"/>
          </w:tcPr>
          <w:p w14:paraId="556D1246">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磋商有效期为从提交响应文件的截止之日起</w:t>
            </w:r>
            <w:r>
              <w:rPr>
                <w:rFonts w:hint="eastAsia" w:ascii="仿宋" w:hAnsi="仿宋" w:eastAsia="仿宋" w:cs="仿宋"/>
                <w:color w:val="000000" w:themeColor="text1"/>
                <w:sz w:val="22"/>
                <w:szCs w:val="22"/>
                <w:u w:val="single"/>
                <w14:textFill>
                  <w14:solidFill>
                    <w14:schemeClr w14:val="tx1"/>
                  </w14:solidFill>
                </w14:textFill>
              </w:rPr>
              <w:t xml:space="preserve"> 120 </w:t>
            </w:r>
            <w:r>
              <w:rPr>
                <w:rFonts w:hint="eastAsia" w:ascii="仿宋" w:hAnsi="仿宋" w:eastAsia="仿宋" w:cs="仿宋"/>
                <w:color w:val="000000" w:themeColor="text1"/>
                <w:sz w:val="22"/>
                <w:szCs w:val="22"/>
                <w14:textFill>
                  <w14:solidFill>
                    <w14:schemeClr w14:val="tx1"/>
                  </w14:solidFill>
                </w14:textFill>
              </w:rPr>
              <w:t>天</w:t>
            </w:r>
          </w:p>
        </w:tc>
      </w:tr>
      <w:tr w14:paraId="5D1F82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3" w:hRule="atLeast"/>
          <w:jc w:val="center"/>
        </w:trPr>
        <w:tc>
          <w:tcPr>
            <w:tcW w:w="947" w:type="dxa"/>
            <w:vAlign w:val="center"/>
          </w:tcPr>
          <w:p w14:paraId="7246104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26</w:t>
            </w:r>
          </w:p>
        </w:tc>
        <w:tc>
          <w:tcPr>
            <w:tcW w:w="2340" w:type="dxa"/>
            <w:vAlign w:val="center"/>
          </w:tcPr>
          <w:p w14:paraId="04EB06E7">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质疑</w:t>
            </w:r>
          </w:p>
        </w:tc>
        <w:tc>
          <w:tcPr>
            <w:tcW w:w="6514" w:type="dxa"/>
            <w:vAlign w:val="center"/>
          </w:tcPr>
          <w:p w14:paraId="47748BAF">
            <w:pPr>
              <w:rPr>
                <w:rFonts w:ascii="仿宋" w:hAnsi="仿宋" w:eastAsia="仿宋" w:cs="仿宋"/>
                <w:snapToGrid w:val="0"/>
                <w:color w:val="000000" w:themeColor="text1"/>
                <w:kern w:val="0"/>
                <w:sz w:val="22"/>
                <w:szCs w:val="22"/>
                <w14:textFill>
                  <w14:solidFill>
                    <w14:schemeClr w14:val="tx1"/>
                  </w14:solidFill>
                </w14:textFill>
              </w:rPr>
            </w:pPr>
            <w:r>
              <w:rPr>
                <w:rFonts w:hint="eastAsia" w:ascii="仿宋" w:hAnsi="仿宋" w:eastAsia="仿宋" w:cs="仿宋"/>
                <w:snapToGrid w:val="0"/>
                <w:color w:val="000000" w:themeColor="text1"/>
                <w:kern w:val="0"/>
                <w:sz w:val="22"/>
                <w:szCs w:val="22"/>
                <w14:textFill>
                  <w14:solidFill>
                    <w14:schemeClr w14:val="tx1"/>
                  </w14:solidFill>
                </w14:textFill>
              </w:rPr>
              <w:t>根据《政府采购质疑和投诉办法》第十条的规定，供应商认为采购文件、采购过程、中标或者成交结果使自己的权益受到损害的，可以在知道或者应知其权益受到损害之日起 7 个工作日内，以书面形式向采购人、采购代理机构提出质疑。</w:t>
            </w:r>
          </w:p>
        </w:tc>
      </w:tr>
      <w:tr w14:paraId="2EECEE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5" w:hRule="atLeast"/>
          <w:jc w:val="center"/>
        </w:trPr>
        <w:tc>
          <w:tcPr>
            <w:tcW w:w="947" w:type="dxa"/>
            <w:vAlign w:val="center"/>
          </w:tcPr>
          <w:p w14:paraId="1CD0FA3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27</w:t>
            </w:r>
          </w:p>
        </w:tc>
        <w:tc>
          <w:tcPr>
            <w:tcW w:w="2340" w:type="dxa"/>
            <w:vAlign w:val="center"/>
          </w:tcPr>
          <w:p w14:paraId="181D01D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投诉</w:t>
            </w:r>
          </w:p>
        </w:tc>
        <w:tc>
          <w:tcPr>
            <w:tcW w:w="6514" w:type="dxa"/>
            <w:vAlign w:val="center"/>
          </w:tcPr>
          <w:p w14:paraId="2BDBEBAC">
            <w:pPr>
              <w:rPr>
                <w:rFonts w:ascii="仿宋" w:hAnsi="仿宋" w:eastAsia="仿宋" w:cs="仿宋"/>
                <w:snapToGrid w:val="0"/>
                <w:color w:val="000000" w:themeColor="text1"/>
                <w:kern w:val="0"/>
                <w:sz w:val="22"/>
                <w:szCs w:val="22"/>
                <w14:textFill>
                  <w14:solidFill>
                    <w14:schemeClr w14:val="tx1"/>
                  </w14:solidFill>
                </w14:textFill>
              </w:rPr>
            </w:pPr>
            <w:r>
              <w:rPr>
                <w:rFonts w:hint="eastAsia" w:ascii="仿宋" w:hAnsi="仿宋" w:eastAsia="仿宋" w:cs="仿宋"/>
                <w:snapToGrid w:val="0"/>
                <w:color w:val="000000" w:themeColor="text1"/>
                <w:kern w:val="0"/>
                <w:sz w:val="22"/>
                <w:szCs w:val="22"/>
                <w14:textFill>
                  <w14:solidFill>
                    <w14:schemeClr w14:val="tx1"/>
                  </w14:solidFill>
                </w14:textFill>
              </w:rPr>
              <w:t>根据《政府采购质疑和投诉办法》第十七条的规定，质疑供应商对采购人、采购代理机构的答复不满意，或者采购人、采购代理机构未在规定时间内作出答复的，可以在答复期满后 15 个工作日内向本级财政部门提起投诉。</w:t>
            </w:r>
          </w:p>
        </w:tc>
      </w:tr>
      <w:tr w14:paraId="388A7E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9" w:hRule="atLeast"/>
          <w:jc w:val="center"/>
        </w:trPr>
        <w:tc>
          <w:tcPr>
            <w:tcW w:w="947" w:type="dxa"/>
            <w:vAlign w:val="center"/>
          </w:tcPr>
          <w:p w14:paraId="5279A270">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28</w:t>
            </w:r>
          </w:p>
        </w:tc>
        <w:tc>
          <w:tcPr>
            <w:tcW w:w="2340" w:type="dxa"/>
            <w:vAlign w:val="center"/>
          </w:tcPr>
          <w:p w14:paraId="1F599315">
            <w:pPr>
              <w:jc w:val="cente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u w:val="thick"/>
                <w14:textFill>
                  <w14:solidFill>
                    <w14:schemeClr w14:val="tx1"/>
                  </w14:solidFill>
                </w14:textFill>
              </w:rPr>
              <w:t>▲符合性审查、无效标条款</w:t>
            </w:r>
          </w:p>
        </w:tc>
        <w:tc>
          <w:tcPr>
            <w:tcW w:w="6514" w:type="dxa"/>
            <w:vAlign w:val="center"/>
          </w:tcPr>
          <w:p w14:paraId="4A6C51CA">
            <w:pPr>
              <w:pStyle w:val="26"/>
              <w:snapToGrid/>
              <w:spacing w:line="240" w:lineRule="auto"/>
              <w:ind w:firstLine="0"/>
              <w:rPr>
                <w:rFonts w:ascii="仿宋" w:hAnsi="仿宋" w:eastAsia="仿宋" w:cs="仿宋"/>
                <w:bCs/>
                <w:snapToGrid w:val="0"/>
                <w:color w:val="000000" w:themeColor="text1"/>
                <w:sz w:val="22"/>
                <w:szCs w:val="22"/>
                <w14:textFill>
                  <w14:solidFill>
                    <w14:schemeClr w14:val="tx1"/>
                  </w14:solidFill>
                </w14:textFill>
              </w:rPr>
            </w:pPr>
            <w:r>
              <w:rPr>
                <w:rFonts w:hint="eastAsia" w:ascii="仿宋" w:hAnsi="仿宋" w:eastAsia="仿宋" w:cs="仿宋"/>
                <w:bCs/>
                <w:snapToGrid w:val="0"/>
                <w:color w:val="000000" w:themeColor="text1"/>
                <w:sz w:val="22"/>
                <w:szCs w:val="22"/>
                <w14:textFill>
                  <w14:solidFill>
                    <w14:schemeClr w14:val="tx1"/>
                  </w14:solidFill>
                </w14:textFill>
              </w:rPr>
              <w:t>详见采购文件“第四部分 评标办法”2.2款</w:t>
            </w:r>
          </w:p>
        </w:tc>
      </w:tr>
      <w:tr w14:paraId="6A2AC0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7" w:type="dxa"/>
            <w:vAlign w:val="center"/>
          </w:tcPr>
          <w:p w14:paraId="34356F45">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29</w:t>
            </w:r>
          </w:p>
        </w:tc>
        <w:tc>
          <w:tcPr>
            <w:tcW w:w="2340" w:type="dxa"/>
            <w:vAlign w:val="center"/>
          </w:tcPr>
          <w:p w14:paraId="00FA83FC">
            <w:pPr>
              <w:jc w:val="center"/>
              <w:rPr>
                <w:rFonts w:ascii="仿宋" w:hAnsi="仿宋" w:eastAsia="仿宋" w:cs="仿宋"/>
                <w:b/>
                <w:bCs/>
                <w:color w:val="000000" w:themeColor="text1"/>
                <w:kern w:val="0"/>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供应商信用信息查询</w:t>
            </w:r>
          </w:p>
        </w:tc>
        <w:tc>
          <w:tcPr>
            <w:tcW w:w="6514" w:type="dxa"/>
            <w:vAlign w:val="center"/>
          </w:tcPr>
          <w:p w14:paraId="25A60CD3">
            <w:pP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根据《关于在政府采购活动中查询及使用信用记录有关问题的通知》财库[2016]125号的规定：</w:t>
            </w:r>
          </w:p>
          <w:p w14:paraId="6E46CFEB">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1）采购人或采购代理机构将对本项目供应商的信用信息进行查询。</w:t>
            </w:r>
          </w:p>
          <w:p w14:paraId="2DA36AD6">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2）查询渠道为信用中国网站（www.creditchina.gov.cn）、中国政府采购网（www.ccgp.gov.cn）。</w:t>
            </w:r>
          </w:p>
          <w:p w14:paraId="71466ABB">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3）信用信息截止时点为从本项目响应截止日往前追溯三年，期间被列入失信被执行人名单、重大税收违法案件当事人名单、政府采购严重违法失信行为记录名单等供应商信用信息均将用于本项目。</w:t>
            </w:r>
          </w:p>
          <w:p w14:paraId="357983B7">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4）信用信息查询记录和证据以网页截图等方式留存。</w:t>
            </w:r>
          </w:p>
          <w:p w14:paraId="11BEE005">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5）信用信息将作为评审和确定成交供应商的依据。</w:t>
            </w:r>
          </w:p>
          <w:p w14:paraId="62A4DFCE">
            <w:pPr>
              <w:pStyle w:val="26"/>
              <w:snapToGrid/>
              <w:spacing w:line="240" w:lineRule="auto"/>
              <w:ind w:firstLine="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6）联合体成员存在不良信用记录的，视同联合体存在不良信用记录。</w:t>
            </w:r>
          </w:p>
        </w:tc>
      </w:tr>
      <w:tr w14:paraId="44B691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jc w:val="center"/>
        </w:trPr>
        <w:tc>
          <w:tcPr>
            <w:tcW w:w="947" w:type="dxa"/>
            <w:vAlign w:val="center"/>
          </w:tcPr>
          <w:p w14:paraId="0520E581">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30</w:t>
            </w:r>
          </w:p>
        </w:tc>
        <w:tc>
          <w:tcPr>
            <w:tcW w:w="2340" w:type="dxa"/>
            <w:vAlign w:val="center"/>
          </w:tcPr>
          <w:p w14:paraId="5A1145ED">
            <w:pPr>
              <w:jc w:val="cente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本项目扶持中小企业（监狱企业、残疾人福利性单位）有关政策</w:t>
            </w:r>
          </w:p>
        </w:tc>
        <w:tc>
          <w:tcPr>
            <w:tcW w:w="6514" w:type="dxa"/>
            <w:vAlign w:val="center"/>
          </w:tcPr>
          <w:p w14:paraId="63B47A8C">
            <w:pP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 xml:space="preserve">1、扶持中小企业（监狱企业、残疾人福利性单位）： </w:t>
            </w:r>
          </w:p>
          <w:p w14:paraId="1DCE4AD1">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（1）根据工信部等部委发布的《关于印发中小企业划型标准规定的通知》（工信部联企业〔2011〕300号），本项目属于</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农、林、牧、渔业，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工业（包括采矿业，制造业，电力、热力、燃气及水生产和供应业），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建筑业，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批发业，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零售业，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交通运输业（不含铁路运输业），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仓储业，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邮政业，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住宿业，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餐饮业，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信息传输业（包括电信、互联网和相关服务），</w:t>
            </w:r>
            <w:r>
              <w:rPr>
                <w:rFonts w:hint="eastAsia" w:ascii="仿宋" w:hAnsi="仿宋" w:eastAsia="仿宋" w:cs="仿宋"/>
                <w:color w:val="000000" w:themeColor="text1"/>
                <w:sz w:val="22"/>
                <w:szCs w:val="22"/>
                <w:u w:val="single"/>
                <w14:textFill>
                  <w14:solidFill>
                    <w14:schemeClr w14:val="tx1"/>
                  </w14:solidFill>
                </w14:textFill>
              </w:rPr>
              <w:sym w:font="Wingdings" w:char="00FE"/>
            </w:r>
            <w:r>
              <w:rPr>
                <w:rFonts w:hint="eastAsia" w:ascii="仿宋" w:hAnsi="仿宋" w:eastAsia="仿宋" w:cs="仿宋"/>
                <w:color w:val="000000" w:themeColor="text1"/>
                <w:sz w:val="22"/>
                <w:szCs w:val="22"/>
                <w:u w:val="single"/>
                <w14:textFill>
                  <w14:solidFill>
                    <w14:schemeClr w14:val="tx1"/>
                  </w14:solidFill>
                </w14:textFill>
              </w:rPr>
              <w:t>软件和信息技术服务业，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房地产开发经营，</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物业管理，</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租赁和商务服务业，</w:t>
            </w:r>
            <w:r>
              <w:rPr>
                <w:rFonts w:hint="eastAsia" w:ascii="仿宋" w:hAnsi="仿宋" w:eastAsia="仿宋" w:cs="仿宋"/>
                <w:color w:val="000000" w:themeColor="text1"/>
                <w:sz w:val="22"/>
                <w:szCs w:val="22"/>
                <w:u w:val="single"/>
                <w14:textFill>
                  <w14:solidFill>
                    <w14:schemeClr w14:val="tx1"/>
                  </w14:solidFill>
                </w14:textFill>
              </w:rPr>
              <w:sym w:font="Wingdings" w:char="00A8"/>
            </w:r>
            <w:r>
              <w:rPr>
                <w:rFonts w:hint="eastAsia" w:ascii="仿宋" w:hAnsi="仿宋" w:eastAsia="仿宋" w:cs="仿宋"/>
                <w:color w:val="000000" w:themeColor="text1"/>
                <w:sz w:val="22"/>
                <w:szCs w:val="22"/>
                <w:u w:val="single"/>
                <w14:textFill>
                  <w14:solidFill>
                    <w14:schemeClr w14:val="tx1"/>
                  </w14:solidFill>
                </w14:textFill>
              </w:rPr>
              <w:t xml:space="preserve">其他未列明行业（包括科学研究和技术服务业，水利、环境和公共设施管理业，居民服务、修理和其他服务业，社会工作，文化、体育和娱乐业等） </w:t>
            </w:r>
            <w:r>
              <w:rPr>
                <w:rFonts w:hint="eastAsia" w:ascii="仿宋" w:hAnsi="仿宋" w:eastAsia="仿宋" w:cs="仿宋"/>
                <w:color w:val="000000" w:themeColor="text1"/>
                <w:sz w:val="22"/>
                <w:szCs w:val="22"/>
                <w14:textFill>
                  <w14:solidFill>
                    <w14:schemeClr w14:val="tx1"/>
                  </w14:solidFill>
                </w14:textFill>
              </w:rPr>
              <w:t xml:space="preserve"> 行业。</w:t>
            </w:r>
          </w:p>
          <w:p w14:paraId="0E18F45E">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2、根据财政部发布的《政府采购促进中小企业发展管理办法》财库（2020）46号的相关规定：</w:t>
            </w:r>
          </w:p>
          <w:p w14:paraId="6E6375B7">
            <w:pPr>
              <w:ind w:firstLine="110" w:firstLineChars="50"/>
              <w:rPr>
                <w:rFonts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2.1.是否为预留份额项目：</w:t>
            </w:r>
          </w:p>
          <w:p w14:paraId="78A7D6D4">
            <w:pPr>
              <w:spacing w:line="300" w:lineRule="exact"/>
              <w:ind w:left="210" w:leftChars="100"/>
              <w:rPr>
                <w:rFonts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sym w:font="Wingdings" w:char="00FE"/>
            </w:r>
            <w:r>
              <w:rPr>
                <w:rFonts w:hint="eastAsia" w:ascii="仿宋" w:hAnsi="仿宋" w:eastAsia="仿宋" w:cs="仿宋"/>
                <w:color w:val="000000" w:themeColor="text1"/>
                <w:sz w:val="22"/>
                <w:szCs w:val="22"/>
                <w:highlight w:val="none"/>
                <w14:textFill>
                  <w14:solidFill>
                    <w14:schemeClr w14:val="tx1"/>
                  </w14:solidFill>
                </w14:textFill>
              </w:rPr>
              <w:t>本标项为预留份额项目，专门面向中小企业采购。</w:t>
            </w:r>
          </w:p>
          <w:p w14:paraId="59E96BD7">
            <w:pPr>
              <w:spacing w:line="300" w:lineRule="exact"/>
              <w:ind w:left="430" w:leftChars="100" w:hanging="220" w:hanging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本标项为非预留份额项目、非专门面向中小企业的项目</w:t>
            </w:r>
          </w:p>
          <w:p w14:paraId="6ADAF570">
            <w:pPr>
              <w:spacing w:line="300" w:lineRule="exact"/>
              <w:ind w:left="430" w:leftChars="100" w:hanging="220" w:hanging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在评审时对小型和微型企业报价给予</w:t>
            </w:r>
            <w:r>
              <w:rPr>
                <w:rFonts w:hint="eastAsia" w:ascii="仿宋" w:hAnsi="仿宋" w:eastAsia="仿宋" w:cs="仿宋"/>
                <w:color w:val="000000" w:themeColor="text1"/>
                <w:sz w:val="22"/>
                <w:szCs w:val="22"/>
                <w:u w:val="single"/>
                <w14:textFill>
                  <w14:solidFill>
                    <w14:schemeClr w14:val="tx1"/>
                  </w14:solidFill>
                </w14:textFill>
              </w:rPr>
              <w:t xml:space="preserve"> 10 </w:t>
            </w:r>
            <w:r>
              <w:rPr>
                <w:rFonts w:hint="eastAsia" w:ascii="仿宋" w:hAnsi="仿宋" w:eastAsia="仿宋" w:cs="仿宋"/>
                <w:i/>
                <w:iCs/>
                <w:color w:val="000000" w:themeColor="text1"/>
                <w:sz w:val="22"/>
                <w:szCs w:val="22"/>
                <w14:textFill>
                  <w14:solidFill>
                    <w14:schemeClr w14:val="tx1"/>
                  </w14:solidFill>
                </w14:textFill>
              </w:rPr>
              <w:t>%（工程项目为5%）</w:t>
            </w:r>
            <w:r>
              <w:rPr>
                <w:rFonts w:hint="eastAsia" w:ascii="仿宋" w:hAnsi="仿宋" w:eastAsia="仿宋" w:cs="仿宋"/>
                <w:color w:val="000000" w:themeColor="text1"/>
                <w:sz w:val="22"/>
                <w:szCs w:val="22"/>
                <w14:textFill>
                  <w14:solidFill>
                    <w14:schemeClr w14:val="tx1"/>
                  </w14:solidFill>
                </w14:textFill>
              </w:rPr>
              <w:t>的扣除，用扣除后的价格参加评审。适用招标投标法的政府采购工程建设项目，采用综合评估法但未采用低价优先法计算价格分，评审时在采用原报价进行评分的基础上增加其价格得分的</w:t>
            </w:r>
            <w:r>
              <w:rPr>
                <w:rFonts w:hint="eastAsia" w:ascii="仿宋" w:hAnsi="仿宋" w:eastAsia="仿宋" w:cs="仿宋"/>
                <w:color w:val="000000" w:themeColor="text1"/>
                <w:sz w:val="22"/>
                <w:szCs w:val="22"/>
                <w:u w:val="single"/>
                <w14:textFill>
                  <w14:solidFill>
                    <w14:schemeClr w14:val="tx1"/>
                  </w14:solidFill>
                </w14:textFill>
              </w:rPr>
              <w:t xml:space="preserve"> 5</w:t>
            </w:r>
            <w:r>
              <w:rPr>
                <w:rFonts w:hint="eastAsia" w:ascii="仿宋" w:hAnsi="仿宋" w:eastAsia="仿宋" w:cs="仿宋"/>
                <w:i/>
                <w:iCs/>
                <w:color w:val="000000" w:themeColor="text1"/>
                <w:sz w:val="22"/>
                <w:szCs w:val="22"/>
                <w:u w:val="single"/>
                <w14:textFill>
                  <w14:solidFill>
                    <w14:schemeClr w14:val="tx1"/>
                  </w14:solidFill>
                </w14:textFill>
              </w:rPr>
              <w:t xml:space="preserve"> </w:t>
            </w:r>
            <w:r>
              <w:rPr>
                <w:rFonts w:hint="eastAsia" w:ascii="仿宋" w:hAnsi="仿宋" w:eastAsia="仿宋" w:cs="仿宋"/>
                <w:i/>
                <w:iCs/>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作为其价格分。</w:t>
            </w:r>
          </w:p>
          <w:p w14:paraId="6D06BDD3">
            <w:pPr>
              <w:spacing w:line="300" w:lineRule="exact"/>
              <w:ind w:left="210" w:left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本项目为</w:t>
            </w: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接受大中型企业与小微企业组成联合体、</w:t>
            </w: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仿宋" w:hAnsi="仿宋" w:eastAsia="仿宋" w:cs="仿宋"/>
                <w:color w:val="000000" w:themeColor="text1"/>
                <w:sz w:val="22"/>
                <w:szCs w:val="22"/>
                <w:u w:val="single"/>
                <w14:textFill>
                  <w14:solidFill>
                    <w14:schemeClr w14:val="tx1"/>
                  </w14:solidFill>
                </w14:textFill>
              </w:rPr>
              <w:t xml:space="preserve"> 6 </w:t>
            </w:r>
            <w:r>
              <w:rPr>
                <w:rFonts w:hint="eastAsia" w:ascii="仿宋" w:hAnsi="仿宋" w:eastAsia="仿宋" w:cs="仿宋"/>
                <w:color w:val="000000" w:themeColor="text1"/>
                <w:sz w:val="22"/>
                <w:szCs w:val="22"/>
                <w14:textFill>
                  <w14:solidFill>
                    <w14:schemeClr w14:val="tx1"/>
                  </w14:solidFill>
                </w14:textFill>
              </w:rPr>
              <w:t>%，工程项目为</w:t>
            </w:r>
            <w:r>
              <w:rPr>
                <w:rFonts w:hint="eastAsia" w:ascii="仿宋" w:hAnsi="仿宋" w:eastAsia="仿宋" w:cs="仿宋"/>
                <w:color w:val="000000" w:themeColor="text1"/>
                <w:sz w:val="22"/>
                <w:szCs w:val="22"/>
                <w:u w:val="single"/>
                <w14:textFill>
                  <w14:solidFill>
                    <w14:schemeClr w14:val="tx1"/>
                  </w14:solidFill>
                </w14:textFill>
              </w:rPr>
              <w:t xml:space="preserve">2 </w:t>
            </w:r>
            <w:r>
              <w:rPr>
                <w:rFonts w:hint="eastAsia" w:ascii="仿宋" w:hAnsi="仿宋" w:eastAsia="仿宋" w:cs="仿宋"/>
                <w:i/>
                <w:iCs/>
                <w:color w:val="000000" w:themeColor="text1"/>
                <w:sz w:val="22"/>
                <w:szCs w:val="22"/>
                <w:u w:val="single"/>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的扣除，用扣除后的价格参加评审。</w:t>
            </w: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本项目为适用招标投标法的政府采购工程建设项目，采用综合评估法但未采用低价优先法计算价格分，评审时在采用原报价进行评分的基础上增加其价格得分的</w:t>
            </w:r>
            <w:r>
              <w:rPr>
                <w:rFonts w:hint="eastAsia" w:ascii="仿宋" w:hAnsi="仿宋" w:eastAsia="仿宋" w:cs="仿宋"/>
                <w:color w:val="000000" w:themeColor="text1"/>
                <w:sz w:val="22"/>
                <w:szCs w:val="22"/>
                <w:u w:val="single"/>
                <w14:textFill>
                  <w14:solidFill>
                    <w14:schemeClr w14:val="tx1"/>
                  </w14:solidFill>
                </w14:textFill>
              </w:rPr>
              <w:t xml:space="preserve"> 2 </w:t>
            </w:r>
            <w:r>
              <w:rPr>
                <w:rFonts w:hint="eastAsia" w:ascii="仿宋" w:hAnsi="仿宋" w:eastAsia="仿宋" w:cs="仿宋"/>
                <w:color w:val="000000" w:themeColor="text1"/>
                <w:sz w:val="22"/>
                <w:szCs w:val="22"/>
                <w14:textFill>
                  <w14:solidFill>
                    <w14:schemeClr w14:val="tx1"/>
                  </w14:solidFill>
                </w14:textFill>
              </w:rPr>
              <w:t>%作为其价格分。</w:t>
            </w:r>
          </w:p>
          <w:p w14:paraId="36AD3679">
            <w:pPr>
              <w:ind w:firstLine="220" w:firstLine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2.2组成联合体或者接受分包的小微企业与联合体内其他企业、分包企业之间存在直接控 股、管理关系的，不享受价格扣除优惠政策。</w:t>
            </w:r>
          </w:p>
          <w:p w14:paraId="2E0F8C4F">
            <w:pPr>
              <w:ind w:firstLine="220" w:firstLine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2.3价格扣除比例或者价格分加分比例对小型企业和微型企业同等对待，不作区分。</w:t>
            </w:r>
          </w:p>
          <w:p w14:paraId="25869010">
            <w:pPr>
              <w:ind w:firstLine="220" w:firstLine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365175BA">
            <w:pPr>
              <w:ind w:firstLine="220" w:firstLineChars="1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2.5接受分包的项目，享受扶持政策获得政府采购合同的，小微企业不得将合同分包给大中型企业，中型企业不得将合同分包给大型企业。</w:t>
            </w:r>
          </w:p>
          <w:p w14:paraId="6E1E3816">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185A83D4">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63801BC7">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(注：未提供以上材料的，均不给予价格扣除，以上优惠政策只享受一次）。</w:t>
            </w:r>
          </w:p>
        </w:tc>
      </w:tr>
      <w:tr w14:paraId="6D71B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43" w:hRule="atLeast"/>
          <w:jc w:val="center"/>
        </w:trPr>
        <w:tc>
          <w:tcPr>
            <w:tcW w:w="947" w:type="dxa"/>
            <w:vAlign w:val="center"/>
          </w:tcPr>
          <w:p w14:paraId="2AEE92E0">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31</w:t>
            </w:r>
          </w:p>
        </w:tc>
        <w:tc>
          <w:tcPr>
            <w:tcW w:w="2340" w:type="dxa"/>
            <w:vAlign w:val="center"/>
          </w:tcPr>
          <w:p w14:paraId="1D855A51">
            <w:pPr>
              <w:jc w:val="cente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节能产品、环境标志产品</w:t>
            </w:r>
          </w:p>
        </w:tc>
        <w:tc>
          <w:tcPr>
            <w:tcW w:w="6514" w:type="dxa"/>
            <w:vAlign w:val="center"/>
          </w:tcPr>
          <w:p w14:paraId="1FE69F15">
            <w:pPr>
              <w:pStyle w:val="8"/>
              <w:spacing w:line="240" w:lineRule="auto"/>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6A8BC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58" w:hRule="atLeast"/>
          <w:jc w:val="center"/>
        </w:trPr>
        <w:tc>
          <w:tcPr>
            <w:tcW w:w="947" w:type="dxa"/>
            <w:vAlign w:val="center"/>
          </w:tcPr>
          <w:p w14:paraId="3DAC04E2">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32</w:t>
            </w:r>
          </w:p>
        </w:tc>
        <w:tc>
          <w:tcPr>
            <w:tcW w:w="2340" w:type="dxa"/>
            <w:vAlign w:val="center"/>
          </w:tcPr>
          <w:p w14:paraId="0B441C36">
            <w:pPr>
              <w:jc w:val="center"/>
              <w:rPr>
                <w:rFonts w:ascii="仿宋" w:hAnsi="仿宋" w:eastAsia="仿宋" w:cs="仿宋"/>
                <w:snapToGrid w:val="0"/>
                <w:color w:val="000000" w:themeColor="text1"/>
                <w:sz w:val="22"/>
                <w:szCs w:val="22"/>
                <w14:textFill>
                  <w14:solidFill>
                    <w14:schemeClr w14:val="tx1"/>
                  </w14:solidFill>
                </w14:textFill>
              </w:rPr>
            </w:pPr>
            <w:r>
              <w:rPr>
                <w:rFonts w:hint="eastAsia" w:ascii="仿宋" w:hAnsi="仿宋" w:eastAsia="仿宋" w:cs="仿宋"/>
                <w:snapToGrid w:val="0"/>
                <w:color w:val="000000" w:themeColor="text1"/>
                <w:sz w:val="22"/>
                <w:szCs w:val="22"/>
                <w14:textFill>
                  <w14:solidFill>
                    <w14:schemeClr w14:val="tx1"/>
                  </w14:solidFill>
                </w14:textFill>
              </w:rPr>
              <w:t>磋商报价其他要求</w:t>
            </w:r>
          </w:p>
        </w:tc>
        <w:tc>
          <w:tcPr>
            <w:tcW w:w="6514" w:type="dxa"/>
            <w:vAlign w:val="center"/>
          </w:tcPr>
          <w:p w14:paraId="4EFAE961">
            <w:pPr>
              <w:snapToGrid w:val="0"/>
              <w:rPr>
                <w:rFonts w:ascii="仿宋" w:hAnsi="仿宋" w:eastAsia="仿宋" w:cs="仿宋"/>
                <w:snapToGrid w:val="0"/>
                <w:color w:val="000000" w:themeColor="text1"/>
                <w:sz w:val="22"/>
                <w:szCs w:val="22"/>
                <w:lang w:val="zh-CN"/>
                <w14:textFill>
                  <w14:solidFill>
                    <w14:schemeClr w14:val="tx1"/>
                  </w14:solidFill>
                </w14:textFill>
              </w:rPr>
            </w:pPr>
            <w:r>
              <w:rPr>
                <w:rFonts w:hint="eastAsia" w:ascii="仿宋" w:hAnsi="仿宋" w:eastAsia="仿宋" w:cs="仿宋"/>
                <w:snapToGrid w:val="0"/>
                <w:color w:val="000000" w:themeColor="text1"/>
                <w:sz w:val="22"/>
                <w:szCs w:val="22"/>
                <w:lang w:val="zh-CN"/>
                <w14:textFill>
                  <w14:solidFill>
                    <w14:schemeClr w14:val="tx1"/>
                  </w14:solidFill>
                </w14:textFill>
              </w:rPr>
              <w:t>磋商报价包含的内容：</w:t>
            </w:r>
          </w:p>
          <w:p w14:paraId="0AD81D10">
            <w:pPr>
              <w:snapToGrid w:val="0"/>
              <w:rPr>
                <w:rFonts w:ascii="仿宋" w:hAnsi="仿宋" w:eastAsia="仿宋" w:cs="仿宋"/>
                <w:snapToGrid w:val="0"/>
                <w:color w:val="000000" w:themeColor="text1"/>
                <w:sz w:val="22"/>
                <w:szCs w:val="22"/>
                <w:lang w:val="zh-CN"/>
                <w14:textFill>
                  <w14:solidFill>
                    <w14:schemeClr w14:val="tx1"/>
                  </w14:solidFill>
                </w14:textFill>
              </w:rPr>
            </w:pPr>
            <w:r>
              <w:rPr>
                <w:rFonts w:hint="eastAsia" w:ascii="仿宋" w:hAnsi="仿宋" w:eastAsia="仿宋" w:cs="仿宋"/>
                <w:snapToGrid w:val="0"/>
                <w:color w:val="000000" w:themeColor="text1"/>
                <w:sz w:val="22"/>
                <w:szCs w:val="22"/>
                <w:lang w:val="zh-CN"/>
                <w14:textFill>
                  <w14:solidFill>
                    <w14:schemeClr w14:val="tx1"/>
                  </w14:solidFill>
                </w14:textFill>
              </w:rPr>
              <w:sym w:font="Wingdings" w:char="F0FE"/>
            </w:r>
            <w:r>
              <w:rPr>
                <w:rFonts w:hint="eastAsia" w:ascii="仿宋" w:hAnsi="仿宋" w:eastAsia="仿宋" w:cs="仿宋"/>
                <w:snapToGrid w:val="0"/>
                <w:color w:val="000000" w:themeColor="text1"/>
                <w:sz w:val="22"/>
                <w:szCs w:val="22"/>
                <w:lang w:val="zh-CN"/>
                <w14:textFill>
                  <w14:solidFill>
                    <w14:schemeClr w14:val="tx1"/>
                  </w14:solidFill>
                </w14:textFill>
              </w:rPr>
              <w:t xml:space="preserve">采购代理服务费，收费标准：本次招标，招标代理费按照《招标代理服务收费管理暂行办法》(计价格[2002]1980号) </w:t>
            </w:r>
            <w:r>
              <w:rPr>
                <w:rFonts w:hint="eastAsia" w:ascii="仿宋" w:hAnsi="仿宋" w:eastAsia="仿宋" w:cs="仿宋"/>
                <w:snapToGrid w:val="0"/>
                <w:color w:val="000000" w:themeColor="text1"/>
                <w:sz w:val="22"/>
                <w:szCs w:val="22"/>
                <w14:textFill>
                  <w14:solidFill>
                    <w14:schemeClr w14:val="tx1"/>
                  </w14:solidFill>
                </w14:textFill>
              </w:rPr>
              <w:t>服务</w:t>
            </w:r>
            <w:r>
              <w:rPr>
                <w:rFonts w:hint="eastAsia" w:ascii="仿宋" w:hAnsi="仿宋" w:eastAsia="仿宋" w:cs="仿宋"/>
                <w:snapToGrid w:val="0"/>
                <w:color w:val="000000" w:themeColor="text1"/>
                <w:sz w:val="22"/>
                <w:szCs w:val="22"/>
                <w:lang w:val="zh-CN"/>
                <w14:textFill>
                  <w14:solidFill>
                    <w14:schemeClr w14:val="tx1"/>
                  </w14:solidFill>
                </w14:textFill>
              </w:rPr>
              <w:t>类标准下浮30%计算，由中标人在领取中标（成交）通知书之前将代理服务费用支付给招标代理机构；</w:t>
            </w:r>
          </w:p>
          <w:p w14:paraId="1FDF94BA">
            <w:pPr>
              <w:snapToGrid w:val="0"/>
              <w:rPr>
                <w:rFonts w:ascii="仿宋" w:hAnsi="仿宋" w:eastAsia="仿宋" w:cs="仿宋"/>
                <w:snapToGrid w:val="0"/>
                <w:color w:val="000000" w:themeColor="text1"/>
                <w:sz w:val="22"/>
                <w:szCs w:val="22"/>
                <w:lang w:val="zh-CN"/>
                <w14:textFill>
                  <w14:solidFill>
                    <w14:schemeClr w14:val="tx1"/>
                  </w14:solidFill>
                </w14:textFill>
              </w:rPr>
            </w:pPr>
            <w:r>
              <w:rPr>
                <w:rFonts w:hint="eastAsia" w:ascii="仿宋" w:hAnsi="仿宋" w:eastAsia="仿宋" w:cs="仿宋"/>
                <w:snapToGrid w:val="0"/>
                <w:color w:val="000000" w:themeColor="text1"/>
                <w:sz w:val="22"/>
                <w:szCs w:val="22"/>
                <w:lang w:val="zh-CN"/>
                <w14:textFill>
                  <w14:solidFill>
                    <w14:schemeClr w14:val="tx1"/>
                  </w14:solidFill>
                </w14:textFill>
              </w:rPr>
              <w:sym w:font="Wingdings" w:char="F0FE"/>
            </w:r>
            <w:r>
              <w:rPr>
                <w:rFonts w:hint="eastAsia" w:ascii="仿宋" w:hAnsi="仿宋" w:eastAsia="仿宋" w:cs="仿宋"/>
                <w:snapToGrid w:val="0"/>
                <w:color w:val="000000" w:themeColor="text1"/>
                <w:sz w:val="22"/>
                <w:szCs w:val="22"/>
                <w14:textFill>
                  <w14:solidFill>
                    <w14:schemeClr w14:val="tx1"/>
                  </w14:solidFill>
                </w14:textFill>
              </w:rPr>
              <w:t>政府采购</w:t>
            </w:r>
            <w:r>
              <w:rPr>
                <w:rFonts w:hint="eastAsia" w:ascii="仿宋" w:hAnsi="仿宋" w:eastAsia="仿宋" w:cs="仿宋"/>
                <w:snapToGrid w:val="0"/>
                <w:color w:val="000000" w:themeColor="text1"/>
                <w:sz w:val="22"/>
                <w:szCs w:val="22"/>
                <w:lang w:val="zh-CN"/>
                <w14:textFill>
                  <w14:solidFill>
                    <w14:schemeClr w14:val="tx1"/>
                  </w14:solidFill>
                </w14:textFill>
              </w:rPr>
              <w:t>履约验收费用（包含第三方检测及评审费用）；</w:t>
            </w:r>
          </w:p>
          <w:p w14:paraId="5F5979F6">
            <w:pPr>
              <w:snapToGrid w:val="0"/>
              <w:rPr>
                <w:rFonts w:ascii="仿宋" w:hAnsi="仿宋" w:eastAsia="仿宋" w:cs="仿宋"/>
                <w:snapToGrid w:val="0"/>
                <w:color w:val="000000" w:themeColor="text1"/>
                <w:sz w:val="22"/>
                <w:szCs w:val="22"/>
                <w14:textFill>
                  <w14:solidFill>
                    <w14:schemeClr w14:val="tx1"/>
                  </w14:solidFill>
                </w14:textFill>
              </w:rPr>
            </w:pPr>
            <w:r>
              <w:rPr>
                <w:rFonts w:hint="eastAsia" w:ascii="仿宋" w:hAnsi="仿宋" w:eastAsia="仿宋" w:cs="仿宋"/>
                <w:i/>
                <w:iCs/>
                <w:snapToGrid w:val="0"/>
                <w:color w:val="000000" w:themeColor="text1"/>
                <w:sz w:val="22"/>
                <w:szCs w:val="22"/>
                <w:lang w:val="zh-CN"/>
                <w14:textFill>
                  <w14:solidFill>
                    <w14:schemeClr w14:val="tx1"/>
                  </w14:solidFill>
                </w14:textFill>
              </w:rPr>
              <w:sym w:font="Wingdings" w:char="00A8"/>
            </w:r>
            <w:r>
              <w:rPr>
                <w:rFonts w:hint="eastAsia" w:ascii="仿宋" w:hAnsi="仿宋" w:eastAsia="仿宋" w:cs="仿宋"/>
                <w:i/>
                <w:iCs/>
                <w:snapToGrid w:val="0"/>
                <w:color w:val="000000" w:themeColor="text1"/>
                <w:sz w:val="22"/>
                <w:szCs w:val="22"/>
                <w:u w:val="single"/>
                <w:lang w:val="zh-CN"/>
                <w14:textFill>
                  <w14:solidFill>
                    <w14:schemeClr w14:val="tx1"/>
                  </w14:solidFill>
                </w14:textFill>
              </w:rPr>
              <w:t xml:space="preserve"> </w:t>
            </w:r>
            <w:r>
              <w:rPr>
                <w:rFonts w:hint="eastAsia" w:ascii="仿宋" w:hAnsi="仿宋" w:eastAsia="仿宋" w:cs="仿宋"/>
                <w:i/>
                <w:iCs/>
                <w:snapToGrid w:val="0"/>
                <w:color w:val="000000" w:themeColor="text1"/>
                <w:sz w:val="22"/>
                <w:szCs w:val="22"/>
                <w:u w:val="single"/>
                <w14:textFill>
                  <w14:solidFill>
                    <w14:schemeClr w14:val="tx1"/>
                  </w14:solidFill>
                </w14:textFill>
              </w:rPr>
              <w:t xml:space="preserve">其他：  </w:t>
            </w:r>
            <w:r>
              <w:rPr>
                <w:rFonts w:hint="eastAsia" w:ascii="仿宋" w:hAnsi="仿宋" w:eastAsia="仿宋" w:cs="仿宋"/>
                <w:i/>
                <w:iCs/>
                <w:snapToGrid w:val="0"/>
                <w:color w:val="000000" w:themeColor="text1"/>
                <w:sz w:val="22"/>
                <w:szCs w:val="22"/>
                <w:u w:val="single"/>
                <w:lang w:val="zh-CN"/>
                <w14:textFill>
                  <w14:solidFill>
                    <w14:schemeClr w14:val="tx1"/>
                  </w14:solidFill>
                </w14:textFill>
              </w:rPr>
              <w:t xml:space="preserve">              </w:t>
            </w:r>
            <w:r>
              <w:rPr>
                <w:rFonts w:hint="eastAsia" w:ascii="仿宋" w:hAnsi="仿宋" w:eastAsia="仿宋" w:cs="仿宋"/>
                <w:i/>
                <w:iCs/>
                <w:snapToGrid w:val="0"/>
                <w:color w:val="000000" w:themeColor="text1"/>
                <w:sz w:val="22"/>
                <w:szCs w:val="22"/>
                <w:lang w:val="zh-CN"/>
                <w14:textFill>
                  <w14:solidFill>
                    <w14:schemeClr w14:val="tx1"/>
                  </w14:solidFill>
                </w14:textFill>
              </w:rPr>
              <w:t>；</w:t>
            </w:r>
          </w:p>
        </w:tc>
      </w:tr>
      <w:tr w14:paraId="674810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3" w:hRule="atLeast"/>
          <w:jc w:val="center"/>
        </w:trPr>
        <w:tc>
          <w:tcPr>
            <w:tcW w:w="947" w:type="dxa"/>
            <w:vAlign w:val="center"/>
          </w:tcPr>
          <w:p w14:paraId="125E8259">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33</w:t>
            </w:r>
          </w:p>
        </w:tc>
        <w:tc>
          <w:tcPr>
            <w:tcW w:w="2340" w:type="dxa"/>
            <w:vAlign w:val="center"/>
          </w:tcPr>
          <w:p w14:paraId="4EBB4D53">
            <w:pPr>
              <w:jc w:val="cente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特别说明</w:t>
            </w:r>
          </w:p>
        </w:tc>
        <w:tc>
          <w:tcPr>
            <w:tcW w:w="6514" w:type="dxa"/>
            <w:vAlign w:val="center"/>
          </w:tcPr>
          <w:p w14:paraId="02923D73">
            <w:pPr>
              <w:rPr>
                <w:rFonts w:ascii="仿宋" w:hAnsi="仿宋" w:eastAsia="仿宋" w:cs="仿宋"/>
                <w:snapToGrid w:val="0"/>
                <w:color w:val="000000" w:themeColor="text1"/>
                <w:kern w:val="0"/>
                <w:sz w:val="22"/>
                <w:szCs w:val="22"/>
                <w14:textFill>
                  <w14:solidFill>
                    <w14:schemeClr w14:val="tx1"/>
                  </w14:solidFill>
                </w14:textFill>
              </w:rPr>
            </w:pPr>
            <w:r>
              <w:rPr>
                <w:rFonts w:hint="eastAsia" w:ascii="仿宋" w:hAnsi="仿宋" w:eastAsia="仿宋" w:cs="仿宋"/>
                <w:snapToGrid w:val="0"/>
                <w:color w:val="000000" w:themeColor="text1"/>
                <w:kern w:val="0"/>
                <w:sz w:val="22"/>
                <w:szCs w:val="22"/>
                <w14:textFill>
                  <w14:solidFill>
                    <w14:schemeClr w14:val="tx1"/>
                  </w14:solidFill>
                </w14:textFill>
              </w:rPr>
              <w:t>（1）如果发现本采购文件中存在含糊不清、相互矛盾、多种含义以及歧视性不公正条款或违法违规等内容时，请供应商在获取采购文件后，答疑截止时间前按要求书面提出，逾期视同自动放弃疑问提出的权利或采购人不作答复。</w:t>
            </w:r>
          </w:p>
          <w:p w14:paraId="3F4C2584">
            <w:pPr>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snapToGrid w:val="0"/>
                <w:color w:val="000000" w:themeColor="text1"/>
                <w:kern w:val="0"/>
                <w:sz w:val="22"/>
                <w:szCs w:val="22"/>
                <w14:textFill>
                  <w14:solidFill>
                    <w14:schemeClr w14:val="tx1"/>
                  </w14:solidFill>
                </w14:textFill>
              </w:rPr>
              <w:t>（2）该项目成交公示期间，供应商不得通过非正当途径、更不得通过非正当手段获取法律法规规定磋商小组（包括其他相关人员）应当保密的相关内容。</w:t>
            </w:r>
          </w:p>
        </w:tc>
      </w:tr>
      <w:tr w14:paraId="590495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947" w:type="dxa"/>
            <w:vAlign w:val="center"/>
          </w:tcPr>
          <w:p w14:paraId="52A9E28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34</w:t>
            </w:r>
          </w:p>
        </w:tc>
        <w:tc>
          <w:tcPr>
            <w:tcW w:w="2340" w:type="dxa"/>
            <w:vAlign w:val="center"/>
          </w:tcPr>
          <w:p w14:paraId="5A65690E">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项目需要增加的其他约定</w:t>
            </w:r>
          </w:p>
        </w:tc>
        <w:tc>
          <w:tcPr>
            <w:tcW w:w="6514" w:type="dxa"/>
            <w:vAlign w:val="center"/>
          </w:tcPr>
          <w:p w14:paraId="7F7C2782">
            <w:pPr>
              <w:rPr>
                <w:rFonts w:ascii="仿宋" w:hAnsi="仿宋" w:eastAsia="仿宋" w:cs="仿宋"/>
                <w:snapToGrid w:val="0"/>
                <w:color w:val="000000" w:themeColor="text1"/>
                <w:kern w:val="0"/>
                <w:sz w:val="22"/>
                <w:szCs w:val="22"/>
                <w14:textFill>
                  <w14:solidFill>
                    <w14:schemeClr w14:val="tx1"/>
                  </w14:solidFill>
                </w14:textFill>
              </w:rPr>
            </w:pPr>
          </w:p>
        </w:tc>
      </w:tr>
    </w:tbl>
    <w:p w14:paraId="1FF6585E">
      <w:pPr>
        <w:adjustRightInd/>
        <w:spacing w:line="360" w:lineRule="auto"/>
        <w:jc w:val="center"/>
        <w:outlineLvl w:val="1"/>
        <w:rPr>
          <w:rStyle w:val="25"/>
          <w:rFonts w:ascii="仿宋" w:eastAsia="仿宋" w:cs="仿宋"/>
          <w:color w:val="000000" w:themeColor="text1"/>
          <w14:textFill>
            <w14:solidFill>
              <w14:schemeClr w14:val="tx1"/>
            </w14:solidFill>
          </w14:textFill>
        </w:rPr>
      </w:pPr>
      <w:r>
        <w:rPr>
          <w:rStyle w:val="25"/>
          <w:rFonts w:hint="eastAsia" w:ascii="仿宋" w:eastAsia="仿宋" w:cs="仿宋"/>
          <w:color w:val="000000" w:themeColor="text1"/>
          <w14:textFill>
            <w14:solidFill>
              <w14:schemeClr w14:val="tx1"/>
            </w14:solidFill>
          </w14:textFill>
        </w:rPr>
        <w:br w:type="page"/>
      </w:r>
      <w:bookmarkStart w:id="29" w:name="_Toc15189"/>
      <w:bookmarkStart w:id="30" w:name="_Toc485587265"/>
      <w:bookmarkStart w:id="31" w:name="_Toc13346"/>
      <w:bookmarkStart w:id="32" w:name="第三部分"/>
      <w:bookmarkStart w:id="33" w:name="_Toc164416483"/>
      <w:r>
        <w:rPr>
          <w:rStyle w:val="25"/>
          <w:rFonts w:hint="eastAsia" w:ascii="仿宋" w:eastAsia="仿宋" w:cs="仿宋"/>
          <w:color w:val="000000" w:themeColor="text1"/>
          <w14:textFill>
            <w14:solidFill>
              <w14:schemeClr w14:val="tx1"/>
            </w14:solidFill>
          </w14:textFill>
        </w:rPr>
        <w:t>一、总则</w:t>
      </w:r>
      <w:bookmarkEnd w:id="29"/>
      <w:bookmarkEnd w:id="30"/>
      <w:bookmarkEnd w:id="31"/>
    </w:p>
    <w:p w14:paraId="48A8C525">
      <w:pPr>
        <w:tabs>
          <w:tab w:val="left" w:pos="540"/>
          <w:tab w:val="left" w:pos="900"/>
        </w:tabs>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bookmarkStart w:id="34" w:name="_Toc5882"/>
      <w:bookmarkStart w:id="35" w:name="_Toc29857"/>
      <w:r>
        <w:rPr>
          <w:rFonts w:hint="eastAsia" w:ascii="仿宋" w:hAnsi="仿宋" w:eastAsia="仿宋" w:cs="仿宋"/>
          <w:color w:val="000000" w:themeColor="text1"/>
          <w:sz w:val="22"/>
          <w:szCs w:val="22"/>
          <w14:textFill>
            <w14:solidFill>
              <w14:schemeClr w14:val="tx1"/>
            </w14:solidFill>
          </w14:textFill>
        </w:rPr>
        <w:t>本项目采购是按照《中华人民共和国政府采购法》、《政府采购竞争性磋商采购方式管理暂行办法》（财库〔2014〕214 号）、《浙江省政府采购项目电子交易管理暂行办法》（浙财采监〔2019〕10号）等法律及有关法规组织和实施的。</w:t>
      </w:r>
    </w:p>
    <w:p w14:paraId="0DA002B9">
      <w:pPr>
        <w:snapToGrid w:val="0"/>
        <w:spacing w:line="360" w:lineRule="auto"/>
        <w:ind w:firstLine="331" w:firstLineChars="150"/>
        <w:jc w:val="left"/>
        <w:rPr>
          <w:rFonts w:ascii="仿宋" w:hAnsi="仿宋" w:eastAsia="仿宋" w:cs="仿宋"/>
          <w:b/>
          <w:color w:val="000000" w:themeColor="text1"/>
          <w:sz w:val="22"/>
          <w:szCs w:val="22"/>
          <w14:textFill>
            <w14:solidFill>
              <w14:schemeClr w14:val="tx1"/>
            </w14:solidFill>
          </w14:textFill>
        </w:rPr>
      </w:pPr>
      <w:bookmarkStart w:id="36" w:name="_Toc27055"/>
      <w:r>
        <w:rPr>
          <w:rFonts w:hint="eastAsia" w:ascii="仿宋" w:hAnsi="仿宋" w:eastAsia="仿宋" w:cs="仿宋"/>
          <w:b/>
          <w:color w:val="000000" w:themeColor="text1"/>
          <w:sz w:val="22"/>
          <w:szCs w:val="22"/>
          <w14:textFill>
            <w14:solidFill>
              <w14:schemeClr w14:val="tx1"/>
            </w14:solidFill>
          </w14:textFill>
        </w:rPr>
        <w:t>1. 适用范围</w:t>
      </w:r>
      <w:bookmarkEnd w:id="34"/>
      <w:bookmarkEnd w:id="35"/>
      <w:bookmarkEnd w:id="36"/>
    </w:p>
    <w:p w14:paraId="4E95245C">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本采购文件适用于该项目的组织采购、磋商响应、响应文件开启、资格审查及信用信息查询、评审、评审结果确定、合同、验收等行为（法律、法规另有规定的，从其规定）。</w:t>
      </w:r>
    </w:p>
    <w:p w14:paraId="4AA0BD41">
      <w:pPr>
        <w:adjustRightInd/>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 xml:space="preserve">   </w:t>
      </w:r>
      <w:bookmarkStart w:id="37" w:name="_Toc31546"/>
      <w:bookmarkStart w:id="38" w:name="_Toc19066"/>
      <w:bookmarkStart w:id="39" w:name="_Toc3235"/>
      <w:r>
        <w:rPr>
          <w:rFonts w:hint="eastAsia" w:ascii="仿宋" w:hAnsi="仿宋" w:eastAsia="仿宋" w:cs="仿宋"/>
          <w:b/>
          <w:color w:val="000000" w:themeColor="text1"/>
          <w:sz w:val="22"/>
          <w:szCs w:val="22"/>
          <w14:textFill>
            <w14:solidFill>
              <w14:schemeClr w14:val="tx1"/>
            </w14:solidFill>
          </w14:textFill>
        </w:rPr>
        <w:t>2.定义</w:t>
      </w:r>
      <w:bookmarkEnd w:id="37"/>
      <w:bookmarkEnd w:id="38"/>
      <w:bookmarkEnd w:id="39"/>
    </w:p>
    <w:p w14:paraId="13894CAB">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 “采购人”系指采购公告中载明的本项目的采购人。</w:t>
      </w:r>
    </w:p>
    <w:p w14:paraId="154EFEBC">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2.2 “采购代理机构”系指采购公告中载明的本项目的采购代理机构。</w:t>
      </w:r>
    </w:p>
    <w:p w14:paraId="128F3822">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 “供应商”系指是指响应采购、参加磋商响应竞争的法人、其他组织或者自然人。</w:t>
      </w:r>
    </w:p>
    <w:p w14:paraId="1B692EEB">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2.4 “负责人”系指法人企业的法定负责人，或其他组织为法律、行政法规规定代表单位行使职权的主要负责人，或自然人本人。</w:t>
      </w:r>
    </w:p>
    <w:p w14:paraId="2D39BA8C">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磋商响应时须提供《业务专用章使用说明函》（附件4）。</w:t>
      </w:r>
    </w:p>
    <w:p w14:paraId="1AB66A26">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2.6“电子交易平台”是指本项目政府采购活动所依托的政府采购云平台（https://www.zcygov.cn/）。</w:t>
      </w:r>
    </w:p>
    <w:p w14:paraId="6312ECC0">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2.7 “▲”系指实质性要求条款，“★”系关键技术参数及要求，“</w:t>
      </w:r>
      <w:r>
        <w:rPr>
          <w:rFonts w:hint="eastAsia" w:ascii="仿宋" w:hAnsi="仿宋" w:eastAsia="仿宋" w:cs="仿宋"/>
          <w:color w:val="000000" w:themeColor="text1"/>
          <w:sz w:val="22"/>
          <w:szCs w:val="22"/>
          <w14:textFill>
            <w14:solidFill>
              <w14:schemeClr w14:val="tx1"/>
            </w14:solidFill>
          </w14:textFill>
        </w:rPr>
        <w:sym w:font="Wingdings" w:char="00FE"/>
      </w:r>
      <w:r>
        <w:rPr>
          <w:rFonts w:hint="eastAsia" w:ascii="仿宋" w:hAnsi="仿宋" w:eastAsia="仿宋" w:cs="仿宋"/>
          <w:color w:val="000000" w:themeColor="text1"/>
          <w:sz w:val="22"/>
          <w:szCs w:val="22"/>
          <w14:textFill>
            <w14:solidFill>
              <w14:schemeClr w14:val="tx1"/>
            </w14:solidFill>
          </w14:textFill>
        </w:rPr>
        <w:t>” 系指适用本项目的要求，“</w:t>
      </w:r>
      <w:r>
        <w:rPr>
          <w:rFonts w:hint="eastAsia" w:ascii="仿宋" w:hAnsi="仿宋" w:eastAsia="仿宋" w:cs="仿宋"/>
          <w:color w:val="000000" w:themeColor="text1"/>
          <w:sz w:val="22"/>
          <w:szCs w:val="22"/>
          <w14:textFill>
            <w14:solidFill>
              <w14:schemeClr w14:val="tx1"/>
            </w14:solidFill>
          </w14:textFill>
        </w:rPr>
        <w:sym w:font="Wingdings" w:char="00A8"/>
      </w:r>
      <w:r>
        <w:rPr>
          <w:rFonts w:hint="eastAsia" w:ascii="仿宋" w:hAnsi="仿宋" w:eastAsia="仿宋" w:cs="仿宋"/>
          <w:color w:val="000000" w:themeColor="text1"/>
          <w:sz w:val="22"/>
          <w:szCs w:val="22"/>
          <w14:textFill>
            <w14:solidFill>
              <w14:schemeClr w14:val="tx1"/>
            </w14:solidFill>
          </w14:textFill>
        </w:rPr>
        <w:t>” 系指不适用本项目的要求。</w:t>
      </w:r>
    </w:p>
    <w:p w14:paraId="68115D63">
      <w:pPr>
        <w:spacing w:line="360" w:lineRule="auto"/>
        <w:ind w:firstLine="221" w:firstLineChars="1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3.合格供应商要求</w:t>
      </w:r>
    </w:p>
    <w:p w14:paraId="7D387E6C">
      <w:pPr>
        <w:tabs>
          <w:tab w:val="left" w:pos="540"/>
          <w:tab w:val="left" w:pos="900"/>
        </w:tabs>
        <w:snapToGrid w:val="0"/>
        <w:spacing w:line="360" w:lineRule="auto"/>
        <w:ind w:firstLine="440" w:firstLineChars="20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3.1合格的供应商应满足采购文件第一部分“采购公告”对申请人的资格要求。</w:t>
      </w:r>
    </w:p>
    <w:p w14:paraId="7B56DECE">
      <w:pPr>
        <w:snapToGrid w:val="0"/>
        <w:spacing w:line="360" w:lineRule="auto"/>
        <w:ind w:firstLine="464" w:firstLineChars="200"/>
        <w:rPr>
          <w:rFonts w:ascii="仿宋" w:hAnsi="仿宋" w:eastAsia="仿宋" w:cs="仿宋"/>
          <w:bCs/>
          <w:color w:val="000000" w:themeColor="text1"/>
          <w:spacing w:val="6"/>
          <w:sz w:val="22"/>
          <w:szCs w:val="22"/>
          <w14:textFill>
            <w14:solidFill>
              <w14:schemeClr w14:val="tx1"/>
            </w14:solidFill>
          </w14:textFill>
        </w:rPr>
      </w:pPr>
      <w:r>
        <w:rPr>
          <w:rFonts w:hint="eastAsia" w:ascii="仿宋" w:hAnsi="仿宋" w:eastAsia="仿宋" w:cs="仿宋"/>
          <w:bCs/>
          <w:color w:val="000000" w:themeColor="text1"/>
          <w:spacing w:val="6"/>
          <w:sz w:val="22"/>
          <w:szCs w:val="22"/>
          <w14:textFill>
            <w14:solidFill>
              <w14:schemeClr w14:val="tx1"/>
            </w14:solidFill>
          </w14:textFill>
        </w:rPr>
        <w:t>3.2</w:t>
      </w:r>
      <w:r>
        <w:rPr>
          <w:rFonts w:hint="eastAsia" w:ascii="仿宋" w:hAnsi="仿宋" w:eastAsia="仿宋" w:cs="仿宋"/>
          <w:b/>
          <w:color w:val="000000" w:themeColor="text1"/>
          <w:kern w:val="0"/>
          <w:sz w:val="22"/>
          <w:szCs w:val="22"/>
          <w:u w:val="single"/>
          <w14:textFill>
            <w14:solidFill>
              <w14:schemeClr w14:val="tx1"/>
            </w14:solidFill>
          </w14:textFill>
        </w:rPr>
        <w:t>▲</w:t>
      </w:r>
      <w:r>
        <w:rPr>
          <w:rFonts w:hint="eastAsia" w:ascii="仿宋" w:hAnsi="仿宋" w:eastAsia="仿宋" w:cs="仿宋"/>
          <w:b/>
          <w:bCs/>
          <w:color w:val="000000" w:themeColor="text1"/>
          <w:spacing w:val="6"/>
          <w:sz w:val="22"/>
          <w:szCs w:val="22"/>
          <w:u w:val="singl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r>
        <w:rPr>
          <w:rFonts w:hint="eastAsia" w:ascii="仿宋" w:hAnsi="仿宋" w:eastAsia="仿宋" w:cs="仿宋"/>
          <w:bCs/>
          <w:color w:val="000000" w:themeColor="text1"/>
          <w:spacing w:val="6"/>
          <w:sz w:val="22"/>
          <w:szCs w:val="22"/>
          <w14:textFill>
            <w14:solidFill>
              <w14:schemeClr w14:val="tx1"/>
            </w14:solidFill>
          </w14:textFill>
        </w:rPr>
        <w:t>。</w:t>
      </w:r>
    </w:p>
    <w:p w14:paraId="4EAE827D">
      <w:pPr>
        <w:tabs>
          <w:tab w:val="left" w:pos="540"/>
          <w:tab w:val="left" w:pos="900"/>
        </w:tabs>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3.3供应商可授权供应商代表以供应商名义参加本次采购活动（包括响应文件的签署、澄清、说明、补正、递交、撤回、修改等以及签订合同和处理有关事宜）。如果供应商代表不是法定代表人(负责人)，须持有《法定代表人(负责人)授权书》。</w:t>
      </w:r>
    </w:p>
    <w:p w14:paraId="17D0E6C8">
      <w:pPr>
        <w:snapToGrid w:val="0"/>
        <w:spacing w:line="360" w:lineRule="auto"/>
        <w:ind w:firstLine="464" w:firstLineChars="200"/>
        <w:rPr>
          <w:rFonts w:ascii="仿宋" w:hAnsi="仿宋" w:eastAsia="仿宋" w:cs="仿宋"/>
          <w:bCs/>
          <w:color w:val="000000" w:themeColor="text1"/>
          <w:spacing w:val="6"/>
          <w:sz w:val="22"/>
          <w:szCs w:val="22"/>
          <w14:textFill>
            <w14:solidFill>
              <w14:schemeClr w14:val="tx1"/>
            </w14:solidFill>
          </w14:textFill>
        </w:rPr>
      </w:pPr>
      <w:r>
        <w:rPr>
          <w:rFonts w:hint="eastAsia" w:ascii="仿宋" w:hAnsi="仿宋" w:eastAsia="仿宋" w:cs="仿宋"/>
          <w:bCs/>
          <w:color w:val="000000" w:themeColor="text1"/>
          <w:spacing w:val="6"/>
          <w:sz w:val="22"/>
          <w:szCs w:val="22"/>
          <w14:textFill>
            <w14:solidFill>
              <w14:schemeClr w14:val="tx1"/>
            </w14:solidFill>
          </w14:textFill>
        </w:rPr>
        <w:t>3.4采用最低评标价法的</w:t>
      </w:r>
      <w:r>
        <w:rPr>
          <w:rFonts w:hint="eastAsia" w:ascii="仿宋" w:hAnsi="仿宋" w:eastAsia="仿宋" w:cs="仿宋"/>
          <w:color w:val="000000" w:themeColor="text1"/>
          <w:sz w:val="22"/>
          <w:szCs w:val="22"/>
          <w14:textFill>
            <w14:solidFill>
              <w14:schemeClr w14:val="tx1"/>
            </w14:solidFill>
          </w14:textFill>
        </w:rPr>
        <w:t>货物类</w:t>
      </w:r>
      <w:r>
        <w:rPr>
          <w:rFonts w:hint="eastAsia" w:ascii="仿宋" w:hAnsi="仿宋" w:eastAsia="仿宋" w:cs="仿宋"/>
          <w:bCs/>
          <w:color w:val="000000" w:themeColor="text1"/>
          <w:spacing w:val="6"/>
          <w:sz w:val="22"/>
          <w:szCs w:val="22"/>
          <w14:textFill>
            <w14:solidFill>
              <w14:schemeClr w14:val="tx1"/>
            </w14:solidFill>
          </w14:textFill>
        </w:rPr>
        <w:t>采购项目，提供相同品牌产品的不同供应商参加同一合同项下磋商响应的，以其中通过资格审查、符合性审查且报价最低的参加评审；报价相同的，由采购人或者采购人委托磋商小组按照采购文件规定的方式确定一个参加评审的供应商，采购文件未规定的采取随机抽取方式确定，其他响应无效。</w:t>
      </w:r>
    </w:p>
    <w:p w14:paraId="44323350">
      <w:pPr>
        <w:snapToGrid w:val="0"/>
        <w:spacing w:line="360" w:lineRule="auto"/>
        <w:ind w:firstLine="464" w:firstLineChars="200"/>
        <w:rPr>
          <w:rFonts w:ascii="仿宋" w:hAnsi="仿宋" w:eastAsia="仿宋" w:cs="仿宋"/>
          <w:bCs/>
          <w:color w:val="000000" w:themeColor="text1"/>
          <w:spacing w:val="6"/>
          <w:sz w:val="22"/>
          <w:szCs w:val="22"/>
          <w14:textFill>
            <w14:solidFill>
              <w14:schemeClr w14:val="tx1"/>
            </w14:solidFill>
          </w14:textFill>
        </w:rPr>
      </w:pPr>
      <w:r>
        <w:rPr>
          <w:rFonts w:hint="eastAsia" w:ascii="仿宋" w:hAnsi="仿宋" w:eastAsia="仿宋" w:cs="仿宋"/>
          <w:bCs/>
          <w:color w:val="000000" w:themeColor="text1"/>
          <w:spacing w:val="6"/>
          <w:sz w:val="22"/>
          <w:szCs w:val="22"/>
          <w14:textFill>
            <w14:solidFill>
              <w14:schemeClr w14:val="tx1"/>
            </w14:solidFill>
          </w14:textFill>
        </w:rPr>
        <w:t>使用综合评分法的</w:t>
      </w:r>
      <w:r>
        <w:rPr>
          <w:rFonts w:hint="eastAsia" w:ascii="仿宋" w:hAnsi="仿宋" w:eastAsia="仿宋" w:cs="仿宋"/>
          <w:color w:val="000000" w:themeColor="text1"/>
          <w:sz w:val="22"/>
          <w:szCs w:val="22"/>
          <w14:textFill>
            <w14:solidFill>
              <w14:schemeClr w14:val="tx1"/>
            </w14:solidFill>
          </w14:textFill>
        </w:rPr>
        <w:t>货物类</w:t>
      </w:r>
      <w:r>
        <w:rPr>
          <w:rFonts w:hint="eastAsia" w:ascii="仿宋" w:hAnsi="仿宋" w:eastAsia="仿宋" w:cs="仿宋"/>
          <w:bCs/>
          <w:color w:val="000000" w:themeColor="text1"/>
          <w:spacing w:val="6"/>
          <w:sz w:val="22"/>
          <w:szCs w:val="22"/>
          <w14:textFill>
            <w14:solidFill>
              <w14:schemeClr w14:val="tx1"/>
            </w14:solidFill>
          </w14:textFill>
        </w:rPr>
        <w:t>采购项目，提供相同品牌产品且通过资格审查、符合性审查的不同供应商参加同一合同项下响应的，按一家供应商计算，评审后得分最高的同品牌供应商获得成交供应商推荐资格；评审得分相同的，由采购人或者采购人委托磋商小组按照采购文件规定的方式确定一个供应商获得成交供应商推荐资格，采购文件未规定的采取随机抽取方式确定，其他同品牌供应商不作为成交候选人。</w:t>
      </w:r>
    </w:p>
    <w:p w14:paraId="54E767CB">
      <w:pPr>
        <w:snapToGrid w:val="0"/>
        <w:spacing w:line="360" w:lineRule="auto"/>
        <w:ind w:firstLine="464" w:firstLineChars="200"/>
        <w:rPr>
          <w:rFonts w:ascii="仿宋" w:hAnsi="仿宋" w:eastAsia="仿宋" w:cs="仿宋"/>
          <w:bCs/>
          <w:color w:val="000000" w:themeColor="text1"/>
          <w:spacing w:val="6"/>
          <w:sz w:val="22"/>
          <w:szCs w:val="22"/>
          <w14:textFill>
            <w14:solidFill>
              <w14:schemeClr w14:val="tx1"/>
            </w14:solidFill>
          </w14:textFill>
        </w:rPr>
      </w:pPr>
      <w:r>
        <w:rPr>
          <w:rFonts w:hint="eastAsia" w:ascii="仿宋" w:hAnsi="仿宋" w:eastAsia="仿宋" w:cs="仿宋"/>
          <w:bCs/>
          <w:color w:val="000000" w:themeColor="text1"/>
          <w:spacing w:val="6"/>
          <w:sz w:val="22"/>
          <w:szCs w:val="22"/>
          <w14:textFill>
            <w14:solidFill>
              <w14:schemeClr w14:val="tx1"/>
            </w14:solidFill>
          </w14:textFill>
        </w:rPr>
        <w:t>非单一产品采购项目，多家供应商提供的核心产品（见</w:t>
      </w:r>
      <w:r>
        <w:rPr>
          <w:rFonts w:hint="eastAsia" w:ascii="仿宋" w:hAnsi="仿宋" w:eastAsia="仿宋" w:cs="仿宋"/>
          <w:color w:val="000000" w:themeColor="text1"/>
          <w:sz w:val="22"/>
          <w:szCs w:val="22"/>
          <w14:textFill>
            <w14:solidFill>
              <w14:schemeClr w14:val="tx1"/>
            </w14:solidFill>
          </w14:textFill>
        </w:rPr>
        <w:t>供应商须知前附表</w:t>
      </w:r>
      <w:r>
        <w:rPr>
          <w:rFonts w:hint="eastAsia" w:ascii="仿宋" w:hAnsi="仿宋" w:eastAsia="仿宋" w:cs="仿宋"/>
          <w:bCs/>
          <w:color w:val="000000" w:themeColor="text1"/>
          <w:spacing w:val="6"/>
          <w:sz w:val="22"/>
          <w:szCs w:val="22"/>
          <w14:textFill>
            <w14:solidFill>
              <w14:schemeClr w14:val="tx1"/>
            </w14:solidFill>
          </w14:textFill>
        </w:rPr>
        <w:t>）品牌相同的，按前两款规定处理。</w:t>
      </w:r>
    </w:p>
    <w:p w14:paraId="4C85A785">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3.5货物类是否允许采购进口产品、是否要求节能/环境标志产品等情况见供应商须知前附表。</w:t>
      </w:r>
    </w:p>
    <w:p w14:paraId="3E786BD0">
      <w:pPr>
        <w:spacing w:line="360" w:lineRule="auto"/>
        <w:ind w:firstLine="221" w:firstLineChars="1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4、采购项目需要落实的政府采购政策</w:t>
      </w:r>
    </w:p>
    <w:p w14:paraId="2CCCE3E1">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4.1 根据《政府采购进口产品管理办法》的通知（财库〔2007〕119 号）文件相关规定，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4B4EF5FF">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4.2 支持绿色发展</w:t>
      </w:r>
    </w:p>
    <w:p w14:paraId="2F400783">
      <w:pPr>
        <w:spacing w:line="360" w:lineRule="auto"/>
        <w:ind w:firstLine="440" w:firstLineChars="2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color w:val="000000" w:themeColor="text1"/>
          <w:sz w:val="22"/>
          <w:szCs w:val="22"/>
          <w:u w:val="single"/>
          <w14:textFill>
            <w14:solidFill>
              <w14:schemeClr w14:val="tx1"/>
            </w14:solidFill>
          </w14:textFill>
        </w:rPr>
        <w:t>▲</w:t>
      </w:r>
      <w:r>
        <w:rPr>
          <w:rFonts w:hint="eastAsia" w:ascii="仿宋" w:hAnsi="仿宋" w:eastAsia="仿宋" w:cs="仿宋"/>
          <w:b/>
          <w:color w:val="000000" w:themeColor="text1"/>
          <w:sz w:val="22"/>
          <w:szCs w:val="22"/>
          <w:u w:val="single"/>
          <w14:textFill>
            <w14:solidFill>
              <w14:schemeClr w14:val="tx1"/>
            </w14:solidFill>
          </w14:textFill>
        </w:rPr>
        <w:t>采购人拟采购的产品属于政府强制采购的节能产品品目清单范围的，供应商未按采购文件要求提供国家确定的认证机构出具的、处于有效期之内的节能产品认证证书的，响应无效。</w:t>
      </w:r>
    </w:p>
    <w:p w14:paraId="466CF831">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D7A5434">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4.3支持中小企业发展</w:t>
      </w:r>
    </w:p>
    <w:p w14:paraId="38FD3804">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4.3.1中小企业，是指在中华人民共和国境内依法设立，依据国务院批准的中小企业划分标准确定的中型企业、小型企业和微型企业，但与大企业的负责人为同一人，或者与大企业存在直接控股、管理关系的除外。</w:t>
      </w:r>
    </w:p>
    <w:p w14:paraId="655AC539">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符合中小企业划分标准的个体工商户，在政府采购活动中视同中小企业。</w:t>
      </w:r>
    </w:p>
    <w:p w14:paraId="664CF864">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4.3.2</w:t>
      </w:r>
      <w:r>
        <w:rPr>
          <w:rFonts w:hint="eastAsia" w:ascii="仿宋" w:hAnsi="仿宋" w:eastAsia="仿宋" w:cs="仿宋"/>
          <w:color w:val="000000" w:themeColor="text1"/>
          <w:kern w:val="0"/>
          <w:sz w:val="22"/>
          <w:szCs w:val="22"/>
          <w14:textFill>
            <w14:solidFill>
              <w14:schemeClr w14:val="tx1"/>
            </w14:solidFill>
          </w14:textFill>
        </w:rPr>
        <w:t>在政府采购活动中，供应商提供的货物、工程或者服务符合下列情形的，享受中小企业扶持政策：</w:t>
      </w:r>
    </w:p>
    <w:p w14:paraId="31E2089E">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4.3.2.1在货物采购项目中，货物由中小企业制造，即货物由中小企业生产且使用该中小企业商号或者注册商标；</w:t>
      </w:r>
    </w:p>
    <w:p w14:paraId="47716BA4">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4.3.2.2在工程采购项目中，工程由中小企业承建，即工程施工单位为中小企业；</w:t>
      </w:r>
    </w:p>
    <w:p w14:paraId="653B4F0A">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4.3.2.3在服务采购项目中，服务由中小企业承接，即提供服务的人员为中小企业依照《中华人民共和国劳动合同法》订立劳动合同的从业人员。</w:t>
      </w:r>
    </w:p>
    <w:p w14:paraId="2F541205">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在货物采购项目中，供应商提供的货物既有中小企业制造货物，也有大型企业制造货物的，不享受中小企业扶持政策。</w:t>
      </w:r>
    </w:p>
    <w:p w14:paraId="4744060F">
      <w:pPr>
        <w:widowControl/>
        <w:spacing w:line="360" w:lineRule="auto"/>
        <w:ind w:firstLine="440" w:firstLineChars="20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以联合体形式参加政府采购活动，联合体各方均为中小企业的，联合体视同中小企业。其中，联合体各方均为小微企业的，联合体视同小微企业。</w:t>
      </w:r>
    </w:p>
    <w:p w14:paraId="17A948CA">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4.3.3对于未预留份额专门面向中小企业的政府采购货物或服务项目，以及预留份额政府采购货物或服务项目中的非预留部分标项，对小型和微型企业的投标报价给予20%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工程项目为2%）的扣除，用扣除后的价格参加评审。组成联合体或者接受分包的小微企业与联合体内其他企业、分包企业之间存在直接控股、管理关系的，不享受价格扣除优惠政策。</w:t>
      </w:r>
    </w:p>
    <w:p w14:paraId="545A30F8">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4.3.4符合《关于促进残疾人就业政府采购政策的通知》（财库〔2017〕141号）规定的条件并提供《残疾人福利性单位声明函》（附件1）的残疾人福利性单位视同小型、微型企业；</w:t>
      </w:r>
    </w:p>
    <w:p w14:paraId="23156DCA">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4.3.5符合《关于政府采购支持监狱企业发展有关问题的通知》（财库[2014]68号）规定的监狱企业并提供由省级以上监狱管理局、戒毒管理局（含新疆生产建设兵团）出具的属于监狱企业证明文件的，视同为小型、微型企业。</w:t>
      </w:r>
    </w:p>
    <w:p w14:paraId="0821B41B">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0071B7F">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4.3.7中小企业享受扶持政策获得政府采购合同的，小微企业不得将合同分包给大中型企业，中型企业不得将合同分包给大型企业。</w:t>
      </w:r>
    </w:p>
    <w:p w14:paraId="7BB686A3">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4.4中小企业信用融资：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24582190">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snapToGrid w:val="0"/>
          <w:color w:val="000000" w:themeColor="text1"/>
          <w:kern w:val="28"/>
          <w:sz w:val="22"/>
          <w:szCs w:val="22"/>
          <w14:textFill>
            <w14:solidFill>
              <w14:schemeClr w14:val="tx1"/>
            </w14:solidFill>
          </w14:textFill>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14:paraId="640C5F03">
      <w:pPr>
        <w:spacing w:line="360" w:lineRule="auto"/>
        <w:ind w:firstLine="221" w:firstLineChars="1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5. 询问、质疑、投诉</w:t>
      </w:r>
    </w:p>
    <w:p w14:paraId="49A5DDCA">
      <w:pPr>
        <w:autoSpaceDE w:val="0"/>
        <w:autoSpaceDN w:val="0"/>
        <w:spacing w:line="360" w:lineRule="auto"/>
        <w:ind w:firstLine="220" w:firstLineChars="100"/>
        <w:jc w:val="left"/>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.1供应商询问</w:t>
      </w:r>
    </w:p>
    <w:p w14:paraId="7B3A7734">
      <w:pPr>
        <w:autoSpaceDE w:val="0"/>
        <w:autoSpaceDN w:val="0"/>
        <w:spacing w:line="360" w:lineRule="auto"/>
        <w:ind w:firstLine="440" w:firstLineChars="200"/>
        <w:jc w:val="left"/>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FC0A84">
      <w:pPr>
        <w:autoSpaceDE w:val="0"/>
        <w:autoSpaceDN w:val="0"/>
        <w:spacing w:line="360" w:lineRule="auto"/>
        <w:ind w:firstLine="220" w:firstLineChars="100"/>
        <w:jc w:val="left"/>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.2供应商质疑</w:t>
      </w:r>
    </w:p>
    <w:p w14:paraId="3C2C30E9">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.1提出质疑的供应商应当是参与所质疑项目采购活动的供应商。潜在供应商已依法获取其可质疑的采购文件的，可以对该文件提出质疑。</w:t>
      </w:r>
    </w:p>
    <w:p w14:paraId="065D3503">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0C769D0">
      <w:pPr>
        <w:pStyle w:val="5"/>
        <w:spacing w:line="360" w:lineRule="auto"/>
        <w:ind w:firstLine="440" w:firstLineChars="200"/>
        <w:rPr>
          <w:rFonts w:ascii="仿宋" w:hAnsi="仿宋" w:eastAsia="仿宋" w:cs="仿宋"/>
          <w:snapToGrid/>
          <w:color w:val="000000" w:themeColor="text1"/>
          <w:kern w:val="2"/>
          <w:sz w:val="22"/>
          <w:szCs w:val="22"/>
          <w14:textFill>
            <w14:solidFill>
              <w14:schemeClr w14:val="tx1"/>
            </w14:solidFill>
          </w14:textFill>
        </w:rPr>
      </w:pPr>
      <w:r>
        <w:rPr>
          <w:rFonts w:hint="eastAsia" w:ascii="仿宋" w:hAnsi="仿宋" w:eastAsia="仿宋" w:cs="仿宋"/>
          <w:snapToGrid/>
          <w:color w:val="000000" w:themeColor="text1"/>
          <w:kern w:val="2"/>
          <w:sz w:val="22"/>
          <w:szCs w:val="22"/>
          <w14:textFill>
            <w14:solidFill>
              <w14:schemeClr w14:val="tx1"/>
            </w14:solidFill>
          </w14:textFill>
        </w:rPr>
        <w:t>5.2.2.1质疑提交形式：以</w:t>
      </w:r>
      <w:r>
        <w:rPr>
          <w:rFonts w:hint="eastAsia" w:ascii="仿宋" w:hAnsi="仿宋" w:eastAsia="仿宋" w:cs="仿宋"/>
          <w:color w:val="000000" w:themeColor="text1"/>
          <w:sz w:val="22"/>
          <w:szCs w:val="22"/>
          <w14:textFill>
            <w14:solidFill>
              <w14:schemeClr w14:val="tx1"/>
            </w14:solidFill>
          </w14:textFill>
        </w:rPr>
        <w:t>书面形式</w:t>
      </w:r>
      <w:r>
        <w:rPr>
          <w:rFonts w:hint="eastAsia" w:ascii="仿宋" w:hAnsi="仿宋" w:eastAsia="仿宋" w:cs="仿宋"/>
          <w:snapToGrid/>
          <w:color w:val="000000" w:themeColor="text1"/>
          <w:kern w:val="2"/>
          <w:sz w:val="22"/>
          <w:szCs w:val="22"/>
          <w14:textFill>
            <w14:solidFill>
              <w14:schemeClr w14:val="tx1"/>
            </w14:solidFill>
          </w14:textFill>
        </w:rPr>
        <w:t>向采购公告中载明的质疑联系人提交</w:t>
      </w:r>
      <w:r>
        <w:rPr>
          <w:rFonts w:hint="eastAsia" w:ascii="仿宋" w:hAnsi="仿宋" w:eastAsia="仿宋" w:cs="仿宋"/>
          <w:color w:val="000000" w:themeColor="text1"/>
          <w:sz w:val="22"/>
          <w:szCs w:val="22"/>
          <w14:textFill>
            <w14:solidFill>
              <w14:schemeClr w14:val="tx1"/>
            </w14:solidFill>
          </w14:textFill>
        </w:rPr>
        <w:t>或登录政采云平台（https://www.zcygov.cn/）通过“询问质疑投诉”栏向采购机构内设的质疑联系人提交并上传书面质疑材料。</w:t>
      </w:r>
    </w:p>
    <w:p w14:paraId="3D333378">
      <w:pPr>
        <w:pStyle w:val="5"/>
        <w:spacing w:line="360" w:lineRule="auto"/>
        <w:ind w:firstLine="440" w:firstLineChars="200"/>
        <w:rPr>
          <w:rFonts w:ascii="仿宋" w:hAnsi="仿宋" w:eastAsia="仿宋" w:cs="仿宋"/>
          <w:snapToGrid/>
          <w:color w:val="000000" w:themeColor="text1"/>
          <w:kern w:val="2"/>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5.2.2.2</w:t>
      </w:r>
      <w:r>
        <w:rPr>
          <w:rFonts w:hint="eastAsia" w:ascii="仿宋" w:hAnsi="仿宋" w:eastAsia="仿宋" w:cs="仿宋"/>
          <w:snapToGrid/>
          <w:color w:val="000000" w:themeColor="text1"/>
          <w:kern w:val="2"/>
          <w:sz w:val="22"/>
          <w:szCs w:val="22"/>
          <w14:textFill>
            <w14:solidFill>
              <w14:schemeClr w14:val="tx1"/>
            </w14:solidFill>
          </w14:textFill>
        </w:rPr>
        <w:t>对采购文件提出质疑的，质疑期限为供应商获得采购文件之日或者采购文件公告期限届满之日起计算。</w:t>
      </w:r>
    </w:p>
    <w:p w14:paraId="704A5370">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5.2.2.3对采购过程提出质疑的，质疑期限为各采购程序环节结束之日起计算。对同一采购程序环节的质疑，供应商须一次性提出。</w:t>
      </w:r>
    </w:p>
    <w:p w14:paraId="6E6FEF83">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5.2.2.4对采购结果提出质疑的，质疑期限自采购结果公告期限届满之日起计算。</w:t>
      </w:r>
    </w:p>
    <w:p w14:paraId="5744704C">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w:t>
      </w:r>
      <w:r>
        <w:rPr>
          <w:rFonts w:hint="eastAsia" w:ascii="仿宋" w:hAnsi="仿宋" w:eastAsia="仿宋" w:cs="仿宋"/>
          <w:color w:val="000000" w:themeColor="text1"/>
          <w:sz w:val="22"/>
          <w:szCs w:val="22"/>
          <w14:textFill>
            <w14:solidFill>
              <w14:schemeClr w14:val="tx1"/>
            </w14:solidFill>
          </w14:textFill>
        </w:rPr>
        <w:t>供应商提出质疑应当提交质疑函和必要的证明材料。质疑函应当包括下列内容：</w:t>
      </w:r>
    </w:p>
    <w:p w14:paraId="7794E940">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.2.3.1供应商的姓名或者名称、地址、邮编、联系人及联系电话；</w:t>
      </w:r>
    </w:p>
    <w:p w14:paraId="26C52DB1">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.2.3.2质疑项目的名称、编号；</w:t>
      </w:r>
    </w:p>
    <w:p w14:paraId="7576B970">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.2.3.3具体、明确的质疑事项和与质疑事项相关的请求；</w:t>
      </w:r>
    </w:p>
    <w:p w14:paraId="66B4EB3B">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.2.3.4事实依据；</w:t>
      </w:r>
    </w:p>
    <w:p w14:paraId="45B125DA">
      <w:pPr>
        <w:pStyle w:val="10"/>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w:t>
      </w:r>
      <w:r>
        <w:rPr>
          <w:rFonts w:hint="eastAsia" w:ascii="仿宋" w:hAnsi="仿宋" w:eastAsia="仿宋" w:cs="仿宋"/>
          <w:color w:val="000000" w:themeColor="text1"/>
          <w:kern w:val="0"/>
          <w:sz w:val="22"/>
          <w:szCs w:val="22"/>
          <w:lang w:val="zh-CN"/>
          <w14:textFill>
            <w14:solidFill>
              <w14:schemeClr w14:val="tx1"/>
            </w14:solidFill>
          </w14:textFill>
        </w:rPr>
        <w:t>.2.3.5必要的法律依据；</w:t>
      </w:r>
    </w:p>
    <w:p w14:paraId="3805F9DB">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r>
        <w:rPr>
          <w:rFonts w:hint="eastAsia" w:ascii="仿宋" w:hAnsi="仿宋" w:eastAsia="仿宋" w:cs="仿宋"/>
          <w:color w:val="000000" w:themeColor="text1"/>
          <w:sz w:val="22"/>
          <w:szCs w:val="22"/>
          <w:lang w:val="zh-CN"/>
          <w14:textFill>
            <w14:solidFill>
              <w14:schemeClr w14:val="tx1"/>
            </w14:solidFill>
          </w14:textFill>
        </w:rPr>
        <w:t>.2.3.6提出质疑的日期。</w:t>
      </w:r>
    </w:p>
    <w:p w14:paraId="584F2258">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供应商为自然人的，应当由本人签字；供应商为法人或者其他组织的，应当由法定代表人、主要负责人，或者其授权代表签字或者盖章，并加盖公章。</w:t>
      </w:r>
    </w:p>
    <w:p w14:paraId="6EE5775D">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质疑函范本及制作说明详见附件2。</w:t>
      </w:r>
    </w:p>
    <w:p w14:paraId="74210C1D">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r>
        <w:rPr>
          <w:rFonts w:hint="eastAsia" w:ascii="仿宋" w:hAnsi="仿宋" w:eastAsia="仿宋" w:cs="仿宋"/>
          <w:color w:val="000000" w:themeColor="text1"/>
          <w:sz w:val="22"/>
          <w:szCs w:val="22"/>
          <w:lang w:val="zh-CN"/>
          <w14:textFill>
            <w14:solidFill>
              <w14:schemeClr w14:val="tx1"/>
            </w14:solidFill>
          </w14:textFill>
        </w:rPr>
        <w:t>.2.4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32DAB2F1">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r>
        <w:rPr>
          <w:rFonts w:hint="eastAsia" w:ascii="仿宋" w:hAnsi="仿宋" w:eastAsia="仿宋" w:cs="仿宋"/>
          <w:color w:val="000000" w:themeColor="text1"/>
          <w:sz w:val="22"/>
          <w:szCs w:val="22"/>
          <w:lang w:val="zh-CN"/>
          <w14:textFill>
            <w14:solidFill>
              <w14:schemeClr w14:val="tx1"/>
            </w14:solidFill>
          </w14:textFill>
        </w:rPr>
        <w:t>.2.5询问或者质疑事项可能影响采购结果的，采购人应当暂停签订合同，已经签订合同的，应当中止履行合同。</w:t>
      </w:r>
    </w:p>
    <w:p w14:paraId="0B0F8B84">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r>
        <w:rPr>
          <w:rFonts w:hint="eastAsia" w:ascii="仿宋" w:hAnsi="仿宋" w:eastAsia="仿宋" w:cs="仿宋"/>
          <w:color w:val="000000" w:themeColor="text1"/>
          <w:sz w:val="22"/>
          <w:szCs w:val="22"/>
          <w:lang w:val="zh-CN"/>
          <w14:textFill>
            <w14:solidFill>
              <w14:schemeClr w14:val="tx1"/>
            </w14:solidFill>
          </w14:textFill>
        </w:rPr>
        <w:t>.3供应商投诉</w:t>
      </w:r>
    </w:p>
    <w:p w14:paraId="6E67F0C3">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5.3.1质疑供应商对采购人、采购代理机构的答复不满意或者采购人、采购代理机构未在规定的时间内作出答复的，可以在答复期满后十五个工作日内向同级政府采购监督管理部门提出投诉。</w:t>
      </w:r>
    </w:p>
    <w:p w14:paraId="248C5051">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5.3.2供应商投诉的事项不得超出已质疑事项的范围，基于质疑答复内容提出的投诉事项除外。</w:t>
      </w:r>
    </w:p>
    <w:p w14:paraId="35F2076C">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5.3.3供应商投诉应当有明确的请求和必要的证明材料。</w:t>
      </w:r>
    </w:p>
    <w:p w14:paraId="21138577">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5.3.5 以联合体形式参加政府采购活动的，其投诉应当由组成联合体的所有供应商共同提出。</w:t>
      </w:r>
    </w:p>
    <w:p w14:paraId="04F3E7CC">
      <w:pPr>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投诉书范本及制作说明详见附件3。</w:t>
      </w:r>
    </w:p>
    <w:p w14:paraId="1C102E1D">
      <w:pPr>
        <w:adjustRightInd/>
        <w:spacing w:line="360" w:lineRule="auto"/>
        <w:jc w:val="center"/>
        <w:outlineLvl w:val="1"/>
        <w:rPr>
          <w:rFonts w:ascii="仿宋" w:hAnsi="仿宋" w:eastAsia="仿宋" w:cs="仿宋"/>
          <w:b/>
          <w:color w:val="000000" w:themeColor="text1"/>
          <w:sz w:val="32"/>
          <w:szCs w:val="20"/>
          <w14:textFill>
            <w14:solidFill>
              <w14:schemeClr w14:val="tx1"/>
            </w14:solidFill>
          </w14:textFill>
        </w:rPr>
      </w:pPr>
      <w:bookmarkStart w:id="40" w:name="_Toc827304255"/>
      <w:bookmarkStart w:id="41" w:name="_Toc7567"/>
      <w:bookmarkStart w:id="42" w:name="_Toc31381"/>
      <w:r>
        <w:rPr>
          <w:rStyle w:val="25"/>
          <w:rFonts w:hint="eastAsia" w:ascii="仿宋" w:eastAsia="仿宋" w:cs="仿宋"/>
          <w:color w:val="000000" w:themeColor="text1"/>
          <w14:textFill>
            <w14:solidFill>
              <w14:schemeClr w14:val="tx1"/>
            </w14:solidFill>
          </w14:textFill>
        </w:rPr>
        <w:t>二、采购文件的构成、澄清、修改</w:t>
      </w:r>
      <w:bookmarkEnd w:id="40"/>
      <w:bookmarkEnd w:id="41"/>
      <w:bookmarkEnd w:id="42"/>
    </w:p>
    <w:p w14:paraId="33C5E06F">
      <w:pPr>
        <w:spacing w:line="360" w:lineRule="auto"/>
        <w:ind w:firstLine="221" w:firstLineChars="1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6．采购文件的构成</w:t>
      </w:r>
    </w:p>
    <w:p w14:paraId="493FCA41">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 采购文件包括下列文件及附件：</w:t>
      </w:r>
    </w:p>
    <w:p w14:paraId="2F3F07D7">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6.1.1采购公告；</w:t>
      </w:r>
    </w:p>
    <w:p w14:paraId="201C8FFC">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6.1.2供应商须知；</w:t>
      </w:r>
    </w:p>
    <w:p w14:paraId="02CC77F7">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6.1.3采购需求；</w:t>
      </w:r>
    </w:p>
    <w:p w14:paraId="7922E1CB">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6.1.4评审办法；</w:t>
      </w:r>
    </w:p>
    <w:p w14:paraId="4A3D2940">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6.1.5拟签订的合同文本；</w:t>
      </w:r>
    </w:p>
    <w:p w14:paraId="27645A70">
      <w:pPr>
        <w:pStyle w:val="10"/>
        <w:tabs>
          <w:tab w:val="left" w:pos="840"/>
        </w:tabs>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0"/>
          <w14:textFill>
            <w14:solidFill>
              <w14:schemeClr w14:val="tx1"/>
            </w14:solidFill>
          </w14:textFill>
        </w:rPr>
        <w:t>6.1.6</w:t>
      </w:r>
      <w:r>
        <w:rPr>
          <w:rFonts w:hint="eastAsia" w:ascii="仿宋" w:hAnsi="仿宋" w:eastAsia="仿宋" w:cs="仿宋"/>
          <w:color w:val="000000" w:themeColor="text1"/>
          <w:sz w:val="22"/>
          <w:szCs w:val="22"/>
          <w14:textFill>
            <w14:solidFill>
              <w14:schemeClr w14:val="tx1"/>
            </w14:solidFill>
          </w14:textFill>
        </w:rPr>
        <w:t>应提交的有关格式范例。</w:t>
      </w:r>
    </w:p>
    <w:p w14:paraId="4FEE3A87">
      <w:pPr>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5.2与本项目有关的</w:t>
      </w:r>
      <w:r>
        <w:rPr>
          <w:rFonts w:hint="eastAsia" w:ascii="仿宋" w:hAnsi="仿宋" w:eastAsia="仿宋" w:cs="仿宋"/>
          <w:bCs/>
          <w:color w:val="000000" w:themeColor="text1"/>
          <w:sz w:val="22"/>
          <w:szCs w:val="22"/>
          <w14:textFill>
            <w14:solidFill>
              <w14:schemeClr w14:val="tx1"/>
            </w14:solidFill>
          </w14:textFill>
        </w:rPr>
        <w:t>澄清或者修改的内容为采购文件的组成部分</w:t>
      </w:r>
      <w:r>
        <w:rPr>
          <w:rFonts w:hint="eastAsia" w:ascii="仿宋" w:hAnsi="仿宋" w:eastAsia="仿宋" w:cs="仿宋"/>
          <w:color w:val="000000" w:themeColor="text1"/>
          <w:sz w:val="22"/>
          <w:szCs w:val="22"/>
          <w14:textFill>
            <w14:solidFill>
              <w14:schemeClr w14:val="tx1"/>
            </w14:solidFill>
          </w14:textFill>
        </w:rPr>
        <w:t>。</w:t>
      </w:r>
    </w:p>
    <w:p w14:paraId="01481D98">
      <w:pPr>
        <w:pStyle w:val="1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7. 采购文件的澄清、修改</w:t>
      </w:r>
    </w:p>
    <w:p w14:paraId="46A40DCF">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7.1已获取采购文件的潜在供应商，若有问题需要澄清，应于响应截止时间前，以书面形式向采购代理机构提出。</w:t>
      </w:r>
    </w:p>
    <w:p w14:paraId="1EB2A3E1">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7.2 采购代理机构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4645C056">
      <w:pPr>
        <w:pStyle w:val="8"/>
        <w:rPr>
          <w:rFonts w:ascii="仿宋" w:hAnsi="仿宋" w:eastAsia="仿宋" w:cs="仿宋"/>
          <w:color w:val="000000" w:themeColor="text1"/>
          <w:sz w:val="18"/>
          <w:szCs w:val="18"/>
          <w:lang w:val="en-US"/>
          <w14:textFill>
            <w14:solidFill>
              <w14:schemeClr w14:val="tx1"/>
            </w14:solidFill>
          </w14:textFill>
        </w:rPr>
      </w:pPr>
      <w:r>
        <w:rPr>
          <w:rFonts w:hint="eastAsia" w:ascii="仿宋" w:hAnsi="仿宋" w:eastAsia="仿宋" w:cs="仿宋"/>
          <w:color w:val="000000" w:themeColor="text1"/>
          <w:szCs w:val="24"/>
          <w:lang w:val="en-US"/>
          <w14:textFill>
            <w14:solidFill>
              <w14:schemeClr w14:val="tx1"/>
            </w14:solidFill>
          </w14:textFill>
        </w:rPr>
        <w:t xml:space="preserve">    </w:t>
      </w:r>
    </w:p>
    <w:p w14:paraId="7CF075A9">
      <w:pPr>
        <w:pStyle w:val="3"/>
        <w:jc w:val="center"/>
        <w:rPr>
          <w:rFonts w:ascii="仿宋" w:eastAsia="仿宋" w:cs="仿宋"/>
          <w:color w:val="000000" w:themeColor="text1"/>
          <w14:textFill>
            <w14:solidFill>
              <w14:schemeClr w14:val="tx1"/>
            </w14:solidFill>
          </w14:textFill>
        </w:rPr>
      </w:pPr>
      <w:bookmarkStart w:id="43" w:name="_Toc9266"/>
      <w:bookmarkStart w:id="44" w:name="_Toc1693483107"/>
      <w:bookmarkStart w:id="45" w:name="_Toc18329"/>
      <w:r>
        <w:rPr>
          <w:rFonts w:hint="eastAsia" w:ascii="仿宋" w:eastAsia="仿宋" w:cs="仿宋"/>
          <w:color w:val="000000" w:themeColor="text1"/>
          <w14:textFill>
            <w14:solidFill>
              <w14:schemeClr w14:val="tx1"/>
            </w14:solidFill>
          </w14:textFill>
        </w:rPr>
        <w:t>三、磋商响应</w:t>
      </w:r>
      <w:bookmarkEnd w:id="43"/>
      <w:bookmarkEnd w:id="44"/>
      <w:bookmarkEnd w:id="45"/>
    </w:p>
    <w:p w14:paraId="2FDECD1B">
      <w:pPr>
        <w:pStyle w:val="1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8. 采购文件的获取</w:t>
      </w:r>
    </w:p>
    <w:p w14:paraId="116F5044">
      <w:pPr>
        <w:spacing w:line="360" w:lineRule="auto"/>
        <w:ind w:firstLine="440" w:firstLineChars="200"/>
        <w:rPr>
          <w:rFonts w:ascii="仿宋" w:hAnsi="仿宋" w:eastAsia="仿宋" w:cs="仿宋"/>
          <w:snapToGrid w:val="0"/>
          <w:color w:val="000000" w:themeColor="text1"/>
          <w:kern w:val="28"/>
          <w:sz w:val="22"/>
          <w:szCs w:val="22"/>
          <w14:textFill>
            <w14:solidFill>
              <w14:schemeClr w14:val="tx1"/>
            </w14:solidFill>
          </w14:textFill>
        </w:rPr>
      </w:pPr>
      <w:r>
        <w:rPr>
          <w:rFonts w:hint="eastAsia" w:ascii="仿宋" w:hAnsi="仿宋" w:eastAsia="仿宋" w:cs="仿宋"/>
          <w:snapToGrid w:val="0"/>
          <w:color w:val="000000" w:themeColor="text1"/>
          <w:kern w:val="28"/>
          <w:sz w:val="22"/>
          <w:szCs w:val="22"/>
          <w14:textFill>
            <w14:solidFill>
              <w14:schemeClr w14:val="tx1"/>
            </w14:solidFill>
          </w14:textFill>
        </w:rPr>
        <w:t>详见采购公告中获取采购文件的时间期限、地点、方式及采购文件售价。</w:t>
      </w:r>
    </w:p>
    <w:p w14:paraId="7666F0CE">
      <w:pPr>
        <w:pStyle w:val="1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9.响应文件开启前答疑会或现场考察</w:t>
      </w:r>
    </w:p>
    <w:p w14:paraId="66310033">
      <w:pPr>
        <w:pStyle w:val="1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采购人组织潜在供应商现场考察或者召开响应文件开启前答疑会的，潜在供应商按第二部分供应商须知前附表的规定参加现场考察或者响应文件开启前答疑会。</w:t>
      </w:r>
    </w:p>
    <w:p w14:paraId="00E19DFE">
      <w:pPr>
        <w:pStyle w:val="10"/>
        <w:spacing w:line="360" w:lineRule="auto"/>
        <w:rPr>
          <w:rFonts w:ascii="仿宋" w:hAnsi="仿宋" w:eastAsia="仿宋" w:cs="仿宋"/>
          <w:b/>
          <w:color w:val="000000" w:themeColor="text1"/>
          <w:sz w:val="20"/>
          <w:szCs w:val="22"/>
          <w14:textFill>
            <w14:solidFill>
              <w14:schemeClr w14:val="tx1"/>
            </w14:solidFill>
          </w14:textFill>
        </w:rPr>
      </w:pPr>
      <w:r>
        <w:rPr>
          <w:rFonts w:hint="eastAsia" w:ascii="仿宋" w:hAnsi="仿宋" w:eastAsia="仿宋" w:cs="仿宋"/>
          <w:b/>
          <w:color w:val="000000" w:themeColor="text1"/>
          <w:kern w:val="28"/>
          <w:sz w:val="22"/>
          <w:szCs w:val="22"/>
          <w14:textFill>
            <w14:solidFill>
              <w14:schemeClr w14:val="tx1"/>
            </w14:solidFill>
          </w14:textFill>
        </w:rPr>
        <w:t>10.磋商保证金</w:t>
      </w:r>
    </w:p>
    <w:p w14:paraId="6A76B73E">
      <w:pPr>
        <w:pStyle w:val="5"/>
        <w:spacing w:line="360" w:lineRule="auto"/>
        <w:ind w:firstLine="431" w:firstLineChars="196"/>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本项目不需缴纳磋商保证金。</w:t>
      </w:r>
    </w:p>
    <w:p w14:paraId="6760B88A">
      <w:pPr>
        <w:pStyle w:val="1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11. 响应文件的语言</w:t>
      </w:r>
    </w:p>
    <w:p w14:paraId="04946479">
      <w:pPr>
        <w:autoSpaceDE w:val="0"/>
        <w:autoSpaceDN w:val="0"/>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响应文件及供应商与采购有关的来往通知、函件和文件均应使用中文。</w:t>
      </w:r>
    </w:p>
    <w:p w14:paraId="4BDF1D5E">
      <w:pPr>
        <w:pStyle w:val="1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12. 响应文件的组成</w:t>
      </w:r>
    </w:p>
    <w:p w14:paraId="49768DD1">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12.1</w:t>
      </w:r>
      <w:r>
        <w:rPr>
          <w:rFonts w:hint="eastAsia" w:ascii="仿宋" w:hAnsi="仿宋" w:eastAsia="仿宋" w:cs="仿宋"/>
          <w:b/>
          <w:color w:val="000000" w:themeColor="text1"/>
          <w:sz w:val="22"/>
          <w:szCs w:val="22"/>
          <w14:textFill>
            <w14:solidFill>
              <w14:schemeClr w14:val="tx1"/>
            </w14:solidFill>
          </w14:textFill>
        </w:rPr>
        <w:t>资格文件</w:t>
      </w:r>
      <w:r>
        <w:rPr>
          <w:rFonts w:hint="eastAsia" w:ascii="仿宋" w:hAnsi="仿宋" w:eastAsia="仿宋" w:cs="仿宋"/>
          <w:color w:val="000000" w:themeColor="text1"/>
          <w:sz w:val="22"/>
          <w:szCs w:val="22"/>
          <w14:textFill>
            <w14:solidFill>
              <w14:schemeClr w14:val="tx1"/>
            </w14:solidFill>
          </w14:textFill>
        </w:rPr>
        <w:t>：</w:t>
      </w:r>
    </w:p>
    <w:p w14:paraId="642B6FA1">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12.1.1提供符合参加政府采购活动应当具备的一般条件的承诺函及有效的企业营业执照（或事业法人登记证书或其它工商等登记证明材料，自然人提供身份证)复制件（如为联合体，则联合体各方均应提供）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仿宋" w:hAnsi="仿宋" w:eastAsia="仿宋" w:cs="仿宋"/>
          <w:color w:val="000000" w:themeColor="text1"/>
          <w:sz w:val="22"/>
          <w14:textFill>
            <w14:solidFill>
              <w14:schemeClr w14:val="tx1"/>
            </w14:solidFill>
          </w14:textFill>
        </w:rPr>
        <w:t>（五选一）：</w:t>
      </w:r>
    </w:p>
    <w:p w14:paraId="7166521F">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①如供应商是企业（包括合伙企业），提供在工商部门注册的有效“企业法人营业执照”或“营业执照”；</w:t>
      </w:r>
    </w:p>
    <w:p w14:paraId="7D6958E8">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②如供应商是事业单位，提供有效的“事业单位法人证书”；</w:t>
      </w:r>
    </w:p>
    <w:p w14:paraId="4D84C0FB">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③如供应商是非企业专业服务机构的，提供执业许可证等证明文件；</w:t>
      </w:r>
    </w:p>
    <w:p w14:paraId="78EC2B08">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④如供应商是个体工商户，提供有效的“个体工商户营业执照”；</w:t>
      </w:r>
    </w:p>
    <w:p w14:paraId="173BC78C">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⑤如供应商是自然人，提供有效的自然人身份证明（居民身份证正反面或公安机关出具的临时居民身份证正反面或港澳台胞证或护照）。</w:t>
      </w:r>
    </w:p>
    <w:p w14:paraId="6B63003A">
      <w:pPr>
        <w:pStyle w:val="26"/>
        <w:spacing w:line="360" w:lineRule="auto"/>
        <w:ind w:firstLine="420"/>
        <w:rPr>
          <w:rFonts w:ascii="仿宋" w:hAnsi="仿宋" w:eastAsia="仿宋" w:cs="仿宋"/>
          <w:color w:val="000000" w:themeColor="text1"/>
          <w:sz w:val="22"/>
          <w14:textFill>
            <w14:solidFill>
              <w14:schemeClr w14:val="tx1"/>
            </w14:solidFill>
          </w14:textFill>
        </w:rPr>
      </w:pPr>
      <w:r>
        <w:rPr>
          <w:rFonts w:hint="eastAsia" w:ascii="仿宋" w:hAnsi="仿宋" w:eastAsia="仿宋" w:cs="仿宋"/>
          <w:color w:val="000000" w:themeColor="text1"/>
          <w:sz w:val="22"/>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500C9E04">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12.1.2落实政府采购政策需满足的资格要求</w:t>
      </w:r>
      <w:r>
        <w:rPr>
          <w:rFonts w:hint="eastAsia" w:ascii="仿宋" w:hAnsi="仿宋" w:eastAsia="仿宋" w:cs="仿宋"/>
          <w:color w:val="000000" w:themeColor="text1"/>
          <w:sz w:val="22"/>
          <w:szCs w:val="22"/>
          <w:lang w:val="zh-CN"/>
          <w14:textFill>
            <w14:solidFill>
              <w14:schemeClr w14:val="tx1"/>
            </w14:solidFill>
          </w14:textFill>
        </w:rPr>
        <w:t>证明材料（</w:t>
      </w:r>
      <w:r>
        <w:rPr>
          <w:rFonts w:hint="eastAsia" w:ascii="仿宋" w:hAnsi="仿宋" w:eastAsia="仿宋" w:cs="仿宋"/>
          <w:color w:val="000000" w:themeColor="text1"/>
          <w:sz w:val="22"/>
          <w:szCs w:val="22"/>
          <w14:textFill>
            <w14:solidFill>
              <w14:schemeClr w14:val="tx1"/>
            </w14:solidFill>
          </w14:textFill>
        </w:rPr>
        <w:t>如有</w:t>
      </w:r>
      <w:r>
        <w:rPr>
          <w:rFonts w:hint="eastAsia" w:ascii="仿宋" w:hAnsi="仿宋" w:eastAsia="仿宋" w:cs="仿宋"/>
          <w:color w:val="000000" w:themeColor="text1"/>
          <w:sz w:val="22"/>
          <w:szCs w:val="22"/>
          <w:lang w:val="zh-CN"/>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w:t>
      </w:r>
    </w:p>
    <w:p w14:paraId="0F16DD7E">
      <w:pPr>
        <w:snapToGrid w:val="0"/>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12.1.3本项目的特定资格</w:t>
      </w:r>
      <w:r>
        <w:rPr>
          <w:rFonts w:hint="eastAsia" w:ascii="仿宋" w:hAnsi="仿宋" w:eastAsia="仿宋" w:cs="仿宋"/>
          <w:color w:val="000000" w:themeColor="text1"/>
          <w:sz w:val="22"/>
          <w:szCs w:val="22"/>
          <w:lang w:val="zh-CN"/>
          <w14:textFill>
            <w14:solidFill>
              <w14:schemeClr w14:val="tx1"/>
            </w14:solidFill>
          </w14:textFill>
        </w:rPr>
        <w:t>证明材料（</w:t>
      </w:r>
      <w:r>
        <w:rPr>
          <w:rFonts w:hint="eastAsia" w:ascii="仿宋" w:hAnsi="仿宋" w:eastAsia="仿宋" w:cs="仿宋"/>
          <w:color w:val="000000" w:themeColor="text1"/>
          <w:sz w:val="22"/>
          <w:szCs w:val="22"/>
          <w14:textFill>
            <w14:solidFill>
              <w14:schemeClr w14:val="tx1"/>
            </w14:solidFill>
          </w14:textFill>
        </w:rPr>
        <w:t>如有</w:t>
      </w:r>
      <w:r>
        <w:rPr>
          <w:rFonts w:hint="eastAsia" w:ascii="仿宋" w:hAnsi="仿宋" w:eastAsia="仿宋" w:cs="仿宋"/>
          <w:color w:val="000000" w:themeColor="text1"/>
          <w:sz w:val="22"/>
          <w:szCs w:val="22"/>
          <w:lang w:val="zh-CN"/>
          <w14:textFill>
            <w14:solidFill>
              <w14:schemeClr w14:val="tx1"/>
            </w14:solidFill>
          </w14:textFill>
        </w:rPr>
        <w:t>）。</w:t>
      </w:r>
    </w:p>
    <w:p w14:paraId="7B3BDCAC">
      <w:pPr>
        <w:snapToGrid w:val="0"/>
        <w:spacing w:line="360" w:lineRule="auto"/>
        <w:ind w:firstLine="440" w:firstLineChars="200"/>
        <w:rPr>
          <w:rFonts w:ascii="仿宋" w:hAnsi="仿宋" w:eastAsia="仿宋" w:cs="仿宋"/>
          <w:color w:val="000000" w:themeColor="text1"/>
          <w:sz w:val="20"/>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12.1.4政府采购活动现场确认声明书。</w:t>
      </w:r>
    </w:p>
    <w:p w14:paraId="428DB1A3">
      <w:pPr>
        <w:snapToGrid w:val="0"/>
        <w:spacing w:line="360" w:lineRule="auto"/>
        <w:ind w:firstLine="442"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lang w:val="zh-CN"/>
          <w14:textFill>
            <w14:solidFill>
              <w14:schemeClr w14:val="tx1"/>
            </w14:solidFill>
          </w14:textFill>
        </w:rPr>
        <w:t>1</w:t>
      </w:r>
      <w:r>
        <w:rPr>
          <w:rFonts w:hint="eastAsia" w:ascii="仿宋" w:hAnsi="仿宋" w:eastAsia="仿宋" w:cs="仿宋"/>
          <w:b/>
          <w:bCs/>
          <w:color w:val="000000" w:themeColor="text1"/>
          <w:sz w:val="22"/>
          <w:szCs w:val="22"/>
          <w14:textFill>
            <w14:solidFill>
              <w14:schemeClr w14:val="tx1"/>
            </w14:solidFill>
          </w14:textFill>
        </w:rPr>
        <w:t>2</w:t>
      </w:r>
      <w:r>
        <w:rPr>
          <w:rFonts w:hint="eastAsia" w:ascii="仿宋" w:hAnsi="仿宋" w:eastAsia="仿宋" w:cs="仿宋"/>
          <w:b/>
          <w:bCs/>
          <w:color w:val="000000" w:themeColor="text1"/>
          <w:sz w:val="22"/>
          <w:szCs w:val="22"/>
          <w:lang w:val="zh-CN"/>
          <w14:textFill>
            <w14:solidFill>
              <w14:schemeClr w14:val="tx1"/>
            </w14:solidFill>
          </w14:textFill>
        </w:rPr>
        <w:t>.</w:t>
      </w:r>
      <w:r>
        <w:rPr>
          <w:rFonts w:hint="eastAsia" w:ascii="仿宋" w:hAnsi="仿宋" w:eastAsia="仿宋" w:cs="仿宋"/>
          <w:b/>
          <w:bCs/>
          <w:color w:val="000000" w:themeColor="text1"/>
          <w:sz w:val="22"/>
          <w:szCs w:val="22"/>
          <w14:textFill>
            <w14:solidFill>
              <w14:schemeClr w14:val="tx1"/>
            </w14:solidFill>
          </w14:textFill>
        </w:rPr>
        <w:t>2</w:t>
      </w:r>
      <w:r>
        <w:rPr>
          <w:rFonts w:hint="eastAsia" w:ascii="仿宋" w:hAnsi="仿宋" w:eastAsia="仿宋" w:cs="仿宋"/>
          <w:b/>
          <w:bCs/>
          <w:color w:val="000000" w:themeColor="text1"/>
          <w:sz w:val="22"/>
          <w:szCs w:val="22"/>
          <w:lang w:val="zh-CN"/>
          <w14:textFill>
            <w14:solidFill>
              <w14:schemeClr w14:val="tx1"/>
            </w14:solidFill>
          </w14:textFill>
        </w:rPr>
        <w:t xml:space="preserve">  </w:t>
      </w:r>
      <w:r>
        <w:rPr>
          <w:rFonts w:hint="eastAsia" w:ascii="仿宋" w:hAnsi="仿宋" w:eastAsia="仿宋" w:cs="仿宋"/>
          <w:b/>
          <w:bCs/>
          <w:color w:val="000000" w:themeColor="text1"/>
          <w:sz w:val="22"/>
          <w:szCs w:val="22"/>
          <w14:textFill>
            <w14:solidFill>
              <w14:schemeClr w14:val="tx1"/>
            </w14:solidFill>
          </w14:textFill>
        </w:rPr>
        <w:t>商务技术</w:t>
      </w:r>
      <w:r>
        <w:rPr>
          <w:rFonts w:hint="eastAsia" w:ascii="仿宋" w:hAnsi="仿宋" w:eastAsia="仿宋" w:cs="仿宋"/>
          <w:b/>
          <w:bCs/>
          <w:color w:val="000000" w:themeColor="text1"/>
          <w:sz w:val="22"/>
          <w:szCs w:val="22"/>
          <w:lang w:val="zh-CN"/>
          <w14:textFill>
            <w14:solidFill>
              <w14:schemeClr w14:val="tx1"/>
            </w14:solidFill>
          </w14:textFill>
        </w:rPr>
        <w:t>文件：</w:t>
      </w:r>
    </w:p>
    <w:p w14:paraId="50E49D7E">
      <w:pPr>
        <w:tabs>
          <w:tab w:val="left" w:pos="942"/>
        </w:tabs>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12.2.1报价声明函；</w:t>
      </w:r>
      <w:r>
        <w:rPr>
          <w:rFonts w:hint="eastAsia" w:ascii="仿宋" w:hAnsi="仿宋" w:eastAsia="仿宋" w:cs="仿宋"/>
          <w:color w:val="000000" w:themeColor="text1"/>
          <w:sz w:val="22"/>
          <w:szCs w:val="22"/>
          <w:lang w:val="zh-CN"/>
          <w14:textFill>
            <w14:solidFill>
              <w14:schemeClr w14:val="tx1"/>
            </w14:solidFill>
          </w14:textFill>
        </w:rPr>
        <w:t xml:space="preserve"> </w:t>
      </w:r>
    </w:p>
    <w:p w14:paraId="6D7ADE76">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12.2.2授权委托书或法定代表人（单位负责人、自然人本人）身份证明；</w:t>
      </w:r>
    </w:p>
    <w:p w14:paraId="1DB54018">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12.2.3评审标准相应的商务技术资料；</w:t>
      </w:r>
    </w:p>
    <w:p w14:paraId="4D68897F">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12.2.4商务技术偏离表；</w:t>
      </w:r>
    </w:p>
    <w:p w14:paraId="3E6FB07E">
      <w:pPr>
        <w:snapToGrid w:val="0"/>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lang w:val="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2</w:t>
      </w:r>
      <w:r>
        <w:rPr>
          <w:rFonts w:hint="eastAsia" w:ascii="仿宋" w:hAnsi="仿宋" w:eastAsia="仿宋" w:cs="仿宋"/>
          <w:color w:val="000000" w:themeColor="text1"/>
          <w:sz w:val="22"/>
          <w:szCs w:val="22"/>
          <w:lang w:val="zh-CN"/>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2</w:t>
      </w:r>
      <w:r>
        <w:rPr>
          <w:rFonts w:hint="eastAsia" w:ascii="仿宋" w:hAnsi="仿宋" w:eastAsia="仿宋" w:cs="仿宋"/>
          <w:color w:val="000000" w:themeColor="text1"/>
          <w:sz w:val="22"/>
          <w:szCs w:val="22"/>
          <w:lang w:val="zh-CN"/>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5</w:t>
      </w:r>
      <w:r>
        <w:rPr>
          <w:rFonts w:hint="eastAsia" w:ascii="仿宋" w:hAnsi="仿宋" w:eastAsia="仿宋" w:cs="仿宋"/>
          <w:color w:val="000000" w:themeColor="text1"/>
          <w:sz w:val="22"/>
          <w:szCs w:val="22"/>
          <w:lang w:val="zh-CN"/>
          <w14:textFill>
            <w14:solidFill>
              <w14:schemeClr w14:val="tx1"/>
            </w14:solidFill>
          </w14:textFill>
        </w:rPr>
        <w:t>供应商认为需要提供的其他材料。</w:t>
      </w:r>
    </w:p>
    <w:p w14:paraId="5DD2A611">
      <w:pPr>
        <w:snapToGrid w:val="0"/>
        <w:spacing w:line="360" w:lineRule="auto"/>
        <w:ind w:firstLine="440" w:firstLineChars="200"/>
        <w:rPr>
          <w:rFonts w:ascii="仿宋" w:hAnsi="仿宋" w:eastAsia="仿宋" w:cs="仿宋"/>
          <w:color w:val="000000" w:themeColor="text1"/>
          <w:sz w:val="22"/>
          <w:szCs w:val="22"/>
          <w:u w:val="single"/>
          <w:lang w:val="zh-CN"/>
          <w14:textFill>
            <w14:solidFill>
              <w14:schemeClr w14:val="tx1"/>
            </w14:solidFill>
          </w14:textFill>
        </w:rPr>
      </w:pPr>
      <w:r>
        <w:rPr>
          <w:rFonts w:hint="eastAsia" w:ascii="仿宋" w:hAnsi="仿宋" w:eastAsia="仿宋" w:cs="仿宋"/>
          <w:color w:val="000000" w:themeColor="text1"/>
          <w:kern w:val="0"/>
          <w:sz w:val="22"/>
          <w:szCs w:val="22"/>
          <w:lang w:val="zh-CN"/>
          <w14:textFill>
            <w14:solidFill>
              <w14:schemeClr w14:val="tx1"/>
            </w14:solidFill>
          </w14:textFill>
        </w:rPr>
        <w:t>12.3</w:t>
      </w:r>
      <w:r>
        <w:rPr>
          <w:rFonts w:hint="eastAsia" w:ascii="仿宋" w:hAnsi="仿宋" w:eastAsia="仿宋" w:cs="仿宋"/>
          <w:b/>
          <w:color w:val="000000" w:themeColor="text1"/>
          <w:sz w:val="22"/>
          <w:szCs w:val="22"/>
          <w14:textFill>
            <w14:solidFill>
              <w14:schemeClr w14:val="tx1"/>
            </w14:solidFill>
          </w14:textFill>
        </w:rPr>
        <w:t>报价文件：</w:t>
      </w:r>
      <w:r>
        <w:rPr>
          <w:rFonts w:hint="eastAsia" w:ascii="仿宋" w:hAnsi="仿宋" w:eastAsia="仿宋" w:cs="仿宋"/>
          <w:color w:val="000000" w:themeColor="text1"/>
          <w:sz w:val="22"/>
          <w:szCs w:val="22"/>
          <w14:textFill>
            <w14:solidFill>
              <w14:schemeClr w14:val="tx1"/>
            </w14:solidFill>
          </w14:textFill>
        </w:rPr>
        <w:t xml:space="preserve"> </w:t>
      </w:r>
    </w:p>
    <w:p w14:paraId="7539C146">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12.3.1报价一览表；</w:t>
      </w:r>
    </w:p>
    <w:p w14:paraId="43B8983C">
      <w:pPr>
        <w:snapToGrid w:val="0"/>
        <w:spacing w:line="360" w:lineRule="auto"/>
        <w:ind w:firstLine="440" w:firstLineChars="200"/>
        <w:rPr>
          <w:rFonts w:ascii="仿宋" w:hAnsi="仿宋" w:eastAsia="仿宋" w:cs="仿宋"/>
          <w:color w:val="000000" w:themeColor="text1"/>
          <w:sz w:val="20"/>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12.3.2分项报价表；</w:t>
      </w:r>
    </w:p>
    <w:p w14:paraId="1BB50EBD">
      <w:pPr>
        <w:spacing w:line="360" w:lineRule="auto"/>
        <w:ind w:firstLine="442" w:firstLineChars="2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响应文件含有采购人不能接受的附加条件的，响应无效；</w:t>
      </w:r>
    </w:p>
    <w:p w14:paraId="0C033371">
      <w:pPr>
        <w:spacing w:line="360" w:lineRule="auto"/>
        <w:ind w:firstLine="442" w:firstLineChars="200"/>
        <w:rPr>
          <w:rFonts w:ascii="仿宋" w:hAnsi="仿宋" w:eastAsia="仿宋" w:cs="仿宋"/>
          <w:b/>
          <w:color w:val="000000" w:themeColor="text1"/>
          <w:sz w:val="22"/>
          <w:szCs w:val="20"/>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 xml:space="preserve">供应商提供虚假材料响应的，响应无效。 </w:t>
      </w:r>
    </w:p>
    <w:p w14:paraId="71D9342A">
      <w:pPr>
        <w:pStyle w:val="27"/>
        <w:snapToGrid w:val="0"/>
        <w:spacing w:before="0"/>
        <w:ind w:firstLine="0" w:firstLineChars="0"/>
        <w:rPr>
          <w:rFonts w:ascii="仿宋" w:hAnsi="仿宋" w:eastAsia="仿宋" w:cs="仿宋"/>
          <w:b/>
          <w:color w:val="000000" w:themeColor="text1"/>
          <w:sz w:val="22"/>
          <w:szCs w:val="22"/>
          <w14:textFill>
            <w14:solidFill>
              <w14:schemeClr w14:val="tx1"/>
            </w14:solidFill>
          </w14:textFill>
        </w:rPr>
      </w:pPr>
      <w:bookmarkStart w:id="46" w:name="_Toc19035"/>
      <w:bookmarkStart w:id="47" w:name="_Toc23416"/>
      <w:bookmarkStart w:id="48" w:name="_Toc6297"/>
      <w:r>
        <w:rPr>
          <w:rFonts w:hint="eastAsia" w:ascii="仿宋" w:hAnsi="仿宋" w:eastAsia="仿宋" w:cs="仿宋"/>
          <w:b/>
          <w:color w:val="000000" w:themeColor="text1"/>
          <w:sz w:val="22"/>
          <w:szCs w:val="22"/>
          <w14:textFill>
            <w14:solidFill>
              <w14:schemeClr w14:val="tx1"/>
            </w14:solidFill>
          </w14:textFill>
        </w:rPr>
        <w:t>13</w:t>
      </w:r>
      <w:r>
        <w:rPr>
          <w:rFonts w:hint="eastAsia" w:ascii="仿宋" w:hAnsi="仿宋" w:eastAsia="仿宋" w:cs="仿宋"/>
          <w:b/>
          <w:color w:val="000000" w:themeColor="text1"/>
          <w:kern w:val="0"/>
          <w:sz w:val="22"/>
          <w:szCs w:val="22"/>
          <w:lang w:val="zh-CN"/>
          <w14:textFill>
            <w14:solidFill>
              <w14:schemeClr w14:val="tx1"/>
            </w14:solidFill>
          </w14:textFill>
        </w:rPr>
        <w:t xml:space="preserve">. </w:t>
      </w:r>
      <w:r>
        <w:rPr>
          <w:rFonts w:hint="eastAsia" w:ascii="仿宋" w:hAnsi="仿宋" w:eastAsia="仿宋" w:cs="仿宋"/>
          <w:b/>
          <w:color w:val="000000" w:themeColor="text1"/>
          <w:sz w:val="22"/>
          <w:szCs w:val="22"/>
          <w14:textFill>
            <w14:solidFill>
              <w14:schemeClr w14:val="tx1"/>
            </w14:solidFill>
          </w14:textFill>
        </w:rPr>
        <w:t>响应文件的编制</w:t>
      </w:r>
      <w:bookmarkEnd w:id="46"/>
      <w:bookmarkEnd w:id="47"/>
      <w:bookmarkEnd w:id="48"/>
    </w:p>
    <w:p w14:paraId="34B31F5A">
      <w:pPr>
        <w:spacing w:line="360" w:lineRule="auto"/>
        <w:ind w:firstLine="440" w:firstLineChars="20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lang w:val="zh-CN"/>
          <w14:textFill>
            <w14:solidFill>
              <w14:schemeClr w14:val="tx1"/>
            </w14:solidFill>
          </w14:textFill>
        </w:rPr>
        <w:t>1</w:t>
      </w:r>
      <w:r>
        <w:rPr>
          <w:rFonts w:hint="eastAsia" w:ascii="仿宋" w:hAnsi="仿宋" w:eastAsia="仿宋" w:cs="仿宋"/>
          <w:color w:val="000000" w:themeColor="text1"/>
          <w:kern w:val="0"/>
          <w:sz w:val="22"/>
          <w:szCs w:val="22"/>
          <w14:textFill>
            <w14:solidFill>
              <w14:schemeClr w14:val="tx1"/>
            </w14:solidFill>
          </w14:textFill>
        </w:rPr>
        <w:t>3</w:t>
      </w:r>
      <w:r>
        <w:rPr>
          <w:rFonts w:hint="eastAsia" w:ascii="仿宋" w:hAnsi="仿宋" w:eastAsia="仿宋" w:cs="仿宋"/>
          <w:color w:val="000000" w:themeColor="text1"/>
          <w:kern w:val="0"/>
          <w:sz w:val="22"/>
          <w:szCs w:val="22"/>
          <w:lang w:val="zh-CN"/>
          <w14:textFill>
            <w14:solidFill>
              <w14:schemeClr w14:val="tx1"/>
            </w14:solidFill>
          </w14:textFill>
        </w:rPr>
        <w:t>.1响应文件分为资格文件、商务技术文件、报价文件三部分。各供应商在编制响应文件时请按照采购文件第六部分规定的格式进行，混乱的编排导致响应文件被误读或磋商小组查找不到有效文件是供应商的风险。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56C68F58">
      <w:pPr>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lang w:val="zh-CN"/>
          <w14:textFill>
            <w14:solidFill>
              <w14:schemeClr w14:val="tx1"/>
            </w14:solidFill>
          </w14:textFill>
        </w:rPr>
        <w:t>1</w:t>
      </w:r>
      <w:r>
        <w:rPr>
          <w:rFonts w:hint="eastAsia" w:ascii="仿宋" w:hAnsi="仿宋" w:eastAsia="仿宋" w:cs="仿宋"/>
          <w:color w:val="000000" w:themeColor="text1"/>
          <w:kern w:val="0"/>
          <w:sz w:val="22"/>
          <w:szCs w:val="22"/>
          <w14:textFill>
            <w14:solidFill>
              <w14:schemeClr w14:val="tx1"/>
            </w14:solidFill>
          </w14:textFill>
        </w:rPr>
        <w:t>3</w:t>
      </w:r>
      <w:r>
        <w:rPr>
          <w:rFonts w:hint="eastAsia" w:ascii="仿宋" w:hAnsi="仿宋" w:eastAsia="仿宋" w:cs="仿宋"/>
          <w:color w:val="000000" w:themeColor="text1"/>
          <w:kern w:val="0"/>
          <w:sz w:val="22"/>
          <w:szCs w:val="22"/>
          <w:lang w:val="zh-CN"/>
          <w14:textFill>
            <w14:solidFill>
              <w14:schemeClr w14:val="tx1"/>
            </w14:solidFill>
          </w14:textFill>
        </w:rPr>
        <w:t>.2供应商进行电子投标应安装客户端软件—“政采云电子交易客户端”，并按照采购文件和电子交易平台的要求编制并加密响应文件。供应商未按规定加密的响应文件，电子交易平台将拒收并提示。</w:t>
      </w:r>
    </w:p>
    <w:p w14:paraId="1A760008">
      <w:pPr>
        <w:spacing w:line="360" w:lineRule="auto"/>
        <w:ind w:firstLine="440" w:firstLineChars="200"/>
        <w:rPr>
          <w:rFonts w:ascii="仿宋" w:hAnsi="仿宋" w:eastAsia="仿宋" w:cs="仿宋"/>
          <w:color w:val="000000" w:themeColor="text1"/>
          <w:kern w:val="0"/>
          <w:sz w:val="22"/>
          <w:szCs w:val="22"/>
          <w:lang w:val="zh-CN"/>
          <w14:textFill>
            <w14:solidFill>
              <w14:schemeClr w14:val="tx1"/>
            </w14:solidFill>
          </w14:textFill>
        </w:rPr>
      </w:pPr>
      <w:r>
        <w:rPr>
          <w:rFonts w:hint="eastAsia" w:ascii="仿宋" w:hAnsi="仿宋" w:eastAsia="仿宋" w:cs="仿宋"/>
          <w:color w:val="000000" w:themeColor="text1"/>
          <w:kern w:val="0"/>
          <w:sz w:val="22"/>
          <w:szCs w:val="22"/>
          <w:lang w:val="zh-CN"/>
          <w14:textFill>
            <w14:solidFill>
              <w14:schemeClr w14:val="tx1"/>
            </w14:solidFill>
          </w14:textFill>
        </w:rPr>
        <w:t>1</w:t>
      </w:r>
      <w:r>
        <w:rPr>
          <w:rFonts w:hint="eastAsia" w:ascii="仿宋" w:hAnsi="仿宋" w:eastAsia="仿宋" w:cs="仿宋"/>
          <w:color w:val="000000" w:themeColor="text1"/>
          <w:kern w:val="0"/>
          <w:sz w:val="22"/>
          <w:szCs w:val="22"/>
          <w14:textFill>
            <w14:solidFill>
              <w14:schemeClr w14:val="tx1"/>
            </w14:solidFill>
          </w14:textFill>
        </w:rPr>
        <w:t>3</w:t>
      </w:r>
      <w:r>
        <w:rPr>
          <w:rFonts w:hint="eastAsia" w:ascii="仿宋" w:hAnsi="仿宋" w:eastAsia="仿宋" w:cs="仿宋"/>
          <w:color w:val="000000" w:themeColor="text1"/>
          <w:kern w:val="0"/>
          <w:sz w:val="22"/>
          <w:szCs w:val="22"/>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3BEBFD50">
      <w:pPr>
        <w:pStyle w:val="27"/>
        <w:snapToGrid w:val="0"/>
        <w:spacing w:before="0"/>
        <w:ind w:firstLine="442"/>
        <w:rPr>
          <w:rFonts w:ascii="仿宋" w:hAnsi="仿宋" w:eastAsia="仿宋" w:cs="仿宋"/>
          <w:b/>
          <w:bCs/>
          <w:color w:val="000000" w:themeColor="text1"/>
          <w:sz w:val="22"/>
          <w:szCs w:val="18"/>
          <w:u w:val="single"/>
          <w14:textFill>
            <w14:solidFill>
              <w14:schemeClr w14:val="tx1"/>
            </w14:solidFill>
          </w14:textFill>
        </w:rPr>
      </w:pPr>
      <w:bookmarkStart w:id="49" w:name="_Toc1765"/>
      <w:r>
        <w:rPr>
          <w:rFonts w:hint="eastAsia" w:ascii="仿宋" w:hAnsi="仿宋" w:eastAsia="仿宋" w:cs="仿宋"/>
          <w:b/>
          <w:color w:val="000000" w:themeColor="text1"/>
          <w:sz w:val="22"/>
          <w:szCs w:val="22"/>
          <w14:textFill>
            <w14:solidFill>
              <w14:schemeClr w14:val="tx1"/>
            </w14:solidFill>
          </w14:textFill>
        </w:rPr>
        <w:t>14</w:t>
      </w:r>
      <w:bookmarkEnd w:id="49"/>
      <w:r>
        <w:rPr>
          <w:rFonts w:hint="eastAsia" w:ascii="仿宋" w:hAnsi="仿宋" w:eastAsia="仿宋" w:cs="仿宋"/>
          <w:b/>
          <w:color w:val="000000" w:themeColor="text1"/>
          <w:sz w:val="22"/>
          <w:szCs w:val="22"/>
          <w14:textFill>
            <w14:solidFill>
              <w14:schemeClr w14:val="tx1"/>
            </w14:solidFill>
          </w14:textFill>
        </w:rPr>
        <w:t>磋商报价</w:t>
      </w:r>
    </w:p>
    <w:p w14:paraId="6761A7B3">
      <w:pPr>
        <w:pStyle w:val="27"/>
        <w:snapToGrid w:val="0"/>
        <w:spacing w:before="0"/>
        <w:ind w:firstLine="442"/>
        <w:rPr>
          <w:rFonts w:ascii="仿宋" w:hAnsi="仿宋" w:eastAsia="仿宋" w:cs="仿宋"/>
          <w:b/>
          <w:bCs/>
          <w:color w:val="000000" w:themeColor="text1"/>
          <w:sz w:val="22"/>
          <w:szCs w:val="18"/>
          <w14:textFill>
            <w14:solidFill>
              <w14:schemeClr w14:val="tx1"/>
            </w14:solidFill>
          </w14:textFill>
        </w:rPr>
      </w:pPr>
      <w:r>
        <w:rPr>
          <w:rFonts w:hint="eastAsia" w:ascii="仿宋" w:hAnsi="仿宋" w:eastAsia="仿宋" w:cs="仿宋"/>
          <w:b/>
          <w:bCs/>
          <w:color w:val="000000" w:themeColor="text1"/>
          <w:sz w:val="22"/>
          <w:szCs w:val="18"/>
          <w14:textFill>
            <w14:solidFill>
              <w14:schemeClr w14:val="tx1"/>
            </w14:solidFill>
          </w14:textFill>
        </w:rPr>
        <w:t>14.</w:t>
      </w:r>
      <w:r>
        <w:rPr>
          <w:rFonts w:hint="eastAsia" w:ascii="仿宋" w:hAnsi="仿宋" w:eastAsia="仿宋" w:cs="仿宋"/>
          <w:b/>
          <w:bCs/>
          <w:color w:val="000000" w:themeColor="text1"/>
          <w:sz w:val="22"/>
          <w:szCs w:val="18"/>
          <w:lang w:val="zh-CN"/>
          <w14:textFill>
            <w14:solidFill>
              <w14:schemeClr w14:val="tx1"/>
            </w14:solidFill>
          </w14:textFill>
        </w:rPr>
        <w:t>1 ▲</w:t>
      </w:r>
      <w:r>
        <w:rPr>
          <w:rFonts w:hint="eastAsia" w:ascii="仿宋" w:hAnsi="仿宋" w:eastAsia="仿宋" w:cs="仿宋"/>
          <w:b/>
          <w:bCs/>
          <w:color w:val="000000" w:themeColor="text1"/>
          <w:sz w:val="22"/>
          <w:szCs w:val="18"/>
          <w14:textFill>
            <w14:solidFill>
              <w14:schemeClr w14:val="tx1"/>
            </w14:solidFill>
          </w14:textFill>
        </w:rPr>
        <w:t xml:space="preserve">磋商报价形式： </w:t>
      </w:r>
      <w:r>
        <w:rPr>
          <w:rFonts w:hint="eastAsia" w:ascii="仿宋" w:hAnsi="仿宋" w:eastAsia="仿宋" w:cs="仿宋"/>
          <w:color w:val="000000" w:themeColor="text1"/>
          <w:sz w:val="22"/>
          <w:szCs w:val="18"/>
          <w14:textFill>
            <w14:solidFill>
              <w14:schemeClr w14:val="tx1"/>
            </w14:solidFill>
          </w14:textFill>
        </w:rPr>
        <w:sym w:font="Wingdings" w:char="00FE"/>
      </w:r>
      <w:r>
        <w:rPr>
          <w:rFonts w:hint="eastAsia" w:ascii="仿宋" w:hAnsi="仿宋" w:eastAsia="仿宋" w:cs="仿宋"/>
          <w:b/>
          <w:bCs/>
          <w:color w:val="000000" w:themeColor="text1"/>
          <w:sz w:val="22"/>
          <w:szCs w:val="18"/>
          <w14:textFill>
            <w14:solidFill>
              <w14:schemeClr w14:val="tx1"/>
            </w14:solidFill>
          </w14:textFill>
        </w:rPr>
        <w:t>人民币总价报价</w:t>
      </w:r>
      <w:r>
        <w:rPr>
          <w:rFonts w:hint="eastAsia" w:ascii="仿宋" w:hAnsi="仿宋" w:eastAsia="仿宋" w:cs="仿宋"/>
          <w:color w:val="000000" w:themeColor="text1"/>
          <w:sz w:val="22"/>
          <w:szCs w:val="18"/>
          <w14:textFill>
            <w14:solidFill>
              <w14:schemeClr w14:val="tx1"/>
            </w14:solidFill>
          </w14:textFill>
        </w:rPr>
        <w:sym w:font="Wingdings" w:char="00A8"/>
      </w:r>
      <w:r>
        <w:rPr>
          <w:rFonts w:hint="eastAsia" w:ascii="仿宋" w:hAnsi="仿宋" w:eastAsia="仿宋" w:cs="仿宋"/>
          <w:b/>
          <w:bCs/>
          <w:color w:val="000000" w:themeColor="text1"/>
          <w:sz w:val="22"/>
          <w:szCs w:val="18"/>
          <w14:textFill>
            <w14:solidFill>
              <w14:schemeClr w14:val="tx1"/>
            </w14:solidFill>
          </w14:textFill>
        </w:rPr>
        <w:t>人民币单价报价</w:t>
      </w:r>
      <w:r>
        <w:rPr>
          <w:rFonts w:hint="eastAsia" w:ascii="仿宋" w:hAnsi="仿宋" w:eastAsia="仿宋" w:cs="仿宋"/>
          <w:color w:val="000000" w:themeColor="text1"/>
          <w:sz w:val="22"/>
          <w:szCs w:val="18"/>
          <w14:textFill>
            <w14:solidFill>
              <w14:schemeClr w14:val="tx1"/>
            </w14:solidFill>
          </w14:textFill>
        </w:rPr>
        <w:sym w:font="Wingdings" w:char="00A8"/>
      </w:r>
      <w:r>
        <w:rPr>
          <w:rFonts w:hint="eastAsia" w:ascii="仿宋" w:hAnsi="仿宋" w:eastAsia="仿宋" w:cs="仿宋"/>
          <w:b/>
          <w:bCs/>
          <w:color w:val="000000" w:themeColor="text1"/>
          <w:sz w:val="22"/>
          <w:szCs w:val="18"/>
          <w14:textFill>
            <w14:solidFill>
              <w14:schemeClr w14:val="tx1"/>
            </w14:solidFill>
          </w14:textFill>
        </w:rPr>
        <w:t>折扣率报价</w:t>
      </w:r>
      <w:r>
        <w:rPr>
          <w:rFonts w:hint="eastAsia" w:ascii="仿宋" w:hAnsi="仿宋" w:eastAsia="仿宋" w:cs="仿宋"/>
          <w:color w:val="000000" w:themeColor="text1"/>
          <w:sz w:val="22"/>
          <w:szCs w:val="18"/>
          <w14:textFill>
            <w14:solidFill>
              <w14:schemeClr w14:val="tx1"/>
            </w14:solidFill>
          </w14:textFill>
        </w:rPr>
        <w:sym w:font="Wingdings" w:char="00A8"/>
      </w:r>
      <w:r>
        <w:rPr>
          <w:rFonts w:hint="eastAsia" w:ascii="仿宋" w:hAnsi="仿宋" w:eastAsia="仿宋" w:cs="仿宋"/>
          <w:b/>
          <w:bCs/>
          <w:color w:val="000000" w:themeColor="text1"/>
          <w:sz w:val="22"/>
          <w:szCs w:val="18"/>
          <w14:textFill>
            <w14:solidFill>
              <w14:schemeClr w14:val="tx1"/>
            </w14:solidFill>
          </w14:textFill>
        </w:rPr>
        <w:t xml:space="preserve"> 其他形式报价：       </w:t>
      </w:r>
    </w:p>
    <w:p w14:paraId="286B5C5D">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xml:space="preserve">14.2 </w:t>
      </w:r>
      <w:r>
        <w:rPr>
          <w:rFonts w:hint="eastAsia" w:ascii="仿宋" w:hAnsi="仿宋" w:eastAsia="仿宋" w:cs="仿宋"/>
          <w:color w:val="000000" w:themeColor="text1"/>
          <w:sz w:val="22"/>
          <w:szCs w:val="18"/>
          <w14:textFill>
            <w14:solidFill>
              <w14:schemeClr w14:val="tx1"/>
            </w14:solidFill>
          </w14:textFill>
        </w:rPr>
        <w:sym w:font="Wingdings" w:char="00FE"/>
      </w:r>
      <w:r>
        <w:rPr>
          <w:rFonts w:hint="eastAsia" w:ascii="仿宋" w:hAnsi="仿宋" w:eastAsia="仿宋" w:cs="仿宋"/>
          <w:color w:val="000000" w:themeColor="text1"/>
          <w:sz w:val="22"/>
          <w:szCs w:val="18"/>
          <w14:textFill>
            <w14:solidFill>
              <w14:schemeClr w14:val="tx1"/>
            </w14:solidFill>
          </w14:textFill>
        </w:rPr>
        <w:t>人民币总价报价：</w:t>
      </w:r>
      <w:r>
        <w:rPr>
          <w:rFonts w:hint="eastAsia" w:ascii="仿宋" w:hAnsi="仿宋" w:eastAsia="仿宋" w:cs="仿宋"/>
          <w:color w:val="000000" w:themeColor="text1"/>
          <w:sz w:val="22"/>
          <w:szCs w:val="18"/>
          <w:lang w:val="zh-CN"/>
          <w14:textFill>
            <w14:solidFill>
              <w14:schemeClr w14:val="tx1"/>
            </w14:solidFill>
          </w14:textFill>
        </w:rPr>
        <w:t>有关本项目实施所需的所有费用（含税费）均计入报价。</w:t>
      </w:r>
      <w:r>
        <w:rPr>
          <w:rFonts w:hint="eastAsia" w:ascii="仿宋" w:hAnsi="仿宋" w:eastAsia="仿宋" w:cs="仿宋"/>
          <w:color w:val="000000" w:themeColor="text1"/>
          <w:sz w:val="22"/>
          <w:szCs w:val="18"/>
          <w14:textFill>
            <w14:solidFill>
              <w14:schemeClr w14:val="tx1"/>
            </w14:solidFill>
          </w14:textFill>
        </w:rPr>
        <w:t>报价一览表是报价的唯一载体</w:t>
      </w:r>
      <w:r>
        <w:rPr>
          <w:rFonts w:hint="eastAsia" w:ascii="仿宋" w:hAnsi="仿宋" w:eastAsia="仿宋" w:cs="仿宋"/>
          <w:color w:val="000000" w:themeColor="text1"/>
          <w:sz w:val="22"/>
          <w:szCs w:val="18"/>
          <w:lang w:val="zh-CN"/>
          <w14:textFill>
            <w14:solidFill>
              <w14:schemeClr w14:val="tx1"/>
            </w14:solidFill>
          </w14:textFill>
        </w:rPr>
        <w:t>。响应文件中价格全部采用人民币报价。采购文件未列明，而供应商认为必需的费用也需列入报价。</w:t>
      </w:r>
    </w:p>
    <w:p w14:paraId="39C32990">
      <w:pPr>
        <w:pStyle w:val="27"/>
        <w:snapToGrid w:val="0"/>
        <w:spacing w:before="0"/>
        <w:ind w:firstLine="440"/>
        <w:rPr>
          <w:rFonts w:ascii="仿宋" w:hAnsi="仿宋" w:eastAsia="仿宋" w:cs="仿宋"/>
          <w:b/>
          <w:bCs/>
          <w:color w:val="000000" w:themeColor="text1"/>
          <w:sz w:val="22"/>
          <w:szCs w:val="18"/>
          <w:lang w:val="zh-CN"/>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14.3</w:t>
      </w:r>
      <w:r>
        <w:rPr>
          <w:rFonts w:hint="eastAsia" w:ascii="仿宋" w:hAnsi="仿宋" w:eastAsia="仿宋" w:cs="仿宋"/>
          <w:b/>
          <w:bCs/>
          <w:color w:val="000000" w:themeColor="text1"/>
          <w:sz w:val="22"/>
          <w:szCs w:val="18"/>
          <w:u w:val="single"/>
          <w14:textFill>
            <w14:solidFill>
              <w14:schemeClr w14:val="tx1"/>
            </w14:solidFill>
          </w14:textFill>
        </w:rPr>
        <w:t>▲所响应项只允许有一个报价，不接受有选择报价的响应文件。</w:t>
      </w:r>
    </w:p>
    <w:p w14:paraId="0F1E419F">
      <w:pPr>
        <w:snapToGrid w:val="0"/>
        <w:spacing w:line="360" w:lineRule="auto"/>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15.响应文件的签署、盖章</w:t>
      </w:r>
    </w:p>
    <w:p w14:paraId="16C82F1B">
      <w:pPr>
        <w:pStyle w:val="27"/>
        <w:snapToGrid w:val="0"/>
        <w:spacing w:before="0"/>
        <w:ind w:firstLine="440"/>
        <w:rPr>
          <w:rFonts w:ascii="仿宋" w:hAnsi="仿宋" w:eastAsia="仿宋" w:cs="仿宋"/>
          <w:b/>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15.1响应文件按照采购文件第六部分格式要</w:t>
      </w:r>
      <w:r>
        <w:rPr>
          <w:rFonts w:hint="eastAsia" w:ascii="仿宋" w:hAnsi="仿宋" w:eastAsia="仿宋" w:cs="仿宋"/>
          <w:color w:val="000000" w:themeColor="text1"/>
          <w:sz w:val="22"/>
          <w:szCs w:val="18"/>
          <w14:textFill>
            <w14:solidFill>
              <w14:schemeClr w14:val="tx1"/>
            </w14:solidFill>
          </w14:textFill>
        </w:rPr>
        <w:t>求进行签署、盖章。</w:t>
      </w:r>
      <w:r>
        <w:rPr>
          <w:rFonts w:hint="eastAsia" w:ascii="仿宋" w:hAnsi="仿宋" w:eastAsia="仿宋" w:cs="仿宋"/>
          <w:b/>
          <w:color w:val="000000" w:themeColor="text1"/>
          <w:sz w:val="22"/>
          <w:szCs w:val="18"/>
          <w:u w:val="single"/>
          <w14:textFill>
            <w14:solidFill>
              <w14:schemeClr w14:val="tx1"/>
            </w14:solidFill>
          </w14:textFill>
        </w:rPr>
        <w:t>▲供应商的响应文件未按照采购文件要求签署、盖章的，其响应无效</w:t>
      </w:r>
      <w:r>
        <w:rPr>
          <w:rFonts w:hint="eastAsia" w:ascii="仿宋" w:hAnsi="仿宋" w:eastAsia="仿宋" w:cs="仿宋"/>
          <w:color w:val="000000" w:themeColor="text1"/>
          <w:sz w:val="22"/>
          <w:szCs w:val="22"/>
          <w:u w:val="single"/>
          <w14:textFill>
            <w14:solidFill>
              <w14:schemeClr w14:val="tx1"/>
            </w14:solidFill>
          </w14:textFill>
        </w:rPr>
        <w:t>。</w:t>
      </w:r>
    </w:p>
    <w:p w14:paraId="18C3D715">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15.2为确保网上操作合法、有效和安全，供应商应当在响应截止时间前完成在“政府采购云平台”的身份认证，确保在电子投标过程中能够对相关数据电文进行加密和使用电子签名。</w:t>
      </w:r>
    </w:p>
    <w:p w14:paraId="2C1F03EB">
      <w:pPr>
        <w:pStyle w:val="27"/>
        <w:snapToGrid w:val="0"/>
        <w:spacing w:before="0"/>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15.3采购文件对响应文件签署、盖章的要求适用于电子签名。</w:t>
      </w:r>
    </w:p>
    <w:p w14:paraId="3CE60631">
      <w:pPr>
        <w:pStyle w:val="27"/>
        <w:spacing w:before="0"/>
        <w:ind w:firstLine="0" w:firstLineChars="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16. 响应文件的提交、补充、修改、撤回</w:t>
      </w:r>
    </w:p>
    <w:p w14:paraId="5F886C00">
      <w:pPr>
        <w:pStyle w:val="27"/>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16.1 供应商应当在响应截止时间</w:t>
      </w:r>
      <w:r>
        <w:rPr>
          <w:rFonts w:hint="eastAsia" w:ascii="仿宋" w:hAnsi="仿宋" w:eastAsia="仿宋" w:cs="仿宋"/>
          <w:color w:val="000000" w:themeColor="text1"/>
          <w:sz w:val="22"/>
          <w:szCs w:val="18"/>
          <w14:textFill>
            <w14:solidFill>
              <w14:schemeClr w14:val="tx1"/>
            </w14:solidFill>
          </w14:textFill>
        </w:rPr>
        <w:t>前将加密的响应文件上传至政府采购云平台，</w:t>
      </w:r>
      <w:r>
        <w:rPr>
          <w:rFonts w:hint="eastAsia" w:ascii="仿宋" w:hAnsi="仿宋" w:eastAsia="仿宋" w:cs="仿宋"/>
          <w:color w:val="000000" w:themeColor="text1"/>
          <w:sz w:val="22"/>
          <w:szCs w:val="22"/>
          <w14:textFill>
            <w14:solidFill>
              <w14:schemeClr w14:val="tx1"/>
            </w14:solidFill>
          </w14:textFill>
        </w:rPr>
        <w:t>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0FA432EA">
      <w:pPr>
        <w:pStyle w:val="27"/>
        <w:spacing w:before="0"/>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16.2电子交易平台收到响应文件，将妥善保存并即时向供应商发出确认回执通知。在响应截止时间前，除供应商补充、修改或者撤回响应文件外，任何单位和个人不得解密或提取响应文件。</w:t>
      </w:r>
    </w:p>
    <w:p w14:paraId="2941F89A">
      <w:pPr>
        <w:pStyle w:val="27"/>
        <w:spacing w:before="0"/>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16.3采购人、采购代理机构可以视情况延长响应文件提交的截止时间。在上述情况下，采购代理机构与供应商以前在响应截止期方面的全部权利、责任和义务，将适用于延长至新的响应截止期。</w:t>
      </w:r>
    </w:p>
    <w:p w14:paraId="62EAEB42">
      <w:pPr>
        <w:pStyle w:val="27"/>
        <w:spacing w:before="0"/>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16.4备份响应文件</w:t>
      </w:r>
    </w:p>
    <w:p w14:paraId="69502F78">
      <w:pPr>
        <w:pStyle w:val="10"/>
        <w:spacing w:line="360" w:lineRule="auto"/>
        <w:ind w:firstLine="440" w:firstLineChars="200"/>
        <w:rPr>
          <w:rFonts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16.4</w:t>
      </w:r>
      <w:r>
        <w:rPr>
          <w:rFonts w:hint="eastAsia" w:ascii="仿宋" w:hAnsi="仿宋" w:eastAsia="仿宋" w:cs="仿宋"/>
          <w:color w:val="000000" w:themeColor="text1"/>
          <w:sz w:val="20"/>
          <w:szCs w:val="22"/>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1</w:t>
      </w:r>
      <w:r>
        <w:rPr>
          <w:rFonts w:hint="eastAsia" w:ascii="仿宋" w:hAnsi="仿宋" w:eastAsia="仿宋" w:cs="仿宋"/>
          <w:color w:val="000000" w:themeColor="text1"/>
          <w:sz w:val="22"/>
          <w:szCs w:val="22"/>
          <w:lang w:val="zh-CN"/>
          <w14:textFill>
            <w14:solidFill>
              <w14:schemeClr w14:val="tx1"/>
            </w14:solidFill>
          </w14:textFill>
        </w:rPr>
        <w:t>备份响应文件是指与“电子加密响应文件”同时生成的数据电文形式的电子文件（备份标书），其他方式编制的备份响应文件视为无效备份响应文件。</w:t>
      </w:r>
    </w:p>
    <w:p w14:paraId="443A0F65">
      <w:pPr>
        <w:pStyle w:val="10"/>
        <w:spacing w:line="360" w:lineRule="auto"/>
        <w:ind w:firstLine="330" w:firstLineChars="15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为确保采购项目顺利实施，避免因政采云上电子响应文件解密失败导致供应商响应无效，</w:t>
      </w:r>
      <w:r>
        <w:rPr>
          <w:rFonts w:hint="eastAsia" w:ascii="仿宋" w:hAnsi="仿宋" w:eastAsia="仿宋" w:cs="仿宋"/>
          <w:color w:val="000000" w:themeColor="text1"/>
          <w:sz w:val="22"/>
          <w:szCs w:val="22"/>
          <w14:textFill>
            <w14:solidFill>
              <w14:schemeClr w14:val="tx1"/>
            </w14:solidFill>
          </w14:textFill>
        </w:rPr>
        <w:t>供应商在电子交易平台传输递交响应文件后，还可以在响应截止时间前提交电文文档形式的备份响应文件，备份响应文件提交形式：</w:t>
      </w:r>
    </w:p>
    <w:p w14:paraId="026D78C0">
      <w:pPr>
        <w:pStyle w:val="10"/>
        <w:spacing w:line="360" w:lineRule="auto"/>
        <w:ind w:firstLine="330" w:firstLineChars="15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0"/>
          <w14:textFill>
            <w14:solidFill>
              <w14:schemeClr w14:val="tx1"/>
            </w14:solidFill>
          </w14:textFill>
        </w:rPr>
        <w:sym w:font="Wingdings" w:char="00FE"/>
      </w:r>
      <w:r>
        <w:rPr>
          <w:rFonts w:hint="eastAsia" w:ascii="仿宋" w:hAnsi="仿宋" w:eastAsia="仿宋" w:cs="仿宋"/>
          <w:bCs/>
          <w:color w:val="000000" w:themeColor="text1"/>
          <w:kern w:val="0"/>
          <w:sz w:val="22"/>
          <w:szCs w:val="22"/>
          <w14:textFill>
            <w14:solidFill>
              <w14:schemeClr w14:val="tx1"/>
            </w14:solidFill>
          </w14:textFill>
        </w:rPr>
        <w:t>以邮寄形式（建议顺丰快递）将备份响应文件存入并储存在U盘中，备份在响应截止时间前递交，并需采购代理机构确认是否收到，</w:t>
      </w:r>
      <w:r>
        <w:rPr>
          <w:rFonts w:hint="eastAsia" w:ascii="仿宋" w:hAnsi="仿宋" w:eastAsia="仿宋" w:cs="仿宋"/>
          <w:bCs/>
          <w:color w:val="000000" w:themeColor="text1"/>
          <w:kern w:val="0"/>
          <w:sz w:val="22"/>
          <w:szCs w:val="22"/>
          <w:u w:val="single"/>
          <w14:textFill>
            <w14:solidFill>
              <w14:schemeClr w14:val="tx1"/>
            </w14:solidFill>
          </w14:textFill>
        </w:rPr>
        <w:t>邮寄地址、收件人及联系电话：温州市鹿城区勤民路鹿城壹号18幢803室；联系人：王先生；联系电话：13757727199。</w:t>
      </w:r>
      <w:r>
        <w:rPr>
          <w:rFonts w:hint="eastAsia" w:ascii="仿宋" w:hAnsi="仿宋" w:eastAsia="仿宋" w:cs="仿宋"/>
          <w:color w:val="000000" w:themeColor="text1"/>
          <w:sz w:val="22"/>
          <w:szCs w:val="22"/>
          <w14:textFill>
            <w14:solidFill>
              <w14:schemeClr w14:val="tx1"/>
            </w14:solidFill>
          </w14:textFill>
        </w:rPr>
        <w:t>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000000" w:themeColor="text1"/>
          <w:sz w:val="22"/>
          <w:szCs w:val="22"/>
          <w14:textFill>
            <w14:solidFill>
              <w14:schemeClr w14:val="tx1"/>
            </w14:solidFill>
          </w14:textFill>
        </w:rPr>
        <w:t>不符合上述制作、存储、密封规定的备份响应文件将被视为无效或者被拒绝接收。</w:t>
      </w:r>
    </w:p>
    <w:p w14:paraId="3CBE162C">
      <w:pPr>
        <w:pStyle w:val="10"/>
        <w:spacing w:line="360" w:lineRule="auto"/>
        <w:ind w:firstLine="330" w:firstLineChars="15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解密CA必须是上传并制作电子响应文件CA锁，</w:t>
      </w:r>
      <w:r>
        <w:rPr>
          <w:rFonts w:hint="eastAsia" w:ascii="仿宋" w:hAnsi="仿宋" w:eastAsia="仿宋" w:cs="仿宋"/>
          <w:b/>
          <w:color w:val="000000" w:themeColor="text1"/>
          <w:sz w:val="22"/>
          <w:szCs w:val="22"/>
          <w14:textFill>
            <w14:solidFill>
              <w14:schemeClr w14:val="tx1"/>
            </w14:solidFill>
          </w14:textFill>
        </w:rPr>
        <w:t>但采购人、采购代理机构不强制或变相强制供应商提交备份响应文件。</w:t>
      </w:r>
    </w:p>
    <w:p w14:paraId="63656735">
      <w:pPr>
        <w:pStyle w:val="10"/>
        <w:spacing w:line="360" w:lineRule="auto"/>
        <w:ind w:firstLine="437" w:firstLineChars="199"/>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16.4</w:t>
      </w:r>
      <w:r>
        <w:rPr>
          <w:rFonts w:hint="eastAsia" w:ascii="仿宋" w:hAnsi="仿宋" w:eastAsia="仿宋" w:cs="仿宋"/>
          <w:color w:val="000000" w:themeColor="text1"/>
          <w:sz w:val="20"/>
          <w:szCs w:val="22"/>
          <w14:textFill>
            <w14:solidFill>
              <w14:schemeClr w14:val="tx1"/>
            </w14:solidFill>
          </w14:textFill>
        </w:rPr>
        <w:t>.</w:t>
      </w:r>
      <w:r>
        <w:rPr>
          <w:rFonts w:hint="eastAsia" w:ascii="仿宋" w:hAnsi="仿宋" w:eastAsia="仿宋" w:cs="仿宋"/>
          <w:color w:val="000000" w:themeColor="text1"/>
          <w:sz w:val="22"/>
          <w:szCs w:val="22"/>
          <w14:textFill>
            <w14:solidFill>
              <w14:schemeClr w14:val="tx1"/>
            </w14:solidFill>
          </w14:textFill>
        </w:rPr>
        <w:t>2</w:t>
      </w:r>
      <w:r>
        <w:rPr>
          <w:rFonts w:hint="eastAsia" w:ascii="仿宋" w:hAnsi="仿宋" w:eastAsia="仿宋" w:cs="仿宋"/>
          <w:b/>
          <w:color w:val="000000" w:themeColor="text1"/>
          <w:sz w:val="22"/>
          <w:szCs w:val="22"/>
          <w14:textFill>
            <w14:solidFill>
              <w14:schemeClr w14:val="tx1"/>
            </w14:solidFill>
          </w14:textFill>
        </w:rPr>
        <w:t>供应商仅提交备份响应文件，没有在电子交易平台传输递交响应文件的，响应无效。</w:t>
      </w:r>
    </w:p>
    <w:p w14:paraId="44354933">
      <w:pPr>
        <w:pStyle w:val="27"/>
        <w:spacing w:before="0"/>
        <w:ind w:firstLine="0" w:firstLineChars="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17.磋商有效期</w:t>
      </w:r>
    </w:p>
    <w:p w14:paraId="4B46076A">
      <w:pPr>
        <w:spacing w:line="360" w:lineRule="auto"/>
        <w:ind w:firstLine="440" w:firstLineChars="200"/>
        <w:rPr>
          <w:rFonts w:ascii="仿宋" w:hAnsi="仿宋" w:eastAsia="仿宋" w:cs="仿宋"/>
          <w:b/>
          <w:color w:val="000000" w:themeColor="text1"/>
          <w:sz w:val="22"/>
          <w:szCs w:val="20"/>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17.1磋商有效期详见响应须知前附表。</w:t>
      </w:r>
      <w:r>
        <w:rPr>
          <w:rFonts w:hint="eastAsia" w:ascii="仿宋" w:hAnsi="仿宋" w:eastAsia="仿宋" w:cs="仿宋"/>
          <w:color w:val="000000" w:themeColor="text1"/>
          <w:sz w:val="22"/>
          <w:szCs w:val="18"/>
          <w:u w:val="single"/>
          <w14:textFill>
            <w14:solidFill>
              <w14:schemeClr w14:val="tx1"/>
            </w14:solidFill>
          </w14:textFill>
        </w:rPr>
        <w:t>▲</w:t>
      </w:r>
      <w:r>
        <w:rPr>
          <w:rFonts w:hint="eastAsia" w:ascii="仿宋" w:hAnsi="仿宋" w:eastAsia="仿宋" w:cs="仿宋"/>
          <w:b/>
          <w:color w:val="000000" w:themeColor="text1"/>
          <w:sz w:val="22"/>
          <w:szCs w:val="18"/>
          <w:u w:val="single"/>
          <w14:textFill>
            <w14:solidFill>
              <w14:schemeClr w14:val="tx1"/>
            </w14:solidFill>
          </w14:textFill>
        </w:rPr>
        <w:t>供应商的响应文件中承</w:t>
      </w:r>
      <w:r>
        <w:rPr>
          <w:rFonts w:hint="eastAsia" w:ascii="仿宋" w:hAnsi="仿宋" w:eastAsia="仿宋" w:cs="仿宋"/>
          <w:b/>
          <w:color w:val="000000" w:themeColor="text1"/>
          <w:sz w:val="22"/>
          <w:szCs w:val="20"/>
          <w:u w:val="single"/>
          <w14:textFill>
            <w14:solidFill>
              <w14:schemeClr w14:val="tx1"/>
            </w14:solidFill>
          </w14:textFill>
        </w:rPr>
        <w:t>诺的磋商有效期少于采购文件中载明的磋商有效期的，响应无效。</w:t>
      </w:r>
    </w:p>
    <w:p w14:paraId="589737D6">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17.2响应文件合格投递后，自响应截止日期起，在磋商有效期内有效。</w:t>
      </w:r>
    </w:p>
    <w:p w14:paraId="3C45EDC6">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17.3在原定磋商有效期满之前，如果出现特殊情况，采购代理机构可以以书面形式通知供应商延长磋商有效期。供应商同意延长的，不得要求或被允许修改其响应文件，供应商拒绝延长的，其响应无效。</w:t>
      </w:r>
    </w:p>
    <w:p w14:paraId="61BFA762">
      <w:pPr>
        <w:pStyle w:val="27"/>
        <w:spacing w:before="0"/>
        <w:ind w:firstLine="1063" w:firstLineChars="331"/>
        <w:rPr>
          <w:rFonts w:ascii="仿宋" w:hAnsi="仿宋" w:eastAsia="仿宋" w:cs="仿宋"/>
          <w:b/>
          <w:color w:val="000000" w:themeColor="text1"/>
          <w:sz w:val="32"/>
          <w14:textFill>
            <w14:solidFill>
              <w14:schemeClr w14:val="tx1"/>
            </w14:solidFill>
          </w14:textFill>
        </w:rPr>
      </w:pPr>
    </w:p>
    <w:p w14:paraId="10854E5E">
      <w:pPr>
        <w:pStyle w:val="3"/>
        <w:jc w:val="center"/>
        <w:rPr>
          <w:rStyle w:val="25"/>
          <w:rFonts w:ascii="仿宋" w:eastAsia="仿宋" w:cs="仿宋"/>
          <w:b/>
          <w:bCs/>
          <w:color w:val="000000" w:themeColor="text1"/>
          <w14:textFill>
            <w14:solidFill>
              <w14:schemeClr w14:val="tx1"/>
            </w14:solidFill>
          </w14:textFill>
        </w:rPr>
      </w:pPr>
      <w:bookmarkStart w:id="50" w:name="_Toc1769805658"/>
      <w:bookmarkStart w:id="51" w:name="_Toc16519"/>
      <w:bookmarkStart w:id="52" w:name="_Toc29865"/>
      <w:r>
        <w:rPr>
          <w:rStyle w:val="25"/>
          <w:rFonts w:hint="eastAsia" w:ascii="仿宋" w:eastAsia="仿宋" w:cs="仿宋"/>
          <w:b/>
          <w:bCs/>
          <w:color w:val="000000" w:themeColor="text1"/>
          <w14:textFill>
            <w14:solidFill>
              <w14:schemeClr w14:val="tx1"/>
            </w14:solidFill>
          </w14:textFill>
        </w:rPr>
        <w:t>四、响应文件开启、资格审查与信用信息查询</w:t>
      </w:r>
      <w:bookmarkEnd w:id="50"/>
      <w:bookmarkEnd w:id="51"/>
      <w:bookmarkEnd w:id="52"/>
    </w:p>
    <w:p w14:paraId="651C37F9">
      <w:pPr>
        <w:pStyle w:val="28"/>
        <w:spacing w:before="0" w:line="360" w:lineRule="auto"/>
        <w:ind w:left="0" w:firstLine="221" w:firstLineChars="100"/>
        <w:contextualSpacing/>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18.响应文件开启</w:t>
      </w:r>
      <w:r>
        <w:rPr>
          <w:rFonts w:hint="eastAsia" w:ascii="仿宋" w:hAnsi="仿宋" w:eastAsia="仿宋" w:cs="仿宋"/>
          <w:color w:val="000000" w:themeColor="text1"/>
          <w:sz w:val="22"/>
          <w:szCs w:val="18"/>
          <w14:textFill>
            <w14:solidFill>
              <w14:schemeClr w14:val="tx1"/>
            </w14:solidFill>
          </w14:textFill>
        </w:rPr>
        <w:t xml:space="preserve"> </w:t>
      </w:r>
    </w:p>
    <w:p w14:paraId="069C44C5">
      <w:pPr>
        <w:pStyle w:val="28"/>
        <w:spacing w:before="0" w:line="360" w:lineRule="auto"/>
        <w:ind w:left="0" w:firstLine="440" w:firstLineChars="200"/>
        <w:contextualSpacing/>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18.1采购代理机构按照采购文件规定的时间通过电子交易平台组织响应文件开启，所有供应商均应当准时在线参加。供应商不足3家的，不得开标。</w:t>
      </w:r>
    </w:p>
    <w:p w14:paraId="3406EFF7">
      <w:pPr>
        <w:pStyle w:val="28"/>
        <w:spacing w:before="0" w:line="360" w:lineRule="auto"/>
        <w:ind w:left="0" w:firstLine="220" w:firstLineChars="100"/>
        <w:contextualSpacing/>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18.2响应文件开启时，电子交易平台按响应文件自动提取所有响应文件。采购代理机构依托电子交易平台发起开始解密指令，供应商按照平台提示和采购文件的规定在半小时内完成在线解密。</w:t>
      </w:r>
    </w:p>
    <w:p w14:paraId="0930ABA1">
      <w:pPr>
        <w:pStyle w:val="28"/>
        <w:spacing w:before="0" w:line="360" w:lineRule="auto"/>
        <w:ind w:left="0" w:firstLine="220" w:firstLineChars="100"/>
        <w:contextualSpacing/>
        <w:rPr>
          <w:rFonts w:ascii="仿宋" w:hAnsi="仿宋" w:eastAsia="仿宋" w:cs="仿宋"/>
          <w:b/>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18.3</w:t>
      </w:r>
      <w:r>
        <w:rPr>
          <w:rFonts w:hint="eastAsia" w:ascii="仿宋" w:hAnsi="仿宋" w:eastAsia="仿宋" w:cs="仿宋"/>
          <w:b/>
          <w:color w:val="000000" w:themeColor="text1"/>
          <w:sz w:val="22"/>
          <w:szCs w:val="18"/>
          <w14:textFill>
            <w14:solidFill>
              <w14:schemeClr w14:val="tx1"/>
            </w14:solidFill>
          </w14:textFill>
        </w:rPr>
        <w:t>响应文件未按时解密，供应商提供了备份响应文件的，以备份响应文件作为依据，否则视为响应文件撤回。响应文件已按时解密的，备份响应文件自动失效。</w:t>
      </w:r>
    </w:p>
    <w:p w14:paraId="2B34EB3F">
      <w:pPr>
        <w:pStyle w:val="28"/>
        <w:spacing w:before="0" w:line="360" w:lineRule="auto"/>
        <w:ind w:left="0" w:firstLine="221" w:firstLineChars="100"/>
        <w:contextualSpacing/>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19、资格审查</w:t>
      </w:r>
    </w:p>
    <w:p w14:paraId="2831ACBA">
      <w:pPr>
        <w:pStyle w:val="27"/>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19.1响应文件开启后，采购人或采购代理机构将依法对供应商的资格进行审查。</w:t>
      </w:r>
    </w:p>
    <w:p w14:paraId="14BC1112">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19.2</w:t>
      </w:r>
      <w:r>
        <w:rPr>
          <w:rFonts w:hint="eastAsia" w:ascii="仿宋" w:hAnsi="仿宋" w:eastAsia="仿宋" w:cs="仿宋"/>
          <w:color w:val="000000" w:themeColor="text1"/>
          <w:sz w:val="22"/>
          <w:szCs w:val="22"/>
          <w14:textFill>
            <w14:solidFill>
              <w14:schemeClr w14:val="tx1"/>
            </w14:solidFill>
          </w14:textFill>
        </w:rPr>
        <w:t>采购人或采购代理机构依据法律法规和采购文件的规定，对供应商的基本资格条件、特定资格条件等进行审查。</w:t>
      </w:r>
    </w:p>
    <w:p w14:paraId="0DE7AD8B">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19.3供应商未按照采购文件要求提供与</w:t>
      </w:r>
      <w:r>
        <w:rPr>
          <w:rFonts w:hint="eastAsia" w:ascii="仿宋" w:hAnsi="仿宋" w:eastAsia="仿宋" w:cs="仿宋"/>
          <w:color w:val="000000" w:themeColor="text1"/>
          <w:sz w:val="22"/>
          <w:szCs w:val="18"/>
          <w14:textFill>
            <w14:solidFill>
              <w14:schemeClr w14:val="tx1"/>
            </w14:solidFill>
          </w14:textFill>
        </w:rPr>
        <w:t>基本资格条件、特定资格条件相应的</w:t>
      </w:r>
      <w:r>
        <w:rPr>
          <w:rFonts w:hint="eastAsia" w:ascii="仿宋" w:hAnsi="仿宋" w:eastAsia="仿宋" w:cs="仿宋"/>
          <w:color w:val="000000" w:themeColor="text1"/>
          <w:kern w:val="0"/>
          <w:sz w:val="22"/>
          <w:szCs w:val="22"/>
          <w14:textFill>
            <w14:solidFill>
              <w14:schemeClr w14:val="tx1"/>
            </w14:solidFill>
          </w14:textFill>
        </w:rPr>
        <w:t>有效资格证明材料的，视为</w:t>
      </w:r>
      <w:r>
        <w:rPr>
          <w:rFonts w:hint="eastAsia" w:ascii="仿宋" w:hAnsi="仿宋" w:eastAsia="仿宋" w:cs="仿宋"/>
          <w:color w:val="000000" w:themeColor="text1"/>
          <w:sz w:val="22"/>
          <w:szCs w:val="18"/>
          <w14:textFill>
            <w14:solidFill>
              <w14:schemeClr w14:val="tx1"/>
            </w14:solidFill>
          </w14:textFill>
        </w:rPr>
        <w:t>供应商不具备采购文件中规定的资格要求，其响应无效。</w:t>
      </w:r>
    </w:p>
    <w:p w14:paraId="0BF96459">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19.</w:t>
      </w:r>
      <w:r>
        <w:rPr>
          <w:rFonts w:hint="eastAsia" w:ascii="仿宋" w:hAnsi="仿宋" w:eastAsia="仿宋" w:cs="仿宋"/>
          <w:color w:val="000000" w:themeColor="text1"/>
          <w:sz w:val="22"/>
          <w:szCs w:val="18"/>
          <w14:textFill>
            <w14:solidFill>
              <w14:schemeClr w14:val="tx1"/>
            </w14:solidFill>
          </w14:textFill>
        </w:rPr>
        <w:t>4对未通过资格审查的供应商，采购人或采购代理机构告知其未通过的原因。</w:t>
      </w:r>
    </w:p>
    <w:p w14:paraId="798B5C4E">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19.</w:t>
      </w:r>
      <w:r>
        <w:rPr>
          <w:rFonts w:hint="eastAsia" w:ascii="仿宋" w:hAnsi="仿宋" w:eastAsia="仿宋" w:cs="仿宋"/>
          <w:color w:val="000000" w:themeColor="text1"/>
          <w:sz w:val="22"/>
          <w:szCs w:val="18"/>
          <w14:textFill>
            <w14:solidFill>
              <w14:schemeClr w14:val="tx1"/>
            </w14:solidFill>
          </w14:textFill>
        </w:rPr>
        <w:t>5合格供应商不足3家的，不再评标。</w:t>
      </w:r>
    </w:p>
    <w:p w14:paraId="72612274">
      <w:pPr>
        <w:pStyle w:val="27"/>
        <w:spacing w:before="0"/>
        <w:ind w:firstLine="0" w:firstLineChars="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20、信用信息查询</w:t>
      </w:r>
    </w:p>
    <w:p w14:paraId="1373C1BE">
      <w:pPr>
        <w:pStyle w:val="27"/>
        <w:spacing w:before="0"/>
        <w:ind w:firstLine="495" w:firstLineChars="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20.1信用信息查询渠道及截止时间：采购代理机构将通过“信用中国”网站(www.creditchina.gov.cn)、中国政府采购网(www.ccgp.gov.cn)渠道查询供应商响应截止时间当天的信用记录。</w:t>
      </w:r>
    </w:p>
    <w:p w14:paraId="5ADC4467">
      <w:pPr>
        <w:pStyle w:val="27"/>
        <w:spacing w:before="0"/>
        <w:ind w:firstLine="495" w:firstLineChars="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20.2信用信息查询记录和证据留存的具体方式：现场查询的供应商的信用记录、查询结果经确认后将与采购文件一起存档。</w:t>
      </w:r>
    </w:p>
    <w:p w14:paraId="4F390DF7">
      <w:pPr>
        <w:pStyle w:val="27"/>
        <w:spacing w:before="0"/>
        <w:ind w:firstLine="495" w:firstLineChars="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14:paraId="5AD9A1CF">
      <w:pPr>
        <w:pStyle w:val="27"/>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themeColor="text1"/>
          <w:sz w:val="22"/>
          <w:szCs w:val="18"/>
          <w14:textFill>
            <w14:solidFill>
              <w14:schemeClr w14:val="tx1"/>
            </w14:solidFill>
          </w14:textFill>
        </w:rPr>
        <w:t>。</w:t>
      </w:r>
    </w:p>
    <w:p w14:paraId="6A215D4F">
      <w:pPr>
        <w:pStyle w:val="27"/>
        <w:spacing w:before="0"/>
        <w:ind w:firstLine="0" w:firstLineChars="0"/>
        <w:rPr>
          <w:rFonts w:ascii="仿宋" w:hAnsi="仿宋" w:eastAsia="仿宋" w:cs="仿宋"/>
          <w:color w:val="000000" w:themeColor="text1"/>
          <w:kern w:val="0"/>
          <w:szCs w:val="24"/>
          <w14:textFill>
            <w14:solidFill>
              <w14:schemeClr w14:val="tx1"/>
            </w14:solidFill>
          </w14:textFill>
        </w:rPr>
      </w:pPr>
    </w:p>
    <w:p w14:paraId="1D059B1C">
      <w:pPr>
        <w:pStyle w:val="3"/>
        <w:jc w:val="center"/>
        <w:rPr>
          <w:rStyle w:val="25"/>
          <w:rFonts w:ascii="仿宋" w:eastAsia="仿宋" w:cs="仿宋"/>
          <w:b/>
          <w:bCs/>
          <w:color w:val="000000" w:themeColor="text1"/>
          <w14:textFill>
            <w14:solidFill>
              <w14:schemeClr w14:val="tx1"/>
            </w14:solidFill>
          </w14:textFill>
        </w:rPr>
      </w:pPr>
      <w:bookmarkStart w:id="53" w:name="_Toc327699409"/>
      <w:bookmarkStart w:id="54" w:name="_Toc29243"/>
      <w:bookmarkStart w:id="55" w:name="_Toc4496"/>
      <w:r>
        <w:rPr>
          <w:rStyle w:val="25"/>
          <w:rFonts w:hint="eastAsia" w:ascii="仿宋" w:eastAsia="仿宋" w:cs="仿宋"/>
          <w:b/>
          <w:bCs/>
          <w:color w:val="000000" w:themeColor="text1"/>
          <w14:textFill>
            <w14:solidFill>
              <w14:schemeClr w14:val="tx1"/>
            </w14:solidFill>
          </w14:textFill>
        </w:rPr>
        <w:t>五、评审</w:t>
      </w:r>
      <w:bookmarkEnd w:id="53"/>
      <w:bookmarkEnd w:id="54"/>
      <w:bookmarkEnd w:id="55"/>
    </w:p>
    <w:p w14:paraId="7B1C3ADD">
      <w:pPr>
        <w:spacing w:line="360" w:lineRule="auto"/>
        <w:rPr>
          <w:rFonts w:ascii="仿宋" w:hAnsi="仿宋" w:eastAsia="仿宋" w:cs="仿宋"/>
          <w:bCs/>
          <w:color w:val="000000" w:themeColor="text1"/>
          <w:sz w:val="22"/>
          <w:szCs w:val="22"/>
          <w14:textFill>
            <w14:solidFill>
              <w14:schemeClr w14:val="tx1"/>
            </w14:solidFill>
          </w14:textFill>
        </w:rPr>
      </w:pPr>
      <w:bookmarkStart w:id="56" w:name="_Toc91899903"/>
      <w:r>
        <w:rPr>
          <w:rFonts w:hint="eastAsia" w:ascii="仿宋" w:hAnsi="仿宋" w:eastAsia="仿宋" w:cs="仿宋"/>
          <w:bCs/>
          <w:color w:val="000000" w:themeColor="text1"/>
          <w:sz w:val="22"/>
          <w:szCs w:val="22"/>
          <w14:textFill>
            <w14:solidFill>
              <w14:schemeClr w14:val="tx1"/>
            </w14:solidFill>
          </w14:textFill>
        </w:rPr>
        <w:t>21. 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p>
    <w:p w14:paraId="050B2B3F">
      <w:pPr>
        <w:spacing w:line="360" w:lineRule="auto"/>
        <w:ind w:firstLine="440" w:firstLineChars="20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评审过程的保密性。响应文件开启后直至向成交供应商授予合同时止，凡与招标有关的资料均不得向供应商及与本次采购无关人员透露。如果供应商在评审过程中试图向招标采购单位和磋商小组成员施加影响，或扰乱响应文件开启和评审秩序，其磋商响应将被拒绝。</w:t>
      </w:r>
    </w:p>
    <w:p w14:paraId="1886C636">
      <w:pPr>
        <w:spacing w:line="360" w:lineRule="auto"/>
        <w:ind w:firstLine="440"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详见采购文件第四部分评审办法。</w:t>
      </w:r>
    </w:p>
    <w:p w14:paraId="056ED38C">
      <w:pPr>
        <w:pStyle w:val="3"/>
        <w:jc w:val="center"/>
        <w:rPr>
          <w:rStyle w:val="25"/>
          <w:rFonts w:ascii="仿宋" w:eastAsia="仿宋" w:cs="仿宋"/>
          <w:b/>
          <w:bCs/>
          <w:color w:val="000000" w:themeColor="text1"/>
          <w14:textFill>
            <w14:solidFill>
              <w14:schemeClr w14:val="tx1"/>
            </w14:solidFill>
          </w14:textFill>
        </w:rPr>
      </w:pPr>
      <w:bookmarkStart w:id="57" w:name="_Toc1495896155"/>
      <w:bookmarkStart w:id="58" w:name="_Toc17079"/>
      <w:bookmarkStart w:id="59" w:name="_Toc27972"/>
      <w:r>
        <w:rPr>
          <w:rStyle w:val="25"/>
          <w:rFonts w:hint="eastAsia" w:ascii="仿宋" w:eastAsia="仿宋" w:cs="仿宋"/>
          <w:b/>
          <w:bCs/>
          <w:color w:val="000000" w:themeColor="text1"/>
          <w14:textFill>
            <w14:solidFill>
              <w14:schemeClr w14:val="tx1"/>
            </w14:solidFill>
          </w14:textFill>
        </w:rPr>
        <w:t>六、评审结果确定</w:t>
      </w:r>
      <w:bookmarkEnd w:id="57"/>
      <w:bookmarkEnd w:id="58"/>
      <w:bookmarkEnd w:id="59"/>
    </w:p>
    <w:p w14:paraId="07B651BE">
      <w:pPr>
        <w:pStyle w:val="9"/>
        <w:spacing w:line="360" w:lineRule="auto"/>
        <w:ind w:left="440" w:hanging="440" w:hangingChars="199"/>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22. 确定成交供应商</w:t>
      </w:r>
    </w:p>
    <w:p w14:paraId="786A9C1E">
      <w:pPr>
        <w:pStyle w:val="27"/>
        <w:snapToGrid w:val="0"/>
        <w:spacing w:before="0"/>
        <w:ind w:firstLine="44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采购人将自收到评审报告之日起5个工作日内通过电子交易平台在评审报告推荐的成交候选人中按顺序确定成交供应商。</w:t>
      </w:r>
    </w:p>
    <w:p w14:paraId="2CF430A6">
      <w:pPr>
        <w:pStyle w:val="27"/>
        <w:snapToGrid w:val="0"/>
        <w:spacing w:before="0"/>
        <w:ind w:firstLine="0" w:firstLineChars="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23. 成交通知与成交结果公告</w:t>
      </w:r>
    </w:p>
    <w:p w14:paraId="2EFB0CA0">
      <w:pPr>
        <w:widowControl/>
        <w:shd w:val="clear" w:color="auto" w:fill="FFFFFF"/>
        <w:spacing w:line="360" w:lineRule="auto"/>
        <w:ind w:firstLine="48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23.1自成交供应商确定之日起2个工作日内，采购代理机构通过电子交易平台向成交供应商发出成交通知书，同时编制发布采购结果公告。采购代理机构也可以以纸质形式进行成交通知。</w:t>
      </w:r>
    </w:p>
    <w:p w14:paraId="70201211">
      <w:pPr>
        <w:widowControl/>
        <w:shd w:val="clear" w:color="auto" w:fill="FFFFFF"/>
        <w:spacing w:line="360" w:lineRule="auto"/>
        <w:ind w:firstLine="48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23.2成交结果公告内容包括采购人及其委托的采购代理机构的名称、地址、联系方式，项目名称和项目编号，成交供应商名称、地址和成交金额，主要成交标的的名称、规格型号、数量、单价、服务要求，开启记录、未成交情况说明、成交公告期限以及评审专家名单、评分汇总及明细。</w:t>
      </w:r>
    </w:p>
    <w:p w14:paraId="1961FC02">
      <w:pPr>
        <w:widowControl/>
        <w:shd w:val="clear" w:color="auto" w:fill="FFFFFF"/>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23.3公告期限为1个工作日。</w:t>
      </w:r>
    </w:p>
    <w:p w14:paraId="5F0D8682">
      <w:pPr>
        <w:snapToGrid w:val="0"/>
        <w:spacing w:line="360" w:lineRule="auto"/>
        <w:ind w:left="120" w:leftChars="57" w:firstLine="482" w:firstLineChars="150"/>
        <w:jc w:val="center"/>
        <w:rPr>
          <w:rFonts w:ascii="仿宋" w:hAnsi="仿宋" w:eastAsia="仿宋" w:cs="仿宋"/>
          <w:b/>
          <w:color w:val="000000" w:themeColor="text1"/>
          <w:sz w:val="32"/>
          <w14:textFill>
            <w14:solidFill>
              <w14:schemeClr w14:val="tx1"/>
            </w14:solidFill>
          </w14:textFill>
        </w:rPr>
      </w:pPr>
    </w:p>
    <w:p w14:paraId="24EE0265">
      <w:pPr>
        <w:pStyle w:val="3"/>
        <w:jc w:val="center"/>
        <w:rPr>
          <w:rStyle w:val="25"/>
          <w:rFonts w:ascii="仿宋" w:eastAsia="仿宋" w:cs="仿宋"/>
          <w:b/>
          <w:bCs/>
          <w:color w:val="000000" w:themeColor="text1"/>
          <w14:textFill>
            <w14:solidFill>
              <w14:schemeClr w14:val="tx1"/>
            </w14:solidFill>
          </w14:textFill>
        </w:rPr>
      </w:pPr>
      <w:bookmarkStart w:id="60" w:name="_Toc29548"/>
      <w:bookmarkStart w:id="61" w:name="_Toc935621656"/>
      <w:bookmarkStart w:id="62" w:name="_Toc9951"/>
      <w:r>
        <w:rPr>
          <w:rStyle w:val="25"/>
          <w:rFonts w:hint="eastAsia" w:ascii="仿宋" w:eastAsia="仿宋" w:cs="仿宋"/>
          <w:b/>
          <w:bCs/>
          <w:color w:val="000000" w:themeColor="text1"/>
          <w14:textFill>
            <w14:solidFill>
              <w14:schemeClr w14:val="tx1"/>
            </w14:solidFill>
          </w14:textFill>
        </w:rPr>
        <w:t>七、合同授予</w:t>
      </w:r>
      <w:bookmarkEnd w:id="60"/>
      <w:bookmarkEnd w:id="61"/>
      <w:bookmarkEnd w:id="62"/>
    </w:p>
    <w:p w14:paraId="59DE9603">
      <w:pPr>
        <w:pStyle w:val="9"/>
        <w:spacing w:line="360" w:lineRule="auto"/>
        <w:ind w:left="438" w:hanging="437" w:hangingChars="199"/>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24. 合同主要条款详见第五部分拟签订的合同文本。</w:t>
      </w:r>
    </w:p>
    <w:p w14:paraId="4B2DC935">
      <w:pPr>
        <w:pStyle w:val="9"/>
        <w:spacing w:line="360" w:lineRule="auto"/>
        <w:ind w:left="438" w:hanging="437" w:hangingChars="199"/>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25. 合同的签订</w:t>
      </w:r>
    </w:p>
    <w:p w14:paraId="368CC11C">
      <w:pPr>
        <w:widowControl/>
        <w:shd w:val="clear" w:color="auto" w:fill="FFFFFF"/>
        <w:spacing w:line="360" w:lineRule="auto"/>
        <w:ind w:firstLine="480"/>
        <w:jc w:val="lef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25.1</w:t>
      </w:r>
      <w:r>
        <w:rPr>
          <w:rFonts w:hint="eastAsia" w:ascii="仿宋" w:hAnsi="仿宋" w:eastAsia="仿宋" w:cs="仿宋"/>
          <w:color w:val="000000" w:themeColor="text1"/>
          <w:kern w:val="0"/>
          <w:sz w:val="22"/>
          <w:szCs w:val="22"/>
          <w14:textFill>
            <w14:solidFill>
              <w14:schemeClr w14:val="tx1"/>
            </w14:solidFill>
          </w14:textFill>
        </w:rPr>
        <w:t xml:space="preserve"> 采购人与成交供应商应当通过电子交易平台在成交通知书发出之日起三十日内，按照采购文件确定的事项签订政府采购合同，并在合同签订之日起2个工作日内依法发布合同公告。</w:t>
      </w:r>
    </w:p>
    <w:p w14:paraId="50D91441">
      <w:pPr>
        <w:pStyle w:val="27"/>
        <w:snapToGrid w:val="0"/>
        <w:spacing w:before="0"/>
        <w:ind w:firstLine="440"/>
        <w:rPr>
          <w:rFonts w:ascii="仿宋" w:hAnsi="仿宋" w:eastAsia="仿宋" w:cs="仿宋"/>
          <w:color w:val="000000" w:themeColor="text1"/>
          <w:kern w:val="0"/>
          <w:sz w:val="22"/>
          <w:szCs w:val="18"/>
          <w14:textFill>
            <w14:solidFill>
              <w14:schemeClr w14:val="tx1"/>
            </w14:solidFill>
          </w14:textFill>
        </w:rPr>
      </w:pPr>
      <w:r>
        <w:rPr>
          <w:rFonts w:hint="eastAsia" w:ascii="仿宋" w:hAnsi="仿宋" w:eastAsia="仿宋" w:cs="仿宋"/>
          <w:color w:val="000000" w:themeColor="text1"/>
          <w:kern w:val="0"/>
          <w:sz w:val="22"/>
          <w:szCs w:val="18"/>
          <w:lang w:val="zh-CN"/>
          <w14:textFill>
            <w14:solidFill>
              <w14:schemeClr w14:val="tx1"/>
            </w14:solidFill>
          </w14:textFill>
        </w:rPr>
        <w:t>25.2成交供应商按规定的日期、时间、地点，由法定代表人或其授权代表与采购人代表签订合同。如成交供应商为联合体的，由联合体成员各方法定代表人或其授权代表与采购人代表签订合同。</w:t>
      </w:r>
    </w:p>
    <w:p w14:paraId="32EAED96">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25.3如签订合同并生效后，供应商无故拒绝或延期，除按照合同条款处理外，列入不良行为记录一次，并给予通报。</w:t>
      </w:r>
    </w:p>
    <w:p w14:paraId="79A96383">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25.4成交供应商拒绝与采购人签订合同的，采购人可以按照评审报告推荐的中标或者成交候选人名单排序，确定下一候选人为成交供应商，也可以重新开展政府采购活动。</w:t>
      </w:r>
    </w:p>
    <w:p w14:paraId="725B987D">
      <w:pPr>
        <w:pStyle w:val="27"/>
        <w:snapToGrid w:val="0"/>
        <w:spacing w:before="0" w:after="12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25.5采购合同由采购人与成交供应商根据采购文件、响应文件等内容通过政府采购电子交易平台在线签订，自动备案。</w:t>
      </w:r>
    </w:p>
    <w:p w14:paraId="3EF5F603">
      <w:pPr>
        <w:keepNext/>
        <w:keepLines/>
        <w:tabs>
          <w:tab w:val="left" w:pos="432"/>
        </w:tabs>
        <w:adjustRightInd/>
        <w:ind w:left="431" w:hanging="431"/>
        <w:jc w:val="center"/>
        <w:rPr>
          <w:rStyle w:val="25"/>
          <w:rFonts w:ascii="仿宋" w:eastAsia="仿宋" w:cs="仿宋"/>
          <w:color w:val="000000" w:themeColor="text1"/>
          <w14:textFill>
            <w14:solidFill>
              <w14:schemeClr w14:val="tx1"/>
            </w14:solidFill>
          </w14:textFill>
        </w:rPr>
      </w:pPr>
    </w:p>
    <w:p w14:paraId="7CEB9BA4">
      <w:pPr>
        <w:pStyle w:val="3"/>
        <w:jc w:val="center"/>
        <w:rPr>
          <w:rStyle w:val="25"/>
          <w:rFonts w:ascii="仿宋" w:eastAsia="仿宋" w:cs="仿宋"/>
          <w:b/>
          <w:bCs/>
          <w:color w:val="000000" w:themeColor="text1"/>
          <w14:textFill>
            <w14:solidFill>
              <w14:schemeClr w14:val="tx1"/>
            </w14:solidFill>
          </w14:textFill>
        </w:rPr>
      </w:pPr>
      <w:bookmarkStart w:id="63" w:name="_Toc10266"/>
      <w:bookmarkStart w:id="64" w:name="_Toc16899"/>
      <w:bookmarkStart w:id="65" w:name="_Toc1117909058"/>
      <w:r>
        <w:rPr>
          <w:rStyle w:val="25"/>
          <w:rFonts w:hint="eastAsia" w:ascii="仿宋" w:eastAsia="仿宋" w:cs="仿宋"/>
          <w:b/>
          <w:bCs/>
          <w:color w:val="000000" w:themeColor="text1"/>
          <w14:textFill>
            <w14:solidFill>
              <w14:schemeClr w14:val="tx1"/>
            </w14:solidFill>
          </w14:textFill>
        </w:rPr>
        <w:t>八、电子交易活动的中止</w:t>
      </w:r>
      <w:bookmarkEnd w:id="63"/>
      <w:bookmarkEnd w:id="64"/>
      <w:bookmarkEnd w:id="65"/>
    </w:p>
    <w:p w14:paraId="75BED883">
      <w:pPr>
        <w:pStyle w:val="27"/>
        <w:snapToGrid w:val="0"/>
        <w:spacing w:before="0"/>
        <w:ind w:firstLine="0" w:firstLineChars="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w:t>
      </w:r>
      <w:r>
        <w:rPr>
          <w:rFonts w:hint="eastAsia" w:ascii="仿宋" w:hAnsi="仿宋" w:eastAsia="仿宋" w:cs="仿宋"/>
          <w:b/>
          <w:color w:val="000000" w:themeColor="text1"/>
          <w:sz w:val="22"/>
          <w:szCs w:val="22"/>
          <w14:textFill>
            <w14:solidFill>
              <w14:schemeClr w14:val="tx1"/>
            </w14:solidFill>
          </w14:textFill>
        </w:rPr>
        <w:t>7. 电子交易活动的中止。</w:t>
      </w:r>
      <w:r>
        <w:rPr>
          <w:rFonts w:hint="eastAsia" w:ascii="仿宋" w:hAnsi="仿宋" w:eastAsia="仿宋" w:cs="仿宋"/>
          <w:color w:val="000000" w:themeColor="text1"/>
          <w:sz w:val="22"/>
          <w:szCs w:val="18"/>
          <w14:textFill>
            <w14:solidFill>
              <w14:schemeClr w14:val="tx1"/>
            </w14:solidFill>
          </w14:textFill>
        </w:rPr>
        <w:t>采购过程中出现以下情形，导致电子交易平台无法正常运行，或者无法保证电子交易的公平、公正和安全时，采购代理机构可中止电子交易活动：</w:t>
      </w:r>
    </w:p>
    <w:p w14:paraId="35851632">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xml:space="preserve">27.1电子交易平台发生故障而无法登录访问的； </w:t>
      </w:r>
    </w:p>
    <w:p w14:paraId="4DB158B3">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27.2电子交易平台应用或数据库出现错误，不能进行正常操作的；</w:t>
      </w:r>
    </w:p>
    <w:p w14:paraId="27A4B162">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27.3电子交易平台发现严重安全漏洞，有潜在泄密危险的；</w:t>
      </w:r>
    </w:p>
    <w:p w14:paraId="7435B4B8">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xml:space="preserve">27.4病毒发作导致不能进行正常操作的； </w:t>
      </w:r>
    </w:p>
    <w:p w14:paraId="4B62F8EB">
      <w:pPr>
        <w:pStyle w:val="27"/>
        <w:snapToGrid w:val="0"/>
        <w:spacing w:before="0"/>
        <w:ind w:firstLine="44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27.5其他无法保证电子交易的公平、公正和安全的情况。</w:t>
      </w:r>
    </w:p>
    <w:p w14:paraId="2EF435CD">
      <w:pPr>
        <w:pStyle w:val="27"/>
        <w:snapToGrid w:val="0"/>
        <w:spacing w:before="0"/>
        <w:ind w:firstLine="0" w:firstLineChars="0"/>
        <w:rPr>
          <w:rFonts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69C0B88F">
      <w:pPr>
        <w:pStyle w:val="3"/>
        <w:jc w:val="center"/>
        <w:rPr>
          <w:rStyle w:val="25"/>
          <w:rFonts w:ascii="仿宋" w:eastAsia="仿宋" w:cs="仿宋"/>
          <w:b/>
          <w:bCs/>
          <w:color w:val="000000" w:themeColor="text1"/>
          <w14:textFill>
            <w14:solidFill>
              <w14:schemeClr w14:val="tx1"/>
            </w14:solidFill>
          </w14:textFill>
        </w:rPr>
      </w:pPr>
      <w:bookmarkStart w:id="66" w:name="_Toc7815"/>
      <w:bookmarkStart w:id="67" w:name="_Toc363110203"/>
      <w:bookmarkStart w:id="68" w:name="_Toc7610"/>
      <w:r>
        <w:rPr>
          <w:rStyle w:val="25"/>
          <w:rFonts w:hint="eastAsia" w:ascii="仿宋" w:eastAsia="仿宋" w:cs="仿宋"/>
          <w:b/>
          <w:bCs/>
          <w:color w:val="000000" w:themeColor="text1"/>
          <w14:textFill>
            <w14:solidFill>
              <w14:schemeClr w14:val="tx1"/>
            </w14:solidFill>
          </w14:textFill>
        </w:rPr>
        <w:t>九、验收</w:t>
      </w:r>
      <w:bookmarkEnd w:id="66"/>
      <w:bookmarkEnd w:id="67"/>
      <w:bookmarkEnd w:id="68"/>
    </w:p>
    <w:p w14:paraId="217543E8">
      <w:pPr>
        <w:pStyle w:val="9"/>
        <w:spacing w:line="360" w:lineRule="auto"/>
        <w:ind w:firstLine="0" w:firstLineChars="0"/>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29.验收</w:t>
      </w:r>
    </w:p>
    <w:p w14:paraId="2ABADBB9">
      <w:pPr>
        <w:tabs>
          <w:tab w:val="left" w:pos="0"/>
        </w:tabs>
        <w:spacing w:line="360" w:lineRule="auto"/>
        <w:ind w:firstLine="48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D8C03C6">
      <w:pPr>
        <w:tabs>
          <w:tab w:val="left" w:pos="0"/>
        </w:tabs>
        <w:spacing w:line="360" w:lineRule="auto"/>
        <w:ind w:firstLine="48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29.2采购人可以邀请参加本项目的其他供应商或者第三方机构参与验收。参与验收的供应商或者第三方机构的意见作为验收书的参考资料一并存档。</w:t>
      </w:r>
    </w:p>
    <w:p w14:paraId="5F79AC47">
      <w:pPr>
        <w:tabs>
          <w:tab w:val="left" w:pos="0"/>
        </w:tabs>
        <w:spacing w:line="360" w:lineRule="auto"/>
        <w:ind w:firstLine="48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59D30877">
      <w:pPr>
        <w:tabs>
          <w:tab w:val="left" w:pos="0"/>
        </w:tabs>
        <w:spacing w:line="360" w:lineRule="auto"/>
        <w:ind w:firstLine="48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56"/>
    <w:p w14:paraId="0FF8B3EC">
      <w:pPr>
        <w:tabs>
          <w:tab w:val="left" w:pos="0"/>
        </w:tabs>
        <w:spacing w:line="360" w:lineRule="auto"/>
        <w:ind w:firstLine="480"/>
        <w:rPr>
          <w:rFonts w:ascii="仿宋" w:hAnsi="仿宋" w:eastAsia="仿宋" w:cs="仿宋"/>
          <w:color w:val="000000" w:themeColor="text1"/>
          <w:kern w:val="0"/>
          <w:sz w:val="22"/>
          <w:szCs w:val="22"/>
          <w14:textFill>
            <w14:solidFill>
              <w14:schemeClr w14:val="tx1"/>
            </w14:solidFill>
          </w14:textFill>
        </w:rPr>
      </w:pPr>
      <w:bookmarkStart w:id="69" w:name="_Hlt74730295"/>
      <w:bookmarkEnd w:id="69"/>
      <w:bookmarkStart w:id="70" w:name="_Hlt68057669"/>
      <w:bookmarkEnd w:id="70"/>
      <w:bookmarkStart w:id="71" w:name="_Hlt68072990"/>
      <w:bookmarkEnd w:id="71"/>
      <w:bookmarkStart w:id="72" w:name="_Hlt75236101"/>
      <w:bookmarkEnd w:id="72"/>
      <w:bookmarkStart w:id="73" w:name="_Hlt74714665"/>
      <w:bookmarkEnd w:id="73"/>
      <w:bookmarkStart w:id="74" w:name="_Hlt75236011"/>
      <w:bookmarkEnd w:id="74"/>
      <w:bookmarkStart w:id="75" w:name="_Hlt68403820"/>
      <w:bookmarkEnd w:id="75"/>
      <w:bookmarkStart w:id="76" w:name="_Hlt75236290"/>
      <w:bookmarkEnd w:id="76"/>
      <w:bookmarkStart w:id="77" w:name="_Hlt74707468"/>
      <w:bookmarkEnd w:id="77"/>
      <w:bookmarkStart w:id="78" w:name="_Hlt74729768"/>
      <w:bookmarkEnd w:id="78"/>
      <w:bookmarkStart w:id="79" w:name="_Hlt68072998"/>
      <w:bookmarkEnd w:id="79"/>
      <w:bookmarkStart w:id="80" w:name="_Hlt68073093"/>
      <w:bookmarkEnd w:id="80"/>
      <w:r>
        <w:rPr>
          <w:rFonts w:hint="eastAsia" w:ascii="仿宋" w:hAnsi="仿宋" w:eastAsia="仿宋" w:cs="仿宋"/>
          <w:color w:val="000000" w:themeColor="text1"/>
          <w:kern w:val="0"/>
          <w:sz w:val="22"/>
          <w:szCs w:val="22"/>
          <w14:textFill>
            <w14:solidFill>
              <w14:schemeClr w14:val="tx1"/>
            </w14:solidFill>
          </w14:textFill>
        </w:rPr>
        <w:t>29.5履约验收费用由供应商承担，因供应商原因造成验收不通过的，再次验收的费用仍由供应商承担。</w:t>
      </w:r>
    </w:p>
    <w:p w14:paraId="64AB0404">
      <w:pPr>
        <w:pStyle w:val="3"/>
        <w:rPr>
          <w:rFonts w:ascii="仿宋" w:eastAsia="仿宋" w:cs="仿宋"/>
          <w:color w:val="000000" w:themeColor="text1"/>
          <w:sz w:val="28"/>
          <w:szCs w:val="28"/>
          <w14:textFill>
            <w14:solidFill>
              <w14:schemeClr w14:val="tx1"/>
            </w14:solidFill>
          </w14:textFill>
        </w:rPr>
        <w:sectPr>
          <w:footerReference r:id="rId5" w:type="default"/>
          <w:pgSz w:w="11906" w:h="16838"/>
          <w:pgMar w:top="1440" w:right="1080" w:bottom="1440" w:left="1080" w:header="851" w:footer="850" w:gutter="0"/>
          <w:pgNumType w:start="1"/>
          <w:cols w:space="720" w:num="1"/>
          <w:docGrid w:linePitch="312" w:charSpace="0"/>
        </w:sectPr>
      </w:pPr>
    </w:p>
    <w:bookmarkEnd w:id="32"/>
    <w:bookmarkEnd w:id="33"/>
    <w:p w14:paraId="4FDEB3E9">
      <w:pPr>
        <w:pStyle w:val="2"/>
        <w:adjustRightInd/>
        <w:spacing w:line="240" w:lineRule="auto"/>
        <w:ind w:left="431" w:hanging="431"/>
        <w:jc w:val="center"/>
        <w:rPr>
          <w:rStyle w:val="25"/>
          <w:rFonts w:ascii="仿宋" w:eastAsia="仿宋" w:cs="仿宋"/>
          <w:b/>
          <w:bCs/>
          <w:color w:val="000000" w:themeColor="text1"/>
          <w:kern w:val="2"/>
          <w14:textFill>
            <w14:solidFill>
              <w14:schemeClr w14:val="tx1"/>
            </w14:solidFill>
          </w14:textFill>
        </w:rPr>
      </w:pPr>
      <w:bookmarkStart w:id="81" w:name="_Toc12497"/>
      <w:bookmarkStart w:id="82" w:name="_Toc1683"/>
      <w:bookmarkStart w:id="83" w:name="_Toc1792140694"/>
      <w:bookmarkStart w:id="84" w:name="第四部分"/>
      <w:r>
        <w:rPr>
          <w:rStyle w:val="25"/>
          <w:rFonts w:hint="eastAsia" w:ascii="仿宋" w:eastAsia="仿宋" w:cs="仿宋"/>
          <w:b/>
          <w:bCs/>
          <w:color w:val="000000" w:themeColor="text1"/>
          <w:kern w:val="2"/>
          <w14:textFill>
            <w14:solidFill>
              <w14:schemeClr w14:val="tx1"/>
            </w14:solidFill>
          </w14:textFill>
        </w:rPr>
        <w:t>第三部分 采购需求</w:t>
      </w:r>
      <w:bookmarkEnd w:id="81"/>
      <w:bookmarkEnd w:id="82"/>
      <w:bookmarkEnd w:id="83"/>
    </w:p>
    <w:p w14:paraId="5254A2F6">
      <w:pPr>
        <w:keepLines/>
        <w:spacing w:line="360" w:lineRule="auto"/>
        <w:rPr>
          <w:rFonts w:hint="eastAsia" w:ascii="仿宋" w:hAnsi="仿宋" w:eastAsia="仿宋" w:cs="仿宋"/>
          <w:b/>
          <w:bCs/>
          <w:color w:val="auto"/>
          <w:kern w:val="44"/>
          <w:sz w:val="22"/>
          <w:szCs w:val="22"/>
          <w:highlight w:val="none"/>
        </w:rPr>
      </w:pPr>
      <w:bookmarkStart w:id="85" w:name="_Toc414365368"/>
      <w:bookmarkStart w:id="86" w:name="_Toc434493174"/>
      <w:bookmarkStart w:id="87" w:name="_Toc420409255"/>
      <w:bookmarkStart w:id="88" w:name="_Toc83748033"/>
      <w:bookmarkStart w:id="89" w:name="_Toc401041541"/>
      <w:bookmarkStart w:id="90" w:name="_Toc27720"/>
      <w:bookmarkStart w:id="91" w:name="_Toc83748054"/>
      <w:bookmarkStart w:id="92" w:name="_Toc932735830"/>
      <w:bookmarkStart w:id="93" w:name="_Toc32107"/>
      <w:r>
        <w:rPr>
          <w:rFonts w:hint="eastAsia" w:ascii="仿宋" w:hAnsi="仿宋" w:eastAsia="仿宋" w:cs="仿宋"/>
          <w:b/>
          <w:bCs/>
          <w:color w:val="auto"/>
          <w:kern w:val="44"/>
          <w:sz w:val="22"/>
          <w:szCs w:val="22"/>
          <w:highlight w:val="none"/>
        </w:rPr>
        <w:t>一、项目概况</w:t>
      </w:r>
    </w:p>
    <w:p w14:paraId="3514FCF5">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温州市公安局数据域数据处理服务平台，承接用户域数据池资源及省厅数据回流，满足业务警种数据资源请求查询、数据下发、数据订阅、集成应用的服务能力需求，同时立足实战，构建人员档案级联贯通体系。</w:t>
      </w:r>
    </w:p>
    <w:p w14:paraId="43740B91">
      <w:pPr>
        <w:keepLines/>
        <w:spacing w:line="360" w:lineRule="auto"/>
        <w:rPr>
          <w:rFonts w:hint="eastAsia" w:ascii="仿宋" w:hAnsi="仿宋" w:eastAsia="仿宋" w:cs="仿宋"/>
          <w:b/>
          <w:bCs/>
          <w:color w:val="auto"/>
          <w:kern w:val="44"/>
          <w:sz w:val="22"/>
          <w:szCs w:val="22"/>
          <w:highlight w:val="none"/>
        </w:rPr>
      </w:pPr>
      <w:r>
        <w:rPr>
          <w:rFonts w:hint="eastAsia" w:ascii="仿宋" w:hAnsi="仿宋" w:eastAsia="仿宋" w:cs="仿宋"/>
          <w:b/>
          <w:bCs/>
          <w:color w:val="auto"/>
          <w:kern w:val="44"/>
          <w:sz w:val="22"/>
          <w:szCs w:val="22"/>
          <w:highlight w:val="none"/>
        </w:rPr>
        <w:t>二、建设需求</w:t>
      </w:r>
      <w:bookmarkStart w:id="94" w:name="_Toc3633"/>
    </w:p>
    <w:p w14:paraId="6B2CD670">
      <w:pPr>
        <w:keepLines/>
        <w:spacing w:line="360" w:lineRule="auto"/>
        <w:ind w:left="420"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2.1.总体要求</w:t>
      </w:r>
    </w:p>
    <w:p w14:paraId="5DC49C67">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本项目建设依托公安网数据域，应用设计规划主要通过“四横四纵”进行设计，包括基础层、数据层、服务层和应用层。</w:t>
      </w:r>
    </w:p>
    <w:p w14:paraId="2F680674">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需提供总体架构图。</w:t>
      </w:r>
    </w:p>
    <w:p w14:paraId="070C1528">
      <w:pPr>
        <w:keepLines/>
        <w:spacing w:line="360" w:lineRule="auto"/>
        <w:ind w:left="420"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2.2.采购清单</w:t>
      </w:r>
    </w:p>
    <w:tbl>
      <w:tblPr>
        <w:tblStyle w:val="20"/>
        <w:tblW w:w="5000" w:type="pct"/>
        <w:tblInd w:w="0" w:type="dxa"/>
        <w:tblLayout w:type="fixed"/>
        <w:tblCellMar>
          <w:top w:w="0" w:type="dxa"/>
          <w:left w:w="108" w:type="dxa"/>
          <w:bottom w:w="0" w:type="dxa"/>
          <w:right w:w="108" w:type="dxa"/>
        </w:tblCellMar>
      </w:tblPr>
      <w:tblGrid>
        <w:gridCol w:w="1204"/>
        <w:gridCol w:w="3674"/>
        <w:gridCol w:w="3366"/>
        <w:gridCol w:w="1611"/>
      </w:tblGrid>
      <w:tr w14:paraId="3EF0013D">
        <w:tblPrEx>
          <w:tblCellMar>
            <w:top w:w="0" w:type="dxa"/>
            <w:left w:w="108" w:type="dxa"/>
            <w:bottom w:w="0" w:type="dxa"/>
            <w:right w:w="108" w:type="dxa"/>
          </w:tblCellMar>
        </w:tblPrEx>
        <w:trPr>
          <w:trHeight w:val="288" w:hRule="atLeast"/>
        </w:trPr>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843C6">
            <w:pPr>
              <w:widowControl/>
              <w:spacing w:line="360" w:lineRule="auto"/>
              <w:jc w:val="center"/>
              <w:textAlignment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18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579AD">
            <w:pPr>
              <w:widowControl/>
              <w:spacing w:line="360" w:lineRule="auto"/>
              <w:jc w:val="center"/>
              <w:textAlignment w:val="center"/>
              <w:rPr>
                <w:rFonts w:hint="eastAsia" w:ascii="仿宋" w:hAnsi="仿宋" w:eastAsia="仿宋" w:cs="仿宋"/>
                <w:b/>
                <w:bCs/>
                <w:color w:val="auto"/>
                <w:sz w:val="22"/>
                <w:szCs w:val="22"/>
                <w:highlight w:val="none"/>
              </w:rPr>
            </w:pPr>
            <w:r>
              <w:rPr>
                <w:rFonts w:hint="eastAsia" w:ascii="仿宋" w:hAnsi="仿宋" w:eastAsia="仿宋" w:cs="仿宋"/>
                <w:b/>
                <w:bCs/>
                <w:color w:val="auto"/>
                <w:kern w:val="0"/>
                <w:sz w:val="22"/>
                <w:szCs w:val="22"/>
                <w:highlight w:val="none"/>
              </w:rPr>
              <w:t>服务模块</w:t>
            </w:r>
          </w:p>
        </w:tc>
        <w:tc>
          <w:tcPr>
            <w:tcW w:w="1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EA6E5">
            <w:pPr>
              <w:widowControl/>
              <w:spacing w:line="360" w:lineRule="auto"/>
              <w:jc w:val="center"/>
              <w:textAlignment w:val="center"/>
              <w:rPr>
                <w:rFonts w:hint="eastAsia" w:ascii="仿宋" w:hAnsi="仿宋" w:eastAsia="仿宋" w:cs="仿宋"/>
                <w:b/>
                <w:bCs/>
                <w:color w:val="auto"/>
                <w:sz w:val="22"/>
                <w:szCs w:val="22"/>
                <w:highlight w:val="none"/>
              </w:rPr>
            </w:pPr>
            <w:r>
              <w:rPr>
                <w:rFonts w:hint="eastAsia" w:ascii="仿宋" w:hAnsi="仿宋" w:eastAsia="仿宋" w:cs="仿宋"/>
                <w:b/>
                <w:bCs/>
                <w:color w:val="auto"/>
                <w:kern w:val="0"/>
                <w:sz w:val="22"/>
                <w:szCs w:val="22"/>
                <w:highlight w:val="none"/>
                <w:lang w:bidi="ar"/>
              </w:rPr>
              <w:t>单位</w:t>
            </w:r>
          </w:p>
        </w:tc>
        <w:tc>
          <w:tcPr>
            <w:tcW w:w="8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39A78">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w:t>
            </w:r>
          </w:p>
        </w:tc>
      </w:tr>
      <w:tr w14:paraId="52A1EB99">
        <w:tblPrEx>
          <w:tblCellMar>
            <w:top w:w="0" w:type="dxa"/>
            <w:left w:w="108" w:type="dxa"/>
            <w:bottom w:w="0" w:type="dxa"/>
            <w:right w:w="108" w:type="dxa"/>
          </w:tblCellMar>
        </w:tblPrEx>
        <w:trPr>
          <w:trHeight w:val="288" w:hRule="atLeast"/>
        </w:trPr>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A70AA">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18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E592C">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数据汇聚处理平台</w:t>
            </w:r>
          </w:p>
        </w:tc>
        <w:tc>
          <w:tcPr>
            <w:tcW w:w="1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456CA">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8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0C190">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套</w:t>
            </w:r>
          </w:p>
        </w:tc>
      </w:tr>
      <w:tr w14:paraId="4F54EEB8">
        <w:tblPrEx>
          <w:tblCellMar>
            <w:top w:w="0" w:type="dxa"/>
            <w:left w:w="108" w:type="dxa"/>
            <w:bottom w:w="0" w:type="dxa"/>
            <w:right w:w="108" w:type="dxa"/>
          </w:tblCellMar>
        </w:tblPrEx>
        <w:trPr>
          <w:trHeight w:val="288" w:hRule="atLeast"/>
        </w:trPr>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382C9">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w:t>
            </w:r>
          </w:p>
        </w:tc>
        <w:tc>
          <w:tcPr>
            <w:tcW w:w="18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69C76">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数据资源服务平台</w:t>
            </w:r>
          </w:p>
        </w:tc>
        <w:tc>
          <w:tcPr>
            <w:tcW w:w="1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7D1B8">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8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CAF08">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套</w:t>
            </w:r>
          </w:p>
        </w:tc>
      </w:tr>
      <w:tr w14:paraId="023E0805">
        <w:tblPrEx>
          <w:tblCellMar>
            <w:top w:w="0" w:type="dxa"/>
            <w:left w:w="108" w:type="dxa"/>
            <w:bottom w:w="0" w:type="dxa"/>
            <w:right w:w="108" w:type="dxa"/>
          </w:tblCellMar>
        </w:tblPrEx>
        <w:trPr>
          <w:trHeight w:val="288" w:hRule="atLeast"/>
        </w:trPr>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E1F07">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w:t>
            </w:r>
          </w:p>
        </w:tc>
        <w:tc>
          <w:tcPr>
            <w:tcW w:w="18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E2A92">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一人一档集成贯通平台</w:t>
            </w:r>
          </w:p>
        </w:tc>
        <w:tc>
          <w:tcPr>
            <w:tcW w:w="1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0A917">
            <w:pPr>
              <w:widowControl/>
              <w:spacing w:line="360" w:lineRule="auto"/>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8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0C22B">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套</w:t>
            </w:r>
          </w:p>
        </w:tc>
      </w:tr>
    </w:tbl>
    <w:p w14:paraId="20430E01">
      <w:pPr>
        <w:rPr>
          <w:rFonts w:hint="eastAsia" w:ascii="仿宋" w:hAnsi="仿宋" w:eastAsia="仿宋" w:cs="仿宋"/>
          <w:color w:val="auto"/>
          <w:sz w:val="22"/>
          <w:szCs w:val="22"/>
          <w:highlight w:val="none"/>
        </w:rPr>
      </w:pPr>
    </w:p>
    <w:p w14:paraId="4B447E76">
      <w:pPr>
        <w:keepLines/>
        <w:spacing w:line="360" w:lineRule="auto"/>
        <w:ind w:left="420"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2.3.技术参数</w:t>
      </w:r>
    </w:p>
    <w:tbl>
      <w:tblPr>
        <w:tblStyle w:val="20"/>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54"/>
        <w:gridCol w:w="849"/>
        <w:gridCol w:w="1077"/>
        <w:gridCol w:w="7268"/>
      </w:tblGrid>
      <w:tr w14:paraId="58E4C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A40C8">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子系统</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8F02B">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一级模块</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CEB57">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二级模块</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35F850">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功能点描述</w:t>
            </w:r>
          </w:p>
        </w:tc>
      </w:tr>
      <w:tr w14:paraId="3DD60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4906D1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数据汇聚处理平台</w:t>
            </w:r>
          </w:p>
        </w:tc>
      </w:tr>
      <w:tr w14:paraId="5E555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A86BD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数据汇聚</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9221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资源管理</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3A1E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资源管理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6070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提供应用系统的注册实施服务，本次接入不少于40个应用系统的注册。</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提供应用系统的列表式管理和详情信息查看，详情内容包括应用系统编号、应用系统名称、系统在用标识、上线日期、下线日期、分类代码、认证级别、架构类型、业务使用场景、访问地址、备注说明、事权单位、管理单位、承建单位、运维单位信息。</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提供应用系统按编号、名称、分类代码等的筛选查询。</w:t>
            </w:r>
          </w:p>
        </w:tc>
      </w:tr>
      <w:tr w14:paraId="390ABA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0D56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5286D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B98A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BAC2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提供数据库的注册实施服务，本次接入不少于80个数据库的注册。</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库管理提供数据汇聚与下发的汇聚库、接收库注册、启用、停用、修改、删除的生命周期管理及列表式展示，展示字段内容包括库名称、库编码、所属应用系统、数据库IP、库类型、业务库分类、库版本、运行状态、管理人、联系方式、数据来源、读取方式。提供按数据库名称的查询检索及按数据库类型、业务库分类的筛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可对注册的数据库信息进行修改，并查看数据库详情信息。</w:t>
            </w:r>
          </w:p>
        </w:tc>
      </w:tr>
      <w:tr w14:paraId="016DD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2F964F">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6487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任务管理</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F91D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任务管理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B720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下发任务的整体健康状况的监控，可查看任务名称、任务执行状态、服务器IP、对账大类、对账小类、对账方法、所属系统、任务分类、最后状态、时长、任务的最后执行时间、下次执行时间、是否并发、corn表达式。</w:t>
            </w:r>
          </w:p>
        </w:tc>
      </w:tr>
      <w:tr w14:paraId="2B975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A367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DE62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75C7FF">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3261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提供查看任务的每次执行日志情况，日志内容包括任务名称、执行IP、每次任务创建时间、执行状态、类型、任务批次、同步总数、重复数、严重不通过数据、消耗时间等情况。</w:t>
            </w:r>
          </w:p>
        </w:tc>
      </w:tr>
      <w:tr w14:paraId="4B314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B3A812">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69B9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策略管理</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6262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策略管理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C9BE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提供数据下发作业的策略配置功能，支持基于数据处理工具组件包括类型转换、唯一性设置、字段选择、条件过滤、时间转换等组件配置下发策略配置。</w:t>
            </w:r>
          </w:p>
        </w:tc>
      </w:tr>
      <w:tr w14:paraId="75B26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3A9A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F89F7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94B06C">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D7B1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对于周期性下发任务，提供任务下发的周期性执行配置。支持下发策略的列表展示，展示内容包括作业名称、作业类型、执行周期、运行状态、审核状态、执行次数、最新执行时间、创建人、创建时间。</w:t>
            </w:r>
          </w:p>
        </w:tc>
      </w:tr>
      <w:tr w14:paraId="263EF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79E9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数据接入</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5690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数据探查</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2674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接入方式探查</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3073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提供数据库接入方式的探查实施服务，本次对接入的不少于80个数据库的接入进行接入方式探查。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支持在数据接入前通过多种手段和技术对网络环境进行探查，侦测数据库的链接情况。</w:t>
            </w:r>
          </w:p>
        </w:tc>
      </w:tr>
      <w:tr w14:paraId="26F8D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6685D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ACD1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2676B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D53A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对数据所存储的系统类型进行探查，包括网络文件系统、分布式文件系统、关系型或非关系型数据库、文件共享服务器等。</w:t>
            </w:r>
          </w:p>
        </w:tc>
      </w:tr>
      <w:tr w14:paraId="6B6422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E8D95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1DA7C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BCF449">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A18C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对数据在存储系统中的存储位置情况进行探查，如文件系统类型、网络地址、文件路径等和数据库类型、数据库名、表名等。</w:t>
            </w:r>
          </w:p>
        </w:tc>
      </w:tr>
      <w:tr w14:paraId="171C6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1594C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157D4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CA573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AD6F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梳理数据源的访问的账号、密码、接口要求等。</w:t>
            </w:r>
          </w:p>
        </w:tc>
      </w:tr>
      <w:tr w14:paraId="701CA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AFAC1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86927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C0C2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1F97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包括被动接收和主动拉取两种数据获取方式。</w:t>
            </w:r>
          </w:p>
        </w:tc>
      </w:tr>
      <w:tr w14:paraId="4ACE3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A345F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7E61F3">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12B2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业务探查</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80EE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提供对汇聚库外部接入表的业务探查实施服务，本次对接入的不少于200类数据进行业务探查。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探查记录数据的来源单位、所属应用系统、业务含义描述、表关联关系等内容，支撑对数据业务属性的理解和逻辑关联关系进行分析，帮助更准确的理解和把握数据。所属应用系统探查描述当前数据集来源的所属业务系统，业务探査可利用智能分析等技术，对来源数据及与已有的业务数据集进行相似性分析，通过相似度结果来确定数据集的业务含义。</w:t>
            </w:r>
          </w:p>
        </w:tc>
      </w:tr>
      <w:tr w14:paraId="329AD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1B64F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1F3A09">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7BE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宋体" w:hAnsi="宋体" w:eastAsia="宋体" w:cs="宋体"/>
                <w:color w:val="FF0000"/>
                <w:kern w:val="0"/>
                <w:sz w:val="22"/>
                <w:lang w:bidi="ar"/>
              </w:rPr>
              <w:t>★</w:t>
            </w:r>
            <w:r>
              <w:rPr>
                <w:rFonts w:hint="eastAsia" w:ascii="宋体" w:hAnsi="宋体" w:cs="宋体"/>
                <w:color w:val="FF0000"/>
                <w:kern w:val="0"/>
                <w:sz w:val="22"/>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字段探查</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4C37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提供对汇聚库外部接入表的字段探查实施服务，本次对接入的不少于200类数据进行字段探查。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字段探查包括空置率探查、值域与分布探查、数据元探查、类型与格式探查、命名实体探查。通过字段探查可了解数据的质量情况，为数据的标准化治理及数据组织应用提供支撑。</w:t>
            </w:r>
          </w:p>
        </w:tc>
      </w:tr>
      <w:tr w14:paraId="367F9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63EEB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9BA1F4">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B9A6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数据集探查</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2F7BD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提供对汇聚库外部接入表的数据集探查实施服务，本次对接入的不少于200类数据进行数据集探查。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1、数据集标准探查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通过对数据集表名称的文本语义分析，与标准数据集名称进行对比分析，结合来源表引用标准数据元的情况，探查数据集与标准数据集的匹配情况。支持推荐来源表对应的标准数据集。</w:t>
            </w:r>
          </w:p>
        </w:tc>
      </w:tr>
      <w:tr w14:paraId="5E804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A700D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05553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0ABD1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3679E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2、数据集规模探查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通过多种方式对数据集的数据规模进行调查,通过现场调研、接口等方式获取探查数据的数据总量、 增量、更新频度等情况。探查探査结果包括：数据集名称、数据总量（条数）、数据总存储量、平均增量（条数）、平均存储量、 存储周期、更新周期、更新日期等。</w:t>
            </w:r>
          </w:p>
        </w:tc>
      </w:tr>
      <w:tr w14:paraId="65545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8331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ED928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AFBC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问题数据探查</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19F9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提供对汇聚库外部接入表的问题数据探查实施服务，本次对不少于80类数据进行问题数据探查。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通过数据质量模块提供问题数据的探查功能，探查字段中不合理的信息，为后续数据清洗规则的制定提供依据。探查问题分类包括代码字典表问题、数据类型问题、数据值逻辑问题、归一化原则问题、数据格式问题、必填项为空等。</w:t>
            </w:r>
          </w:p>
        </w:tc>
      </w:tr>
      <w:tr w14:paraId="0E558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E6DE0D">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DAD3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数据定义</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499C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数据格式定义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4B72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提供对汇聚库外部接入表的数据格式定义实施服务，本次对接入的不少于200类数据进行数据格式定义。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原始字段项与标准数据元映射关系的定义通过数据元对标操作，明确源数据中各原始字段项与标准数据元的对应关系，获取标准数据元的中文名称、英文名称、数据类型、表示格式等信息，支撑在原始库建表过程中根据对标情况对表字段项做标准化处理。</w:t>
            </w:r>
          </w:p>
        </w:tc>
      </w:tr>
      <w:tr w14:paraId="0B892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9A326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0B0AC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D89795">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147E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原始字典代码集与规范化字典代码集映射关系的定义通过代码集对标操作，明确源数据使用的原始字典代码集（值）与标准数据元使用的规范化字典代码集（值）之间的对应关系。</w:t>
            </w:r>
          </w:p>
        </w:tc>
      </w:tr>
      <w:tr w14:paraId="657D0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F56E3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1303FD">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D7E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资源目录注册</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5948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提供资源目录注册的实施服务，对本次接入的不少于200类数据进行资源目录的注册。</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根据数据格式定义的结果，应按照GA/DSJ 230-2019 《数据资源目录技术规范》及GA/DSJ 290-2019 《数据资源目录管理规程》的要求，将数据资源注册到数据资源目录中。数据资源的注册还包括数据项的注册，在注册的过程中要做到资源保持一致性。</w:t>
            </w:r>
          </w:p>
        </w:tc>
      </w:tr>
      <w:tr w14:paraId="0F60F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D36A2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3CE1FC">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C75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数据分级分类定义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0690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提供数据分级分类的实施服务，对本次接入的对本次接入的不少于200类数据进行分级分类定义。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按照GA/DSJ 231-2019 《数据分级分类技术规范》和GA/DSJ 230-2019《数据资源目录技术规范》的要求，定义数据项的字段性质分类和字段敏感度分类。为不同角色的权限访问控制。</w:t>
            </w:r>
          </w:p>
        </w:tc>
      </w:tr>
      <w:tr w14:paraId="5A4F0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431A9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4FC55">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1796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数据清洗定义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6103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提供数据清洗定义的实施服务，对本次接入的不少于200类数据进行数据清洗定义。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数据过滤定义：根据业务需要，基于垃圾数据判定规则和处理动作。</w:t>
            </w:r>
          </w:p>
        </w:tc>
      </w:tr>
      <w:tr w14:paraId="65F0B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C9AA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BAECC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0F461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5EFD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数据去重定义：根据数据实际业务情况，判定数据重复的字段及判定内容重复的计算条件，选择去重时间范围，并对重复数据进行处理，主要处理方式包括丢弃、进入问题库。</w:t>
            </w:r>
          </w:p>
        </w:tc>
      </w:tr>
      <w:tr w14:paraId="5DDCE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429DF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D2357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3D1E6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1FAD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数据格转定义：重描述结构化数据的格转方式，包括代码转换、从前往后截断、从后往前截断、 日期格式转换、时间格式转换、IP地址转换、身份证号码归一化、手机号码归一化、MAC地址转换等。</w:t>
            </w:r>
          </w:p>
        </w:tc>
      </w:tr>
      <w:tr w14:paraId="4D2D2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A171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87252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893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数据关联定义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42B5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提供数据关联定义的实施服务，对本次接入数据根据需求进行关联定义。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业务需求，定义数据的关联策略，为后续的关联回填、关联提取提供策略支撑。描述需要进行关联回填的数据资源，提供回填字段的数据资源，回填数据资源中目的字段与依赖数据资源中来源字段之间的关联关系及回填规则。</w:t>
            </w:r>
          </w:p>
        </w:tc>
      </w:tr>
      <w:tr w14:paraId="0587C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5DAE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FD07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E6AD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数据比对定义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C1A3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提供数据比对定义的实施服务，对本次接入数据根据需求进行比对定义。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按照业务需求，定义数据的比对策略，即明确比对源与比对目标之间的比对条件。</w:t>
            </w:r>
          </w:p>
        </w:tc>
      </w:tr>
      <w:tr w14:paraId="030B0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E0D99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CAFBA">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305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数据标识定义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CC2A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提供数据标识定义的实施服务，对本次接入数据根据需求进行标识定义。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按照业务需求，定义数据的标识策略，明确数据标识时所使用的标签规则。</w:t>
            </w:r>
          </w:p>
        </w:tc>
      </w:tr>
      <w:tr w14:paraId="5133F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6C62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4BD7CD">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B977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数据分发定义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F209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提供数据分发定义的实施服务，对本次接入的不少于200类数据根据进行分发定义。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根据不同应用场景下的数据分发需求，定义数据的分发策略。支持描述目的数据库的访问方式。</w:t>
            </w:r>
          </w:p>
        </w:tc>
      </w:tr>
      <w:tr w14:paraId="21A6D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C5F41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00988">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D2C4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数据质量定义</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FB88C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提供数据质量定义的实施服务，对本次接入数据根据需求进行质量定义。</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数据质量定义描述质量核检规则所使用的策略，主要包括核检内容（完整性检测、有效性检测、唯一性检测、接入及时性检测）、核检范围（全量核检或抽样核检，是否全量）、核检数据抽样规则。</w:t>
            </w:r>
          </w:p>
        </w:tc>
      </w:tr>
      <w:tr w14:paraId="07AC6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AAA02">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041E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数据读取</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D974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宋体" w:hAnsi="宋体" w:eastAsia="宋体" w:cs="宋体"/>
                <w:color w:val="FF0000"/>
                <w:kern w:val="0"/>
                <w:sz w:val="22"/>
                <w:lang w:bidi="ar"/>
              </w:rPr>
              <w:t>★</w:t>
            </w:r>
            <w:r>
              <w:rPr>
                <w:rFonts w:hint="eastAsia" w:ascii="宋体" w:hAnsi="宋体" w:cs="宋体"/>
                <w:color w:val="FF0000"/>
                <w:kern w:val="0"/>
                <w:sz w:val="22"/>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多源数据接入适配</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7C8D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1、数据库适配</w:t>
            </w:r>
          </w:p>
        </w:tc>
      </w:tr>
      <w:tr w14:paraId="2D473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8E041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DCFC7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E935F9">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F160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数据源配置实现数据资源库的接入和整合，建立原始库、标准库、临时库、问题库，数据接入阶段主要实现外部数据资源到原始库的全量接入，也有部分数据直接接入到标准库。系统应支持传统关系数据库、Mpp数据库、Hbase、Hive、全文库、云数据库等多种数据库数据获取与加载，支持选择注册不同类型的数据库，能注册各类新的数据库，具体可以注册的数据类型包括：Hadoop（Hbase、HDFS）以及第三方的MPP数据库。</w:t>
            </w:r>
          </w:p>
        </w:tc>
      </w:tr>
      <w:tr w14:paraId="15FED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F8AC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0A7A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574325">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3C19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能够支持对数据进行实时/流式/批量/文件线持续的同步，并能够对数据同步进行细粒度多周期的调度、更新和管理，能够监控和管理数据采集流程。针对海量大数据，支持超大带宽的、高并发、多任务的高速数据采集和加载。</w:t>
            </w:r>
          </w:p>
        </w:tc>
      </w:tr>
      <w:tr w14:paraId="2C2D9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08DAF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5306E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65FBD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4AA8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2、文件数据适配</w:t>
            </w:r>
          </w:p>
        </w:tc>
      </w:tr>
      <w:tr w14:paraId="57AB4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7E780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DC8E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89EAB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A615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文件适配监控输入目录，在产生新的数据文件时，文件适配器打开新的数据文件，按照不同格式的文件分别处理。文件适配器支持.txt，.xls，.csv，.json等。</w:t>
            </w:r>
          </w:p>
        </w:tc>
      </w:tr>
      <w:tr w14:paraId="4A574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8A97E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8362B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1905E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EB0A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3、消息数据适配</w:t>
            </w:r>
          </w:p>
        </w:tc>
      </w:tr>
      <w:tr w14:paraId="6B917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07BF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7200C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AF93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1950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消息队列数据接入采用流式处理方式，顺序读取消息队列中的信息，并执行对应的处理。</w:t>
            </w:r>
          </w:p>
        </w:tc>
      </w:tr>
      <w:tr w14:paraId="45ABE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1F391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47A1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7B9286">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5B867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4、接口数据适配</w:t>
            </w:r>
          </w:p>
        </w:tc>
      </w:tr>
      <w:tr w14:paraId="40532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2F69A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583B8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45292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EF0C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接口适配按照系统配置，定时调用指定接口获取数据资源。接口适配支持各种接口格式，包括Socket、RPC、SOAP、REST、Corba、RMI等。</w:t>
            </w:r>
          </w:p>
        </w:tc>
      </w:tr>
      <w:tr w14:paraId="71754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0C225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89C65E">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55B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异构数据接入适配</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699E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主要指的是公安内部各业务警种已掌握的非结构化类型的数据资源（包括图片等），由于其资源结构的差异化，无法通过传统技术手段对数据内容进行量化与分析，因此各对于多媒体数据都采用独立的技术架构进行整合/存取/应用。</w:t>
            </w:r>
          </w:p>
        </w:tc>
      </w:tr>
      <w:tr w14:paraId="597D4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53701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F8D5A">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2EE1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接入模式配置</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D0B2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支持按全量数据接入、按时间增量接入、按表自增ID接入等多种接入模式，支持被动接收和主动拉取两种数据获取方式。</w:t>
            </w:r>
          </w:p>
        </w:tc>
      </w:tr>
      <w:tr w14:paraId="3890E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3538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54957B">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D2ACA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规则管理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28B2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建立完善的数据接入标准化模块管理体系，包含各类标准化模块生成、策略管理、任务配置、任务调度、状态监控、日志规则管理等。</w:t>
            </w:r>
          </w:p>
        </w:tc>
      </w:tr>
      <w:tr w14:paraId="3E3778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F79E7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C5B1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12D3DF">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EBC8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各类多源异构数据接入的不同功能模块做规范化统一管理，生成标准化模块组件。如读取文件方式标准化组件、关系型数据库读取标准化组件、各类非关系型数据库读取标准化组件、消息队列数据读取标准化组件、服务接口数据读取标准化组件等。</w:t>
            </w:r>
          </w:p>
        </w:tc>
      </w:tr>
      <w:tr w14:paraId="61BD2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C7013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5B40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15AC7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A24F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支持数据读取策略的自定义配置，包括数据选取哪个标准化模块组件来读取、标准化读取模块的配置参数（数据位置、账号密码、全量增量方式等）等。</w:t>
            </w:r>
          </w:p>
        </w:tc>
      </w:tr>
      <w:tr w14:paraId="53FEB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50CB0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C032B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90E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数据解压</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0713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支持对做过压缩、打包的数据做解压操作；能够支持对常见压缩算法压缩打包格式文件的解压，包含但不仅限于GZIP、LZ4、RAR、ZIP、TAR 等。</w:t>
            </w:r>
          </w:p>
        </w:tc>
      </w:tr>
      <w:tr w14:paraId="56A06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07B2F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22DB3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B78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记录ID生成</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5CF1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生成作用于数据全生命周期、全局唯一的主记录ID,并建立主记录，不同数据组织（数据库、 数据表）中，记录ID的生成方法不同。原始库的主记录ID可根据多个字段值和数据属性组合后按照公安大数据平台统一散列算法（如MD5）计算的方式生成， 选取的字段和数据属性由数据定义阶段定义，应确保主记录ID不重复。 字段选取原则可参考： a）主键优先选取（如果存在主键）； b）必填字段优先选取； c）时间戳字段优先选取。</w:t>
            </w:r>
          </w:p>
        </w:tc>
      </w:tr>
      <w:tr w14:paraId="09170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BB7E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05DDA">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157D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统一字符集转换</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8AC9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数据读取能够将被读取数据的字符集统一转换为内部使用的字符集。</w:t>
            </w:r>
          </w:p>
        </w:tc>
      </w:tr>
      <w:tr w14:paraId="2D97D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0278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336268">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C456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数据解密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3A04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支持对加密数据进行解密读取，包括对称加密、非对称加密。</w:t>
            </w:r>
          </w:p>
        </w:tc>
      </w:tr>
      <w:tr w14:paraId="059A1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F89E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037E0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827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数据输出适配</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FD39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支持关系型数据库、列存储数据库、分布式数据库、全文索引库等的输出适配。</w:t>
            </w:r>
          </w:p>
        </w:tc>
      </w:tr>
      <w:tr w14:paraId="4B1FA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132A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BCFE21">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CFE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数据存储管理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1265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支持对原始数据存储进行配置配置管理；</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支持对原始数据备份的备份策略进行配置管理。</w:t>
            </w:r>
          </w:p>
        </w:tc>
      </w:tr>
      <w:tr w14:paraId="38699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CA9A75">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2ED56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数据对账</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407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数据接入对账</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3E21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针对数据接入环节，支持根据不同的数据来源，对数据接入日志进行存储，并保证日志数据完整性，数据不丢失，主要对数据对账分析提供支撑。支持基于数据接入日志读取，对不同数据来源的每个任务的每个任务批次数据提供方读取数据量和数据接入方同步数据量进行及时对账，保障每个任务批次源端与目的端数据量的一致性。数据接入即时对账字段需包括任务批次、同步总数、同步数、重复数、验证不通过数、错误数、消耗时间、任务名称、执行IP、创建时间、状态、类型字段。</w:t>
            </w:r>
          </w:p>
        </w:tc>
      </w:tr>
      <w:tr w14:paraId="24D51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303E5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E2D9CC">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DB19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数据分发对账</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0285F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1、数据分发总量对账</w:t>
            </w:r>
          </w:p>
        </w:tc>
      </w:tr>
      <w:tr w14:paraId="17F20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50FE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4FBA3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22737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F688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接入方在数据入库后，数据资源可以进行完整的数据总量统计分析，支持根据提前指定好的对账策略（定时策略、间隔策略）进行数据提供方和数据接入方的同步数据资源的数据总量对账分析。数据分发总量对账字段需包括外部资源名称、外部资源数据表名、外部资源数据量、原始资源数据名称、原始资源数据表名、原始资源数据量、统计日期、数据量差值等字段。</w:t>
            </w:r>
          </w:p>
        </w:tc>
      </w:tr>
      <w:tr w14:paraId="6DF98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08906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CCE9C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927C93">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DD5E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2、数据分发每日对账</w:t>
            </w:r>
          </w:p>
        </w:tc>
      </w:tr>
      <w:tr w14:paraId="721EC2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FCCD2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C0AA8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66A065">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D57F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根据提前指定好的对账策略（定时策略、间隔策略）进行数据提供方和数据接入方的同步数据资源的每日数据量对账分析。对于数据提供方外部数据资源历史数据有删除的数据，通过总量对账已不能反应数据同步的实际一致性情况，可以通过每日数据量对账验证上一日的数据同步一致性问题。另外在数据分发总量不一致时，可以通过每日对账分析具体是哪一天的数据不一致导致的总量数据异常，便于发现数据问题。数据分发每日对账字段需包括外部资源名称、外部资源数据表名、外部资源数据量、原始资源数据名称、原始资源数据表名、原始资源数据量、统计日期、数据量差值等字段。</w:t>
            </w:r>
          </w:p>
        </w:tc>
      </w:tr>
      <w:tr w14:paraId="4A7EA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E2DF1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B12236">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6374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 xml:space="preserve">★ </w:t>
            </w:r>
            <w:r>
              <w:rPr>
                <w:rFonts w:hint="eastAsia" w:ascii="仿宋" w:hAnsi="仿宋" w:eastAsia="仿宋" w:cs="仿宋"/>
                <w:i w:val="0"/>
                <w:iCs w:val="0"/>
                <w:color w:val="auto"/>
                <w:kern w:val="0"/>
                <w:sz w:val="22"/>
                <w:szCs w:val="22"/>
                <w:highlight w:val="none"/>
                <w:u w:val="none"/>
                <w:lang w:val="en-US" w:eastAsia="zh-CN" w:bidi="ar"/>
              </w:rPr>
              <w:t>唯一键对账回填</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9F6F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提供唯一键对账回填的实施服务，对接入的200类数据，根据分发对账不一致情况及实际需求进行唯一键对账回填。</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基于数据分发总量对账发现数据的不一致问题后，支持通过唯一键对账分析数据同步源端表与目标表具体差异数据的唯一键，然后通过唯一键回填目标表，保持目标表与源端表数据的一致性。支持唯一键对账设置，系统能自动提取源端表与目标表的主键作为唯一键进行对账；支持展示源端表与目的表的共同字段，可自定义选择字段作为唯一键进行对账，共同展示字段包括字段名称、字段类型、主键、唯一键、索引信息。</w:t>
            </w:r>
          </w:p>
        </w:tc>
      </w:tr>
      <w:tr w14:paraId="3432D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E94D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96EBF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B7B6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11AA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以对账日志形式输出唯一键对账的历史对账信息，展示字段信息包括输入表名、输入多出数量、输出表名、执行状态、消耗时间、执行时间、执行信息。通过输入多出数量和输出多出数量可查看具体的源端表与目的表的差异数据，进行数据回填保障数据同步的一致性。</w:t>
            </w:r>
          </w:p>
        </w:tc>
      </w:tr>
      <w:tr w14:paraId="07B05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728B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数据处理</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5F12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数据提取</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DF55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 xml:space="preserve">★ </w:t>
            </w:r>
            <w:r>
              <w:rPr>
                <w:rFonts w:hint="eastAsia" w:ascii="仿宋" w:hAnsi="仿宋" w:eastAsia="仿宋" w:cs="仿宋"/>
                <w:i w:val="0"/>
                <w:iCs w:val="0"/>
                <w:color w:val="auto"/>
                <w:kern w:val="0"/>
                <w:sz w:val="22"/>
                <w:szCs w:val="22"/>
                <w:highlight w:val="none"/>
                <w:u w:val="none"/>
                <w:lang w:val="en-US" w:eastAsia="zh-CN" w:bidi="ar"/>
              </w:rPr>
              <w:t>数据提取</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CEFD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提供数据提取的实施服务，对接入的200类数据，按照治理需求提取转换为目的格式的数据。</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根据数据定义，从源格式数据中提取出目的格式数据。提取的来源和目的数据格式均为结构化数据，根据数据组织或业务需要进行数据的转换及整合，获得按照目的数据格式组织的数据。结构化数据提取根据数据组成结构并按照业务需要进行数据的转换及整合，获得按照目的数据格式组织的数据。</w:t>
            </w:r>
          </w:p>
        </w:tc>
      </w:tr>
      <w:tr w14:paraId="0BBA6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6A444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6DC98">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EA0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非结构化提取</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AB65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非结构化数据提取从文本数据中提取姓名、公民身份证号码、手机号、车牌号等要素信息提高数据价值密度。</w:t>
            </w:r>
          </w:p>
        </w:tc>
      </w:tr>
      <w:tr w14:paraId="7250F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ED60A1">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31EE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数据清洗</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DAC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过滤</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0E90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提供数据过滤的实施服务，对接入的200类数据，按照治理需求配置过滤操作。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通过对信息进行辨别和分离，实现冗余信息及垃圾信息的滤除。基于数据标准和过滤规则，对不合标准及规则的数据进行过滤，对垃圾信息进行辨别和分离。被识别为冗余或垃圾信息的数据可以直接滤除，或标识后照常处理并交由后端模块判断如何进一步处理。</w:t>
            </w:r>
          </w:p>
        </w:tc>
      </w:tr>
      <w:tr w14:paraId="46C6E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9A0C0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5C3486">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9C9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去重</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CB36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提供数据去重的实施服务，对接入的200类数据，按照治理需求配置去重操作。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根据不同场景下数据重复的不同判别规则，以及合并、清除策略，对判定为重复的数据进行合并或清除处理。支持根据数据定义环节定义好的重复规则判定结构化数据是否重复，如果数据重复，则直接滤除或者进入问题库。</w:t>
            </w:r>
          </w:p>
        </w:tc>
      </w:tr>
      <w:tr w14:paraId="5E0D8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B3D2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4846D">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320D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格转</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F39D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提供数据格转的实施服务，对接入的200类数据，按照治理需求配置格转操作。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转换的过程包括数据格式转换、代码转换和值转换。数据源多样，这些数据库当初在建立的过程中并没有考虑到统一数据格式或者代码规范，为了保证资源库数据的规范和一致，有必要在数据整合过程中对数据进行相应的转换。例如，将人员的出生日期统一为八位的字符日期的转换属于格式转换，将人员的性别数据统一转换为国标性别代码为代码转换，将人的身份证号统一转换为18位的身份证号为值转换。</w:t>
            </w:r>
          </w:p>
        </w:tc>
      </w:tr>
      <w:tr w14:paraId="41580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805C5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37B3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A9B57E">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6E47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本系统转换分为：类型转换、字段选择、列拆分、列合并、字符串剪切、码表转换、文件解析、时间转换、字符替换、大小写转换等。</w:t>
            </w:r>
          </w:p>
        </w:tc>
      </w:tr>
      <w:tr w14:paraId="77374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B2CB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D72627">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487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校验</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DB40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提供数据校验的实施服务，对接入的200类数据，按照治理需求配置校验操作。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数据校验对符合标准的数据直接入库，不符合标准的数据需支持进入问题数据库进行后续的分析处理。本系统校验分为：身份证校验、非空校验、正则校验、长度校验、数值校验、时间检验、码表校验。</w:t>
            </w:r>
          </w:p>
        </w:tc>
      </w:tr>
      <w:tr w14:paraId="1FEB5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99982B">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03D4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数据关联</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B7A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关联回填</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1D6A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提供关联回填的实施服务，对接入的200类数据，根据数据资源实际情况和关联需求配置关联回填操作。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支持将不完备的日志数据与知识数据等根据场景进行关联，并将关联的要素等信息回填到日志，提升数据的关联及价值。如：认证账号关联、手机注册信息关联、活动场所关联等。</w:t>
            </w:r>
          </w:p>
        </w:tc>
      </w:tr>
      <w:tr w14:paraId="37D1F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CA6DD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F9760F">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DDA9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关联提取</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1888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提供关联提取的实施服务，对接入的200类数据，根据数据资源要素情况提取关联要素。</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根据提取规则，对各类原始数据资源中所涉及的关键要素的时空关系及关联进行提取。</w:t>
            </w:r>
          </w:p>
        </w:tc>
      </w:tr>
      <w:tr w14:paraId="61858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644CD7">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FE82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数据分发</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DDA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数据分发</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49B37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在完成数据提取、清洗、关联、比对和标识之后，根据不同应用场景，按照数据组织规划的原始库、资源库、主题库、知识库、业务库建设策略，将处理过程中产生的关联、关系、标签等信息以及数据本身信息进行数据同步处理。数据分发包括任务调度、数据分发、任务监控等功能。</w:t>
            </w:r>
          </w:p>
        </w:tc>
      </w:tr>
      <w:tr w14:paraId="09CCD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586E3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24CF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FFA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作业管理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D759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支持数据处理作业的新增注册、审批、开启作业、停止作业、作业删除管理，支持作业与画布的关联，提供人工干预任务执行服务功能。支持作业筛选查询。</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提供作业的优先级策略、重试次数等作业配置。</w:t>
            </w:r>
          </w:p>
        </w:tc>
      </w:tr>
      <w:tr w14:paraId="34053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02D8F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70BA47">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875F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预检调试</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3748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提供任务正式分发同步前的预检调试，对数据进行抽样提取，验证数据分发的各个节点是否能够正常运行。</w:t>
            </w:r>
          </w:p>
        </w:tc>
      </w:tr>
      <w:tr w14:paraId="2EEE4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2A4E8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1C94CC">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B77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处理集群管理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49558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监控数据处理集群健康状况，管理集群各节点下的任务运行情况。</w:t>
            </w:r>
          </w:p>
        </w:tc>
      </w:tr>
      <w:tr w14:paraId="4F2C7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453A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F10EF7">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6A4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扁平化上云</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8F59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适配省厅数据对接方式，组织本地数据实现扁平化上云。</w:t>
            </w:r>
          </w:p>
        </w:tc>
      </w:tr>
      <w:tr w14:paraId="4AA8D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BE3A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数据治理</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166A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数据资源目录</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E201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资源分类与编目</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2EC5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提供资源分类与编目的实施服务，对接入的200类数据分别进行数据集编目与数据项编目操作。</w:t>
            </w:r>
          </w:p>
        </w:tc>
      </w:tr>
      <w:tr w14:paraId="20EB1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FCA7A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21E431">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7BB62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0F9F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数据集编目：</w:t>
            </w:r>
          </w:p>
        </w:tc>
      </w:tr>
      <w:tr w14:paraId="75685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61BE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78E4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5F1F8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AB145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数据集编目功能。按照公安大数据处理数据资源目录技术要求的分类规范与编目要求，从资源名称、资源编号、事权单位、管理单位、数据来源分类、数据二级来源分类、获取方式、资源位置、应用系统、行业类别、数据组织一级分类、数据组织二级分类、要素一级分类、要素二级分类、要素细目分类、资源属性分类、存储中心、资源状态、更新周期、存储周期、存量数据记录规模、存量数据存储规模、增量数据记录规模、增量数据存储规模、数据分级、数据资源标识符等方面对数据资源进行多维分类编目。</w:t>
            </w:r>
          </w:p>
        </w:tc>
      </w:tr>
      <w:tr w14:paraId="186DC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102A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D574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C9C46C">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D181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资源编号按照事权单位、行业类别、数据资源要素一级分类、数据资源要素二级分类、数据资源要素细目分类、数据资源属性分类、数据来源二级分类自动生成规范的资源编号。</w:t>
            </w:r>
          </w:p>
        </w:tc>
      </w:tr>
      <w:tr w14:paraId="309C4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48C6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A82D0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F4416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C3C8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数据资源标识符按照所属管理单位自动生成规范化的标识符编号。</w:t>
            </w:r>
          </w:p>
        </w:tc>
      </w:tr>
      <w:tr w14:paraId="6B84F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EEA6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FACA2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76B3DE">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5ADB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数据集编目列表展示与导出功能。支持以列表形式展示所有数据资源的编目信息，展示字段包括数据资源名称、数据资源编号、事权单位、数据来源、数据二级来源分类、获取方式、应用系统、管理单位、数据资源位置、数据存储中心、行业类别、数据组织一级分类、数据组织二级分类、要素一级分类、要素二级分类、要素细目分类、资源属性分类、更新周期、数据资源标识符、资源状态等，并提供列表导出。</w:t>
            </w:r>
          </w:p>
        </w:tc>
      </w:tr>
      <w:tr w14:paraId="409EF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F0D0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6853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3E2FA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1AE9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（3）树形结构筛选功能。支持以树结构形式提供公安要素一级分类、数据组织分类、行业类别等维度的数据集筛选能力。</w:t>
            </w:r>
          </w:p>
        </w:tc>
      </w:tr>
      <w:tr w14:paraId="3A759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D5B9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3F111">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63AB3">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F22C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数据项编目：</w:t>
            </w:r>
          </w:p>
        </w:tc>
      </w:tr>
      <w:tr w14:paraId="060574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C1778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49AB7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0591BC">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6EB9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（1）基于表结构信息一键读取数据资源数据项信息，完成原始数据项的注册与同步管理，同时提供数据项的增加、修改、删除功能。</w:t>
            </w:r>
          </w:p>
        </w:tc>
      </w:tr>
      <w:tr w14:paraId="0E875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A616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AE6E6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5331D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4218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管理维护数据项的编目与管理信息，包括数据项中文名称、英文名称、数据项编号、是否标识项、是否查询条件、是否订阅条件、查询订阅匹配方式、是否必填、字段分类、敏感度分类、是否失效、字段类型、原始字段类型、字段长度、缺省值、码表集、查询模式、查询排序、是否共享、注册时间、更新时间等信息。</w:t>
            </w:r>
          </w:p>
        </w:tc>
      </w:tr>
      <w:tr w14:paraId="734B2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835C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9F5DE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1277D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EFB0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（3）提供资源数据项信息的查询导出功能，按照字段名等条件进行查询及表结构信息的整体导出。</w:t>
            </w:r>
          </w:p>
        </w:tc>
      </w:tr>
      <w:tr w14:paraId="7E372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3263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6682E8">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8CE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D2D3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提供数据资源管理的实施服务，对接入的200类数据提供全生命周期的管理审核操作。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按照部标要求，建立数据资源目录提交、注册、启用、停用、注销等的全生命周期管理。</w:t>
            </w:r>
          </w:p>
        </w:tc>
      </w:tr>
      <w:tr w14:paraId="23C00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969CB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8DDE34">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3D7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数据资源目录</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3E83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提供数据资源、服务资源、算力资源的级联上报管理。</w:t>
            </w:r>
          </w:p>
        </w:tc>
      </w:tr>
      <w:tr w14:paraId="3C54E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326EF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97106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7D2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数据血缘</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F55E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血缘记录数据资源在数据接入、加工融合、流转流通到数据服务过程中形成的血缘继承关系集合。通过对外部数据、原始数据、标准数据、资源主题数据等各类数据资源间的继承关系进行描述和管理，反映数据资源在各个环节的继承关系。基于数据血缘对数据资源进行数据流向分析、溯源和变更影响分析，并提供数据血缘关系的图形化展现。支持向数据资源目录提供服务查询接口提供血缘关系查询。</w:t>
            </w:r>
          </w:p>
        </w:tc>
      </w:tr>
      <w:tr w14:paraId="1C043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A86EB3">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DBAF5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数据分级分类</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FF79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数据分级</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A732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提供数据分级的实施服务，对接入的200类数据进行敏感度分级的配置操作。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按照公安大数据处理数据分级分类相关规范，对数据资源数据项进行敏感级别的划分和管理。通过动态配置不同访问人员、访问角色的分级敏感数据访问权限，实现数据资源访问权限从静态到动态、从粗放到精细的的安全访问管理。支持数据级别权限支持向下兼容，高数据级别权限可访问低级别数据。</w:t>
            </w:r>
          </w:p>
        </w:tc>
      </w:tr>
      <w:tr w14:paraId="1C2DA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2336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3FE3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D107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3BEF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以列表形式对数据资源数据项进行敏感级别的划分和管理，展示所有数据敏感级别分级码表信息，包括码表名称、编码、备注、类型、原始编码、排序等信息。支持对分级码表的修改操作，支持对码表的子类信息维护及修改操作。</w:t>
            </w:r>
          </w:p>
        </w:tc>
      </w:tr>
      <w:tr w14:paraId="651718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11BE8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61B74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544B3">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6277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支持根据敏感级别码表信息，对数据资源数据项进行敏感度分级的配置及批量配置。支持对数据项集的所有数据项进行一键批量的智能分级管理。</w:t>
            </w:r>
          </w:p>
        </w:tc>
      </w:tr>
      <w:tr w14:paraId="1A3E0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A2CAD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DD4DF3">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F77D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数据分类</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1925F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提供数据分类的实施服务，对接入的200类数据进行数据资源分类与字段分类的配置操作。</w:t>
            </w:r>
          </w:p>
        </w:tc>
      </w:tr>
      <w:tr w14:paraId="1139B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31B3C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DA3D2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CC6BB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9DDC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1）数据资源分类</w:t>
            </w:r>
          </w:p>
        </w:tc>
      </w:tr>
      <w:tr w14:paraId="5E7F0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B0C5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634D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8229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B5DC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按照数据项集的属性对数据资源进行分类。在数据资源编目过程中完成对数据资源数据组织一级分类、数据组织二级分类以及数据资源分类标签的分类管理。数据组织一级分类、数据组织二级分类、数据资源分类标签符合GA/DSJ 230-2020的要求。</w:t>
            </w:r>
          </w:p>
        </w:tc>
      </w:tr>
      <w:tr w14:paraId="4DB87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6B1AB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98987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753F9F">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96DF8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2）字段分类</w:t>
            </w:r>
          </w:p>
        </w:tc>
      </w:tr>
      <w:tr w14:paraId="46878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439B5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9A7D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3104D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29B0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按照基本信息、生物特征信息、图片影像信息、文档资料信息、地理位置信息、行为信息、内容信息、系统信息等字段一级分类、字段二级分类对字段进行分类。</w:t>
            </w:r>
          </w:p>
        </w:tc>
      </w:tr>
      <w:tr w14:paraId="50579A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E081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92B09D">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54F8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数据安全级别</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1F6F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提供数据安全级别的实施服务，对接入的200类数据进行安全级别的配置操作。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数据安全级别定级基本原则：数据安全级别是通过数据的分级与数据的分类，与对国家安全、社会秩序、公共利益以及公民、法人和其他组织造成侵害程度的不同来综合确定。</w:t>
            </w:r>
          </w:p>
        </w:tc>
      </w:tr>
      <w:tr w14:paraId="3134B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FABC5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BDD3F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B2A6A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8FBF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数据分级包括公开、一般、重要、特殊共四种级别，分别对应不同安全级别。</w:t>
            </w:r>
          </w:p>
        </w:tc>
      </w:tr>
      <w:tr w14:paraId="3AFC7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D6B0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BD4C39">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BBC7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数据权限控制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20BD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数据资源分类权限控制：数据项集级权限控制，当不满足权限要求时，所有和该种类相关的数据项集均不得作为返回结果;</w:t>
            </w:r>
          </w:p>
        </w:tc>
      </w:tr>
      <w:tr w14:paraId="39E12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B7C3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562F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25A2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8142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字段分类和是字段级权限控制：当某字段不满足权限要求时，相关字段不能作为返回结果。</w:t>
            </w:r>
          </w:p>
        </w:tc>
      </w:tr>
      <w:tr w14:paraId="6C50D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6F0FB4">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22E8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数据质量</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35693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样例数据采集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B9A68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在样例数据釆集方面，应支持全量釆集和抽样釆集两种方式：</w:t>
            </w:r>
          </w:p>
        </w:tc>
      </w:tr>
      <w:tr w14:paraId="47A66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8D4A0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175B2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45931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1F2A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1）全量釆集：指的是釆集存储对象（数据表或数据文件）中的全部数据；</w:t>
            </w:r>
          </w:p>
        </w:tc>
      </w:tr>
      <w:tr w14:paraId="32C53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79F6C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8ADD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22F3D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668F5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2）抽样釆集：指的是按照抽样规则，釆集存储对象（数据表或数据文件）中的部分数据。</w:t>
            </w:r>
          </w:p>
        </w:tc>
      </w:tr>
      <w:tr w14:paraId="424C8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A7EC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1F9478">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9D6D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数据质量检核流程</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2C49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一套基于“模型——方案”的数据质量规则构建模型，系统预先定义了涵盖身份证验证、非空验证、手机号码验证、时间检验、码表检验、唯一性验证、格式验证、及时性验证等多种规则在内的数据质量检查模型。建立函盖数据完整性、有效性、正确性、唯一性、及时性的数据质量评估体系。</w:t>
            </w:r>
          </w:p>
        </w:tc>
      </w:tr>
      <w:tr w14:paraId="2EB19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9136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C1F14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A393C1">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48A9F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基于已建数据质量业务规则, 依托智能建模工具，遵循人们的思维习惯，个性化地设计数据质量分析模型，并在建模过程中相对固化一批可复用的智能分析逻辑插件，支撑实现业务逻辑校验、数据质量监控的智能化、流程化。数据质检模型主要可以分为以下几类：</w:t>
            </w:r>
          </w:p>
        </w:tc>
      </w:tr>
      <w:tr w14:paraId="4ECCF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D6181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B60C3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2D053">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BF98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（1）数据完整性监测</w:t>
            </w:r>
          </w:p>
        </w:tc>
      </w:tr>
      <w:tr w14:paraId="0600A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F7011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B633C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69382">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0A9E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以数据质量标准规范为模板，对待检数据进行标准检查。主要包括数据完整性、数据一致性、数据重复性等质检规则。</w:t>
            </w:r>
          </w:p>
        </w:tc>
      </w:tr>
      <w:tr w14:paraId="5AFD6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C2EB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5537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D0E7F5">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E526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（2）数值检查</w:t>
            </w:r>
          </w:p>
        </w:tc>
      </w:tr>
      <w:tr w14:paraId="4A809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0ABDA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987B6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B9298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D5A9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通过特定的数据，对需要符合条件的数据进行检查，主要质检规则包括，代码检查规则，定值检查规则，比对检查规则等。</w:t>
            </w:r>
          </w:p>
        </w:tc>
      </w:tr>
      <w:tr w14:paraId="3A48D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DDAED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CC7341">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C38ED5">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3CCB0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（3）数据业务规范性分析</w:t>
            </w:r>
          </w:p>
        </w:tc>
      </w:tr>
      <w:tr w14:paraId="02A99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42F6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A7157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485208">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F0FA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针对业务属性对数据规范性进行检查，具体要结合业务部门要求和业务特征来针对性进行检查。</w:t>
            </w:r>
          </w:p>
        </w:tc>
      </w:tr>
      <w:tr w14:paraId="51A9B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41D3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DADFF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A92237">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A3D7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（4）唯一性验证</w:t>
            </w:r>
          </w:p>
        </w:tc>
      </w:tr>
      <w:tr w14:paraId="129D7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E5069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34A1C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94AA3A">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0ABBA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验证选择数据的某个字段，该字段值在表中的数据是否唯一，主要对主键字段进行验证。</w:t>
            </w:r>
          </w:p>
        </w:tc>
      </w:tr>
      <w:tr w14:paraId="1B7A34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07615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B2ED2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50E47F">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79A5D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（5）及时性验证</w:t>
            </w:r>
          </w:p>
        </w:tc>
      </w:tr>
      <w:tr w14:paraId="3D0AF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1B85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B0083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BD9FD8">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D28B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通过数据获取时间与数据入库时间进行比较，尤其针对轨迹类数据时效性进行监测统计。</w:t>
            </w:r>
          </w:p>
        </w:tc>
      </w:tr>
      <w:tr w14:paraId="18E192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2D93D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1F6678">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B49EB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指标数据采集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99D4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通过质检作业监控对质检各指标数据进行采集，是根据预先创建好的数据质检模型、方案，对数据完整性、有效性、正确性、唯一性、及时性多角度进行检查，以及时发现问题，确保数据质量。</w:t>
            </w:r>
          </w:p>
        </w:tc>
      </w:tr>
      <w:tr w14:paraId="3E2FC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13CC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C246A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B5AD6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EC71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质量监控方案配置完成后，可以执行该监控方案进行质量评估，并查看监控任务执行状态、执行次数、最后执行时间等。</w:t>
            </w:r>
          </w:p>
        </w:tc>
      </w:tr>
      <w:tr w14:paraId="41BEF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4E3FA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9F03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E5349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E177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分析监测所有原始数据质检清洗状况。用户可通过图表拖拉拽可视化方式动态配置数据资源质检任务。</w:t>
            </w:r>
          </w:p>
        </w:tc>
      </w:tr>
      <w:tr w14:paraId="0C179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5F2DD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8BA37B">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82BA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质量报告与预警</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AD6B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数据质量报告对数据质量情况进行质量评估后，可以查看执行报告中发现的问题数据情况，并查看具体的问题数据。数据质量体系流程化：从组织管理、流程、技术、日常运维等角度，提供数据质量评估报告，帮助使用人员进行全流程的数据质量监控和提升，建立全面的质量评分体系，实现流程化的质量评估和绩效考核机制。</w:t>
            </w:r>
          </w:p>
        </w:tc>
      </w:tr>
      <w:tr w14:paraId="0713F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D179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03EBC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F2974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2D10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质量检查完成周期（如周报、月报等），系统根据质量报告模板自动生成详细的数据质量检查报告，报告的内容包括数据质量的整体情况、报告明显、问题情况、质检明细、执行明细统计表，对于存在的数据质量问题，可进一步查看具体的问题数据情况。</w:t>
            </w:r>
          </w:p>
        </w:tc>
      </w:tr>
      <w:tr w14:paraId="7996B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8C6C9">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6B19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数据运维管理</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D6B0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运维规则管理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0B82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提供运维规则配置的实施服务，对接入的200类数据进行实时流异常、运行状态异常的预警规则配置操作。</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基于运维数据采集数据，按照数据同步入库等不同环节关注的运行状态异常情况、数据流量异常情况，建立数据分析模型并形成可配置化的预警规则配置。</w:t>
            </w:r>
          </w:p>
        </w:tc>
      </w:tr>
      <w:tr w14:paraId="1F191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437B4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C372E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96E0CD">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43FAC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提供对配置好的运维规则以列表方式进行展示，展示内容包括规则名称、规则编码、文件名称、服务器IP、状态、备注及子集。根据规则名称、文件名称、服务器IP可对运维规则进行查询检索。</w:t>
            </w:r>
          </w:p>
        </w:tc>
      </w:tr>
      <w:tr w14:paraId="62B34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84E56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B9403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6B8D55">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3A10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通过新增、修改、删除功能，实现对运维规则的增删改功能。</w:t>
            </w:r>
          </w:p>
        </w:tc>
      </w:tr>
      <w:tr w14:paraId="7FA18B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8944C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045A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0B6BC9">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1DB5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提供对运维规则进行发布、撤除功能，实现运维规则的上线、下线的功能管理。只有上线的运维规则其预警才会生效。</w:t>
            </w:r>
          </w:p>
        </w:tc>
      </w:tr>
      <w:tr w14:paraId="60659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CD891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DBE1B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C182F">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1987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提供运维规则查看功能，可查看运维规则的sql语句信息，展示了运维规则的异常名称信息、异常描述信息等内容。</w:t>
            </w:r>
          </w:p>
        </w:tc>
      </w:tr>
      <w:tr w14:paraId="19759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46703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2527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F0AEFB">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772C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提供对所有运维规则的导出管理，导出数据项内容包括规则名称、规则编码、规则文件名称、服务器IP地址、状态。</w:t>
            </w:r>
          </w:p>
        </w:tc>
      </w:tr>
      <w:tr w14:paraId="290F9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75A9A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92A44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67C568">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1AC2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提供通过子集的方式管理每类规则包含的预警规则细项内容，规则细项以列表的方式进行展示，展示内容包括规则英文名、规则中文名、触发表达式、持续时间、预警名称、预警描述、状态信息。</w:t>
            </w:r>
          </w:p>
        </w:tc>
      </w:tr>
      <w:tr w14:paraId="1BDA21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0ED3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10D7C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9B37BD">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8AA4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提供规则细项列表的查询检索功能，可根据规则中文名、触发表达式对规则细项进行检索。</w:t>
            </w:r>
          </w:p>
        </w:tc>
      </w:tr>
      <w:tr w14:paraId="3684A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20904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1D313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6FDE32">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BAD5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通过新增、修改、删除功能，实现对规则细项的增删改功能，同时实现规则细项的可配置化管理。可配置化的内容包括规则英文名、规则中文名、持续的时间、触发表达式、标签配置项、预警简洁、预警描述。</w:t>
            </w:r>
          </w:p>
        </w:tc>
      </w:tr>
      <w:tr w14:paraId="5EFF3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FFFBF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CF142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DACE68">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A8AB0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提供对所有规则细项的导出管理，导出数据项内容包括规则组ID、告警规则名称、告警规则名称（中文）、触发表达式、告警持续时间、告警简洁、告警秒速、状态。</w:t>
            </w:r>
          </w:p>
        </w:tc>
      </w:tr>
      <w:tr w14:paraId="6A031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4B17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2A90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E35ECA">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C111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预警规则配置从实时流监控异常配置、运行状态异常配置、存储空间异常配置、数据告警信息推送等维度对预警规则进行配置，针对不同的预警规则配置预警阈值，超过阈值时进行预警。</w:t>
            </w:r>
          </w:p>
        </w:tc>
      </w:tr>
      <w:tr w14:paraId="02C3F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7CB73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237D0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843B0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CDDD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1、实时流监控异常配置</w:t>
            </w:r>
          </w:p>
        </w:tc>
      </w:tr>
      <w:tr w14:paraId="54060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4358F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883F7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1686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4BF0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在实时流处理环节中，按照时间周期、数据流量等告警阈值规则的配置，包括N日为空预警、超N日均量X配预警配置，以此监控在同步任务状态正常的情况下，数据流量存在异常的问题。预警阈值配置对接数据汇聚处理平台获取所有表信息，对表的N日控配置天数、超N日均量X倍配置天数、超N日均量X倍配置倍数进行配置管理。</w:t>
            </w:r>
          </w:p>
        </w:tc>
      </w:tr>
      <w:tr w14:paraId="3F711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C096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31CE21">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6F3C31">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9477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以列表形式展示所用监控任务的配置信息的列表化展示，展示信息包括表中文名、表英文名、所属库、N日空配置状态、N日空配置天数、规则中文名、超N日均量X倍配置状态、超N日均量X倍配置天数、超N日均量X倍配置倍数、规则中文名。</w:t>
            </w:r>
          </w:p>
        </w:tc>
      </w:tr>
      <w:tr w14:paraId="11717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AB0A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8D3DD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86F230">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285E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通过新增、修改、删除功能，实现对监控数据表的增删改功能。</w:t>
            </w:r>
          </w:p>
        </w:tc>
      </w:tr>
      <w:tr w14:paraId="4CF95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B8A7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B57DA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D1B91">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CF81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对接本地大数据汇聚平台，通过同步数据表获取本地数据表目录信息，包括表中文名、表英文名、所属库信息。</w:t>
            </w:r>
          </w:p>
        </w:tc>
      </w:tr>
      <w:tr w14:paraId="7589C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8B0D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12E60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3FC097">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5C02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提供友好简易的界面配置表的多日为空预警阈值。多日为空预警通过N日空配置天数来实现。对N进行赋值，如果对应表超过N日数据量同步为0则进行预警。</w:t>
            </w:r>
          </w:p>
        </w:tc>
      </w:tr>
      <w:tr w14:paraId="3AC46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7427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808BF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AF5F9">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D76B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表的日同步数据量异常变多进行的预警阈值。日同步数据量异常变多通过配置超N日均量X倍配置天数N和配置超N日均量X倍配置X来实现。对N进行赋值，来计算N日的同步数据均量，确定数据量异常的对比值；对X进行赋值，设置超过同步均量的倍数预警阈值。</w:t>
            </w:r>
          </w:p>
        </w:tc>
      </w:tr>
      <w:tr w14:paraId="1B1CE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F07C0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FE1D5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41956B">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3580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提供通过规则配置将N日空配置规则和超N日均量X倍配置规则与规则管理中维护的应该规则建立关联关系。</w:t>
            </w:r>
          </w:p>
        </w:tc>
      </w:tr>
      <w:tr w14:paraId="4EBA7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2D7B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AF17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33CCE">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F4F2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对所有实时流监控异常规则配置的导出管理，导出数据项内容包括规数据表ID、数据表中文名、数据表英文名、N日空配置天数、N日空配置规则ID、超N日均量X配置天数、超N日均量X倍配置倍数、超N日均量X倍规则ID。</w:t>
            </w:r>
          </w:p>
        </w:tc>
      </w:tr>
      <w:tr w14:paraId="422E4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ADA6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51549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F7336">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A634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2、运行状态异常配置</w:t>
            </w:r>
          </w:p>
        </w:tc>
      </w:tr>
      <w:tr w14:paraId="74645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6567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89393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B01B6">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F1F7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根据运行监控指标要求，对数据同步的运行状态异常进行配置，当同步任务中断时进行预警，如数据库服务中断。需建立数据汇聚与下发ETL任务中断预警、主题库同步异常预警。</w:t>
            </w:r>
          </w:p>
        </w:tc>
      </w:tr>
      <w:tr w14:paraId="0CCB6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7F58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495F8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982C96">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C7EC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提供友好界面配置数据汇聚与下发ETL任务出现任务中断情况的预警。预警配置可配置预警级别，同时预警的描述需指明对应的预警表名称，方便快速追踪到那张表的任务同步异常。</w:t>
            </w:r>
          </w:p>
        </w:tc>
      </w:tr>
      <w:tr w14:paraId="234BE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9AE1A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38C4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53C8B">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A6DE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提供友好界面配置主题库同步任务出现任务异常情况的预警。预警配置可配置预警级别，同时预警的描述需指明对应的预警表名称、表主键，方便快速追踪到那张表的任务同步异常。</w:t>
            </w:r>
          </w:p>
        </w:tc>
      </w:tr>
      <w:tr w14:paraId="777B4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66B54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AE82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429F63">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618E8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3、存储空间异常配置</w:t>
            </w:r>
          </w:p>
        </w:tc>
      </w:tr>
      <w:tr w14:paraId="113B4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AB16B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80D8F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02F785">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F4623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大数据平台建设基于各类服务器及各类大数据存储组件，提供友好简易的界面配置MPP数据库存储空间高于一定使用率的预警，预警描述需指明当前存储空间的使用率。</w:t>
            </w:r>
          </w:p>
        </w:tc>
      </w:tr>
      <w:tr w14:paraId="7969E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F8155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A9F47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4B34B9">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3742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提供友好简易的界面配置ElasticSearch全文检索数据库堆使用率高于一定阈值的预警，预警描述需指向当前值及节点名称。</w:t>
            </w:r>
          </w:p>
        </w:tc>
      </w:tr>
      <w:tr w14:paraId="7418E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B132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5F1B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509C59">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FAED0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提供友好简易的界面配置ElasticSearch全文检索数据库存储空间使用率高于一定阈值的预警，预警描述需指明剩余存储空间及主机名称。</w:t>
            </w:r>
          </w:p>
        </w:tc>
      </w:tr>
      <w:tr w14:paraId="0DFE40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D157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AF6B2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25A53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D5DC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提供友好简易的界面配置ElasticSearch全文检索数据库集群健康状态异常的预警，当集群健康状态为黄时进行预警。</w:t>
            </w:r>
          </w:p>
        </w:tc>
      </w:tr>
      <w:tr w14:paraId="0E4399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3206F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FF478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C280F9">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4F3E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提供友好简易的界面配置ElasticSearch全文检索数据库健康节点低于一定数值的预警，预警描述需指明当前的健康节点数。</w:t>
            </w:r>
          </w:p>
        </w:tc>
      </w:tr>
      <w:tr w14:paraId="51181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AF048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15CE5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B7D107">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4A93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提供友好简易的界面配置kafka分布式消息队列集群数据积压消费滞后高于一定阈值的预警，预警描述需指明具体的Lag值。</w:t>
            </w:r>
          </w:p>
        </w:tc>
      </w:tr>
      <w:tr w14:paraId="4A0F1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3D464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C2BD6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023FA">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803A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提供友好简易的界面配置基础服务器可用存储空间不足一定阈值时的预警，预警描述需指向预警服务器剩余存储空间及主机IP地址。</w:t>
            </w:r>
          </w:p>
        </w:tc>
      </w:tr>
      <w:tr w14:paraId="6816B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6FAD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C5E69C">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E100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运维数据采集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A78D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运维数据采集针对运维规则管理里所配置的数据量监控异常、运行状态异常、存储空间异常等运维规则，以接口的形式采集来自数据汇聚同步各环节的运维数据信息，从规则指标、指标所包含的标签集合、标签值的形式对运维数据进行采集存储。通过运维数据采集支撑基于运维规则的信息告警。</w:t>
            </w:r>
          </w:p>
        </w:tc>
      </w:tr>
      <w:tr w14:paraId="52EA5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39C78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2E930D">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5DF8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运维状态监控</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00DA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运维状态监控从基础服务器资源、数据仓库、数据汇聚、数据服务等多个层面对大数据处理服务的健康状态进行监控。提供各模块总体的总数情况和异常数情况。</w:t>
            </w:r>
          </w:p>
        </w:tc>
      </w:tr>
      <w:tr w14:paraId="03C10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A1ADD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37BBC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A1FF5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8196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基础服务器资源运维状态的数据采集和监控，以列表形式展示大数据平台应用的服务器资源的详情信息和负载状态信息，展示内容包括主机IP、名称、系统、型号、运行时间、总内存、CPU核数、负载、CPU使用率、内存使用率、连接数、下载带宽、上传带宽。</w:t>
            </w:r>
          </w:p>
        </w:tc>
      </w:tr>
      <w:tr w14:paraId="30793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8F80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2AFD0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9791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0A79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大数据平台数据仓库运维状态的数据采集和监控，以图形可视化的方式展示数据仓库的运维状态信息，展示内容包括总存储空间、已使用存储空间、服务器端口状态、各服务的CPU使用率、集群各类型sql执行数量。</w:t>
            </w:r>
          </w:p>
        </w:tc>
      </w:tr>
      <w:tr w14:paraId="50F82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1BC36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B20E5">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8D3A6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4035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大数据平台数据汇聚任务运维状态的数据采集和监控，以列表形式展示汇聚任务的运行情况，展示内容包括任务名称、所属系统、服务器IP、状态、任务分类、最后执行状态、最后执行时间、执行周期、创建时间。</w:t>
            </w:r>
          </w:p>
        </w:tc>
      </w:tr>
      <w:tr w14:paraId="2D2C8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DD0C6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318F7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8C8EB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AF7C1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数据服务监控提供对服务接口监控状态、调用情况的检测管理，包括对不同数据服务接口运行状态、服务访问量、服务接口调用耗时的维度监控。</w:t>
            </w:r>
          </w:p>
        </w:tc>
      </w:tr>
      <w:tr w14:paraId="176DC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DCA8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8E1286">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CF28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运维报表管理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8E59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数据运维报表主要从数据资源分类总数统计、数据标准化分析统计及存储介质使用情况三个维度进行报表的分析。</w:t>
            </w:r>
          </w:p>
        </w:tc>
      </w:tr>
      <w:tr w14:paraId="13384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78A8B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C32B6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D060F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8288B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按日、周、月、年等不同的时间段要求，统计外部数据资源、原始库数据资源等分类的数据总量、数据增量情况。提供数据资源分类总数的统计，从数据组织分类、所属应用系统分类、事权单位分类、数据来源一级分类、数据来源二级分类、行业类别分类、要素分类的维度，统计各分类下的数据量情况。</w:t>
            </w:r>
          </w:p>
        </w:tc>
      </w:tr>
      <w:tr w14:paraId="5F4161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2BF5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66A9C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CEE9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08892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标准化统计分析根据数据标准化治理过程中的数据处理、数据治理的统计情况，展示数据的标准化实施报表。支持从汇聚库编目、原始库编目、码表整理、质检表总量、码表转换、经纬度转换、时间转换、分级分类的维度统计各类别下数据治理数量情况。</w:t>
            </w:r>
          </w:p>
        </w:tc>
      </w:tr>
      <w:tr w14:paraId="6DB0E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923D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7440F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D7C8A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58FC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从资源存储介质的容量使用情况角度进行统计，形成定期釆集存储介质的总容量、已使用容量等指标，提供存储资源使用情况展示。</w:t>
            </w:r>
          </w:p>
        </w:tc>
      </w:tr>
      <w:tr w14:paraId="2FFF2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77706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348F5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46632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F27E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提供各报表统计结果常见格式的导出，包括pdf，doc。</w:t>
            </w:r>
          </w:p>
        </w:tc>
      </w:tr>
      <w:tr w14:paraId="60F84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C7A8F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33FDEB">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71B3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预警管理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E89B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1.预警中心</w:t>
            </w:r>
          </w:p>
        </w:tc>
      </w:tr>
      <w:tr w14:paraId="1C283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9484E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18D3A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91EEE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C2F7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预警中心综合展示汇聚处理平台、下发平台、系统组件等各任务的总体预警情况及预警工单的列表式管理和按系统的分类筛选查询。</w:t>
            </w:r>
          </w:p>
        </w:tc>
      </w:tr>
      <w:tr w14:paraId="17AB1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45015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8E562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7CFB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7783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按系统模块分类展示汇聚处理平台、下发平台、系统组件等各任务的预警总数、待签收数、待处置数。支持展示预警总数、今日预警数、待签收数、待处置数、待审核数、已处置数等预警情况，便于运维人员一屏掌握主要预警信息。</w:t>
            </w:r>
          </w:p>
        </w:tc>
      </w:tr>
      <w:tr w14:paraId="12BB85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F42B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2075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C2B33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89BD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提供平台所有预警工单的列表式展示，展示信息包括工单号、系统应用、预警名称、预警级别、工单状态、IP地址、异常类型、预警描述、预警状态、操作等内容。</w:t>
            </w:r>
          </w:p>
        </w:tc>
      </w:tr>
      <w:tr w14:paraId="74D98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3DAB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E9813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EFBAD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A7A8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提供预警列表信息的树结构管理，可以按所属系统分类对预警列表信息进行筛选。</w:t>
            </w:r>
          </w:p>
        </w:tc>
      </w:tr>
      <w:tr w14:paraId="584B3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09419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1D53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3859E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82CB4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提供预警列表信息的筛选查询，支持按预警名称、预警时间、处理状态对预警工单列表进行查询。</w:t>
            </w:r>
          </w:p>
        </w:tc>
      </w:tr>
      <w:tr w14:paraId="66803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8DC02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7E501">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E7A0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84AA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可以通过工单详情查看预警的明细信息，详情内容包括预警信息、操作记录、流程图三个模块。预警信息展示包括预警名称、工单编号、预警系统、服务器IP、异常类型、预警时间、预警级别、工单状态、预警描述。操作记录模块统一展示工单的签收、处置等情况，展示每个工单环节的操作人、创建时间、操作时间、耗时信息。流程图模块以流程可视化的方式展示工单所在的处理环节。</w:t>
            </w:r>
          </w:p>
        </w:tc>
      </w:tr>
      <w:tr w14:paraId="4D277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94AC6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40E84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1BD5D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1D586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2.工单流转</w:t>
            </w:r>
          </w:p>
        </w:tc>
      </w:tr>
      <w:tr w14:paraId="7AD57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DD5D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68268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9350E">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88F2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提供预警信息的工单处置管理。运维工单管理以工单流的方式对所有预警信息进行处置，包括待签收工单、待处置工单、待审核工单及全部工单。</w:t>
            </w:r>
          </w:p>
        </w:tc>
      </w:tr>
      <w:tr w14:paraId="15A2F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ABA43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7E50B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97E2C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0B1D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1）待签收工单</w:t>
            </w:r>
          </w:p>
        </w:tc>
      </w:tr>
      <w:tr w14:paraId="5FACC4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DE517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95B5C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29ECD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8618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待签收工单的列表式管理，展示新预警的预警信息，展示内容包括工单号、系统应用、预警名称、预警级别、工单状态、IP地址、异常类型、预警描述、预警时间、预警状态。支持工单按应用系统、预警名称、预警级别、工单号、IP地址、预警时间范围进行检索。</w:t>
            </w:r>
          </w:p>
        </w:tc>
      </w:tr>
      <w:tr w14:paraId="70DD0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77D3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FE343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FCA66">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6C90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待签收状态的工单进行签收、签收并关闭、删除的操作。支持对工单进行签收，工单进入到待处置状态。直接签收并关闭，终结整个工单流转状态。平台有些预警预警级别比较低，不需要往下流转时可以直接进行关闭。</w:t>
            </w:r>
          </w:p>
        </w:tc>
      </w:tr>
      <w:tr w14:paraId="731A8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CCC1F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4B43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024A8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DBE0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2）待处置工单</w:t>
            </w:r>
          </w:p>
        </w:tc>
      </w:tr>
      <w:tr w14:paraId="0A416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9C34F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8F1B0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E217A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E498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提供待处置工单的列表式管理，展示已签收的预警信息，可按工单按应用系统、预警名称、预警级别、工单号、IP地址、预警时间范围进行检索。支持对待处置工单进行处置、直接关闭和详情查看的操作。</w:t>
            </w:r>
          </w:p>
        </w:tc>
      </w:tr>
      <w:tr w14:paraId="7066B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5C549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B2A3B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120D1">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D8BC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平台出现的预警原因和处置方案往往是历史已经出现，知识库已经总结处置方案的预警，支持在预警处置时，可以选择新加处置方案和非新加处置方案。对于新加处置方案，新增异常原因、处置方案完成处置后，在知识库自动新增一条处置方案。对于非新加处置方案，可以通过下拉方式选择异常原因，根据知识库内容会自动提示处置方案辅助运维人员处置预警。</w:t>
            </w:r>
          </w:p>
        </w:tc>
      </w:tr>
      <w:tr w14:paraId="00C3E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33A67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842F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62BF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AF5C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3）待审核工单</w:t>
            </w:r>
          </w:p>
        </w:tc>
      </w:tr>
      <w:tr w14:paraId="4FB1E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1FCA4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94738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FF2A6">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6A82E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提供待审核工单的列表式管理，展示已处置的预警信息，可按工单按应用系统、预警名称、预警级别、工单号、IP地址、预警时间范围进行检索。支持对待审核工单进行审核、退回和详情查看的操作。</w:t>
            </w:r>
          </w:p>
        </w:tc>
      </w:tr>
      <w:tr w14:paraId="31262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BF450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5E15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3CF285">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9076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3）全部工单</w:t>
            </w:r>
          </w:p>
        </w:tc>
      </w:tr>
      <w:tr w14:paraId="0F23E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5258D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13E67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A482A6">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D665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提供待全部工单的列表式管理，展示所有的预警信息，可按工单按应用系统、预警名称、预警级别、工单号、IP地址、预警时间范围进行检索。</w:t>
            </w:r>
          </w:p>
        </w:tc>
      </w:tr>
      <w:tr w14:paraId="022C2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D631E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E3890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C13E66">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335F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3.预警知识库</w:t>
            </w:r>
          </w:p>
        </w:tc>
      </w:tr>
      <w:tr w14:paraId="0FB2B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DD668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06753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DF8E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50C1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将工单流转过程中，运维人员在预警工单处置中发现的异常原因，总结的处置方案积累形成预警知识库。预警知识库在预警处置过程中可根据预警原因选择自动推荐处置方案。通过知识库的建立便于处置经验的积累与传承。</w:t>
            </w:r>
          </w:p>
        </w:tc>
      </w:tr>
      <w:tr w14:paraId="2A6E0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4386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2185F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873E4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2B61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支持对全部知识数据的列表管理，展示知识内容包括异常原因、处置方案、关联工单数量、状态。</w:t>
            </w:r>
          </w:p>
        </w:tc>
      </w:tr>
      <w:tr w14:paraId="145A6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416C1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55874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A8517F">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0184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支持通过异常原因对知识数据的检索定位目标知识库内容。</w:t>
            </w:r>
          </w:p>
        </w:tc>
      </w:tr>
      <w:tr w14:paraId="75BB4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D373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B8A5A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C3786C">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4F6ED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支持对知识库内容的新增、修改、删除操作，并可将知识库内容以EXCEL表格形式导出。</w:t>
            </w:r>
          </w:p>
        </w:tc>
      </w:tr>
      <w:tr w14:paraId="3884E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3557F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F2456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84BAE">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2E84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支持通过工单数查看当前异常处置方案关联的历史工单列表。</w:t>
            </w:r>
          </w:p>
        </w:tc>
      </w:tr>
      <w:tr w14:paraId="5834C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FE86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311D3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C1A1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BE49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4.告警信息推送</w:t>
            </w:r>
          </w:p>
        </w:tc>
      </w:tr>
      <w:tr w14:paraId="70C65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D6BB3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6B7AB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E82A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7D56C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按照预设告警规则，产生告警信息，可以通过消息、邮件等方式推送给运维系统或运维人员。数据告警信息推送包括预警接收管理和通知策略管理。</w:t>
            </w:r>
          </w:p>
        </w:tc>
      </w:tr>
      <w:tr w14:paraId="204C1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B775F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ACBB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46D723">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8277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预警接收管理提供人员预警信息接收的统一新增、修改、删除及导出管理。以列表的形式对预警接收配置信息进行展示，展示内容包括接收人、接收方式、接收账号、标题模版、内容模板、状态。提供预警接收配置信息通过接收人、接收账号的查询检索。</w:t>
            </w:r>
          </w:p>
        </w:tc>
      </w:tr>
      <w:tr w14:paraId="55EF0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535BA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EF577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CC417">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51D3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预警接收管理的内容模版中支持的通知模版的环境变量包括预警名称、应用系统、工单编号、预警级别、异常类型、预警内容、预警时间、IP地址。可对支持的环境变量做自定义选择并做发送测试。</w:t>
            </w:r>
          </w:p>
        </w:tc>
      </w:tr>
      <w:tr w14:paraId="1649F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E9217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7D6556">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E569D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BCDF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通知策略提供策略的统一展示管理，展示内容包括策略名称、接收人员、预警级别、应用系统、状态、操作。支持通过策略名称对策略列表进行检索查询。</w:t>
            </w:r>
          </w:p>
        </w:tc>
      </w:tr>
      <w:tr w14:paraId="2BEA2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2E89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DB882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2F11C">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606F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通知策略的新增、修改、删除及整体的导出管理。新增内容中接收人员可选择在预警接收中维护的接收人员信息；预警级别约束了人员接收预警的级别范围包括致命、严重、警告、提醒、通知；应用系统约束人员接收预警的应用系统范围。</w:t>
            </w:r>
          </w:p>
        </w:tc>
      </w:tr>
      <w:tr w14:paraId="53AFD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6F910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878FB">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C26E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运维日志审计</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792F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1、运维日志记录</w:t>
            </w:r>
          </w:p>
        </w:tc>
      </w:tr>
      <w:tr w14:paraId="371D0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7FBA6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924A7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504EAF">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118BF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所有系统操作、运维操作等所有大数据平台上的操作进行日志记录。支持按照操作者、操作时间、操作模块、操作类型、操作内容，操作来源（如IP地址）、来源地域（行政区划）、操作结果（成功、失败）等维度信息的进行日志记录。</w:t>
            </w:r>
          </w:p>
        </w:tc>
      </w:tr>
      <w:tr w14:paraId="25F71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309BB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84FAC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CD7BF2">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2E8D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2、运维日志查询</w:t>
            </w:r>
          </w:p>
        </w:tc>
      </w:tr>
      <w:tr w14:paraId="0C670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2221D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2680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EAE6D2">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B04D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管理员可通过多个查询条件组合进行查询（操作者、操作时间、操作模块、操作类型、操作内容，操作来源、来源地域、操作结果），并支持运维日志导出。</w:t>
            </w:r>
          </w:p>
        </w:tc>
      </w:tr>
      <w:tr w14:paraId="72432A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D19D24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数据资源服务平台</w:t>
            </w:r>
          </w:p>
        </w:tc>
      </w:tr>
      <w:tr w14:paraId="6F6B0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961E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数据服务管理中心</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502F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资源中心</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1624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数据资源发布</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A0E7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1、资源中心提供按原始库、标准库、数据回流清单对数据资源进行分类展示，并可以按所属应用系统、行业类别、事权单位的树形结构进行筛选展示，便于民警快速筛选定位目标数据资源。</w:t>
            </w:r>
          </w:p>
        </w:tc>
      </w:tr>
      <w:tr w14:paraId="51CDD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A4963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F434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27CA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2C3B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提供数据资源的列表展示，展示字段包括所属资源库、数据资源名称、数据资源编目、行业类别、数据表名、事权单位、所属应用系统、数据总量、最大增量、登记时间等信息。同时提供基于数据资源名称的查询，检索目标数据资源。</w:t>
            </w:r>
          </w:p>
        </w:tc>
      </w:tr>
      <w:tr w14:paraId="6122F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6FECE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85458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BE778">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0EFA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3、提供用户对数据资源的收藏和评价。民警在查看数据资源过程中可以对感兴趣的数据资源进行收藏，便于以后通过收藏快速筛选已收藏的数据资源信息。同时可以对数据资源的质量等情况进行评价。</w:t>
            </w:r>
          </w:p>
        </w:tc>
      </w:tr>
      <w:tr w14:paraId="7E9C0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3D9D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DC0329">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DA45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数据资源详情</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17C9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基础信息展示内容为数据资源在大数据汇聚平台的编目信息，包括数据名称、数据表名、数据资源标识符、数据资源目录编号、数据来源库、数据总量、统计时间、最大增量、应用资源标识符、所属应用系统、事权单位、来源一级分类、来源二级分类、要素一级分类、行业类别、数据说明。</w:t>
            </w:r>
          </w:p>
        </w:tc>
      </w:tr>
      <w:tr w14:paraId="279B3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FDC22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935EC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9EF8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1AD8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2、数据结构提供了数据表的表结构信息，便于数据接收单位了解数据表的字段类型信息及字段中文注释信息，展示信息包括字段英文名、字段类型、字段名称、输入参数、输出参数。</w:t>
            </w:r>
          </w:p>
        </w:tc>
      </w:tr>
      <w:tr w14:paraId="2D42C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882F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A2AE5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DB769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DA6E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3、数据预览提供基于敏感级别数数据资源预览，系统自动对非最低密级的字段进行加密展示。</w:t>
            </w:r>
          </w:p>
        </w:tc>
      </w:tr>
      <w:tr w14:paraId="17408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1CB02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1A3037">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5221F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5EF6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4、服务评价展示民警对数据资源的质量情况，数据资源需求情况的评价，便于数据管理方根据需求调整数据资源服务。</w:t>
            </w:r>
          </w:p>
        </w:tc>
      </w:tr>
      <w:tr w14:paraId="7A28D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ECA5D">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4C64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管理中心</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CF2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数据源库管理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31D6B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提供系统对接数据源库的统一管理展示，支持数据源库的新增、修改、删除。</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支持数据源库的连接测试。</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支持适配Tidb,DWS,Clickhouse等数据库的适配。</w:t>
            </w:r>
          </w:p>
        </w:tc>
      </w:tr>
      <w:tr w14:paraId="11DA2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16287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B937A1">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998B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服务资源管理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8C47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资源包括来自大数据汇聚处理平台的的数据表资源、各种途径获取的请求服务资源与集成服务资源、订阅服务资源。提供对服务资源的标准化信息同步对接和列表式管理。服务资源管理包括数据表管理、服务资源管理、订阅资源管理三个功能模块。</w:t>
            </w:r>
          </w:p>
        </w:tc>
      </w:tr>
      <w:tr w14:paraId="21278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04B49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00431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3AD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服务生命周期管理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C1AD2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建设数据资源服务管理系统提供方便快捷易用的数据资源服务编目和管理机制，发布数据资源服务共享目录，为大数据资源应用提供全方位的数据资源服务管理支撑。服务生命周期管理包括对服务的分类编目与注册管理、应用列表管理、日志列表管理三个功能模块。</w:t>
            </w:r>
          </w:p>
        </w:tc>
      </w:tr>
      <w:tr w14:paraId="0762B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757A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6224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D05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服务规约管理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3C1C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服务规约描述某一类服务资源需遵循的通用接口规范，包括技术规范标准、服务规约描述、返回代码等信息。提供对服务规约的创建和展示进行统一管理，建立服务规约与数据服务的关联。</w:t>
            </w:r>
          </w:p>
        </w:tc>
      </w:tr>
      <w:tr w14:paraId="71BCB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DAC2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894C16">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E88D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审批管理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2974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审批管理统一管理数据资源管理平台的各类审批管理，包括服务审批、运维公司审批、访问IP审批管理三个功能模块。</w:t>
            </w:r>
          </w:p>
        </w:tc>
      </w:tr>
      <w:tr w14:paraId="256E1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BB1F3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BBCE63">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21DD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安全管理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66ED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1，支持服务安全控制，提供服务请求控制规则配置功能，管理用户可以通过该功能配置具体服务的调用数、频率等控制规则信息。</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2，支持受限访问管理，对应用系统的服务的访问权限进行动态控制，除应用授权外，通过应用的IP地址动态控制服务的授权。</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3，支持服务停用管理，针对应用系统已经通过审批的数据服务和请求服务，需要收回服务授权或服务被注销时，可以对应用系统的服务授权进行停用处理。</w:t>
            </w:r>
          </w:p>
        </w:tc>
      </w:tr>
      <w:tr w14:paraId="3D0A2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1C76B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D9FD2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B8A8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数据推送管理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6F64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支持审批通过的数据资源推送任务配置管理，包括自定义生成建表语句，配置管理推送任务的同步参数。</w:t>
            </w:r>
          </w:p>
        </w:tc>
      </w:tr>
      <w:tr w14:paraId="0D662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5D4C7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9849E">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5CA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任务管理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A7307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支持数据服务平台各类应用同步、资源目录同步、一致性监测任务、部门用户同步等统一管理。</w:t>
            </w:r>
          </w:p>
        </w:tc>
      </w:tr>
      <w:tr w14:paraId="4C1ECF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5881A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816BB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432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服务调用日志管理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BD49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对应用及终端用户请求调用服务资源的日志进行采集管理。</w:t>
            </w:r>
          </w:p>
        </w:tc>
      </w:tr>
      <w:tr w14:paraId="689E48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7E054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9D5A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9638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指标统计与可视化</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8B0E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1，对各类数据资源服务的分类的构建统计指标（如总数、请求方数、申请服务数、日调用数等）并展示。</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2，对数据概览、服务概览、服务日志趋势等进行统计展示。</w:t>
            </w:r>
          </w:p>
        </w:tc>
      </w:tr>
      <w:tr w14:paraId="3895F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2CE26B">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34797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服务中心</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6A4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热门服务展示</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0BE67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展示热门接口、热门数据、最新上架的服务等信息，便于民警快速了解热门的服务资源。</w:t>
            </w:r>
          </w:p>
        </w:tc>
      </w:tr>
      <w:tr w14:paraId="6F9C9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D476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A00FE6">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CFE7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服务资源目录</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92CD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1，服务目录展示</w:t>
            </w:r>
          </w:p>
        </w:tc>
      </w:tr>
      <w:tr w14:paraId="7B235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B4C8F">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9E47AB">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929B39">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B433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资源上架后在服务资源目录对各类请求服务、数据服务、订阅服务、集成服务进行综合展示，列表展示信息包括服务资源名称、服务提供方式、行业类别、服务编号、事权单位、所属应用系统、数据总量、最大增量、登记时间等信息，便于民警在申请时快速了解服务资源的总体信息。支持以树结构方式按所属应用系统、行业类别、事权单位进行分类筛选。支持对感兴趣的服务资源进行预先收藏，后期可以通过我的收藏快速筛选已收藏资源。支持对服务资源进行评价，向服务方反馈服务资源质量情况，推进数据治理闭环形成。</w:t>
            </w:r>
          </w:p>
        </w:tc>
      </w:tr>
      <w:tr w14:paraId="71563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B37050">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BE87F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AD34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CC19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2，服务详情</w:t>
            </w:r>
          </w:p>
        </w:tc>
      </w:tr>
      <w:tr w14:paraId="40BA3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41A7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FD720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90252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8A19E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服务详情页面对服务资源的注册管理信息、关联数据资源信息、请求调用信息、申请评价信息进行统一展示管理，为民警数据服务资源筛选和申请和接口调用提供信息支撑和指导。</w:t>
            </w:r>
          </w:p>
        </w:tc>
      </w:tr>
      <w:tr w14:paraId="72777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1D13F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D2B1D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2A46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9C332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础信息模块展示内容需包括服务资源名称、资源标识符、事权单温、管理单位、资源编目、资源表名、共享限制、服务类型、提供方式、登记人、登记身份证、登记单位、登记时间、联系人、联系电话、资源描述等信息。</w:t>
            </w:r>
          </w:p>
        </w:tc>
      </w:tr>
      <w:tr w14:paraId="209C5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ACC9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8F23B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94440">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2763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关联表信息模块展示内容需包括数据名称、数据表名、最大增量、数据总量、统计时间、所属应用系统、事权单位、编目信息、来源一级分类、来源二级分类、行业类别、要素一级分类、源库类型等信息。</w:t>
            </w:r>
          </w:p>
        </w:tc>
      </w:tr>
      <w:tr w14:paraId="236D4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57780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E035C">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E2DB0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E51A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数据结构模块展示数据的字段代码、字段类型、字段名称、输入参数、输出参数等信息。</w:t>
            </w:r>
          </w:p>
        </w:tc>
      </w:tr>
      <w:tr w14:paraId="68CAB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353E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EB30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25CD8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E6E9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数据预览支持对服务资源关联的数据表进行预览，同时读取字段的敏感级别信息，只能预览数据最低敏感级的字段数据。</w:t>
            </w:r>
          </w:p>
        </w:tc>
      </w:tr>
      <w:tr w14:paraId="0D5ED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F7B2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7A48BF">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4FED8B">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9EB4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请求参数、响应示例、错误代码、调用示例构成请求服务的接口调用指导，支持对接口调用信息进行整合形成文档下载，便于线下提供给开发运维人员。</w:t>
            </w:r>
          </w:p>
        </w:tc>
      </w:tr>
      <w:tr w14:paraId="16692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1E2BA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188FD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A23C5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72C40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申请情况模块支持查看服务资源被申请的记录信息，包括应用名称、申请单位、申请人员、申请时间、申请状态等信息。</w:t>
            </w:r>
          </w:p>
        </w:tc>
      </w:tr>
      <w:tr w14:paraId="6032A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86B33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5B5572">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B17D49">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5D05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服务评价模块支持查看服务资源历史被评价情况。</w:t>
            </w:r>
          </w:p>
        </w:tc>
      </w:tr>
      <w:tr w14:paraId="1AA42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B43CE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7A04A">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958F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服务申请流程</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29BF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1，批量申请</w:t>
            </w:r>
          </w:p>
        </w:tc>
      </w:tr>
      <w:tr w14:paraId="19F2A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75767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2C84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FE54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FF38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批量申请流程请提供服务资源的申请配置管理，提供基于数据资源服务目录展示，以点单形式将多个需要申请的数据资源服务加入到批量申请模块后进行统一申请，</w:t>
            </w:r>
          </w:p>
        </w:tc>
      </w:tr>
      <w:tr w14:paraId="25F97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9AC1F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6207D8">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994DB5">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6D5B4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通过批量申请管理服务资源的申请信息，包含请求方信息和数据服务资源列表信息。请求方信息包括应用名称、应用编号、申请单位、申请人、申请人电话、申请IP、申请事由。支持在数据服务资源列表自动过滤改应用已申请的服务资源。完成配置后可自动生成申请工单信息。提供对已加入的数据服务资源列表进行删除，去除误加入的服务。完成申请信息填写，提交后生成数据资源服务申请工单。</w:t>
            </w:r>
          </w:p>
        </w:tc>
      </w:tr>
      <w:tr w14:paraId="42DE92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F13DA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08888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F1C6F">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22F0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2，资源下发配置</w:t>
            </w:r>
          </w:p>
        </w:tc>
      </w:tr>
      <w:tr w14:paraId="6540A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BD83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C647E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4EC3D2">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13B98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针对数据下发类服务，通过资源下发配置提供数据服务目标库的配置，指导数据下发过程中对数据库、数据表、数据项的配置。配置内容包括资源名称、订阅名称、是否自建表、接收库、源库与下发库字段匹配。是否自建表支持请求方自建表或请求方开放数据库权限由服务方建表两种方式。支持自动匹配源端表字段和下发表字段的自动匹配接收。</w:t>
            </w:r>
          </w:p>
        </w:tc>
      </w:tr>
      <w:tr w14:paraId="0C78F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F1F2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6B7094">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D2AF99">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40CE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自建表时提供自动获取资源表的表结构信息，通过自定义建表功能生成mysql推荐建表语句，辅助数据服务申请部门快速建表。</w:t>
            </w:r>
          </w:p>
        </w:tc>
      </w:tr>
      <w:tr w14:paraId="6F95D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50FB0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70513C">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FCB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服务组装开发</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1C81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服务组装开发包括：库表服务接口开发、ES服务接口开发、订阅服务接口开发、服务接口封装、应用集成服务。</w:t>
            </w:r>
          </w:p>
        </w:tc>
      </w:tr>
      <w:tr w14:paraId="500B8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53D11A">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65AB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个人中心</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806A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我的应用</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6925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服务资源申请以“应用系统”为请求方进行申请，申请民警在进行数据资源服务申请前先注册维护对应应用系统信息。完成注册后可查看民警所在部门的所有应用系统注册信息，列表展示信息包括应用编号、应用名称、建设单位、责任民警、已申请资源数、应用状态等信息。</w:t>
            </w:r>
          </w:p>
        </w:tc>
      </w:tr>
      <w:tr w14:paraId="1FA3E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DED7E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C035A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E0A21A">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32FC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新增、修改我的应用对应用系统信息进行维护，维护信息包括应用名称、责任民警、联系电话、建设单位、运维公司、运维人员、上线时间、应用状态、访问地址、应用简介等信息。支持自动获取责任民警、联系电话、建设单位信息。</w:t>
            </w:r>
          </w:p>
        </w:tc>
      </w:tr>
      <w:tr w14:paraId="0065F3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A93AB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F8F46D">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188A04">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36ADE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提供在应用列表页面点击查看检索应用申请数据资源服务的详情信息，包括服务资源名称、服务类型、工单编号、申请时间、数据状态。支持通过工单编号一键关联工单流程详情。</w:t>
            </w:r>
          </w:p>
        </w:tc>
      </w:tr>
      <w:tr w14:paraId="1155B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B126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9C95C0">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8B77BD">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1B5C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提供在应用列表页面进行申请快捷访问请求申请、订阅申请、数据申请的页面，在申请界面对该应用已申请的数据服务资源进行标记，不可再申请。</w:t>
            </w:r>
          </w:p>
        </w:tc>
      </w:tr>
      <w:tr w14:paraId="6C721F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A7F3B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812978">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93A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我的开发公司</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2978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对应用系统所对应开发公司进行统一管理维护。支持新增、查看开发公司信息，维护信息包括信用代码、公司名称、法人姓名、法人电话、联系人、联系电话等信息。</w:t>
            </w:r>
          </w:p>
        </w:tc>
      </w:tr>
      <w:tr w14:paraId="1E04A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029D7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05C61A">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603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我的数据库</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B1A4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针对数据下发类别的数据资源服务，需对目标下发库信息进行维护。支持新增、修改数据库信息并对数据库的连接情况进行测试。新增数据库信息包括数据库名称、数据库类型、数据库版本、数据库IP、端口、模式、数据库账号、密码等信息进行维护。</w:t>
            </w:r>
          </w:p>
        </w:tc>
      </w:tr>
      <w:tr w14:paraId="54162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169604">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57407">
            <w:pPr>
              <w:jc w:val="center"/>
              <w:rPr>
                <w:rFonts w:hint="eastAsia" w:ascii="仿宋" w:hAnsi="仿宋" w:eastAsia="仿宋" w:cs="仿宋"/>
                <w:i w:val="0"/>
                <w:iCs w:val="0"/>
                <w:color w:val="auto"/>
                <w:sz w:val="22"/>
                <w:szCs w:val="22"/>
                <w:highlight w:val="none"/>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A8B1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我的工单</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F39EF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我的工单模块为民警提供对本人及所在部门的所有工单的管理功能。民警在服务中心完成数据资源服务申请配置后，系统自动在我的工单页面生成一条工单信息。工单列表展示信息包括工单编号、应用系统、申请事由、工单状态、申请人员、申请日期、操作等内容。</w:t>
            </w:r>
          </w:p>
        </w:tc>
      </w:tr>
      <w:tr w14:paraId="30791A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05C6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B1F03E">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582E0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2FEEC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在不同工单状态下可对工单进行不同类型的操作。工单状态包括草稿、待上传、待审批、通过、驳回、部分通过等类型。提供工单在草稿状态下可进行删除、修改、下载操作。执行下载线下审批工单操作后，工单状态变为待审批状态。</w:t>
            </w:r>
          </w:p>
        </w:tc>
      </w:tr>
      <w:tr w14:paraId="0F5DE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129D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F53E89">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5D9CF5">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BCD6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提供工单审批被驳回后，民警可根据驳回原因对工单进行修改操作，重新进入服务申请工单审批流程。</w:t>
            </w:r>
          </w:p>
        </w:tc>
      </w:tr>
      <w:tr w14:paraId="64BA6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F83B7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EF8F0A">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F68E4">
            <w:pPr>
              <w:jc w:val="left"/>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337A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提供工单审批被通过后，对于请求服务类工单，民警可根据实际需求进行修改IP操作，变更服务IP地址信息，进入到IP变更申请流程，可进行IP新增申请和IP变更申请。</w:t>
            </w:r>
          </w:p>
        </w:tc>
      </w:tr>
      <w:tr w14:paraId="189F2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60D1F4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一人一档集成贯通平台</w:t>
            </w:r>
          </w:p>
        </w:tc>
      </w:tr>
      <w:tr w14:paraId="5C641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5C41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标准体系建设</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0068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标准拟定</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D26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档案分类标准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C31D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基于公安部人员档案分类标准，结合一省十一市人员档案属性分类情况调研情况，从属性值、关联要素、标签值、统计值、关联集合5个维度拟定一人一档属性分类标准。</w:t>
            </w:r>
          </w:p>
        </w:tc>
      </w:tr>
      <w:tr w14:paraId="7D5DB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5B270C">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87CE3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4A1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元数据管理标准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3135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遵循公安部《GA/DSJ 200公安大数据处理》，定义了人员主题描述属性对应的原始库、资源库、主题库各数据资源的分级分类、数据资源目录管理标准。</w:t>
            </w:r>
          </w:p>
        </w:tc>
      </w:tr>
      <w:tr w14:paraId="18307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B557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2FA0E3">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338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人员主题描述属性标准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BD86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按照公安部人员主题描述属性要求定义了118个标准属性和扩展属性，按属性类型分为属性值、标签值、统计值、关联结合。本标准同时按照属性字段的参考数据来源，定义了每个字段的共性数据属性和个性数据属性，为属性字段的省市注册规范提供支撑。</w:t>
            </w:r>
          </w:p>
        </w:tc>
      </w:tr>
      <w:tr w14:paraId="16CF2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E9297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7AD46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385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数据元标准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97BE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定义了人员档案属性值子表、标签值子表、统计值子表、关联集合对应原始库资源库表的数据项信息数据项的设计标准、中英文命名规范、归一化标准、代码清洗标准、标签值表结构标准。</w:t>
            </w:r>
          </w:p>
        </w:tc>
      </w:tr>
      <w:tr w14:paraId="64AED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A94D3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454A24">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2C3A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接口封装标准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A04B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定义了组件/服务的注册集成标准以及接口融合的标准。</w:t>
            </w:r>
          </w:p>
        </w:tc>
      </w:tr>
      <w:tr w14:paraId="395A0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9F1B47">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BEFDC5">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24D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统一布局展示规范</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5A376">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统一布局规范定义人员档案的统一展示布局和分类展示样式，为省市一人一档集成应用建设提供统一布局展示规范。同时，统一布局拟定了一人一档资源库整合标准，设计人员轨迹、最新触网的轨迹分类标准、展示字段标准、时序排列标准及列表展示标准，人员关系的列表展示标准、图形化统一布局展示标准。</w:t>
            </w:r>
          </w:p>
        </w:tc>
      </w:tr>
      <w:tr w14:paraId="5DFA9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4898A7">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217A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标准管理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4486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标准目录管理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FF49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提供属性值标准、关联要素标准、标签值标准、统计值标准、关联集合、对象关系标准、对象关系代码标准要素关联数据项标准的统一管理。</w:t>
            </w:r>
          </w:p>
        </w:tc>
      </w:tr>
      <w:tr w14:paraId="59446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D2B9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6464DF">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4B95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标准公示查阅</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FECC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提供标准文档的上传公示，公示信息包括标准名称、文件大小、发布日期。用户可根据标准名称对标准进行查询、下载操作。</w:t>
            </w:r>
          </w:p>
        </w:tc>
      </w:tr>
      <w:tr w14:paraId="634D1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32D7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资源管理建设</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135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资源分析</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9E0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资源总览分析</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F10D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统一展示服务资源总览情况、最新上架服务，服务接口调用延时情况。</w:t>
            </w:r>
          </w:p>
        </w:tc>
      </w:tr>
      <w:tr w14:paraId="182F9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CAC38A">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0C43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资源目录管理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DB5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资源检索</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79BFE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提供人员主题服务接口按照档案分类标准的目录树展示及按照省市数据来源的筛选，同时提供服务接口的统一检索。</w:t>
            </w:r>
          </w:p>
        </w:tc>
      </w:tr>
      <w:tr w14:paraId="51590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33A3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AF480">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481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资源展示</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70C5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技术能力中心接口对接，提供人员主题服务接口的数据项信息展示，展现信息包括资源名称、资源编号、服务类型、所属网域、规约标识符、属性类型、事权单位、所属组件。同时提供服务接口的收藏、评价操作。</w:t>
            </w:r>
          </w:p>
        </w:tc>
      </w:tr>
      <w:tr w14:paraId="083B3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F830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A1911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213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资源详情</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C89CD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基于技术能力中心接口对接，提供人员主题服务接口的接口详情信息展示。星期信息模块包括服务资源的基础信息、请求参数、响应示例模块。</w:t>
            </w:r>
          </w:p>
        </w:tc>
      </w:tr>
      <w:tr w14:paraId="5B9CC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4969D">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E69B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服务管理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7BE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服务接口管理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EA26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对接技术能力中心获取人员主题相关省厅共性接口和地市个性接口清单及详情，提供接口的列表展示及注册管理。</w:t>
            </w:r>
          </w:p>
        </w:tc>
      </w:tr>
      <w:tr w14:paraId="2C503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0737C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C7CD3">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253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服务接口分类注册</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6FE4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基于档案分类标准，按照属性类型分类、一级维度、二级维度、属性中文名对服务接口进行分类注册管理。</w:t>
            </w:r>
          </w:p>
        </w:tc>
      </w:tr>
      <w:tr w14:paraId="4BCC5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98E8D3">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B7B7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数据融合</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844D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叠加型接口融合</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7B3B3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提供基于多服务接口对数据叠加进行可配置化的融合封装。对于电话类接口包括来自省厅和各地市的一个或多个基础电话服务接口，基于人员证件号码和电话号码进行叠加合并，提供一个新的叠加型服务接口。</w:t>
            </w:r>
          </w:p>
        </w:tc>
      </w:tr>
      <w:tr w14:paraId="492DD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52DFE">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9EDD4">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0C2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权重型接口融合</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F65D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提供基于多服务接口按照权重进行可配置化的融合封装。在数据展示过程中，同属性字段基于数据来源权重高低对数据取值进行融合展示，优先展示权重高的来源取值，主要包括人员基本信息的融合。</w:t>
            </w:r>
          </w:p>
        </w:tc>
      </w:tr>
      <w:tr w14:paraId="027CD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E79E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BC3B4D">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3CA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整合型接口融合</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F347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基于多服务接口整合进行可配置化的融合封装。对于轨迹类的数据，省厅和各级地市都会提供相应的组件/服务，需要在一人一档系统中体现出唯一准确的信息，使用各地数据相互补充，形成完整的人员轨迹数据。</w:t>
            </w:r>
          </w:p>
        </w:tc>
      </w:tr>
      <w:tr w14:paraId="4E2E7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A11BD">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14C783">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5D8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集成贯通组件封装</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B745F">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将各融合好的一人一档融合接口按照协同组件标准回注册到技术能力中心，并提供融合类接口的日志调用记录与展示。</w:t>
            </w:r>
          </w:p>
        </w:tc>
      </w:tr>
      <w:tr w14:paraId="78C4C7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11CF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一人一档集成应用</w:t>
            </w: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ECEB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可视化组件</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8230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基础属性值组件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22E9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基于一人一档集成贯通平台基本信息类服务接口和本地基本信息服务接口，封装成可配置的可视化的基础属性值组件。</w:t>
            </w:r>
          </w:p>
        </w:tc>
      </w:tr>
      <w:tr w14:paraId="20450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03DBE6">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39986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6FD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关联要素组件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1989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基于集成贯通平台关联要素服务接口和本地关联要素服务接口，封装成可配置的可视化的关联要素组件。</w:t>
            </w:r>
          </w:p>
        </w:tc>
      </w:tr>
      <w:tr w14:paraId="65296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9F60E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6F98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C1E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标签值组件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4497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基于集成贯通平台标签服务接口和本地标签服务接口，封装成可配置的可视化的标签值组件。</w:t>
            </w:r>
          </w:p>
        </w:tc>
      </w:tr>
      <w:tr w14:paraId="1A021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5D8E8">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B4C58B">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9B4D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统计值组件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E698C">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基于集成贯通平台统计值服务接口和本地统计值服务接口，封装成可配置的可视化的统计值组件。</w:t>
            </w:r>
          </w:p>
        </w:tc>
      </w:tr>
      <w:tr w14:paraId="18383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B905E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08A7DA">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4177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关联集合组件</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19A59">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基于集成贯通平台关联集合服务接口和本地关联服务接口，封装成可配置的可视化的关联集合组件。</w:t>
            </w:r>
          </w:p>
        </w:tc>
      </w:tr>
      <w:tr w14:paraId="47FCD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6FEE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EA6942">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0B14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展示规范配置化工具</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FCEC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支持关联集合中文名称、数据项注释、标签名称等的可配置化管理和展示。</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支持数据资源索引的可配置化管理。</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支持关联集合的信息分类配置。</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支持可视化组件显示字段的可配置化展示。</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支持数据项的可配置化展示管理。</w:t>
            </w:r>
          </w:p>
        </w:tc>
      </w:tr>
      <w:tr w14:paraId="7E893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A9940">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3301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千人千面配置</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14A4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千人千面配置管理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C1C0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面向支队、分局及终端用户，提供一人一档页面基于人员档案5类可视化组件的可配置化管理。终端用户可根据自身业务范围自定义选择所需要的数据资源组件。支持以拖拉拽的方式将对数据资源组件的展示排序进行调整，将关注的资源组件展示在前面。</w:t>
            </w:r>
          </w:p>
        </w:tc>
      </w:tr>
      <w:tr w14:paraId="1762E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649DD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2E71B3">
            <w:pPr>
              <w:jc w:val="center"/>
              <w:rPr>
                <w:rFonts w:hint="eastAsia" w:ascii="仿宋" w:hAnsi="仿宋" w:eastAsia="仿宋" w:cs="仿宋"/>
                <w:i w:val="0"/>
                <w:iCs w:val="0"/>
                <w:color w:val="auto"/>
                <w:sz w:val="22"/>
                <w:szCs w:val="22"/>
                <w:highlight w:val="none"/>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D6B303">
            <w:pPr>
              <w:jc w:val="center"/>
              <w:rPr>
                <w:rFonts w:hint="eastAsia" w:ascii="仿宋" w:hAnsi="仿宋" w:eastAsia="仿宋" w:cs="仿宋"/>
                <w:i w:val="0"/>
                <w:iCs w:val="0"/>
                <w:color w:val="auto"/>
                <w:sz w:val="22"/>
                <w:szCs w:val="22"/>
                <w:highlight w:val="none"/>
                <w:u w:val="none"/>
              </w:rPr>
            </w:pP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6F24BE">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人一档页面配置同时针对权限人员提供关联集合信息的列表展示字段配置和时序排列配置。关联结合的列表展示统一展示6字段，最后一字段一般展示业务时间字段，其他5字段一般依次展示人名字段、业务内容字段、地点字段。时序排列展示配置中可选择表的业务时间字段，按业务时间倒序展示同类表的多条数据。</w:t>
            </w:r>
          </w:p>
        </w:tc>
      </w:tr>
      <w:tr w14:paraId="7B1D3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8DA4CC">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26CC4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一人一档</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148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一人一档典型页面</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4649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人一档页面基于人员档案可视化组件，按照统一布局规范，以人为中心对象构建人员全景视图，将与人有关所有信息进行整合，着力全方位、立体化刻画人员全息档案。一人一档价值意义在于集成贯通全省共性数据及各地市个性数据，同时整合本地数据资源，为民警在社会治理、打击犯罪的工作中，一键实现所有人员相关数据资源的整合检索，破除省市数据壁垒。一人一档页面由人员卡片信息、基本信息、关联要素信息、标签信息、统计信息、关联集合信息、导航目录组成。</w:t>
            </w:r>
          </w:p>
        </w:tc>
      </w:tr>
      <w:tr w14:paraId="14FBD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1AAA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E8E58E">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06A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电话置信度分析</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BCAB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基于多类人员电话关联数据资源，从多种维度（如来源可靠权重、采集时效权重、共用权重等）计算电话置信度，同时建设滤除黑名单库电话。</w:t>
            </w:r>
          </w:p>
        </w:tc>
      </w:tr>
      <w:tr w14:paraId="099B6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D810CA">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C4F644">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AF6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地址权重分析</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557CA">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建立身份证落地居住地计算规则，进行计算获取本市落脚点。</w:t>
            </w:r>
          </w:p>
        </w:tc>
      </w:tr>
      <w:tr w14:paraId="7324D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68FE1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671267">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6CD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四码信息分析展示</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3CA54">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基于批处理引擎，分析手机号码的历史四码数据及最新四码数据，支撑四码关联分析。</w:t>
            </w:r>
          </w:p>
        </w:tc>
      </w:tr>
      <w:tr w14:paraId="56A43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FA58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83E0E6">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9AC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人员档案组织实施服务</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277E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支持按照规范基于温州本地不少于100类的数据资源、省厅不少于50类服务资源，提供资源级别人员档案组织实施服务。</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支持按照规范基于以上数据资源的数据项，提供数据项级别的人员档案组织实施服务。</w:t>
            </w:r>
          </w:p>
        </w:tc>
      </w:tr>
      <w:tr w14:paraId="768F2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045F79">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BFE40">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836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color w:val="auto"/>
                <w:kern w:val="0"/>
                <w:sz w:val="22"/>
                <w:szCs w:val="22"/>
                <w:highlight w:val="none"/>
                <w:lang w:bidi="ar"/>
              </w:rPr>
              <w:t>★</w:t>
            </w:r>
            <w:r>
              <w:rPr>
                <w:rFonts w:hint="eastAsia" w:ascii="仿宋" w:hAnsi="仿宋" w:eastAsia="仿宋" w:cs="仿宋"/>
                <w:i w:val="0"/>
                <w:iCs w:val="0"/>
                <w:color w:val="auto"/>
                <w:kern w:val="0"/>
                <w:sz w:val="22"/>
                <w:szCs w:val="22"/>
                <w:highlight w:val="none"/>
                <w:u w:val="none"/>
                <w:lang w:val="en-US" w:eastAsia="zh-CN" w:bidi="ar"/>
              </w:rPr>
              <w:t>人员常驻地模型与应用展示</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ACC1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基于批处理引擎，利用人像感知、地址登记等维度数据，结合场所数据，分析计算人员的相关常驻地信息并结合地图展示。支持详情下钻。</w:t>
            </w:r>
          </w:p>
        </w:tc>
      </w:tr>
      <w:tr w14:paraId="57391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8BCC2">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03AB37">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7CE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人员最新触网</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F29E78">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按照人员轨迹标签规范和最新触网展示规范，从人员多维轨迹出发，整合各类人员轨迹数据信息，展示人员的最新触网信息，并结合地图展示。支持详情下钻。</w:t>
            </w:r>
          </w:p>
        </w:tc>
      </w:tr>
      <w:tr w14:paraId="6EAF6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9419D5">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AB51E9">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20E5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关联车辆断点分析与应用</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736F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基于批处理引擎，利用车辆轨迹相关的数据资源，分析计算车辆的断点、夜间驻留点、日渐驻留点等信息并结合地图引擎展示。支持详情下钻。</w:t>
            </w:r>
          </w:p>
        </w:tc>
      </w:tr>
      <w:tr w14:paraId="71141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3EF1FC">
            <w:pPr>
              <w:jc w:val="center"/>
              <w:rPr>
                <w:rFonts w:hint="eastAsia" w:ascii="仿宋" w:hAnsi="仿宋" w:eastAsia="仿宋" w:cs="仿宋"/>
                <w:i w:val="0"/>
                <w:iCs w:val="0"/>
                <w:color w:val="auto"/>
                <w:sz w:val="22"/>
                <w:szCs w:val="22"/>
                <w:highlight w:val="none"/>
                <w:u w:val="none"/>
              </w:rPr>
            </w:pP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A96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浙警智治应用集成</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2ED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浙警智治应用集成（零信任）</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5A8CB">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对接零信任和警综平台，对一人一档应用的访问进行统一的角色与权限管理，实现因人、因时、因事动态鉴权，做好日志留存和日志审计，确保数据安全。</w:t>
            </w:r>
          </w:p>
        </w:tc>
      </w:tr>
      <w:tr w14:paraId="0333D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7575B">
            <w:pPr>
              <w:jc w:val="center"/>
              <w:rPr>
                <w:rFonts w:hint="eastAsia" w:ascii="仿宋" w:hAnsi="仿宋" w:eastAsia="仿宋" w:cs="仿宋"/>
                <w:i w:val="0"/>
                <w:iCs w:val="0"/>
                <w:color w:val="auto"/>
                <w:sz w:val="22"/>
                <w:szCs w:val="22"/>
                <w:highlight w:val="none"/>
                <w:u w:val="none"/>
              </w:rPr>
            </w:pPr>
          </w:p>
        </w:tc>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CAD7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应用支撑管理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6FB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部门与用户管理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FC9E1">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对接省厅警综平台标准的部门与用户管理数据，可自主添加本地用户，实现对用户管理、权限授权等功能。</w:t>
            </w:r>
          </w:p>
        </w:tc>
      </w:tr>
      <w:tr w14:paraId="2D332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F41BA3">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DF11E">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0A4A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角色也授权管理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80E57">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1，支持角色管理：基于角色管理系统访问控制策略，对于系统资源的访问，根据用户的角色进行相应的授权，通过动态更改用户的角色，可灵活控制资源的访问策略。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2，支持资源访问权限控制：各类数据资源、省厅接口资源、专题应用资源、各类搜索资源，结合角色授权实现访问人员各类数据资源权限和功能权限的多重控制。</w:t>
            </w:r>
          </w:p>
        </w:tc>
      </w:tr>
      <w:tr w14:paraId="7128D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14974B">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A90ED9">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F88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安全管理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889D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1，支持数据访问级别控制：支持不同级别的用户只能访问相应级别权限的数据，属于数据字段级的访问控制策略。</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2，支持页面背景水印：页面背景水印，水印内容包括访问者IP、访问者姓名、访问者身份证等关键信息。</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3，支持访问IP限制：对非辖区和不可信任的访问IP地址进行限制。</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4，红名单管理：通过红名单分级管理，提供红名单导入、查询访问限制，对检索的包含红名单关键词的结果加密显示。</w:t>
            </w:r>
          </w:p>
        </w:tc>
      </w:tr>
      <w:tr w14:paraId="45587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BDFD51">
            <w:pPr>
              <w:jc w:val="center"/>
              <w:rPr>
                <w:rFonts w:hint="eastAsia" w:ascii="仿宋" w:hAnsi="仿宋" w:eastAsia="仿宋" w:cs="仿宋"/>
                <w:i w:val="0"/>
                <w:iCs w:val="0"/>
                <w:color w:val="auto"/>
                <w:sz w:val="22"/>
                <w:szCs w:val="22"/>
                <w:highlight w:val="none"/>
                <w:u w:val="none"/>
              </w:rPr>
            </w:pPr>
          </w:p>
        </w:tc>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F76A1">
            <w:pPr>
              <w:jc w:val="center"/>
              <w:rPr>
                <w:rFonts w:hint="eastAsia" w:ascii="仿宋" w:hAnsi="仿宋" w:eastAsia="仿宋" w:cs="仿宋"/>
                <w:i w:val="0"/>
                <w:iCs w:val="0"/>
                <w:color w:val="auto"/>
                <w:sz w:val="22"/>
                <w:szCs w:val="22"/>
                <w:highlight w:val="none"/>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ED0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自主权限申请管理</w:t>
            </w:r>
          </w:p>
        </w:tc>
        <w:tc>
          <w:tcPr>
            <w:tcW w:w="3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C1642">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提供民警权限申请管理、权限审批管理、权限限额与统计管理。</w:t>
            </w:r>
          </w:p>
        </w:tc>
      </w:tr>
    </w:tbl>
    <w:p w14:paraId="28502B10">
      <w:pPr>
        <w:keepLines/>
        <w:spacing w:line="360" w:lineRule="auto"/>
        <w:rPr>
          <w:rFonts w:hint="eastAsia" w:ascii="仿宋" w:hAnsi="仿宋" w:eastAsia="仿宋" w:cs="仿宋"/>
          <w:b/>
          <w:bCs/>
          <w:color w:val="auto"/>
          <w:sz w:val="22"/>
          <w:szCs w:val="22"/>
          <w:highlight w:val="none"/>
        </w:rPr>
      </w:pPr>
    </w:p>
    <w:p w14:paraId="7CB30121">
      <w:pPr>
        <w:rPr>
          <w:rFonts w:hint="eastAsia" w:ascii="仿宋" w:hAnsi="仿宋" w:eastAsia="仿宋" w:cs="仿宋"/>
          <w:color w:val="auto"/>
          <w:sz w:val="22"/>
          <w:szCs w:val="22"/>
          <w:highlight w:val="none"/>
        </w:rPr>
      </w:pPr>
    </w:p>
    <w:p w14:paraId="4583FBEC">
      <w:pPr>
        <w:keepLines/>
        <w:spacing w:line="360" w:lineRule="auto"/>
        <w:ind w:left="420" w:leftChars="200"/>
        <w:rPr>
          <w:rFonts w:hint="eastAsia" w:ascii="仿宋" w:hAnsi="仿宋" w:eastAsia="仿宋" w:cs="仿宋"/>
          <w:b/>
          <w:bCs/>
          <w:color w:val="auto"/>
          <w:sz w:val="22"/>
          <w:szCs w:val="22"/>
          <w:highlight w:val="none"/>
        </w:rPr>
      </w:pPr>
      <w:bookmarkStart w:id="95" w:name="_Toc83748046"/>
      <w:r>
        <w:rPr>
          <w:rFonts w:hint="eastAsia" w:ascii="仿宋" w:hAnsi="仿宋" w:eastAsia="仿宋" w:cs="仿宋"/>
          <w:b/>
          <w:bCs/>
          <w:color w:val="auto"/>
          <w:sz w:val="22"/>
          <w:szCs w:val="22"/>
          <w:highlight w:val="none"/>
        </w:rPr>
        <w:t>2.3软件技术要求</w:t>
      </w:r>
      <w:bookmarkEnd w:id="95"/>
    </w:p>
    <w:bookmarkEnd w:id="94"/>
    <w:p w14:paraId="5851FCEA">
      <w:pPr>
        <w:widowControl/>
        <w:spacing w:line="360" w:lineRule="auto"/>
        <w:ind w:firstLine="440" w:firstLineChars="200"/>
        <w:rPr>
          <w:rFonts w:hint="eastAsia" w:ascii="仿宋" w:hAnsi="仿宋" w:eastAsia="仿宋" w:cs="仿宋"/>
          <w:color w:val="auto"/>
          <w:kern w:val="0"/>
          <w:sz w:val="22"/>
          <w:szCs w:val="22"/>
          <w:highlight w:val="none"/>
        </w:rPr>
      </w:pPr>
      <w:bookmarkStart w:id="96" w:name="_Toc414365423"/>
      <w:bookmarkEnd w:id="96"/>
      <w:bookmarkStart w:id="97" w:name="_Toc414365424"/>
      <w:bookmarkEnd w:id="97"/>
      <w:bookmarkStart w:id="98" w:name="_Toc414259859"/>
      <w:bookmarkEnd w:id="98"/>
      <w:bookmarkStart w:id="99" w:name="_Toc414259860"/>
      <w:bookmarkEnd w:id="99"/>
      <w:bookmarkStart w:id="100" w:name="_Toc414259861"/>
      <w:bookmarkEnd w:id="100"/>
      <w:bookmarkStart w:id="101" w:name="_Toc414365422"/>
      <w:bookmarkEnd w:id="101"/>
      <w:bookmarkStart w:id="102" w:name="_Toc83748047"/>
      <w:r>
        <w:rPr>
          <w:rFonts w:hint="eastAsia" w:ascii="仿宋" w:hAnsi="仿宋" w:eastAsia="仿宋" w:cs="仿宋"/>
          <w:color w:val="auto"/>
          <w:kern w:val="0"/>
          <w:sz w:val="22"/>
          <w:szCs w:val="22"/>
          <w:highlight w:val="none"/>
        </w:rPr>
        <w:t>1、分布式关系型数据库技术</w:t>
      </w:r>
    </w:p>
    <w:p w14:paraId="26328B71">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2、分布式列存储技术</w:t>
      </w:r>
    </w:p>
    <w:p w14:paraId="07576421">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3、分布式并行计算技术</w:t>
      </w:r>
    </w:p>
    <w:p w14:paraId="10FC9ECC">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4、全文检索技术</w:t>
      </w:r>
    </w:p>
    <w:p w14:paraId="69151CD7">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5、分布式消息队列技术</w:t>
      </w:r>
    </w:p>
    <w:p w14:paraId="4B74A304">
      <w:pPr>
        <w:widowControl/>
        <w:spacing w:line="360" w:lineRule="auto"/>
        <w:ind w:firstLine="440" w:firstLineChars="200"/>
        <w:rPr>
          <w:rFonts w:hint="eastAsia" w:ascii="仿宋" w:hAnsi="仿宋" w:eastAsia="仿宋" w:cs="仿宋"/>
          <w:color w:val="auto"/>
          <w:kern w:val="0"/>
          <w:sz w:val="22"/>
          <w:szCs w:val="22"/>
          <w:highlight w:val="none"/>
        </w:rPr>
      </w:pPr>
    </w:p>
    <w:p w14:paraId="1064005E">
      <w:pPr>
        <w:keepLines/>
        <w:spacing w:line="360" w:lineRule="auto"/>
        <w:ind w:left="420" w:leftChars="200"/>
        <w:rPr>
          <w:rFonts w:hint="eastAsia" w:ascii="仿宋" w:hAnsi="仿宋" w:eastAsia="仿宋" w:cs="仿宋"/>
          <w:b/>
          <w:bCs/>
          <w:color w:val="auto"/>
          <w:kern w:val="44"/>
          <w:sz w:val="22"/>
          <w:szCs w:val="22"/>
          <w:highlight w:val="none"/>
        </w:rPr>
      </w:pPr>
      <w:r>
        <w:rPr>
          <w:rFonts w:hint="eastAsia" w:ascii="仿宋" w:hAnsi="仿宋" w:eastAsia="仿宋" w:cs="仿宋"/>
          <w:b/>
          <w:bCs/>
          <w:color w:val="auto"/>
          <w:kern w:val="44"/>
          <w:sz w:val="22"/>
          <w:szCs w:val="22"/>
          <w:highlight w:val="none"/>
        </w:rPr>
        <w:t>三、项目实施要求</w:t>
      </w:r>
      <w:bookmarkEnd w:id="102"/>
      <w:bookmarkStart w:id="103" w:name="_Toc83748048"/>
    </w:p>
    <w:p w14:paraId="289177A4">
      <w:pPr>
        <w:keepLines/>
        <w:spacing w:line="360" w:lineRule="auto"/>
        <w:ind w:left="420"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3.1.建设工期要求</w:t>
      </w:r>
      <w:bookmarkEnd w:id="103"/>
    </w:p>
    <w:p w14:paraId="59EB3490">
      <w:pPr>
        <w:keepLines/>
        <w:spacing w:line="360" w:lineRule="auto"/>
        <w:ind w:left="210" w:leftChars="100" w:firstLine="220" w:firstLineChars="100"/>
        <w:rPr>
          <w:rFonts w:hint="eastAsia" w:ascii="仿宋" w:hAnsi="仿宋" w:eastAsia="仿宋" w:cs="仿宋"/>
          <w:color w:val="auto"/>
          <w:kern w:val="0"/>
          <w:sz w:val="22"/>
          <w:szCs w:val="22"/>
          <w:highlight w:val="none"/>
        </w:rPr>
      </w:pPr>
      <w:bookmarkStart w:id="104" w:name="_Toc83748049"/>
      <w:r>
        <w:rPr>
          <w:rFonts w:hint="eastAsia" w:ascii="仿宋" w:hAnsi="仿宋" w:eastAsia="仿宋" w:cs="仿宋"/>
          <w:color w:val="auto"/>
          <w:kern w:val="0"/>
          <w:sz w:val="22"/>
          <w:szCs w:val="22"/>
          <w:highlight w:val="none"/>
        </w:rPr>
        <w:t>本项目</w:t>
      </w:r>
      <w:r>
        <w:rPr>
          <w:rFonts w:hint="eastAsia" w:ascii="仿宋" w:hAnsi="仿宋" w:eastAsia="仿宋" w:cs="仿宋"/>
          <w:color w:val="auto"/>
          <w:kern w:val="0"/>
          <w:sz w:val="22"/>
          <w:szCs w:val="22"/>
          <w:highlight w:val="none"/>
          <w:lang w:val="en-US" w:eastAsia="zh-CN"/>
        </w:rPr>
        <w:t>要求</w:t>
      </w:r>
      <w:r>
        <w:rPr>
          <w:rFonts w:hint="eastAsia" w:ascii="仿宋" w:hAnsi="仿宋" w:eastAsia="仿宋" w:cs="仿宋"/>
          <w:color w:val="auto"/>
          <w:kern w:val="0"/>
          <w:sz w:val="22"/>
          <w:szCs w:val="22"/>
          <w:highlight w:val="none"/>
        </w:rPr>
        <w:t>建设实施工期共为</w:t>
      </w:r>
      <w:r>
        <w:rPr>
          <w:rFonts w:hint="eastAsia" w:ascii="仿宋" w:hAnsi="仿宋" w:eastAsia="仿宋" w:cs="仿宋"/>
          <w:color w:val="auto"/>
          <w:kern w:val="0"/>
          <w:sz w:val="22"/>
          <w:szCs w:val="22"/>
          <w:highlight w:val="none"/>
          <w:lang w:val="en-US" w:eastAsia="zh-CN"/>
        </w:rPr>
        <w:t>1年</w:t>
      </w:r>
      <w:r>
        <w:rPr>
          <w:rFonts w:hint="eastAsia" w:ascii="仿宋" w:hAnsi="仿宋" w:eastAsia="仿宋" w:cs="仿宋"/>
          <w:color w:val="auto"/>
          <w:kern w:val="0"/>
          <w:sz w:val="22"/>
          <w:szCs w:val="22"/>
          <w:highlight w:val="none"/>
        </w:rPr>
        <w:t>，</w:t>
      </w:r>
      <w:r>
        <w:rPr>
          <w:rFonts w:hint="eastAsia" w:ascii="仿宋" w:hAnsi="仿宋" w:eastAsia="仿宋" w:cs="仿宋"/>
          <w:color w:val="auto"/>
          <w:kern w:val="0"/>
          <w:sz w:val="22"/>
          <w:szCs w:val="22"/>
          <w:highlight w:val="none"/>
          <w:lang w:val="en-US" w:eastAsia="zh-CN"/>
        </w:rPr>
        <w:t>其中包含</w:t>
      </w:r>
      <w:r>
        <w:rPr>
          <w:rFonts w:hint="eastAsia" w:ascii="仿宋" w:hAnsi="仿宋" w:eastAsia="仿宋" w:cs="仿宋"/>
          <w:color w:val="auto"/>
          <w:kern w:val="0"/>
          <w:sz w:val="22"/>
          <w:szCs w:val="22"/>
          <w:highlight w:val="none"/>
        </w:rPr>
        <w:t>试运行3个月。</w:t>
      </w:r>
    </w:p>
    <w:p w14:paraId="29ED241D">
      <w:pPr>
        <w:keepLines/>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3.2.实施要求</w:t>
      </w:r>
      <w:bookmarkEnd w:id="104"/>
    </w:p>
    <w:p w14:paraId="221947D0">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项目实施地点在温州市公安局，项目开发期间需提供人员10人及以上，其中要求项目负责人1人，开发人员</w:t>
      </w:r>
      <w:r>
        <w:rPr>
          <w:rFonts w:hint="eastAsia" w:ascii="仿宋" w:hAnsi="仿宋" w:eastAsia="仿宋" w:cs="仿宋"/>
          <w:color w:val="auto"/>
          <w:kern w:val="0"/>
          <w:sz w:val="22"/>
          <w:szCs w:val="22"/>
          <w:highlight w:val="none"/>
          <w:lang w:val="en-US" w:eastAsia="zh-CN"/>
        </w:rPr>
        <w:t>6</w:t>
      </w:r>
      <w:r>
        <w:rPr>
          <w:rFonts w:hint="eastAsia" w:ascii="仿宋" w:hAnsi="仿宋" w:eastAsia="仿宋" w:cs="仿宋"/>
          <w:color w:val="auto"/>
          <w:kern w:val="0"/>
          <w:sz w:val="22"/>
          <w:szCs w:val="22"/>
          <w:highlight w:val="none"/>
        </w:rPr>
        <w:t>人，治理实施人员2人，数据运维人员1人。</w:t>
      </w:r>
    </w:p>
    <w:p w14:paraId="238D5AA4">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供应商应提供详细的项目建设实施方案,项目实施的保障措施和风险控制。</w:t>
      </w:r>
    </w:p>
    <w:p w14:paraId="22817842">
      <w:pPr>
        <w:keepLines/>
        <w:spacing w:line="360" w:lineRule="auto"/>
        <w:ind w:left="420" w:leftChars="200"/>
        <w:rPr>
          <w:rFonts w:hint="eastAsia" w:ascii="仿宋" w:hAnsi="仿宋" w:eastAsia="仿宋" w:cs="仿宋"/>
          <w:b/>
          <w:bCs/>
          <w:color w:val="auto"/>
          <w:sz w:val="22"/>
          <w:szCs w:val="22"/>
          <w:highlight w:val="none"/>
        </w:rPr>
      </w:pPr>
      <w:bookmarkStart w:id="105" w:name="_Toc83748050"/>
      <w:r>
        <w:rPr>
          <w:rFonts w:hint="eastAsia" w:ascii="仿宋" w:hAnsi="仿宋" w:eastAsia="仿宋" w:cs="仿宋"/>
          <w:b/>
          <w:bCs/>
          <w:color w:val="auto"/>
          <w:sz w:val="22"/>
          <w:szCs w:val="22"/>
          <w:highlight w:val="none"/>
        </w:rPr>
        <w:t>3.3.服务要求</w:t>
      </w:r>
      <w:bookmarkEnd w:id="105"/>
    </w:p>
    <w:p w14:paraId="2378C9EF">
      <w:pPr>
        <w:keepLines/>
        <w:spacing w:line="360" w:lineRule="auto"/>
        <w:ind w:left="420" w:leftChars="200"/>
        <w:rPr>
          <w:rFonts w:hint="eastAsia" w:ascii="仿宋" w:hAnsi="仿宋" w:eastAsia="仿宋" w:cs="仿宋"/>
          <w:b/>
          <w:bCs/>
          <w:color w:val="auto"/>
          <w:sz w:val="22"/>
          <w:szCs w:val="22"/>
          <w:highlight w:val="none"/>
        </w:rPr>
      </w:pPr>
      <w:bookmarkStart w:id="106" w:name="_Toc83748051"/>
      <w:r>
        <w:rPr>
          <w:rFonts w:hint="eastAsia" w:ascii="仿宋" w:hAnsi="仿宋" w:eastAsia="仿宋" w:cs="仿宋"/>
          <w:b/>
          <w:bCs/>
          <w:color w:val="auto"/>
          <w:sz w:val="22"/>
          <w:szCs w:val="22"/>
          <w:highlight w:val="none"/>
        </w:rPr>
        <w:t>3.3.1.技术支持与售后服务</w:t>
      </w:r>
      <w:bookmarkEnd w:id="106"/>
    </w:p>
    <w:p w14:paraId="215BC381">
      <w:pPr>
        <w:widowControl/>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系统运维期：3年内，自项目验收合格之日</w:t>
      </w:r>
      <w:r>
        <w:rPr>
          <w:rFonts w:hint="eastAsia" w:ascii="宋体" w:hAnsi="宋体" w:cs="宋体"/>
          <w:color w:val="auto"/>
          <w:kern w:val="0"/>
          <w:szCs w:val="21"/>
          <w:highlight w:val="none"/>
          <w:u w:val="none"/>
          <w:lang w:val="en-US" w:eastAsia="zh-CN"/>
        </w:rPr>
        <w:t>的次日</w:t>
      </w:r>
      <w:r>
        <w:rPr>
          <w:rFonts w:hint="eastAsia" w:ascii="宋体" w:hAnsi="宋体" w:cs="宋体"/>
          <w:color w:val="auto"/>
          <w:kern w:val="0"/>
          <w:szCs w:val="21"/>
          <w:highlight w:val="none"/>
        </w:rPr>
        <w:t>起计算。</w:t>
      </w:r>
    </w:p>
    <w:p w14:paraId="5867E542">
      <w:pPr>
        <w:widowControl/>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中标人应根据采购人的需求，对所提供的系统保证全面、有效、及时的技术支持和售后服务。</w:t>
      </w:r>
    </w:p>
    <w:p w14:paraId="4BE9D08B">
      <w:pPr>
        <w:widowControl/>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在系统运维期内，中标人应向招标方提供7*24 小时的服务响应，保证采购人可以随时找到相应的技术人员，如有必要， 要在3小时之内赶到现场予以技术支持。质量保证期从系统最终验收之日起开始计算。</w:t>
      </w:r>
    </w:p>
    <w:p w14:paraId="5EBD73AD">
      <w:pPr>
        <w:keepLines/>
        <w:spacing w:line="360" w:lineRule="auto"/>
        <w:ind w:left="420" w:leftChars="200"/>
        <w:rPr>
          <w:rFonts w:hint="eastAsia" w:ascii="仿宋" w:hAnsi="仿宋" w:eastAsia="仿宋" w:cs="仿宋"/>
          <w:b/>
          <w:bCs/>
          <w:color w:val="auto"/>
          <w:sz w:val="22"/>
          <w:szCs w:val="22"/>
          <w:highlight w:val="none"/>
        </w:rPr>
      </w:pPr>
      <w:bookmarkStart w:id="107" w:name="_Toc83748052"/>
      <w:r>
        <w:rPr>
          <w:rFonts w:hint="eastAsia" w:ascii="仿宋" w:hAnsi="仿宋" w:eastAsia="仿宋" w:cs="仿宋"/>
          <w:b/>
          <w:bCs/>
          <w:color w:val="auto"/>
          <w:sz w:val="22"/>
          <w:szCs w:val="22"/>
          <w:highlight w:val="none"/>
        </w:rPr>
        <w:t>3.3.2.驻场维护服务</w:t>
      </w:r>
      <w:bookmarkEnd w:id="107"/>
    </w:p>
    <w:p w14:paraId="62001BE0">
      <w:pPr>
        <w:widowControl/>
        <w:spacing w:line="360" w:lineRule="auto"/>
        <w:ind w:firstLine="420" w:firstLineChars="200"/>
        <w:rPr>
          <w:rFonts w:hint="eastAsia" w:ascii="宋体" w:hAnsi="宋体" w:cs="宋体"/>
          <w:kern w:val="0"/>
          <w:szCs w:val="21"/>
        </w:rPr>
      </w:pPr>
      <w:r>
        <w:rPr>
          <w:rFonts w:hint="eastAsia" w:ascii="宋体" w:hAnsi="宋体" w:cs="宋体"/>
          <w:color w:val="auto"/>
          <w:kern w:val="0"/>
          <w:szCs w:val="21"/>
          <w:highlight w:val="none"/>
        </w:rPr>
        <w:t>中标人在项目</w:t>
      </w:r>
      <w:r>
        <w:rPr>
          <w:rFonts w:hint="eastAsia" w:ascii="宋体" w:hAnsi="宋体" w:cs="宋体"/>
          <w:color w:val="auto"/>
          <w:kern w:val="0"/>
          <w:szCs w:val="21"/>
          <w:highlight w:val="none"/>
          <w:lang w:val="en-US" w:eastAsia="zh-CN"/>
        </w:rPr>
        <w:t>运维</w:t>
      </w:r>
      <w:r>
        <w:rPr>
          <w:rFonts w:hint="eastAsia" w:ascii="宋体" w:hAnsi="宋体" w:cs="宋体"/>
          <w:color w:val="auto"/>
          <w:kern w:val="0"/>
          <w:szCs w:val="21"/>
          <w:highlight w:val="none"/>
        </w:rPr>
        <w:t>期</w:t>
      </w:r>
      <w:r>
        <w:rPr>
          <w:rFonts w:hint="eastAsia" w:ascii="宋体" w:hAnsi="宋体" w:cs="宋体"/>
          <w:color w:val="auto"/>
          <w:kern w:val="0"/>
          <w:szCs w:val="21"/>
          <w:highlight w:val="none"/>
          <w:lang w:val="en-US" w:eastAsia="zh-CN"/>
        </w:rPr>
        <w:t>第一年</w:t>
      </w:r>
      <w:r>
        <w:rPr>
          <w:rFonts w:hint="eastAsia" w:ascii="宋体" w:hAnsi="宋体" w:cs="宋体"/>
          <w:color w:val="auto"/>
          <w:kern w:val="0"/>
          <w:szCs w:val="21"/>
          <w:highlight w:val="none"/>
        </w:rPr>
        <w:t>需提供</w:t>
      </w:r>
      <w:r>
        <w:rPr>
          <w:rFonts w:hint="eastAsia" w:ascii="宋体" w:hAnsi="宋体" w:cs="宋体"/>
          <w:color w:val="auto"/>
          <w:kern w:val="0"/>
          <w:szCs w:val="21"/>
          <w:highlight w:val="none"/>
          <w:lang w:val="en-US" w:eastAsia="zh-CN"/>
        </w:rPr>
        <w:t>至少1人</w:t>
      </w:r>
      <w:r>
        <w:rPr>
          <w:rFonts w:hint="eastAsia" w:ascii="宋体" w:hAnsi="宋体" w:cs="宋体"/>
          <w:color w:val="auto"/>
          <w:kern w:val="0"/>
          <w:szCs w:val="21"/>
          <w:highlight w:val="none"/>
        </w:rPr>
        <w:t>驻场运维服务，协助采购人对平台进行维护，服务范围至少包括运维支持、软件升级、扩容支持、性能调优、技术咨询、各种突发事件的应急策略、数据备份等。</w:t>
      </w:r>
    </w:p>
    <w:p w14:paraId="2654AE09">
      <w:pPr>
        <w:keepLines/>
        <w:spacing w:line="360" w:lineRule="auto"/>
        <w:ind w:left="420" w:leftChars="200"/>
        <w:rPr>
          <w:rFonts w:hint="eastAsia" w:ascii="仿宋" w:hAnsi="仿宋" w:eastAsia="仿宋" w:cs="仿宋"/>
          <w:b/>
          <w:bCs/>
          <w:color w:val="auto"/>
          <w:sz w:val="22"/>
          <w:szCs w:val="22"/>
          <w:highlight w:val="none"/>
        </w:rPr>
      </w:pPr>
      <w:bookmarkStart w:id="108" w:name="_Toc83748053"/>
      <w:r>
        <w:rPr>
          <w:rFonts w:hint="eastAsia" w:ascii="仿宋" w:hAnsi="仿宋" w:eastAsia="仿宋" w:cs="仿宋"/>
          <w:b/>
          <w:bCs/>
          <w:color w:val="auto"/>
          <w:sz w:val="22"/>
          <w:szCs w:val="22"/>
          <w:highlight w:val="none"/>
        </w:rPr>
        <w:t>3.3.3.培训要求</w:t>
      </w:r>
      <w:bookmarkEnd w:id="108"/>
    </w:p>
    <w:p w14:paraId="1834E5D4">
      <w:pPr>
        <w:widowControl/>
        <w:spacing w:line="360" w:lineRule="auto"/>
        <w:ind w:firstLine="440" w:firstLineChars="200"/>
        <w:rPr>
          <w:rFonts w:hint="eastAsia" w:ascii="仿宋" w:hAnsi="仿宋" w:eastAsia="仿宋" w:cs="仿宋"/>
          <w:color w:val="auto"/>
          <w:kern w:val="0"/>
          <w:sz w:val="22"/>
          <w:szCs w:val="22"/>
          <w:highlight w:val="none"/>
        </w:rPr>
      </w:pPr>
      <w:bookmarkStart w:id="109" w:name="_Hlk86765834"/>
      <w:r>
        <w:rPr>
          <w:rFonts w:hint="eastAsia" w:ascii="仿宋" w:hAnsi="仿宋" w:eastAsia="仿宋" w:cs="仿宋"/>
          <w:color w:val="auto"/>
          <w:kern w:val="0"/>
          <w:sz w:val="22"/>
          <w:szCs w:val="22"/>
          <w:highlight w:val="none"/>
        </w:rPr>
        <w:t>供应商应详细制定人员培训方案，培训方案应包括培训目的、培训内容、培训时间安排、培训方式等。培训分为现场培训和分层次培训，现场培训不少于1次，培训对象为系统使用人员，培训地点为甲方指定地点；分层次培训不少于1次，分层次培训的对象为系统管理、软件维护以及其他使用人员。具体培训人数和培训时长以采购人确认为准。培训费用包含在项目实施费用中，由中标单位承担。</w:t>
      </w:r>
    </w:p>
    <w:bookmarkEnd w:id="85"/>
    <w:bookmarkEnd w:id="86"/>
    <w:bookmarkEnd w:id="87"/>
    <w:bookmarkEnd w:id="88"/>
    <w:bookmarkEnd w:id="89"/>
    <w:bookmarkEnd w:id="90"/>
    <w:bookmarkEnd w:id="91"/>
    <w:bookmarkEnd w:id="109"/>
    <w:p w14:paraId="60C17B98">
      <w:pPr>
        <w:keepLines/>
        <w:spacing w:line="360" w:lineRule="auto"/>
        <w:ind w:left="420"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3.3.</w:t>
      </w:r>
      <w:r>
        <w:rPr>
          <w:rFonts w:hint="eastAsia" w:ascii="仿宋" w:hAnsi="仿宋" w:eastAsia="仿宋" w:cs="仿宋"/>
          <w:b/>
          <w:bCs/>
          <w:color w:val="auto"/>
          <w:sz w:val="22"/>
          <w:szCs w:val="22"/>
          <w:highlight w:val="none"/>
          <w:lang w:val="en-US" w:eastAsia="zh-CN"/>
        </w:rPr>
        <w:t>4</w:t>
      </w:r>
      <w:r>
        <w:rPr>
          <w:rFonts w:hint="eastAsia" w:ascii="仿宋" w:hAnsi="仿宋" w:eastAsia="仿宋" w:cs="仿宋"/>
          <w:b/>
          <w:bCs/>
          <w:color w:val="auto"/>
          <w:sz w:val="22"/>
          <w:szCs w:val="22"/>
          <w:highlight w:val="none"/>
        </w:rPr>
        <w:t>.安全保密要求</w:t>
      </w:r>
    </w:p>
    <w:p w14:paraId="600BF663">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中标人在合同签订前需与采购人签订项目保密协议。</w:t>
      </w:r>
    </w:p>
    <w:p w14:paraId="3ECBBAF5">
      <w:pPr>
        <w:keepLines/>
        <w:spacing w:line="360" w:lineRule="auto"/>
        <w:ind w:left="420" w:leftChars="200"/>
        <w:rPr>
          <w:rFonts w:hint="eastAsia" w:ascii="仿宋" w:hAnsi="仿宋" w:eastAsia="仿宋" w:cs="仿宋"/>
          <w:b/>
          <w:bCs/>
          <w:color w:val="auto"/>
          <w:sz w:val="22"/>
          <w:szCs w:val="22"/>
          <w:highlight w:val="none"/>
        </w:rPr>
      </w:pPr>
      <w:bookmarkStart w:id="110" w:name="_Toc83748055"/>
      <w:r>
        <w:rPr>
          <w:rFonts w:hint="eastAsia" w:ascii="仿宋" w:hAnsi="仿宋" w:eastAsia="仿宋" w:cs="仿宋"/>
          <w:b/>
          <w:bCs/>
          <w:color w:val="auto"/>
          <w:sz w:val="22"/>
          <w:szCs w:val="22"/>
          <w:highlight w:val="none"/>
        </w:rPr>
        <w:t>3.3.</w:t>
      </w:r>
      <w:r>
        <w:rPr>
          <w:rFonts w:hint="eastAsia" w:ascii="仿宋" w:hAnsi="仿宋" w:eastAsia="仿宋" w:cs="仿宋"/>
          <w:b/>
          <w:bCs/>
          <w:color w:val="auto"/>
          <w:sz w:val="22"/>
          <w:szCs w:val="22"/>
          <w:highlight w:val="none"/>
          <w:lang w:val="en-US" w:eastAsia="zh-CN"/>
        </w:rPr>
        <w:t>5</w:t>
      </w:r>
      <w:r>
        <w:rPr>
          <w:rFonts w:hint="eastAsia" w:ascii="仿宋" w:hAnsi="仿宋" w:eastAsia="仿宋" w:cs="仿宋"/>
          <w:b/>
          <w:bCs/>
          <w:color w:val="auto"/>
          <w:sz w:val="22"/>
          <w:szCs w:val="22"/>
          <w:highlight w:val="none"/>
        </w:rPr>
        <w:t>.验收要求</w:t>
      </w:r>
      <w:bookmarkEnd w:id="110"/>
    </w:p>
    <w:p w14:paraId="4BA9AB4F">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按照采购文件规定的技术、服务等要求由采购人组织对中标人履约的验收，并出具《政府采购项目验收单》。</w:t>
      </w:r>
    </w:p>
    <w:p w14:paraId="625E2625">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本项目采购软件系统试运行完成后，采购人将组织进行验收，中标人配合采购人验收时间。验收以实测为主（满足招标开发需求）、主观评价为辅。</w:t>
      </w:r>
    </w:p>
    <w:p w14:paraId="340EBF37">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中标人在系统验收前向采购方提出系统验收申请。系统验收由采购人组织。</w:t>
      </w:r>
    </w:p>
    <w:p w14:paraId="05384539">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（1）交付成果要求</w:t>
      </w:r>
    </w:p>
    <w:p w14:paraId="566628B9">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中标人在工程实施开始和结束时应向用户提供下述技术文档：</w:t>
      </w:r>
    </w:p>
    <w:p w14:paraId="7C39C065">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代码：</w:t>
      </w:r>
      <w:bookmarkStart w:id="111" w:name="_Hlk85790865"/>
      <w:r>
        <w:rPr>
          <w:rFonts w:hint="eastAsia" w:ascii="仿宋" w:hAnsi="仿宋" w:eastAsia="仿宋" w:cs="仿宋"/>
          <w:color w:val="auto"/>
          <w:kern w:val="0"/>
          <w:sz w:val="22"/>
          <w:szCs w:val="22"/>
          <w:highlight w:val="none"/>
        </w:rPr>
        <w:t>所有开发软件的程序代码、开发环境和可执行文件等项目成果以光盘形式提交。</w:t>
      </w:r>
      <w:bookmarkEnd w:id="111"/>
    </w:p>
    <w:p w14:paraId="4D1948A8">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技术文件: 设备和软件设计、安装、使用、测试的技术文件。</w:t>
      </w:r>
    </w:p>
    <w:p w14:paraId="6E6A662A">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安装部署：中标人应提供一个配制方案，包括配置清单，以及所提供软件、安装手册。</w:t>
      </w:r>
    </w:p>
    <w:p w14:paraId="47BC8766">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测试文档：中标人应提供该项目特点的测试方案，并提供相应的测试用例、测试报告。</w:t>
      </w:r>
    </w:p>
    <w:p w14:paraId="22A3067E">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验收文档：验收时收集各项验收数据，汇总成册，并对所集成系统进行综合评估。</w:t>
      </w:r>
    </w:p>
    <w:p w14:paraId="4949FA1E">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（2）验收要求</w:t>
      </w:r>
    </w:p>
    <w:p w14:paraId="227B22EA">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项目验收材料齐全，符合验收要求；项目按照立项批复、招标文件和合同约定完成了建设内容；项目经过测试和试运行，功能满足实际需求，达到建设预期目标。</w:t>
      </w:r>
    </w:p>
    <w:p w14:paraId="0A0A249A">
      <w:pPr>
        <w:keepLines/>
        <w:spacing w:line="360" w:lineRule="auto"/>
        <w:ind w:left="420" w:leftChars="200"/>
        <w:rPr>
          <w:rFonts w:hint="eastAsia" w:ascii="仿宋" w:hAnsi="仿宋" w:eastAsia="仿宋" w:cs="仿宋"/>
          <w:b/>
          <w:bCs/>
          <w:color w:val="auto"/>
          <w:sz w:val="22"/>
          <w:szCs w:val="22"/>
          <w:highlight w:val="none"/>
        </w:rPr>
      </w:pPr>
      <w:bookmarkStart w:id="112" w:name="_Toc83748056"/>
      <w:r>
        <w:rPr>
          <w:rFonts w:hint="eastAsia" w:ascii="仿宋" w:hAnsi="仿宋" w:eastAsia="仿宋" w:cs="仿宋"/>
          <w:b/>
          <w:bCs/>
          <w:color w:val="auto"/>
          <w:sz w:val="22"/>
          <w:szCs w:val="22"/>
          <w:highlight w:val="none"/>
        </w:rPr>
        <w:t>3.4.知识产权</w:t>
      </w:r>
      <w:bookmarkEnd w:id="112"/>
    </w:p>
    <w:p w14:paraId="509574E1">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3.4.1.本项目所有权知识产权归采购方所有。</w:t>
      </w:r>
    </w:p>
    <w:p w14:paraId="2F015C12">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3.4.2.涉及的源代码必须遵循相关标准和规范，并无条件提交给采购方。</w:t>
      </w:r>
    </w:p>
    <w:p w14:paraId="6E7F52B3">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3.4.3.涉及接口的必须遵循相关标准和规范，向下部署的，必须无条件开放所有接口且满足国家共享相关规定要求，项目承建单位（施工单位、实施单位）有义务配合采购方做好有关信息共享工作。</w:t>
      </w:r>
    </w:p>
    <w:p w14:paraId="77DE3F38">
      <w:pPr>
        <w:widowControl/>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3.4.4.本项目在开发、使用和维护过程中接触到的采购方所有资料，未经采购方授权代表书面许可，不得留存、私自查阅及向任何第三方泄露。</w:t>
      </w:r>
    </w:p>
    <w:p w14:paraId="7C950DC6">
      <w:pPr>
        <w:spacing w:line="360" w:lineRule="auto"/>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3.4.5.本项目的设计开发专利申请权、技术秘密的使用权和转让权归采购方所有。</w:t>
      </w:r>
    </w:p>
    <w:p w14:paraId="10A3B4BE">
      <w:pPr>
        <w:spacing w:line="360" w:lineRule="auto"/>
        <w:ind w:firstLine="420" w:firstLineChars="200"/>
        <w:rPr>
          <w:rFonts w:hint="eastAsia" w:ascii="宋体" w:hAnsi="宋体" w:cs="宋体"/>
          <w:color w:val="auto"/>
          <w:kern w:val="0"/>
          <w:szCs w:val="21"/>
          <w:highlight w:val="none"/>
        </w:rPr>
      </w:pPr>
    </w:p>
    <w:p w14:paraId="07655301">
      <w:pPr>
        <w:spacing w:line="360" w:lineRule="auto"/>
        <w:ind w:firstLine="440" w:firstLineChars="200"/>
        <w:rPr>
          <w:rFonts w:hint="eastAsia" w:ascii="仿宋" w:hAnsi="仿宋" w:eastAsia="仿宋" w:cs="仿宋"/>
          <w:color w:val="auto"/>
          <w:kern w:val="0"/>
          <w:sz w:val="22"/>
          <w:szCs w:val="22"/>
          <w:highlight w:val="none"/>
        </w:rPr>
      </w:pPr>
    </w:p>
    <w:p w14:paraId="572C4E82">
      <w:pPr>
        <w:spacing w:line="400" w:lineRule="exact"/>
        <w:ind w:firstLine="440" w:firstLineChars="200"/>
        <w:rPr>
          <w:rFonts w:ascii="仿宋" w:hAnsi="仿宋" w:eastAsia="仿宋" w:cs="仿宋"/>
          <w:color w:val="000000" w:themeColor="text1"/>
          <w:sz w:val="22"/>
          <w:szCs w:val="22"/>
          <w:highlight w:val="yellow"/>
          <w14:textFill>
            <w14:solidFill>
              <w14:schemeClr w14:val="tx1"/>
            </w14:solidFill>
          </w14:textFill>
        </w:rPr>
      </w:pPr>
      <w:r>
        <w:rPr>
          <w:rFonts w:hint="eastAsia" w:ascii="仿宋" w:hAnsi="仿宋" w:eastAsia="仿宋" w:cs="仿宋"/>
          <w:color w:val="000000" w:themeColor="text1"/>
          <w:sz w:val="22"/>
          <w:szCs w:val="22"/>
          <w:highlight w:val="yellow"/>
          <w14:textFill>
            <w14:solidFill>
              <w14:schemeClr w14:val="tx1"/>
            </w14:solidFill>
          </w14:textFill>
        </w:rPr>
        <w:br w:type="page"/>
      </w:r>
    </w:p>
    <w:p w14:paraId="59CCA778">
      <w:pPr>
        <w:widowControl/>
        <w:spacing w:line="460" w:lineRule="exact"/>
        <w:ind w:firstLine="803" w:firstLineChars="200"/>
        <w:jc w:val="center"/>
        <w:textAlignment w:val="center"/>
        <w:outlineLvl w:val="0"/>
        <w:rPr>
          <w:rFonts w:ascii="仿宋" w:hAnsi="仿宋" w:eastAsia="仿宋" w:cs="仿宋"/>
          <w:b/>
          <w:color w:val="000000" w:themeColor="text1"/>
          <w:sz w:val="36"/>
          <w:szCs w:val="36"/>
          <w14:textFill>
            <w14:solidFill>
              <w14:schemeClr w14:val="tx1"/>
            </w14:solidFill>
          </w14:textFill>
        </w:rPr>
      </w:pPr>
      <w:bookmarkStart w:id="113" w:name="_Toc3529"/>
      <w:r>
        <w:rPr>
          <w:rStyle w:val="29"/>
          <w:rFonts w:hint="eastAsia" w:ascii="仿宋" w:hAnsi="仿宋" w:eastAsia="仿宋" w:cs="仿宋"/>
          <w:color w:val="000000" w:themeColor="text1"/>
          <w:sz w:val="40"/>
          <w:szCs w:val="40"/>
          <w14:textFill>
            <w14:solidFill>
              <w14:schemeClr w14:val="tx1"/>
            </w14:solidFill>
          </w14:textFill>
        </w:rPr>
        <w:t xml:space="preserve">第四部分 </w:t>
      </w:r>
      <w:bookmarkStart w:id="114" w:name="_Toc184310281"/>
      <w:bookmarkEnd w:id="114"/>
      <w:bookmarkStart w:id="115" w:name="_Toc184308098"/>
      <w:bookmarkEnd w:id="115"/>
      <w:bookmarkStart w:id="116" w:name="_Toc184314411"/>
      <w:bookmarkEnd w:id="116"/>
      <w:bookmarkStart w:id="117" w:name="_Toc184314474"/>
      <w:bookmarkEnd w:id="117"/>
      <w:bookmarkStart w:id="118" w:name="_Toc184308078"/>
      <w:bookmarkEnd w:id="118"/>
      <w:bookmarkStart w:id="119" w:name="_Toc184312083"/>
      <w:bookmarkEnd w:id="119"/>
      <w:bookmarkStart w:id="120" w:name="_Toc184313296"/>
      <w:bookmarkEnd w:id="120"/>
      <w:bookmarkStart w:id="121" w:name="_Toc184313307"/>
      <w:bookmarkEnd w:id="121"/>
      <w:bookmarkStart w:id="122" w:name="_Toc184308096"/>
      <w:bookmarkEnd w:id="122"/>
      <w:bookmarkStart w:id="123" w:name="_Toc184310272"/>
      <w:bookmarkEnd w:id="123"/>
      <w:bookmarkStart w:id="124" w:name="_Toc184308086"/>
      <w:bookmarkEnd w:id="124"/>
      <w:bookmarkStart w:id="125" w:name="_Toc184314464"/>
      <w:bookmarkEnd w:id="125"/>
      <w:bookmarkStart w:id="126" w:name="_Toc184312074"/>
      <w:bookmarkEnd w:id="126"/>
      <w:bookmarkStart w:id="127" w:name="_Toc184312079"/>
      <w:bookmarkEnd w:id="127"/>
      <w:bookmarkStart w:id="128" w:name="_Toc184312091"/>
      <w:bookmarkEnd w:id="128"/>
      <w:bookmarkStart w:id="129" w:name="_Toc184310285"/>
      <w:bookmarkEnd w:id="129"/>
      <w:bookmarkStart w:id="130" w:name="_Toc184310295"/>
      <w:bookmarkEnd w:id="130"/>
      <w:bookmarkStart w:id="131" w:name="_Toc184308101"/>
      <w:bookmarkEnd w:id="131"/>
      <w:bookmarkStart w:id="132" w:name="_Toc184312116"/>
      <w:bookmarkEnd w:id="132"/>
      <w:bookmarkStart w:id="133" w:name="_Toc184314413"/>
      <w:bookmarkEnd w:id="133"/>
      <w:bookmarkStart w:id="134" w:name="_Toc184313251"/>
      <w:bookmarkEnd w:id="134"/>
      <w:bookmarkStart w:id="135" w:name="_Toc184308058"/>
      <w:bookmarkEnd w:id="135"/>
      <w:bookmarkStart w:id="136" w:name="_Toc184308103"/>
      <w:bookmarkEnd w:id="136"/>
      <w:bookmarkStart w:id="137" w:name="_Toc184312137"/>
      <w:bookmarkEnd w:id="137"/>
      <w:bookmarkStart w:id="138" w:name="_Toc184313260"/>
      <w:bookmarkEnd w:id="138"/>
      <w:bookmarkStart w:id="139" w:name="_Toc184314429"/>
      <w:bookmarkEnd w:id="139"/>
      <w:bookmarkStart w:id="140" w:name="_Toc184313259"/>
      <w:bookmarkEnd w:id="140"/>
      <w:bookmarkStart w:id="141" w:name="_Toc184312118"/>
      <w:bookmarkEnd w:id="141"/>
      <w:bookmarkStart w:id="142" w:name="_Toc184314426"/>
      <w:bookmarkEnd w:id="142"/>
      <w:bookmarkStart w:id="143" w:name="_Toc184314475"/>
      <w:bookmarkEnd w:id="143"/>
      <w:bookmarkStart w:id="144" w:name="_Toc184310339"/>
      <w:bookmarkEnd w:id="144"/>
      <w:bookmarkStart w:id="145" w:name="_Toc184310320"/>
      <w:bookmarkEnd w:id="145"/>
      <w:bookmarkStart w:id="146" w:name="_Toc184312094"/>
      <w:bookmarkEnd w:id="146"/>
      <w:bookmarkStart w:id="147" w:name="_Toc184313310"/>
      <w:bookmarkEnd w:id="147"/>
      <w:bookmarkStart w:id="148" w:name="_Toc184308070"/>
      <w:bookmarkEnd w:id="148"/>
      <w:bookmarkStart w:id="149" w:name="_Toc184310313"/>
      <w:bookmarkEnd w:id="149"/>
      <w:bookmarkStart w:id="150" w:name="_Toc184314476"/>
      <w:bookmarkEnd w:id="150"/>
      <w:bookmarkStart w:id="151" w:name="_Toc184314427"/>
      <w:bookmarkEnd w:id="151"/>
      <w:bookmarkStart w:id="152" w:name="_Toc184308072"/>
      <w:bookmarkEnd w:id="152"/>
      <w:bookmarkStart w:id="153" w:name="_Toc184313297"/>
      <w:bookmarkEnd w:id="153"/>
      <w:bookmarkStart w:id="154" w:name="_Toc184312088"/>
      <w:bookmarkEnd w:id="154"/>
      <w:bookmarkStart w:id="155" w:name="_Toc184308088"/>
      <w:bookmarkEnd w:id="155"/>
      <w:bookmarkStart w:id="156" w:name="_Toc184310306"/>
      <w:bookmarkEnd w:id="156"/>
      <w:bookmarkStart w:id="157" w:name="_Toc184310307"/>
      <w:bookmarkEnd w:id="157"/>
      <w:bookmarkStart w:id="158" w:name="_Toc184310325"/>
      <w:bookmarkEnd w:id="158"/>
      <w:bookmarkStart w:id="159" w:name="_Toc184313284"/>
      <w:bookmarkEnd w:id="159"/>
      <w:bookmarkStart w:id="160" w:name="_Toc184314430"/>
      <w:bookmarkEnd w:id="160"/>
      <w:bookmarkStart w:id="161" w:name="_Toc184313304"/>
      <w:bookmarkEnd w:id="161"/>
      <w:bookmarkStart w:id="162" w:name="_Toc184313255"/>
      <w:bookmarkEnd w:id="162"/>
      <w:bookmarkStart w:id="163" w:name="_Toc184310335"/>
      <w:bookmarkEnd w:id="163"/>
      <w:bookmarkStart w:id="164" w:name="_Toc184310277"/>
      <w:bookmarkEnd w:id="164"/>
      <w:bookmarkStart w:id="165" w:name="_Toc184313271"/>
      <w:bookmarkEnd w:id="165"/>
      <w:bookmarkStart w:id="166" w:name="_Toc184313292"/>
      <w:bookmarkEnd w:id="166"/>
      <w:bookmarkStart w:id="167" w:name="_Toc184314450"/>
      <w:bookmarkEnd w:id="167"/>
      <w:bookmarkStart w:id="168" w:name="_Toc184312102"/>
      <w:bookmarkEnd w:id="168"/>
      <w:bookmarkStart w:id="169" w:name="_Toc184313288"/>
      <w:bookmarkEnd w:id="169"/>
      <w:bookmarkStart w:id="170" w:name="_Toc184308064"/>
      <w:bookmarkEnd w:id="170"/>
      <w:bookmarkStart w:id="171" w:name="_Toc184314448"/>
      <w:bookmarkEnd w:id="171"/>
      <w:bookmarkStart w:id="172" w:name="_Toc184310293"/>
      <w:bookmarkEnd w:id="172"/>
      <w:bookmarkStart w:id="173" w:name="_Toc184313265"/>
      <w:bookmarkEnd w:id="173"/>
      <w:bookmarkStart w:id="174" w:name="_Toc184314460"/>
      <w:bookmarkEnd w:id="174"/>
      <w:bookmarkStart w:id="175" w:name="_Toc184313290"/>
      <w:bookmarkEnd w:id="175"/>
      <w:bookmarkStart w:id="176" w:name="_Toc184313276"/>
      <w:bookmarkEnd w:id="176"/>
      <w:bookmarkStart w:id="177" w:name="_Toc184312082"/>
      <w:bookmarkEnd w:id="177"/>
      <w:bookmarkStart w:id="178" w:name="_Toc184312092"/>
      <w:bookmarkEnd w:id="178"/>
      <w:bookmarkStart w:id="179" w:name="_Toc184314453"/>
      <w:bookmarkEnd w:id="179"/>
      <w:bookmarkStart w:id="180" w:name="_Toc184312136"/>
      <w:bookmarkEnd w:id="180"/>
      <w:bookmarkStart w:id="181" w:name="_Toc184312090"/>
      <w:bookmarkEnd w:id="181"/>
      <w:bookmarkStart w:id="182" w:name="_Toc184312084"/>
      <w:bookmarkEnd w:id="182"/>
      <w:bookmarkStart w:id="183" w:name="_Toc184308083"/>
      <w:bookmarkEnd w:id="183"/>
      <w:bookmarkStart w:id="184" w:name="_Toc184308085"/>
      <w:bookmarkEnd w:id="184"/>
      <w:bookmarkStart w:id="185" w:name="_Toc184310319"/>
      <w:bookmarkEnd w:id="185"/>
      <w:bookmarkStart w:id="186" w:name="_Toc184312076"/>
      <w:bookmarkEnd w:id="186"/>
      <w:bookmarkStart w:id="187" w:name="_Toc184312071"/>
      <w:bookmarkEnd w:id="187"/>
      <w:bookmarkStart w:id="188" w:name="_Toc184312101"/>
      <w:bookmarkEnd w:id="188"/>
      <w:bookmarkStart w:id="189" w:name="_Toc184312077"/>
      <w:bookmarkEnd w:id="189"/>
      <w:bookmarkStart w:id="190" w:name="_Toc184310282"/>
      <w:bookmarkEnd w:id="190"/>
      <w:bookmarkStart w:id="191" w:name="_Toc184308079"/>
      <w:bookmarkEnd w:id="191"/>
      <w:bookmarkStart w:id="192" w:name="_Toc184308055"/>
      <w:bookmarkEnd w:id="192"/>
      <w:bookmarkStart w:id="193" w:name="_Toc184308065"/>
      <w:bookmarkEnd w:id="193"/>
      <w:bookmarkStart w:id="194" w:name="_Toc184313301"/>
      <w:bookmarkEnd w:id="194"/>
      <w:bookmarkStart w:id="195" w:name="_Toc184313267"/>
      <w:bookmarkEnd w:id="195"/>
      <w:bookmarkStart w:id="196" w:name="_Toc184310332"/>
      <w:bookmarkEnd w:id="196"/>
      <w:bookmarkStart w:id="197" w:name="_Toc184308077"/>
      <w:bookmarkEnd w:id="197"/>
      <w:bookmarkStart w:id="198" w:name="_Toc184310338"/>
      <w:bookmarkEnd w:id="198"/>
      <w:bookmarkStart w:id="199" w:name="_Toc184312133"/>
      <w:bookmarkEnd w:id="199"/>
      <w:bookmarkStart w:id="200" w:name="_Toc184313272"/>
      <w:bookmarkEnd w:id="200"/>
      <w:bookmarkStart w:id="201" w:name="_Toc184314420"/>
      <w:bookmarkEnd w:id="201"/>
      <w:bookmarkStart w:id="202" w:name="_Toc184312105"/>
      <w:bookmarkEnd w:id="202"/>
      <w:bookmarkStart w:id="203" w:name="_Toc184314415"/>
      <w:bookmarkEnd w:id="203"/>
      <w:bookmarkStart w:id="204" w:name="_Toc184313283"/>
      <w:bookmarkEnd w:id="204"/>
      <w:bookmarkStart w:id="205" w:name="_Toc184313243"/>
      <w:bookmarkEnd w:id="205"/>
      <w:bookmarkStart w:id="206" w:name="_Toc184308057"/>
      <w:bookmarkEnd w:id="206"/>
      <w:bookmarkStart w:id="207" w:name="_Toc184310331"/>
      <w:bookmarkEnd w:id="207"/>
      <w:bookmarkStart w:id="208" w:name="_Toc184313280"/>
      <w:bookmarkEnd w:id="208"/>
      <w:bookmarkStart w:id="209" w:name="_Toc184312112"/>
      <w:bookmarkEnd w:id="209"/>
      <w:bookmarkStart w:id="210" w:name="_Toc184314428"/>
      <w:bookmarkEnd w:id="210"/>
      <w:bookmarkStart w:id="211" w:name="_Toc184308094"/>
      <w:bookmarkEnd w:id="211"/>
      <w:bookmarkStart w:id="212" w:name="_Toc184308084"/>
      <w:bookmarkEnd w:id="212"/>
      <w:bookmarkStart w:id="213" w:name="_Toc184310298"/>
      <w:bookmarkEnd w:id="213"/>
      <w:bookmarkStart w:id="214" w:name="_Toc184310323"/>
      <w:bookmarkEnd w:id="214"/>
      <w:bookmarkStart w:id="215" w:name="_Toc184313308"/>
      <w:bookmarkEnd w:id="215"/>
      <w:bookmarkStart w:id="216" w:name="_Toc184314435"/>
      <w:bookmarkEnd w:id="216"/>
      <w:bookmarkStart w:id="217" w:name="_Toc184313269"/>
      <w:bookmarkEnd w:id="217"/>
      <w:bookmarkStart w:id="218" w:name="_Toc184310284"/>
      <w:bookmarkEnd w:id="218"/>
      <w:bookmarkStart w:id="219" w:name="_Toc184310280"/>
      <w:bookmarkEnd w:id="219"/>
      <w:bookmarkStart w:id="220" w:name="_Toc184313299"/>
      <w:bookmarkEnd w:id="220"/>
      <w:bookmarkStart w:id="221" w:name="_Toc184313305"/>
      <w:bookmarkEnd w:id="221"/>
      <w:bookmarkStart w:id="222" w:name="_Toc184312128"/>
      <w:bookmarkEnd w:id="222"/>
      <w:bookmarkStart w:id="223" w:name="_Toc184313278"/>
      <w:bookmarkEnd w:id="223"/>
      <w:bookmarkStart w:id="224" w:name="_Toc184310317"/>
      <w:bookmarkEnd w:id="224"/>
      <w:bookmarkStart w:id="225" w:name="_Toc184314457"/>
      <w:bookmarkEnd w:id="225"/>
      <w:bookmarkStart w:id="226" w:name="_Toc184308068"/>
      <w:bookmarkEnd w:id="226"/>
      <w:bookmarkStart w:id="227" w:name="_Toc184314421"/>
      <w:bookmarkEnd w:id="227"/>
      <w:bookmarkStart w:id="228" w:name="_Toc184308066"/>
      <w:bookmarkEnd w:id="228"/>
      <w:bookmarkStart w:id="229" w:name="_Toc184313245"/>
      <w:bookmarkEnd w:id="229"/>
      <w:bookmarkStart w:id="230" w:name="_Toc184310326"/>
      <w:bookmarkEnd w:id="230"/>
      <w:bookmarkStart w:id="231" w:name="_Toc184313289"/>
      <w:bookmarkEnd w:id="231"/>
      <w:bookmarkStart w:id="232" w:name="_Toc184312098"/>
      <w:bookmarkEnd w:id="232"/>
      <w:bookmarkStart w:id="233" w:name="_Toc184310333"/>
      <w:bookmarkEnd w:id="233"/>
      <w:bookmarkStart w:id="234" w:name="_Toc184314459"/>
      <w:bookmarkEnd w:id="234"/>
      <w:bookmarkStart w:id="235" w:name="_Toc184314437"/>
      <w:bookmarkEnd w:id="235"/>
      <w:bookmarkStart w:id="236" w:name="_Toc184310291"/>
      <w:bookmarkEnd w:id="236"/>
      <w:bookmarkStart w:id="237" w:name="_Toc184314410"/>
      <w:bookmarkEnd w:id="237"/>
      <w:bookmarkStart w:id="238" w:name="_Toc184310321"/>
      <w:bookmarkEnd w:id="238"/>
      <w:bookmarkStart w:id="239" w:name="_Toc184313262"/>
      <w:bookmarkEnd w:id="239"/>
      <w:bookmarkStart w:id="240" w:name="_Toc184308048"/>
      <w:bookmarkEnd w:id="240"/>
      <w:bookmarkStart w:id="241" w:name="_Toc184313302"/>
      <w:bookmarkEnd w:id="241"/>
      <w:bookmarkStart w:id="242" w:name="_Toc184308075"/>
      <w:bookmarkEnd w:id="242"/>
      <w:bookmarkStart w:id="243" w:name="_Toc184308074"/>
      <w:bookmarkEnd w:id="243"/>
      <w:bookmarkStart w:id="244" w:name="_Toc184314434"/>
      <w:bookmarkEnd w:id="244"/>
      <w:bookmarkStart w:id="245" w:name="_Toc184310341"/>
      <w:bookmarkEnd w:id="245"/>
      <w:bookmarkStart w:id="246" w:name="_Toc184314471"/>
      <w:bookmarkEnd w:id="246"/>
      <w:bookmarkStart w:id="247" w:name="_Toc184310273"/>
      <w:bookmarkEnd w:id="247"/>
      <w:bookmarkStart w:id="248" w:name="_Toc184314456"/>
      <w:bookmarkEnd w:id="248"/>
      <w:bookmarkStart w:id="249" w:name="_Toc184308067"/>
      <w:bookmarkEnd w:id="249"/>
      <w:bookmarkStart w:id="250" w:name="_Toc184312070"/>
      <w:bookmarkEnd w:id="250"/>
      <w:bookmarkStart w:id="251" w:name="_Toc184314445"/>
      <w:bookmarkEnd w:id="251"/>
      <w:bookmarkStart w:id="252" w:name="_Toc184313266"/>
      <w:bookmarkEnd w:id="252"/>
      <w:bookmarkStart w:id="253" w:name="_Toc184314443"/>
      <w:bookmarkEnd w:id="253"/>
      <w:bookmarkStart w:id="254" w:name="_Toc184312132"/>
      <w:bookmarkEnd w:id="254"/>
      <w:bookmarkStart w:id="255" w:name="_Toc184313309"/>
      <w:bookmarkEnd w:id="255"/>
      <w:bookmarkStart w:id="256" w:name="_Toc184310336"/>
      <w:bookmarkEnd w:id="256"/>
      <w:bookmarkStart w:id="257" w:name="_Toc184308089"/>
      <w:bookmarkEnd w:id="257"/>
      <w:bookmarkStart w:id="258" w:name="_Toc184313240"/>
      <w:bookmarkEnd w:id="258"/>
      <w:bookmarkStart w:id="259" w:name="_Toc184308092"/>
      <w:bookmarkEnd w:id="259"/>
      <w:bookmarkStart w:id="260" w:name="_Toc184308046"/>
      <w:bookmarkEnd w:id="260"/>
      <w:bookmarkStart w:id="261" w:name="_Toc184310318"/>
      <w:bookmarkEnd w:id="261"/>
      <w:bookmarkStart w:id="262" w:name="_Toc184312115"/>
      <w:bookmarkEnd w:id="262"/>
      <w:bookmarkStart w:id="263" w:name="_Toc184310312"/>
      <w:bookmarkEnd w:id="263"/>
      <w:bookmarkStart w:id="264" w:name="_Toc184308081"/>
      <w:bookmarkEnd w:id="264"/>
      <w:bookmarkStart w:id="265" w:name="_Toc184313253"/>
      <w:bookmarkEnd w:id="265"/>
      <w:bookmarkStart w:id="266" w:name="_Toc184314467"/>
      <w:bookmarkEnd w:id="266"/>
      <w:bookmarkStart w:id="267" w:name="_Toc184314436"/>
      <w:bookmarkEnd w:id="267"/>
      <w:bookmarkStart w:id="268" w:name="_Toc184314479"/>
      <w:bookmarkEnd w:id="268"/>
      <w:bookmarkStart w:id="269" w:name="_Toc184310324"/>
      <w:bookmarkEnd w:id="269"/>
      <w:bookmarkStart w:id="270" w:name="_Toc184313239"/>
      <w:bookmarkEnd w:id="270"/>
      <w:bookmarkStart w:id="271" w:name="_Toc184308102"/>
      <w:bookmarkEnd w:id="271"/>
      <w:bookmarkStart w:id="272" w:name="_Toc184308045"/>
      <w:bookmarkEnd w:id="272"/>
      <w:bookmarkStart w:id="273" w:name="_Toc184312124"/>
      <w:bookmarkEnd w:id="273"/>
      <w:bookmarkStart w:id="274" w:name="_Toc184312121"/>
      <w:bookmarkEnd w:id="274"/>
      <w:bookmarkStart w:id="275" w:name="_Toc184310300"/>
      <w:bookmarkEnd w:id="275"/>
      <w:bookmarkStart w:id="276" w:name="_Toc184308060"/>
      <w:bookmarkEnd w:id="276"/>
      <w:bookmarkStart w:id="277" w:name="_Toc184312131"/>
      <w:bookmarkEnd w:id="277"/>
      <w:bookmarkStart w:id="278" w:name="_Toc184308047"/>
      <w:bookmarkEnd w:id="278"/>
      <w:bookmarkStart w:id="279" w:name="_Toc184308038"/>
      <w:bookmarkEnd w:id="279"/>
      <w:bookmarkStart w:id="280" w:name="_Toc184313300"/>
      <w:bookmarkEnd w:id="280"/>
      <w:bookmarkStart w:id="281" w:name="_Toc184310276"/>
      <w:bookmarkEnd w:id="281"/>
      <w:bookmarkStart w:id="282" w:name="_Toc184313250"/>
      <w:bookmarkEnd w:id="282"/>
      <w:bookmarkStart w:id="283" w:name="_Toc184308042"/>
      <w:bookmarkEnd w:id="283"/>
      <w:bookmarkStart w:id="284" w:name="_Toc184313246"/>
      <w:bookmarkEnd w:id="284"/>
      <w:bookmarkStart w:id="285" w:name="_Toc184314451"/>
      <w:bookmarkEnd w:id="285"/>
      <w:bookmarkStart w:id="286" w:name="_Toc184312104"/>
      <w:bookmarkEnd w:id="286"/>
      <w:bookmarkStart w:id="287" w:name="_Toc184313256"/>
      <w:bookmarkEnd w:id="287"/>
      <w:bookmarkStart w:id="288" w:name="_Toc184313258"/>
      <w:bookmarkEnd w:id="288"/>
      <w:bookmarkStart w:id="289" w:name="_Toc184310303"/>
      <w:bookmarkEnd w:id="289"/>
      <w:bookmarkStart w:id="290" w:name="_Toc184308050"/>
      <w:bookmarkEnd w:id="290"/>
      <w:bookmarkStart w:id="291" w:name="_Toc184312125"/>
      <w:bookmarkEnd w:id="291"/>
      <w:bookmarkStart w:id="292" w:name="_Toc184312073"/>
      <w:bookmarkEnd w:id="292"/>
      <w:bookmarkStart w:id="293" w:name="_Toc184312068"/>
      <w:bookmarkEnd w:id="293"/>
      <w:bookmarkStart w:id="294" w:name="_Toc184313249"/>
      <w:bookmarkEnd w:id="294"/>
      <w:bookmarkStart w:id="295" w:name="_Toc184310340"/>
      <w:bookmarkEnd w:id="295"/>
      <w:bookmarkStart w:id="296" w:name="_Toc184308043"/>
      <w:bookmarkEnd w:id="296"/>
      <w:bookmarkStart w:id="297" w:name="_Toc184314472"/>
      <w:bookmarkEnd w:id="297"/>
      <w:bookmarkStart w:id="298" w:name="_Toc184310309"/>
      <w:bookmarkEnd w:id="298"/>
      <w:bookmarkStart w:id="299" w:name="_Toc184310289"/>
      <w:bookmarkEnd w:id="299"/>
      <w:bookmarkStart w:id="300" w:name="_Toc184314455"/>
      <w:bookmarkEnd w:id="300"/>
      <w:bookmarkStart w:id="301" w:name="_Toc184314417"/>
      <w:bookmarkEnd w:id="301"/>
      <w:bookmarkStart w:id="302" w:name="_Toc184308076"/>
      <w:bookmarkEnd w:id="302"/>
      <w:bookmarkStart w:id="303" w:name="_Toc184312123"/>
      <w:bookmarkEnd w:id="303"/>
      <w:bookmarkStart w:id="304" w:name="_Toc184312113"/>
      <w:bookmarkEnd w:id="304"/>
      <w:bookmarkStart w:id="305" w:name="_Toc184312072"/>
      <w:bookmarkEnd w:id="305"/>
      <w:bookmarkStart w:id="306" w:name="_Toc184314446"/>
      <w:bookmarkEnd w:id="306"/>
      <w:bookmarkStart w:id="307" w:name="_Toc184312126"/>
      <w:bookmarkEnd w:id="307"/>
      <w:bookmarkStart w:id="308" w:name="_Toc184312127"/>
      <w:bookmarkEnd w:id="308"/>
      <w:bookmarkStart w:id="309" w:name="_Toc184312134"/>
      <w:bookmarkEnd w:id="309"/>
      <w:bookmarkStart w:id="310" w:name="_Toc184308097"/>
      <w:bookmarkEnd w:id="310"/>
      <w:bookmarkStart w:id="311" w:name="_Toc184312087"/>
      <w:bookmarkEnd w:id="311"/>
      <w:bookmarkStart w:id="312" w:name="_Toc184312085"/>
      <w:bookmarkEnd w:id="312"/>
      <w:bookmarkStart w:id="313" w:name="_Toc184313306"/>
      <w:bookmarkEnd w:id="313"/>
      <w:bookmarkStart w:id="314" w:name="_Toc184314439"/>
      <w:bookmarkEnd w:id="314"/>
      <w:bookmarkStart w:id="315" w:name="_Toc184310310"/>
      <w:bookmarkEnd w:id="315"/>
      <w:bookmarkStart w:id="316" w:name="_Toc184308039"/>
      <w:bookmarkEnd w:id="316"/>
      <w:bookmarkStart w:id="317" w:name="_Toc184313294"/>
      <w:bookmarkEnd w:id="317"/>
      <w:bookmarkStart w:id="318" w:name="_Toc184314465"/>
      <w:bookmarkEnd w:id="318"/>
      <w:bookmarkStart w:id="319" w:name="_Toc184313279"/>
      <w:bookmarkEnd w:id="319"/>
      <w:bookmarkStart w:id="320" w:name="_Toc184312119"/>
      <w:bookmarkEnd w:id="320"/>
      <w:bookmarkStart w:id="321" w:name="_Toc184314452"/>
      <w:bookmarkEnd w:id="321"/>
      <w:bookmarkStart w:id="322" w:name="_Toc184310329"/>
      <w:bookmarkEnd w:id="322"/>
      <w:bookmarkStart w:id="323" w:name="_Toc184310316"/>
      <w:bookmarkEnd w:id="323"/>
      <w:bookmarkStart w:id="324" w:name="_Toc184310330"/>
      <w:bookmarkEnd w:id="324"/>
      <w:bookmarkStart w:id="325" w:name="_Toc184308044"/>
      <w:bookmarkEnd w:id="325"/>
      <w:bookmarkStart w:id="326" w:name="_Toc184310322"/>
      <w:bookmarkEnd w:id="326"/>
      <w:bookmarkStart w:id="327" w:name="_Toc184314433"/>
      <w:bookmarkEnd w:id="327"/>
      <w:bookmarkStart w:id="328" w:name="_Toc184310292"/>
      <w:bookmarkEnd w:id="328"/>
      <w:bookmarkStart w:id="329" w:name="_Toc184308082"/>
      <w:bookmarkEnd w:id="329"/>
      <w:bookmarkStart w:id="330" w:name="_Toc184310275"/>
      <w:bookmarkEnd w:id="330"/>
      <w:bookmarkStart w:id="331" w:name="_Toc184314481"/>
      <w:bookmarkEnd w:id="331"/>
      <w:bookmarkStart w:id="332" w:name="_Toc184308052"/>
      <w:bookmarkEnd w:id="332"/>
      <w:bookmarkStart w:id="333" w:name="_Toc184310294"/>
      <w:bookmarkEnd w:id="333"/>
      <w:bookmarkStart w:id="334" w:name="_Toc184312099"/>
      <w:bookmarkEnd w:id="334"/>
      <w:bookmarkStart w:id="335" w:name="_Toc184314477"/>
      <w:bookmarkEnd w:id="335"/>
      <w:bookmarkStart w:id="336" w:name="_Toc184312075"/>
      <w:bookmarkEnd w:id="336"/>
      <w:bookmarkStart w:id="337" w:name="_Toc184312095"/>
      <w:bookmarkEnd w:id="337"/>
      <w:bookmarkStart w:id="338" w:name="_Toc184312111"/>
      <w:bookmarkEnd w:id="338"/>
      <w:bookmarkStart w:id="339" w:name="_Toc184313298"/>
      <w:bookmarkEnd w:id="339"/>
      <w:bookmarkStart w:id="340" w:name="_Toc184310343"/>
      <w:bookmarkEnd w:id="340"/>
      <w:bookmarkStart w:id="341" w:name="_Toc184310287"/>
      <w:bookmarkEnd w:id="341"/>
      <w:bookmarkStart w:id="342" w:name="_Toc184308056"/>
      <w:bookmarkEnd w:id="342"/>
      <w:bookmarkStart w:id="343" w:name="_Toc184314463"/>
      <w:bookmarkEnd w:id="343"/>
      <w:bookmarkStart w:id="344" w:name="_Toc184313242"/>
      <w:bookmarkEnd w:id="344"/>
      <w:bookmarkStart w:id="345" w:name="_Toc184308054"/>
      <w:bookmarkEnd w:id="345"/>
      <w:bookmarkStart w:id="346" w:name="_Toc184308069"/>
      <w:bookmarkEnd w:id="346"/>
      <w:bookmarkStart w:id="347" w:name="_Toc184310305"/>
      <w:bookmarkEnd w:id="347"/>
      <w:bookmarkStart w:id="348" w:name="_Toc184312069"/>
      <w:bookmarkEnd w:id="348"/>
      <w:bookmarkStart w:id="349" w:name="_Toc184314442"/>
      <w:bookmarkEnd w:id="349"/>
      <w:bookmarkStart w:id="350" w:name="_Toc184314466"/>
      <w:bookmarkEnd w:id="350"/>
      <w:bookmarkStart w:id="351" w:name="_Toc184314482"/>
      <w:bookmarkEnd w:id="351"/>
      <w:bookmarkStart w:id="352" w:name="_Toc184310328"/>
      <w:bookmarkEnd w:id="352"/>
      <w:bookmarkStart w:id="353" w:name="_Toc184312097"/>
      <w:bookmarkEnd w:id="353"/>
      <w:bookmarkStart w:id="354" w:name="_Toc184314418"/>
      <w:bookmarkEnd w:id="354"/>
      <w:bookmarkStart w:id="355" w:name="_Toc184312117"/>
      <w:bookmarkEnd w:id="355"/>
      <w:bookmarkStart w:id="356" w:name="_Toc184310337"/>
      <w:bookmarkEnd w:id="356"/>
      <w:bookmarkStart w:id="357" w:name="_Toc184308090"/>
      <w:bookmarkEnd w:id="357"/>
      <w:bookmarkStart w:id="358" w:name="_Toc184308040"/>
      <w:bookmarkEnd w:id="358"/>
      <w:bookmarkStart w:id="359" w:name="_Toc184313261"/>
      <w:bookmarkEnd w:id="359"/>
      <w:bookmarkStart w:id="360" w:name="_Toc184312120"/>
      <w:bookmarkEnd w:id="360"/>
      <w:bookmarkStart w:id="361" w:name="_Toc184312103"/>
      <w:bookmarkEnd w:id="361"/>
      <w:bookmarkStart w:id="362" w:name="_Toc184308091"/>
      <w:bookmarkEnd w:id="362"/>
      <w:bookmarkStart w:id="363" w:name="_Toc184308061"/>
      <w:bookmarkEnd w:id="363"/>
      <w:bookmarkStart w:id="364" w:name="_Toc184314462"/>
      <w:bookmarkEnd w:id="364"/>
      <w:bookmarkStart w:id="365" w:name="_Toc184314473"/>
      <w:bookmarkEnd w:id="365"/>
      <w:bookmarkStart w:id="366" w:name="_Toc184314441"/>
      <w:bookmarkEnd w:id="366"/>
      <w:bookmarkStart w:id="367" w:name="_Toc184308073"/>
      <w:bookmarkEnd w:id="367"/>
      <w:bookmarkStart w:id="368" w:name="_Toc184313282"/>
      <w:bookmarkEnd w:id="368"/>
      <w:bookmarkStart w:id="369" w:name="_Toc184314480"/>
      <w:bookmarkEnd w:id="369"/>
      <w:bookmarkStart w:id="370" w:name="_Toc184313273"/>
      <w:bookmarkEnd w:id="370"/>
      <w:bookmarkStart w:id="371" w:name="_Toc184312122"/>
      <w:bookmarkEnd w:id="371"/>
      <w:bookmarkStart w:id="372" w:name="_Toc184310288"/>
      <w:bookmarkEnd w:id="372"/>
      <w:bookmarkStart w:id="373" w:name="_Toc184310286"/>
      <w:bookmarkEnd w:id="373"/>
      <w:bookmarkStart w:id="374" w:name="_Toc184308053"/>
      <w:bookmarkEnd w:id="374"/>
      <w:bookmarkStart w:id="375" w:name="_Toc184313286"/>
      <w:bookmarkEnd w:id="375"/>
      <w:bookmarkStart w:id="376" w:name="_Toc184312130"/>
      <w:bookmarkEnd w:id="376"/>
      <w:bookmarkStart w:id="377" w:name="_Toc184308099"/>
      <w:bookmarkEnd w:id="377"/>
      <w:bookmarkStart w:id="378" w:name="_Toc184308059"/>
      <w:bookmarkEnd w:id="378"/>
      <w:bookmarkStart w:id="379" w:name="_Toc184308087"/>
      <w:bookmarkEnd w:id="379"/>
      <w:bookmarkStart w:id="380" w:name="_Toc184313274"/>
      <w:bookmarkEnd w:id="380"/>
      <w:bookmarkStart w:id="381" w:name="_Toc184312093"/>
      <w:bookmarkEnd w:id="381"/>
      <w:bookmarkStart w:id="382" w:name="_Toc184312110"/>
      <w:bookmarkEnd w:id="382"/>
      <w:bookmarkStart w:id="383" w:name="_Toc184312080"/>
      <w:bookmarkEnd w:id="383"/>
      <w:bookmarkStart w:id="384" w:name="_Toc184308105"/>
      <w:bookmarkEnd w:id="384"/>
      <w:bookmarkStart w:id="385" w:name="_Toc184312135"/>
      <w:bookmarkEnd w:id="385"/>
      <w:bookmarkStart w:id="386" w:name="_Toc184313303"/>
      <w:bookmarkEnd w:id="386"/>
      <w:bookmarkStart w:id="387" w:name="_Toc184308049"/>
      <w:bookmarkEnd w:id="387"/>
      <w:bookmarkStart w:id="388" w:name="_Toc184310290"/>
      <w:bookmarkEnd w:id="388"/>
      <w:bookmarkStart w:id="389" w:name="_Toc184314440"/>
      <w:bookmarkEnd w:id="389"/>
      <w:bookmarkStart w:id="390" w:name="_Toc184308104"/>
      <w:bookmarkEnd w:id="390"/>
      <w:bookmarkStart w:id="391" w:name="_Toc184310278"/>
      <w:bookmarkEnd w:id="391"/>
      <w:bookmarkStart w:id="392" w:name="_Toc184314422"/>
      <w:bookmarkEnd w:id="392"/>
      <w:bookmarkStart w:id="393" w:name="_Toc184313254"/>
      <w:bookmarkEnd w:id="393"/>
      <w:bookmarkStart w:id="394" w:name="_Toc184313277"/>
      <w:bookmarkEnd w:id="394"/>
      <w:bookmarkStart w:id="395" w:name="_Toc184314412"/>
      <w:bookmarkEnd w:id="395"/>
      <w:bookmarkStart w:id="396" w:name="_Toc184314444"/>
      <w:bookmarkEnd w:id="396"/>
      <w:bookmarkStart w:id="397" w:name="_Toc184314438"/>
      <w:bookmarkEnd w:id="397"/>
      <w:bookmarkStart w:id="398" w:name="_Toc184314432"/>
      <w:bookmarkEnd w:id="398"/>
      <w:bookmarkStart w:id="399" w:name="_Toc184313238"/>
      <w:bookmarkEnd w:id="399"/>
      <w:bookmarkStart w:id="400" w:name="_Toc184314454"/>
      <w:bookmarkEnd w:id="400"/>
      <w:bookmarkStart w:id="401" w:name="_Toc184314424"/>
      <w:bookmarkEnd w:id="401"/>
      <w:bookmarkStart w:id="402" w:name="_Toc184314416"/>
      <w:bookmarkEnd w:id="402"/>
      <w:bookmarkStart w:id="403" w:name="_Toc184308108"/>
      <w:bookmarkEnd w:id="403"/>
      <w:bookmarkStart w:id="404" w:name="_Toc184310311"/>
      <w:bookmarkEnd w:id="404"/>
      <w:bookmarkStart w:id="405" w:name="_Toc184308071"/>
      <w:bookmarkEnd w:id="405"/>
      <w:bookmarkStart w:id="406" w:name="_Toc184310327"/>
      <w:bookmarkEnd w:id="406"/>
      <w:bookmarkStart w:id="407" w:name="_Toc184308037"/>
      <w:bookmarkEnd w:id="407"/>
      <w:bookmarkStart w:id="408" w:name="_Toc184312089"/>
      <w:bookmarkEnd w:id="408"/>
      <w:bookmarkStart w:id="409" w:name="_Toc184308100"/>
      <w:bookmarkEnd w:id="409"/>
      <w:bookmarkStart w:id="410" w:name="_Toc184312108"/>
      <w:bookmarkEnd w:id="410"/>
      <w:bookmarkStart w:id="411" w:name="_Toc184313252"/>
      <w:bookmarkEnd w:id="411"/>
      <w:bookmarkStart w:id="412" w:name="_Toc184314414"/>
      <w:bookmarkEnd w:id="412"/>
      <w:bookmarkStart w:id="413" w:name="_Toc184312096"/>
      <w:bookmarkEnd w:id="413"/>
      <w:bookmarkStart w:id="414" w:name="_Toc184310296"/>
      <w:bookmarkEnd w:id="414"/>
      <w:bookmarkStart w:id="415" w:name="_Toc184312138"/>
      <w:bookmarkEnd w:id="415"/>
      <w:bookmarkStart w:id="416" w:name="_Toc184310315"/>
      <w:bookmarkEnd w:id="416"/>
      <w:bookmarkStart w:id="417" w:name="_Toc184312129"/>
      <w:bookmarkEnd w:id="417"/>
      <w:bookmarkStart w:id="418" w:name="_Toc184313293"/>
      <w:bookmarkEnd w:id="418"/>
      <w:bookmarkStart w:id="419" w:name="_Toc184313291"/>
      <w:bookmarkEnd w:id="419"/>
      <w:bookmarkStart w:id="420" w:name="_Toc184310301"/>
      <w:bookmarkEnd w:id="420"/>
      <w:bookmarkStart w:id="421" w:name="_Toc184308041"/>
      <w:bookmarkEnd w:id="421"/>
      <w:bookmarkStart w:id="422" w:name="_Toc184313295"/>
      <w:bookmarkEnd w:id="422"/>
      <w:bookmarkStart w:id="423" w:name="_Toc184310334"/>
      <w:bookmarkEnd w:id="423"/>
      <w:bookmarkStart w:id="424" w:name="_Toc184312078"/>
      <w:bookmarkEnd w:id="424"/>
      <w:bookmarkStart w:id="425" w:name="_Toc184310279"/>
      <w:bookmarkEnd w:id="425"/>
      <w:bookmarkStart w:id="426" w:name="_Toc184310274"/>
      <w:bookmarkEnd w:id="426"/>
      <w:bookmarkStart w:id="427" w:name="_Toc184314470"/>
      <w:bookmarkEnd w:id="427"/>
      <w:bookmarkStart w:id="428" w:name="_Toc184314468"/>
      <w:bookmarkEnd w:id="428"/>
      <w:bookmarkStart w:id="429" w:name="_Toc184314419"/>
      <w:bookmarkEnd w:id="429"/>
      <w:bookmarkStart w:id="430" w:name="_Toc184308080"/>
      <w:bookmarkEnd w:id="430"/>
      <w:bookmarkStart w:id="431" w:name="_Toc184313241"/>
      <w:bookmarkEnd w:id="431"/>
      <w:bookmarkStart w:id="432" w:name="_Toc184310304"/>
      <w:bookmarkEnd w:id="432"/>
      <w:bookmarkStart w:id="433" w:name="_Toc184314431"/>
      <w:bookmarkEnd w:id="433"/>
      <w:bookmarkStart w:id="434" w:name="_Toc184313285"/>
      <w:bookmarkEnd w:id="434"/>
      <w:bookmarkStart w:id="435" w:name="_Toc184314461"/>
      <w:bookmarkEnd w:id="435"/>
      <w:bookmarkStart w:id="436" w:name="_Toc184312067"/>
      <w:bookmarkEnd w:id="436"/>
      <w:bookmarkStart w:id="437" w:name="_Toc184314469"/>
      <w:bookmarkEnd w:id="437"/>
      <w:bookmarkStart w:id="438" w:name="_Toc184310297"/>
      <w:bookmarkEnd w:id="438"/>
      <w:bookmarkStart w:id="439" w:name="_Toc184312114"/>
      <w:bookmarkEnd w:id="439"/>
      <w:bookmarkStart w:id="440" w:name="_Toc184314423"/>
      <w:bookmarkEnd w:id="440"/>
      <w:bookmarkStart w:id="441" w:name="_Toc184313247"/>
      <w:bookmarkEnd w:id="441"/>
      <w:bookmarkStart w:id="442" w:name="_Toc184310302"/>
      <w:bookmarkEnd w:id="442"/>
      <w:bookmarkStart w:id="443" w:name="_Toc184312081"/>
      <w:bookmarkEnd w:id="443"/>
      <w:bookmarkStart w:id="444" w:name="_Toc184308062"/>
      <w:bookmarkEnd w:id="444"/>
      <w:bookmarkStart w:id="445" w:name="_Toc184312109"/>
      <w:bookmarkEnd w:id="445"/>
      <w:bookmarkStart w:id="446" w:name="_Toc184310342"/>
      <w:bookmarkEnd w:id="446"/>
      <w:bookmarkStart w:id="447" w:name="_Toc184308036"/>
      <w:bookmarkEnd w:id="447"/>
      <w:bookmarkStart w:id="448" w:name="_Toc184312086"/>
      <w:bookmarkEnd w:id="448"/>
      <w:bookmarkStart w:id="449" w:name="_Toc184312139"/>
      <w:bookmarkEnd w:id="449"/>
      <w:bookmarkStart w:id="450" w:name="_Toc184308093"/>
      <w:bookmarkEnd w:id="450"/>
      <w:bookmarkStart w:id="451" w:name="_Toc184313263"/>
      <w:bookmarkEnd w:id="451"/>
      <w:bookmarkStart w:id="452" w:name="_Toc184314478"/>
      <w:bookmarkEnd w:id="452"/>
      <w:bookmarkStart w:id="453" w:name="_Toc184314458"/>
      <w:bookmarkEnd w:id="453"/>
      <w:bookmarkStart w:id="454" w:name="_Toc184313287"/>
      <w:bookmarkEnd w:id="454"/>
      <w:bookmarkStart w:id="455" w:name="_Toc184313268"/>
      <w:bookmarkEnd w:id="455"/>
      <w:bookmarkStart w:id="456" w:name="_Toc184313281"/>
      <w:bookmarkEnd w:id="456"/>
      <w:bookmarkStart w:id="457" w:name="_Toc184310299"/>
      <w:bookmarkEnd w:id="457"/>
      <w:bookmarkStart w:id="458" w:name="_Toc184313264"/>
      <w:bookmarkEnd w:id="458"/>
      <w:bookmarkStart w:id="459" w:name="_Toc184312106"/>
      <w:bookmarkEnd w:id="459"/>
      <w:bookmarkStart w:id="460" w:name="_Toc184314447"/>
      <w:bookmarkEnd w:id="460"/>
      <w:bookmarkStart w:id="461" w:name="_Toc184310308"/>
      <w:bookmarkEnd w:id="461"/>
      <w:bookmarkStart w:id="462" w:name="_Toc184312107"/>
      <w:bookmarkEnd w:id="462"/>
      <w:bookmarkStart w:id="463" w:name="_Toc184314449"/>
      <w:bookmarkEnd w:id="463"/>
      <w:bookmarkStart w:id="464" w:name="_Toc184310314"/>
      <w:bookmarkEnd w:id="464"/>
      <w:bookmarkStart w:id="465" w:name="_Toc184310283"/>
      <w:bookmarkEnd w:id="465"/>
      <w:bookmarkStart w:id="466" w:name="_Toc184308063"/>
      <w:bookmarkEnd w:id="466"/>
      <w:bookmarkStart w:id="467" w:name="_Toc184314425"/>
      <w:bookmarkEnd w:id="467"/>
      <w:bookmarkStart w:id="468" w:name="_Toc184310344"/>
      <w:bookmarkEnd w:id="468"/>
      <w:bookmarkStart w:id="469" w:name="_Toc184308095"/>
      <w:bookmarkEnd w:id="469"/>
      <w:bookmarkStart w:id="470" w:name="_Toc184308107"/>
      <w:bookmarkEnd w:id="470"/>
      <w:bookmarkStart w:id="471" w:name="_Toc184313257"/>
      <w:bookmarkEnd w:id="471"/>
      <w:bookmarkStart w:id="472" w:name="_Toc184308106"/>
      <w:bookmarkEnd w:id="472"/>
      <w:bookmarkStart w:id="473" w:name="_Toc184308051"/>
      <w:bookmarkEnd w:id="473"/>
      <w:bookmarkStart w:id="474" w:name="_Toc184313275"/>
      <w:bookmarkEnd w:id="474"/>
      <w:bookmarkStart w:id="475" w:name="_Toc184313248"/>
      <w:bookmarkEnd w:id="475"/>
      <w:bookmarkStart w:id="476" w:name="_Toc184312100"/>
      <w:bookmarkEnd w:id="476"/>
      <w:bookmarkStart w:id="477" w:name="_Toc184313270"/>
      <w:bookmarkEnd w:id="477"/>
      <w:bookmarkStart w:id="478" w:name="_Toc184313244"/>
      <w:bookmarkEnd w:id="478"/>
      <w:r>
        <w:rPr>
          <w:rStyle w:val="29"/>
          <w:rFonts w:hint="eastAsia" w:ascii="仿宋" w:hAnsi="仿宋" w:eastAsia="仿宋" w:cs="仿宋"/>
          <w:color w:val="000000" w:themeColor="text1"/>
          <w:sz w:val="40"/>
          <w:szCs w:val="40"/>
          <w14:textFill>
            <w14:solidFill>
              <w14:schemeClr w14:val="tx1"/>
            </w14:solidFill>
          </w14:textFill>
        </w:rPr>
        <w:t>评审办法</w:t>
      </w:r>
      <w:bookmarkEnd w:id="92"/>
      <w:bookmarkEnd w:id="93"/>
      <w:bookmarkEnd w:id="113"/>
    </w:p>
    <w:p w14:paraId="1B41830F">
      <w:pPr>
        <w:snapToGrid w:val="0"/>
        <w:spacing w:line="360" w:lineRule="auto"/>
        <w:jc w:val="center"/>
        <w:rPr>
          <w:rStyle w:val="25"/>
          <w:rFonts w:ascii="仿宋" w:eastAsia="仿宋" w:cs="仿宋"/>
          <w:color w:val="000000" w:themeColor="text1"/>
          <w14:textFill>
            <w14:solidFill>
              <w14:schemeClr w14:val="tx1"/>
            </w14:solidFill>
          </w14:textFill>
        </w:rPr>
      </w:pPr>
      <w:bookmarkStart w:id="479" w:name="_Toc5658"/>
      <w:bookmarkStart w:id="480" w:name="_Toc2007955357"/>
      <w:bookmarkStart w:id="481" w:name="_Toc16594"/>
      <w:r>
        <w:rPr>
          <w:rStyle w:val="25"/>
          <w:rFonts w:hint="eastAsia" w:ascii="仿宋" w:eastAsia="仿宋" w:cs="仿宋"/>
          <w:color w:val="000000" w:themeColor="text1"/>
          <w14:textFill>
            <w14:solidFill>
              <w14:schemeClr w14:val="tx1"/>
            </w14:solidFill>
          </w14:textFill>
        </w:rPr>
        <w:t>评审办法前附表</w:t>
      </w:r>
    </w:p>
    <w:bookmarkEnd w:id="479"/>
    <w:bookmarkEnd w:id="480"/>
    <w:bookmarkEnd w:id="481"/>
    <w:tbl>
      <w:tblPr>
        <w:tblStyle w:val="20"/>
        <w:tblW w:w="103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
        <w:gridCol w:w="768"/>
        <w:gridCol w:w="1128"/>
        <w:gridCol w:w="5942"/>
        <w:gridCol w:w="574"/>
        <w:gridCol w:w="987"/>
      </w:tblGrid>
      <w:tr w14:paraId="50D84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blHeader/>
          <w:jc w:val="center"/>
        </w:trPr>
        <w:tc>
          <w:tcPr>
            <w:tcW w:w="985" w:type="dxa"/>
            <w:tcBorders>
              <w:top w:val="single" w:color="auto" w:sz="4" w:space="0"/>
              <w:bottom w:val="single" w:color="auto" w:sz="4" w:space="0"/>
              <w:right w:val="single" w:color="auto" w:sz="4" w:space="0"/>
            </w:tcBorders>
            <w:vAlign w:val="center"/>
          </w:tcPr>
          <w:p w14:paraId="3B4D8F78">
            <w:pPr>
              <w:jc w:val="center"/>
              <w:rPr>
                <w:rFonts w:ascii="仿宋" w:hAnsi="仿宋" w:eastAsia="仿宋" w:cs="仿宋"/>
                <w:b/>
                <w:bCs/>
                <w:color w:val="000000" w:themeColor="text1"/>
                <w:sz w:val="24"/>
                <w14:textFill>
                  <w14:solidFill>
                    <w14:schemeClr w14:val="tx1"/>
                  </w14:solidFill>
                </w14:textFill>
              </w:rPr>
            </w:pPr>
            <w:bookmarkStart w:id="482" w:name="_Hlk93170489"/>
            <w:r>
              <w:rPr>
                <w:rFonts w:hint="eastAsia" w:ascii="仿宋" w:hAnsi="仿宋" w:eastAsia="仿宋" w:cs="仿宋"/>
                <w:b/>
                <w:bCs/>
                <w:color w:val="000000" w:themeColor="text1"/>
                <w:sz w:val="24"/>
                <w14:textFill>
                  <w14:solidFill>
                    <w14:schemeClr w14:val="tx1"/>
                  </w14:solidFill>
                </w14:textFill>
              </w:rPr>
              <w:t>条款号</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2985D133">
            <w:pPr>
              <w:jc w:val="center"/>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评审因素</w:t>
            </w:r>
          </w:p>
        </w:tc>
        <w:tc>
          <w:tcPr>
            <w:tcW w:w="7503" w:type="dxa"/>
            <w:gridSpan w:val="3"/>
            <w:tcBorders>
              <w:top w:val="single" w:color="auto" w:sz="4" w:space="0"/>
              <w:left w:val="single" w:color="auto" w:sz="4" w:space="0"/>
              <w:bottom w:val="single" w:color="auto" w:sz="4" w:space="0"/>
            </w:tcBorders>
            <w:vAlign w:val="center"/>
          </w:tcPr>
          <w:p w14:paraId="0DB76CDE">
            <w:pPr>
              <w:jc w:val="center"/>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评审标准</w:t>
            </w:r>
          </w:p>
        </w:tc>
      </w:tr>
      <w:tr w14:paraId="42E49D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jc w:val="center"/>
        </w:trPr>
        <w:tc>
          <w:tcPr>
            <w:tcW w:w="985" w:type="dxa"/>
            <w:tcBorders>
              <w:top w:val="single" w:color="auto" w:sz="4" w:space="0"/>
              <w:right w:val="single" w:color="auto" w:sz="4" w:space="0"/>
            </w:tcBorders>
            <w:vAlign w:val="center"/>
          </w:tcPr>
          <w:p w14:paraId="13BE857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w:t>
            </w:r>
          </w:p>
        </w:tc>
        <w:tc>
          <w:tcPr>
            <w:tcW w:w="1896" w:type="dxa"/>
            <w:gridSpan w:val="2"/>
            <w:tcBorders>
              <w:top w:val="single" w:color="auto" w:sz="4" w:space="0"/>
              <w:left w:val="single" w:color="auto" w:sz="4" w:space="0"/>
              <w:right w:val="single" w:color="auto" w:sz="4" w:space="0"/>
            </w:tcBorders>
            <w:vAlign w:val="center"/>
          </w:tcPr>
          <w:p w14:paraId="0F14087F">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评审办法</w:t>
            </w:r>
          </w:p>
        </w:tc>
        <w:tc>
          <w:tcPr>
            <w:tcW w:w="7503" w:type="dxa"/>
            <w:gridSpan w:val="3"/>
            <w:tcBorders>
              <w:top w:val="single" w:color="auto" w:sz="4" w:space="0"/>
              <w:left w:val="single" w:color="auto" w:sz="4" w:space="0"/>
              <w:bottom w:val="single" w:color="auto" w:sz="4" w:space="0"/>
            </w:tcBorders>
            <w:vAlign w:val="center"/>
          </w:tcPr>
          <w:p w14:paraId="0E969BD3">
            <w:p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本次评审采用综合评分法，综合评分法是指响应文件开启后满足采购文件全部实质性要求，且按照评审因素的量化指标评审得分最高的3名供应商为成交候选人的评审方法。</w:t>
            </w:r>
          </w:p>
        </w:tc>
      </w:tr>
      <w:tr w14:paraId="27238B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0" w:hRule="atLeast"/>
          <w:jc w:val="center"/>
        </w:trPr>
        <w:tc>
          <w:tcPr>
            <w:tcW w:w="985" w:type="dxa"/>
            <w:vMerge w:val="restart"/>
            <w:tcBorders>
              <w:top w:val="single" w:color="auto" w:sz="4" w:space="0"/>
              <w:right w:val="single" w:color="auto" w:sz="4" w:space="0"/>
            </w:tcBorders>
            <w:vAlign w:val="center"/>
          </w:tcPr>
          <w:p w14:paraId="576DE78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w:t>
            </w:r>
          </w:p>
        </w:tc>
        <w:tc>
          <w:tcPr>
            <w:tcW w:w="1896" w:type="dxa"/>
            <w:gridSpan w:val="2"/>
            <w:vMerge w:val="restart"/>
            <w:tcBorders>
              <w:top w:val="single" w:color="auto" w:sz="4" w:space="0"/>
              <w:left w:val="single" w:color="auto" w:sz="4" w:space="0"/>
              <w:right w:val="single" w:color="auto" w:sz="4" w:space="0"/>
            </w:tcBorders>
            <w:vAlign w:val="center"/>
          </w:tcPr>
          <w:p w14:paraId="2E578095">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u w:val="single"/>
                <w14:textFill>
                  <w14:solidFill>
                    <w14:schemeClr w14:val="tx1"/>
                  </w14:solidFill>
                </w14:textFill>
              </w:rPr>
              <w:t>▲资格审查</w:t>
            </w:r>
          </w:p>
        </w:tc>
        <w:tc>
          <w:tcPr>
            <w:tcW w:w="7503" w:type="dxa"/>
            <w:gridSpan w:val="3"/>
            <w:tcBorders>
              <w:top w:val="single" w:color="auto" w:sz="4" w:space="0"/>
              <w:left w:val="single" w:color="auto" w:sz="4" w:space="0"/>
              <w:bottom w:val="single" w:color="auto" w:sz="4" w:space="0"/>
            </w:tcBorders>
            <w:vAlign w:val="center"/>
          </w:tcPr>
          <w:p w14:paraId="6DEC8E7F">
            <w:pPr>
              <w:jc w:val="left"/>
              <w:rPr>
                <w:color w:val="000000" w:themeColor="text1"/>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2.1.1提供符合参加政府采购活动应当具备的一般条件的承诺函及有效的企业营业执照（或事业法人登记证书或其它工商等登记证明材料，自然人提供身份证)复制件（如为联合体，则联合体各方均应提供）；</w:t>
            </w:r>
          </w:p>
        </w:tc>
      </w:tr>
      <w:tr w14:paraId="669DFF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3" w:hRule="atLeast"/>
          <w:jc w:val="center"/>
        </w:trPr>
        <w:tc>
          <w:tcPr>
            <w:tcW w:w="985" w:type="dxa"/>
            <w:vMerge w:val="continue"/>
            <w:tcBorders>
              <w:right w:val="single" w:color="auto" w:sz="4" w:space="0"/>
            </w:tcBorders>
            <w:vAlign w:val="center"/>
          </w:tcPr>
          <w:p w14:paraId="199B82AB">
            <w:pPr>
              <w:jc w:val="center"/>
              <w:rPr>
                <w:rFonts w:ascii="仿宋" w:hAnsi="仿宋" w:eastAsia="仿宋" w:cs="仿宋"/>
                <w:color w:val="000000" w:themeColor="text1"/>
                <w:sz w:val="22"/>
                <w:szCs w:val="22"/>
                <w14:textFill>
                  <w14:solidFill>
                    <w14:schemeClr w14:val="tx1"/>
                  </w14:solidFill>
                </w14:textFill>
              </w:rPr>
            </w:pPr>
          </w:p>
        </w:tc>
        <w:tc>
          <w:tcPr>
            <w:tcW w:w="1896" w:type="dxa"/>
            <w:gridSpan w:val="2"/>
            <w:vMerge w:val="continue"/>
            <w:tcBorders>
              <w:left w:val="single" w:color="auto" w:sz="4" w:space="0"/>
              <w:right w:val="single" w:color="auto" w:sz="4" w:space="0"/>
            </w:tcBorders>
            <w:vAlign w:val="center"/>
          </w:tcPr>
          <w:p w14:paraId="7DF08C05">
            <w:pPr>
              <w:jc w:val="center"/>
              <w:rPr>
                <w:rFonts w:ascii="仿宋" w:hAnsi="仿宋" w:eastAsia="仿宋" w:cs="仿宋"/>
                <w:color w:val="000000" w:themeColor="text1"/>
                <w:sz w:val="22"/>
                <w:szCs w:val="22"/>
                <w14:textFill>
                  <w14:solidFill>
                    <w14:schemeClr w14:val="tx1"/>
                  </w14:solidFill>
                </w14:textFill>
              </w:rPr>
            </w:pPr>
          </w:p>
        </w:tc>
        <w:tc>
          <w:tcPr>
            <w:tcW w:w="7503" w:type="dxa"/>
            <w:gridSpan w:val="3"/>
            <w:tcBorders>
              <w:top w:val="single" w:color="auto" w:sz="4" w:space="0"/>
              <w:left w:val="single" w:color="auto" w:sz="4" w:space="0"/>
              <w:bottom w:val="single" w:color="auto" w:sz="4" w:space="0"/>
            </w:tcBorders>
            <w:vAlign w:val="center"/>
          </w:tcPr>
          <w:p w14:paraId="10389AF9">
            <w:pPr>
              <w:rPr>
                <w:rFonts w:eastAsia="仿宋"/>
                <w:color w:val="000000" w:themeColor="text1"/>
                <w:u w:val="single"/>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落实政府采购政策需满足的资格审查材料：</w:t>
            </w:r>
            <w:r>
              <w:rPr>
                <w:rFonts w:hint="eastAsia" w:ascii="仿宋" w:hAnsi="仿宋" w:eastAsia="仿宋" w:cs="仿宋"/>
                <w:color w:val="000000" w:themeColor="text1"/>
                <w:sz w:val="22"/>
                <w:szCs w:val="22"/>
                <w:u w:val="single"/>
                <w14:textFill>
                  <w14:solidFill>
                    <w14:schemeClr w14:val="tx1"/>
                  </w14:solidFill>
                </w14:textFill>
              </w:rPr>
              <w:t xml:space="preserve"> 中小企业声明函；</w:t>
            </w:r>
          </w:p>
        </w:tc>
      </w:tr>
      <w:tr w14:paraId="55C74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985" w:type="dxa"/>
            <w:vMerge w:val="continue"/>
            <w:tcBorders>
              <w:right w:val="single" w:color="auto" w:sz="4" w:space="0"/>
            </w:tcBorders>
            <w:vAlign w:val="center"/>
          </w:tcPr>
          <w:p w14:paraId="565AD333">
            <w:pPr>
              <w:jc w:val="center"/>
              <w:rPr>
                <w:rFonts w:ascii="仿宋" w:hAnsi="仿宋" w:eastAsia="仿宋" w:cs="仿宋"/>
                <w:color w:val="000000" w:themeColor="text1"/>
                <w:sz w:val="22"/>
                <w:szCs w:val="22"/>
                <w14:textFill>
                  <w14:solidFill>
                    <w14:schemeClr w14:val="tx1"/>
                  </w14:solidFill>
                </w14:textFill>
              </w:rPr>
            </w:pPr>
          </w:p>
        </w:tc>
        <w:tc>
          <w:tcPr>
            <w:tcW w:w="1896" w:type="dxa"/>
            <w:gridSpan w:val="2"/>
            <w:vMerge w:val="continue"/>
            <w:tcBorders>
              <w:left w:val="single" w:color="auto" w:sz="4" w:space="0"/>
              <w:right w:val="single" w:color="auto" w:sz="4" w:space="0"/>
            </w:tcBorders>
            <w:vAlign w:val="center"/>
          </w:tcPr>
          <w:p w14:paraId="756536BF">
            <w:pPr>
              <w:jc w:val="center"/>
              <w:rPr>
                <w:rFonts w:ascii="仿宋" w:hAnsi="仿宋" w:eastAsia="仿宋" w:cs="仿宋"/>
                <w:color w:val="000000" w:themeColor="text1"/>
                <w:sz w:val="22"/>
                <w:szCs w:val="22"/>
                <w14:textFill>
                  <w14:solidFill>
                    <w14:schemeClr w14:val="tx1"/>
                  </w14:solidFill>
                </w14:textFill>
              </w:rPr>
            </w:pPr>
          </w:p>
        </w:tc>
        <w:tc>
          <w:tcPr>
            <w:tcW w:w="7503" w:type="dxa"/>
            <w:gridSpan w:val="3"/>
            <w:tcBorders>
              <w:top w:val="single" w:color="auto" w:sz="4" w:space="0"/>
              <w:left w:val="single" w:color="auto" w:sz="4" w:space="0"/>
              <w:bottom w:val="single" w:color="auto" w:sz="4" w:space="0"/>
            </w:tcBorders>
            <w:vAlign w:val="center"/>
          </w:tcPr>
          <w:p w14:paraId="46F23AD1">
            <w:pPr>
              <w:rPr>
                <w:color w:val="000000" w:themeColor="text1"/>
                <w:u w:val="single"/>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2.1.3本项目的特定资格要求审查材料：</w:t>
            </w:r>
            <w:r>
              <w:rPr>
                <w:rFonts w:hint="eastAsia" w:ascii="仿宋" w:hAnsi="仿宋" w:eastAsia="仿宋" w:cs="仿宋"/>
                <w:color w:val="000000" w:themeColor="text1"/>
                <w:sz w:val="22"/>
                <w:szCs w:val="22"/>
                <w:u w:val="single"/>
                <w14:textFill>
                  <w14:solidFill>
                    <w14:schemeClr w14:val="tx1"/>
                  </w14:solidFill>
                </w14:textFill>
              </w:rPr>
              <w:t xml:space="preserve"> 无； </w:t>
            </w:r>
          </w:p>
        </w:tc>
      </w:tr>
      <w:tr w14:paraId="04365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2" w:hRule="atLeast"/>
          <w:jc w:val="center"/>
        </w:trPr>
        <w:tc>
          <w:tcPr>
            <w:tcW w:w="985" w:type="dxa"/>
            <w:vMerge w:val="continue"/>
            <w:tcBorders>
              <w:bottom w:val="single" w:color="auto" w:sz="4" w:space="0"/>
              <w:right w:val="single" w:color="auto" w:sz="4" w:space="0"/>
            </w:tcBorders>
            <w:vAlign w:val="center"/>
          </w:tcPr>
          <w:p w14:paraId="5800D538">
            <w:pPr>
              <w:jc w:val="center"/>
              <w:rPr>
                <w:rFonts w:ascii="仿宋" w:hAnsi="仿宋" w:eastAsia="仿宋" w:cs="仿宋"/>
                <w:color w:val="000000" w:themeColor="text1"/>
                <w:sz w:val="22"/>
                <w:szCs w:val="22"/>
                <w14:textFill>
                  <w14:solidFill>
                    <w14:schemeClr w14:val="tx1"/>
                  </w14:solidFill>
                </w14:textFill>
              </w:rPr>
            </w:pPr>
          </w:p>
        </w:tc>
        <w:tc>
          <w:tcPr>
            <w:tcW w:w="1896" w:type="dxa"/>
            <w:gridSpan w:val="2"/>
            <w:vMerge w:val="continue"/>
            <w:tcBorders>
              <w:left w:val="single" w:color="auto" w:sz="4" w:space="0"/>
              <w:right w:val="single" w:color="auto" w:sz="4" w:space="0"/>
            </w:tcBorders>
            <w:vAlign w:val="center"/>
          </w:tcPr>
          <w:p w14:paraId="3300A3D4">
            <w:pPr>
              <w:jc w:val="center"/>
              <w:rPr>
                <w:rFonts w:ascii="仿宋" w:hAnsi="仿宋" w:eastAsia="仿宋" w:cs="仿宋"/>
                <w:color w:val="000000" w:themeColor="text1"/>
                <w:sz w:val="22"/>
                <w:szCs w:val="22"/>
                <w14:textFill>
                  <w14:solidFill>
                    <w14:schemeClr w14:val="tx1"/>
                  </w14:solidFill>
                </w14:textFill>
              </w:rPr>
            </w:pPr>
          </w:p>
        </w:tc>
        <w:tc>
          <w:tcPr>
            <w:tcW w:w="7503" w:type="dxa"/>
            <w:gridSpan w:val="3"/>
            <w:tcBorders>
              <w:top w:val="single" w:color="auto" w:sz="4" w:space="0"/>
              <w:left w:val="single" w:color="auto" w:sz="4" w:space="0"/>
              <w:bottom w:val="single" w:color="auto" w:sz="4" w:space="0"/>
            </w:tcBorders>
            <w:vAlign w:val="center"/>
          </w:tcPr>
          <w:p w14:paraId="3A99D7BA">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2.1.4商业信誉审查：</w:t>
            </w:r>
          </w:p>
          <w:p w14:paraId="3AF5E0FF">
            <w:pPr>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05C57C18">
            <w:pPr>
              <w:ind w:firstLine="44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对列入失信被执行人、重大税收违法案件当事人名单、政府采购严重违法失信行为记录名单的供应商，其磋商响应将作无效响应处理。</w:t>
            </w:r>
          </w:p>
        </w:tc>
      </w:tr>
      <w:tr w14:paraId="54707C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338C0BB7">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2.2</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1EAA4D6A">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b/>
                <w:bCs/>
                <w:color w:val="000000" w:themeColor="text1"/>
                <w:sz w:val="22"/>
                <w:szCs w:val="22"/>
                <w:u w:val="single"/>
                <w14:textFill>
                  <w14:solidFill>
                    <w14:schemeClr w14:val="tx1"/>
                  </w14:solidFill>
                </w14:textFill>
              </w:rPr>
              <w:t>▲符合性审查</w:t>
            </w:r>
          </w:p>
        </w:tc>
        <w:tc>
          <w:tcPr>
            <w:tcW w:w="7503" w:type="dxa"/>
            <w:gridSpan w:val="3"/>
            <w:tcBorders>
              <w:top w:val="single" w:color="auto" w:sz="4" w:space="0"/>
              <w:left w:val="single" w:color="auto" w:sz="4" w:space="0"/>
              <w:bottom w:val="single" w:color="auto" w:sz="4" w:space="0"/>
            </w:tcBorders>
            <w:vAlign w:val="center"/>
          </w:tcPr>
          <w:p w14:paraId="06689E7F">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磋商小组在评审过程中根据本“第四章评审办法”2.3.1~2.3.3条款规定的符合性审查内容要求对响应文件的有效性、完整性、响应文件的响应程度审查。</w:t>
            </w:r>
          </w:p>
          <w:p w14:paraId="76953072">
            <w:pPr>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符合性审查其他要求：</w:t>
            </w:r>
            <w:r>
              <w:rPr>
                <w:rFonts w:hint="eastAsia" w:ascii="仿宋" w:hAnsi="仿宋" w:eastAsia="仿宋" w:cs="仿宋"/>
                <w:color w:val="000000" w:themeColor="text1"/>
                <w:sz w:val="22"/>
                <w:szCs w:val="22"/>
                <w:u w:val="single"/>
                <w14:textFill>
                  <w14:solidFill>
                    <w14:schemeClr w14:val="tx1"/>
                  </w14:solidFill>
                </w14:textFill>
              </w:rPr>
              <w:t xml:space="preserve"> 无 </w:t>
            </w:r>
          </w:p>
        </w:tc>
      </w:tr>
      <w:tr w14:paraId="5EEED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8" w:hRule="atLeast"/>
          <w:jc w:val="center"/>
        </w:trPr>
        <w:tc>
          <w:tcPr>
            <w:tcW w:w="985" w:type="dxa"/>
            <w:tcBorders>
              <w:top w:val="single" w:color="auto" w:sz="4" w:space="0"/>
              <w:bottom w:val="single" w:color="auto" w:sz="4" w:space="0"/>
              <w:right w:val="single" w:color="auto" w:sz="4" w:space="0"/>
            </w:tcBorders>
            <w:vAlign w:val="center"/>
          </w:tcPr>
          <w:p w14:paraId="7A55C07E">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46C693D0">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比较与评价</w:t>
            </w:r>
          </w:p>
        </w:tc>
        <w:tc>
          <w:tcPr>
            <w:tcW w:w="7503" w:type="dxa"/>
            <w:gridSpan w:val="3"/>
            <w:tcBorders>
              <w:top w:val="single" w:color="auto" w:sz="4" w:space="0"/>
              <w:left w:val="single" w:color="auto" w:sz="4" w:space="0"/>
              <w:bottom w:val="single" w:color="auto" w:sz="4" w:space="0"/>
            </w:tcBorders>
            <w:vAlign w:val="center"/>
          </w:tcPr>
          <w:p w14:paraId="4B217E16">
            <w:pPr>
              <w:rPr>
                <w:color w:val="000000" w:themeColor="text1"/>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sym w:font="Wingdings" w:char="00FE"/>
            </w:r>
            <w:r>
              <w:rPr>
                <w:rFonts w:hint="eastAsia" w:ascii="仿宋" w:hAnsi="仿宋" w:eastAsia="仿宋" w:cs="仿宋"/>
                <w:color w:val="000000" w:themeColor="text1"/>
                <w:sz w:val="22"/>
                <w:szCs w:val="22"/>
                <w14:textFill>
                  <w14:solidFill>
                    <w14:schemeClr w14:val="tx1"/>
                  </w14:solidFill>
                </w14:textFill>
              </w:rPr>
              <w:t>采用综合评分法</w:t>
            </w:r>
          </w:p>
        </w:tc>
      </w:tr>
      <w:tr w14:paraId="06CE72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0CDD52F2">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2.3.1</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21C3C178">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分值权重构成</w:t>
            </w:r>
          </w:p>
        </w:tc>
        <w:tc>
          <w:tcPr>
            <w:tcW w:w="7503" w:type="dxa"/>
            <w:gridSpan w:val="3"/>
            <w:tcBorders>
              <w:top w:val="single" w:color="auto" w:sz="4" w:space="0"/>
              <w:left w:val="single" w:color="auto" w:sz="4" w:space="0"/>
              <w:bottom w:val="single" w:color="auto" w:sz="4" w:space="0"/>
            </w:tcBorders>
            <w:vAlign w:val="center"/>
          </w:tcPr>
          <w:p w14:paraId="6DE1CADE">
            <w:pP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磋商小组将对各供应商的磋商报价、技术或服务水平、履约能力、售后服务等和业绩情况等方面进行综合评审，磋商小组各成员应当独立对每个有效供应商的响应文件进行评价、打分。</w:t>
            </w:r>
          </w:p>
          <w:p w14:paraId="0A30A249">
            <w:p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各供应商的综合得分为：最终报价得分+商务技术得分之和，总和为100分，其中：其中商务技术</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u w:val="single"/>
                <w:lang w:val="en-US" w:eastAsia="zh-CN"/>
                <w14:textFill>
                  <w14:solidFill>
                    <w14:schemeClr w14:val="tx1"/>
                  </w14:solidFill>
                </w14:textFill>
              </w:rPr>
              <w:t>8</w:t>
            </w:r>
            <w:r>
              <w:rPr>
                <w:rFonts w:ascii="仿宋" w:hAnsi="仿宋" w:eastAsia="仿宋" w:cs="仿宋"/>
                <w:color w:val="000000" w:themeColor="text1"/>
                <w:sz w:val="22"/>
                <w:szCs w:val="22"/>
                <w:highlight w:val="none"/>
                <w:u w:val="single"/>
                <w14:textFill>
                  <w14:solidFill>
                    <w14:schemeClr w14:val="tx1"/>
                  </w14:solidFill>
                </w14:textFill>
              </w:rPr>
              <w:t>0</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14:textFill>
                  <w14:solidFill>
                    <w14:schemeClr w14:val="tx1"/>
                  </w14:solidFill>
                </w14:textFill>
              </w:rPr>
              <w:t>分（商务技术权值</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u w:val="single"/>
                <w:lang w:val="en-US" w:eastAsia="zh-CN"/>
                <w14:textFill>
                  <w14:solidFill>
                    <w14:schemeClr w14:val="tx1"/>
                  </w14:solidFill>
                </w14:textFill>
              </w:rPr>
              <w:t>8</w:t>
            </w:r>
            <w:r>
              <w:rPr>
                <w:rFonts w:ascii="仿宋" w:hAnsi="仿宋" w:eastAsia="仿宋" w:cs="仿宋"/>
                <w:color w:val="000000" w:themeColor="text1"/>
                <w:sz w:val="22"/>
                <w:szCs w:val="22"/>
                <w:highlight w:val="none"/>
                <w:u w:val="single"/>
                <w14:textFill>
                  <w14:solidFill>
                    <w14:schemeClr w14:val="tx1"/>
                  </w14:solidFill>
                </w14:textFill>
              </w:rPr>
              <w:t>0</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14:textFill>
                  <w14:solidFill>
                    <w14:schemeClr w14:val="tx1"/>
                  </w14:solidFill>
                </w14:textFill>
              </w:rPr>
              <w:t>%），报价</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u w:val="single"/>
                <w:lang w:val="en-US" w:eastAsia="zh-CN"/>
                <w14:textFill>
                  <w14:solidFill>
                    <w14:schemeClr w14:val="tx1"/>
                  </w14:solidFill>
                </w14:textFill>
              </w:rPr>
              <w:t>2</w:t>
            </w:r>
            <w:r>
              <w:rPr>
                <w:rFonts w:ascii="仿宋" w:hAnsi="仿宋" w:eastAsia="仿宋" w:cs="仿宋"/>
                <w:color w:val="000000" w:themeColor="text1"/>
                <w:sz w:val="22"/>
                <w:szCs w:val="22"/>
                <w:highlight w:val="none"/>
                <w:u w:val="single"/>
                <w14:textFill>
                  <w14:solidFill>
                    <w14:schemeClr w14:val="tx1"/>
                  </w14:solidFill>
                </w14:textFill>
              </w:rPr>
              <w:t>0</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14:textFill>
                  <w14:solidFill>
                    <w14:schemeClr w14:val="tx1"/>
                  </w14:solidFill>
                </w14:textFill>
              </w:rPr>
              <w:t>分（价格权值</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u w:val="single"/>
                <w:lang w:val="en-US" w:eastAsia="zh-CN"/>
                <w14:textFill>
                  <w14:solidFill>
                    <w14:schemeClr w14:val="tx1"/>
                  </w14:solidFill>
                </w14:textFill>
              </w:rPr>
              <w:t>2</w:t>
            </w:r>
            <w:r>
              <w:rPr>
                <w:rFonts w:ascii="仿宋" w:hAnsi="仿宋" w:eastAsia="仿宋" w:cs="仿宋"/>
                <w:color w:val="000000" w:themeColor="text1"/>
                <w:sz w:val="22"/>
                <w:szCs w:val="22"/>
                <w:highlight w:val="none"/>
                <w:u w:val="single"/>
                <w14:textFill>
                  <w14:solidFill>
                    <w14:schemeClr w14:val="tx1"/>
                  </w14:solidFill>
                </w14:textFill>
              </w:rPr>
              <w:t>0</w:t>
            </w:r>
            <w:r>
              <w:rPr>
                <w:rFonts w:hint="eastAsia" w:ascii="仿宋" w:hAnsi="仿宋" w:eastAsia="仿宋" w:cs="仿宋"/>
                <w:color w:val="000000" w:themeColor="text1"/>
                <w:sz w:val="22"/>
                <w:szCs w:val="22"/>
                <w:highlight w:val="none"/>
                <w:u w:val="single"/>
                <w14:textFill>
                  <w14:solidFill>
                    <w14:schemeClr w14:val="tx1"/>
                  </w14:solidFill>
                </w14:textFill>
              </w:rPr>
              <w:t xml:space="preserve"> </w:t>
            </w:r>
            <w:r>
              <w:rPr>
                <w:rFonts w:hint="eastAsia" w:ascii="仿宋" w:hAnsi="仿宋" w:eastAsia="仿宋" w:cs="仿宋"/>
                <w:color w:val="000000" w:themeColor="text1"/>
                <w:sz w:val="22"/>
                <w:szCs w:val="22"/>
                <w:highlight w:val="none"/>
                <w14:textFill>
                  <w14:solidFill>
                    <w14:schemeClr w14:val="tx1"/>
                  </w14:solidFill>
                </w14:textFill>
              </w:rPr>
              <w:t>%）。</w:t>
            </w:r>
          </w:p>
        </w:tc>
      </w:tr>
      <w:tr w14:paraId="09294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2" w:hRule="atLeast"/>
          <w:jc w:val="center"/>
        </w:trPr>
        <w:tc>
          <w:tcPr>
            <w:tcW w:w="985" w:type="dxa"/>
            <w:tcBorders>
              <w:top w:val="single" w:color="auto" w:sz="4" w:space="0"/>
              <w:right w:val="single" w:color="auto" w:sz="4" w:space="0"/>
            </w:tcBorders>
            <w:vAlign w:val="center"/>
          </w:tcPr>
          <w:p w14:paraId="391B0473">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2.3.2</w:t>
            </w:r>
          </w:p>
        </w:tc>
        <w:tc>
          <w:tcPr>
            <w:tcW w:w="768" w:type="dxa"/>
            <w:tcBorders>
              <w:top w:val="single" w:color="auto" w:sz="4" w:space="0"/>
              <w:right w:val="single" w:color="auto" w:sz="4" w:space="0"/>
            </w:tcBorders>
            <w:vAlign w:val="center"/>
          </w:tcPr>
          <w:p w14:paraId="5C868545">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商务技术评分</w:t>
            </w:r>
          </w:p>
          <w:p w14:paraId="2FB38B93">
            <w:pPr>
              <w:jc w:val="center"/>
              <w:rPr>
                <w:color w:val="000000" w:themeColor="text1"/>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标准</w:t>
            </w:r>
          </w:p>
        </w:tc>
        <w:tc>
          <w:tcPr>
            <w:tcW w:w="1128" w:type="dxa"/>
            <w:tcBorders>
              <w:top w:val="single" w:color="auto" w:sz="4" w:space="0"/>
              <w:left w:val="single" w:color="auto" w:sz="4" w:space="0"/>
            </w:tcBorders>
            <w:vAlign w:val="center"/>
          </w:tcPr>
          <w:p w14:paraId="15FE4246">
            <w:pPr>
              <w:tabs>
                <w:tab w:val="left" w:pos="0"/>
              </w:tabs>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评审因素</w:t>
            </w:r>
          </w:p>
        </w:tc>
        <w:tc>
          <w:tcPr>
            <w:tcW w:w="5942" w:type="dxa"/>
            <w:tcBorders>
              <w:top w:val="single" w:color="auto" w:sz="4" w:space="0"/>
              <w:left w:val="single" w:color="auto" w:sz="4" w:space="0"/>
              <w:right w:val="single" w:color="auto" w:sz="4" w:space="0"/>
            </w:tcBorders>
            <w:vAlign w:val="center"/>
          </w:tcPr>
          <w:p w14:paraId="56412FED">
            <w:pPr>
              <w:autoSpaceDE w:val="0"/>
              <w:autoSpaceDN w:val="0"/>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评审标准</w:t>
            </w:r>
          </w:p>
        </w:tc>
        <w:tc>
          <w:tcPr>
            <w:tcW w:w="574" w:type="dxa"/>
            <w:tcBorders>
              <w:top w:val="single" w:color="auto" w:sz="4" w:space="0"/>
              <w:left w:val="single" w:color="auto" w:sz="4" w:space="0"/>
            </w:tcBorders>
            <w:vAlign w:val="center"/>
          </w:tcPr>
          <w:p w14:paraId="1DD86F4A">
            <w:pPr>
              <w:autoSpaceDE w:val="0"/>
              <w:autoSpaceDN w:val="0"/>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分值</w:t>
            </w:r>
          </w:p>
        </w:tc>
        <w:tc>
          <w:tcPr>
            <w:tcW w:w="987" w:type="dxa"/>
            <w:tcBorders>
              <w:top w:val="single" w:color="auto" w:sz="4" w:space="0"/>
              <w:left w:val="single" w:color="auto" w:sz="4" w:space="0"/>
              <w:bottom w:val="single" w:color="auto" w:sz="4" w:space="0"/>
            </w:tcBorders>
            <w:vAlign w:val="center"/>
          </w:tcPr>
          <w:p w14:paraId="13323BB5">
            <w:pPr>
              <w:autoSpaceDE w:val="0"/>
              <w:autoSpaceDN w:val="0"/>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备注</w:t>
            </w:r>
          </w:p>
        </w:tc>
      </w:tr>
    </w:tbl>
    <w:p w14:paraId="4E091AED">
      <w:pPr>
        <w:spacing w:line="460" w:lineRule="exact"/>
        <w:jc w:val="center"/>
        <w:rPr>
          <w:rFonts w:ascii="仿宋" w:hAnsi="仿宋" w:eastAsia="仿宋" w:cs="仿宋"/>
          <w:color w:val="000000" w:themeColor="text1"/>
          <w:sz w:val="22"/>
          <w:szCs w:val="22"/>
          <w14:textFill>
            <w14:solidFill>
              <w14:schemeClr w14:val="tx1"/>
            </w14:solidFill>
          </w14:textFill>
        </w:rPr>
        <w:sectPr>
          <w:footerReference r:id="rId8" w:type="first"/>
          <w:headerReference r:id="rId6" w:type="default"/>
          <w:footerReference r:id="rId7" w:type="default"/>
          <w:pgSz w:w="11906" w:h="16838"/>
          <w:pgMar w:top="1134" w:right="1134" w:bottom="1134" w:left="1134" w:header="851" w:footer="992" w:gutter="0"/>
          <w:cols w:space="720" w:num="1"/>
          <w:titlePg/>
          <w:docGrid w:linePitch="312" w:charSpace="0"/>
        </w:sectPr>
      </w:pPr>
    </w:p>
    <w:tbl>
      <w:tblPr>
        <w:tblStyle w:val="20"/>
        <w:tblW w:w="103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
        <w:gridCol w:w="768"/>
        <w:gridCol w:w="1128"/>
        <w:gridCol w:w="5942"/>
        <w:gridCol w:w="604"/>
        <w:gridCol w:w="957"/>
      </w:tblGrid>
      <w:tr w14:paraId="0B8C50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0" w:hRule="atLeast"/>
          <w:jc w:val="center"/>
        </w:trPr>
        <w:tc>
          <w:tcPr>
            <w:tcW w:w="985" w:type="dxa"/>
            <w:vMerge w:val="restart"/>
            <w:tcBorders>
              <w:right w:val="single" w:color="auto" w:sz="4" w:space="0"/>
            </w:tcBorders>
            <w:vAlign w:val="center"/>
          </w:tcPr>
          <w:p w14:paraId="17A69085">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restart"/>
            <w:tcBorders>
              <w:right w:val="single" w:color="auto" w:sz="4" w:space="0"/>
            </w:tcBorders>
            <w:vAlign w:val="center"/>
          </w:tcPr>
          <w:p w14:paraId="6C030340">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restart"/>
            <w:tcBorders>
              <w:top w:val="single" w:color="auto" w:sz="4" w:space="0"/>
              <w:left w:val="single" w:color="auto" w:sz="4" w:space="0"/>
              <w:right w:val="single" w:color="auto" w:sz="4" w:space="0"/>
            </w:tcBorders>
            <w:vAlign w:val="center"/>
          </w:tcPr>
          <w:p w14:paraId="79F85937">
            <w:pP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技术方案</w:t>
            </w:r>
          </w:p>
          <w:p w14:paraId="2D9F2E0B">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3F7892FB">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w:t>
            </w:r>
            <w:r>
              <w:rPr>
                <w:rFonts w:hint="eastAsia" w:ascii="仿宋" w:hAnsi="仿宋" w:eastAsia="仿宋" w:cs="仿宋"/>
                <w:b/>
                <w:bCs/>
                <w:color w:val="000000" w:themeColor="text1"/>
                <w:sz w:val="22"/>
                <w:szCs w:val="22"/>
                <w14:textFill>
                  <w14:solidFill>
                    <w14:schemeClr w14:val="tx1"/>
                  </w14:solidFill>
                </w14:textFill>
              </w:rPr>
              <w:t>“项目需求分析”</w:t>
            </w:r>
            <w:r>
              <w:rPr>
                <w:rFonts w:hint="eastAsia" w:ascii="仿宋" w:hAnsi="仿宋" w:eastAsia="仿宋" w:cs="仿宋"/>
                <w:color w:val="000000" w:themeColor="text1"/>
                <w:sz w:val="22"/>
                <w:szCs w:val="22"/>
                <w14:textFill>
                  <w14:solidFill>
                    <w14:schemeClr w14:val="tx1"/>
                  </w14:solidFill>
                </w14:textFill>
              </w:rPr>
              <w:t>进行评审，包括建设目标、建设内容、信息化应用现状、业务分析（提供数据资源服务平台、一人一档集成贯通平台业务流程图）、数据需求、功能需求、数据需求、性能需求、大数据建设现状等内容</w:t>
            </w:r>
            <w:r>
              <w:rPr>
                <w:rFonts w:hint="eastAsia" w:ascii="仿宋" w:hAnsi="仿宋" w:eastAsia="仿宋" w:cs="仿宋"/>
                <w:color w:val="000000" w:themeColor="text1"/>
                <w:sz w:val="22"/>
                <w:szCs w:val="22"/>
                <w:lang w:eastAsia="zh-CN"/>
                <w14:textFill>
                  <w14:solidFill>
                    <w14:schemeClr w14:val="tx1"/>
                  </w14:solidFill>
                </w14:textFill>
              </w:rPr>
              <w:t>：</w:t>
            </w:r>
          </w:p>
          <w:p w14:paraId="6323C48D">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1、理解全面，流程图设计、数据需求完善的得5分；</w:t>
            </w:r>
          </w:p>
          <w:p w14:paraId="631A3CF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2、理解较全面、流程图设计、数据需求较完善的得3分；</w:t>
            </w:r>
          </w:p>
          <w:p w14:paraId="2A35C651">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3、需求描述笼统，流程图设计等存在较多不足的得1分；</w:t>
            </w:r>
          </w:p>
          <w:p w14:paraId="7B25D55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4、不提供不得分。</w:t>
            </w:r>
          </w:p>
        </w:tc>
        <w:tc>
          <w:tcPr>
            <w:tcW w:w="604" w:type="dxa"/>
            <w:tcBorders>
              <w:top w:val="single" w:color="auto" w:sz="4" w:space="0"/>
              <w:left w:val="single" w:color="auto" w:sz="4" w:space="0"/>
            </w:tcBorders>
            <w:vAlign w:val="center"/>
          </w:tcPr>
          <w:p w14:paraId="1B8ED14C">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p>
        </w:tc>
        <w:tc>
          <w:tcPr>
            <w:tcW w:w="957" w:type="dxa"/>
            <w:tcBorders>
              <w:top w:val="single" w:color="auto" w:sz="4" w:space="0"/>
              <w:left w:val="single" w:color="auto" w:sz="4" w:space="0"/>
            </w:tcBorders>
            <w:vAlign w:val="center"/>
          </w:tcPr>
          <w:p w14:paraId="42038F15">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3B47CE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0" w:hRule="atLeast"/>
          <w:jc w:val="center"/>
        </w:trPr>
        <w:tc>
          <w:tcPr>
            <w:tcW w:w="985" w:type="dxa"/>
            <w:vMerge w:val="continue"/>
            <w:tcBorders>
              <w:right w:val="single" w:color="auto" w:sz="4" w:space="0"/>
            </w:tcBorders>
            <w:vAlign w:val="center"/>
          </w:tcPr>
          <w:p w14:paraId="20F64E0D">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241D0425">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F869029">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6BABAC2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w:t>
            </w:r>
            <w:r>
              <w:rPr>
                <w:rFonts w:hint="eastAsia" w:ascii="仿宋" w:hAnsi="仿宋" w:eastAsia="仿宋" w:cs="仿宋"/>
                <w:b/>
                <w:bCs/>
                <w:color w:val="000000" w:themeColor="text1"/>
                <w:sz w:val="22"/>
                <w:szCs w:val="22"/>
                <w14:textFill>
                  <w14:solidFill>
                    <w14:schemeClr w14:val="tx1"/>
                  </w14:solidFill>
                </w14:textFill>
              </w:rPr>
              <w:t>“总体设计方案”</w:t>
            </w:r>
            <w:r>
              <w:rPr>
                <w:rFonts w:hint="eastAsia" w:ascii="仿宋" w:hAnsi="仿宋" w:eastAsia="仿宋" w:cs="仿宋"/>
                <w:color w:val="000000" w:themeColor="text1"/>
                <w:sz w:val="22"/>
                <w:szCs w:val="22"/>
                <w14:textFill>
                  <w14:solidFill>
                    <w14:schemeClr w14:val="tx1"/>
                  </w14:solidFill>
                </w14:textFill>
              </w:rPr>
              <w:t>进行评审，包括总体架构图、网络拓扑图、关键技术等内容</w:t>
            </w:r>
            <w:r>
              <w:rPr>
                <w:rFonts w:hint="eastAsia" w:ascii="仿宋" w:hAnsi="仿宋" w:eastAsia="仿宋" w:cs="仿宋"/>
                <w:color w:val="000000" w:themeColor="text1"/>
                <w:sz w:val="22"/>
                <w:szCs w:val="22"/>
                <w:lang w:eastAsia="zh-CN"/>
                <w14:textFill>
                  <w14:solidFill>
                    <w14:schemeClr w14:val="tx1"/>
                  </w14:solidFill>
                </w14:textFill>
              </w:rPr>
              <w:t>：</w:t>
            </w:r>
          </w:p>
          <w:p w14:paraId="7F6558D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1、总体方案完整合理可行，契合项目需求的得</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分；</w:t>
            </w:r>
          </w:p>
          <w:p w14:paraId="4C65F27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2、总体方案内容较完整可行，基本符合项目需求的得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760B7B37">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3、对方案描述笼统，存在较多的不足的得1分；</w:t>
            </w:r>
          </w:p>
          <w:p w14:paraId="5F99A33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4、未提供的得0分。</w:t>
            </w:r>
          </w:p>
        </w:tc>
        <w:tc>
          <w:tcPr>
            <w:tcW w:w="604" w:type="dxa"/>
            <w:tcBorders>
              <w:top w:val="single" w:color="auto" w:sz="4" w:space="0"/>
              <w:left w:val="single" w:color="auto" w:sz="4" w:space="0"/>
            </w:tcBorders>
            <w:vAlign w:val="center"/>
          </w:tcPr>
          <w:p w14:paraId="579DF299">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4</w:t>
            </w:r>
          </w:p>
        </w:tc>
        <w:tc>
          <w:tcPr>
            <w:tcW w:w="957" w:type="dxa"/>
            <w:tcBorders>
              <w:top w:val="single" w:color="auto" w:sz="4" w:space="0"/>
              <w:left w:val="single" w:color="auto" w:sz="4" w:space="0"/>
            </w:tcBorders>
            <w:vAlign w:val="center"/>
          </w:tcPr>
          <w:p w14:paraId="6170B11F">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4F6487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4CC6EF1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2B18EC43">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38713516">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739746E0">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lang w:eastAsia="zh-CN"/>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“数据汇聚”</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提供资源管理、任务管理等主要功能的描述和页面设计：</w:t>
            </w:r>
          </w:p>
          <w:p w14:paraId="2CA9251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w:t>
            </w:r>
            <w:r>
              <w:rPr>
                <w:rFonts w:hint="eastAsia" w:ascii="仿宋" w:hAnsi="仿宋" w:eastAsia="仿宋" w:cs="仿宋"/>
                <w:color w:val="000000" w:themeColor="text1"/>
                <w:sz w:val="22"/>
                <w:szCs w:val="22"/>
                <w:highlight w:val="none"/>
                <w:lang w:val="en-US" w:eastAsia="zh-CN"/>
                <w14:textFill>
                  <w14:solidFill>
                    <w14:schemeClr w14:val="tx1"/>
                  </w14:solidFill>
                </w14:textFill>
              </w:rPr>
              <w:t>2</w:t>
            </w:r>
            <w:r>
              <w:rPr>
                <w:rFonts w:hint="eastAsia" w:ascii="仿宋" w:hAnsi="仿宋" w:eastAsia="仿宋" w:cs="仿宋"/>
                <w:color w:val="000000" w:themeColor="text1"/>
                <w:sz w:val="22"/>
                <w:szCs w:val="22"/>
                <w:highlight w:val="none"/>
                <w14:textFill>
                  <w14:solidFill>
                    <w14:schemeClr w14:val="tx1"/>
                  </w14:solidFill>
                </w14:textFill>
              </w:rPr>
              <w:t>分；</w:t>
            </w:r>
          </w:p>
          <w:p w14:paraId="729E2E0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w:t>
            </w:r>
            <w:r>
              <w:rPr>
                <w:rFonts w:hint="eastAsia" w:ascii="仿宋" w:hAnsi="仿宋" w:eastAsia="仿宋" w:cs="仿宋"/>
                <w:color w:val="000000" w:themeColor="text1"/>
                <w:sz w:val="22"/>
                <w:szCs w:val="22"/>
                <w:highlight w:val="none"/>
                <w:lang w:val="en-US" w:eastAsia="zh-CN"/>
                <w14:textFill>
                  <w14:solidFill>
                    <w14:schemeClr w14:val="tx1"/>
                  </w14:solidFill>
                </w14:textFill>
              </w:rPr>
              <w:t>1</w:t>
            </w:r>
            <w:r>
              <w:rPr>
                <w:rFonts w:hint="eastAsia" w:ascii="仿宋" w:hAnsi="仿宋" w:eastAsia="仿宋" w:cs="仿宋"/>
                <w:color w:val="000000" w:themeColor="text1"/>
                <w:sz w:val="22"/>
                <w:szCs w:val="22"/>
                <w:highlight w:val="none"/>
                <w14:textFill>
                  <w14:solidFill>
                    <w14:schemeClr w14:val="tx1"/>
                  </w14:solidFill>
                </w14:textFill>
              </w:rPr>
              <w:t>分；</w:t>
            </w:r>
          </w:p>
          <w:p w14:paraId="60CDA71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682D77CF">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36050886">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379C3A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4D3EA915">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16B3C56B">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658146B">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668193C8">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“数据</w:t>
            </w:r>
            <w:r>
              <w:rPr>
                <w:rFonts w:hint="eastAsia" w:ascii="仿宋" w:hAnsi="仿宋" w:eastAsia="仿宋" w:cs="仿宋"/>
                <w:b/>
                <w:bCs/>
                <w:color w:val="000000" w:themeColor="text1"/>
                <w:sz w:val="22"/>
                <w:szCs w:val="22"/>
                <w:highlight w:val="none"/>
                <w:lang w:val="en-US" w:eastAsia="zh-CN"/>
                <w14:textFill>
                  <w14:solidFill>
                    <w14:schemeClr w14:val="tx1"/>
                  </w14:solidFill>
                </w14:textFill>
              </w:rPr>
              <w:t>接入</w:t>
            </w:r>
            <w:r>
              <w:rPr>
                <w:rFonts w:hint="eastAsia" w:ascii="仿宋" w:hAnsi="仿宋" w:eastAsia="仿宋" w:cs="仿宋"/>
                <w:b/>
                <w:bCs/>
                <w:color w:val="000000" w:themeColor="text1"/>
                <w:sz w:val="22"/>
                <w:szCs w:val="22"/>
                <w:highlight w:val="none"/>
                <w14:textFill>
                  <w14:solidFill>
                    <w14:schemeClr w14:val="tx1"/>
                  </w14:solidFill>
                </w14:textFill>
              </w:rPr>
              <w:t>”</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提供字段探查、数据定义、</w:t>
            </w:r>
            <w:r>
              <w:rPr>
                <w:rFonts w:hint="eastAsia" w:ascii="仿宋" w:hAnsi="仿宋" w:eastAsia="仿宋" w:cs="仿宋"/>
                <w:i w:val="0"/>
                <w:iCs w:val="0"/>
                <w:color w:val="000000" w:themeColor="text1"/>
                <w:kern w:val="0"/>
                <w:sz w:val="22"/>
                <w:szCs w:val="22"/>
                <w:highlight w:val="none"/>
                <w:u w:val="none"/>
                <w:lang w:val="en-US" w:eastAsia="zh-CN" w:bidi="ar"/>
                <w14:textFill>
                  <w14:solidFill>
                    <w14:schemeClr w14:val="tx1"/>
                  </w14:solidFill>
                </w14:textFill>
              </w:rPr>
              <w:t>多源数据接入适配、</w:t>
            </w:r>
            <w:r>
              <w:rPr>
                <w:rFonts w:hint="eastAsia" w:ascii="仿宋" w:hAnsi="仿宋" w:eastAsia="仿宋" w:cs="仿宋"/>
                <w:color w:val="000000" w:themeColor="text1"/>
                <w:sz w:val="22"/>
                <w:szCs w:val="22"/>
                <w:highlight w:val="none"/>
                <w:lang w:val="en-US" w:eastAsia="zh-CN"/>
                <w14:textFill>
                  <w14:solidFill>
                    <w14:schemeClr w14:val="tx1"/>
                  </w14:solidFill>
                </w14:textFill>
              </w:rPr>
              <w:t>数据分发对账、唯一键对账回填等主要功能的描述和页面设计。</w:t>
            </w:r>
          </w:p>
          <w:p w14:paraId="36539200">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完整、合理可行的得5分；</w:t>
            </w:r>
          </w:p>
          <w:p w14:paraId="1C334689">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较完整、合理性稍欠的得3分；</w:t>
            </w:r>
          </w:p>
          <w:p w14:paraId="7E93F78E">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3、功能设计不够详细、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不完整、不够合理的得1分；</w:t>
            </w:r>
          </w:p>
          <w:p w14:paraId="24BCB9A1">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54B12A1E">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5</w:t>
            </w:r>
          </w:p>
        </w:tc>
        <w:tc>
          <w:tcPr>
            <w:tcW w:w="957" w:type="dxa"/>
            <w:tcBorders>
              <w:top w:val="single" w:color="auto" w:sz="4" w:space="0"/>
              <w:left w:val="single" w:color="auto" w:sz="4" w:space="0"/>
            </w:tcBorders>
            <w:vAlign w:val="center"/>
          </w:tcPr>
          <w:p w14:paraId="209C24F5">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715A99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77828BDA">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02BC036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31C1ACD2">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247004EB">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“数据</w:t>
            </w:r>
            <w:r>
              <w:rPr>
                <w:rFonts w:hint="eastAsia" w:ascii="仿宋" w:hAnsi="仿宋" w:eastAsia="仿宋" w:cs="仿宋"/>
                <w:b/>
                <w:bCs/>
                <w:color w:val="000000" w:themeColor="text1"/>
                <w:sz w:val="22"/>
                <w:szCs w:val="22"/>
                <w:highlight w:val="none"/>
                <w:lang w:val="en-US" w:eastAsia="zh-CN"/>
                <w14:textFill>
                  <w14:solidFill>
                    <w14:schemeClr w14:val="tx1"/>
                  </w14:solidFill>
                </w14:textFill>
              </w:rPr>
              <w:t>处理</w:t>
            </w:r>
            <w:r>
              <w:rPr>
                <w:rFonts w:hint="eastAsia" w:ascii="仿宋" w:hAnsi="仿宋" w:eastAsia="仿宋" w:cs="仿宋"/>
                <w:b/>
                <w:bCs/>
                <w:color w:val="000000" w:themeColor="text1"/>
                <w:sz w:val="22"/>
                <w:szCs w:val="22"/>
                <w:highlight w:val="none"/>
                <w14:textFill>
                  <w14:solidFill>
                    <w14:schemeClr w14:val="tx1"/>
                  </w14:solidFill>
                </w14:textFill>
              </w:rPr>
              <w:t>”</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提供基于画布的数据提取、去重、格转、校验、关联回填等主要功能的描述和页面设计。</w:t>
            </w:r>
          </w:p>
          <w:p w14:paraId="69B63AFE">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w:t>
            </w:r>
            <w:r>
              <w:rPr>
                <w:rFonts w:hint="eastAsia" w:ascii="仿宋" w:hAnsi="仿宋" w:eastAsia="仿宋" w:cs="仿宋"/>
                <w:color w:val="000000" w:themeColor="text1"/>
                <w:sz w:val="22"/>
                <w:szCs w:val="22"/>
                <w:highlight w:val="none"/>
                <w:lang w:val="en-US" w:eastAsia="zh-CN"/>
                <w14:textFill>
                  <w14:solidFill>
                    <w14:schemeClr w14:val="tx1"/>
                  </w14:solidFill>
                </w14:textFill>
              </w:rPr>
              <w:t>4</w:t>
            </w:r>
            <w:r>
              <w:rPr>
                <w:rFonts w:hint="eastAsia" w:ascii="仿宋" w:hAnsi="仿宋" w:eastAsia="仿宋" w:cs="仿宋"/>
                <w:color w:val="000000" w:themeColor="text1"/>
                <w:sz w:val="22"/>
                <w:szCs w:val="22"/>
                <w:highlight w:val="none"/>
                <w14:textFill>
                  <w14:solidFill>
                    <w14:schemeClr w14:val="tx1"/>
                  </w14:solidFill>
                </w14:textFill>
              </w:rPr>
              <w:t>分；</w:t>
            </w:r>
          </w:p>
          <w:p w14:paraId="679600AE">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w:t>
            </w:r>
            <w:r>
              <w:rPr>
                <w:rFonts w:hint="eastAsia" w:ascii="仿宋" w:hAnsi="仿宋" w:eastAsia="仿宋" w:cs="仿宋"/>
                <w:color w:val="000000" w:themeColor="text1"/>
                <w:sz w:val="22"/>
                <w:szCs w:val="22"/>
                <w:highlight w:val="none"/>
                <w:lang w:val="en-US" w:eastAsia="zh-CN"/>
                <w14:textFill>
                  <w14:solidFill>
                    <w14:schemeClr w14:val="tx1"/>
                  </w14:solidFill>
                </w14:textFill>
              </w:rPr>
              <w:t>2</w:t>
            </w:r>
            <w:r>
              <w:rPr>
                <w:rFonts w:hint="eastAsia" w:ascii="仿宋" w:hAnsi="仿宋" w:eastAsia="仿宋" w:cs="仿宋"/>
                <w:color w:val="000000" w:themeColor="text1"/>
                <w:sz w:val="22"/>
                <w:szCs w:val="22"/>
                <w:highlight w:val="none"/>
                <w14:textFill>
                  <w14:solidFill>
                    <w14:schemeClr w14:val="tx1"/>
                  </w14:solidFill>
                </w14:textFill>
              </w:rPr>
              <w:t>分；</w:t>
            </w:r>
          </w:p>
          <w:p w14:paraId="4D60A8C7">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3、功能设计不够详细、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不完整、不够合理的得1分；</w:t>
            </w:r>
          </w:p>
          <w:p w14:paraId="77C3C667">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6CDB8C64">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4</w:t>
            </w:r>
          </w:p>
        </w:tc>
        <w:tc>
          <w:tcPr>
            <w:tcW w:w="957" w:type="dxa"/>
            <w:tcBorders>
              <w:top w:val="single" w:color="auto" w:sz="4" w:space="0"/>
              <w:left w:val="single" w:color="auto" w:sz="4" w:space="0"/>
            </w:tcBorders>
            <w:vAlign w:val="center"/>
          </w:tcPr>
          <w:p w14:paraId="378F9B14">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21A0C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2FF01B35">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191CC409">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59FD884">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2D2FB9A7">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“数据</w:t>
            </w:r>
            <w:r>
              <w:rPr>
                <w:rFonts w:hint="eastAsia" w:ascii="仿宋" w:hAnsi="仿宋" w:eastAsia="仿宋" w:cs="仿宋"/>
                <w:b/>
                <w:bCs/>
                <w:color w:val="000000" w:themeColor="text1"/>
                <w:sz w:val="22"/>
                <w:szCs w:val="22"/>
                <w:highlight w:val="none"/>
                <w:lang w:val="en-US" w:eastAsia="zh-CN"/>
                <w14:textFill>
                  <w14:solidFill>
                    <w14:schemeClr w14:val="tx1"/>
                  </w14:solidFill>
                </w14:textFill>
              </w:rPr>
              <w:t>治理</w:t>
            </w:r>
            <w:r>
              <w:rPr>
                <w:rFonts w:hint="eastAsia" w:ascii="仿宋" w:hAnsi="仿宋" w:eastAsia="仿宋" w:cs="仿宋"/>
                <w:b/>
                <w:bCs/>
                <w:color w:val="000000" w:themeColor="text1"/>
                <w:sz w:val="22"/>
                <w:szCs w:val="22"/>
                <w:highlight w:val="none"/>
                <w14:textFill>
                  <w14:solidFill>
                    <w14:schemeClr w14:val="tx1"/>
                  </w14:solidFill>
                </w14:textFill>
              </w:rPr>
              <w:t>”</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提供数据分级、数据分类、运维规则管理、运维状态监控、预警管理等主要功能的描述和页面设计。</w:t>
            </w:r>
          </w:p>
          <w:p w14:paraId="29E82D23">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完整、合理可行的得5分；</w:t>
            </w:r>
          </w:p>
          <w:p w14:paraId="792BCC34">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较完整、合理性稍欠的得3分；</w:t>
            </w:r>
          </w:p>
          <w:p w14:paraId="6DD47672">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3、功能设计不够详细、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不完整、不够合理的得1分；</w:t>
            </w:r>
          </w:p>
          <w:p w14:paraId="3DBC14B3">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43A720AA">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5</w:t>
            </w:r>
          </w:p>
        </w:tc>
        <w:tc>
          <w:tcPr>
            <w:tcW w:w="957" w:type="dxa"/>
            <w:tcBorders>
              <w:top w:val="single" w:color="auto" w:sz="4" w:space="0"/>
              <w:left w:val="single" w:color="auto" w:sz="4" w:space="0"/>
            </w:tcBorders>
            <w:vAlign w:val="center"/>
          </w:tcPr>
          <w:p w14:paraId="7572E289">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5C16E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15E60930">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2DF552D8">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5575334B">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top"/>
          </w:tcPr>
          <w:p w14:paraId="67789A9B">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“数据资源服务平台”</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提供服务资源管理、审批管理、服务资源目录、服务申请流程、我的工单等主要功能的描述和页面设计。</w:t>
            </w:r>
          </w:p>
          <w:p w14:paraId="6B7FC778">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完整、合理可行的得5分；</w:t>
            </w:r>
          </w:p>
          <w:p w14:paraId="5F3AC700">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较完整、合理性稍欠的得3分；</w:t>
            </w:r>
          </w:p>
          <w:p w14:paraId="714A26E2">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3、功能设计不够详细、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不完整、不够合理的得1分；</w:t>
            </w:r>
          </w:p>
          <w:p w14:paraId="74E2505C">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42AF1105">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5</w:t>
            </w:r>
          </w:p>
        </w:tc>
        <w:tc>
          <w:tcPr>
            <w:tcW w:w="957" w:type="dxa"/>
            <w:tcBorders>
              <w:top w:val="single" w:color="auto" w:sz="4" w:space="0"/>
              <w:left w:val="single" w:color="auto" w:sz="4" w:space="0"/>
            </w:tcBorders>
            <w:vAlign w:val="center"/>
          </w:tcPr>
          <w:p w14:paraId="1EC22B95">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0F0D95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2B8FF0A9">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116C5590">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44795F9">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right w:val="single" w:color="auto" w:sz="4" w:space="0"/>
            </w:tcBorders>
            <w:vAlign w:val="top"/>
          </w:tcPr>
          <w:p w14:paraId="667B3BB1">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评标委员会根据供应商提供的</w:t>
            </w:r>
            <w:r>
              <w:rPr>
                <w:rFonts w:hint="eastAsia" w:ascii="仿宋" w:hAnsi="仿宋" w:eastAsia="仿宋" w:cs="仿宋"/>
                <w:b/>
                <w:bCs/>
                <w:color w:val="000000" w:themeColor="text1"/>
                <w:sz w:val="22"/>
                <w:szCs w:val="22"/>
                <w:highlight w:val="none"/>
                <w14:textFill>
                  <w14:solidFill>
                    <w14:schemeClr w14:val="tx1"/>
                  </w14:solidFill>
                </w14:textFill>
              </w:rPr>
              <w:t>“一人一档集成贯通平台”</w:t>
            </w:r>
            <w:r>
              <w:rPr>
                <w:rFonts w:hint="eastAsia" w:ascii="仿宋" w:hAnsi="仿宋" w:eastAsia="仿宋" w:cs="仿宋"/>
                <w:color w:val="000000" w:themeColor="text1"/>
                <w:sz w:val="22"/>
                <w:szCs w:val="22"/>
                <w:highlight w:val="none"/>
                <w14:textFill>
                  <w14:solidFill>
                    <w14:schemeClr w14:val="tx1"/>
                  </w14:solidFill>
                </w14:textFill>
              </w:rPr>
              <w:t>功能设计方案进行评审</w:t>
            </w:r>
            <w:r>
              <w:rPr>
                <w:rFonts w:hint="eastAsia" w:ascii="仿宋" w:hAnsi="仿宋" w:eastAsia="仿宋" w:cs="仿宋"/>
                <w:color w:val="000000" w:themeColor="text1"/>
                <w:sz w:val="22"/>
                <w:szCs w:val="22"/>
                <w:highlight w:val="none"/>
                <w:lang w:eastAsia="zh-CN"/>
                <w14:textFill>
                  <w14:solidFill>
                    <w14:schemeClr w14:val="tx1"/>
                  </w14:solidFill>
                </w14:textFill>
              </w:rPr>
              <w:t>，</w:t>
            </w:r>
            <w:r>
              <w:rPr>
                <w:rFonts w:hint="eastAsia" w:ascii="仿宋" w:hAnsi="仿宋" w:eastAsia="仿宋" w:cs="仿宋"/>
                <w:color w:val="000000" w:themeColor="text1"/>
                <w:sz w:val="22"/>
                <w:szCs w:val="22"/>
                <w:highlight w:val="none"/>
                <w:lang w:val="en-US" w:eastAsia="zh-CN"/>
                <w14:textFill>
                  <w14:solidFill>
                    <w14:schemeClr w14:val="tx1"/>
                  </w14:solidFill>
                </w14:textFill>
              </w:rPr>
              <w:t>提供资源目录管理、数据融合、一人一档典型页面、电话置信度分析、人员常驻地模型与应用展示等主要功能的描述和页面设计。</w:t>
            </w:r>
          </w:p>
          <w:p w14:paraId="727E9EE6">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1、功能设计详细、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完整、合理可行的得5分；</w:t>
            </w:r>
          </w:p>
          <w:p w14:paraId="3BBF9022">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2、功能设计较详细、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较完整、合理性稍欠的得3分；</w:t>
            </w:r>
          </w:p>
          <w:p w14:paraId="66A9D4E6">
            <w:pPr>
              <w:keepNext w:val="0"/>
              <w:keepLines w:val="0"/>
              <w:pageBreakBefore w:val="0"/>
              <w:widowControl w:val="0"/>
              <w:kinsoku/>
              <w:wordWrap/>
              <w:overflowPunct/>
              <w:topLinePunct w:val="0"/>
              <w:bidi w:val="0"/>
              <w:adjustRightInd w:val="0"/>
              <w:snapToGrid w:val="0"/>
              <w:spacing w:line="360" w:lineRule="exact"/>
              <w:textAlignment w:val="auto"/>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3、功能设计不够详细、</w:t>
            </w:r>
            <w:r>
              <w:rPr>
                <w:rFonts w:hint="eastAsia" w:ascii="仿宋" w:hAnsi="仿宋" w:eastAsia="仿宋" w:cs="仿宋"/>
                <w:color w:val="000000" w:themeColor="text1"/>
                <w:sz w:val="22"/>
                <w:szCs w:val="22"/>
                <w:highlight w:val="none"/>
                <w:lang w:val="en-US" w:eastAsia="zh-CN"/>
                <w14:textFill>
                  <w14:solidFill>
                    <w14:schemeClr w14:val="tx1"/>
                  </w14:solidFill>
                </w14:textFill>
              </w:rPr>
              <w:t>页面设计图</w:t>
            </w:r>
            <w:r>
              <w:rPr>
                <w:rFonts w:hint="eastAsia" w:ascii="仿宋" w:hAnsi="仿宋" w:eastAsia="仿宋" w:cs="仿宋"/>
                <w:color w:val="000000" w:themeColor="text1"/>
                <w:sz w:val="22"/>
                <w:szCs w:val="22"/>
                <w:highlight w:val="none"/>
                <w14:textFill>
                  <w14:solidFill>
                    <w14:schemeClr w14:val="tx1"/>
                  </w14:solidFill>
                </w14:textFill>
              </w:rPr>
              <w:t>不完整、不够合理的得1分；</w:t>
            </w:r>
          </w:p>
          <w:p w14:paraId="27D65CDF">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4、未提供的不得分。</w:t>
            </w:r>
          </w:p>
        </w:tc>
        <w:tc>
          <w:tcPr>
            <w:tcW w:w="604" w:type="dxa"/>
            <w:tcBorders>
              <w:top w:val="single" w:color="auto" w:sz="4" w:space="0"/>
              <w:left w:val="single" w:color="auto" w:sz="4" w:space="0"/>
            </w:tcBorders>
            <w:vAlign w:val="center"/>
          </w:tcPr>
          <w:p w14:paraId="2351DC85">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p>
        </w:tc>
        <w:tc>
          <w:tcPr>
            <w:tcW w:w="957" w:type="dxa"/>
            <w:tcBorders>
              <w:top w:val="single" w:color="auto" w:sz="4" w:space="0"/>
              <w:left w:val="single" w:color="auto" w:sz="4" w:space="0"/>
            </w:tcBorders>
            <w:vAlign w:val="center"/>
          </w:tcPr>
          <w:p w14:paraId="0FE1BF22">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7474F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47915C7F">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2F181EB6">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bottom w:val="single" w:color="auto" w:sz="4" w:space="0"/>
              <w:right w:val="single" w:color="auto" w:sz="4" w:space="0"/>
            </w:tcBorders>
            <w:vAlign w:val="center"/>
          </w:tcPr>
          <w:p w14:paraId="249493F1">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top"/>
          </w:tcPr>
          <w:p w14:paraId="2FBC974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w:t>
            </w:r>
            <w:r>
              <w:rPr>
                <w:rFonts w:hint="eastAsia" w:ascii="仿宋" w:hAnsi="仿宋" w:eastAsia="仿宋" w:cs="仿宋"/>
                <w:b/>
                <w:bCs/>
                <w:color w:val="000000" w:themeColor="text1"/>
                <w:sz w:val="22"/>
                <w:szCs w:val="22"/>
                <w14:textFill>
                  <w14:solidFill>
                    <w14:schemeClr w14:val="tx1"/>
                  </w14:solidFill>
                </w14:textFill>
              </w:rPr>
              <w:t>“集成贯通平台标准体系”</w:t>
            </w:r>
            <w:r>
              <w:rPr>
                <w:rFonts w:hint="eastAsia" w:ascii="仿宋" w:hAnsi="仿宋" w:eastAsia="仿宋" w:cs="仿宋"/>
                <w:color w:val="000000" w:themeColor="text1"/>
                <w:sz w:val="22"/>
                <w:szCs w:val="22"/>
                <w14:textFill>
                  <w14:solidFill>
                    <w14:schemeClr w14:val="tx1"/>
                  </w14:solidFill>
                </w14:textFill>
              </w:rPr>
              <w:t>省市档案现状分析、部标分析进行评审：</w:t>
            </w:r>
          </w:p>
          <w:p w14:paraId="033B4DE8">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提供《省市档案分类调研表（含省厅及11个地市）》、《档案布局调研表》、公安部人员主题分类导图、省厅人员档案分类导图的得</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分；</w:t>
            </w:r>
          </w:p>
          <w:p w14:paraId="5D4E36E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调研内容基本完善、分析基本全面的得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2F6230CA">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提供分析统计不全的1分；</w:t>
            </w:r>
          </w:p>
          <w:p w14:paraId="70263E3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不提供不得分。</w:t>
            </w:r>
          </w:p>
        </w:tc>
        <w:tc>
          <w:tcPr>
            <w:tcW w:w="604" w:type="dxa"/>
            <w:tcBorders>
              <w:top w:val="single" w:color="auto" w:sz="4" w:space="0"/>
              <w:left w:val="single" w:color="auto" w:sz="4" w:space="0"/>
            </w:tcBorders>
            <w:vAlign w:val="center"/>
          </w:tcPr>
          <w:p w14:paraId="0E03907C">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4</w:t>
            </w:r>
          </w:p>
        </w:tc>
        <w:tc>
          <w:tcPr>
            <w:tcW w:w="957" w:type="dxa"/>
            <w:tcBorders>
              <w:top w:val="single" w:color="auto" w:sz="4" w:space="0"/>
              <w:left w:val="single" w:color="auto" w:sz="4" w:space="0"/>
            </w:tcBorders>
            <w:vAlign w:val="center"/>
          </w:tcPr>
          <w:p w14:paraId="17BE9FCF">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77699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25B04C2D">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07C2BEE">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restart"/>
            <w:tcBorders>
              <w:top w:val="single" w:color="auto" w:sz="4" w:space="0"/>
              <w:left w:val="single" w:color="auto" w:sz="4" w:space="0"/>
              <w:right w:val="single" w:color="auto" w:sz="4" w:space="0"/>
            </w:tcBorders>
            <w:vAlign w:val="center"/>
          </w:tcPr>
          <w:p w14:paraId="4EB434FC">
            <w:pP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实施方案</w:t>
            </w:r>
          </w:p>
          <w:p w14:paraId="3CE7754B">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7ECE85B9">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w:t>
            </w:r>
            <w:r>
              <w:rPr>
                <w:rFonts w:hint="eastAsia" w:ascii="仿宋" w:hAnsi="仿宋" w:eastAsia="仿宋" w:cs="仿宋"/>
                <w:color w:val="000000" w:themeColor="text1"/>
                <w:sz w:val="22"/>
                <w:szCs w:val="22"/>
                <w:lang w:val="en-US" w:eastAsia="zh-CN"/>
                <w14:textFill>
                  <w14:solidFill>
                    <w14:schemeClr w14:val="tx1"/>
                  </w14:solidFill>
                </w14:textFill>
              </w:rPr>
              <w:t>相关系统（浙警智治平台、警综平台、零信任）对接方案的</w:t>
            </w:r>
            <w:r>
              <w:rPr>
                <w:rFonts w:hint="eastAsia" w:ascii="仿宋" w:hAnsi="仿宋" w:eastAsia="仿宋" w:cs="仿宋"/>
                <w:color w:val="000000" w:themeColor="text1"/>
                <w:sz w:val="22"/>
                <w:szCs w:val="22"/>
                <w14:textFill>
                  <w14:solidFill>
                    <w14:schemeClr w14:val="tx1"/>
                  </w14:solidFill>
                </w14:textFill>
              </w:rPr>
              <w:t>完整</w:t>
            </w:r>
            <w:r>
              <w:rPr>
                <w:rFonts w:hint="eastAsia" w:ascii="仿宋" w:hAnsi="仿宋" w:eastAsia="仿宋" w:cs="仿宋"/>
                <w:color w:val="000000" w:themeColor="text1"/>
                <w:sz w:val="22"/>
                <w:szCs w:val="22"/>
                <w:lang w:val="en-US" w:eastAsia="zh-CN"/>
                <w14:textFill>
                  <w14:solidFill>
                    <w14:schemeClr w14:val="tx1"/>
                  </w14:solidFill>
                </w14:textFill>
              </w:rPr>
              <w:t>性</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合理性、</w:t>
            </w:r>
            <w:r>
              <w:rPr>
                <w:rFonts w:hint="eastAsia" w:ascii="仿宋" w:hAnsi="仿宋" w:eastAsia="仿宋" w:cs="仿宋"/>
                <w:color w:val="000000" w:themeColor="text1"/>
                <w:sz w:val="22"/>
                <w:szCs w:val="22"/>
                <w14:textFill>
                  <w14:solidFill>
                    <w14:schemeClr w14:val="tx1"/>
                  </w14:solidFill>
                </w14:textFill>
              </w:rPr>
              <w:t>清晰</w:t>
            </w:r>
            <w:r>
              <w:rPr>
                <w:rFonts w:hint="eastAsia" w:ascii="仿宋" w:hAnsi="仿宋" w:eastAsia="仿宋" w:cs="仿宋"/>
                <w:color w:val="000000" w:themeColor="text1"/>
                <w:sz w:val="22"/>
                <w:szCs w:val="22"/>
                <w:lang w:val="en-US" w:eastAsia="zh-CN"/>
                <w14:textFill>
                  <w14:solidFill>
                    <w14:schemeClr w14:val="tx1"/>
                  </w14:solidFill>
                </w14:textFill>
              </w:rPr>
              <w:t>可行性</w:t>
            </w:r>
            <w:r>
              <w:rPr>
                <w:rFonts w:hint="eastAsia" w:ascii="仿宋" w:hAnsi="仿宋" w:eastAsia="仿宋" w:cs="仿宋"/>
                <w:color w:val="000000" w:themeColor="text1"/>
                <w:sz w:val="22"/>
                <w:szCs w:val="22"/>
                <w14:textFill>
                  <w14:solidFill>
                    <w14:schemeClr w14:val="tx1"/>
                  </w14:solidFill>
                </w14:textFill>
              </w:rPr>
              <w:t>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428D7C2B">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3</w:t>
            </w:r>
            <w:r>
              <w:rPr>
                <w:rFonts w:hint="eastAsia" w:ascii="仿宋" w:hAnsi="仿宋" w:eastAsia="仿宋" w:cs="仿宋"/>
                <w:color w:val="000000" w:themeColor="text1"/>
                <w:sz w:val="22"/>
                <w:szCs w:val="22"/>
                <w14:textFill>
                  <w14:solidFill>
                    <w14:schemeClr w14:val="tx1"/>
                  </w14:solidFill>
                </w14:textFill>
              </w:rPr>
              <w:t>分；</w:t>
            </w:r>
          </w:p>
          <w:p w14:paraId="79851EF1">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560F6A85">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阐述简单或者缺乏</w:t>
            </w:r>
            <w:r>
              <w:rPr>
                <w:rFonts w:hint="eastAsia" w:ascii="仿宋" w:hAnsi="仿宋" w:eastAsia="仿宋" w:cs="仿宋"/>
                <w:color w:val="000000" w:themeColor="text1"/>
                <w:sz w:val="22"/>
                <w:szCs w:val="22"/>
                <w:lang w:val="en-US" w:eastAsia="zh-CN"/>
                <w14:textFill>
                  <w14:solidFill>
                    <w14:schemeClr w14:val="tx1"/>
                  </w14:solidFill>
                </w14:textFill>
              </w:rPr>
              <w:t>可行</w:t>
            </w:r>
            <w:r>
              <w:rPr>
                <w:rFonts w:hint="eastAsia" w:ascii="仿宋" w:hAnsi="仿宋" w:eastAsia="仿宋" w:cs="仿宋"/>
                <w:color w:val="000000" w:themeColor="text1"/>
                <w:sz w:val="22"/>
                <w:szCs w:val="22"/>
                <w14:textFill>
                  <w14:solidFill>
                    <w14:schemeClr w14:val="tx1"/>
                  </w14:solidFill>
                </w14:textFill>
              </w:rPr>
              <w:t>性的得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1833722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5EB2D27B">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3</w:t>
            </w:r>
          </w:p>
        </w:tc>
        <w:tc>
          <w:tcPr>
            <w:tcW w:w="957" w:type="dxa"/>
            <w:tcBorders>
              <w:top w:val="single" w:color="auto" w:sz="4" w:space="0"/>
              <w:left w:val="single" w:color="auto" w:sz="4" w:space="0"/>
            </w:tcBorders>
            <w:vAlign w:val="center"/>
          </w:tcPr>
          <w:p w14:paraId="6E2304EE">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4B3E6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435168E1">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33B1798">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A18F40A">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143374A7">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w:t>
            </w:r>
            <w:r>
              <w:rPr>
                <w:rFonts w:hint="eastAsia" w:ascii="仿宋" w:hAnsi="仿宋" w:eastAsia="仿宋" w:cs="仿宋"/>
                <w:color w:val="000000" w:themeColor="text1"/>
                <w:sz w:val="22"/>
                <w:szCs w:val="22"/>
                <w:lang w:val="en-US" w:eastAsia="zh-CN"/>
                <w14:textFill>
                  <w14:solidFill>
                    <w14:schemeClr w14:val="tx1"/>
                  </w14:solidFill>
                </w14:textFill>
              </w:rPr>
              <w:t>现有资源复用得</w:t>
            </w:r>
            <w:r>
              <w:rPr>
                <w:rFonts w:hint="eastAsia" w:ascii="仿宋" w:hAnsi="仿宋" w:eastAsia="仿宋" w:cs="仿宋"/>
                <w:color w:val="000000" w:themeColor="text1"/>
                <w:sz w:val="22"/>
                <w:szCs w:val="22"/>
                <w14:textFill>
                  <w14:solidFill>
                    <w14:schemeClr w14:val="tx1"/>
                  </w14:solidFill>
                </w14:textFill>
              </w:rPr>
              <w:t>完整</w:t>
            </w:r>
            <w:r>
              <w:rPr>
                <w:rFonts w:hint="eastAsia" w:ascii="仿宋" w:hAnsi="仿宋" w:eastAsia="仿宋" w:cs="仿宋"/>
                <w:color w:val="000000" w:themeColor="text1"/>
                <w:sz w:val="22"/>
                <w:szCs w:val="22"/>
                <w:lang w:val="en-US" w:eastAsia="zh-CN"/>
                <w14:textFill>
                  <w14:solidFill>
                    <w14:schemeClr w14:val="tx1"/>
                  </w14:solidFill>
                </w14:textFill>
              </w:rPr>
              <w:t>性</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合理性、</w:t>
            </w:r>
            <w:r>
              <w:rPr>
                <w:rFonts w:hint="eastAsia" w:ascii="仿宋" w:hAnsi="仿宋" w:eastAsia="仿宋" w:cs="仿宋"/>
                <w:color w:val="000000" w:themeColor="text1"/>
                <w:sz w:val="22"/>
                <w:szCs w:val="22"/>
                <w14:textFill>
                  <w14:solidFill>
                    <w14:schemeClr w14:val="tx1"/>
                  </w14:solidFill>
                </w14:textFill>
              </w:rPr>
              <w:t>清晰</w:t>
            </w:r>
            <w:r>
              <w:rPr>
                <w:rFonts w:hint="eastAsia" w:ascii="仿宋" w:hAnsi="仿宋" w:eastAsia="仿宋" w:cs="仿宋"/>
                <w:color w:val="000000" w:themeColor="text1"/>
                <w:sz w:val="22"/>
                <w:szCs w:val="22"/>
                <w:lang w:val="en-US" w:eastAsia="zh-CN"/>
                <w14:textFill>
                  <w14:solidFill>
                    <w14:schemeClr w14:val="tx1"/>
                  </w14:solidFill>
                </w14:textFill>
              </w:rPr>
              <w:t>可行性</w:t>
            </w:r>
            <w:r>
              <w:rPr>
                <w:rFonts w:hint="eastAsia" w:ascii="仿宋" w:hAnsi="仿宋" w:eastAsia="仿宋" w:cs="仿宋"/>
                <w:color w:val="000000" w:themeColor="text1"/>
                <w:sz w:val="22"/>
                <w:szCs w:val="22"/>
                <w14:textFill>
                  <w14:solidFill>
                    <w14:schemeClr w14:val="tx1"/>
                  </w14:solidFill>
                </w14:textFill>
              </w:rPr>
              <w:t>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181E0293">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210723B8">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阐述简单或者缺乏</w:t>
            </w:r>
            <w:r>
              <w:rPr>
                <w:rFonts w:hint="eastAsia" w:ascii="仿宋" w:hAnsi="仿宋" w:eastAsia="仿宋" w:cs="仿宋"/>
                <w:color w:val="000000" w:themeColor="text1"/>
                <w:sz w:val="22"/>
                <w:szCs w:val="22"/>
                <w:lang w:val="en-US" w:eastAsia="zh-CN"/>
                <w14:textFill>
                  <w14:solidFill>
                    <w14:schemeClr w14:val="tx1"/>
                  </w14:solidFill>
                </w14:textFill>
              </w:rPr>
              <w:t>可行</w:t>
            </w:r>
            <w:r>
              <w:rPr>
                <w:rFonts w:hint="eastAsia" w:ascii="仿宋" w:hAnsi="仿宋" w:eastAsia="仿宋" w:cs="仿宋"/>
                <w:color w:val="000000" w:themeColor="text1"/>
                <w:sz w:val="22"/>
                <w:szCs w:val="22"/>
                <w14:textFill>
                  <w14:solidFill>
                    <w14:schemeClr w14:val="tx1"/>
                  </w14:solidFill>
                </w14:textFill>
              </w:rPr>
              <w:t>性的得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6D0DD688">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097CA98A">
            <w:pPr>
              <w:jc w:val="center"/>
              <w:rPr>
                <w:rFonts w:hint="default"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5AA69C77">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0942B5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985" w:type="dxa"/>
            <w:vMerge w:val="continue"/>
            <w:tcBorders>
              <w:right w:val="single" w:color="auto" w:sz="4" w:space="0"/>
            </w:tcBorders>
            <w:vAlign w:val="center"/>
          </w:tcPr>
          <w:p w14:paraId="0A46FD11">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06CFD1E7">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7FE46D0D">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1ADC755D">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评标委员会根据供应商提供的软件开发实施过程的描述是否完整、清晰、可控并符合相关软件标准等方面进行评审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22179CB0">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36425DF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769CE12A">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10C51B54">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74B61B50">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191BB5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5" w:hRule="atLeast"/>
          <w:jc w:val="center"/>
        </w:trPr>
        <w:tc>
          <w:tcPr>
            <w:tcW w:w="985" w:type="dxa"/>
            <w:vMerge w:val="continue"/>
            <w:tcBorders>
              <w:right w:val="single" w:color="auto" w:sz="4" w:space="0"/>
            </w:tcBorders>
            <w:vAlign w:val="center"/>
          </w:tcPr>
          <w:p w14:paraId="5DC0F372">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7872E8B">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0213ED21">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08DB17B3">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评标委员会根据供应商所提供实施方案的完整性、合理性以及可行性等方面进行评审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6A357A6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4B277C5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0DBD84C3">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79D5186A">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77A0DF65">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305462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0" w:hRule="atLeast"/>
          <w:jc w:val="center"/>
        </w:trPr>
        <w:tc>
          <w:tcPr>
            <w:tcW w:w="985" w:type="dxa"/>
            <w:vMerge w:val="continue"/>
            <w:tcBorders>
              <w:right w:val="single" w:color="auto" w:sz="4" w:space="0"/>
            </w:tcBorders>
            <w:vAlign w:val="center"/>
          </w:tcPr>
          <w:p w14:paraId="17BB19C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8DCBEB8">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578D6665">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2DF1DF6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评标委员会根据供应商提供的对本项目实施工作量（人月数）的合理性进行评审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0299CF60">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配置完整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67AAABFA">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配置</w:t>
            </w:r>
            <w:r>
              <w:rPr>
                <w:rFonts w:hint="eastAsia" w:ascii="仿宋" w:hAnsi="仿宋" w:eastAsia="仿宋" w:cs="仿宋"/>
                <w:color w:val="000000" w:themeColor="text1"/>
                <w:sz w:val="22"/>
                <w:szCs w:val="22"/>
                <w14:textFill>
                  <w14:solidFill>
                    <w14:schemeClr w14:val="tx1"/>
                  </w14:solidFill>
                </w14:textFill>
              </w:rPr>
              <w:t>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120F3FE0">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041891F5">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05B4D4CC">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6225AE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1" w:hRule="atLeast"/>
          <w:jc w:val="center"/>
        </w:trPr>
        <w:tc>
          <w:tcPr>
            <w:tcW w:w="985" w:type="dxa"/>
            <w:vMerge w:val="continue"/>
            <w:tcBorders>
              <w:right w:val="single" w:color="auto" w:sz="4" w:space="0"/>
            </w:tcBorders>
            <w:vAlign w:val="center"/>
          </w:tcPr>
          <w:p w14:paraId="2AE2CFC4">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5A49600D">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4BF6C85C">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02BDEFDE">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评标委员会根据供应商提供的质量控制措施、信息安全保障及保密方案进行评审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53FE02CE">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0C5F63A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7DDA597B">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5770AFE4">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1918A95A">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5C5E7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3" w:hRule="atLeast"/>
          <w:jc w:val="center"/>
        </w:trPr>
        <w:tc>
          <w:tcPr>
            <w:tcW w:w="985" w:type="dxa"/>
            <w:vMerge w:val="continue"/>
            <w:tcBorders>
              <w:right w:val="single" w:color="auto" w:sz="4" w:space="0"/>
            </w:tcBorders>
            <w:vAlign w:val="center"/>
          </w:tcPr>
          <w:p w14:paraId="5A9B7F55">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1A70B9C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bottom w:val="single" w:color="auto" w:sz="4" w:space="0"/>
              <w:right w:val="single" w:color="auto" w:sz="4" w:space="0"/>
            </w:tcBorders>
            <w:vAlign w:val="center"/>
          </w:tcPr>
          <w:p w14:paraId="71947962">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vAlign w:val="center"/>
          </w:tcPr>
          <w:p w14:paraId="1512E87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根据供应商提供实施方案的进度计划，是否满足采购需求，各环节工期安排是否合理等方面进行评审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45FC7FA7">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，可行性强的得</w:t>
            </w:r>
            <w:r>
              <w:rPr>
                <w:rFonts w:hint="eastAsia" w:ascii="仿宋" w:hAnsi="仿宋" w:eastAsia="仿宋" w:cs="仿宋"/>
                <w:color w:val="000000" w:themeColor="text1"/>
                <w:sz w:val="22"/>
                <w:szCs w:val="22"/>
                <w:lang w:val="en-US" w:eastAsia="zh-CN"/>
                <w14:textFill>
                  <w14:solidFill>
                    <w14:schemeClr w14:val="tx1"/>
                  </w14:solidFill>
                </w14:textFill>
              </w:rPr>
              <w:t>2</w:t>
            </w:r>
            <w:r>
              <w:rPr>
                <w:rFonts w:hint="eastAsia" w:ascii="仿宋" w:hAnsi="仿宋" w:eastAsia="仿宋" w:cs="仿宋"/>
                <w:color w:val="000000" w:themeColor="text1"/>
                <w:sz w:val="22"/>
                <w:szCs w:val="22"/>
                <w14:textFill>
                  <w14:solidFill>
                    <w14:schemeClr w14:val="tx1"/>
                  </w14:solidFill>
                </w14:textFill>
              </w:rPr>
              <w:t>分；</w:t>
            </w:r>
          </w:p>
          <w:p w14:paraId="2718149F">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阐述较为</w:t>
            </w:r>
            <w:r>
              <w:rPr>
                <w:rFonts w:hint="eastAsia" w:ascii="仿宋" w:hAnsi="仿宋" w:eastAsia="仿宋" w:cs="仿宋"/>
                <w:color w:val="000000" w:themeColor="text1"/>
                <w:sz w:val="22"/>
                <w:szCs w:val="22"/>
                <w:lang w:val="en-US" w:eastAsia="zh-CN"/>
                <w14:textFill>
                  <w14:solidFill>
                    <w14:schemeClr w14:val="tx1"/>
                  </w14:solidFill>
                </w14:textFill>
              </w:rPr>
              <w:t>完整</w:t>
            </w:r>
            <w:r>
              <w:rPr>
                <w:rFonts w:hint="eastAsia" w:ascii="仿宋" w:hAnsi="仿宋" w:eastAsia="仿宋" w:cs="仿宋"/>
                <w:color w:val="000000" w:themeColor="text1"/>
                <w:sz w:val="22"/>
                <w:szCs w:val="22"/>
                <w14:textFill>
                  <w14:solidFill>
                    <w14:schemeClr w14:val="tx1"/>
                  </w14:solidFill>
                </w14:textFill>
              </w:rPr>
              <w:t>、</w:t>
            </w:r>
            <w:r>
              <w:rPr>
                <w:rFonts w:hint="eastAsia" w:ascii="仿宋" w:hAnsi="仿宋" w:eastAsia="仿宋" w:cs="仿宋"/>
                <w:color w:val="000000" w:themeColor="text1"/>
                <w:sz w:val="22"/>
                <w:szCs w:val="22"/>
                <w:lang w:val="en-US" w:eastAsia="zh-CN"/>
                <w14:textFill>
                  <w14:solidFill>
                    <w14:schemeClr w14:val="tx1"/>
                  </w14:solidFill>
                </w14:textFill>
              </w:rPr>
              <w:t>清晰</w:t>
            </w:r>
            <w:r>
              <w:rPr>
                <w:rFonts w:hint="eastAsia" w:ascii="仿宋" w:hAnsi="仿宋" w:eastAsia="仿宋" w:cs="仿宋"/>
                <w:color w:val="000000" w:themeColor="text1"/>
                <w:sz w:val="22"/>
                <w:szCs w:val="22"/>
                <w14:textFill>
                  <w14:solidFill>
                    <w14:schemeClr w14:val="tx1"/>
                  </w14:solidFill>
                </w14:textFill>
              </w:rPr>
              <w:t>，可行性一般的得</w:t>
            </w:r>
            <w:r>
              <w:rPr>
                <w:rFonts w:hint="eastAsia" w:ascii="仿宋" w:hAnsi="仿宋" w:eastAsia="仿宋" w:cs="仿宋"/>
                <w:color w:val="000000" w:themeColor="text1"/>
                <w:sz w:val="22"/>
                <w:szCs w:val="22"/>
                <w:lang w:val="en-US" w:eastAsia="zh-CN"/>
                <w14:textFill>
                  <w14:solidFill>
                    <w14:schemeClr w14:val="tx1"/>
                  </w14:solidFill>
                </w14:textFill>
              </w:rPr>
              <w:t>1</w:t>
            </w:r>
            <w:r>
              <w:rPr>
                <w:rFonts w:hint="eastAsia" w:ascii="仿宋" w:hAnsi="仿宋" w:eastAsia="仿宋" w:cs="仿宋"/>
                <w:color w:val="000000" w:themeColor="text1"/>
                <w:sz w:val="22"/>
                <w:szCs w:val="22"/>
                <w14:textFill>
                  <w14:solidFill>
                    <w14:schemeClr w14:val="tx1"/>
                  </w14:solidFill>
                </w14:textFill>
              </w:rPr>
              <w:t>分；</w:t>
            </w:r>
          </w:p>
          <w:p w14:paraId="6D60026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未提供方案的得0分。</w:t>
            </w:r>
          </w:p>
        </w:tc>
        <w:tc>
          <w:tcPr>
            <w:tcW w:w="604" w:type="dxa"/>
            <w:tcBorders>
              <w:top w:val="single" w:color="auto" w:sz="4" w:space="0"/>
              <w:left w:val="single" w:color="auto" w:sz="4" w:space="0"/>
            </w:tcBorders>
            <w:vAlign w:val="center"/>
          </w:tcPr>
          <w:p w14:paraId="7AD08D28">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2DC43CD5">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2D9128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right w:val="single" w:color="auto" w:sz="4" w:space="0"/>
            </w:tcBorders>
            <w:vAlign w:val="center"/>
          </w:tcPr>
          <w:p w14:paraId="2E051BE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150CE9F4">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restart"/>
            <w:tcBorders>
              <w:top w:val="single" w:color="auto" w:sz="4" w:space="0"/>
              <w:left w:val="single" w:color="auto" w:sz="4" w:space="0"/>
              <w:right w:val="single" w:color="auto" w:sz="4" w:space="0"/>
            </w:tcBorders>
            <w:vAlign w:val="center"/>
          </w:tcPr>
          <w:p w14:paraId="1626A106">
            <w:pP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售后服务</w:t>
            </w:r>
          </w:p>
          <w:p w14:paraId="069950C4">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shd w:val="clear" w:color="auto" w:fill="auto"/>
            <w:vAlign w:val="center"/>
          </w:tcPr>
          <w:p w14:paraId="32096DE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评标委员会根据供应商提供的售后服务机构、售后服务便捷性、售后服务响应时间（提供承诺书）、响应能力等进行评审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476C3DC9">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优于招标文件要求的</w:t>
            </w:r>
            <w:r>
              <w:rPr>
                <w:rFonts w:hint="eastAsia" w:ascii="仿宋" w:hAnsi="仿宋" w:eastAsia="仿宋" w:cs="仿宋"/>
                <w:color w:val="000000" w:themeColor="text1"/>
                <w:sz w:val="22"/>
                <w:szCs w:val="22"/>
                <w:lang w:val="en-US" w:eastAsia="zh-CN"/>
                <w14:textFill>
                  <w14:solidFill>
                    <w14:schemeClr w14:val="tx1"/>
                  </w14:solidFill>
                </w14:textFill>
              </w:rPr>
              <w:t>得7</w:t>
            </w:r>
            <w:r>
              <w:rPr>
                <w:rFonts w:hint="eastAsia" w:ascii="仿宋" w:hAnsi="仿宋" w:eastAsia="仿宋" w:cs="仿宋"/>
                <w:color w:val="000000" w:themeColor="text1"/>
                <w:sz w:val="22"/>
                <w:szCs w:val="22"/>
                <w14:textFill>
                  <w14:solidFill>
                    <w14:schemeClr w14:val="tx1"/>
                  </w14:solidFill>
                </w14:textFill>
              </w:rPr>
              <w:t>分；</w:t>
            </w:r>
          </w:p>
          <w:p w14:paraId="2F04B978">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完全满足招标文件要求的得</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分；</w:t>
            </w:r>
          </w:p>
          <w:p w14:paraId="1E64509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不完全满足招标文件要求或缺项的</w:t>
            </w:r>
            <w:r>
              <w:rPr>
                <w:rFonts w:hint="eastAsia" w:ascii="仿宋" w:hAnsi="仿宋" w:eastAsia="仿宋" w:cs="仿宋"/>
                <w:color w:val="000000" w:themeColor="text1"/>
                <w:sz w:val="22"/>
                <w:szCs w:val="22"/>
                <w:lang w:val="en-US" w:eastAsia="zh-CN"/>
                <w14:textFill>
                  <w14:solidFill>
                    <w14:schemeClr w14:val="tx1"/>
                  </w14:solidFill>
                </w14:textFill>
              </w:rPr>
              <w:t>1分。</w:t>
            </w:r>
          </w:p>
          <w:p w14:paraId="4240AF2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kern w:val="2"/>
                <w:sz w:val="22"/>
                <w:szCs w:val="22"/>
                <w:lang w:val="zh-CN"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未提供方案的不得分</w:t>
            </w:r>
            <w:r>
              <w:rPr>
                <w:rFonts w:hint="eastAsia" w:ascii="仿宋" w:hAnsi="仿宋" w:eastAsia="仿宋" w:cs="仿宋"/>
                <w:color w:val="000000" w:themeColor="text1"/>
                <w:sz w:val="22"/>
                <w:szCs w:val="22"/>
                <w14:textFill>
                  <w14:solidFill>
                    <w14:schemeClr w14:val="tx1"/>
                  </w14:solidFill>
                </w14:textFill>
              </w:rPr>
              <w:t>。</w:t>
            </w:r>
          </w:p>
        </w:tc>
        <w:tc>
          <w:tcPr>
            <w:tcW w:w="604" w:type="dxa"/>
            <w:tcBorders>
              <w:top w:val="single" w:color="auto" w:sz="4" w:space="0"/>
              <w:left w:val="single" w:color="auto" w:sz="4" w:space="0"/>
            </w:tcBorders>
            <w:shd w:val="clear" w:color="auto" w:fill="auto"/>
            <w:vAlign w:val="center"/>
          </w:tcPr>
          <w:p w14:paraId="4FDA8704">
            <w:pPr>
              <w:jc w:val="center"/>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7</w:t>
            </w:r>
          </w:p>
        </w:tc>
        <w:tc>
          <w:tcPr>
            <w:tcW w:w="957" w:type="dxa"/>
            <w:tcBorders>
              <w:top w:val="single" w:color="auto" w:sz="4" w:space="0"/>
              <w:left w:val="single" w:color="auto" w:sz="4" w:space="0"/>
            </w:tcBorders>
            <w:shd w:val="clear" w:color="auto" w:fill="auto"/>
            <w:vAlign w:val="center"/>
          </w:tcPr>
          <w:p w14:paraId="0D7A72C2">
            <w:pPr>
              <w:bidi w:val="0"/>
              <w:rPr>
                <w:rFonts w:hint="default"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1B208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60" w:hRule="atLeast"/>
          <w:jc w:val="center"/>
        </w:trPr>
        <w:tc>
          <w:tcPr>
            <w:tcW w:w="985" w:type="dxa"/>
            <w:vMerge w:val="continue"/>
            <w:tcBorders>
              <w:right w:val="single" w:color="auto" w:sz="4" w:space="0"/>
            </w:tcBorders>
            <w:vAlign w:val="center"/>
          </w:tcPr>
          <w:p w14:paraId="34D86199">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6C250BD6">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0FDC14DA">
            <w:pPr>
              <w:rPr>
                <w:rFonts w:hint="eastAsia" w:ascii="仿宋" w:hAnsi="仿宋" w:eastAsia="仿宋" w:cs="仿宋"/>
                <w:color w:val="000000" w:themeColor="text1"/>
                <w:sz w:val="22"/>
                <w:szCs w:val="22"/>
                <w14:textFill>
                  <w14:solidFill>
                    <w14:schemeClr w14:val="tx1"/>
                  </w14:solidFill>
                </w14:textFill>
              </w:rPr>
            </w:pPr>
          </w:p>
        </w:tc>
        <w:tc>
          <w:tcPr>
            <w:tcW w:w="5942" w:type="dxa"/>
            <w:tcBorders>
              <w:top w:val="single" w:color="auto" w:sz="4" w:space="0"/>
              <w:left w:val="single" w:color="auto" w:sz="4" w:space="0"/>
              <w:bottom w:val="single" w:color="auto" w:sz="4" w:space="0"/>
              <w:right w:val="single" w:color="auto" w:sz="4" w:space="0"/>
            </w:tcBorders>
            <w:shd w:val="clear" w:color="auto" w:fill="auto"/>
            <w:vAlign w:val="center"/>
          </w:tcPr>
          <w:p w14:paraId="7B15BC6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评标委员会根据供应商提供的培训服务保障体系（包括培训方案、培训目的、培训内容、培训时间安排、培训方式等），以及技术指导和培训计划等进行评审</w:t>
            </w:r>
            <w:r>
              <w:rPr>
                <w:rFonts w:hint="eastAsia" w:ascii="仿宋" w:hAnsi="仿宋" w:eastAsia="仿宋" w:cs="仿宋"/>
                <w:color w:val="000000" w:themeColor="text1"/>
                <w:sz w:val="22"/>
                <w:szCs w:val="22"/>
                <w:lang w:eastAsia="zh-CN"/>
                <w14:textFill>
                  <w14:solidFill>
                    <w14:schemeClr w14:val="tx1"/>
                  </w14:solidFill>
                </w14:textFill>
              </w:rPr>
              <w:t>：</w:t>
            </w:r>
          </w:p>
          <w:p w14:paraId="7C8409E5">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优于招标文件要求的：5分；</w:t>
            </w:r>
          </w:p>
          <w:p w14:paraId="23E3D628">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完全满足招标文件要求的得3分；</w:t>
            </w:r>
          </w:p>
          <w:p w14:paraId="101B1330">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不完全满足招标文件要求或缺项的</w:t>
            </w:r>
            <w:r>
              <w:rPr>
                <w:rFonts w:hint="eastAsia" w:ascii="仿宋" w:hAnsi="仿宋" w:eastAsia="仿宋" w:cs="仿宋"/>
                <w:color w:val="000000" w:themeColor="text1"/>
                <w:sz w:val="22"/>
                <w:szCs w:val="22"/>
                <w:lang w:val="en-US" w:eastAsia="zh-CN"/>
                <w14:textFill>
                  <w14:solidFill>
                    <w14:schemeClr w14:val="tx1"/>
                  </w14:solidFill>
                </w14:textFill>
              </w:rPr>
              <w:t>1分</w:t>
            </w:r>
            <w:r>
              <w:rPr>
                <w:rFonts w:hint="eastAsia" w:ascii="仿宋" w:hAnsi="仿宋" w:eastAsia="仿宋" w:cs="仿宋"/>
                <w:color w:val="000000" w:themeColor="text1"/>
                <w:sz w:val="22"/>
                <w:szCs w:val="22"/>
                <w14:textFill>
                  <w14:solidFill>
                    <w14:schemeClr w14:val="tx1"/>
                  </w14:solidFill>
                </w14:textFill>
              </w:rPr>
              <w:t>，</w:t>
            </w:r>
          </w:p>
          <w:p w14:paraId="29B88813">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未提供方案的不得分</w:t>
            </w:r>
            <w:r>
              <w:rPr>
                <w:rFonts w:hint="eastAsia" w:ascii="仿宋" w:hAnsi="仿宋" w:eastAsia="仿宋" w:cs="仿宋"/>
                <w:color w:val="000000" w:themeColor="text1"/>
                <w:sz w:val="22"/>
                <w:szCs w:val="22"/>
                <w14:textFill>
                  <w14:solidFill>
                    <w14:schemeClr w14:val="tx1"/>
                  </w14:solidFill>
                </w14:textFill>
              </w:rPr>
              <w:t>。</w:t>
            </w:r>
          </w:p>
        </w:tc>
        <w:tc>
          <w:tcPr>
            <w:tcW w:w="604" w:type="dxa"/>
            <w:tcBorders>
              <w:top w:val="single" w:color="auto" w:sz="4" w:space="0"/>
              <w:left w:val="single" w:color="auto" w:sz="4" w:space="0"/>
            </w:tcBorders>
            <w:shd w:val="clear" w:color="auto" w:fill="auto"/>
            <w:vAlign w:val="center"/>
          </w:tcPr>
          <w:p w14:paraId="59E495A7">
            <w:pPr>
              <w:jc w:val="center"/>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5</w:t>
            </w:r>
          </w:p>
        </w:tc>
        <w:tc>
          <w:tcPr>
            <w:tcW w:w="957" w:type="dxa"/>
            <w:tcBorders>
              <w:top w:val="single" w:color="auto" w:sz="4" w:space="0"/>
              <w:left w:val="single" w:color="auto" w:sz="4" w:space="0"/>
            </w:tcBorders>
            <w:shd w:val="clear" w:color="auto" w:fill="auto"/>
            <w:vAlign w:val="center"/>
          </w:tcPr>
          <w:p w14:paraId="314E124B">
            <w:pPr>
              <w:bidi w:val="0"/>
              <w:rPr>
                <w:rFonts w:hint="default"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主观分</w:t>
            </w:r>
          </w:p>
        </w:tc>
      </w:tr>
      <w:tr w14:paraId="165D48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8" w:hRule="atLeast"/>
          <w:jc w:val="center"/>
        </w:trPr>
        <w:tc>
          <w:tcPr>
            <w:tcW w:w="985" w:type="dxa"/>
            <w:vMerge w:val="continue"/>
            <w:tcBorders>
              <w:right w:val="single" w:color="auto" w:sz="4" w:space="0"/>
            </w:tcBorders>
            <w:vAlign w:val="center"/>
          </w:tcPr>
          <w:p w14:paraId="26CB23BD">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5A26CA2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tcBorders>
              <w:top w:val="single" w:color="auto" w:sz="4" w:space="0"/>
              <w:left w:val="single" w:color="auto" w:sz="4" w:space="0"/>
              <w:bottom w:val="single" w:color="auto" w:sz="4" w:space="0"/>
              <w:right w:val="single" w:color="auto" w:sz="4" w:space="0"/>
            </w:tcBorders>
            <w:vAlign w:val="center"/>
          </w:tcPr>
          <w:p w14:paraId="72641E4F">
            <w:pP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公司资质</w:t>
            </w:r>
          </w:p>
        </w:tc>
        <w:tc>
          <w:tcPr>
            <w:tcW w:w="5942" w:type="dxa"/>
            <w:tcBorders>
              <w:top w:val="single" w:color="auto" w:sz="4" w:space="0"/>
              <w:left w:val="single" w:color="auto" w:sz="4" w:space="0"/>
              <w:right w:val="single" w:color="auto" w:sz="4" w:space="0"/>
            </w:tcBorders>
            <w:vAlign w:val="center"/>
          </w:tcPr>
          <w:p w14:paraId="62C8BAC0">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投标供应商应具备有效的质量管理体系认证证书、信息安全管理体系认证证书、信息技术服务管理体系认证证书、信息技术服务标准符合性证书（ITSS-运行维护）的，每提供一个证书原件扫描件得1分，最高得</w:t>
            </w:r>
            <w:r>
              <w:rPr>
                <w:rFonts w:hint="eastAsia" w:ascii="仿宋" w:hAnsi="仿宋" w:eastAsia="仿宋" w:cs="仿宋"/>
                <w:color w:val="000000" w:themeColor="text1"/>
                <w:sz w:val="22"/>
                <w:szCs w:val="22"/>
                <w:lang w:val="en-US" w:eastAsia="zh-CN"/>
                <w14:textFill>
                  <w14:solidFill>
                    <w14:schemeClr w14:val="tx1"/>
                  </w14:solidFill>
                </w14:textFill>
              </w:rPr>
              <w:t>4</w:t>
            </w:r>
            <w:r>
              <w:rPr>
                <w:rFonts w:hint="eastAsia" w:ascii="仿宋" w:hAnsi="仿宋" w:eastAsia="仿宋" w:cs="仿宋"/>
                <w:color w:val="000000" w:themeColor="text1"/>
                <w:sz w:val="22"/>
                <w:szCs w:val="22"/>
                <w14:textFill>
                  <w14:solidFill>
                    <w14:schemeClr w14:val="tx1"/>
                  </w14:solidFill>
                </w14:textFill>
              </w:rPr>
              <w:t>分。</w:t>
            </w:r>
          </w:p>
          <w:p w14:paraId="5FB9F7EB">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注：须提供有效证书扫描件并加盖公章，否则不得分。</w:t>
            </w:r>
          </w:p>
        </w:tc>
        <w:tc>
          <w:tcPr>
            <w:tcW w:w="604" w:type="dxa"/>
            <w:tcBorders>
              <w:top w:val="single" w:color="auto" w:sz="4" w:space="0"/>
              <w:left w:val="single" w:color="auto" w:sz="4" w:space="0"/>
            </w:tcBorders>
            <w:vAlign w:val="center"/>
          </w:tcPr>
          <w:p w14:paraId="6860111E">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4</w:t>
            </w:r>
          </w:p>
        </w:tc>
        <w:tc>
          <w:tcPr>
            <w:tcW w:w="957" w:type="dxa"/>
            <w:tcBorders>
              <w:top w:val="single" w:color="auto" w:sz="4" w:space="0"/>
              <w:left w:val="single" w:color="auto" w:sz="4" w:space="0"/>
            </w:tcBorders>
            <w:vAlign w:val="center"/>
          </w:tcPr>
          <w:p w14:paraId="487D9F83">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客观分</w:t>
            </w:r>
          </w:p>
        </w:tc>
      </w:tr>
      <w:tr w14:paraId="02FA6A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8" w:hRule="atLeast"/>
          <w:jc w:val="center"/>
        </w:trPr>
        <w:tc>
          <w:tcPr>
            <w:tcW w:w="985" w:type="dxa"/>
            <w:vMerge w:val="continue"/>
            <w:tcBorders>
              <w:right w:val="single" w:color="auto" w:sz="4" w:space="0"/>
            </w:tcBorders>
            <w:vAlign w:val="center"/>
          </w:tcPr>
          <w:p w14:paraId="13C061A9">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566F460B">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tcBorders>
              <w:top w:val="single" w:color="auto" w:sz="4" w:space="0"/>
              <w:left w:val="single" w:color="auto" w:sz="4" w:space="0"/>
              <w:right w:val="single" w:color="auto" w:sz="4" w:space="0"/>
            </w:tcBorders>
            <w:vAlign w:val="center"/>
          </w:tcPr>
          <w:p w14:paraId="43FD2CE9">
            <w:pP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同类业绩</w:t>
            </w:r>
          </w:p>
        </w:tc>
        <w:tc>
          <w:tcPr>
            <w:tcW w:w="5942" w:type="dxa"/>
            <w:tcBorders>
              <w:top w:val="single" w:color="auto" w:sz="4" w:space="0"/>
              <w:left w:val="single" w:color="auto" w:sz="4" w:space="0"/>
              <w:right w:val="single" w:color="auto" w:sz="4" w:space="0"/>
            </w:tcBorders>
            <w:vAlign w:val="center"/>
          </w:tcPr>
          <w:p w14:paraId="63AED6A7">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自2022年01月01日至今</w:t>
            </w:r>
            <w:r>
              <w:rPr>
                <w:rFonts w:hint="eastAsia" w:ascii="仿宋" w:hAnsi="仿宋" w:eastAsia="仿宋" w:cs="仿宋"/>
                <w:color w:val="000000" w:themeColor="text1"/>
                <w:sz w:val="22"/>
                <w:szCs w:val="22"/>
                <w:u w:val="none"/>
                <w:lang w:eastAsia="zh-CN"/>
                <w14:textFill>
                  <w14:solidFill>
                    <w14:schemeClr w14:val="tx1"/>
                  </w14:solidFill>
                </w14:textFill>
              </w:rPr>
              <w:t>（</w:t>
            </w:r>
            <w:r>
              <w:rPr>
                <w:rFonts w:hint="eastAsia" w:ascii="仿宋" w:hAnsi="仿宋" w:eastAsia="仿宋" w:cs="仿宋"/>
                <w:color w:val="000000" w:themeColor="text1"/>
                <w:sz w:val="22"/>
                <w:szCs w:val="22"/>
                <w:u w:val="none"/>
                <w:lang w:val="en-US" w:eastAsia="zh-CN"/>
                <w14:textFill>
                  <w14:solidFill>
                    <w14:schemeClr w14:val="tx1"/>
                  </w14:solidFill>
                </w14:textFill>
              </w:rPr>
              <w:t>以合同签订日期为准</w:t>
            </w:r>
            <w:r>
              <w:rPr>
                <w:rFonts w:hint="eastAsia" w:ascii="仿宋" w:hAnsi="仿宋" w:eastAsia="仿宋" w:cs="仿宋"/>
                <w:color w:val="000000" w:themeColor="text1"/>
                <w:sz w:val="22"/>
                <w:szCs w:val="22"/>
                <w:u w:val="none"/>
                <w:lang w:eastAsia="zh-CN"/>
                <w14:textFill>
                  <w14:solidFill>
                    <w14:schemeClr w14:val="tx1"/>
                  </w14:solidFill>
                </w14:textFill>
              </w:rPr>
              <w:t>）</w:t>
            </w:r>
            <w:r>
              <w:rPr>
                <w:rFonts w:hint="eastAsia" w:ascii="仿宋" w:hAnsi="仿宋" w:eastAsia="仿宋" w:cs="仿宋"/>
                <w:color w:val="000000" w:themeColor="text1"/>
                <w:sz w:val="22"/>
                <w:szCs w:val="22"/>
                <w:u w:val="none"/>
                <w14:textFill>
                  <w14:solidFill>
                    <w14:schemeClr w14:val="tx1"/>
                  </w14:solidFill>
                </w14:textFill>
              </w:rPr>
              <w:t>，投标人承担过类似项目（大数据治理平台与全息档案应用类项目）业绩，每提供一个业绩得0.5分，最高得</w:t>
            </w:r>
            <w:r>
              <w:rPr>
                <w:rFonts w:hint="eastAsia" w:ascii="仿宋" w:hAnsi="仿宋" w:eastAsia="仿宋" w:cs="仿宋"/>
                <w:color w:val="000000" w:themeColor="text1"/>
                <w:sz w:val="22"/>
                <w:szCs w:val="22"/>
                <w:u w:val="none"/>
                <w:lang w:val="en-US" w:eastAsia="zh-CN"/>
                <w14:textFill>
                  <w14:solidFill>
                    <w14:schemeClr w14:val="tx1"/>
                  </w14:solidFill>
                </w14:textFill>
              </w:rPr>
              <w:t>2</w:t>
            </w:r>
            <w:r>
              <w:rPr>
                <w:rFonts w:hint="eastAsia" w:ascii="仿宋" w:hAnsi="仿宋" w:eastAsia="仿宋" w:cs="仿宋"/>
                <w:color w:val="000000" w:themeColor="text1"/>
                <w:sz w:val="22"/>
                <w:szCs w:val="22"/>
                <w:u w:val="none"/>
                <w14:textFill>
                  <w14:solidFill>
                    <w14:schemeClr w14:val="tx1"/>
                  </w14:solidFill>
                </w14:textFill>
              </w:rPr>
              <w:t>分。</w:t>
            </w:r>
          </w:p>
          <w:p w14:paraId="37D981BA">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lang w:val="zh-CN"/>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注：须提供项目合同原件扫描件并加盖公章，否则不得分。</w:t>
            </w:r>
          </w:p>
        </w:tc>
        <w:tc>
          <w:tcPr>
            <w:tcW w:w="604" w:type="dxa"/>
            <w:tcBorders>
              <w:top w:val="single" w:color="auto" w:sz="4" w:space="0"/>
              <w:left w:val="single" w:color="auto" w:sz="4" w:space="0"/>
            </w:tcBorders>
            <w:vAlign w:val="center"/>
          </w:tcPr>
          <w:p w14:paraId="4A71C1BD">
            <w:pPr>
              <w:jc w:val="center"/>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2</w:t>
            </w:r>
          </w:p>
        </w:tc>
        <w:tc>
          <w:tcPr>
            <w:tcW w:w="957" w:type="dxa"/>
            <w:tcBorders>
              <w:top w:val="single" w:color="auto" w:sz="4" w:space="0"/>
              <w:left w:val="single" w:color="auto" w:sz="4" w:space="0"/>
            </w:tcBorders>
            <w:vAlign w:val="center"/>
          </w:tcPr>
          <w:p w14:paraId="09224695">
            <w:pPr>
              <w:keepNext w:val="0"/>
              <w:keepLines w:val="0"/>
              <w:pageBreakBefore w:val="0"/>
              <w:kinsoku/>
              <w:wordWrap/>
              <w:overflowPunct/>
              <w:topLinePunct w:val="0"/>
              <w:autoSpaceDE w:val="0"/>
              <w:autoSpaceDN w:val="0"/>
              <w:bidi w:val="0"/>
              <w:adjustRightInd w:val="0"/>
              <w:snapToGrid/>
              <w:spacing w:line="40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客观分</w:t>
            </w:r>
          </w:p>
        </w:tc>
      </w:tr>
      <w:tr w14:paraId="455A0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985" w:type="dxa"/>
            <w:vMerge w:val="continue"/>
            <w:tcBorders>
              <w:right w:val="single" w:color="auto" w:sz="4" w:space="0"/>
            </w:tcBorders>
            <w:vAlign w:val="center"/>
          </w:tcPr>
          <w:p w14:paraId="35C54760">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5839F52">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restart"/>
            <w:tcBorders>
              <w:top w:val="single" w:color="auto" w:sz="4" w:space="0"/>
              <w:left w:val="single" w:color="auto" w:sz="4" w:space="0"/>
              <w:right w:val="single" w:color="auto" w:sz="4" w:space="0"/>
            </w:tcBorders>
            <w:vAlign w:val="center"/>
          </w:tcPr>
          <w:p w14:paraId="5F912991">
            <w:pP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项目组人员安排</w:t>
            </w:r>
          </w:p>
        </w:tc>
        <w:tc>
          <w:tcPr>
            <w:tcW w:w="5942" w:type="dxa"/>
            <w:tcBorders>
              <w:top w:val="single" w:color="auto" w:sz="4" w:space="0"/>
              <w:left w:val="single" w:color="auto" w:sz="4" w:space="0"/>
              <w:right w:val="single" w:color="auto" w:sz="4" w:space="0"/>
            </w:tcBorders>
            <w:vAlign w:val="center"/>
          </w:tcPr>
          <w:p w14:paraId="3C4F99B5">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项目经理综合</w:t>
            </w:r>
            <w:r>
              <w:rPr>
                <w:rFonts w:hint="eastAsia" w:ascii="仿宋" w:hAnsi="仿宋" w:eastAsia="仿宋" w:cs="仿宋"/>
                <w:color w:val="000000" w:themeColor="text1"/>
                <w:sz w:val="22"/>
                <w:szCs w:val="22"/>
                <w:u w:val="none"/>
                <w:lang w:val="en-US" w:eastAsia="zh-CN"/>
                <w14:textFill>
                  <w14:solidFill>
                    <w14:schemeClr w14:val="tx1"/>
                  </w14:solidFill>
                </w14:textFill>
              </w:rPr>
              <w:t>情况</w:t>
            </w:r>
            <w:r>
              <w:rPr>
                <w:rFonts w:hint="eastAsia" w:ascii="仿宋" w:hAnsi="仿宋" w:eastAsia="仿宋" w:cs="仿宋"/>
                <w:color w:val="000000" w:themeColor="text1"/>
                <w:sz w:val="22"/>
                <w:szCs w:val="22"/>
                <w:u w:val="none"/>
                <w14:textFill>
                  <w14:solidFill>
                    <w14:schemeClr w14:val="tx1"/>
                  </w14:solidFill>
                </w14:textFill>
              </w:rPr>
              <w:t>：</w:t>
            </w:r>
          </w:p>
          <w:p w14:paraId="0BF3ECE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拟派的项目负责人具信息系统项目管理师（高级及以上）证书的得2分，没有不得分。</w:t>
            </w:r>
          </w:p>
          <w:p w14:paraId="6D9E993E">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注：须提供有效证书及在本公司（含分公司）的社保证明等原件扫描件放入技术文件，提供不全或未提供不得分。</w:t>
            </w:r>
          </w:p>
        </w:tc>
        <w:tc>
          <w:tcPr>
            <w:tcW w:w="604" w:type="dxa"/>
            <w:tcBorders>
              <w:top w:val="single" w:color="auto" w:sz="4" w:space="0"/>
              <w:left w:val="single" w:color="auto" w:sz="4" w:space="0"/>
            </w:tcBorders>
            <w:vAlign w:val="center"/>
          </w:tcPr>
          <w:p w14:paraId="5928EB8A">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w:t>
            </w:r>
          </w:p>
        </w:tc>
        <w:tc>
          <w:tcPr>
            <w:tcW w:w="957" w:type="dxa"/>
            <w:tcBorders>
              <w:top w:val="single" w:color="auto" w:sz="4" w:space="0"/>
              <w:left w:val="single" w:color="auto" w:sz="4" w:space="0"/>
            </w:tcBorders>
            <w:vAlign w:val="center"/>
          </w:tcPr>
          <w:p w14:paraId="142DB5B4">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b w:val="0"/>
                <w:bCs w:val="0"/>
                <w:color w:val="000000" w:themeColor="text1"/>
                <w:kern w:val="2"/>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客观分</w:t>
            </w:r>
          </w:p>
        </w:tc>
      </w:tr>
      <w:tr w14:paraId="0A9C2B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8" w:hRule="atLeast"/>
          <w:jc w:val="center"/>
        </w:trPr>
        <w:tc>
          <w:tcPr>
            <w:tcW w:w="985" w:type="dxa"/>
            <w:vMerge w:val="continue"/>
            <w:tcBorders>
              <w:right w:val="single" w:color="auto" w:sz="4" w:space="0"/>
            </w:tcBorders>
            <w:vAlign w:val="center"/>
          </w:tcPr>
          <w:p w14:paraId="1CB8EA83">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32D4D4DB">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05D74B97">
            <w:pPr>
              <w:rPr>
                <w:rFonts w:hint="eastAsia" w:ascii="仿宋" w:hAnsi="仿宋" w:eastAsia="仿宋" w:cs="仿宋"/>
                <w:color w:val="000000" w:themeColor="text1"/>
                <w:sz w:val="22"/>
                <w:szCs w:val="22"/>
                <w:lang w:val="en-US" w:eastAsia="zh-CN"/>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76C62015">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项目组成员综合</w:t>
            </w:r>
            <w:r>
              <w:rPr>
                <w:rFonts w:hint="eastAsia" w:ascii="仿宋" w:hAnsi="仿宋" w:eastAsia="仿宋" w:cs="仿宋"/>
                <w:color w:val="000000" w:themeColor="text1"/>
                <w:sz w:val="22"/>
                <w:szCs w:val="22"/>
                <w:u w:val="none"/>
                <w:lang w:val="en-US" w:eastAsia="zh-CN"/>
                <w14:textFill>
                  <w14:solidFill>
                    <w14:schemeClr w14:val="tx1"/>
                  </w14:solidFill>
                </w14:textFill>
              </w:rPr>
              <w:t>情况</w:t>
            </w:r>
            <w:r>
              <w:rPr>
                <w:rFonts w:hint="eastAsia" w:ascii="仿宋" w:hAnsi="仿宋" w:eastAsia="仿宋" w:cs="仿宋"/>
                <w:color w:val="000000" w:themeColor="text1"/>
                <w:sz w:val="22"/>
                <w:szCs w:val="22"/>
                <w:u w:val="none"/>
                <w14:textFill>
                  <w14:solidFill>
                    <w14:schemeClr w14:val="tx1"/>
                  </w14:solidFill>
                </w14:textFill>
              </w:rPr>
              <w:t>（除项目经理外）：</w:t>
            </w:r>
          </w:p>
          <w:p w14:paraId="02805EA4">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拟派的项目组成员具有人社部门颁发的软件设计师、数据库系统工程师或软件评测师（中级及以上）证书的，每提供1本证书得1分，最多得3分，没有不得分。（注：同一人具有多本证的，只取一项证书分，不重复计分）</w:t>
            </w:r>
          </w:p>
          <w:p w14:paraId="7C736F51">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u w:val="none"/>
                <w:lang w:val="en-US" w:eastAsia="zh-CN"/>
                <w14:textFill>
                  <w14:solidFill>
                    <w14:schemeClr w14:val="tx1"/>
                  </w14:solidFill>
                </w14:textFill>
              </w:rPr>
            </w:pPr>
            <w:r>
              <w:rPr>
                <w:rFonts w:hint="eastAsia" w:ascii="仿宋" w:hAnsi="仿宋" w:eastAsia="仿宋" w:cs="仿宋"/>
                <w:color w:val="000000" w:themeColor="text1"/>
                <w:sz w:val="22"/>
                <w:szCs w:val="22"/>
                <w:u w:val="none"/>
                <w14:textFill>
                  <w14:solidFill>
                    <w14:schemeClr w14:val="tx1"/>
                  </w14:solidFill>
                </w14:textFill>
              </w:rPr>
              <w:t>注：须提供有效证书及在本公司（含分公司）的社保证明等原件扫描件放入技术文件，提供不全或未提供不得分。</w:t>
            </w:r>
          </w:p>
        </w:tc>
        <w:tc>
          <w:tcPr>
            <w:tcW w:w="604" w:type="dxa"/>
            <w:tcBorders>
              <w:top w:val="single" w:color="auto" w:sz="4" w:space="0"/>
              <w:left w:val="single" w:color="auto" w:sz="4" w:space="0"/>
            </w:tcBorders>
            <w:vAlign w:val="center"/>
          </w:tcPr>
          <w:p w14:paraId="12842EDB">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w:t>
            </w:r>
          </w:p>
        </w:tc>
        <w:tc>
          <w:tcPr>
            <w:tcW w:w="957" w:type="dxa"/>
            <w:tcBorders>
              <w:top w:val="single" w:color="auto" w:sz="4" w:space="0"/>
              <w:left w:val="single" w:color="auto" w:sz="4" w:space="0"/>
            </w:tcBorders>
            <w:vAlign w:val="center"/>
          </w:tcPr>
          <w:p w14:paraId="1CAA4B5E">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仿宋" w:hAnsi="仿宋" w:eastAsia="仿宋" w:cs="仿宋"/>
                <w:b w:val="0"/>
                <w:bCs w:val="0"/>
                <w:color w:val="000000" w:themeColor="text1"/>
                <w:kern w:val="2"/>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客观分</w:t>
            </w:r>
          </w:p>
        </w:tc>
      </w:tr>
      <w:tr w14:paraId="05831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8" w:hRule="atLeast"/>
          <w:jc w:val="center"/>
        </w:trPr>
        <w:tc>
          <w:tcPr>
            <w:tcW w:w="985" w:type="dxa"/>
            <w:vMerge w:val="continue"/>
            <w:tcBorders>
              <w:right w:val="single" w:color="auto" w:sz="4" w:space="0"/>
            </w:tcBorders>
            <w:vAlign w:val="center"/>
          </w:tcPr>
          <w:p w14:paraId="7D5BE4BC">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768" w:type="dxa"/>
            <w:vMerge w:val="continue"/>
            <w:tcBorders>
              <w:right w:val="single" w:color="auto" w:sz="4" w:space="0"/>
            </w:tcBorders>
            <w:vAlign w:val="center"/>
          </w:tcPr>
          <w:p w14:paraId="42C61BB1">
            <w:pPr>
              <w:spacing w:line="460" w:lineRule="exact"/>
              <w:jc w:val="center"/>
              <w:rPr>
                <w:rFonts w:ascii="仿宋" w:hAnsi="仿宋" w:eastAsia="仿宋" w:cs="仿宋"/>
                <w:color w:val="000000" w:themeColor="text1"/>
                <w:sz w:val="22"/>
                <w:szCs w:val="22"/>
                <w14:textFill>
                  <w14:solidFill>
                    <w14:schemeClr w14:val="tx1"/>
                  </w14:solidFill>
                </w14:textFill>
              </w:rPr>
            </w:pPr>
          </w:p>
        </w:tc>
        <w:tc>
          <w:tcPr>
            <w:tcW w:w="1128" w:type="dxa"/>
            <w:vMerge w:val="continue"/>
            <w:tcBorders>
              <w:left w:val="single" w:color="auto" w:sz="4" w:space="0"/>
              <w:right w:val="single" w:color="auto" w:sz="4" w:space="0"/>
            </w:tcBorders>
            <w:vAlign w:val="center"/>
          </w:tcPr>
          <w:p w14:paraId="5D03814D">
            <w:pPr>
              <w:rPr>
                <w:rFonts w:hint="eastAsia" w:ascii="仿宋" w:hAnsi="仿宋" w:eastAsia="仿宋" w:cs="仿宋"/>
                <w:color w:val="000000" w:themeColor="text1"/>
                <w:sz w:val="22"/>
                <w:szCs w:val="22"/>
                <w:lang w:val="en-US" w:eastAsia="zh-CN"/>
                <w14:textFill>
                  <w14:solidFill>
                    <w14:schemeClr w14:val="tx1"/>
                  </w14:solidFill>
                </w14:textFill>
              </w:rPr>
            </w:pPr>
          </w:p>
        </w:tc>
        <w:tc>
          <w:tcPr>
            <w:tcW w:w="5942" w:type="dxa"/>
            <w:tcBorders>
              <w:top w:val="single" w:color="auto" w:sz="4" w:space="0"/>
              <w:left w:val="single" w:color="auto" w:sz="4" w:space="0"/>
              <w:right w:val="single" w:color="auto" w:sz="4" w:space="0"/>
            </w:tcBorders>
            <w:vAlign w:val="center"/>
          </w:tcPr>
          <w:p w14:paraId="7EDC0D2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项目组成员配置：</w:t>
            </w:r>
          </w:p>
          <w:p w14:paraId="272E306F">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根据维护团队其他人员的资质、能力、从业经验及人员配备数量情况评分</w:t>
            </w:r>
            <w:r>
              <w:rPr>
                <w:rFonts w:hint="eastAsia" w:ascii="仿宋" w:hAnsi="仿宋" w:eastAsia="仿宋" w:cs="仿宋"/>
                <w:color w:val="000000" w:themeColor="text1"/>
                <w:sz w:val="22"/>
                <w:szCs w:val="22"/>
                <w:lang w:eastAsia="zh-CN"/>
                <w14:textFill>
                  <w14:solidFill>
                    <w14:schemeClr w14:val="tx1"/>
                  </w14:solidFill>
                </w14:textFill>
              </w:rPr>
              <w:t>：</w:t>
            </w:r>
          </w:p>
          <w:p w14:paraId="13438E6C">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人员配备数量充足、资质优、能力强、经验丰富的得3分；</w:t>
            </w:r>
          </w:p>
          <w:p w14:paraId="55F30C0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人员配备数量基本满足要求、资质能力一般、经验一般的得2分；</w:t>
            </w:r>
          </w:p>
          <w:p w14:paraId="6CB84552">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人员配备数量不足、资质能力欠缺、经验欠缺的得1分；</w:t>
            </w:r>
          </w:p>
          <w:p w14:paraId="5E64BD06">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未提供的不得分。</w:t>
            </w:r>
          </w:p>
          <w:p w14:paraId="6846FACF">
            <w:pPr>
              <w:keepNext w:val="0"/>
              <w:keepLines w:val="0"/>
              <w:pageBreakBefore w:val="0"/>
              <w:widowControl w:val="0"/>
              <w:kinsoku/>
              <w:wordWrap/>
              <w:overflowPunct/>
              <w:topLinePunct w:val="0"/>
              <w:bidi w:val="0"/>
              <w:adjustRightInd w:val="0"/>
              <w:spacing w:line="360" w:lineRule="exact"/>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注：须提供有效证书及在本公司（含分公司）的社保证明等原件扫描件放入技术文件，提供不全或未提供不得分。</w:t>
            </w:r>
          </w:p>
        </w:tc>
        <w:tc>
          <w:tcPr>
            <w:tcW w:w="604" w:type="dxa"/>
            <w:tcBorders>
              <w:top w:val="single" w:color="auto" w:sz="4" w:space="0"/>
              <w:left w:val="single" w:color="auto" w:sz="4" w:space="0"/>
            </w:tcBorders>
            <w:vAlign w:val="center"/>
          </w:tcPr>
          <w:p w14:paraId="3002A0A1">
            <w:pPr>
              <w:jc w:val="center"/>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w:t>
            </w:r>
          </w:p>
        </w:tc>
        <w:tc>
          <w:tcPr>
            <w:tcW w:w="957" w:type="dxa"/>
            <w:tcBorders>
              <w:top w:val="single" w:color="auto" w:sz="4" w:space="0"/>
              <w:left w:val="single" w:color="auto" w:sz="4" w:space="0"/>
            </w:tcBorders>
            <w:vAlign w:val="center"/>
          </w:tcPr>
          <w:p w14:paraId="3937BF07">
            <w:pPr>
              <w:keepNext w:val="0"/>
              <w:keepLines w:val="0"/>
              <w:pageBreakBefore w:val="0"/>
              <w:kinsoku/>
              <w:wordWrap/>
              <w:overflowPunct/>
              <w:topLinePunct w:val="0"/>
              <w:autoSpaceDE w:val="0"/>
              <w:autoSpaceDN w:val="0"/>
              <w:bidi w:val="0"/>
              <w:adjustRightInd w:val="0"/>
              <w:snapToGrid/>
              <w:spacing w:line="400" w:lineRule="exact"/>
              <w:jc w:val="center"/>
              <w:rPr>
                <w:rFonts w:hint="default" w:ascii="仿宋" w:hAnsi="仿宋" w:eastAsia="仿宋" w:cs="仿宋"/>
                <w:b w:val="0"/>
                <w:bCs w:val="0"/>
                <w:color w:val="000000" w:themeColor="text1"/>
                <w:kern w:val="2"/>
                <w:sz w:val="22"/>
                <w:szCs w:val="22"/>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2"/>
                <w:szCs w:val="22"/>
                <w:highlight w:val="none"/>
                <w:lang w:val="en-US" w:eastAsia="zh-CN" w:bidi="ar-SA"/>
                <w14:textFill>
                  <w14:solidFill>
                    <w14:schemeClr w14:val="tx1"/>
                  </w14:solidFill>
                </w14:textFill>
              </w:rPr>
              <w:t>主观分</w:t>
            </w:r>
          </w:p>
        </w:tc>
      </w:tr>
      <w:tr w14:paraId="738F8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1" w:hRule="atLeast"/>
          <w:jc w:val="center"/>
        </w:trPr>
        <w:tc>
          <w:tcPr>
            <w:tcW w:w="985" w:type="dxa"/>
            <w:vMerge w:val="restart"/>
            <w:tcBorders>
              <w:top w:val="single" w:color="auto" w:sz="4" w:space="0"/>
              <w:right w:val="single" w:color="auto" w:sz="4" w:space="0"/>
            </w:tcBorders>
            <w:vAlign w:val="center"/>
          </w:tcPr>
          <w:p w14:paraId="5C4BC36C">
            <w:pPr>
              <w:spacing w:line="460" w:lineRule="exact"/>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1B5A1B24">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报价评分标准</w:t>
            </w:r>
          </w:p>
        </w:tc>
        <w:tc>
          <w:tcPr>
            <w:tcW w:w="7503" w:type="dxa"/>
            <w:gridSpan w:val="3"/>
            <w:tcBorders>
              <w:top w:val="single" w:color="auto" w:sz="4" w:space="0"/>
              <w:left w:val="single" w:color="auto" w:sz="4" w:space="0"/>
              <w:bottom w:val="single" w:color="auto" w:sz="4" w:space="0"/>
            </w:tcBorders>
            <w:vAlign w:val="center"/>
          </w:tcPr>
          <w:p w14:paraId="04BAAA26">
            <w:pPr>
              <w:spacing w:line="400" w:lineRule="exac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（1）满足采购文件要求且报价最低的投标报价为评标基准价，其价格分为满分。</w:t>
            </w:r>
          </w:p>
          <w:p w14:paraId="213B8FC6">
            <w:pPr>
              <w:spacing w:line="400" w:lineRule="exac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（2）其他磋商供应商的投标价格得分按以下公式计算：</w:t>
            </w:r>
          </w:p>
          <w:p w14:paraId="2F7329B1">
            <w:pPr>
              <w:spacing w:line="400" w:lineRule="exact"/>
              <w:rPr>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投标报价得分=（评标基准价/</w:t>
            </w:r>
            <w:r>
              <w:rPr>
                <w:rFonts w:hint="eastAsia" w:ascii="仿宋" w:hAnsi="仿宋" w:eastAsia="仿宋" w:cs="仿宋"/>
                <w:bCs/>
                <w:color w:val="000000" w:themeColor="text1"/>
                <w:sz w:val="22"/>
                <w:szCs w:val="22"/>
                <w:lang w:val="zh-CN"/>
                <w14:textFill>
                  <w14:solidFill>
                    <w14:schemeClr w14:val="tx1"/>
                  </w14:solidFill>
                </w14:textFill>
              </w:rPr>
              <w:t>有效评标价</w:t>
            </w:r>
            <w:r>
              <w:rPr>
                <w:rFonts w:hint="eastAsia" w:ascii="仿宋" w:hAnsi="仿宋" w:eastAsia="仿宋" w:cs="仿宋"/>
                <w:bCs/>
                <w:color w:val="000000" w:themeColor="text1"/>
                <w:sz w:val="22"/>
                <w:szCs w:val="22"/>
                <w14:textFill>
                  <w14:solidFill>
                    <w14:schemeClr w14:val="tx1"/>
                  </w14:solidFill>
                </w14:textFill>
              </w:rPr>
              <w:t>）× 价格权值 ×100（四舍五入，保留小数点后2位）</w:t>
            </w:r>
          </w:p>
        </w:tc>
      </w:tr>
      <w:tr w14:paraId="32CEA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4" w:hRule="atLeast"/>
          <w:jc w:val="center"/>
        </w:trPr>
        <w:tc>
          <w:tcPr>
            <w:tcW w:w="985" w:type="dxa"/>
            <w:vMerge w:val="continue"/>
            <w:tcBorders>
              <w:bottom w:val="single" w:color="auto" w:sz="4" w:space="0"/>
              <w:right w:val="single" w:color="auto" w:sz="4" w:space="0"/>
            </w:tcBorders>
            <w:vAlign w:val="center"/>
          </w:tcPr>
          <w:p w14:paraId="64DD21F6">
            <w:pPr>
              <w:jc w:val="center"/>
              <w:rPr>
                <w:color w:val="000000" w:themeColor="text1"/>
                <w:sz w:val="22"/>
                <w:szCs w:val="22"/>
                <w14:textFill>
                  <w14:solidFill>
                    <w14:schemeClr w14:val="tx1"/>
                  </w14:solidFill>
                </w14:textFill>
              </w:rPr>
            </w:pP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126CB7CE">
            <w:pPr>
              <w:jc w:val="center"/>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落实政府采购政策需进行的价格扣除</w:t>
            </w:r>
          </w:p>
        </w:tc>
        <w:tc>
          <w:tcPr>
            <w:tcW w:w="7503" w:type="dxa"/>
            <w:gridSpan w:val="3"/>
            <w:tcBorders>
              <w:top w:val="single" w:color="auto" w:sz="4" w:space="0"/>
              <w:left w:val="single" w:color="auto" w:sz="4" w:space="0"/>
              <w:bottom w:val="single" w:color="auto" w:sz="4" w:space="0"/>
            </w:tcBorders>
            <w:vAlign w:val="center"/>
          </w:tcPr>
          <w:p w14:paraId="6FD420B7">
            <w:pPr>
              <w:tabs>
                <w:tab w:val="left" w:pos="0"/>
              </w:tabs>
              <w:spacing w:line="420" w:lineRule="exac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1）小微企业（含监狱企业、残疾人福利性单位）报价扣除 10 %，即评标价=投标报价× 90 %；</w:t>
            </w:r>
          </w:p>
          <w:p w14:paraId="37F8063D">
            <w:pPr>
              <w:tabs>
                <w:tab w:val="left" w:pos="0"/>
              </w:tabs>
              <w:spacing w:line="420" w:lineRule="exac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2）价格扣除比例或者价格分加分比例对小型企业和微型企业同等对待，不作区分。小型、微型企业、监狱企业、残疾人福利性单位不重复享受价格扣除政策。</w:t>
            </w:r>
          </w:p>
          <w:p w14:paraId="41143271">
            <w:pPr>
              <w:tabs>
                <w:tab w:val="left" w:pos="0"/>
              </w:tabs>
              <w:spacing w:line="420" w:lineRule="exac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3）未提供完整证明材料的，不享受价格扣除优惠政策</w:t>
            </w:r>
          </w:p>
          <w:p w14:paraId="3EE0028D">
            <w:pPr>
              <w:tabs>
                <w:tab w:val="left" w:pos="0"/>
              </w:tabs>
              <w:spacing w:line="420" w:lineRule="exact"/>
              <w:rPr>
                <w:color w:val="000000" w:themeColor="text1"/>
                <w14:textFill>
                  <w14:solidFill>
                    <w14:schemeClr w14:val="tx1"/>
                  </w14:solidFill>
                </w14:textFill>
              </w:rPr>
            </w:pPr>
            <w:r>
              <w:rPr>
                <w:rFonts w:hint="eastAsia" w:ascii="仿宋" w:hAnsi="仿宋" w:eastAsia="仿宋" w:cs="仿宋"/>
                <w:b/>
                <w:bCs/>
                <w:color w:val="000000" w:themeColor="text1"/>
                <w:sz w:val="22"/>
                <w:szCs w:val="22"/>
                <w14:textFill>
                  <w14:solidFill>
                    <w14:schemeClr w14:val="tx1"/>
                  </w14:solidFill>
                </w14:textFill>
              </w:rPr>
              <w:t>注：专门面向中小企业采购的项目或者标项，不再执行价格评审优惠的扶持政策。</w:t>
            </w:r>
          </w:p>
        </w:tc>
      </w:tr>
    </w:tbl>
    <w:p w14:paraId="3D95090A">
      <w:pPr>
        <w:snapToGrid w:val="0"/>
        <w:spacing w:line="360" w:lineRule="auto"/>
        <w:jc w:val="left"/>
        <w:outlineLvl w:val="1"/>
        <w:rPr>
          <w:rStyle w:val="25"/>
          <w:rFonts w:ascii="仿宋" w:eastAsia="仿宋" w:cs="仿宋"/>
          <w:color w:val="000000" w:themeColor="text1"/>
          <w:sz w:val="22"/>
          <w:szCs w:val="22"/>
          <w14:textFill>
            <w14:solidFill>
              <w14:schemeClr w14:val="tx1"/>
            </w14:solidFill>
          </w14:textFill>
        </w:rPr>
      </w:pPr>
      <w:bookmarkStart w:id="483" w:name="_Toc55302373"/>
      <w:bookmarkStart w:id="484" w:name="_Toc14781"/>
      <w:bookmarkStart w:id="485" w:name="_Toc63189375"/>
      <w:bookmarkStart w:id="486" w:name="_Toc26324"/>
      <w:bookmarkStart w:id="487" w:name="_Toc172494"/>
      <w:r>
        <w:rPr>
          <w:rStyle w:val="25"/>
          <w:rFonts w:hint="eastAsia" w:ascii="仿宋" w:eastAsia="仿宋" w:cs="仿宋"/>
          <w:color w:val="000000" w:themeColor="text1"/>
          <w:sz w:val="22"/>
          <w:szCs w:val="22"/>
          <w14:textFill>
            <w14:solidFill>
              <w14:schemeClr w14:val="tx1"/>
            </w14:solidFill>
          </w14:textFill>
        </w:rPr>
        <w:t>1.评审方法</w:t>
      </w:r>
      <w:bookmarkEnd w:id="483"/>
      <w:bookmarkEnd w:id="484"/>
      <w:bookmarkEnd w:id="485"/>
      <w:bookmarkEnd w:id="486"/>
    </w:p>
    <w:bookmarkEnd w:id="487"/>
    <w:p w14:paraId="1988946F">
      <w:pPr>
        <w:snapToGrid w:val="0"/>
        <w:spacing w:line="360" w:lineRule="auto"/>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本次采用的评审办法及推荐成交候选人的人数见评审办法前附表。</w:t>
      </w:r>
    </w:p>
    <w:p w14:paraId="27B32AF6">
      <w:pPr>
        <w:snapToGrid w:val="0"/>
        <w:spacing w:line="360" w:lineRule="auto"/>
        <w:jc w:val="left"/>
        <w:outlineLvl w:val="1"/>
        <w:rPr>
          <w:rStyle w:val="25"/>
          <w:rFonts w:ascii="仿宋" w:eastAsia="仿宋" w:cs="仿宋"/>
          <w:color w:val="000000" w:themeColor="text1"/>
          <w:sz w:val="22"/>
          <w:szCs w:val="22"/>
          <w14:textFill>
            <w14:solidFill>
              <w14:schemeClr w14:val="tx1"/>
            </w14:solidFill>
          </w14:textFill>
        </w:rPr>
      </w:pPr>
      <w:bookmarkStart w:id="488" w:name="_Toc55302374"/>
      <w:bookmarkStart w:id="489" w:name="_Toc63189376"/>
      <w:bookmarkStart w:id="490" w:name="_Toc5566"/>
      <w:bookmarkStart w:id="491" w:name="_Toc14425"/>
      <w:bookmarkStart w:id="492" w:name="_Toc751623011"/>
      <w:r>
        <w:rPr>
          <w:rStyle w:val="25"/>
          <w:rFonts w:hint="eastAsia" w:ascii="仿宋" w:eastAsia="仿宋" w:cs="仿宋"/>
          <w:color w:val="000000" w:themeColor="text1"/>
          <w:sz w:val="22"/>
          <w:szCs w:val="22"/>
          <w14:textFill>
            <w14:solidFill>
              <w14:schemeClr w14:val="tx1"/>
            </w14:solidFill>
          </w14:textFill>
        </w:rPr>
        <w:t>2.</w:t>
      </w:r>
      <w:bookmarkEnd w:id="488"/>
      <w:bookmarkEnd w:id="489"/>
      <w:r>
        <w:rPr>
          <w:rStyle w:val="25"/>
          <w:rFonts w:hint="eastAsia" w:ascii="仿宋" w:eastAsia="仿宋" w:cs="仿宋"/>
          <w:color w:val="000000" w:themeColor="text1"/>
          <w:sz w:val="22"/>
          <w:szCs w:val="22"/>
          <w14:textFill>
            <w14:solidFill>
              <w14:schemeClr w14:val="tx1"/>
            </w14:solidFill>
          </w14:textFill>
        </w:rPr>
        <w:t>评审程序及标准</w:t>
      </w:r>
      <w:bookmarkEnd w:id="490"/>
      <w:bookmarkEnd w:id="491"/>
    </w:p>
    <w:bookmarkEnd w:id="492"/>
    <w:p w14:paraId="1F83E188">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2.1资格审查</w:t>
      </w:r>
    </w:p>
    <w:p w14:paraId="216FE0CB">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响应文件开启后，采购人或采购代理机构对各供应商进行资格审查，有一项不符合以下评审标准的，响应无效：</w:t>
      </w:r>
    </w:p>
    <w:p w14:paraId="5C0FA309">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2.1.1</w:t>
      </w:r>
      <w:r>
        <w:rPr>
          <w:rFonts w:hint="eastAsia" w:ascii="仿宋" w:hAnsi="仿宋" w:eastAsia="仿宋" w:cs="仿宋"/>
          <w:bCs/>
          <w:color w:val="000000" w:themeColor="text1"/>
          <w:sz w:val="22"/>
          <w:szCs w:val="22"/>
          <w:u w:val="single"/>
          <w14:textFill>
            <w14:solidFill>
              <w14:schemeClr w14:val="tx1"/>
            </w14:solidFill>
          </w14:textFill>
        </w:rPr>
        <w:t>▲提供符合参加政府采购活动应当具备的一般条件的承诺函及有效的企业营业执照（或事业法人登记证书或其它工商等登记证明材料，自然人提供身份证)复制件（如为联合体，则联合体各方均应提供）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仿宋" w:hAnsi="仿宋" w:eastAsia="仿宋" w:cs="仿宋"/>
          <w:bCs/>
          <w:color w:val="000000" w:themeColor="text1"/>
          <w:sz w:val="22"/>
          <w:szCs w:val="22"/>
          <w14:textFill>
            <w14:solidFill>
              <w14:schemeClr w14:val="tx1"/>
            </w14:solidFill>
          </w14:textFill>
        </w:rPr>
        <w:t>；</w:t>
      </w:r>
    </w:p>
    <w:p w14:paraId="5EEE818F">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7EED3D5C">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2.1.2落实政府采购政策需满足的资格要求：</w:t>
      </w:r>
      <w:r>
        <w:rPr>
          <w:rFonts w:hint="eastAsia" w:ascii="仿宋" w:hAnsi="仿宋" w:eastAsia="仿宋" w:cs="仿宋"/>
          <w:b/>
          <w:color w:val="000000" w:themeColor="text1"/>
          <w:sz w:val="22"/>
          <w:szCs w:val="22"/>
          <w14:textFill>
            <w14:solidFill>
              <w14:schemeClr w14:val="tx1"/>
            </w14:solidFill>
          </w14:textFill>
        </w:rPr>
        <w:t>见评审办法前附表</w:t>
      </w:r>
      <w:r>
        <w:rPr>
          <w:rFonts w:hint="eastAsia" w:ascii="仿宋" w:hAnsi="仿宋" w:eastAsia="仿宋" w:cs="仿宋"/>
          <w:color w:val="000000" w:themeColor="text1"/>
          <w:sz w:val="22"/>
          <w:szCs w:val="22"/>
          <w14:textFill>
            <w14:solidFill>
              <w14:schemeClr w14:val="tx1"/>
            </w14:solidFill>
          </w14:textFill>
        </w:rPr>
        <w:t>。</w:t>
      </w:r>
    </w:p>
    <w:p w14:paraId="6E5800A2">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2.1.3本项目的特定资格要求：</w:t>
      </w:r>
      <w:r>
        <w:rPr>
          <w:rFonts w:hint="eastAsia" w:ascii="仿宋" w:hAnsi="仿宋" w:eastAsia="仿宋" w:cs="仿宋"/>
          <w:b/>
          <w:color w:val="000000" w:themeColor="text1"/>
          <w:sz w:val="22"/>
          <w:szCs w:val="22"/>
          <w14:textFill>
            <w14:solidFill>
              <w14:schemeClr w14:val="tx1"/>
            </w14:solidFill>
          </w14:textFill>
        </w:rPr>
        <w:t>见评审办法前附表</w:t>
      </w:r>
      <w:r>
        <w:rPr>
          <w:rFonts w:hint="eastAsia" w:ascii="仿宋" w:hAnsi="仿宋" w:eastAsia="仿宋" w:cs="仿宋"/>
          <w:color w:val="000000" w:themeColor="text1"/>
          <w:sz w:val="22"/>
          <w:szCs w:val="22"/>
          <w14:textFill>
            <w14:solidFill>
              <w14:schemeClr w14:val="tx1"/>
            </w14:solidFill>
          </w14:textFill>
        </w:rPr>
        <w:t>。</w:t>
      </w:r>
    </w:p>
    <w:p w14:paraId="411D3DC3">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2.1.4商业信誉审查要求：</w:t>
      </w:r>
      <w:r>
        <w:rPr>
          <w:rFonts w:hint="eastAsia" w:ascii="仿宋" w:hAnsi="仿宋" w:eastAsia="仿宋" w:cs="仿宋"/>
          <w:b/>
          <w:color w:val="000000" w:themeColor="text1"/>
          <w:sz w:val="22"/>
          <w:szCs w:val="22"/>
          <w14:textFill>
            <w14:solidFill>
              <w14:schemeClr w14:val="tx1"/>
            </w14:solidFill>
          </w14:textFill>
        </w:rPr>
        <w:t>见评审办法前附表</w:t>
      </w:r>
      <w:r>
        <w:rPr>
          <w:rFonts w:hint="eastAsia" w:ascii="仿宋" w:hAnsi="仿宋" w:eastAsia="仿宋" w:cs="仿宋"/>
          <w:color w:val="000000" w:themeColor="text1"/>
          <w:sz w:val="22"/>
          <w:szCs w:val="22"/>
          <w14:textFill>
            <w14:solidFill>
              <w14:schemeClr w14:val="tx1"/>
            </w14:solidFill>
          </w14:textFill>
        </w:rPr>
        <w:t>。</w:t>
      </w:r>
    </w:p>
    <w:p w14:paraId="19D745DF">
      <w:pPr>
        <w:snapToGrid w:val="0"/>
        <w:spacing w:line="360" w:lineRule="auto"/>
        <w:ind w:firstLine="442" w:firstLineChars="200"/>
        <w:jc w:val="left"/>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2.2符合性审查</w:t>
      </w:r>
    </w:p>
    <w:p w14:paraId="72A0424B">
      <w:pPr>
        <w:snapToGrid w:val="0"/>
        <w:spacing w:line="360" w:lineRule="auto"/>
        <w:ind w:firstLine="442" w:firstLineChars="200"/>
        <w:jc w:val="left"/>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磋商小组对资格审查合格的供应商进行符合性审查：</w:t>
      </w:r>
    </w:p>
    <w:p w14:paraId="091C1FA0">
      <w:pPr>
        <w:snapToGrid w:val="0"/>
        <w:spacing w:line="360" w:lineRule="auto"/>
        <w:ind w:firstLine="442" w:firstLineChars="200"/>
        <w:jc w:val="left"/>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2.2.1</w:t>
      </w:r>
      <w:r>
        <w:rPr>
          <w:rFonts w:hint="eastAsia" w:ascii="仿宋" w:hAnsi="仿宋" w:eastAsia="仿宋" w:cs="仿宋"/>
          <w:b/>
          <w:color w:val="000000" w:themeColor="text1"/>
          <w:sz w:val="22"/>
          <w:szCs w:val="22"/>
          <w:u w:val="single"/>
          <w14:textFill>
            <w14:solidFill>
              <w14:schemeClr w14:val="tx1"/>
            </w14:solidFill>
          </w14:textFill>
        </w:rPr>
        <w:t>▲供应商存在下列情况之一的，响应无效：</w:t>
      </w:r>
    </w:p>
    <w:p w14:paraId="16F5F1A7">
      <w:pPr>
        <w:snapToGrid w:val="0"/>
        <w:spacing w:line="360" w:lineRule="auto"/>
        <w:ind w:firstLine="440" w:firstLineChars="200"/>
        <w:jc w:val="left"/>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w:t>
      </w:r>
      <w:r>
        <w:rPr>
          <w:rFonts w:hint="eastAsia" w:ascii="仿宋" w:hAnsi="仿宋" w:eastAsia="仿宋" w:cs="仿宋"/>
          <w:bCs/>
          <w:color w:val="000000" w:themeColor="text1"/>
          <w:kern w:val="0"/>
          <w:sz w:val="22"/>
          <w:szCs w:val="22"/>
          <w14:textFill>
            <w14:solidFill>
              <w14:schemeClr w14:val="tx1"/>
            </w14:solidFill>
          </w14:textFill>
        </w:rPr>
        <w:t>供应商仅提交备份响应文件，没有在电子交易平台传输递交响应文件的；</w:t>
      </w:r>
    </w:p>
    <w:p w14:paraId="744453CE">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（2）不具备采购文件中规定的资格要求的；</w:t>
      </w:r>
    </w:p>
    <w:p w14:paraId="7C4FF241">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（3）响应文件未按采购文件要求签署、盖章的；</w:t>
      </w:r>
    </w:p>
    <w:p w14:paraId="220DA186">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（4）明显不符合采购文件中标注“▲”的实质性要求和条件（主要技术规格、商务技术标准或服务要求）的；</w:t>
      </w:r>
    </w:p>
    <w:p w14:paraId="7FFA5988">
      <w:pPr>
        <w:snapToGrid w:val="0"/>
        <w:spacing w:line="360" w:lineRule="auto"/>
        <w:ind w:firstLine="440" w:firstLineChars="200"/>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（5）采购人拟采购的产品属于政府强制采购的节能产品品目清单范围的，供应商未按采购文件要求提供国家确定的认证机构出具的、处于有效期之内的节能产品认证证书的；</w:t>
      </w:r>
    </w:p>
    <w:p w14:paraId="4249BE07">
      <w:pPr>
        <w:snapToGrid w:val="0"/>
        <w:spacing w:line="360" w:lineRule="auto"/>
        <w:ind w:firstLine="440" w:firstLineChars="200"/>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（6）响应文件中承诺的磋商有效期少于采购文件中载明的磋商有效期的；</w:t>
      </w:r>
    </w:p>
    <w:p w14:paraId="220BE3B1">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（7）响应文件实质性内容不全或关键字迹模糊无法辨认的；</w:t>
      </w:r>
    </w:p>
    <w:p w14:paraId="3D2ACC47">
      <w:pPr>
        <w:snapToGrid w:val="0"/>
        <w:spacing w:line="360" w:lineRule="auto"/>
        <w:ind w:firstLine="440" w:firstLineChars="200"/>
        <w:jc w:val="left"/>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（8）最终报价超过采购预算或最高限价；</w:t>
      </w:r>
    </w:p>
    <w:p w14:paraId="2DEB8481">
      <w:pPr>
        <w:snapToGrid w:val="0"/>
        <w:spacing w:line="360" w:lineRule="auto"/>
        <w:ind w:firstLine="440" w:firstLineChars="200"/>
        <w:jc w:val="left"/>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（9）响应文件出现不是唯一的、有选择性报价的；</w:t>
      </w:r>
    </w:p>
    <w:p w14:paraId="3F4711FE">
      <w:pPr>
        <w:snapToGrid w:val="0"/>
        <w:spacing w:line="360" w:lineRule="auto"/>
        <w:ind w:firstLine="440" w:firstLineChars="200"/>
        <w:jc w:val="left"/>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（10）供应商对根据修正原则修正后的报价不确认的；</w:t>
      </w:r>
    </w:p>
    <w:p w14:paraId="248A21E7">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（11）响应文件有采购人不能接受的附加条件的；</w:t>
      </w:r>
    </w:p>
    <w:p w14:paraId="62437295">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（12）供应商提供虚假材料磋商响应的；</w:t>
      </w:r>
    </w:p>
    <w:p w14:paraId="508FABE6">
      <w:pPr>
        <w:snapToGrid w:val="0"/>
        <w:spacing w:line="360" w:lineRule="auto"/>
        <w:ind w:firstLine="110" w:firstLineChars="5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 xml:space="preserve">   （13）商务技术文件中出现磋商报价的；</w:t>
      </w:r>
    </w:p>
    <w:p w14:paraId="32C2745E">
      <w:pPr>
        <w:spacing w:line="360" w:lineRule="auto"/>
        <w:ind w:firstLine="440" w:firstLineChars="200"/>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（14）报价明显低于其他通过符合性审查供应商的报价，有可能影响产品质量或者不能诚信履约的，未能按要求提供书面说明或者提交相关证明材料，不能证明其报价合理性的；</w:t>
      </w:r>
    </w:p>
    <w:p w14:paraId="68F6FD82">
      <w:pPr>
        <w:spacing w:line="360" w:lineRule="auto"/>
        <w:ind w:firstLine="440" w:firstLineChars="200"/>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（15）供应商有恶意串通、妨碍其他供应商的竞争行为、损害采购人或者其他供应商的合法权益情形的；</w:t>
      </w:r>
    </w:p>
    <w:p w14:paraId="62B74AB6">
      <w:pPr>
        <w:spacing w:line="360" w:lineRule="auto"/>
        <w:ind w:firstLine="440" w:firstLineChars="200"/>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kern w:val="0"/>
          <w:sz w:val="22"/>
          <w:szCs w:val="22"/>
          <w14:textFill>
            <w14:solidFill>
              <w14:schemeClr w14:val="tx1"/>
            </w14:solidFill>
          </w14:textFill>
        </w:rPr>
        <w:t>（16）响应文件不满足采购文件的其它实质性要求的；</w:t>
      </w:r>
    </w:p>
    <w:p w14:paraId="2CBA088D">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2.2.2</w:t>
      </w:r>
      <w:r>
        <w:rPr>
          <w:rFonts w:hint="eastAsia" w:ascii="仿宋" w:hAnsi="仿宋" w:eastAsia="仿宋" w:cs="仿宋"/>
          <w:b/>
          <w:color w:val="000000" w:themeColor="text1"/>
          <w:sz w:val="22"/>
          <w:szCs w:val="22"/>
          <w:u w:val="single"/>
          <w14:textFill>
            <w14:solidFill>
              <w14:schemeClr w14:val="tx1"/>
            </w14:solidFill>
          </w14:textFill>
        </w:rPr>
        <w:t>▲有下列情形之一的，属于恶意串通，对供应商依照政府采购法第七十七条第一款的规定追究法律责任，对采购人、采购代理机构及其工作人员依照政府采购法第七十二条的规定追究法律责任</w:t>
      </w:r>
      <w:r>
        <w:rPr>
          <w:rFonts w:hint="eastAsia" w:ascii="仿宋" w:hAnsi="仿宋" w:eastAsia="仿宋" w:cs="仿宋"/>
          <w:b/>
          <w:color w:val="000000" w:themeColor="text1"/>
          <w:sz w:val="22"/>
          <w:szCs w:val="22"/>
          <w14:textFill>
            <w14:solidFill>
              <w14:schemeClr w14:val="tx1"/>
            </w14:solidFill>
          </w14:textFill>
        </w:rPr>
        <w:t>：</w:t>
      </w:r>
    </w:p>
    <w:p w14:paraId="77E6DA4B">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（1）供应商直接或者间接从采购人或者采购代理机构处获得其他供应商的相关情况并修改其响应文件的；</w:t>
      </w:r>
    </w:p>
    <w:p w14:paraId="6E515D9D">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（2）供应商按照采购人或者采购代理机构的授意撤换、修改响应文件的；</w:t>
      </w:r>
    </w:p>
    <w:p w14:paraId="42813F4E">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（3）供应商之间协商报价、技术方案等响应文件或者响应文件的实质性内容；</w:t>
      </w:r>
    </w:p>
    <w:p w14:paraId="73666322">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（4）属于同一集团、协会、商会等组织成员的供应商按照该组织要求协同参加政府采购活动；</w:t>
      </w:r>
    </w:p>
    <w:p w14:paraId="39F5FA5A">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（5）供应商之间事先约定由某一特定供应商中标、成交；</w:t>
      </w:r>
    </w:p>
    <w:p w14:paraId="2C9210DC">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（6）供应商之间商定部分供应商放弃参加政府采购活动或者放弃中标、成交；</w:t>
      </w:r>
    </w:p>
    <w:p w14:paraId="7A9D8A4E">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（7）供应商与采购人或者采购代理机构之间、供应商相互之间，为谋求特定供应商中标、成交或者排斥其他供应商的其他串通行为。</w:t>
      </w:r>
    </w:p>
    <w:p w14:paraId="08CFCFFF">
      <w:pPr>
        <w:snapToGrid w:val="0"/>
        <w:spacing w:line="360" w:lineRule="auto"/>
        <w:ind w:firstLine="442" w:firstLineChars="200"/>
        <w:jc w:val="left"/>
        <w:rPr>
          <w:rFonts w:ascii="仿宋" w:hAnsi="仿宋" w:eastAsia="仿宋" w:cs="仿宋"/>
          <w:b/>
          <w:color w:val="000000" w:themeColor="text1"/>
          <w:sz w:val="22"/>
          <w:szCs w:val="22"/>
          <w14:textFill>
            <w14:solidFill>
              <w14:schemeClr w14:val="tx1"/>
            </w14:solidFill>
          </w14:textFill>
        </w:rPr>
      </w:pPr>
      <w:r>
        <w:rPr>
          <w:rFonts w:hint="eastAsia" w:ascii="仿宋" w:hAnsi="仿宋" w:eastAsia="仿宋" w:cs="仿宋"/>
          <w:b/>
          <w:color w:val="000000" w:themeColor="text1"/>
          <w:sz w:val="22"/>
          <w:szCs w:val="22"/>
          <w14:textFill>
            <w14:solidFill>
              <w14:schemeClr w14:val="tx1"/>
            </w14:solidFill>
          </w14:textFill>
        </w:rPr>
        <w:t>2.2.3</w:t>
      </w:r>
      <w:r>
        <w:rPr>
          <w:rFonts w:hint="eastAsia" w:ascii="仿宋" w:hAnsi="仿宋" w:eastAsia="仿宋" w:cs="仿宋"/>
          <w:b/>
          <w:color w:val="000000" w:themeColor="text1"/>
          <w:sz w:val="22"/>
          <w:szCs w:val="22"/>
          <w:u w:val="single"/>
          <w14:textFill>
            <w14:solidFill>
              <w14:schemeClr w14:val="tx1"/>
            </w14:solidFill>
          </w14:textFill>
        </w:rPr>
        <w:t>▲有下列情形之一的，视为供应商串通响应，其响应无效</w:t>
      </w:r>
      <w:r>
        <w:rPr>
          <w:rFonts w:hint="eastAsia" w:ascii="仿宋" w:hAnsi="仿宋" w:eastAsia="仿宋" w:cs="仿宋"/>
          <w:b/>
          <w:color w:val="000000" w:themeColor="text1"/>
          <w:sz w:val="22"/>
          <w:szCs w:val="22"/>
          <w14:textFill>
            <w14:solidFill>
              <w14:schemeClr w14:val="tx1"/>
            </w14:solidFill>
          </w14:textFill>
        </w:rPr>
        <w:t>：</w:t>
      </w:r>
    </w:p>
    <w:p w14:paraId="276B0E47">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（1）不同供应商的响应文件由同一单位或者个人编制；</w:t>
      </w:r>
    </w:p>
    <w:p w14:paraId="510F8CD0">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（2）不同供应商委托同一单位或者个人办理磋商响应事宜；</w:t>
      </w:r>
    </w:p>
    <w:p w14:paraId="5C99EB4A">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（3）不同供应商的响应文件载明的项目管理成员或者联系人员为同一人；</w:t>
      </w:r>
    </w:p>
    <w:p w14:paraId="17E46D06">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（4）不同供应商的响应文件异常一致或者磋商报价呈规律性差异；</w:t>
      </w:r>
    </w:p>
    <w:p w14:paraId="31372B50">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（5）不同供应商的响应文件相互混装；</w:t>
      </w:r>
    </w:p>
    <w:p w14:paraId="3F2D03C8">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（6）不同供应商的电子投标（响应）文件上传计算机的网卡MAC地址或硬盘序列号等硬件信息相同的；</w:t>
      </w:r>
    </w:p>
    <w:p w14:paraId="3CF6D843">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（7）上传的电子投标（响应）文件若出现使用本项目其他投标（响应）供应商的数字证书加密的，或者加盖本项目其他投标（响应）供应商的电子印章的；</w:t>
      </w:r>
    </w:p>
    <w:p w14:paraId="64D35C8D">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（8）不同供应商的投标（响应）文件的内容存在3处（含）以上错误一致的；</w:t>
      </w:r>
    </w:p>
    <w:p w14:paraId="5BB0AB3C">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（9）不同供应商联系人为同一人或不同联系人的联系电话一致的。</w:t>
      </w:r>
    </w:p>
    <w:p w14:paraId="2C857561">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2.2.4符合性审查其他要求见评审办法前附表。</w:t>
      </w:r>
    </w:p>
    <w:p w14:paraId="16F4D17F">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2.2.5实质上没有响应采购文件要求的磋商响应将被否决，供应商不得通过修正或撤消不合要求的偏离或保留从而使其响应成为实质上响应的磋商响应。</w:t>
      </w:r>
    </w:p>
    <w:p w14:paraId="4915C503">
      <w:pPr>
        <w:widowControl/>
        <w:tabs>
          <w:tab w:val="left" w:pos="900"/>
        </w:tabs>
        <w:snapToGrid w:val="0"/>
        <w:spacing w:line="360" w:lineRule="auto"/>
        <w:ind w:left="858" w:leftChars="260" w:hanging="312" w:hangingChars="142"/>
        <w:jc w:val="left"/>
        <w:rPr>
          <w:rFonts w:ascii="仿宋" w:hAnsi="仿宋" w:eastAsia="仿宋" w:cs="仿宋"/>
          <w:color w:val="000000" w:themeColor="text1"/>
          <w:sz w:val="22"/>
          <w:szCs w:val="22"/>
          <w14:textFill>
            <w14:solidFill>
              <w14:schemeClr w14:val="tx1"/>
            </w14:solidFill>
          </w14:textFill>
        </w:rPr>
      </w:pPr>
      <w:bookmarkStart w:id="493" w:name="_Toc31606"/>
      <w:bookmarkStart w:id="494" w:name="_Toc55375024"/>
      <w:bookmarkStart w:id="495" w:name="_Toc55302377"/>
      <w:bookmarkStart w:id="496" w:name="_Toc63189379"/>
      <w:bookmarkStart w:id="497" w:name="_Toc5724"/>
      <w:r>
        <w:rPr>
          <w:rFonts w:hint="eastAsia" w:ascii="仿宋" w:hAnsi="仿宋" w:eastAsia="仿宋" w:cs="仿宋"/>
          <w:color w:val="000000" w:themeColor="text1"/>
          <w:sz w:val="22"/>
          <w:szCs w:val="22"/>
          <w14:textFill>
            <w14:solidFill>
              <w14:schemeClr w14:val="tx1"/>
            </w14:solidFill>
          </w14:textFill>
        </w:rPr>
        <w:t>2.3比较与评价</w:t>
      </w:r>
      <w:bookmarkEnd w:id="493"/>
    </w:p>
    <w:bookmarkEnd w:id="494"/>
    <w:bookmarkEnd w:id="495"/>
    <w:bookmarkEnd w:id="496"/>
    <w:bookmarkEnd w:id="497"/>
    <w:p w14:paraId="6333CFB1">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2.3.1分值权重构成，见评审办法前附表。</w:t>
      </w:r>
    </w:p>
    <w:p w14:paraId="55B39DB4">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2.3.2商务技术评分标准，见评审办法前附表。</w:t>
      </w:r>
    </w:p>
    <w:p w14:paraId="66B5EB83">
      <w:pPr>
        <w:pStyle w:val="18"/>
        <w:snapToGrid w:val="0"/>
        <w:ind w:firstLine="440" w:firstLineChars="2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2.3.3报价评分标准，见评审办法前附表。</w:t>
      </w:r>
    </w:p>
    <w:p w14:paraId="6C18FAB8">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2.3.4评分分值计算保留小数点后两位，小数点后第三位“四舍五入”。</w:t>
      </w:r>
    </w:p>
    <w:p w14:paraId="155767E5">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2.3.5磋商原则及标准，见评审办法前附表。</w:t>
      </w:r>
    </w:p>
    <w:p w14:paraId="55398A31">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2.3.6供应商综合得分=商务技术得分+报价得分。</w:t>
      </w:r>
    </w:p>
    <w:p w14:paraId="1B775704">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2.3.7</w:t>
      </w:r>
      <w:r>
        <w:rPr>
          <w:rFonts w:hint="eastAsia" w:ascii="仿宋" w:hAnsi="仿宋" w:eastAsia="仿宋" w:cs="仿宋"/>
          <w:b/>
          <w:color w:val="000000" w:themeColor="text1"/>
          <w:sz w:val="22"/>
          <w:szCs w:val="22"/>
          <w14:textFill>
            <w14:solidFill>
              <w14:schemeClr w14:val="tx1"/>
            </w14:solidFill>
          </w14:textFill>
        </w:rPr>
        <w:t>磋商小组发现供应商的报价明显低于其他磋商报价，使得其磋商报价可能低于其个别成本的，应当要求该供应商作出书面说明并提供相应的证明材料。供应商不能合理说明或者不能提供相应证明材料的，磋商小组应当认定该供应商以低于成本报价竞标，并否决其磋商响应</w:t>
      </w:r>
      <w:r>
        <w:rPr>
          <w:rFonts w:hint="eastAsia" w:ascii="仿宋" w:hAnsi="仿宋" w:eastAsia="仿宋" w:cs="仿宋"/>
          <w:color w:val="000000" w:themeColor="text1"/>
          <w:sz w:val="22"/>
          <w:szCs w:val="22"/>
          <w14:textFill>
            <w14:solidFill>
              <w14:schemeClr w14:val="tx1"/>
            </w14:solidFill>
          </w14:textFill>
        </w:rPr>
        <w:t>。</w:t>
      </w:r>
    </w:p>
    <w:p w14:paraId="4C51E66E">
      <w:pPr>
        <w:widowControl/>
        <w:tabs>
          <w:tab w:val="left" w:pos="900"/>
        </w:tabs>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bookmarkStart w:id="498" w:name="_Toc11195"/>
      <w:bookmarkStart w:id="499" w:name="_Toc5272"/>
      <w:bookmarkStart w:id="500" w:name="_Toc63189380"/>
      <w:bookmarkStart w:id="501" w:name="_Toc55302378"/>
      <w:bookmarkStart w:id="502" w:name="_Toc55375025"/>
      <w:r>
        <w:rPr>
          <w:rFonts w:hint="eastAsia" w:ascii="仿宋" w:hAnsi="仿宋" w:eastAsia="仿宋" w:cs="仿宋"/>
          <w:color w:val="000000" w:themeColor="text1"/>
          <w:sz w:val="22"/>
          <w:szCs w:val="22"/>
          <w14:textFill>
            <w14:solidFill>
              <w14:schemeClr w14:val="tx1"/>
            </w14:solidFill>
          </w14:textFill>
        </w:rPr>
        <w:t>2.4响应文件的澄清</w:t>
      </w:r>
      <w:bookmarkEnd w:id="498"/>
      <w:bookmarkEnd w:id="499"/>
      <w:bookmarkEnd w:id="500"/>
      <w:bookmarkEnd w:id="501"/>
      <w:bookmarkEnd w:id="502"/>
    </w:p>
    <w:p w14:paraId="7D01E9B7">
      <w:pPr>
        <w:snapToGrid w:val="0"/>
        <w:spacing w:line="360" w:lineRule="auto"/>
        <w:ind w:firstLine="440" w:firstLineChars="200"/>
        <w:jc w:val="left"/>
        <w:rPr>
          <w:rFonts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2.4.1为有助于响应文件的审查、评价和比较，磋商小组可以在“政采云平台”在线询标或其他有效形式要求供应商对同一份响应文件含义不明确或同类问题表述不一致的内容（采购文件另有规定处理方法的除外）作必要的澄清或说明，供应商应采用在线回复或其他有效形式在询标规定时间内进行澄清或说明（需盖电子签章或实体公章）。</w:t>
      </w:r>
    </w:p>
    <w:p w14:paraId="4D7016ED">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2.4.2响应文件报价出现前后不一致的，按照下列规定修正：</w:t>
      </w:r>
    </w:p>
    <w:p w14:paraId="602C6F44">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（1）响应文件中报价一览表(报价表)内容与响应文件中相应内容不一致的，以报价一览表(报价表)为准；</w:t>
      </w:r>
    </w:p>
    <w:p w14:paraId="23B5767F">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（2）大写金额和小写金额不一致的，以大写金额为准；</w:t>
      </w:r>
    </w:p>
    <w:p w14:paraId="038FA41B">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（3）单价金额小数点或者百分比有明显错位的，以报价一览表的总价为准，并修改单价；</w:t>
      </w:r>
    </w:p>
    <w:p w14:paraId="38975B9A">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（4）总价金额与按单价汇总金额不一致的，以单价金额计算结果为准。</w:t>
      </w:r>
    </w:p>
    <w:p w14:paraId="21A1FAD7">
      <w:pPr>
        <w:pStyle w:val="27"/>
        <w:snapToGrid w:val="0"/>
        <w:spacing w:before="0"/>
        <w:ind w:firstLine="44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（5）同时出现两种以上不一致的，按照上述规定的顺序修正。修正后的报价经供应商确认后产生约束力。</w:t>
      </w:r>
    </w:p>
    <w:p w14:paraId="5E20C00D">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2.4.3澄清、说明或补正不得超出响应文件的范围且不得改变响应文件的实质性内容，并构成响应文件的组成部分。</w:t>
      </w:r>
    </w:p>
    <w:p w14:paraId="2974AA89">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2.4.4磋商小组对供应商提交的澄清、说明或补正有疑问的，可以要求供应商进一步澄清、说明或补正，直至满足磋商小组的要求。</w:t>
      </w:r>
    </w:p>
    <w:p w14:paraId="7BBF0E40">
      <w:pPr>
        <w:snapToGrid w:val="0"/>
        <w:spacing w:line="360" w:lineRule="auto"/>
        <w:jc w:val="left"/>
        <w:outlineLvl w:val="1"/>
        <w:rPr>
          <w:rStyle w:val="25"/>
          <w:rFonts w:ascii="仿宋" w:eastAsia="仿宋" w:cs="仿宋"/>
          <w:color w:val="000000" w:themeColor="text1"/>
          <w:sz w:val="22"/>
          <w:szCs w:val="22"/>
          <w14:textFill>
            <w14:solidFill>
              <w14:schemeClr w14:val="tx1"/>
            </w14:solidFill>
          </w14:textFill>
        </w:rPr>
      </w:pPr>
      <w:bookmarkStart w:id="503" w:name="_Toc31900"/>
      <w:bookmarkStart w:id="504" w:name="_Toc30445"/>
      <w:bookmarkStart w:id="505" w:name="_Toc55302379"/>
      <w:bookmarkStart w:id="506" w:name="_Toc63189381"/>
      <w:bookmarkStart w:id="507" w:name="_Toc11850"/>
      <w:bookmarkStart w:id="508" w:name="_Toc1029134223"/>
      <w:r>
        <w:rPr>
          <w:rStyle w:val="25"/>
          <w:rFonts w:hint="eastAsia" w:ascii="仿宋" w:eastAsia="仿宋" w:cs="仿宋"/>
          <w:color w:val="000000" w:themeColor="text1"/>
          <w:sz w:val="22"/>
          <w:szCs w:val="22"/>
          <w14:textFill>
            <w14:solidFill>
              <w14:schemeClr w14:val="tx1"/>
            </w14:solidFill>
          </w14:textFill>
        </w:rPr>
        <w:t>3.评审结果</w:t>
      </w:r>
      <w:bookmarkEnd w:id="503"/>
      <w:bookmarkEnd w:id="504"/>
      <w:bookmarkEnd w:id="505"/>
      <w:bookmarkEnd w:id="506"/>
      <w:bookmarkEnd w:id="507"/>
    </w:p>
    <w:bookmarkEnd w:id="508"/>
    <w:p w14:paraId="6B92AE33">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3.1采用综合评分法的，磋商小组按照供应商综合得分由高到低的顺序推荐成交候选人。</w:t>
      </w:r>
    </w:p>
    <w:p w14:paraId="7531CB97">
      <w:pPr>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多家供应商提供相同品牌产品（单一产品采购项目中的该产品或者非单一产品采购项目的核心产品）且通过资格审查、符合性审查的不同供应商参加同一合同项下磋商响应的，按一家供应商计算，评审后得分最高的同品牌供应商获得成交供应商推荐资格；评审得分相同的，采取随机抽取方式确定，其他同品牌供应商不作为成交候选人。</w:t>
      </w:r>
    </w:p>
    <w:p w14:paraId="125C63CF">
      <w:pPr>
        <w:snapToGrid w:val="0"/>
        <w:spacing w:line="360" w:lineRule="auto"/>
        <w:ind w:firstLine="440" w:firstLineChars="200"/>
        <w:rPr>
          <w:rFonts w:ascii="仿宋" w:hAnsi="仿宋" w:eastAsia="仿宋" w:cs="仿宋"/>
          <w:b/>
          <w:color w:val="000000" w:themeColor="text1"/>
          <w:kern w:val="0"/>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3.2 磋商小组完成评审后，应当向采购人提交书面评审报告和成交候选人名单。</w:t>
      </w:r>
    </w:p>
    <w:p w14:paraId="7D6DAABA">
      <w:pPr>
        <w:snapToGrid w:val="0"/>
        <w:spacing w:line="360" w:lineRule="auto"/>
        <w:ind w:firstLine="440" w:firstLineChars="2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磋商小组根据全体评审小组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733B9A0D">
      <w:pPr>
        <w:snapToGrid w:val="0"/>
        <w:spacing w:line="360" w:lineRule="auto"/>
        <w:jc w:val="left"/>
        <w:outlineLvl w:val="1"/>
        <w:rPr>
          <w:rStyle w:val="25"/>
          <w:rFonts w:ascii="仿宋" w:eastAsia="仿宋" w:cs="仿宋"/>
          <w:color w:val="000000" w:themeColor="text1"/>
          <w:sz w:val="22"/>
          <w:szCs w:val="22"/>
          <w14:textFill>
            <w14:solidFill>
              <w14:schemeClr w14:val="tx1"/>
            </w14:solidFill>
          </w14:textFill>
        </w:rPr>
      </w:pPr>
      <w:bookmarkStart w:id="509" w:name="_Toc15117"/>
      <w:bookmarkStart w:id="510" w:name="_Toc22007"/>
      <w:bookmarkStart w:id="511" w:name="_Toc825593023"/>
      <w:r>
        <w:rPr>
          <w:rStyle w:val="25"/>
          <w:rFonts w:hint="eastAsia" w:ascii="仿宋" w:eastAsia="仿宋" w:cs="仿宋"/>
          <w:color w:val="000000" w:themeColor="text1"/>
          <w:sz w:val="22"/>
          <w:szCs w:val="22"/>
          <w:lang w:val="en-US"/>
          <w14:textFill>
            <w14:solidFill>
              <w14:schemeClr w14:val="tx1"/>
            </w14:solidFill>
          </w14:textFill>
        </w:rPr>
        <w:t>4.</w:t>
      </w:r>
      <w:r>
        <w:rPr>
          <w:rStyle w:val="25"/>
          <w:rFonts w:hint="eastAsia" w:ascii="仿宋" w:eastAsia="仿宋" w:cs="仿宋"/>
          <w:color w:val="000000" w:themeColor="text1"/>
          <w:sz w:val="22"/>
          <w:szCs w:val="22"/>
          <w14:textFill>
            <w14:solidFill>
              <w14:schemeClr w14:val="tx1"/>
            </w14:solidFill>
          </w14:textFill>
        </w:rPr>
        <w:t>其他</w:t>
      </w:r>
      <w:bookmarkEnd w:id="509"/>
      <w:bookmarkEnd w:id="510"/>
    </w:p>
    <w:bookmarkEnd w:id="511"/>
    <w:p w14:paraId="5091E7EC">
      <w:pPr>
        <w:widowControl/>
        <w:shd w:val="clear" w:color="auto" w:fill="FFFFFF"/>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4.1废标</w:t>
      </w:r>
    </w:p>
    <w:p w14:paraId="087B24AD">
      <w:pPr>
        <w:widowControl/>
        <w:shd w:val="clear" w:color="auto" w:fill="FFFFFF"/>
        <w:snapToGrid w:val="0"/>
        <w:spacing w:line="360" w:lineRule="auto"/>
        <w:ind w:firstLine="440" w:firstLineChars="200"/>
        <w:jc w:val="lef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根据《中华人民共和国政府采购法》第三十六条之规定，在采购中，出现下列情形之一的，应予废标：</w:t>
      </w:r>
    </w:p>
    <w:p w14:paraId="773AAF73">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（1）符合专业条件的供应商或者对采购文件作实质响应的供应商不足3家的；</w:t>
      </w:r>
    </w:p>
    <w:p w14:paraId="2169CE3C">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（2）出现影响采购公正的违法、违规行为的；</w:t>
      </w:r>
    </w:p>
    <w:p w14:paraId="73198639">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（3）供应商的报价均超过了采购预算，采购人不能支付的；</w:t>
      </w:r>
    </w:p>
    <w:p w14:paraId="353F1BEA">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（4）因重大变故，采购任务取消的。</w:t>
      </w:r>
    </w:p>
    <w:p w14:paraId="511EA65D">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废标后，采购机构应当将废标理由通知所有供应商。</w:t>
      </w:r>
    </w:p>
    <w:p w14:paraId="1FE12D22">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4.2修改采购文件，重新组织采购活动。</w:t>
      </w:r>
    </w:p>
    <w:p w14:paraId="1C8D21AF">
      <w:pPr>
        <w:pStyle w:val="9"/>
        <w:snapToGrid w:val="0"/>
        <w:spacing w:line="360" w:lineRule="auto"/>
        <w:ind w:firstLine="44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磋商小组发现采购文件存在歧义、重大缺陷导致评审工作无法进行，或者采购文件内容违反国家有关强制性规定的，将停止评审工作，并与采购人、采购机构沟通并作书面记录。采购人、采购机构确认后，将修改采购文件，重新组织采购活动。</w:t>
      </w:r>
      <w:bookmarkEnd w:id="482"/>
    </w:p>
    <w:p w14:paraId="6D51F01E">
      <w:pPr>
        <w:pStyle w:val="9"/>
        <w:snapToGrid w:val="0"/>
        <w:spacing w:line="360" w:lineRule="auto"/>
        <w:ind w:firstLine="0" w:firstLineChars="0"/>
        <w:rPr>
          <w:rFonts w:ascii="仿宋" w:hAnsi="仿宋" w:eastAsia="仿宋" w:cs="仿宋"/>
          <w:color w:val="000000" w:themeColor="text1"/>
          <w14:textFill>
            <w14:solidFill>
              <w14:schemeClr w14:val="tx1"/>
            </w14:solidFill>
          </w14:textFill>
        </w:rPr>
      </w:pPr>
    </w:p>
    <w:bookmarkEnd w:id="84"/>
    <w:p w14:paraId="7711FDFC">
      <w:pPr>
        <w:pStyle w:val="2"/>
        <w:adjustRightInd/>
        <w:spacing w:line="240" w:lineRule="auto"/>
        <w:ind w:left="431" w:hanging="431"/>
        <w:jc w:val="center"/>
        <w:rPr>
          <w:rFonts w:ascii="仿宋" w:hAnsi="仿宋" w:eastAsia="仿宋" w:cs="仿宋"/>
          <w:color w:val="000000" w:themeColor="text1"/>
          <w14:textFill>
            <w14:solidFill>
              <w14:schemeClr w14:val="tx1"/>
            </w14:solidFill>
          </w14:textFill>
        </w:rPr>
        <w:sectPr>
          <w:footerReference r:id="rId10" w:type="first"/>
          <w:footerReference r:id="rId9" w:type="default"/>
          <w:pgSz w:w="11906" w:h="16838"/>
          <w:pgMar w:top="1134" w:right="1134" w:bottom="1134" w:left="1134" w:header="851" w:footer="992" w:gutter="0"/>
          <w:cols w:space="720" w:num="1"/>
          <w:docGrid w:linePitch="312" w:charSpace="0"/>
        </w:sectPr>
      </w:pPr>
      <w:bookmarkStart w:id="512" w:name="_Toc31993"/>
      <w:bookmarkStart w:id="513" w:name="_Toc850094294"/>
      <w:bookmarkStart w:id="514" w:name="第五部分"/>
      <w:bookmarkStart w:id="515" w:name="_Toc86217003"/>
    </w:p>
    <w:p w14:paraId="69EB6B4C">
      <w:pPr>
        <w:widowControl/>
        <w:spacing w:line="460" w:lineRule="exact"/>
        <w:ind w:firstLine="803" w:firstLineChars="200"/>
        <w:jc w:val="center"/>
        <w:textAlignment w:val="center"/>
        <w:outlineLvl w:val="0"/>
        <w:rPr>
          <w:rStyle w:val="29"/>
          <w:rFonts w:ascii="仿宋" w:hAnsi="仿宋" w:eastAsia="仿宋" w:cs="仿宋"/>
          <w:color w:val="000000" w:themeColor="text1"/>
          <w:sz w:val="40"/>
          <w:szCs w:val="40"/>
          <w14:textFill>
            <w14:solidFill>
              <w14:schemeClr w14:val="tx1"/>
            </w14:solidFill>
          </w14:textFill>
        </w:rPr>
      </w:pPr>
      <w:bookmarkStart w:id="516" w:name="_Toc19074"/>
      <w:r>
        <w:rPr>
          <w:rStyle w:val="29"/>
          <w:rFonts w:hint="eastAsia" w:ascii="仿宋" w:hAnsi="仿宋" w:eastAsia="仿宋" w:cs="仿宋"/>
          <w:color w:val="000000" w:themeColor="text1"/>
          <w:sz w:val="40"/>
          <w:szCs w:val="40"/>
          <w14:textFill>
            <w14:solidFill>
              <w14:schemeClr w14:val="tx1"/>
            </w14:solidFill>
          </w14:textFill>
        </w:rPr>
        <w:t>第五部分 拟签订的合同文本</w:t>
      </w:r>
      <w:bookmarkEnd w:id="512"/>
      <w:bookmarkEnd w:id="513"/>
      <w:bookmarkEnd w:id="516"/>
    </w:p>
    <w:p w14:paraId="0780363A">
      <w:pPr>
        <w:widowControl/>
        <w:spacing w:line="460" w:lineRule="exact"/>
        <w:ind w:firstLine="803" w:firstLineChars="200"/>
        <w:jc w:val="center"/>
        <w:textAlignment w:val="center"/>
        <w:rPr>
          <w:rStyle w:val="29"/>
          <w:rFonts w:ascii="仿宋" w:hAnsi="仿宋" w:eastAsia="仿宋" w:cs="仿宋"/>
          <w:color w:val="000000" w:themeColor="text1"/>
          <w:sz w:val="40"/>
          <w:szCs w:val="40"/>
          <w14:textFill>
            <w14:solidFill>
              <w14:schemeClr w14:val="tx1"/>
            </w14:solidFill>
          </w14:textFill>
        </w:rPr>
      </w:pPr>
    </w:p>
    <w:p w14:paraId="5CAD0CF6">
      <w:pPr>
        <w:widowControl/>
        <w:snapToGrid w:val="0"/>
        <w:spacing w:line="400" w:lineRule="exact"/>
        <w:ind w:firstLine="480" w:firstLineChars="200"/>
        <w:jc w:val="left"/>
        <w:rPr>
          <w:rFonts w:ascii="仿宋" w:hAnsi="仿宋" w:eastAsia="仿宋" w:cs="仿宋_GB2312"/>
          <w:color w:val="000000" w:themeColor="text1"/>
          <w:kern w:val="0"/>
          <w:sz w:val="24"/>
          <w14:textFill>
            <w14:solidFill>
              <w14:schemeClr w14:val="tx1"/>
            </w14:solidFill>
          </w14:textFill>
        </w:rPr>
      </w:pPr>
    </w:p>
    <w:p w14:paraId="75D7148D">
      <w:pPr>
        <w:widowControl/>
        <w:snapToGrid w:val="0"/>
        <w:spacing w:line="400" w:lineRule="exact"/>
        <w:ind w:firstLine="480" w:firstLineChars="200"/>
        <w:jc w:val="left"/>
        <w:rPr>
          <w:rFonts w:ascii="仿宋" w:hAnsi="仿宋" w:eastAsia="仿宋" w:cs="仿宋_GB2312"/>
          <w:color w:val="000000" w:themeColor="text1"/>
          <w:kern w:val="0"/>
          <w:sz w:val="24"/>
          <w14:textFill>
            <w14:solidFill>
              <w14:schemeClr w14:val="tx1"/>
            </w14:solidFill>
          </w14:textFill>
        </w:rPr>
      </w:pPr>
      <w:r>
        <w:rPr>
          <w:rFonts w:hint="eastAsia" w:ascii="仿宋" w:hAnsi="仿宋" w:eastAsia="仿宋" w:cs="仿宋_GB2312"/>
          <w:color w:val="000000" w:themeColor="text1"/>
          <w:kern w:val="0"/>
          <w:sz w:val="24"/>
          <w14:textFill>
            <w14:solidFill>
              <w14:schemeClr w14:val="tx1"/>
            </w14:solidFill>
          </w14:textFill>
        </w:rPr>
        <w:t>项目合同编号：                         密级：</w:t>
      </w:r>
    </w:p>
    <w:p w14:paraId="573C6799">
      <w:pPr>
        <w:widowControl/>
        <w:snapToGrid w:val="0"/>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435F3485">
      <w:pPr>
        <w:widowControl/>
        <w:snapToGrid w:val="0"/>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66EA749">
      <w:pPr>
        <w:widowControl/>
        <w:snapToGrid w:val="0"/>
        <w:spacing w:line="400" w:lineRule="exact"/>
        <w:ind w:firstLine="560" w:firstLineChars="200"/>
        <w:jc w:val="left"/>
        <w:rPr>
          <w:rFonts w:ascii="仿宋" w:hAnsi="仿宋" w:eastAsia="仿宋" w:cs="仿宋"/>
          <w:color w:val="000000" w:themeColor="text1"/>
          <w:kern w:val="0"/>
          <w:sz w:val="28"/>
          <w:szCs w:val="28"/>
          <w14:textFill>
            <w14:solidFill>
              <w14:schemeClr w14:val="tx1"/>
            </w14:solidFill>
          </w14:textFill>
        </w:rPr>
      </w:pPr>
    </w:p>
    <w:p w14:paraId="4E14749C">
      <w:pPr>
        <w:widowControl/>
        <w:snapToGrid w:val="0"/>
        <w:spacing w:line="400" w:lineRule="exact"/>
        <w:ind w:firstLine="560" w:firstLineChars="200"/>
        <w:jc w:val="left"/>
        <w:rPr>
          <w:rFonts w:ascii="仿宋" w:hAnsi="仿宋" w:eastAsia="仿宋" w:cs="仿宋"/>
          <w:color w:val="000000" w:themeColor="text1"/>
          <w:kern w:val="0"/>
          <w:sz w:val="28"/>
          <w:szCs w:val="28"/>
          <w14:textFill>
            <w14:solidFill>
              <w14:schemeClr w14:val="tx1"/>
            </w14:solidFill>
          </w14:textFill>
        </w:rPr>
      </w:pPr>
    </w:p>
    <w:p w14:paraId="01CA5D64">
      <w:pPr>
        <w:widowControl/>
        <w:snapToGrid w:val="0"/>
        <w:spacing w:line="400" w:lineRule="exact"/>
        <w:ind w:firstLine="560" w:firstLineChars="200"/>
        <w:jc w:val="center"/>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温州市公安局科技项目</w:t>
      </w:r>
    </w:p>
    <w:p w14:paraId="4B6D7B34">
      <w:pPr>
        <w:widowControl/>
        <w:snapToGrid w:val="0"/>
        <w:spacing w:line="400" w:lineRule="exact"/>
        <w:ind w:firstLine="560" w:firstLineChars="200"/>
        <w:jc w:val="center"/>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采购合同</w:t>
      </w:r>
    </w:p>
    <w:p w14:paraId="421C445F">
      <w:pPr>
        <w:widowControl/>
        <w:snapToGrid w:val="0"/>
        <w:spacing w:line="400" w:lineRule="exact"/>
        <w:ind w:firstLine="560" w:firstLineChars="200"/>
        <w:jc w:val="left"/>
        <w:rPr>
          <w:rFonts w:ascii="仿宋" w:hAnsi="仿宋" w:eastAsia="仿宋" w:cs="仿宋"/>
          <w:color w:val="000000" w:themeColor="text1"/>
          <w:kern w:val="0"/>
          <w:sz w:val="28"/>
          <w:szCs w:val="28"/>
          <w14:textFill>
            <w14:solidFill>
              <w14:schemeClr w14:val="tx1"/>
            </w14:solidFill>
          </w14:textFill>
        </w:rPr>
      </w:pPr>
    </w:p>
    <w:p w14:paraId="5177D01F">
      <w:pPr>
        <w:widowControl/>
        <w:snapToGrid w:val="0"/>
        <w:spacing w:line="400" w:lineRule="exact"/>
        <w:ind w:firstLine="560" w:firstLineChars="200"/>
        <w:jc w:val="left"/>
        <w:rPr>
          <w:rFonts w:ascii="仿宋" w:hAnsi="仿宋" w:eastAsia="仿宋" w:cs="仿宋"/>
          <w:color w:val="000000" w:themeColor="text1"/>
          <w:kern w:val="0"/>
          <w:sz w:val="28"/>
          <w:szCs w:val="28"/>
          <w14:textFill>
            <w14:solidFill>
              <w14:schemeClr w14:val="tx1"/>
            </w14:solidFill>
          </w14:textFill>
        </w:rPr>
      </w:pPr>
    </w:p>
    <w:p w14:paraId="7C780668">
      <w:pPr>
        <w:widowControl/>
        <w:snapToGrid w:val="0"/>
        <w:spacing w:line="400" w:lineRule="exact"/>
        <w:ind w:firstLine="560" w:firstLineChars="200"/>
        <w:jc w:val="left"/>
        <w:rPr>
          <w:rFonts w:ascii="仿宋" w:hAnsi="仿宋" w:eastAsia="仿宋" w:cs="仿宋"/>
          <w:color w:val="000000" w:themeColor="text1"/>
          <w:kern w:val="0"/>
          <w:sz w:val="28"/>
          <w:szCs w:val="28"/>
          <w:u w:val="single"/>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项  目 名 称：</w:t>
      </w:r>
      <w:r>
        <w:rPr>
          <w:rFonts w:hint="eastAsia" w:ascii="仿宋" w:hAnsi="仿宋" w:eastAsia="仿宋" w:cs="仿宋"/>
          <w:color w:val="000000" w:themeColor="text1"/>
          <w:kern w:val="0"/>
          <w:sz w:val="28"/>
          <w:szCs w:val="28"/>
          <w:u w:val="single"/>
          <w14:textFill>
            <w14:solidFill>
              <w14:schemeClr w14:val="tx1"/>
            </w14:solidFill>
          </w14:textFill>
        </w:rPr>
        <w:t xml:space="preserve">                           </w:t>
      </w:r>
    </w:p>
    <w:p w14:paraId="239AB91F">
      <w:pPr>
        <w:widowControl/>
        <w:snapToGrid w:val="0"/>
        <w:spacing w:line="400" w:lineRule="exact"/>
        <w:ind w:firstLine="560" w:firstLineChars="200"/>
        <w:jc w:val="left"/>
        <w:rPr>
          <w:rFonts w:ascii="仿宋" w:hAnsi="仿宋" w:eastAsia="仿宋" w:cs="仿宋"/>
          <w:color w:val="000000" w:themeColor="text1"/>
          <w:kern w:val="0"/>
          <w:sz w:val="28"/>
          <w:szCs w:val="28"/>
          <w:u w:val="single"/>
          <w14:textFill>
            <w14:solidFill>
              <w14:schemeClr w14:val="tx1"/>
            </w14:solidFill>
          </w14:textFill>
        </w:rPr>
      </w:pPr>
    </w:p>
    <w:p w14:paraId="01BC9F20">
      <w:pPr>
        <w:widowControl/>
        <w:snapToGrid w:val="0"/>
        <w:spacing w:line="400" w:lineRule="exact"/>
        <w:ind w:firstLine="560" w:firstLineChars="200"/>
        <w:jc w:val="left"/>
        <w:rPr>
          <w:rFonts w:ascii="仿宋" w:hAnsi="仿宋" w:eastAsia="仿宋" w:cs="仿宋"/>
          <w:color w:val="000000" w:themeColor="text1"/>
          <w:kern w:val="0"/>
          <w:sz w:val="28"/>
          <w:szCs w:val="28"/>
          <w:u w:val="single"/>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甲方（盖章）：</w:t>
      </w:r>
      <w:r>
        <w:rPr>
          <w:rFonts w:hint="eastAsia" w:ascii="仿宋" w:hAnsi="仿宋" w:eastAsia="仿宋" w:cs="仿宋"/>
          <w:color w:val="000000" w:themeColor="text1"/>
          <w:kern w:val="0"/>
          <w:sz w:val="28"/>
          <w:szCs w:val="28"/>
          <w:u w:val="single"/>
          <w14:textFill>
            <w14:solidFill>
              <w14:schemeClr w14:val="tx1"/>
            </w14:solidFill>
          </w14:textFill>
        </w:rPr>
        <w:t xml:space="preserve">         温州市公安局      </w:t>
      </w:r>
    </w:p>
    <w:p w14:paraId="3C313F54">
      <w:pPr>
        <w:rPr>
          <w:color w:val="000000" w:themeColor="text1"/>
          <w14:textFill>
            <w14:solidFill>
              <w14:schemeClr w14:val="tx1"/>
            </w14:solidFill>
          </w14:textFill>
        </w:rPr>
      </w:pPr>
    </w:p>
    <w:p w14:paraId="485755E8">
      <w:pPr>
        <w:widowControl/>
        <w:snapToGrid w:val="0"/>
        <w:spacing w:line="400" w:lineRule="exact"/>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乙方（盖章）：</w:t>
      </w:r>
      <w:r>
        <w:rPr>
          <w:rFonts w:hint="eastAsia" w:ascii="仿宋" w:hAnsi="仿宋" w:eastAsia="仿宋" w:cs="仿宋"/>
          <w:color w:val="000000" w:themeColor="text1"/>
          <w:kern w:val="0"/>
          <w:sz w:val="28"/>
          <w:szCs w:val="28"/>
          <w:u w:val="single"/>
          <w14:textFill>
            <w14:solidFill>
              <w14:schemeClr w14:val="tx1"/>
            </w14:solidFill>
          </w14:textFill>
        </w:rPr>
        <w:t xml:space="preserve">                           </w:t>
      </w:r>
    </w:p>
    <w:p w14:paraId="59876E56">
      <w:pPr>
        <w:rPr>
          <w:rFonts w:ascii="仿宋" w:hAnsi="仿宋" w:eastAsia="仿宋" w:cs="仿宋"/>
          <w:color w:val="000000" w:themeColor="text1"/>
          <w:sz w:val="28"/>
          <w:szCs w:val="28"/>
          <w14:textFill>
            <w14:solidFill>
              <w14:schemeClr w14:val="tx1"/>
            </w14:solidFill>
          </w14:textFill>
        </w:rPr>
      </w:pPr>
    </w:p>
    <w:p w14:paraId="3BA0B6E7">
      <w:pPr>
        <w:widowControl/>
        <w:snapToGrid w:val="0"/>
        <w:spacing w:line="400" w:lineRule="exact"/>
        <w:ind w:firstLine="560" w:firstLineChars="200"/>
        <w:jc w:val="left"/>
        <w:rPr>
          <w:rFonts w:ascii="仿宋" w:hAnsi="仿宋" w:eastAsia="仿宋" w:cs="仿宋"/>
          <w:color w:val="000000" w:themeColor="text1"/>
          <w:kern w:val="0"/>
          <w:sz w:val="28"/>
          <w:szCs w:val="28"/>
          <w:u w:val="single"/>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签署时间（年月）：</w:t>
      </w:r>
      <w:r>
        <w:rPr>
          <w:rFonts w:hint="eastAsia" w:ascii="仿宋" w:hAnsi="仿宋" w:eastAsia="仿宋" w:cs="仿宋"/>
          <w:color w:val="000000" w:themeColor="text1"/>
          <w:kern w:val="0"/>
          <w:sz w:val="28"/>
          <w:szCs w:val="28"/>
          <w:u w:val="single"/>
          <w14:textFill>
            <w14:solidFill>
              <w14:schemeClr w14:val="tx1"/>
            </w14:solidFill>
          </w14:textFill>
        </w:rPr>
        <w:t xml:space="preserve">         年        月  </w:t>
      </w:r>
    </w:p>
    <w:p w14:paraId="1F9597B5">
      <w:pPr>
        <w:rPr>
          <w:rFonts w:ascii="仿宋" w:hAnsi="仿宋" w:eastAsia="仿宋" w:cs="仿宋"/>
          <w:color w:val="000000" w:themeColor="text1"/>
          <w:sz w:val="28"/>
          <w:szCs w:val="28"/>
          <w14:textFill>
            <w14:solidFill>
              <w14:schemeClr w14:val="tx1"/>
            </w14:solidFill>
          </w14:textFill>
        </w:rPr>
      </w:pPr>
    </w:p>
    <w:p w14:paraId="002A59AA">
      <w:pPr>
        <w:widowControl/>
        <w:snapToGrid w:val="0"/>
        <w:spacing w:line="400" w:lineRule="exact"/>
        <w:ind w:firstLine="560" w:firstLineChars="200"/>
        <w:jc w:val="left"/>
        <w:rPr>
          <w:rFonts w:ascii="仿宋" w:hAnsi="仿宋" w:eastAsia="仿宋" w:cs="仿宋"/>
          <w:color w:val="000000" w:themeColor="text1"/>
          <w:kern w:val="0"/>
          <w:sz w:val="28"/>
          <w:szCs w:val="28"/>
          <w:u w:val="single"/>
          <w14:textFill>
            <w14:solidFill>
              <w14:schemeClr w14:val="tx1"/>
            </w14:solidFill>
          </w14:textFill>
        </w:rPr>
        <w:sectPr>
          <w:headerReference r:id="rId11" w:type="default"/>
          <w:footerReference r:id="rId12" w:type="default"/>
          <w:pgSz w:w="12240" w:h="15840"/>
          <w:pgMar w:top="1440" w:right="1080" w:bottom="1440" w:left="1080" w:header="720" w:footer="720" w:gutter="0"/>
          <w:cols w:space="720" w:num="1"/>
        </w:sectPr>
      </w:pPr>
      <w:r>
        <w:rPr>
          <w:rFonts w:hint="eastAsia" w:ascii="仿宋" w:hAnsi="仿宋" w:eastAsia="仿宋" w:cs="仿宋"/>
          <w:color w:val="000000" w:themeColor="text1"/>
          <w:kern w:val="0"/>
          <w:sz w:val="28"/>
          <w:szCs w:val="28"/>
          <w14:textFill>
            <w14:solidFill>
              <w14:schemeClr w14:val="tx1"/>
            </w14:solidFill>
          </w14:textFill>
        </w:rPr>
        <w:t>签 署 地  点：</w:t>
      </w:r>
      <w:r>
        <w:rPr>
          <w:rFonts w:hint="eastAsia" w:ascii="仿宋" w:hAnsi="仿宋" w:eastAsia="仿宋" w:cs="仿宋"/>
          <w:color w:val="000000" w:themeColor="text1"/>
          <w:kern w:val="0"/>
          <w:sz w:val="28"/>
          <w:szCs w:val="28"/>
          <w:u w:val="single"/>
          <w14:textFill>
            <w14:solidFill>
              <w14:schemeClr w14:val="tx1"/>
            </w14:solidFill>
          </w14:textFill>
        </w:rPr>
        <w:t xml:space="preserve">       温州市鹿城区        </w:t>
      </w:r>
    </w:p>
    <w:p w14:paraId="4ABC1D5A">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一、</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总则</w:t>
      </w:r>
    </w:p>
    <w:p w14:paraId="2DBEDDAA">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二、</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甲方责任</w:t>
      </w:r>
    </w:p>
    <w:p w14:paraId="0E4A7FAE">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三、</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乙方责任</w:t>
      </w:r>
    </w:p>
    <w:p w14:paraId="5B10DD2C">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四、</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项目进度</w:t>
      </w:r>
    </w:p>
    <w:p w14:paraId="3101CC35">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五、</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项目上线、试运行和验收</w:t>
      </w:r>
    </w:p>
    <w:p w14:paraId="2D03E452">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六、</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质保期与售后服务</w:t>
      </w:r>
    </w:p>
    <w:p w14:paraId="095AFA2E">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七、</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项目合同金额</w:t>
      </w:r>
    </w:p>
    <w:p w14:paraId="023C68C4">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八、</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项目合同支付条款</w:t>
      </w:r>
    </w:p>
    <w:p w14:paraId="628BE791">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九、</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项目合同修改</w:t>
      </w:r>
    </w:p>
    <w:p w14:paraId="2C3F80A5">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w:t>
      </w:r>
      <w:r>
        <w:rPr>
          <w:rFonts w:ascii="Calibri" w:hAnsi="Calibri" w:eastAsia="仿宋" w:cs="Calibri"/>
          <w:b/>
          <w:bCs/>
          <w:color w:val="000000" w:themeColor="text1"/>
          <w:kern w:val="0"/>
          <w:sz w:val="24"/>
          <w14:textFill>
            <w14:solidFill>
              <w14:schemeClr w14:val="tx1"/>
            </w14:solidFill>
          </w14:textFill>
        </w:rPr>
        <w:t>  </w:t>
      </w:r>
      <w:r>
        <w:rPr>
          <w:rFonts w:hint="eastAsia" w:ascii="仿宋" w:hAnsi="仿宋" w:eastAsia="仿宋"/>
          <w:b/>
          <w:bCs/>
          <w:color w:val="000000" w:themeColor="text1"/>
          <w:kern w:val="0"/>
          <w:sz w:val="24"/>
          <w14:textFill>
            <w14:solidFill>
              <w14:schemeClr w14:val="tx1"/>
            </w14:solidFill>
          </w14:textFill>
        </w:rPr>
        <w:t xml:space="preserve"> </w:t>
      </w:r>
      <w:r>
        <w:rPr>
          <w:rFonts w:hint="eastAsia" w:ascii="仿宋" w:hAnsi="仿宋" w:eastAsia="仿宋" w:cs="宋体"/>
          <w:b/>
          <w:bCs/>
          <w:color w:val="000000" w:themeColor="text1"/>
          <w:kern w:val="0"/>
          <w:sz w:val="24"/>
          <w14:textFill>
            <w14:solidFill>
              <w14:schemeClr w14:val="tx1"/>
            </w14:solidFill>
          </w14:textFill>
        </w:rPr>
        <w:t>违约责任</w:t>
      </w:r>
    </w:p>
    <w:p w14:paraId="1B36F1B1">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十一、</w:t>
      </w:r>
      <w:r>
        <w:rPr>
          <w:rFonts w:hint="eastAsia" w:ascii="仿宋" w:hAnsi="仿宋" w:eastAsia="仿宋" w:cs="宋体"/>
          <w:b/>
          <w:bCs/>
          <w:color w:val="000000" w:themeColor="text1"/>
          <w:kern w:val="0"/>
          <w:sz w:val="24"/>
          <w14:textFill>
            <w14:solidFill>
              <w14:schemeClr w14:val="tx1"/>
            </w14:solidFill>
          </w14:textFill>
        </w:rPr>
        <w:t>项目合同终止</w:t>
      </w:r>
    </w:p>
    <w:p w14:paraId="25E2CC2C">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十二、</w:t>
      </w:r>
      <w:r>
        <w:rPr>
          <w:rFonts w:hint="eastAsia" w:ascii="仿宋" w:hAnsi="仿宋" w:eastAsia="仿宋" w:cs="宋体"/>
          <w:b/>
          <w:bCs/>
          <w:color w:val="000000" w:themeColor="text1"/>
          <w:kern w:val="0"/>
          <w:sz w:val="24"/>
          <w14:textFill>
            <w14:solidFill>
              <w14:schemeClr w14:val="tx1"/>
            </w14:solidFill>
          </w14:textFill>
        </w:rPr>
        <w:t>不可抗力</w:t>
      </w:r>
    </w:p>
    <w:p w14:paraId="08BF88A8">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十三、</w:t>
      </w:r>
      <w:r>
        <w:rPr>
          <w:rFonts w:hint="eastAsia" w:ascii="仿宋" w:hAnsi="仿宋" w:eastAsia="仿宋" w:cs="宋体"/>
          <w:b/>
          <w:bCs/>
          <w:color w:val="000000" w:themeColor="text1"/>
          <w:kern w:val="0"/>
          <w:sz w:val="24"/>
          <w14:textFill>
            <w14:solidFill>
              <w14:schemeClr w14:val="tx1"/>
            </w14:solidFill>
          </w14:textFill>
        </w:rPr>
        <w:t>项目保密</w:t>
      </w:r>
    </w:p>
    <w:p w14:paraId="36EA5240">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w:t>
      </w:r>
      <w:r>
        <w:rPr>
          <w:rFonts w:hint="eastAsia" w:ascii="仿宋" w:hAnsi="仿宋" w:eastAsia="仿宋"/>
          <w:b/>
          <w:bCs/>
          <w:color w:val="000000" w:themeColor="text1"/>
          <w:kern w:val="0"/>
          <w:sz w:val="24"/>
          <w14:textFill>
            <w14:solidFill>
              <w14:schemeClr w14:val="tx1"/>
            </w14:solidFill>
          </w14:textFill>
        </w:rPr>
        <w:t>四</w:t>
      </w:r>
      <w:r>
        <w:rPr>
          <w:rFonts w:ascii="仿宋" w:hAnsi="仿宋" w:eastAsia="仿宋"/>
          <w:b/>
          <w:bCs/>
          <w:color w:val="000000" w:themeColor="text1"/>
          <w:kern w:val="0"/>
          <w:sz w:val="24"/>
          <w14:textFill>
            <w14:solidFill>
              <w14:schemeClr w14:val="tx1"/>
            </w14:solidFill>
          </w14:textFill>
        </w:rPr>
        <w:t>、</w:t>
      </w:r>
      <w:r>
        <w:rPr>
          <w:rFonts w:hint="eastAsia" w:ascii="仿宋" w:hAnsi="仿宋" w:eastAsia="仿宋" w:cs="宋体"/>
          <w:b/>
          <w:bCs/>
          <w:color w:val="000000" w:themeColor="text1"/>
          <w:kern w:val="0"/>
          <w:sz w:val="24"/>
          <w14:textFill>
            <w14:solidFill>
              <w14:schemeClr w14:val="tx1"/>
            </w14:solidFill>
          </w14:textFill>
        </w:rPr>
        <w:t>争议解决方式</w:t>
      </w:r>
    </w:p>
    <w:p w14:paraId="56622416">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w:t>
      </w:r>
      <w:r>
        <w:rPr>
          <w:rFonts w:hint="eastAsia" w:ascii="仿宋" w:hAnsi="仿宋" w:eastAsia="仿宋"/>
          <w:b/>
          <w:bCs/>
          <w:color w:val="000000" w:themeColor="text1"/>
          <w:kern w:val="0"/>
          <w:sz w:val="24"/>
          <w14:textFill>
            <w14:solidFill>
              <w14:schemeClr w14:val="tx1"/>
            </w14:solidFill>
          </w14:textFill>
        </w:rPr>
        <w:t>五</w:t>
      </w:r>
      <w:r>
        <w:rPr>
          <w:rFonts w:ascii="仿宋" w:hAnsi="仿宋" w:eastAsia="仿宋"/>
          <w:b/>
          <w:bCs/>
          <w:color w:val="000000" w:themeColor="text1"/>
          <w:kern w:val="0"/>
          <w:sz w:val="24"/>
          <w14:textFill>
            <w14:solidFill>
              <w14:schemeClr w14:val="tx1"/>
            </w14:solidFill>
          </w14:textFill>
        </w:rPr>
        <w:t>、</w:t>
      </w:r>
      <w:r>
        <w:rPr>
          <w:rFonts w:hint="eastAsia" w:ascii="仿宋" w:hAnsi="仿宋" w:eastAsia="仿宋" w:cs="宋体"/>
          <w:b/>
          <w:bCs/>
          <w:color w:val="000000" w:themeColor="text1"/>
          <w:kern w:val="0"/>
          <w:sz w:val="24"/>
          <w14:textFill>
            <w14:solidFill>
              <w14:schemeClr w14:val="tx1"/>
            </w14:solidFill>
          </w14:textFill>
        </w:rPr>
        <w:t>项目合同附件清单</w:t>
      </w:r>
    </w:p>
    <w:p w14:paraId="0E0F3ABC">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w:t>
      </w:r>
      <w:r>
        <w:rPr>
          <w:rFonts w:hint="eastAsia" w:ascii="仿宋" w:hAnsi="仿宋" w:eastAsia="仿宋"/>
          <w:b/>
          <w:bCs/>
          <w:color w:val="000000" w:themeColor="text1"/>
          <w:kern w:val="0"/>
          <w:sz w:val="24"/>
          <w14:textFill>
            <w14:solidFill>
              <w14:schemeClr w14:val="tx1"/>
            </w14:solidFill>
          </w14:textFill>
        </w:rPr>
        <w:t>六</w:t>
      </w:r>
      <w:r>
        <w:rPr>
          <w:rFonts w:ascii="仿宋" w:hAnsi="仿宋" w:eastAsia="仿宋"/>
          <w:b/>
          <w:bCs/>
          <w:color w:val="000000" w:themeColor="text1"/>
          <w:kern w:val="0"/>
          <w:sz w:val="24"/>
          <w14:textFill>
            <w14:solidFill>
              <w14:schemeClr w14:val="tx1"/>
            </w14:solidFill>
          </w14:textFill>
        </w:rPr>
        <w:t>、</w:t>
      </w:r>
      <w:r>
        <w:rPr>
          <w:rFonts w:hint="eastAsia" w:ascii="仿宋" w:hAnsi="仿宋" w:eastAsia="仿宋" w:cs="宋体"/>
          <w:b/>
          <w:bCs/>
          <w:color w:val="000000" w:themeColor="text1"/>
          <w:kern w:val="0"/>
          <w:sz w:val="24"/>
          <w14:textFill>
            <w14:solidFill>
              <w14:schemeClr w14:val="tx1"/>
            </w14:solidFill>
          </w14:textFill>
        </w:rPr>
        <w:t>项目合同生效及其它</w:t>
      </w:r>
    </w:p>
    <w:p w14:paraId="794CF07F">
      <w:pPr>
        <w:widowControl/>
        <w:tabs>
          <w:tab w:val="left" w:pos="720"/>
        </w:tabs>
        <w:snapToGrid w:val="0"/>
        <w:spacing w:line="400" w:lineRule="exact"/>
        <w:ind w:left="720" w:firstLine="482" w:firstLineChars="200"/>
        <w:jc w:val="left"/>
        <w:rPr>
          <w:rFonts w:ascii="仿宋" w:hAnsi="仿宋" w:eastAsia="仿宋" w:cs="宋体"/>
          <w:b/>
          <w:bCs/>
          <w:color w:val="000000" w:themeColor="text1"/>
          <w:kern w:val="0"/>
          <w:sz w:val="24"/>
          <w14:textFill>
            <w14:solidFill>
              <w14:schemeClr w14:val="tx1"/>
            </w14:solidFill>
          </w14:textFill>
        </w:rPr>
      </w:pPr>
      <w:r>
        <w:rPr>
          <w:rFonts w:ascii="仿宋" w:hAnsi="仿宋" w:eastAsia="仿宋"/>
          <w:b/>
          <w:bCs/>
          <w:color w:val="000000" w:themeColor="text1"/>
          <w:kern w:val="0"/>
          <w:sz w:val="24"/>
          <w14:textFill>
            <w14:solidFill>
              <w14:schemeClr w14:val="tx1"/>
            </w14:solidFill>
          </w14:textFill>
        </w:rPr>
        <w:t>十</w:t>
      </w:r>
      <w:r>
        <w:rPr>
          <w:rFonts w:hint="eastAsia" w:ascii="仿宋" w:hAnsi="仿宋" w:eastAsia="仿宋"/>
          <w:b/>
          <w:bCs/>
          <w:color w:val="000000" w:themeColor="text1"/>
          <w:kern w:val="0"/>
          <w:sz w:val="24"/>
          <w14:textFill>
            <w14:solidFill>
              <w14:schemeClr w14:val="tx1"/>
            </w14:solidFill>
          </w14:textFill>
        </w:rPr>
        <w:t>七</w:t>
      </w:r>
      <w:r>
        <w:rPr>
          <w:rFonts w:ascii="仿宋" w:hAnsi="仿宋" w:eastAsia="仿宋"/>
          <w:b/>
          <w:bCs/>
          <w:color w:val="000000" w:themeColor="text1"/>
          <w:kern w:val="0"/>
          <w:sz w:val="24"/>
          <w14:textFill>
            <w14:solidFill>
              <w14:schemeClr w14:val="tx1"/>
            </w14:solidFill>
          </w14:textFill>
        </w:rPr>
        <w:t>、</w:t>
      </w:r>
      <w:r>
        <w:rPr>
          <w:rFonts w:hint="eastAsia" w:ascii="仿宋" w:hAnsi="仿宋" w:eastAsia="仿宋" w:cs="宋体"/>
          <w:b/>
          <w:bCs/>
          <w:color w:val="000000" w:themeColor="text1"/>
          <w:kern w:val="0"/>
          <w:sz w:val="24"/>
          <w14:textFill>
            <w14:solidFill>
              <w14:schemeClr w14:val="tx1"/>
            </w14:solidFill>
          </w14:textFill>
        </w:rPr>
        <w:t>项目合同签字及签章</w:t>
      </w:r>
    </w:p>
    <w:p w14:paraId="17B32CCE">
      <w:pPr>
        <w:widowControl/>
        <w:snapToGrid w:val="0"/>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4FCA8745">
      <w:pPr>
        <w:widowControl/>
        <w:snapToGrid w:val="0"/>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27B430E5">
      <w:pPr>
        <w:widowControl/>
        <w:snapToGrid w:val="0"/>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CC6B0BA">
      <w:pPr>
        <w:widowControl/>
        <w:tabs>
          <w:tab w:val="left" w:pos="495"/>
        </w:tabs>
        <w:snapToGrid w:val="0"/>
        <w:spacing w:line="400" w:lineRule="exact"/>
        <w:ind w:left="495" w:firstLine="480" w:firstLineChars="200"/>
        <w:jc w:val="left"/>
        <w:rPr>
          <w:rFonts w:ascii="仿宋" w:hAnsi="仿宋" w:eastAsia="仿宋" w:cs="黑体"/>
          <w:color w:val="000000" w:themeColor="text1"/>
          <w:kern w:val="0"/>
          <w:sz w:val="24"/>
          <w14:textFill>
            <w14:solidFill>
              <w14:schemeClr w14:val="tx1"/>
            </w14:solidFill>
          </w14:textFill>
        </w:rPr>
        <w:sectPr>
          <w:footerReference r:id="rId13" w:type="default"/>
          <w:pgSz w:w="12240" w:h="15840"/>
          <w:pgMar w:top="1440" w:right="1080" w:bottom="1440" w:left="1080" w:header="720" w:footer="720" w:gutter="0"/>
          <w:cols w:space="720" w:num="1"/>
        </w:sectPr>
      </w:pPr>
    </w:p>
    <w:p w14:paraId="562B495D">
      <w:pPr>
        <w:widowControl/>
        <w:tabs>
          <w:tab w:val="left" w:pos="495"/>
        </w:tabs>
        <w:adjustRightInd/>
        <w:snapToGrid w:val="0"/>
        <w:spacing w:line="400" w:lineRule="exact"/>
        <w:ind w:left="-2" w:leftChars="-1" w:firstLine="424" w:firstLineChars="177"/>
        <w:jc w:val="left"/>
        <w:rPr>
          <w:rFonts w:hint="eastAsia" w:ascii="仿宋" w:hAnsi="仿宋" w:eastAsia="仿宋" w:cs="宋体"/>
          <w:kern w:val="0"/>
          <w:sz w:val="24"/>
        </w:rPr>
      </w:pPr>
      <w:r>
        <w:rPr>
          <w:rFonts w:hint="eastAsia" w:ascii="仿宋" w:hAnsi="仿宋" w:eastAsia="仿宋" w:cs="黑体"/>
          <w:kern w:val="0"/>
          <w:sz w:val="24"/>
        </w:rPr>
        <w:t>一、</w:t>
      </w:r>
      <w:r>
        <w:rPr>
          <w:rFonts w:hint="eastAsia" w:ascii="仿宋" w:hAnsi="仿宋" w:eastAsia="仿宋" w:cs="宋体"/>
          <w:kern w:val="0"/>
          <w:sz w:val="24"/>
        </w:rPr>
        <w:t>总则</w:t>
      </w:r>
    </w:p>
    <w:p w14:paraId="55AA6088">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 xml:space="preserve">（一） </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年</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月</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日在温州市公安局的</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（招标采购或自行采购）中，甲方接受乙方对本次</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项目的投标，甲、乙双方根据《中华人民共和国民法典》、《中华人民共和国政府采购法》等法律法规和本合同的招标文件、投标文件及其投标中的承诺，经双方协商，同意按下述条款和条件签订本合同，共同遵守；</w:t>
      </w:r>
    </w:p>
    <w:p w14:paraId="044622E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（二）项目建设目标：（根据招标文件、投标文件内容填写）；</w:t>
      </w:r>
    </w:p>
    <w:p w14:paraId="11B5445F">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（三）项目建设内容：（根据招标文件、投标文件内容填写）。</w:t>
      </w:r>
    </w:p>
    <w:p w14:paraId="720CA52F">
      <w:pPr>
        <w:widowControl/>
        <w:tabs>
          <w:tab w:val="left" w:pos="495"/>
        </w:tabs>
        <w:adjustRightInd/>
        <w:snapToGrid w:val="0"/>
        <w:spacing w:line="400" w:lineRule="exact"/>
        <w:ind w:left="-2" w:leftChars="-1" w:firstLine="424" w:firstLineChars="177"/>
        <w:jc w:val="left"/>
        <w:rPr>
          <w:rFonts w:hint="eastAsia" w:ascii="仿宋" w:hAnsi="仿宋" w:eastAsia="仿宋" w:cs="宋体"/>
          <w:kern w:val="0"/>
          <w:sz w:val="24"/>
        </w:rPr>
      </w:pPr>
    </w:p>
    <w:p w14:paraId="6A29F083">
      <w:pPr>
        <w:widowControl/>
        <w:tabs>
          <w:tab w:val="left" w:pos="495"/>
        </w:tabs>
        <w:adjustRightInd/>
        <w:snapToGrid w:val="0"/>
        <w:spacing w:line="400" w:lineRule="exact"/>
        <w:ind w:left="-2" w:leftChars="-1" w:firstLine="424" w:firstLineChars="177"/>
        <w:jc w:val="left"/>
        <w:rPr>
          <w:rFonts w:hint="eastAsia" w:ascii="仿宋" w:hAnsi="仿宋" w:eastAsia="仿宋" w:cs="宋体"/>
          <w:kern w:val="0"/>
          <w:sz w:val="24"/>
        </w:rPr>
      </w:pPr>
      <w:r>
        <w:rPr>
          <w:rFonts w:hint="eastAsia" w:ascii="仿宋" w:hAnsi="仿宋" w:eastAsia="仿宋" w:cs="宋体"/>
          <w:kern w:val="0"/>
          <w:sz w:val="24"/>
        </w:rPr>
        <w:t>二、甲方责任</w:t>
      </w:r>
    </w:p>
    <w:p w14:paraId="65FCB5EB">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（一）甲方提出项目建设任务和需求，负责项目的总体组织工作，并保留根据实际工作需求，提出对项目建设方案进行适当修改的权利；</w:t>
      </w:r>
    </w:p>
    <w:p w14:paraId="2ADBDA87">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（二）甲方应为调研、安装、测试、调试等乙方工作提供必要的工作环境及协助人员；</w:t>
      </w:r>
    </w:p>
    <w:p w14:paraId="4F5B44EF">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（三）甲方负责组织由乙方提供的技术培训工作；</w:t>
      </w:r>
    </w:p>
    <w:p w14:paraId="7B70612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（四）甲方负责协调使用方和乙方的关系，并提供使用方的联系方式；</w:t>
      </w:r>
    </w:p>
    <w:p w14:paraId="214B4D2A">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（五）甲方对乙方向甲方提供的内部资料予以保密，且不向任何第三方泄露乙方的商业机密和技术机密。</w:t>
      </w:r>
    </w:p>
    <w:p w14:paraId="60DC08D1">
      <w:pPr>
        <w:widowControl/>
        <w:adjustRightInd/>
        <w:snapToGrid w:val="0"/>
        <w:spacing w:before="156" w:line="400" w:lineRule="exact"/>
        <w:ind w:firstLine="422" w:firstLineChars="176"/>
        <w:jc w:val="left"/>
        <w:rPr>
          <w:rFonts w:hint="eastAsia" w:ascii="仿宋" w:hAnsi="仿宋" w:eastAsia="仿宋" w:cs="宋体"/>
          <w:kern w:val="0"/>
          <w:sz w:val="24"/>
        </w:rPr>
      </w:pPr>
      <w:r>
        <w:rPr>
          <w:rFonts w:hint="eastAsia" w:ascii="仿宋" w:hAnsi="仿宋" w:eastAsia="仿宋" w:cs="黑体"/>
          <w:kern w:val="0"/>
          <w:sz w:val="24"/>
        </w:rPr>
        <w:t>三、</w:t>
      </w:r>
      <w:r>
        <w:rPr>
          <w:rFonts w:hint="eastAsia" w:ascii="仿宋" w:hAnsi="仿宋" w:eastAsia="仿宋" w:cs="宋体"/>
          <w:kern w:val="0"/>
          <w:sz w:val="24"/>
        </w:rPr>
        <w:t>乙方责任</w:t>
      </w:r>
    </w:p>
    <w:p w14:paraId="744B1B7B">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（一）乙方应根据项目招标文件的要求细化项目建设需求，并根据投标文件进行项目建设，负责项目的具体实施工作；</w:t>
      </w:r>
    </w:p>
    <w:p w14:paraId="006A2A8F">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（二）乙方根据招标文件的基本技术要求与甲方共同确定项目所需的系统软件、硬件的数量及规格要求进行项目建设；</w:t>
      </w:r>
    </w:p>
    <w:p w14:paraId="03EF6095">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（三）乙方保证按合同规定时间完工，并在工程结束时提交完整的相应技术文档及用户手册，并积极配合甲方对工程项目进行验收；</w:t>
      </w:r>
    </w:p>
    <w:p w14:paraId="1158E330">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（四）乙方向甲方提供</w:t>
      </w:r>
      <w:r>
        <w:rPr>
          <w:rFonts w:hint="eastAsia" w:ascii="仿宋" w:hAnsi="仿宋" w:eastAsia="仿宋" w:cs="仿宋_GB2312"/>
          <w:kern w:val="0"/>
          <w:sz w:val="24"/>
          <w:u w:val="single"/>
        </w:rPr>
        <w:t xml:space="preserve"> </w:t>
      </w:r>
      <w:r>
        <w:rPr>
          <w:rFonts w:ascii="仿宋" w:hAnsi="仿宋" w:eastAsia="仿宋" w:cs="仿宋_GB2312"/>
          <w:kern w:val="0"/>
          <w:sz w:val="24"/>
          <w:u w:val="single"/>
        </w:rPr>
        <w:t xml:space="preserve">   </w:t>
      </w:r>
      <w:r>
        <w:rPr>
          <w:rFonts w:hint="eastAsia" w:ascii="仿宋" w:hAnsi="仿宋" w:eastAsia="仿宋" w:cs="仿宋_GB2312"/>
          <w:kern w:val="0"/>
          <w:sz w:val="24"/>
        </w:rPr>
        <w:t>年（不少于3年）的</w:t>
      </w:r>
      <w:r>
        <w:rPr>
          <w:rFonts w:hint="eastAsia" w:ascii="仿宋" w:hAnsi="仿宋" w:eastAsia="仿宋" w:cs="仿宋_GB2312"/>
          <w:kern w:val="0"/>
          <w:sz w:val="24"/>
          <w:u w:val="single"/>
        </w:rPr>
        <w:t xml:space="preserve"> </w:t>
      </w:r>
      <w:r>
        <w:rPr>
          <w:rFonts w:ascii="仿宋" w:hAnsi="仿宋" w:eastAsia="仿宋" w:cs="仿宋_GB2312"/>
          <w:kern w:val="0"/>
          <w:sz w:val="24"/>
          <w:u w:val="single"/>
        </w:rPr>
        <w:t xml:space="preserve">   </w:t>
      </w:r>
      <w:r>
        <w:rPr>
          <w:rFonts w:hint="eastAsia" w:ascii="仿宋" w:hAnsi="仿宋" w:eastAsia="仿宋" w:cs="仿宋_GB2312"/>
          <w:kern w:val="0"/>
          <w:sz w:val="24"/>
        </w:rPr>
        <w:t>（原厂商或者非原厂商）免费维护和保修服务（详见附件《技术支持和售后服务方案》）（包括软件、硬件及系统），免费维护和保修服务从项目验收合格之日的次日起起计算；</w:t>
      </w:r>
    </w:p>
    <w:p w14:paraId="1A106A1C">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（五）乙方为甲方提供本项目中的所有设备系统使用、管理及维护等方面的</w:t>
      </w:r>
      <w:r>
        <w:rPr>
          <w:rFonts w:hint="eastAsia" w:ascii="仿宋" w:hAnsi="仿宋" w:eastAsia="仿宋" w:cs="仿宋_GB2312"/>
          <w:kern w:val="0"/>
          <w:sz w:val="24"/>
          <w:u w:val="single"/>
        </w:rPr>
        <w:t>免费</w:t>
      </w:r>
      <w:r>
        <w:rPr>
          <w:rFonts w:hint="eastAsia" w:ascii="仿宋" w:hAnsi="仿宋" w:eastAsia="仿宋" w:cs="仿宋_GB2312"/>
          <w:kern w:val="0"/>
          <w:sz w:val="24"/>
        </w:rPr>
        <w:t>培训（详见附件《技术支持和售后服务方案》及乙方投标文件））；</w:t>
      </w:r>
    </w:p>
    <w:p w14:paraId="02C37B30">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六）乙方自行负责为其工作人员配备符合工作、劳动条件的设备、装置、器具、保障其饮食起居等问题，在任何情况下乙方对其工作人员的人身安全、施工安全等负全部责任，甲方对此概不负责。如因情况紧急等原因甲方先行承担的，有权向乙方追偿；</w:t>
      </w:r>
    </w:p>
    <w:p w14:paraId="2059A34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七）乙方应满足上述产品质量标准，并保证该软件硬件的运行不影响甲方内部网络信息安全性和保密性，因乙方没有履行上述义务造成甲方被第三方追责或损失的，乙方应承担全部责任，甲方先行赔偿的，有权按赔偿金额及损失向乙方追偿；</w:t>
      </w:r>
    </w:p>
    <w:p w14:paraId="29D8D73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（八）本合同第十三条约定的项目保密责任；</w:t>
      </w:r>
    </w:p>
    <w:p w14:paraId="7EC4B9B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（九）本项目中定制开发的软件知识产权及使用权归属甲方所有；项目实施及运维过程中产生的数据资产产权归属甲方所有。</w:t>
      </w:r>
    </w:p>
    <w:p w14:paraId="5C14D504">
      <w:pPr>
        <w:widowControl/>
        <w:adjustRightInd/>
        <w:snapToGrid w:val="0"/>
        <w:spacing w:line="400" w:lineRule="exact"/>
        <w:jc w:val="left"/>
        <w:rPr>
          <w:rFonts w:hint="eastAsia" w:ascii="仿宋" w:hAnsi="仿宋" w:eastAsia="仿宋" w:cs="仿宋_GB2312"/>
          <w:kern w:val="0"/>
          <w:sz w:val="24"/>
        </w:rPr>
      </w:pPr>
    </w:p>
    <w:p w14:paraId="263CD98A">
      <w:pPr>
        <w:widowControl/>
        <w:tabs>
          <w:tab w:val="left" w:pos="495"/>
        </w:tabs>
        <w:adjustRightInd/>
        <w:snapToGrid w:val="0"/>
        <w:spacing w:line="400" w:lineRule="exact"/>
        <w:ind w:firstLine="422" w:firstLineChars="176"/>
        <w:jc w:val="left"/>
        <w:rPr>
          <w:rFonts w:hint="eastAsia" w:ascii="仿宋" w:hAnsi="仿宋" w:eastAsia="仿宋" w:cs="宋体"/>
          <w:kern w:val="0"/>
          <w:sz w:val="24"/>
        </w:rPr>
      </w:pPr>
      <w:r>
        <w:rPr>
          <w:rFonts w:hint="eastAsia" w:ascii="仿宋" w:hAnsi="仿宋" w:eastAsia="仿宋" w:cs="宋体"/>
          <w:kern w:val="0"/>
          <w:sz w:val="24"/>
        </w:rPr>
        <w:t>四、项目工期与进度表（请填写招标文件要求的合同工期与进度计划）</w:t>
      </w:r>
    </w:p>
    <w:p w14:paraId="077249DE">
      <w:pPr>
        <w:widowControl/>
        <w:tabs>
          <w:tab w:val="left" w:pos="495"/>
        </w:tabs>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本项目总工期为</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天（包括不少于3个月试运行），工期以合同签订日起计算，项目验收合格日截止。参考项目进度表如下：</w:t>
      </w:r>
    </w:p>
    <w:p w14:paraId="46888F1B">
      <w:pPr>
        <w:widowControl/>
        <w:tabs>
          <w:tab w:val="left" w:pos="495"/>
        </w:tabs>
        <w:adjustRightInd/>
        <w:snapToGrid w:val="0"/>
        <w:spacing w:line="400" w:lineRule="exact"/>
        <w:ind w:firstLine="480" w:firstLineChars="200"/>
        <w:jc w:val="left"/>
        <w:rPr>
          <w:rFonts w:hint="eastAsia" w:ascii="仿宋" w:hAnsi="仿宋" w:eastAsia="仿宋" w:cs="仿宋_GB2312"/>
          <w:kern w:val="0"/>
          <w:sz w:val="24"/>
        </w:rPr>
      </w:pPr>
    </w:p>
    <w:p w14:paraId="7FE6E741">
      <w:pPr>
        <w:widowControl/>
        <w:adjustRightInd/>
        <w:snapToGrid w:val="0"/>
        <w:spacing w:line="400" w:lineRule="exact"/>
        <w:ind w:firstLine="422" w:firstLineChars="176"/>
        <w:jc w:val="left"/>
        <w:rPr>
          <w:rFonts w:hint="eastAsia" w:ascii="仿宋" w:hAnsi="仿宋" w:eastAsia="仿宋" w:cs="宋体"/>
          <w:kern w:val="0"/>
          <w:sz w:val="24"/>
        </w:rPr>
      </w:pPr>
      <w:r>
        <w:rPr>
          <w:rFonts w:hint="eastAsia" w:ascii="仿宋" w:hAnsi="仿宋" w:eastAsia="仿宋" w:cs="宋体"/>
          <w:kern w:val="0"/>
          <w:sz w:val="24"/>
        </w:rPr>
        <w:t>五、项目上线、试运行和验收</w:t>
      </w:r>
    </w:p>
    <w:p w14:paraId="5842B0C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乙方应在项目设备安装调试后、系统上线前，进行完整设备及系统测试后，向甲方提供详细的设备及系统上线方案，由甲方确认。在甲方确认无误后，乙方应负责按设备及系统上线方案进行系统的安装调试工作。在安装、调试过程中，乙方应对甲方技术人员所提出的问题给予满意的答复，并提供安装调试过程中的各种文档资料，以便于甲方能掌握操作方法和维修方法。项目上线后，乙方应向甲方提供安装、调试报告，报告中应包括安装调试结果和安装调试过程中出现的问题及解决办法等内容；</w:t>
      </w:r>
    </w:p>
    <w:p w14:paraId="1183DDF8">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项目上线、设备及系统的安装调试工作完成后，乙方应向甲方申请项目初验（参照《温州市市本级党政机关信息化项目建设指南（试行）》）。项目通过初验后应进行至少为期3个月的试运行，乙方应派遣技术人员（应明确人数及资质要求）免费在现场进行技术服务，负责设备及系统试运行阶段的服务工作；</w:t>
      </w:r>
    </w:p>
    <w:p w14:paraId="0AE71E4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在试运行期间，由于各种原因造成某些技术指标达不到要求，乙方应负责解决，如属于设备质量问题，达不到合同技术指标的，乙方应包换、包退。因包括但不限于调换、退货产生的一切费用由乙方承担，如因此而造成进度延期的，按延期违约责任向甲方支付违约金，给甲方造成损失的，乙方也应全额赔偿，且试运行期相应顺延；</w:t>
      </w:r>
    </w:p>
    <w:p w14:paraId="5F806F11">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（四）项目试运行结束后，对照附件的项目验收主要指标和标准组织验收；</w:t>
      </w:r>
    </w:p>
    <w:p w14:paraId="5D31B5A4">
      <w:pPr>
        <w:widowControl/>
        <w:adjustRightInd/>
        <w:snapToGrid w:val="0"/>
        <w:spacing w:line="46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（五）乙方应在项目验收时将该项目定制开发系统的全部源代码无偿交付甲方。</w:t>
      </w:r>
    </w:p>
    <w:p w14:paraId="571245F2">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（六）乙方应在工程结束    日内时向甲方提交一式    份完整的相应技术文档及用户手册。</w:t>
      </w:r>
    </w:p>
    <w:p w14:paraId="731227EF">
      <w:pPr>
        <w:widowControl/>
        <w:adjustRightInd/>
        <w:snapToGrid w:val="0"/>
        <w:spacing w:line="400" w:lineRule="exact"/>
        <w:ind w:firstLine="422" w:firstLineChars="176"/>
        <w:jc w:val="left"/>
        <w:rPr>
          <w:rFonts w:hint="eastAsia" w:ascii="仿宋" w:hAnsi="仿宋" w:eastAsia="仿宋" w:cs="仿宋_GB2312"/>
          <w:kern w:val="0"/>
          <w:sz w:val="24"/>
        </w:rPr>
      </w:pPr>
      <w:r>
        <w:rPr>
          <w:rFonts w:hint="eastAsia" w:ascii="仿宋" w:hAnsi="仿宋" w:eastAsia="仿宋" w:cs="仿宋_GB2312"/>
          <w:kern w:val="0"/>
          <w:sz w:val="24"/>
        </w:rPr>
        <w:t>（七）</w:t>
      </w:r>
      <w:bookmarkStart w:id="517" w:name="_Hlk106701834"/>
      <w:r>
        <w:rPr>
          <w:rFonts w:hint="eastAsia" w:ascii="仿宋" w:hAnsi="仿宋" w:eastAsia="仿宋" w:cs="仿宋_GB2312"/>
          <w:kern w:val="0"/>
          <w:sz w:val="24"/>
        </w:rPr>
        <w:t>履约验收费用（包含第三方检测及评审费用）由乙方承担</w:t>
      </w:r>
      <w:bookmarkEnd w:id="517"/>
      <w:r>
        <w:rPr>
          <w:rFonts w:hint="eastAsia" w:ascii="仿宋" w:hAnsi="仿宋" w:eastAsia="仿宋" w:cs="仿宋_GB2312"/>
          <w:kern w:val="0"/>
          <w:sz w:val="24"/>
        </w:rPr>
        <w:t>，因乙方原因造成验收不通过的，再次验收的费用仍由乙方承担。</w:t>
      </w:r>
    </w:p>
    <w:p w14:paraId="1A92DF8E">
      <w:pPr>
        <w:widowControl/>
        <w:adjustRightInd/>
        <w:snapToGrid w:val="0"/>
        <w:spacing w:line="400" w:lineRule="exact"/>
        <w:ind w:firstLine="422" w:firstLineChars="176"/>
        <w:jc w:val="left"/>
      </w:pPr>
      <w:r>
        <w:rPr>
          <w:rFonts w:hint="eastAsia" w:ascii="仿宋" w:hAnsi="仿宋" w:eastAsia="仿宋" w:cs="仿宋"/>
          <w:sz w:val="24"/>
        </w:rPr>
        <w:t>（八）温州市公安局采购项目在履约验收完毕后需由局相关部门进行“决（结）算前审计”，通过“决（结）算前审计”后，采购项目视为最终通过履约验收；“决（结）算前审计”不通过的，需根据审计意见整改并经审计确认后，再次开展履约验收直至合格，产生的履约验收费用均由</w:t>
      </w:r>
      <w:r>
        <w:rPr>
          <w:rFonts w:hint="eastAsia" w:ascii="仿宋" w:hAnsi="仿宋" w:eastAsia="仿宋" w:cs="仿宋_GB2312"/>
          <w:kern w:val="0"/>
          <w:sz w:val="24"/>
        </w:rPr>
        <w:t>乙方</w:t>
      </w:r>
      <w:r>
        <w:rPr>
          <w:rFonts w:hint="eastAsia" w:ascii="仿宋" w:hAnsi="仿宋" w:eastAsia="仿宋" w:cs="仿宋"/>
          <w:sz w:val="24"/>
        </w:rPr>
        <w:t>承担。</w:t>
      </w:r>
    </w:p>
    <w:p w14:paraId="0F971B70">
      <w:pPr>
        <w:widowControl/>
        <w:adjustRightInd/>
        <w:snapToGrid w:val="0"/>
        <w:spacing w:line="400" w:lineRule="exact"/>
        <w:ind w:firstLine="422" w:firstLineChars="176"/>
        <w:jc w:val="left"/>
        <w:rPr>
          <w:rFonts w:hint="eastAsia" w:ascii="仿宋" w:hAnsi="仿宋" w:eastAsia="仿宋" w:cs="仿宋_GB2312"/>
          <w:kern w:val="0"/>
          <w:sz w:val="24"/>
        </w:rPr>
      </w:pPr>
      <w:r>
        <w:rPr>
          <w:rFonts w:hint="eastAsia" w:ascii="仿宋" w:hAnsi="仿宋" w:eastAsia="仿宋" w:cs="仿宋_GB2312"/>
          <w:kern w:val="0"/>
          <w:sz w:val="24"/>
        </w:rPr>
        <w:t>六、维保期与售后服务</w:t>
      </w:r>
    </w:p>
    <w:p w14:paraId="33044ACA">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（一）本项目的免费维保期为  年，从项目验收合格之日的次日起计算；</w:t>
      </w:r>
    </w:p>
    <w:p w14:paraId="46B5FC9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（二）乙方应按附件《技术支持和售后服务方案》的内容为甲方提供免费技术培训和售后服务。</w:t>
      </w:r>
    </w:p>
    <w:p w14:paraId="4EA78166">
      <w:pPr>
        <w:widowControl/>
        <w:adjustRightInd/>
        <w:snapToGrid w:val="0"/>
        <w:spacing w:line="400" w:lineRule="exact"/>
        <w:ind w:firstLine="422" w:firstLineChars="176"/>
        <w:jc w:val="left"/>
        <w:rPr>
          <w:rFonts w:hint="eastAsia" w:ascii="仿宋" w:hAnsi="仿宋" w:eastAsia="仿宋" w:cs="宋体"/>
          <w:kern w:val="0"/>
          <w:sz w:val="24"/>
        </w:rPr>
      </w:pPr>
    </w:p>
    <w:p w14:paraId="0B1BF269">
      <w:pPr>
        <w:widowControl/>
        <w:adjustRightInd/>
        <w:snapToGrid w:val="0"/>
        <w:spacing w:line="400" w:lineRule="exact"/>
        <w:ind w:firstLine="422" w:firstLineChars="176"/>
        <w:jc w:val="left"/>
        <w:rPr>
          <w:rFonts w:hint="eastAsia" w:ascii="仿宋" w:hAnsi="仿宋" w:eastAsia="仿宋" w:cs="宋体"/>
          <w:kern w:val="0"/>
          <w:sz w:val="24"/>
        </w:rPr>
      </w:pPr>
      <w:r>
        <w:rPr>
          <w:rFonts w:hint="eastAsia" w:ascii="仿宋" w:hAnsi="仿宋" w:eastAsia="仿宋" w:cs="宋体"/>
          <w:kern w:val="0"/>
          <w:sz w:val="24"/>
        </w:rPr>
        <w:t>七、项目合同金额</w:t>
      </w:r>
    </w:p>
    <w:p w14:paraId="4A2F5D24">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（一）本合同中提及金额均为含税价；</w:t>
      </w:r>
    </w:p>
    <w:p w14:paraId="1615145C">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（二）合同总金额为：人民币：</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元（大写：</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元整）；</w:t>
      </w:r>
    </w:p>
    <w:p w14:paraId="41BABE93">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（三）合同详细价格清单。</w:t>
      </w:r>
    </w:p>
    <w:tbl>
      <w:tblPr>
        <w:tblStyle w:val="20"/>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5"/>
        <w:gridCol w:w="3780"/>
        <w:gridCol w:w="360"/>
        <w:gridCol w:w="1080"/>
        <w:gridCol w:w="900"/>
        <w:gridCol w:w="1260"/>
      </w:tblGrid>
      <w:tr w14:paraId="11E30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top w:val="double" w:color="auto" w:sz="4" w:space="0"/>
              <w:left w:val="double" w:color="auto" w:sz="4" w:space="0"/>
            </w:tcBorders>
            <w:vAlign w:val="center"/>
          </w:tcPr>
          <w:p w14:paraId="342DED3D">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设备名称</w:t>
            </w:r>
          </w:p>
        </w:tc>
        <w:tc>
          <w:tcPr>
            <w:tcW w:w="3780" w:type="dxa"/>
            <w:tcBorders>
              <w:top w:val="double" w:color="auto" w:sz="4" w:space="0"/>
            </w:tcBorders>
            <w:vAlign w:val="center"/>
          </w:tcPr>
          <w:p w14:paraId="60F2FCD9">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型号规格等说明</w:t>
            </w:r>
          </w:p>
        </w:tc>
        <w:tc>
          <w:tcPr>
            <w:tcW w:w="360" w:type="dxa"/>
            <w:tcBorders>
              <w:top w:val="double" w:color="auto" w:sz="4" w:space="0"/>
            </w:tcBorders>
            <w:vAlign w:val="center"/>
          </w:tcPr>
          <w:p w14:paraId="64DAF9CE">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数量</w:t>
            </w:r>
          </w:p>
        </w:tc>
        <w:tc>
          <w:tcPr>
            <w:tcW w:w="1080" w:type="dxa"/>
            <w:tcBorders>
              <w:top w:val="double" w:color="auto" w:sz="4" w:space="0"/>
            </w:tcBorders>
            <w:vAlign w:val="center"/>
          </w:tcPr>
          <w:p w14:paraId="3FAE4008">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单价</w:t>
            </w:r>
          </w:p>
        </w:tc>
        <w:tc>
          <w:tcPr>
            <w:tcW w:w="900" w:type="dxa"/>
            <w:tcBorders>
              <w:top w:val="double" w:color="auto" w:sz="4" w:space="0"/>
            </w:tcBorders>
            <w:vAlign w:val="center"/>
          </w:tcPr>
          <w:p w14:paraId="1ADB57D6">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总价</w:t>
            </w:r>
          </w:p>
        </w:tc>
        <w:tc>
          <w:tcPr>
            <w:tcW w:w="1260" w:type="dxa"/>
            <w:tcBorders>
              <w:top w:val="double" w:color="auto" w:sz="4" w:space="0"/>
              <w:right w:val="double" w:color="auto" w:sz="4" w:space="0"/>
            </w:tcBorders>
            <w:vAlign w:val="center"/>
          </w:tcPr>
          <w:p w14:paraId="6BC579EA">
            <w:pPr>
              <w:widowControl/>
              <w:adjustRightInd/>
              <w:spacing w:line="400" w:lineRule="exact"/>
              <w:ind w:firstLine="480" w:firstLineChars="200"/>
              <w:jc w:val="center"/>
              <w:rPr>
                <w:rFonts w:hint="eastAsia" w:ascii="仿宋" w:hAnsi="仿宋" w:eastAsia="仿宋" w:cs="仿宋_GB2312"/>
                <w:caps/>
                <w:kern w:val="0"/>
                <w:sz w:val="24"/>
              </w:rPr>
            </w:pPr>
            <w:r>
              <w:rPr>
                <w:rFonts w:hint="eastAsia" w:ascii="仿宋" w:hAnsi="仿宋" w:eastAsia="仿宋" w:cs="仿宋_GB2312"/>
                <w:caps/>
                <w:kern w:val="0"/>
                <w:sz w:val="24"/>
              </w:rPr>
              <w:t>保修期限</w:t>
            </w:r>
          </w:p>
        </w:tc>
      </w:tr>
      <w:tr w14:paraId="1CAC7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vAlign w:val="center"/>
          </w:tcPr>
          <w:p w14:paraId="4DF6516A">
            <w:pPr>
              <w:adjustRightInd/>
              <w:spacing w:line="400" w:lineRule="exact"/>
              <w:ind w:firstLine="480" w:firstLineChars="200"/>
              <w:rPr>
                <w:rFonts w:hint="eastAsia" w:ascii="仿宋" w:hAnsi="仿宋" w:eastAsia="仿宋" w:cs="仿宋_GB2312"/>
                <w:sz w:val="24"/>
              </w:rPr>
            </w:pPr>
          </w:p>
        </w:tc>
        <w:tc>
          <w:tcPr>
            <w:tcW w:w="3780" w:type="dxa"/>
            <w:vAlign w:val="center"/>
          </w:tcPr>
          <w:p w14:paraId="7D9E321C">
            <w:pPr>
              <w:adjustRightInd/>
              <w:spacing w:line="400" w:lineRule="exact"/>
              <w:ind w:firstLine="480" w:firstLineChars="200"/>
              <w:rPr>
                <w:rFonts w:hint="eastAsia" w:ascii="仿宋" w:hAnsi="仿宋" w:eastAsia="仿宋" w:cs="仿宋_GB2312"/>
                <w:sz w:val="24"/>
              </w:rPr>
            </w:pPr>
          </w:p>
        </w:tc>
        <w:tc>
          <w:tcPr>
            <w:tcW w:w="360" w:type="dxa"/>
            <w:vAlign w:val="center"/>
          </w:tcPr>
          <w:p w14:paraId="38F55DE0">
            <w:pPr>
              <w:adjustRightInd/>
              <w:spacing w:line="400" w:lineRule="exact"/>
              <w:ind w:firstLine="480" w:firstLineChars="200"/>
              <w:jc w:val="center"/>
              <w:rPr>
                <w:rFonts w:hint="eastAsia" w:ascii="仿宋" w:hAnsi="仿宋" w:eastAsia="仿宋" w:cs="仿宋_GB2312"/>
                <w:sz w:val="24"/>
              </w:rPr>
            </w:pPr>
          </w:p>
        </w:tc>
        <w:tc>
          <w:tcPr>
            <w:tcW w:w="1080" w:type="dxa"/>
            <w:vAlign w:val="center"/>
          </w:tcPr>
          <w:p w14:paraId="381F1E09">
            <w:pPr>
              <w:adjustRightInd/>
              <w:spacing w:line="400" w:lineRule="exact"/>
              <w:ind w:firstLine="480" w:firstLineChars="200"/>
              <w:jc w:val="right"/>
              <w:rPr>
                <w:rFonts w:hint="eastAsia" w:ascii="仿宋" w:hAnsi="仿宋" w:eastAsia="仿宋" w:cs="仿宋_GB2312"/>
                <w:sz w:val="24"/>
              </w:rPr>
            </w:pPr>
          </w:p>
        </w:tc>
        <w:tc>
          <w:tcPr>
            <w:tcW w:w="900" w:type="dxa"/>
            <w:vAlign w:val="center"/>
          </w:tcPr>
          <w:p w14:paraId="1CD019EF">
            <w:pPr>
              <w:adjustRightInd/>
              <w:spacing w:line="400" w:lineRule="exact"/>
              <w:ind w:firstLine="480" w:firstLineChars="200"/>
              <w:jc w:val="right"/>
              <w:rPr>
                <w:rFonts w:hint="eastAsia" w:ascii="仿宋" w:hAnsi="仿宋" w:eastAsia="仿宋" w:cs="仿宋_GB2312"/>
                <w:sz w:val="24"/>
              </w:rPr>
            </w:pPr>
          </w:p>
        </w:tc>
        <w:tc>
          <w:tcPr>
            <w:tcW w:w="1260" w:type="dxa"/>
            <w:tcBorders>
              <w:right w:val="double" w:color="auto" w:sz="4" w:space="0"/>
            </w:tcBorders>
            <w:vAlign w:val="center"/>
          </w:tcPr>
          <w:p w14:paraId="767FB76B">
            <w:pPr>
              <w:pStyle w:val="10"/>
              <w:tabs>
                <w:tab w:val="left" w:pos="8540"/>
              </w:tabs>
              <w:adjustRightInd/>
              <w:spacing w:line="400" w:lineRule="exact"/>
              <w:ind w:firstLine="480" w:firstLineChars="200"/>
              <w:jc w:val="center"/>
              <w:rPr>
                <w:rFonts w:hint="eastAsia" w:ascii="仿宋" w:hAnsi="仿宋" w:eastAsia="仿宋" w:cs="仿宋_GB2312"/>
                <w:sz w:val="24"/>
                <w:szCs w:val="24"/>
              </w:rPr>
            </w:pPr>
          </w:p>
        </w:tc>
      </w:tr>
      <w:tr w14:paraId="01955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vAlign w:val="center"/>
          </w:tcPr>
          <w:p w14:paraId="20370B61">
            <w:pPr>
              <w:adjustRightInd/>
              <w:spacing w:line="400" w:lineRule="exact"/>
              <w:ind w:firstLine="480" w:firstLineChars="200"/>
              <w:rPr>
                <w:rFonts w:hint="eastAsia" w:ascii="仿宋" w:hAnsi="仿宋" w:eastAsia="仿宋" w:cs="仿宋_GB2312"/>
                <w:sz w:val="24"/>
              </w:rPr>
            </w:pPr>
          </w:p>
        </w:tc>
        <w:tc>
          <w:tcPr>
            <w:tcW w:w="3780" w:type="dxa"/>
            <w:vAlign w:val="center"/>
          </w:tcPr>
          <w:p w14:paraId="7ABC539D">
            <w:pPr>
              <w:adjustRightInd/>
              <w:spacing w:line="400" w:lineRule="exact"/>
              <w:ind w:firstLine="480" w:firstLineChars="200"/>
              <w:rPr>
                <w:rFonts w:hint="eastAsia" w:ascii="仿宋" w:hAnsi="仿宋" w:eastAsia="仿宋" w:cs="仿宋_GB2312"/>
                <w:sz w:val="24"/>
              </w:rPr>
            </w:pPr>
          </w:p>
        </w:tc>
        <w:tc>
          <w:tcPr>
            <w:tcW w:w="360" w:type="dxa"/>
            <w:vAlign w:val="center"/>
          </w:tcPr>
          <w:p w14:paraId="25E0A3E6">
            <w:pPr>
              <w:adjustRightInd/>
              <w:spacing w:line="400" w:lineRule="exact"/>
              <w:ind w:firstLine="480" w:firstLineChars="200"/>
              <w:jc w:val="center"/>
              <w:rPr>
                <w:rFonts w:hint="eastAsia" w:ascii="仿宋" w:hAnsi="仿宋" w:eastAsia="仿宋" w:cs="仿宋_GB2312"/>
                <w:sz w:val="24"/>
              </w:rPr>
            </w:pPr>
          </w:p>
        </w:tc>
        <w:tc>
          <w:tcPr>
            <w:tcW w:w="1080" w:type="dxa"/>
            <w:vAlign w:val="center"/>
          </w:tcPr>
          <w:p w14:paraId="35FC7DC1">
            <w:pPr>
              <w:adjustRightInd/>
              <w:spacing w:line="400" w:lineRule="exact"/>
              <w:ind w:firstLine="480" w:firstLineChars="200"/>
              <w:jc w:val="right"/>
              <w:rPr>
                <w:rFonts w:hint="eastAsia" w:ascii="仿宋" w:hAnsi="仿宋" w:eastAsia="仿宋" w:cs="仿宋_GB2312"/>
                <w:sz w:val="24"/>
              </w:rPr>
            </w:pPr>
          </w:p>
        </w:tc>
        <w:tc>
          <w:tcPr>
            <w:tcW w:w="900" w:type="dxa"/>
            <w:vAlign w:val="center"/>
          </w:tcPr>
          <w:p w14:paraId="32712EBB">
            <w:pPr>
              <w:adjustRightInd/>
              <w:spacing w:line="400" w:lineRule="exact"/>
              <w:ind w:firstLine="480" w:firstLineChars="200"/>
              <w:jc w:val="right"/>
              <w:rPr>
                <w:rFonts w:hint="eastAsia" w:ascii="仿宋" w:hAnsi="仿宋" w:eastAsia="仿宋" w:cs="仿宋_GB2312"/>
                <w:sz w:val="24"/>
              </w:rPr>
            </w:pPr>
          </w:p>
        </w:tc>
        <w:tc>
          <w:tcPr>
            <w:tcW w:w="1260" w:type="dxa"/>
            <w:tcBorders>
              <w:right w:val="double" w:color="auto" w:sz="4" w:space="0"/>
            </w:tcBorders>
            <w:vAlign w:val="center"/>
          </w:tcPr>
          <w:p w14:paraId="3B1A78B3">
            <w:pPr>
              <w:pStyle w:val="10"/>
              <w:tabs>
                <w:tab w:val="left" w:pos="8540"/>
              </w:tabs>
              <w:adjustRightInd/>
              <w:spacing w:line="400" w:lineRule="exact"/>
              <w:ind w:firstLine="480" w:firstLineChars="200"/>
              <w:jc w:val="center"/>
              <w:rPr>
                <w:rFonts w:hint="eastAsia" w:ascii="仿宋" w:hAnsi="仿宋" w:eastAsia="仿宋" w:cs="仿宋_GB2312"/>
                <w:sz w:val="24"/>
                <w:szCs w:val="24"/>
              </w:rPr>
            </w:pPr>
          </w:p>
        </w:tc>
      </w:tr>
      <w:tr w14:paraId="1D523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vAlign w:val="center"/>
          </w:tcPr>
          <w:p w14:paraId="5848D5C2">
            <w:pPr>
              <w:adjustRightInd/>
              <w:spacing w:line="400" w:lineRule="exact"/>
              <w:ind w:firstLine="480" w:firstLineChars="200"/>
              <w:rPr>
                <w:rFonts w:hint="eastAsia" w:ascii="仿宋" w:hAnsi="仿宋" w:eastAsia="仿宋" w:cs="仿宋_GB2312"/>
                <w:sz w:val="24"/>
              </w:rPr>
            </w:pPr>
          </w:p>
        </w:tc>
        <w:tc>
          <w:tcPr>
            <w:tcW w:w="3780" w:type="dxa"/>
            <w:vAlign w:val="center"/>
          </w:tcPr>
          <w:p w14:paraId="7D3D49CB">
            <w:pPr>
              <w:adjustRightInd/>
              <w:spacing w:line="400" w:lineRule="exact"/>
              <w:ind w:firstLine="480" w:firstLineChars="200"/>
              <w:rPr>
                <w:rFonts w:hint="eastAsia" w:ascii="仿宋" w:hAnsi="仿宋" w:eastAsia="仿宋" w:cs="仿宋_GB2312"/>
                <w:sz w:val="24"/>
              </w:rPr>
            </w:pPr>
          </w:p>
        </w:tc>
        <w:tc>
          <w:tcPr>
            <w:tcW w:w="360" w:type="dxa"/>
            <w:vAlign w:val="center"/>
          </w:tcPr>
          <w:p w14:paraId="3344DFA4">
            <w:pPr>
              <w:adjustRightInd/>
              <w:spacing w:line="400" w:lineRule="exact"/>
              <w:ind w:firstLine="480" w:firstLineChars="200"/>
              <w:jc w:val="center"/>
              <w:rPr>
                <w:rFonts w:hint="eastAsia" w:ascii="仿宋" w:hAnsi="仿宋" w:eastAsia="仿宋" w:cs="仿宋_GB2312"/>
                <w:sz w:val="24"/>
              </w:rPr>
            </w:pPr>
          </w:p>
        </w:tc>
        <w:tc>
          <w:tcPr>
            <w:tcW w:w="1080" w:type="dxa"/>
            <w:vAlign w:val="center"/>
          </w:tcPr>
          <w:p w14:paraId="744469D2">
            <w:pPr>
              <w:adjustRightInd/>
              <w:spacing w:line="400" w:lineRule="exact"/>
              <w:ind w:firstLine="480" w:firstLineChars="200"/>
              <w:jc w:val="right"/>
              <w:rPr>
                <w:rFonts w:hint="eastAsia" w:ascii="仿宋" w:hAnsi="仿宋" w:eastAsia="仿宋" w:cs="仿宋_GB2312"/>
                <w:sz w:val="24"/>
              </w:rPr>
            </w:pPr>
          </w:p>
        </w:tc>
        <w:tc>
          <w:tcPr>
            <w:tcW w:w="900" w:type="dxa"/>
            <w:vAlign w:val="center"/>
          </w:tcPr>
          <w:p w14:paraId="7F9C95EC">
            <w:pPr>
              <w:adjustRightInd/>
              <w:spacing w:line="400" w:lineRule="exact"/>
              <w:ind w:firstLine="480" w:firstLineChars="200"/>
              <w:jc w:val="right"/>
              <w:rPr>
                <w:rFonts w:hint="eastAsia" w:ascii="仿宋" w:hAnsi="仿宋" w:eastAsia="仿宋" w:cs="仿宋_GB2312"/>
                <w:sz w:val="24"/>
              </w:rPr>
            </w:pPr>
          </w:p>
        </w:tc>
        <w:tc>
          <w:tcPr>
            <w:tcW w:w="1260" w:type="dxa"/>
            <w:tcBorders>
              <w:right w:val="double" w:color="auto" w:sz="4" w:space="0"/>
            </w:tcBorders>
            <w:vAlign w:val="center"/>
          </w:tcPr>
          <w:p w14:paraId="353069A8">
            <w:pPr>
              <w:pStyle w:val="10"/>
              <w:tabs>
                <w:tab w:val="left" w:pos="8540"/>
              </w:tabs>
              <w:adjustRightInd/>
              <w:spacing w:line="400" w:lineRule="exact"/>
              <w:ind w:firstLine="480" w:firstLineChars="200"/>
              <w:jc w:val="center"/>
              <w:rPr>
                <w:rFonts w:hint="eastAsia" w:ascii="仿宋" w:hAnsi="仿宋" w:eastAsia="仿宋" w:cs="仿宋_GB2312"/>
                <w:sz w:val="24"/>
                <w:szCs w:val="24"/>
              </w:rPr>
            </w:pPr>
          </w:p>
        </w:tc>
      </w:tr>
      <w:tr w14:paraId="48B6A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vAlign w:val="center"/>
          </w:tcPr>
          <w:p w14:paraId="7594CE3B">
            <w:pPr>
              <w:adjustRightInd/>
              <w:spacing w:line="400" w:lineRule="exact"/>
              <w:ind w:firstLine="480" w:firstLineChars="200"/>
              <w:rPr>
                <w:rFonts w:hint="eastAsia" w:ascii="仿宋" w:hAnsi="仿宋" w:eastAsia="仿宋" w:cs="仿宋_GB2312"/>
                <w:sz w:val="24"/>
              </w:rPr>
            </w:pPr>
          </w:p>
        </w:tc>
        <w:tc>
          <w:tcPr>
            <w:tcW w:w="3780" w:type="dxa"/>
            <w:vAlign w:val="center"/>
          </w:tcPr>
          <w:p w14:paraId="68B8A697">
            <w:pPr>
              <w:adjustRightInd/>
              <w:spacing w:line="400" w:lineRule="exact"/>
              <w:ind w:firstLine="480" w:firstLineChars="200"/>
              <w:rPr>
                <w:rFonts w:hint="eastAsia" w:ascii="仿宋" w:hAnsi="仿宋" w:eastAsia="仿宋" w:cs="仿宋_GB2312"/>
                <w:sz w:val="24"/>
              </w:rPr>
            </w:pPr>
          </w:p>
        </w:tc>
        <w:tc>
          <w:tcPr>
            <w:tcW w:w="360" w:type="dxa"/>
            <w:vAlign w:val="center"/>
          </w:tcPr>
          <w:p w14:paraId="0EDBE41F">
            <w:pPr>
              <w:adjustRightInd/>
              <w:spacing w:line="400" w:lineRule="exact"/>
              <w:ind w:firstLine="480" w:firstLineChars="200"/>
              <w:jc w:val="center"/>
              <w:rPr>
                <w:rFonts w:hint="eastAsia" w:ascii="仿宋" w:hAnsi="仿宋" w:eastAsia="仿宋" w:cs="仿宋_GB2312"/>
                <w:sz w:val="24"/>
              </w:rPr>
            </w:pPr>
          </w:p>
        </w:tc>
        <w:tc>
          <w:tcPr>
            <w:tcW w:w="1080" w:type="dxa"/>
            <w:vAlign w:val="center"/>
          </w:tcPr>
          <w:p w14:paraId="24CB3701">
            <w:pPr>
              <w:adjustRightInd/>
              <w:spacing w:line="400" w:lineRule="exact"/>
              <w:ind w:firstLine="480" w:firstLineChars="200"/>
              <w:jc w:val="right"/>
              <w:rPr>
                <w:rFonts w:hint="eastAsia" w:ascii="仿宋" w:hAnsi="仿宋" w:eastAsia="仿宋" w:cs="仿宋_GB2312"/>
                <w:sz w:val="24"/>
              </w:rPr>
            </w:pPr>
          </w:p>
        </w:tc>
        <w:tc>
          <w:tcPr>
            <w:tcW w:w="900" w:type="dxa"/>
            <w:vAlign w:val="center"/>
          </w:tcPr>
          <w:p w14:paraId="2309EE9E">
            <w:pPr>
              <w:adjustRightInd/>
              <w:spacing w:line="400" w:lineRule="exact"/>
              <w:ind w:firstLine="480" w:firstLineChars="200"/>
              <w:jc w:val="right"/>
              <w:rPr>
                <w:rFonts w:hint="eastAsia" w:ascii="仿宋" w:hAnsi="仿宋" w:eastAsia="仿宋" w:cs="仿宋_GB2312"/>
                <w:sz w:val="24"/>
              </w:rPr>
            </w:pPr>
          </w:p>
        </w:tc>
        <w:tc>
          <w:tcPr>
            <w:tcW w:w="1260" w:type="dxa"/>
            <w:tcBorders>
              <w:right w:val="double" w:color="auto" w:sz="4" w:space="0"/>
            </w:tcBorders>
            <w:vAlign w:val="center"/>
          </w:tcPr>
          <w:p w14:paraId="4F13E14A">
            <w:pPr>
              <w:pStyle w:val="10"/>
              <w:tabs>
                <w:tab w:val="left" w:pos="8540"/>
              </w:tabs>
              <w:adjustRightInd/>
              <w:spacing w:line="400" w:lineRule="exact"/>
              <w:ind w:firstLine="480" w:firstLineChars="200"/>
              <w:jc w:val="center"/>
              <w:rPr>
                <w:rFonts w:hint="eastAsia" w:ascii="仿宋" w:hAnsi="仿宋" w:eastAsia="仿宋" w:cs="仿宋_GB2312"/>
                <w:sz w:val="24"/>
                <w:szCs w:val="24"/>
              </w:rPr>
            </w:pPr>
          </w:p>
        </w:tc>
      </w:tr>
      <w:tr w14:paraId="604CB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2085" w:type="dxa"/>
            <w:tcBorders>
              <w:left w:val="double" w:color="auto" w:sz="4" w:space="0"/>
              <w:bottom w:val="double" w:color="auto" w:sz="4" w:space="0"/>
            </w:tcBorders>
            <w:vAlign w:val="center"/>
          </w:tcPr>
          <w:p w14:paraId="2367218E">
            <w:pPr>
              <w:pStyle w:val="10"/>
              <w:tabs>
                <w:tab w:val="left" w:pos="8540"/>
              </w:tabs>
              <w:adjustRightInd/>
              <w:spacing w:line="400" w:lineRule="exact"/>
              <w:ind w:firstLine="480" w:firstLineChars="200"/>
              <w:jc w:val="center"/>
              <w:rPr>
                <w:rFonts w:hint="eastAsia" w:ascii="仿宋" w:hAnsi="仿宋" w:eastAsia="仿宋" w:cs="仿宋_GB2312"/>
                <w:sz w:val="24"/>
                <w:szCs w:val="24"/>
              </w:rPr>
            </w:pPr>
            <w:r>
              <w:rPr>
                <w:rFonts w:hint="eastAsia" w:ascii="仿宋" w:hAnsi="仿宋" w:eastAsia="仿宋" w:cs="仿宋_GB2312"/>
                <w:sz w:val="24"/>
                <w:szCs w:val="24"/>
              </w:rPr>
              <w:t>合计总价</w:t>
            </w:r>
          </w:p>
        </w:tc>
        <w:tc>
          <w:tcPr>
            <w:tcW w:w="5220" w:type="dxa"/>
            <w:gridSpan w:val="3"/>
            <w:tcBorders>
              <w:bottom w:val="double" w:color="auto" w:sz="4" w:space="0"/>
            </w:tcBorders>
            <w:vAlign w:val="center"/>
          </w:tcPr>
          <w:p w14:paraId="467EFA29">
            <w:pPr>
              <w:pStyle w:val="10"/>
              <w:tabs>
                <w:tab w:val="left" w:pos="8540"/>
              </w:tabs>
              <w:adjustRightInd/>
              <w:spacing w:line="400" w:lineRule="exact"/>
              <w:ind w:firstLine="480" w:firstLineChars="200"/>
              <w:rPr>
                <w:rFonts w:hint="eastAsia" w:ascii="仿宋" w:hAnsi="仿宋" w:eastAsia="仿宋" w:cs="仿宋_GB2312"/>
                <w:sz w:val="24"/>
                <w:szCs w:val="24"/>
              </w:rPr>
            </w:pPr>
            <w:r>
              <w:rPr>
                <w:rFonts w:hint="eastAsia" w:ascii="仿宋" w:hAnsi="仿宋" w:eastAsia="仿宋" w:cs="仿宋_GB2312"/>
                <w:sz w:val="24"/>
                <w:szCs w:val="24"/>
              </w:rPr>
              <w:t>（大写）</w:t>
            </w:r>
          </w:p>
        </w:tc>
        <w:tc>
          <w:tcPr>
            <w:tcW w:w="2160" w:type="dxa"/>
            <w:gridSpan w:val="2"/>
            <w:tcBorders>
              <w:bottom w:val="double" w:color="auto" w:sz="4" w:space="0"/>
              <w:right w:val="double" w:color="auto" w:sz="4" w:space="0"/>
            </w:tcBorders>
            <w:vAlign w:val="center"/>
          </w:tcPr>
          <w:p w14:paraId="104FCBDE">
            <w:pPr>
              <w:pStyle w:val="10"/>
              <w:tabs>
                <w:tab w:val="left" w:pos="8540"/>
              </w:tabs>
              <w:adjustRightInd/>
              <w:spacing w:line="400" w:lineRule="exact"/>
              <w:ind w:firstLine="480" w:firstLineChars="200"/>
              <w:jc w:val="center"/>
              <w:rPr>
                <w:rFonts w:hint="eastAsia" w:ascii="仿宋" w:hAnsi="仿宋" w:eastAsia="仿宋" w:cs="仿宋_GB2312"/>
                <w:sz w:val="24"/>
                <w:szCs w:val="24"/>
              </w:rPr>
            </w:pPr>
            <w:r>
              <w:rPr>
                <w:rFonts w:hint="eastAsia" w:ascii="仿宋" w:hAnsi="仿宋" w:eastAsia="仿宋" w:cs="仿宋_GB2312"/>
                <w:sz w:val="24"/>
                <w:szCs w:val="24"/>
              </w:rPr>
              <w:t>￥：</w:t>
            </w:r>
          </w:p>
        </w:tc>
      </w:tr>
    </w:tbl>
    <w:p w14:paraId="79FD5996">
      <w:pPr>
        <w:widowControl/>
        <w:adjustRightInd/>
        <w:snapToGrid w:val="0"/>
        <w:spacing w:line="400" w:lineRule="exact"/>
        <w:ind w:firstLine="422" w:firstLineChars="176"/>
        <w:jc w:val="left"/>
        <w:rPr>
          <w:rFonts w:hint="eastAsia" w:ascii="仿宋" w:hAnsi="仿宋" w:eastAsia="仿宋" w:cs="宋体"/>
          <w:kern w:val="0"/>
          <w:sz w:val="24"/>
        </w:rPr>
      </w:pPr>
    </w:p>
    <w:p w14:paraId="0762D219">
      <w:pPr>
        <w:widowControl/>
        <w:numPr>
          <w:ilvl w:val="0"/>
          <w:numId w:val="3"/>
        </w:numPr>
        <w:adjustRightInd/>
        <w:snapToGrid w:val="0"/>
        <w:spacing w:line="400" w:lineRule="exact"/>
        <w:ind w:firstLine="422" w:firstLineChars="176"/>
        <w:jc w:val="left"/>
      </w:pPr>
      <w:r>
        <w:rPr>
          <w:rFonts w:hint="eastAsia" w:ascii="仿宋" w:hAnsi="仿宋" w:eastAsia="仿宋" w:cs="宋体"/>
          <w:kern w:val="0"/>
          <w:sz w:val="24"/>
        </w:rPr>
        <w:t>项目合同支付条款</w:t>
      </w:r>
    </w:p>
    <w:p w14:paraId="7522AD45">
      <w:pPr>
        <w:pStyle w:val="18"/>
        <w:autoSpaceDE/>
        <w:autoSpaceDN/>
        <w:adjustRightInd/>
        <w:spacing w:line="240" w:lineRule="auto"/>
        <w:ind w:firstLine="480" w:firstLineChars="200"/>
      </w:pPr>
      <w:r>
        <w:rPr>
          <w:rFonts w:hint="eastAsia" w:ascii="仿宋" w:hAnsi="仿宋" w:eastAsia="仿宋" w:cs="仿宋"/>
        </w:rPr>
        <w:t>在满足合同约定支付条件且财政资金到位的前提下，按如下方式支付。</w:t>
      </w:r>
    </w:p>
    <w:p w14:paraId="4E5E2601">
      <w:pPr>
        <w:widowControl/>
        <w:adjustRightInd/>
        <w:snapToGrid w:val="0"/>
        <w:spacing w:line="400" w:lineRule="exact"/>
        <w:ind w:firstLine="424" w:firstLineChars="177"/>
        <w:jc w:val="left"/>
        <w:rPr>
          <w:rFonts w:hint="eastAsia" w:ascii="仿宋" w:hAnsi="仿宋" w:eastAsia="仿宋" w:cs="宋体"/>
          <w:kern w:val="0"/>
          <w:sz w:val="24"/>
        </w:rPr>
      </w:pPr>
      <w:r>
        <w:rPr>
          <w:rFonts w:hint="eastAsia" w:ascii="仿宋" w:hAnsi="仿宋" w:eastAsia="仿宋" w:cs="宋体"/>
          <w:kern w:val="0"/>
          <w:sz w:val="24"/>
        </w:rPr>
        <w:t>（一）第一笔款：合同签订生效后，甲方在收到乙方提供的下列单据</w:t>
      </w:r>
      <w:r>
        <w:rPr>
          <w:rFonts w:ascii="仿宋" w:hAnsi="仿宋" w:eastAsia="仿宋" w:cs="宋体"/>
          <w:kern w:val="0"/>
          <w:sz w:val="24"/>
        </w:rPr>
        <w:t>7</w:t>
      </w:r>
      <w:r>
        <w:rPr>
          <w:rFonts w:hint="eastAsia" w:ascii="仿宋" w:hAnsi="仿宋" w:eastAsia="仿宋" w:cs="宋体"/>
          <w:kern w:val="0"/>
          <w:sz w:val="24"/>
        </w:rPr>
        <w:t xml:space="preserve">个工作日内，向乙方支付合同总价的 </w:t>
      </w:r>
      <w:r>
        <w:rPr>
          <w:rFonts w:ascii="仿宋" w:hAnsi="仿宋" w:eastAsia="仿宋" w:cs="宋体"/>
          <w:kern w:val="0"/>
          <w:sz w:val="24"/>
          <w:u w:val="single"/>
        </w:rPr>
        <w:t xml:space="preserve"> </w:t>
      </w:r>
      <w:r>
        <w:rPr>
          <w:rFonts w:hint="eastAsia" w:ascii="仿宋" w:hAnsi="仿宋" w:eastAsia="仿宋" w:cs="宋体"/>
          <w:kern w:val="0"/>
          <w:sz w:val="24"/>
          <w:u w:val="single"/>
        </w:rPr>
        <w:t>40%</w:t>
      </w:r>
      <w:r>
        <w:rPr>
          <w:rFonts w:hint="eastAsia" w:ascii="仿宋" w:hAnsi="仿宋" w:eastAsia="仿宋" w:cs="宋体"/>
          <w:kern w:val="0"/>
          <w:sz w:val="24"/>
        </w:rPr>
        <w:t>，即人民币：</w:t>
      </w:r>
      <w:r>
        <w:rPr>
          <w:rFonts w:hint="eastAsia" w:ascii="仿宋" w:hAnsi="仿宋" w:eastAsia="仿宋" w:cs="宋体"/>
          <w:kern w:val="0"/>
          <w:sz w:val="24"/>
          <w:u w:val="single"/>
        </w:rPr>
        <w:t xml:space="preserve">        </w:t>
      </w:r>
      <w:r>
        <w:rPr>
          <w:rFonts w:hint="eastAsia" w:ascii="仿宋" w:hAnsi="仿宋" w:eastAsia="仿宋" w:cs="宋体"/>
          <w:kern w:val="0"/>
          <w:sz w:val="24"/>
        </w:rPr>
        <w:t xml:space="preserve"> 元（大写：</w:t>
      </w:r>
      <w:r>
        <w:rPr>
          <w:rFonts w:hint="eastAsia" w:ascii="仿宋" w:hAnsi="仿宋" w:eastAsia="仿宋" w:cs="宋体"/>
          <w:kern w:val="0"/>
          <w:sz w:val="24"/>
          <w:u w:val="single"/>
        </w:rPr>
        <w:t xml:space="preserve">           </w:t>
      </w:r>
      <w:r>
        <w:rPr>
          <w:rFonts w:hint="eastAsia" w:ascii="仿宋" w:hAnsi="仿宋" w:eastAsia="仿宋" w:cs="宋体"/>
          <w:kern w:val="0"/>
          <w:sz w:val="24"/>
        </w:rPr>
        <w:t>元整）；</w:t>
      </w:r>
    </w:p>
    <w:p w14:paraId="0CE4CA9C">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下列单据包括：</w:t>
      </w:r>
    </w:p>
    <w:p w14:paraId="403D78C5">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1.等额</w:t>
      </w:r>
      <w:r>
        <w:rPr>
          <w:rFonts w:hint="eastAsia" w:ascii="仿宋" w:hAnsi="仿宋" w:eastAsia="仿宋" w:cs="宋体"/>
          <w:kern w:val="0"/>
          <w:sz w:val="24"/>
          <w:u w:val="single"/>
        </w:rPr>
        <w:t xml:space="preserve">   </w:t>
      </w:r>
      <w:r>
        <w:rPr>
          <w:rFonts w:hint="eastAsia" w:ascii="仿宋" w:hAnsi="仿宋" w:eastAsia="仿宋" w:cs="宋体"/>
          <w:kern w:val="0"/>
          <w:sz w:val="24"/>
        </w:rPr>
        <w:t>(普通或者专用)增值税发票一份；</w:t>
      </w:r>
    </w:p>
    <w:p w14:paraId="114EFCF4">
      <w:pPr>
        <w:widowControl/>
        <w:adjustRightInd/>
        <w:snapToGrid w:val="0"/>
        <w:spacing w:line="400" w:lineRule="exact"/>
        <w:ind w:firstLine="424" w:firstLineChars="177"/>
        <w:jc w:val="left"/>
        <w:rPr>
          <w:rFonts w:hint="eastAsia" w:ascii="仿宋" w:hAnsi="仿宋" w:eastAsia="仿宋" w:cs="宋体"/>
          <w:kern w:val="0"/>
          <w:sz w:val="24"/>
        </w:rPr>
      </w:pPr>
      <w:r>
        <w:rPr>
          <w:rFonts w:hint="eastAsia" w:ascii="仿宋" w:hAnsi="仿宋" w:eastAsia="仿宋" w:cs="宋体"/>
          <w:kern w:val="0"/>
          <w:sz w:val="24"/>
        </w:rPr>
        <w:t>（二）第二笔款：项目完成安装、调试上线、初验合格后，甲方在收到乙方提供的下列单据7个工作日内，向乙方支付合同总价的</w:t>
      </w:r>
      <w:r>
        <w:rPr>
          <w:rFonts w:ascii="仿宋" w:hAnsi="仿宋" w:eastAsia="仿宋" w:cs="宋体"/>
          <w:kern w:val="0"/>
          <w:sz w:val="24"/>
        </w:rPr>
        <w:t xml:space="preserve"> </w:t>
      </w:r>
      <w:r>
        <w:rPr>
          <w:rFonts w:ascii="仿宋" w:hAnsi="仿宋" w:eastAsia="仿宋" w:cs="宋体"/>
          <w:kern w:val="0"/>
          <w:sz w:val="24"/>
          <w:u w:val="single"/>
        </w:rPr>
        <w:t xml:space="preserve"> </w:t>
      </w:r>
      <w:r>
        <w:rPr>
          <w:rFonts w:hint="eastAsia" w:ascii="仿宋" w:hAnsi="仿宋" w:eastAsia="仿宋" w:cs="宋体"/>
          <w:kern w:val="0"/>
          <w:sz w:val="24"/>
          <w:u w:val="single"/>
        </w:rPr>
        <w:t>10</w:t>
      </w:r>
      <w:r>
        <w:rPr>
          <w:rFonts w:ascii="仿宋" w:hAnsi="仿宋" w:eastAsia="仿宋" w:cs="宋体"/>
          <w:kern w:val="0"/>
          <w:sz w:val="24"/>
          <w:u w:val="single"/>
        </w:rPr>
        <w:t xml:space="preserve"> </w:t>
      </w:r>
      <w:r>
        <w:rPr>
          <w:rFonts w:hint="eastAsia" w:ascii="仿宋" w:hAnsi="仿宋" w:eastAsia="仿宋" w:cs="宋体"/>
          <w:kern w:val="0"/>
          <w:sz w:val="24"/>
          <w:u w:val="single"/>
        </w:rPr>
        <w:t>%</w:t>
      </w:r>
      <w:r>
        <w:rPr>
          <w:rFonts w:hint="eastAsia" w:ascii="仿宋" w:hAnsi="仿宋" w:eastAsia="仿宋" w:cs="宋体"/>
          <w:kern w:val="0"/>
          <w:sz w:val="24"/>
        </w:rPr>
        <w:t>，即人民币：</w:t>
      </w:r>
      <w:r>
        <w:rPr>
          <w:rFonts w:hint="eastAsia" w:ascii="仿宋" w:hAnsi="仿宋" w:eastAsia="仿宋" w:cs="宋体"/>
          <w:kern w:val="0"/>
          <w:sz w:val="24"/>
          <w:u w:val="single"/>
        </w:rPr>
        <w:t xml:space="preserve">        </w:t>
      </w:r>
      <w:r>
        <w:rPr>
          <w:rFonts w:hint="eastAsia" w:ascii="仿宋" w:hAnsi="仿宋" w:eastAsia="仿宋" w:cs="宋体"/>
          <w:kern w:val="0"/>
          <w:sz w:val="24"/>
        </w:rPr>
        <w:t xml:space="preserve"> 元（大写：</w:t>
      </w:r>
      <w:r>
        <w:rPr>
          <w:rFonts w:hint="eastAsia" w:ascii="仿宋" w:hAnsi="仿宋" w:eastAsia="仿宋" w:cs="宋体"/>
          <w:kern w:val="0"/>
          <w:sz w:val="24"/>
          <w:u w:val="single"/>
        </w:rPr>
        <w:t xml:space="preserve">           </w:t>
      </w:r>
      <w:r>
        <w:rPr>
          <w:rFonts w:hint="eastAsia" w:ascii="仿宋" w:hAnsi="仿宋" w:eastAsia="仿宋" w:cs="宋体"/>
          <w:kern w:val="0"/>
          <w:sz w:val="24"/>
        </w:rPr>
        <w:t>元整）；</w:t>
      </w:r>
    </w:p>
    <w:p w14:paraId="1E4AD8E3">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下列单据包括：</w:t>
      </w:r>
    </w:p>
    <w:p w14:paraId="386F3171">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1.等额</w:t>
      </w:r>
      <w:r>
        <w:rPr>
          <w:rFonts w:hint="eastAsia" w:ascii="仿宋" w:hAnsi="仿宋" w:eastAsia="仿宋" w:cs="宋体"/>
          <w:kern w:val="0"/>
          <w:sz w:val="24"/>
          <w:u w:val="single"/>
        </w:rPr>
        <w:t xml:space="preserve">   </w:t>
      </w:r>
      <w:r>
        <w:rPr>
          <w:rFonts w:hint="eastAsia" w:ascii="仿宋" w:hAnsi="仿宋" w:eastAsia="仿宋" w:cs="宋体"/>
          <w:kern w:val="0"/>
          <w:sz w:val="24"/>
        </w:rPr>
        <w:t>(普通或者专用) 增值税发票一份；</w:t>
      </w:r>
    </w:p>
    <w:p w14:paraId="1CC87FA3">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2.项目审批通过的《温州市公安局信息化项目试运行许可审批表》；</w:t>
      </w:r>
    </w:p>
    <w:p w14:paraId="52D563E9">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3.甲乙双方出具的《货物验收单》（定制软件类除外）；</w:t>
      </w:r>
    </w:p>
    <w:p w14:paraId="5F66B75C">
      <w:pPr>
        <w:widowControl/>
        <w:adjustRightInd/>
        <w:snapToGrid w:val="0"/>
        <w:spacing w:line="400" w:lineRule="exact"/>
        <w:ind w:firstLine="480" w:firstLineChars="200"/>
        <w:jc w:val="left"/>
        <w:rPr>
          <w:rFonts w:hint="eastAsia" w:ascii="仿宋" w:hAnsi="仿宋" w:eastAsia="仿宋" w:cs="宋体"/>
          <w:kern w:val="0"/>
          <w:sz w:val="24"/>
        </w:rPr>
      </w:pPr>
      <w:r>
        <w:rPr>
          <w:rFonts w:ascii="仿宋" w:hAnsi="仿宋" w:eastAsia="仿宋" w:cs="宋体"/>
          <w:kern w:val="0"/>
          <w:sz w:val="24"/>
        </w:rPr>
        <w:t>4</w:t>
      </w:r>
      <w:r>
        <w:rPr>
          <w:rFonts w:hint="eastAsia" w:ascii="仿宋" w:hAnsi="仿宋" w:eastAsia="仿宋" w:cs="宋体"/>
          <w:kern w:val="0"/>
          <w:sz w:val="24"/>
        </w:rPr>
        <w:t>.甲方出具的初验报告。</w:t>
      </w:r>
    </w:p>
    <w:p w14:paraId="02953CD6">
      <w:pPr>
        <w:widowControl/>
        <w:adjustRightInd/>
        <w:snapToGrid w:val="0"/>
        <w:spacing w:line="400" w:lineRule="exact"/>
        <w:ind w:firstLine="424" w:firstLineChars="177"/>
        <w:jc w:val="left"/>
        <w:rPr>
          <w:rFonts w:hint="eastAsia" w:ascii="仿宋" w:hAnsi="仿宋" w:eastAsia="仿宋" w:cs="宋体"/>
          <w:kern w:val="0"/>
          <w:sz w:val="24"/>
        </w:rPr>
      </w:pPr>
      <w:r>
        <w:rPr>
          <w:rFonts w:hint="eastAsia" w:ascii="仿宋" w:hAnsi="仿宋" w:eastAsia="仿宋" w:cs="宋体"/>
          <w:kern w:val="0"/>
          <w:sz w:val="24"/>
        </w:rPr>
        <w:t>（三）第三笔款：甲方在项目通过不少于3月的试运行并经验收合格后，在收到乙方提供的下列单据</w:t>
      </w:r>
      <w:r>
        <w:rPr>
          <w:rFonts w:ascii="仿宋" w:hAnsi="仿宋" w:eastAsia="仿宋" w:cs="宋体"/>
          <w:kern w:val="0"/>
          <w:sz w:val="24"/>
        </w:rPr>
        <w:t>7</w:t>
      </w:r>
      <w:r>
        <w:rPr>
          <w:rFonts w:hint="eastAsia" w:ascii="仿宋" w:hAnsi="仿宋" w:eastAsia="仿宋" w:cs="宋体"/>
          <w:kern w:val="0"/>
          <w:sz w:val="24"/>
        </w:rPr>
        <w:t>个工作日内，向乙方支付合同总价的</w:t>
      </w:r>
      <w:r>
        <w:rPr>
          <w:rFonts w:ascii="仿宋" w:hAnsi="仿宋" w:eastAsia="仿宋" w:cs="宋体"/>
          <w:kern w:val="0"/>
          <w:sz w:val="24"/>
          <w:u w:val="single"/>
        </w:rPr>
        <w:t xml:space="preserve"> </w:t>
      </w:r>
      <w:r>
        <w:rPr>
          <w:rFonts w:hint="eastAsia" w:ascii="仿宋" w:hAnsi="仿宋" w:eastAsia="仿宋" w:cs="宋体"/>
          <w:kern w:val="0"/>
          <w:sz w:val="24"/>
          <w:u w:val="single"/>
        </w:rPr>
        <w:t>50</w:t>
      </w:r>
      <w:r>
        <w:rPr>
          <w:rFonts w:ascii="仿宋" w:hAnsi="仿宋" w:eastAsia="仿宋" w:cs="宋体"/>
          <w:kern w:val="0"/>
          <w:sz w:val="24"/>
          <w:u w:val="single"/>
        </w:rPr>
        <w:t xml:space="preserve"> </w:t>
      </w:r>
      <w:r>
        <w:rPr>
          <w:rFonts w:hint="eastAsia" w:ascii="仿宋" w:hAnsi="仿宋" w:eastAsia="仿宋" w:cs="宋体"/>
          <w:kern w:val="0"/>
          <w:sz w:val="24"/>
          <w:u w:val="single"/>
        </w:rPr>
        <w:t>%</w:t>
      </w:r>
      <w:r>
        <w:rPr>
          <w:rFonts w:hint="eastAsia" w:ascii="仿宋" w:hAnsi="仿宋" w:eastAsia="仿宋" w:cs="宋体"/>
          <w:kern w:val="0"/>
          <w:sz w:val="24"/>
        </w:rPr>
        <w:t>，即人民币：</w:t>
      </w:r>
      <w:r>
        <w:rPr>
          <w:rFonts w:hint="eastAsia" w:ascii="仿宋" w:hAnsi="仿宋" w:eastAsia="仿宋" w:cs="宋体"/>
          <w:kern w:val="0"/>
          <w:sz w:val="24"/>
          <w:u w:val="single"/>
        </w:rPr>
        <w:t xml:space="preserve">        </w:t>
      </w:r>
      <w:r>
        <w:rPr>
          <w:rFonts w:hint="eastAsia" w:ascii="仿宋" w:hAnsi="仿宋" w:eastAsia="仿宋" w:cs="宋体"/>
          <w:kern w:val="0"/>
          <w:sz w:val="24"/>
        </w:rPr>
        <w:t xml:space="preserve"> 元（大写：</w:t>
      </w:r>
      <w:r>
        <w:rPr>
          <w:rFonts w:hint="eastAsia" w:ascii="仿宋" w:hAnsi="仿宋" w:eastAsia="仿宋" w:cs="宋体"/>
          <w:kern w:val="0"/>
          <w:sz w:val="24"/>
          <w:u w:val="single"/>
        </w:rPr>
        <w:t xml:space="preserve">           </w:t>
      </w:r>
      <w:r>
        <w:rPr>
          <w:rFonts w:hint="eastAsia" w:ascii="仿宋" w:hAnsi="仿宋" w:eastAsia="仿宋" w:cs="宋体"/>
          <w:kern w:val="0"/>
          <w:sz w:val="24"/>
        </w:rPr>
        <w:t>元整）；</w:t>
      </w:r>
    </w:p>
    <w:p w14:paraId="324B8D3F">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下列单据包括：</w:t>
      </w:r>
    </w:p>
    <w:p w14:paraId="177689E0">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1. 等额</w:t>
      </w:r>
      <w:r>
        <w:rPr>
          <w:rFonts w:hint="eastAsia" w:ascii="仿宋" w:hAnsi="仿宋" w:eastAsia="仿宋" w:cs="宋体"/>
          <w:kern w:val="0"/>
          <w:sz w:val="24"/>
          <w:u w:val="single"/>
        </w:rPr>
        <w:t xml:space="preserve">   </w:t>
      </w:r>
      <w:r>
        <w:rPr>
          <w:rFonts w:hint="eastAsia" w:ascii="仿宋" w:hAnsi="仿宋" w:eastAsia="仿宋" w:cs="宋体"/>
          <w:kern w:val="0"/>
          <w:sz w:val="24"/>
        </w:rPr>
        <w:t>(普通或者专用)增值税发票一份；</w:t>
      </w:r>
    </w:p>
    <w:p w14:paraId="399414A4">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2.试运行情况报告；</w:t>
      </w:r>
    </w:p>
    <w:p w14:paraId="00E8AF40">
      <w:pPr>
        <w:widowControl/>
        <w:adjustRightInd/>
        <w:snapToGrid w:val="0"/>
        <w:spacing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3.甲方出具的验收报告。</w:t>
      </w:r>
    </w:p>
    <w:p w14:paraId="7997CB4A">
      <w:pPr>
        <w:widowControl/>
        <w:adjustRightInd/>
        <w:snapToGrid w:val="0"/>
        <w:spacing w:line="400" w:lineRule="exact"/>
        <w:ind w:firstLine="480" w:firstLineChars="200"/>
        <w:jc w:val="left"/>
        <w:rPr>
          <w:rFonts w:eastAsia="仿宋"/>
        </w:rPr>
      </w:pPr>
      <w:r>
        <w:rPr>
          <w:rFonts w:hint="eastAsia" w:ascii="仿宋" w:hAnsi="仿宋" w:eastAsia="仿宋" w:cs="宋体"/>
          <w:kern w:val="0"/>
          <w:sz w:val="24"/>
        </w:rPr>
        <w:t>（四）双方约定本项目不收取履约保证金。</w:t>
      </w:r>
    </w:p>
    <w:p w14:paraId="4F5EDA0F">
      <w:pPr>
        <w:widowControl/>
        <w:adjustRightInd/>
        <w:snapToGrid w:val="0"/>
        <w:spacing w:line="400" w:lineRule="exact"/>
        <w:ind w:firstLine="480" w:firstLineChars="200"/>
        <w:jc w:val="left"/>
        <w:rPr>
          <w:rFonts w:hint="eastAsia" w:ascii="仿宋" w:hAnsi="仿宋" w:eastAsia="仿宋" w:cs="宋体"/>
          <w:kern w:val="0"/>
          <w:sz w:val="24"/>
        </w:rPr>
      </w:pPr>
    </w:p>
    <w:p w14:paraId="04E0405A">
      <w:pPr>
        <w:widowControl/>
        <w:adjustRightInd/>
        <w:snapToGrid w:val="0"/>
        <w:spacing w:line="400" w:lineRule="exact"/>
        <w:ind w:firstLine="422" w:firstLineChars="176"/>
        <w:jc w:val="left"/>
        <w:rPr>
          <w:rFonts w:hint="eastAsia" w:ascii="仿宋" w:hAnsi="仿宋" w:eastAsia="仿宋" w:cs="宋体"/>
          <w:kern w:val="0"/>
          <w:sz w:val="24"/>
        </w:rPr>
      </w:pPr>
      <w:r>
        <w:rPr>
          <w:rFonts w:hint="eastAsia" w:ascii="仿宋" w:hAnsi="仿宋" w:eastAsia="仿宋" w:cs="宋体"/>
          <w:kern w:val="0"/>
          <w:sz w:val="24"/>
        </w:rPr>
        <w:t>九、项目合同修改</w:t>
      </w:r>
    </w:p>
    <w:p w14:paraId="2A117A70">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项目建设过程中原则上不能进行合同变更、修改和补充。若确需变更，经合同双方协商一致后，由项目建设部门向温州市公安局科技信息化局提交变更申请，并经相关部门论证、审核。只有在双方授权的代表签署书面文件后才有效，并作为附件成为本合同不可分割的组成部分。</w:t>
      </w:r>
    </w:p>
    <w:p w14:paraId="7B92E7EF">
      <w:pPr>
        <w:widowControl/>
        <w:adjustRightInd/>
        <w:snapToGrid w:val="0"/>
        <w:spacing w:line="400" w:lineRule="exact"/>
        <w:ind w:firstLine="480" w:firstLineChars="200"/>
        <w:jc w:val="left"/>
        <w:rPr>
          <w:rFonts w:hint="eastAsia" w:ascii="仿宋" w:hAnsi="仿宋" w:eastAsia="仿宋" w:cs="仿宋_GB2312"/>
          <w:kern w:val="0"/>
          <w:sz w:val="24"/>
        </w:rPr>
      </w:pPr>
    </w:p>
    <w:p w14:paraId="4DD8C671">
      <w:pPr>
        <w:widowControl/>
        <w:adjustRightInd/>
        <w:snapToGrid w:val="0"/>
        <w:spacing w:line="400" w:lineRule="exact"/>
        <w:ind w:firstLine="422" w:firstLineChars="176"/>
        <w:jc w:val="left"/>
        <w:rPr>
          <w:rFonts w:hint="eastAsia" w:ascii="仿宋" w:hAnsi="仿宋" w:eastAsia="仿宋" w:cs="宋体"/>
          <w:kern w:val="0"/>
          <w:sz w:val="24"/>
        </w:rPr>
      </w:pPr>
      <w:r>
        <w:rPr>
          <w:rFonts w:hint="eastAsia" w:ascii="仿宋" w:hAnsi="仿宋" w:eastAsia="仿宋" w:cs="宋体"/>
          <w:kern w:val="0"/>
          <w:sz w:val="24"/>
        </w:rPr>
        <w:t>十、违约责任</w:t>
      </w:r>
    </w:p>
    <w:p w14:paraId="1041B86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（一）在履行合同的过程中，如果乙方遇到除不可抗力因素外的情形将不能按照合同规定的时间完成系统实施和提供服务时，应当在情况发生时</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日内以书面形式将拖延的事实、可能拖延的时间和原因通知甲方。甲方在收到乙方通知后，应在</w:t>
      </w:r>
      <w:r>
        <w:rPr>
          <w:rFonts w:ascii="仿宋" w:hAnsi="仿宋" w:eastAsia="仿宋" w:cs="仿宋_GB2312"/>
          <w:kern w:val="0"/>
          <w:sz w:val="24"/>
          <w:u w:val="single"/>
        </w:rPr>
        <w:t xml:space="preserve"> 7</w:t>
      </w:r>
      <w:r>
        <w:rPr>
          <w:rFonts w:hint="eastAsia" w:ascii="仿宋" w:hAnsi="仿宋" w:eastAsia="仿宋" w:cs="仿宋_GB2312"/>
          <w:kern w:val="0"/>
          <w:sz w:val="24"/>
          <w:u w:val="single"/>
        </w:rPr>
        <w:t xml:space="preserve"> </w:t>
      </w:r>
      <w:r>
        <w:rPr>
          <w:rFonts w:hint="eastAsia" w:ascii="仿宋" w:hAnsi="仿宋" w:eastAsia="仿宋" w:cs="仿宋_GB2312"/>
          <w:kern w:val="0"/>
          <w:sz w:val="24"/>
        </w:rPr>
        <w:t>日内对情况进行评价，并确定是否酌情延长交货时间和提供服务以及是否收取</w:t>
      </w:r>
      <w:r>
        <w:rPr>
          <w:rFonts w:ascii="仿宋" w:hAnsi="仿宋" w:eastAsia="仿宋" w:cs="仿宋_GB2312"/>
          <w:kern w:val="0"/>
          <w:sz w:val="24"/>
        </w:rPr>
        <w:t>违约金</w:t>
      </w:r>
      <w:r>
        <w:rPr>
          <w:rFonts w:hint="eastAsia" w:ascii="仿宋" w:hAnsi="仿宋" w:eastAsia="仿宋" w:cs="仿宋_GB2312"/>
          <w:kern w:val="0"/>
          <w:sz w:val="24"/>
        </w:rPr>
        <w:t>。延期应由双方书面确认；</w:t>
      </w:r>
    </w:p>
    <w:p w14:paraId="444B97EA">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（二）除了合同条款第十二条的情况外，除非延期是根据合同条款第十条第（一）的规定取得甲方的同意而不收取</w:t>
      </w:r>
      <w:r>
        <w:rPr>
          <w:rFonts w:ascii="仿宋" w:hAnsi="仿宋" w:eastAsia="仿宋" w:cs="仿宋_GB2312"/>
          <w:kern w:val="0"/>
          <w:sz w:val="24"/>
        </w:rPr>
        <w:t>违约金</w:t>
      </w:r>
      <w:r>
        <w:rPr>
          <w:rFonts w:hint="eastAsia" w:ascii="仿宋" w:hAnsi="仿宋" w:eastAsia="仿宋" w:cs="仿宋_GB2312"/>
          <w:kern w:val="0"/>
          <w:sz w:val="24"/>
        </w:rPr>
        <w:t>之外，若乙方违反本合同约定提供服务，</w:t>
      </w:r>
      <w:r>
        <w:rPr>
          <w:rFonts w:hint="eastAsia" w:ascii="仿宋" w:hAnsi="仿宋" w:eastAsia="仿宋" w:cs="仿宋"/>
          <w:sz w:val="24"/>
        </w:rPr>
        <w:t>甲方可要求乙方支付违约金，违约金按每</w:t>
      </w:r>
      <w:r>
        <w:rPr>
          <w:rFonts w:ascii="仿宋" w:hAnsi="仿宋" w:eastAsia="仿宋" w:cs="仿宋"/>
          <w:sz w:val="24"/>
        </w:rPr>
        <w:t>违约</w:t>
      </w:r>
      <w:r>
        <w:rPr>
          <w:rFonts w:hint="eastAsia" w:ascii="仿宋" w:hAnsi="仿宋" w:eastAsia="仿宋" w:cs="仿宋"/>
          <w:sz w:val="24"/>
        </w:rPr>
        <w:t>一日按合同总价的</w:t>
      </w:r>
      <w:r>
        <w:rPr>
          <w:rFonts w:hint="eastAsia" w:ascii="仿宋" w:hAnsi="仿宋" w:eastAsia="仿宋" w:cs="仿宋"/>
          <w:sz w:val="24"/>
          <w:u w:val="single"/>
        </w:rPr>
        <w:t xml:space="preserve">  </w:t>
      </w:r>
      <w:r>
        <w:rPr>
          <w:rFonts w:ascii="仿宋" w:hAnsi="仿宋" w:eastAsia="仿宋" w:cs="仿宋"/>
          <w:sz w:val="24"/>
          <w:u w:val="single"/>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ascii="仿宋" w:hAnsi="仿宋" w:eastAsia="仿宋" w:cs="仿宋"/>
          <w:sz w:val="24"/>
          <w:u w:val="single"/>
        </w:rPr>
        <w:t xml:space="preserve"> 20</w:t>
      </w:r>
      <w:r>
        <w:rPr>
          <w:rFonts w:hint="eastAsia" w:ascii="仿宋" w:hAnsi="仿宋" w:eastAsia="仿宋" w:cs="仿宋"/>
          <w:sz w:val="24"/>
          <w:u w:val="single"/>
        </w:rPr>
        <w:t xml:space="preserve">  </w:t>
      </w:r>
      <w:r>
        <w:rPr>
          <w:rFonts w:hint="eastAsia" w:ascii="仿宋" w:hAnsi="仿宋" w:eastAsia="仿宋" w:cs="仿宋"/>
          <w:sz w:val="24"/>
        </w:rPr>
        <w:t>%；违约金计算数额达到前述最高限额之日起，甲方有权在要求乙方支付违约金的同时，书面通知乙方解除本合同；</w:t>
      </w:r>
    </w:p>
    <w:p w14:paraId="230FBFB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w:t>
      </w:r>
      <w:r>
        <w:rPr>
          <w:rFonts w:hint="eastAsia" w:ascii="仿宋" w:hAnsi="仿宋" w:eastAsia="仿宋" w:cs="仿宋"/>
          <w:sz w:val="24"/>
        </w:rPr>
        <w:t>除不可抗力外，因甲方单方原因没有按照本合同约定的付款方式付款，那么乙方可要求甲方支付违约金，违约金按每</w:t>
      </w:r>
      <w:r>
        <w:rPr>
          <w:rFonts w:ascii="仿宋" w:hAnsi="仿宋" w:eastAsia="仿宋" w:cs="仿宋"/>
          <w:sz w:val="24"/>
        </w:rPr>
        <w:t>违约</w:t>
      </w:r>
      <w:r>
        <w:rPr>
          <w:rFonts w:hint="eastAsia" w:ascii="仿宋" w:hAnsi="仿宋" w:eastAsia="仿宋" w:cs="仿宋"/>
          <w:sz w:val="24"/>
        </w:rPr>
        <w:t>一日按合同总价的</w:t>
      </w:r>
      <w:r>
        <w:rPr>
          <w:rFonts w:hint="eastAsia" w:ascii="仿宋" w:hAnsi="仿宋" w:eastAsia="仿宋" w:cs="仿宋"/>
          <w:sz w:val="24"/>
          <w:u w:val="single"/>
        </w:rPr>
        <w:t xml:space="preserve">  </w:t>
      </w:r>
      <w:r>
        <w:rPr>
          <w:rFonts w:ascii="仿宋" w:hAnsi="仿宋" w:eastAsia="仿宋" w:cs="仿宋"/>
          <w:sz w:val="24"/>
          <w:u w:val="single"/>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ascii="仿宋" w:hAnsi="仿宋" w:eastAsia="仿宋" w:cs="仿宋"/>
          <w:sz w:val="24"/>
          <w:u w:val="single"/>
        </w:rPr>
        <w:t xml:space="preserve"> 20</w:t>
      </w:r>
      <w:r>
        <w:rPr>
          <w:rFonts w:hint="eastAsia" w:ascii="仿宋" w:hAnsi="仿宋" w:eastAsia="仿宋" w:cs="仿宋"/>
          <w:sz w:val="24"/>
          <w:u w:val="single"/>
        </w:rPr>
        <w:t xml:space="preserve">  </w:t>
      </w:r>
      <w:r>
        <w:rPr>
          <w:rFonts w:hint="eastAsia" w:ascii="仿宋" w:hAnsi="仿宋" w:eastAsia="仿宋" w:cs="仿宋"/>
          <w:sz w:val="24"/>
        </w:rPr>
        <w:t>%；</w:t>
      </w:r>
      <w:r>
        <w:rPr>
          <w:rFonts w:ascii="仿宋" w:hAnsi="仿宋" w:eastAsia="仿宋" w:cs="仿宋"/>
          <w:sz w:val="24"/>
        </w:rPr>
        <w:t>违约</w:t>
      </w:r>
      <w:r>
        <w:rPr>
          <w:rFonts w:hint="eastAsia" w:ascii="仿宋" w:hAnsi="仿宋" w:eastAsia="仿宋" w:cs="仿宋"/>
          <w:sz w:val="24"/>
        </w:rPr>
        <w:t>付款的违约金计算数额达到前述最高限额之日起，乙方有权在要求甲方支付违约金的同时，书面通知甲方解除本合同；</w:t>
      </w:r>
    </w:p>
    <w:p w14:paraId="2E3A321C">
      <w:pPr>
        <w:adjustRightInd/>
        <w:spacing w:line="400" w:lineRule="exact"/>
        <w:ind w:firstLine="424" w:firstLineChars="177"/>
        <w:rPr>
          <w:rFonts w:hint="eastAsia" w:ascii="仿宋" w:hAnsi="仿宋" w:eastAsia="仿宋" w:cs="仿宋"/>
          <w:sz w:val="24"/>
        </w:rPr>
      </w:pPr>
      <w:r>
        <w:rPr>
          <w:rFonts w:hint="eastAsia" w:ascii="仿宋" w:hAnsi="仿宋" w:eastAsia="仿宋" w:cs="仿宋"/>
          <w:sz w:val="24"/>
        </w:rPr>
        <w:t>（四）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并要求按本合同总价</w:t>
      </w:r>
      <w:r>
        <w:rPr>
          <w:rFonts w:ascii="仿宋" w:hAnsi="仿宋" w:eastAsia="仿宋" w:cs="仿宋"/>
          <w:sz w:val="24"/>
          <w:u w:val="single"/>
        </w:rPr>
        <w:t>20</w:t>
      </w:r>
      <w:r>
        <w:rPr>
          <w:rFonts w:hint="eastAsia" w:ascii="仿宋" w:hAnsi="仿宋" w:eastAsia="仿宋" w:cs="仿宋"/>
          <w:sz w:val="24"/>
          <w:u w:val="single"/>
        </w:rPr>
        <w:t xml:space="preserve"> </w:t>
      </w:r>
      <w:r>
        <w:rPr>
          <w:rFonts w:hint="eastAsia" w:ascii="仿宋" w:hAnsi="仿宋" w:eastAsia="仿宋" w:cs="仿宋"/>
          <w:sz w:val="24"/>
        </w:rPr>
        <w:t>%支付违约金并赔偿损失。</w:t>
      </w:r>
    </w:p>
    <w:p w14:paraId="09A12E39">
      <w:pPr>
        <w:adjustRightInd/>
        <w:spacing w:line="400" w:lineRule="exact"/>
        <w:ind w:firstLine="424" w:firstLineChars="177"/>
        <w:rPr>
          <w:rFonts w:hint="eastAsia" w:ascii="仿宋" w:hAnsi="仿宋" w:eastAsia="仿宋" w:cs="仿宋"/>
          <w:sz w:val="24"/>
        </w:rPr>
      </w:pPr>
      <w:r>
        <w:rPr>
          <w:rFonts w:hint="eastAsia" w:ascii="仿宋" w:hAnsi="仿宋" w:eastAsia="仿宋" w:cs="仿宋"/>
          <w:sz w:val="24"/>
        </w:rPr>
        <w:t>（五） 任何一方按照前述约定要求违约方支付违约金的同时，仍有权要求违约方继续履行合同、采取补救措施，当违约金不足以弥补所造成的损失时，可要求违约方按照实际损失进行赔偿；任何一方按照前述约定要求解除本合同的同时，仍有权要求违约方支付违约金，当违约金不足以弥补所造成的损失时，可要求违约方按照实际损失进行赔偿；且守约方行使的任何权利救济方式均不视为其放弃了其他法定或者约定的权利救济方式；</w:t>
      </w:r>
    </w:p>
    <w:p w14:paraId="0776F037">
      <w:pPr>
        <w:adjustRightInd/>
        <w:spacing w:line="400" w:lineRule="exact"/>
        <w:ind w:firstLine="424" w:firstLineChars="177"/>
        <w:rPr>
          <w:rFonts w:hint="eastAsia" w:ascii="仿宋" w:hAnsi="仿宋" w:eastAsia="仿宋" w:cs="仿宋"/>
          <w:sz w:val="24"/>
        </w:rPr>
      </w:pPr>
      <w:r>
        <w:rPr>
          <w:rFonts w:hint="eastAsia" w:ascii="仿宋" w:hAnsi="仿宋" w:eastAsia="仿宋" w:cs="仿宋"/>
          <w:sz w:val="24"/>
        </w:rPr>
        <w:t>（六）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8EA2799">
      <w:pPr>
        <w:adjustRightInd/>
        <w:spacing w:line="400" w:lineRule="exact"/>
        <w:ind w:firstLine="424" w:firstLineChars="177"/>
        <w:rPr>
          <w:rFonts w:hint="eastAsia" w:ascii="仿宋" w:hAnsi="仿宋" w:eastAsia="仿宋" w:cs="仿宋"/>
          <w:sz w:val="24"/>
        </w:rPr>
      </w:pPr>
      <w:r>
        <w:rPr>
          <w:rFonts w:hint="eastAsia" w:ascii="仿宋" w:hAnsi="仿宋" w:eastAsia="仿宋" w:cs="仿宋"/>
          <w:sz w:val="24"/>
        </w:rPr>
        <w:t xml:space="preserve">（七） </w:t>
      </w:r>
      <w:r>
        <w:rPr>
          <w:rFonts w:hint="eastAsia" w:ascii="仿宋" w:hAnsi="仿宋" w:eastAsia="仿宋" w:cs="仿宋_GB2312"/>
          <w:kern w:val="0"/>
          <w:sz w:val="24"/>
        </w:rPr>
        <w:t>在履行合同的过程中，</w:t>
      </w:r>
      <w:r>
        <w:rPr>
          <w:rFonts w:hint="eastAsia" w:ascii="仿宋" w:hAnsi="仿宋" w:eastAsia="仿宋" w:cs="仿宋"/>
          <w:sz w:val="24"/>
        </w:rPr>
        <w:t>乙方不得转包项目，乙方</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不可以</w:t>
      </w:r>
      <w:r>
        <w:rPr>
          <w:rFonts w:ascii="仿宋" w:hAnsi="仿宋" w:eastAsia="仿宋" w:cs="仿宋"/>
          <w:sz w:val="24"/>
          <w:u w:val="single"/>
        </w:rPr>
        <w:t xml:space="preserve">  </w:t>
      </w:r>
      <w:r>
        <w:rPr>
          <w:rFonts w:hint="eastAsia" w:ascii="仿宋" w:hAnsi="仿宋" w:eastAsia="仿宋" w:cs="仿宋"/>
          <w:sz w:val="24"/>
        </w:rPr>
        <w:t>分包该项目。否则甲方可以书面通知违约方解除本合同，并要求乙方支付本合同总价</w:t>
      </w:r>
      <w:r>
        <w:rPr>
          <w:rFonts w:hint="eastAsia" w:ascii="仿宋" w:hAnsi="仿宋" w:eastAsia="仿宋" w:cs="仿宋"/>
          <w:sz w:val="24"/>
          <w:u w:val="single"/>
        </w:rPr>
        <w:t xml:space="preserve"> </w:t>
      </w:r>
      <w:r>
        <w:rPr>
          <w:rFonts w:ascii="仿宋" w:hAnsi="仿宋" w:eastAsia="仿宋" w:cs="仿宋"/>
          <w:sz w:val="24"/>
          <w:u w:val="single"/>
        </w:rPr>
        <w:t>20</w:t>
      </w:r>
      <w:r>
        <w:rPr>
          <w:rFonts w:hint="eastAsia" w:ascii="仿宋" w:hAnsi="仿宋" w:eastAsia="仿宋" w:cs="仿宋"/>
          <w:sz w:val="24"/>
          <w:u w:val="single"/>
        </w:rPr>
        <w:t xml:space="preserve"> </w:t>
      </w:r>
      <w:r>
        <w:rPr>
          <w:rFonts w:hint="eastAsia" w:ascii="仿宋" w:hAnsi="仿宋" w:eastAsia="仿宋" w:cs="仿宋"/>
          <w:sz w:val="24"/>
        </w:rPr>
        <w:t>%的违约金并赔偿损失。</w:t>
      </w:r>
    </w:p>
    <w:p w14:paraId="49FE0C92">
      <w:pPr>
        <w:adjustRightInd/>
        <w:spacing w:line="400" w:lineRule="exact"/>
        <w:ind w:firstLine="424" w:firstLineChars="177"/>
        <w:rPr>
          <w:rFonts w:hint="eastAsia" w:ascii="仿宋" w:hAnsi="仿宋" w:eastAsia="仿宋" w:cs="仿宋"/>
          <w:sz w:val="24"/>
        </w:rPr>
      </w:pPr>
      <w:r>
        <w:rPr>
          <w:rFonts w:hint="eastAsia" w:ascii="仿宋" w:hAnsi="仿宋" w:eastAsia="仿宋" w:cs="仿宋"/>
          <w:sz w:val="24"/>
        </w:rPr>
        <w:t>（八）如果出现政府采购监督管理部门在处理投诉事项期间，书面通知甲方暂停采购活动的情形，或者询问或质疑事项可能影响中标结果的，导致甲方中止履行合同的情形，均不视为甲方违约；</w:t>
      </w:r>
    </w:p>
    <w:p w14:paraId="32351DC6">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九）乙方应提供项目所需的软件硬件符合国家、部门、行业相关技术标准的证明，且不侵犯任何第三方包括但不限于知识产权等任何权益，并保证该软件硬件的运行不影响甲方内部网络信息安全性和保密性问题，因乙方没有履行上述义务造成甲方被第三方追责或损失的，所有责任与损失均由乙方承担，如甲方先行承担的，有权向乙方追偿。乙方应当同时用相同功能的合法软件硬件进行替换，或者取得相关授权，确保能够继续履行本合同所规定的各项权利，并且乙方应当赔偿甲方由此而造成的损失。</w:t>
      </w:r>
    </w:p>
    <w:p w14:paraId="3AC3FB83">
      <w:pPr>
        <w:widowControl/>
        <w:adjustRightInd/>
        <w:snapToGrid w:val="0"/>
        <w:spacing w:line="400" w:lineRule="exact"/>
        <w:ind w:firstLine="424" w:firstLineChars="177"/>
        <w:jc w:val="left"/>
        <w:rPr>
          <w:rFonts w:hint="eastAsia" w:ascii="仿宋" w:hAnsi="仿宋" w:eastAsia="仿宋" w:cs="仿宋_GB2312"/>
          <w:kern w:val="0"/>
          <w:sz w:val="24"/>
        </w:rPr>
      </w:pPr>
    </w:p>
    <w:p w14:paraId="0B94AE7B">
      <w:pPr>
        <w:widowControl/>
        <w:adjustRightInd/>
        <w:snapToGrid w:val="0"/>
        <w:spacing w:line="400" w:lineRule="exact"/>
        <w:ind w:firstLine="424" w:firstLineChars="176"/>
        <w:jc w:val="left"/>
        <w:rPr>
          <w:rFonts w:hint="eastAsia" w:ascii="仿宋" w:hAnsi="仿宋" w:eastAsia="仿宋" w:cs="宋体"/>
          <w:b/>
          <w:bCs/>
          <w:kern w:val="0"/>
          <w:sz w:val="24"/>
        </w:rPr>
      </w:pPr>
      <w:r>
        <w:rPr>
          <w:rFonts w:hint="eastAsia" w:ascii="仿宋" w:hAnsi="仿宋" w:eastAsia="仿宋" w:cs="宋体"/>
          <w:b/>
          <w:bCs/>
          <w:kern w:val="0"/>
          <w:sz w:val="24"/>
        </w:rPr>
        <w:t>十一、项目合同终止</w:t>
      </w:r>
    </w:p>
    <w:p w14:paraId="61F648A6">
      <w:pPr>
        <w:widowControl/>
        <w:numPr>
          <w:ilvl w:val="0"/>
          <w:numId w:val="4"/>
        </w:numPr>
        <w:adjustRightInd/>
        <w:snapToGrid w:val="0"/>
        <w:spacing w:line="400" w:lineRule="exact"/>
        <w:ind w:left="0" w:firstLine="424" w:firstLineChars="177"/>
        <w:jc w:val="left"/>
        <w:rPr>
          <w:rFonts w:hint="eastAsia" w:ascii="仿宋" w:hAnsi="仿宋" w:eastAsia="仿宋" w:cs="仿宋"/>
          <w:sz w:val="24"/>
        </w:rPr>
      </w:pPr>
      <w:r>
        <w:rPr>
          <w:rFonts w:hint="eastAsia" w:ascii="仿宋" w:hAnsi="仿宋" w:eastAsia="仿宋" w:cs="仿宋"/>
          <w:sz w:val="24"/>
        </w:rPr>
        <w:t xml:space="preserve">双方当事人不得擅自中止或者终止合同； </w:t>
      </w:r>
    </w:p>
    <w:p w14:paraId="404DE956">
      <w:pPr>
        <w:widowControl/>
        <w:numPr>
          <w:ilvl w:val="0"/>
          <w:numId w:val="4"/>
        </w:numPr>
        <w:adjustRightInd/>
        <w:snapToGrid w:val="0"/>
        <w:spacing w:line="400" w:lineRule="exact"/>
        <w:ind w:left="0" w:firstLine="424" w:firstLineChars="177"/>
        <w:jc w:val="left"/>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合同继续履行将损害国家利益和社会公共利益的，双方当事人应当中止或者终止合同。有过错的一方应当承担赔偿责任，双方当事人都有过错的，各自承担相应的责任；</w:t>
      </w:r>
    </w:p>
    <w:p w14:paraId="07FD6AB4">
      <w:pPr>
        <w:numPr>
          <w:ilvl w:val="0"/>
          <w:numId w:val="4"/>
        </w:numPr>
        <w:adjustRightInd/>
        <w:spacing w:line="400" w:lineRule="exact"/>
        <w:ind w:left="142" w:firstLine="283" w:firstLineChars="118"/>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FF3226E">
      <w:pPr>
        <w:widowControl/>
        <w:adjustRightInd/>
        <w:snapToGrid w:val="0"/>
        <w:spacing w:line="400" w:lineRule="exact"/>
        <w:ind w:firstLine="482" w:firstLineChars="200"/>
        <w:jc w:val="left"/>
        <w:rPr>
          <w:rFonts w:hint="eastAsia" w:ascii="仿宋" w:hAnsi="仿宋" w:eastAsia="仿宋" w:cs="宋体"/>
          <w:b/>
          <w:bCs/>
          <w:kern w:val="0"/>
          <w:sz w:val="24"/>
        </w:rPr>
      </w:pPr>
    </w:p>
    <w:p w14:paraId="4D7CA1CA">
      <w:pPr>
        <w:widowControl/>
        <w:adjustRightInd/>
        <w:snapToGrid w:val="0"/>
        <w:spacing w:line="400" w:lineRule="exact"/>
        <w:ind w:firstLine="424" w:firstLineChars="176"/>
        <w:jc w:val="left"/>
        <w:rPr>
          <w:rFonts w:hint="eastAsia" w:ascii="仿宋" w:hAnsi="仿宋" w:eastAsia="仿宋" w:cs="宋体"/>
          <w:b/>
          <w:bCs/>
          <w:kern w:val="0"/>
          <w:sz w:val="24"/>
        </w:rPr>
      </w:pPr>
      <w:r>
        <w:rPr>
          <w:rFonts w:hint="eastAsia" w:ascii="仿宋" w:hAnsi="仿宋" w:eastAsia="仿宋" w:cs="宋体"/>
          <w:b/>
          <w:bCs/>
          <w:kern w:val="0"/>
          <w:sz w:val="24"/>
        </w:rPr>
        <w:t>十二、不可抗力</w:t>
      </w:r>
    </w:p>
    <w:p w14:paraId="4157955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本合同规定的不可抗力事件是指甲乙双方在缔结合同时所不能预见的，并且它的发生及其后果是无法避免和无法克服的事件，诸如战争和严重的风灾、水灾、雪灾、地震等自然灾害，以及政策性等不由双方控制的，也包括双方同意的其他不可抗力事件；</w:t>
      </w:r>
    </w:p>
    <w:p w14:paraId="58089447">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（二）签约双方任一方由于受不可抗力事件的影响而不能执行合同时，履行合同的期限应予以延长，其延长的期限应相当于事件所影响的时间；</w:t>
      </w:r>
    </w:p>
    <w:p w14:paraId="5C2D3CAF">
      <w:pPr>
        <w:adjustRightInd/>
        <w:spacing w:line="400" w:lineRule="exact"/>
        <w:ind w:firstLine="424" w:firstLineChars="177"/>
        <w:rPr>
          <w:rFonts w:hint="eastAsia" w:ascii="仿宋" w:hAnsi="仿宋" w:eastAsia="仿宋" w:cs="仿宋_GB2312"/>
          <w:kern w:val="0"/>
          <w:sz w:val="24"/>
        </w:rPr>
      </w:pPr>
      <w:r>
        <w:rPr>
          <w:rFonts w:hint="eastAsia" w:ascii="仿宋" w:hAnsi="仿宋" w:eastAsia="仿宋" w:cs="仿宋_GB2312"/>
          <w:kern w:val="0"/>
          <w:sz w:val="24"/>
        </w:rPr>
        <w:t>（三）因不可抗力事件受阻一方应在不可抗力事件发生后尽快用书面方式或电报、传真通知对方，并于事件发生后7天内将有关国家职能机关或具有国家授权认定的机构出具的证明文件及其他说明材料用特快专递或挂号信寄给对方审阅确认，一旦不可抗力事件的影响预计持续</w:t>
      </w:r>
      <w:r>
        <w:rPr>
          <w:rFonts w:ascii="仿宋" w:hAnsi="仿宋" w:eastAsia="仿宋" w:cs="仿宋_GB2312"/>
          <w:kern w:val="0"/>
          <w:sz w:val="24"/>
        </w:rPr>
        <w:t>60</w:t>
      </w:r>
      <w:r>
        <w:rPr>
          <w:rFonts w:hint="eastAsia" w:ascii="仿宋" w:hAnsi="仿宋" w:eastAsia="仿宋" w:cs="仿宋_GB2312"/>
          <w:kern w:val="0"/>
          <w:sz w:val="24"/>
        </w:rPr>
        <w:t>天以上，双方应通过友好协商</w:t>
      </w:r>
      <w:r>
        <w:rPr>
          <w:rFonts w:ascii="仿宋" w:hAnsi="仿宋" w:eastAsia="仿宋" w:cs="仿宋_GB2312"/>
          <w:kern w:val="0"/>
          <w:sz w:val="24"/>
        </w:rPr>
        <w:t>15</w:t>
      </w:r>
      <w:r>
        <w:rPr>
          <w:rFonts w:hint="eastAsia" w:ascii="仿宋" w:hAnsi="仿宋" w:eastAsia="仿宋" w:cs="仿宋_GB2312"/>
          <w:kern w:val="0"/>
          <w:sz w:val="24"/>
        </w:rPr>
        <w:t>天的时间内达成进一步履行合同的协议，如不能达成共识，按本合同第十四条约定解决。</w:t>
      </w:r>
    </w:p>
    <w:p w14:paraId="4E7DFE0F">
      <w:pPr>
        <w:adjustRightInd/>
        <w:spacing w:line="400" w:lineRule="exact"/>
        <w:ind w:firstLine="426" w:firstLineChars="177"/>
        <w:rPr>
          <w:rFonts w:hint="eastAsia" w:ascii="仿宋" w:hAnsi="仿宋" w:eastAsia="仿宋" w:cs="宋体"/>
          <w:b/>
          <w:bCs/>
          <w:kern w:val="0"/>
          <w:sz w:val="24"/>
        </w:rPr>
      </w:pPr>
      <w:r>
        <w:rPr>
          <w:rFonts w:hint="eastAsia" w:ascii="仿宋" w:hAnsi="仿宋" w:eastAsia="仿宋" w:cs="宋体"/>
          <w:b/>
          <w:bCs/>
          <w:kern w:val="0"/>
          <w:sz w:val="24"/>
        </w:rPr>
        <w:t>十三、项目保密</w:t>
      </w:r>
    </w:p>
    <w:p w14:paraId="52886249">
      <w:pPr>
        <w:widowControl/>
        <w:tabs>
          <w:tab w:val="left" w:pos="0"/>
        </w:tabs>
        <w:adjustRightInd/>
        <w:spacing w:line="400" w:lineRule="exact"/>
        <w:ind w:firstLine="424" w:firstLineChars="177"/>
        <w:jc w:val="left"/>
        <w:rPr>
          <w:rFonts w:hint="eastAsia" w:ascii="仿宋" w:hAnsi="仿宋" w:eastAsia="仿宋"/>
          <w:sz w:val="24"/>
        </w:rPr>
      </w:pPr>
      <w:bookmarkStart w:id="518" w:name="_Hlk95233671"/>
      <w:r>
        <w:rPr>
          <w:rFonts w:hint="eastAsia" w:ascii="仿宋" w:hAnsi="仿宋" w:eastAsia="仿宋"/>
          <w:sz w:val="24"/>
          <w:shd w:val="clear" w:color="auto" w:fill="FFFFFF"/>
        </w:rPr>
        <w:t>（一）甲方向乙方提供的所有资料，仅供本项目小组人员参考使用，乙方须严守资料中所涉秘密、妥善保管，及时销毁、不得遗失、不得向本项目小组以外的单位或个人转借、复印等，不得用于与本项目研发、运行无关的用途。乙方更换本项目小组成员时应获得甲方书面同意，并立即向项目小组成员收回甲方提供的所以资料，否则</w:t>
      </w:r>
      <w:bookmarkEnd w:id="518"/>
      <w:r>
        <w:rPr>
          <w:rFonts w:hint="eastAsia" w:ascii="仿宋" w:hAnsi="仿宋" w:eastAsia="仿宋" w:cs="仿宋_GB2312"/>
          <w:kern w:val="0"/>
          <w:sz w:val="24"/>
        </w:rPr>
        <w:t>乙方应承担违约责任，向甲方支付违约金，违约金数额为本合同总价的</w:t>
      </w:r>
      <w:r>
        <w:rPr>
          <w:rFonts w:ascii="仿宋" w:hAnsi="仿宋" w:eastAsia="仿宋" w:cs="仿宋_GB2312"/>
          <w:kern w:val="0"/>
          <w:sz w:val="24"/>
        </w:rPr>
        <w:t>20%</w:t>
      </w:r>
      <w:r>
        <w:rPr>
          <w:rFonts w:hint="eastAsia" w:ascii="仿宋" w:hAnsi="仿宋" w:eastAsia="仿宋" w:cs="仿宋_GB2312"/>
          <w:kern w:val="0"/>
          <w:sz w:val="24"/>
        </w:rPr>
        <w:t>；</w:t>
      </w:r>
    </w:p>
    <w:p w14:paraId="552F6661">
      <w:pPr>
        <w:widowControl/>
        <w:tabs>
          <w:tab w:val="left" w:pos="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（二）乙方发现甲方的保密事项已经泄露或可能泄露时，应当立即采取补救措施，并及时书面报告甲方；</w:t>
      </w:r>
    </w:p>
    <w:p w14:paraId="16778B9B">
      <w:pPr>
        <w:widowControl/>
        <w:tabs>
          <w:tab w:val="left" w:pos="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（三）本项目完成后15天内，乙方应主动退还本项目过程中甲方提供的全部资料并销毁相关数据；</w:t>
      </w:r>
    </w:p>
    <w:p w14:paraId="03337029">
      <w:pPr>
        <w:widowControl/>
        <w:tabs>
          <w:tab w:val="left" w:pos="56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（四）乙方在接受和退还涉密内容的资料时建立登记制度；</w:t>
      </w:r>
    </w:p>
    <w:p w14:paraId="676286DF">
      <w:pPr>
        <w:widowControl/>
        <w:tabs>
          <w:tab w:val="left" w:pos="56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（五）乙方造成的泄失密事件，乙方应承担违约责任，向甲方支付违约金，违约金数额为本合同总价的</w:t>
      </w:r>
      <w:r>
        <w:rPr>
          <w:rFonts w:ascii="仿宋" w:hAnsi="仿宋" w:eastAsia="仿宋" w:cs="仿宋_GB2312"/>
          <w:kern w:val="0"/>
          <w:sz w:val="24"/>
        </w:rPr>
        <w:t>20%</w:t>
      </w:r>
      <w:r>
        <w:rPr>
          <w:rFonts w:hint="eastAsia" w:ascii="仿宋" w:hAnsi="仿宋" w:eastAsia="仿宋" w:cs="仿宋_GB2312"/>
          <w:kern w:val="0"/>
          <w:sz w:val="24"/>
        </w:rPr>
        <w:t>，若泄密事件造成甲方的实际经济损失大于违约金数额，乙方除赔偿甲方违约金外还应额外赔偿甲方的实际经济损失；构成刑事犯罪的，还应依法追究刑事责任；</w:t>
      </w:r>
    </w:p>
    <w:p w14:paraId="49DCF8C6">
      <w:pPr>
        <w:widowControl/>
        <w:tabs>
          <w:tab w:val="left" w:pos="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六）本项目所有文档及本项目所接触的双方资料，未经对方授权代表书面许可，不得向与合同无关的其他方泄漏任何技术文件或与合同有关的数据，包括合同本身。不论本协议或合同是否期满、变更、解除、终止，本条款均有效；</w:t>
      </w:r>
    </w:p>
    <w:p w14:paraId="3D4093A7">
      <w:pPr>
        <w:widowControl/>
        <w:tabs>
          <w:tab w:val="left" w:pos="0"/>
        </w:tabs>
        <w:adjustRightInd/>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（七）乙方应与甲方签订安全保密协议（附件六），甲方有权对乙方进行资格审查，开展安全教育，落实安全监管措施，指派具有相应技术能力的人员对乙方操作行为全程监督、严格审计。</w:t>
      </w:r>
    </w:p>
    <w:p w14:paraId="716D51B2">
      <w:pPr>
        <w:widowControl/>
        <w:tabs>
          <w:tab w:val="left" w:pos="0"/>
        </w:tabs>
        <w:adjustRightInd/>
        <w:spacing w:line="400" w:lineRule="exact"/>
        <w:ind w:firstLine="424" w:firstLineChars="177"/>
        <w:jc w:val="left"/>
        <w:rPr>
          <w:rFonts w:hint="eastAsia" w:ascii="仿宋" w:hAnsi="仿宋" w:eastAsia="仿宋" w:cs="仿宋_GB2312"/>
          <w:kern w:val="0"/>
          <w:sz w:val="24"/>
        </w:rPr>
      </w:pPr>
    </w:p>
    <w:p w14:paraId="09E40650">
      <w:pPr>
        <w:adjustRightInd/>
        <w:spacing w:line="400" w:lineRule="exact"/>
        <w:ind w:firstLine="424" w:firstLineChars="176"/>
        <w:rPr>
          <w:rFonts w:hint="eastAsia" w:ascii="仿宋" w:hAnsi="仿宋" w:eastAsia="仿宋" w:cs="黑体"/>
          <w:b/>
          <w:kern w:val="0"/>
          <w:sz w:val="24"/>
        </w:rPr>
      </w:pPr>
      <w:r>
        <w:rPr>
          <w:rFonts w:hint="eastAsia" w:ascii="仿宋" w:hAnsi="仿宋" w:eastAsia="仿宋" w:cs="黑体"/>
          <w:b/>
          <w:kern w:val="0"/>
          <w:sz w:val="24"/>
        </w:rPr>
        <w:t>十四、争议解决方式</w:t>
      </w:r>
    </w:p>
    <w:p w14:paraId="0BD2ED3A">
      <w:pPr>
        <w:adjustRightInd/>
        <w:spacing w:line="400" w:lineRule="exact"/>
        <w:ind w:firstLine="424" w:firstLineChars="177"/>
        <w:rPr>
          <w:rFonts w:hint="eastAsia" w:ascii="仿宋" w:hAnsi="仿宋" w:eastAsia="仿宋" w:cs="仿宋_GB2312"/>
          <w:kern w:val="0"/>
          <w:sz w:val="24"/>
        </w:rPr>
      </w:pPr>
      <w:r>
        <w:rPr>
          <w:rFonts w:hint="eastAsia" w:ascii="仿宋" w:hAnsi="仿宋" w:eastAsia="仿宋" w:cs="仿宋_GB2312"/>
          <w:kern w:val="0"/>
          <w:sz w:val="24"/>
        </w:rPr>
        <w:t>（一）合同的实施或与合同有关的一切争端应通过双方友好协商解决。如果友好协商自争端出现之日起60天后还不能解决，任何一方都可依法提交甲方所在地有管辖权的人民法院解决；</w:t>
      </w:r>
    </w:p>
    <w:p w14:paraId="35E38C75">
      <w:pPr>
        <w:adjustRightInd/>
        <w:spacing w:line="400" w:lineRule="exact"/>
        <w:ind w:firstLine="424" w:firstLineChars="177"/>
        <w:rPr>
          <w:rFonts w:hint="eastAsia" w:ascii="仿宋" w:hAnsi="仿宋" w:eastAsia="仿宋" w:cs="仿宋_GB2312"/>
          <w:kern w:val="0"/>
          <w:sz w:val="24"/>
        </w:rPr>
      </w:pPr>
      <w:r>
        <w:rPr>
          <w:rFonts w:hint="eastAsia" w:ascii="仿宋" w:hAnsi="仿宋" w:eastAsia="仿宋" w:cs="仿宋_GB2312"/>
          <w:kern w:val="0"/>
          <w:sz w:val="24"/>
        </w:rPr>
        <w:t>（二）由此产生的所有费用，包括但不限于诉讼费、律师费、公告费、保全费、差旅费等一切费用由败诉方承担；</w:t>
      </w:r>
    </w:p>
    <w:p w14:paraId="75903BCB">
      <w:pPr>
        <w:adjustRightInd/>
        <w:spacing w:line="400" w:lineRule="exact"/>
        <w:ind w:firstLine="424" w:firstLineChars="177"/>
        <w:rPr>
          <w:rFonts w:hint="eastAsia" w:ascii="仿宋" w:hAnsi="仿宋" w:eastAsia="仿宋" w:cs="仿宋_GB2312"/>
          <w:kern w:val="0"/>
          <w:sz w:val="24"/>
        </w:rPr>
      </w:pPr>
      <w:r>
        <w:rPr>
          <w:rFonts w:hint="eastAsia" w:ascii="仿宋" w:hAnsi="仿宋" w:eastAsia="仿宋" w:cs="仿宋_GB2312"/>
          <w:kern w:val="0"/>
          <w:sz w:val="24"/>
        </w:rPr>
        <w:t>（三）在诉讼期间，除正在进行诉讼的部分以外，双方应继续执行合同的其余部分；</w:t>
      </w:r>
    </w:p>
    <w:p w14:paraId="3952CC0A">
      <w:pPr>
        <w:adjustRightInd/>
        <w:spacing w:line="400" w:lineRule="exact"/>
        <w:ind w:firstLine="424" w:firstLineChars="177"/>
        <w:rPr>
          <w:rFonts w:hint="eastAsia" w:ascii="仿宋" w:hAnsi="仿宋" w:eastAsia="仿宋" w:cs="仿宋_GB2312"/>
          <w:kern w:val="0"/>
          <w:sz w:val="24"/>
        </w:rPr>
      </w:pPr>
      <w:r>
        <w:rPr>
          <w:rFonts w:hint="eastAsia" w:ascii="仿宋" w:hAnsi="仿宋" w:eastAsia="仿宋" w:cs="仿宋_GB2312"/>
          <w:kern w:val="0"/>
          <w:sz w:val="24"/>
        </w:rPr>
        <w:t>（四）本合同适用中华人民共和国法律。</w:t>
      </w:r>
    </w:p>
    <w:p w14:paraId="386A67B0">
      <w:pPr>
        <w:adjustRightInd/>
        <w:spacing w:line="400" w:lineRule="exact"/>
        <w:ind w:firstLine="426" w:firstLineChars="177"/>
        <w:rPr>
          <w:rFonts w:hint="eastAsia" w:ascii="仿宋" w:hAnsi="仿宋" w:eastAsia="仿宋" w:cs="仿宋_GB2312"/>
          <w:b/>
          <w:kern w:val="0"/>
          <w:sz w:val="24"/>
        </w:rPr>
      </w:pPr>
    </w:p>
    <w:p w14:paraId="65188C6C">
      <w:pPr>
        <w:widowControl/>
        <w:adjustRightInd/>
        <w:snapToGrid w:val="0"/>
        <w:spacing w:line="400" w:lineRule="exact"/>
        <w:ind w:firstLine="424" w:firstLineChars="176"/>
        <w:jc w:val="left"/>
        <w:rPr>
          <w:rFonts w:hint="eastAsia" w:ascii="仿宋" w:hAnsi="仿宋" w:eastAsia="仿宋" w:cs="宋体"/>
          <w:b/>
          <w:bCs/>
          <w:kern w:val="0"/>
          <w:sz w:val="24"/>
        </w:rPr>
      </w:pPr>
      <w:r>
        <w:rPr>
          <w:rFonts w:hint="eastAsia" w:ascii="仿宋" w:hAnsi="仿宋" w:eastAsia="仿宋" w:cs="宋体"/>
          <w:b/>
          <w:bCs/>
          <w:kern w:val="0"/>
          <w:sz w:val="24"/>
        </w:rPr>
        <w:t>十五、项目合同附件清单</w:t>
      </w:r>
    </w:p>
    <w:p w14:paraId="79D001FE">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附件一：招标文件（谈判文件）</w:t>
      </w:r>
    </w:p>
    <w:p w14:paraId="3BE969A8">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附件二：乙方投标书（响应文件）</w:t>
      </w:r>
    </w:p>
    <w:p w14:paraId="04871997">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附件三：《技术支持和售后服务方案》</w:t>
      </w:r>
    </w:p>
    <w:p w14:paraId="4DED7B3D">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附件四：</w:t>
      </w:r>
      <w:r>
        <w:rPr>
          <w:rFonts w:hint="eastAsia" w:ascii="仿宋" w:hAnsi="仿宋" w:eastAsia="仿宋" w:cs="仿宋"/>
          <w:sz w:val="24"/>
        </w:rPr>
        <w:t>验收主要指标和标准</w:t>
      </w:r>
    </w:p>
    <w:p w14:paraId="2A9DB4A5">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附件五：</w:t>
      </w:r>
      <w:r>
        <w:rPr>
          <w:rFonts w:hint="eastAsia" w:ascii="新宋体" w:hAnsi="新宋体" w:eastAsia="新宋体" w:cs="仿宋_GB2312"/>
          <w:sz w:val="22"/>
          <w:szCs w:val="22"/>
        </w:rPr>
        <w:t>项</w:t>
      </w:r>
      <w:r>
        <w:rPr>
          <w:rFonts w:hint="eastAsia" w:ascii="仿宋" w:hAnsi="仿宋" w:eastAsia="仿宋" w:cs="仿宋"/>
          <w:sz w:val="24"/>
        </w:rPr>
        <w:t>目管理小组与驻场人员名单成员（包含但不限于驻场人员姓名、资质证书、身份证号码、联系方式、职务、社保证明等）</w:t>
      </w:r>
    </w:p>
    <w:p w14:paraId="7F27DD7A">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附件六：保密协议</w:t>
      </w:r>
    </w:p>
    <w:p w14:paraId="376892B9">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（可按项目实际</w:t>
      </w:r>
      <w:r>
        <w:rPr>
          <w:rFonts w:hint="eastAsia" w:ascii="仿宋" w:hAnsi="仿宋" w:eastAsia="仿宋" w:cs="仿宋_GB2312"/>
          <w:b/>
          <w:bCs/>
          <w:kern w:val="0"/>
          <w:sz w:val="24"/>
        </w:rPr>
        <w:t>增加</w:t>
      </w:r>
      <w:r>
        <w:rPr>
          <w:rFonts w:hint="eastAsia" w:ascii="仿宋" w:hAnsi="仿宋" w:eastAsia="仿宋" w:cs="仿宋_GB2312"/>
          <w:kern w:val="0"/>
          <w:sz w:val="24"/>
        </w:rPr>
        <w:t>附件内容）</w:t>
      </w:r>
    </w:p>
    <w:p w14:paraId="41D1915C">
      <w:pPr>
        <w:widowControl/>
        <w:adjustRightInd/>
        <w:snapToGrid w:val="0"/>
        <w:spacing w:line="400" w:lineRule="exact"/>
        <w:ind w:firstLine="480" w:firstLineChars="200"/>
        <w:jc w:val="left"/>
        <w:rPr>
          <w:rFonts w:hint="eastAsia" w:ascii="仿宋" w:hAnsi="仿宋" w:eastAsia="仿宋" w:cs="仿宋_GB2312"/>
          <w:kern w:val="0"/>
          <w:sz w:val="24"/>
        </w:rPr>
      </w:pPr>
    </w:p>
    <w:p w14:paraId="1FC23B35">
      <w:pPr>
        <w:widowControl/>
        <w:adjustRightInd/>
        <w:snapToGrid w:val="0"/>
        <w:spacing w:line="400" w:lineRule="exact"/>
        <w:ind w:firstLine="424" w:firstLineChars="176"/>
        <w:jc w:val="left"/>
        <w:rPr>
          <w:rFonts w:hint="eastAsia" w:ascii="仿宋" w:hAnsi="仿宋" w:eastAsia="仿宋" w:cs="宋体"/>
          <w:b/>
          <w:bCs/>
          <w:kern w:val="0"/>
          <w:sz w:val="24"/>
        </w:rPr>
      </w:pPr>
      <w:r>
        <w:rPr>
          <w:rFonts w:hint="eastAsia" w:ascii="仿宋" w:hAnsi="仿宋" w:eastAsia="仿宋" w:cs="宋体"/>
          <w:b/>
          <w:bCs/>
          <w:kern w:val="0"/>
          <w:sz w:val="24"/>
        </w:rPr>
        <w:t>十六、项目合同生效及其它</w:t>
      </w:r>
    </w:p>
    <w:p w14:paraId="79663059">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（一）本合同自双方授权代表签字并加盖公章之日起生效；</w:t>
      </w:r>
    </w:p>
    <w:p w14:paraId="6059CD34">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（二）本合同一式</w:t>
      </w:r>
      <w:r>
        <w:rPr>
          <w:rFonts w:hint="eastAsia" w:ascii="仿宋" w:hAnsi="仿宋" w:eastAsia="仿宋" w:cs="仿宋_GB2312"/>
          <w:kern w:val="0"/>
          <w:sz w:val="24"/>
          <w:u w:val="single"/>
        </w:rPr>
        <w:t xml:space="preserve"> </w:t>
      </w:r>
      <w:r>
        <w:rPr>
          <w:rFonts w:ascii="仿宋" w:hAnsi="仿宋" w:eastAsia="仿宋" w:cs="仿宋_GB2312"/>
          <w:kern w:val="0"/>
          <w:sz w:val="24"/>
          <w:u w:val="single"/>
        </w:rPr>
        <w:t xml:space="preserve">  </w:t>
      </w:r>
      <w:r>
        <w:rPr>
          <w:rFonts w:hint="eastAsia" w:ascii="仿宋" w:hAnsi="仿宋" w:eastAsia="仿宋" w:cs="仿宋_GB2312"/>
          <w:kern w:val="0"/>
          <w:sz w:val="24"/>
        </w:rPr>
        <w:t>份（不少于陆份），甲方执</w:t>
      </w:r>
      <w:r>
        <w:rPr>
          <w:rFonts w:hint="eastAsia" w:ascii="仿宋" w:hAnsi="仿宋" w:eastAsia="仿宋" w:cs="仿宋_GB2312"/>
          <w:kern w:val="0"/>
          <w:sz w:val="24"/>
          <w:u w:val="single"/>
        </w:rPr>
        <w:t xml:space="preserve"> </w:t>
      </w:r>
      <w:r>
        <w:rPr>
          <w:rFonts w:ascii="仿宋" w:hAnsi="仿宋" w:eastAsia="仿宋" w:cs="仿宋_GB2312"/>
          <w:kern w:val="0"/>
          <w:sz w:val="24"/>
          <w:u w:val="single"/>
        </w:rPr>
        <w:t xml:space="preserve"> </w:t>
      </w:r>
      <w:r>
        <w:rPr>
          <w:rFonts w:hint="eastAsia" w:ascii="仿宋" w:hAnsi="仿宋" w:eastAsia="仿宋" w:cs="仿宋_GB2312"/>
          <w:kern w:val="0"/>
          <w:sz w:val="24"/>
        </w:rPr>
        <w:t>份，乙方执</w:t>
      </w:r>
      <w:r>
        <w:rPr>
          <w:rFonts w:hint="eastAsia" w:ascii="仿宋" w:hAnsi="仿宋" w:eastAsia="仿宋" w:cs="仿宋_GB2312"/>
          <w:kern w:val="0"/>
          <w:sz w:val="24"/>
          <w:u w:val="single"/>
        </w:rPr>
        <w:t xml:space="preserve"> </w:t>
      </w:r>
      <w:r>
        <w:rPr>
          <w:rFonts w:ascii="仿宋" w:hAnsi="仿宋" w:eastAsia="仿宋" w:cs="仿宋_GB2312"/>
          <w:kern w:val="0"/>
          <w:sz w:val="24"/>
          <w:u w:val="single"/>
        </w:rPr>
        <w:t xml:space="preserve"> </w:t>
      </w:r>
      <w:r>
        <w:rPr>
          <w:rFonts w:hint="eastAsia" w:ascii="仿宋" w:hAnsi="仿宋" w:eastAsia="仿宋" w:cs="仿宋_GB2312"/>
          <w:kern w:val="0"/>
          <w:sz w:val="24"/>
        </w:rPr>
        <w:t>份。</w:t>
      </w:r>
      <w:r>
        <w:rPr>
          <w:rFonts w:hint="eastAsia" w:ascii="仿宋" w:hAnsi="仿宋" w:eastAsia="仿宋" w:cs="仿宋_GB2312"/>
          <w:bCs/>
          <w:kern w:val="0"/>
          <w:sz w:val="24"/>
        </w:rPr>
        <w:t>本项目合同附件及招标文件、乙方投标书等是合同不可分</w:t>
      </w:r>
      <w:r>
        <w:rPr>
          <w:rFonts w:hint="eastAsia" w:ascii="仿宋" w:hAnsi="仿宋" w:eastAsia="仿宋" w:cs="仿宋_GB2312"/>
          <w:kern w:val="0"/>
          <w:sz w:val="24"/>
        </w:rPr>
        <w:t>割的一部分，具有同等法律效力；</w:t>
      </w:r>
    </w:p>
    <w:p w14:paraId="70221BEE">
      <w:pPr>
        <w:widowControl/>
        <w:adjustRightInd/>
        <w:snapToGrid w:val="0"/>
        <w:spacing w:line="400" w:lineRule="exact"/>
        <w:ind w:firstLine="424" w:firstLineChars="177"/>
        <w:jc w:val="left"/>
        <w:rPr>
          <w:rFonts w:hint="eastAsia" w:ascii="仿宋" w:hAnsi="仿宋" w:eastAsia="仿宋" w:cs="仿宋_GB2312"/>
          <w:bCs/>
          <w:kern w:val="0"/>
          <w:sz w:val="24"/>
        </w:rPr>
      </w:pPr>
      <w:r>
        <w:rPr>
          <w:rFonts w:hint="eastAsia" w:ascii="仿宋" w:hAnsi="仿宋" w:eastAsia="仿宋" w:cs="仿宋_GB2312"/>
          <w:bCs/>
          <w:kern w:val="0"/>
          <w:sz w:val="24"/>
        </w:rPr>
        <w:t>（三）本合同终止日期为设备及系统保修期的结束日期，到期后自行终止；</w:t>
      </w:r>
    </w:p>
    <w:p w14:paraId="679663B5">
      <w:pPr>
        <w:widowControl/>
        <w:adjustRightInd/>
        <w:snapToGrid w:val="0"/>
        <w:spacing w:line="400" w:lineRule="exact"/>
        <w:ind w:firstLine="424" w:firstLineChars="177"/>
        <w:jc w:val="left"/>
        <w:rPr>
          <w:rFonts w:hint="eastAsia" w:ascii="仿宋" w:hAnsi="仿宋" w:eastAsia="仿宋" w:cs="仿宋_GB2312"/>
          <w:kern w:val="0"/>
          <w:sz w:val="24"/>
        </w:rPr>
      </w:pPr>
      <w:r>
        <w:rPr>
          <w:rFonts w:hint="eastAsia" w:ascii="仿宋" w:hAnsi="仿宋" w:eastAsia="仿宋" w:cs="仿宋_GB2312"/>
          <w:kern w:val="0"/>
          <w:sz w:val="24"/>
        </w:rPr>
        <w:t>（四）送达条款。</w:t>
      </w:r>
    </w:p>
    <w:p w14:paraId="0F7C067A">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16.4.1 本合同项下任何一方向对方发出的通知、信件、数据电文等，应当发送至本合同（首部/附件/下列）约定的地址、联系人和通信终端。一方当事人变更名称、地址、联系人或通信终端的，应当在变更后3日内及时书面通知对方当事人，对方当事人实际收到变更通知前的送达仍为有效送达，电子送达与书面送达具有同等法律效力。</w:t>
      </w:r>
    </w:p>
    <w:p w14:paraId="24112321">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16.4.2 任何一方当事人向对/他方所发出的信件，自信件【尽量约定为邮政特快专递】交邮后的第7日视为送达；发出的短信/传真/微信/电子邮件，自前述电子文件内容在发送方正确填写地址且未被系统退回的情况下，视为进入对方数据电文接收系统即视为送达。若送达日为非工作日, 则视为在下一工作日送达。</w:t>
      </w:r>
    </w:p>
    <w:p w14:paraId="407D744B">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16.4.3 本合同（首部/附件/第1.1条）约定的地址、联系人及电子通信终端亦为双方工作联系往来、法律文书及争议解决时人民法院和/或仲裁机构的法律文书送达地址，人民法院和/或仲裁机构的诉讼文书（含裁判文书）向任何合同任何一方当事人的上述地址和/或工商登记公示地址（居民身份证登记地址）送达的，视为有效送达。当事人对电子通信终端的联系送达适用于争议解决时的送达。</w:t>
      </w:r>
    </w:p>
    <w:p w14:paraId="27E329C7">
      <w:pPr>
        <w:widowControl/>
        <w:adjustRightInd/>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16.4.4 合同送达条款与争议解决条款均为独立条款，不受合同整体或其他条款的效力的影响。</w:t>
      </w:r>
    </w:p>
    <w:p w14:paraId="50C68A8A">
      <w:pPr>
        <w:widowControl/>
        <w:adjustRightInd/>
        <w:snapToGrid w:val="0"/>
        <w:spacing w:line="400" w:lineRule="exact"/>
        <w:ind w:firstLine="480" w:firstLineChars="200"/>
        <w:jc w:val="left"/>
        <w:rPr>
          <w:rFonts w:hint="eastAsia" w:ascii="仿宋" w:hAnsi="仿宋" w:eastAsia="仿宋" w:cs="仿宋_GB2312"/>
          <w:kern w:val="0"/>
          <w:sz w:val="24"/>
        </w:rPr>
      </w:pPr>
    </w:p>
    <w:p w14:paraId="6BBDA267">
      <w:pPr>
        <w:widowControl/>
        <w:adjustRightInd/>
        <w:snapToGrid w:val="0"/>
        <w:spacing w:line="400" w:lineRule="exact"/>
        <w:ind w:firstLine="480" w:firstLineChars="200"/>
        <w:jc w:val="left"/>
        <w:rPr>
          <w:rFonts w:hint="eastAsia" w:ascii="仿宋" w:hAnsi="仿宋" w:eastAsia="仿宋" w:cs="仿宋_GB2312"/>
          <w:bCs/>
          <w:kern w:val="0"/>
          <w:sz w:val="24"/>
        </w:rPr>
      </w:pPr>
      <w:r>
        <w:rPr>
          <w:rFonts w:hint="eastAsia" w:ascii="仿宋" w:hAnsi="仿宋" w:eastAsia="仿宋" w:cs="仿宋_GB2312"/>
          <w:bCs/>
          <w:kern w:val="0"/>
          <w:sz w:val="24"/>
        </w:rPr>
        <w:t>(以下无正文，为签章及附件)</w:t>
      </w:r>
    </w:p>
    <w:p w14:paraId="650C3430">
      <w:pPr>
        <w:widowControl/>
        <w:adjustRightInd/>
        <w:snapToGrid w:val="0"/>
        <w:spacing w:line="400" w:lineRule="exact"/>
        <w:ind w:firstLine="424" w:firstLineChars="176"/>
        <w:jc w:val="left"/>
        <w:rPr>
          <w:rFonts w:hint="eastAsia" w:ascii="仿宋" w:hAnsi="仿宋" w:eastAsia="仿宋" w:cs="仿宋_GB2312"/>
          <w:bCs/>
          <w:kern w:val="0"/>
          <w:sz w:val="24"/>
        </w:rPr>
      </w:pPr>
      <w:r>
        <w:rPr>
          <w:rFonts w:hint="eastAsia" w:ascii="仿宋" w:hAnsi="仿宋" w:eastAsia="仿宋" w:cs="宋体"/>
          <w:b/>
          <w:bCs/>
          <w:kern w:val="0"/>
          <w:sz w:val="24"/>
        </w:rPr>
        <w:t>十七、项目合同签字并盖章</w:t>
      </w:r>
    </w:p>
    <w:p w14:paraId="203B0F7F">
      <w:pPr>
        <w:widowControl/>
        <w:adjustRightInd/>
        <w:spacing w:line="400" w:lineRule="exact"/>
        <w:jc w:val="left"/>
        <w:rPr>
          <w:rFonts w:hint="eastAsia" w:ascii="仿宋" w:hAnsi="仿宋" w:eastAsia="仿宋" w:cs="宋体"/>
          <w:b/>
          <w:bCs/>
          <w:kern w:val="0"/>
          <w:sz w:val="24"/>
        </w:rPr>
      </w:pPr>
    </w:p>
    <w:p w14:paraId="14CE50DC">
      <w:pPr>
        <w:widowControl/>
        <w:adjustRightInd/>
        <w:spacing w:line="400" w:lineRule="exact"/>
        <w:ind w:left="5280" w:firstLine="480" w:firstLineChars="200"/>
        <w:jc w:val="left"/>
        <w:rPr>
          <w:rFonts w:hint="eastAsia" w:ascii="仿宋" w:hAnsi="仿宋" w:eastAsia="仿宋" w:cs="宋体"/>
          <w:kern w:val="0"/>
          <w:sz w:val="24"/>
        </w:rPr>
      </w:pPr>
    </w:p>
    <w:p w14:paraId="4A00B39B">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 xml:space="preserve">甲方：温州市公安局                   乙方： </w:t>
      </w:r>
    </w:p>
    <w:p w14:paraId="17F7172E">
      <w:pPr>
        <w:widowControl/>
        <w:adjustRightInd/>
        <w:spacing w:line="400" w:lineRule="exact"/>
        <w:ind w:firstLine="480" w:firstLineChars="200"/>
        <w:jc w:val="left"/>
        <w:rPr>
          <w:rFonts w:hint="eastAsia" w:ascii="仿宋" w:hAnsi="仿宋" w:eastAsia="仿宋" w:cs="仿宋_GB2312"/>
          <w:kern w:val="0"/>
          <w:sz w:val="24"/>
        </w:rPr>
      </w:pPr>
    </w:p>
    <w:p w14:paraId="7D40F954">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法定（委托）代表人（签字）：         法定（委托）代表人（签字）：</w:t>
      </w:r>
    </w:p>
    <w:p w14:paraId="40A9FF81">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项目联系人：                         项目联系人：</w:t>
      </w:r>
    </w:p>
    <w:p w14:paraId="54BBD898">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 xml:space="preserve">通信地址：                           通信地址： </w:t>
      </w:r>
    </w:p>
    <w:p w14:paraId="45712C2A">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电话：                               电话：</w:t>
      </w:r>
    </w:p>
    <w:p w14:paraId="21B82525">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传真：                               传真：</w:t>
      </w:r>
    </w:p>
    <w:p w14:paraId="3075C6C6">
      <w:pPr>
        <w:widowControl/>
        <w:adjustRightInd/>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签字日期：    年   月   日       签字日期：    年   月   日</w:t>
      </w:r>
    </w:p>
    <w:p w14:paraId="03C09C43">
      <w:pPr>
        <w:widowControl/>
        <w:spacing w:line="400" w:lineRule="exact"/>
        <w:ind w:firstLine="480" w:firstLineChars="200"/>
        <w:jc w:val="left"/>
        <w:rPr>
          <w:rFonts w:ascii="仿宋" w:hAnsi="仿宋" w:eastAsia="仿宋" w:cs="仿宋_GB2312"/>
          <w:color w:val="000000" w:themeColor="text1"/>
          <w:kern w:val="0"/>
          <w:sz w:val="24"/>
          <w14:textFill>
            <w14:solidFill>
              <w14:schemeClr w14:val="tx1"/>
            </w14:solidFill>
          </w14:textFill>
        </w:rPr>
      </w:pPr>
    </w:p>
    <w:p w14:paraId="702CA880">
      <w:pPr>
        <w:widowControl/>
        <w:spacing w:line="400" w:lineRule="exact"/>
        <w:ind w:firstLine="482" w:firstLineChars="200"/>
        <w:jc w:val="center"/>
        <w:rPr>
          <w:rFonts w:ascii="仿宋" w:hAnsi="仿宋" w:eastAsia="仿宋" w:cs="宋体"/>
          <w:b/>
          <w:bCs/>
          <w:color w:val="000000" w:themeColor="text1"/>
          <w:kern w:val="0"/>
          <w:sz w:val="24"/>
          <w14:textFill>
            <w14:solidFill>
              <w14:schemeClr w14:val="tx1"/>
            </w14:solidFill>
          </w14:textFill>
        </w:rPr>
      </w:pPr>
      <w:bookmarkStart w:id="519" w:name="_Toc63837503"/>
    </w:p>
    <w:p w14:paraId="7C493A12">
      <w:pPr>
        <w:widowControl/>
        <w:spacing w:line="400" w:lineRule="exact"/>
        <w:ind w:firstLine="482" w:firstLineChars="200"/>
        <w:rPr>
          <w:rFonts w:ascii="仿宋" w:hAnsi="仿宋" w:eastAsia="仿宋" w:cs="宋体"/>
          <w:b/>
          <w:bCs/>
          <w:color w:val="000000" w:themeColor="text1"/>
          <w:kern w:val="0"/>
          <w:sz w:val="24"/>
          <w14:textFill>
            <w14:solidFill>
              <w14:schemeClr w14:val="tx1"/>
            </w14:solidFill>
          </w14:textFill>
        </w:rPr>
      </w:pPr>
    </w:p>
    <w:p w14:paraId="2045C33F">
      <w:pP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br w:type="page"/>
      </w:r>
    </w:p>
    <w:p w14:paraId="2F60015C">
      <w:pPr>
        <w:widowControl/>
        <w:spacing w:line="400" w:lineRule="exact"/>
        <w:jc w:val="left"/>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附件一</w:t>
      </w:r>
    </w:p>
    <w:p w14:paraId="1120E61D">
      <w:pPr>
        <w:widowControl/>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628A926">
      <w:pPr>
        <w:widowControl/>
        <w:spacing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50EDDCA3">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0363E25">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招标文件</w:t>
      </w:r>
    </w:p>
    <w:p w14:paraId="4BFADE9E">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（文本另附，本页盖章即可）</w:t>
      </w:r>
    </w:p>
    <w:p w14:paraId="723B30AE">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 xml:space="preserve"> </w:t>
      </w:r>
    </w:p>
    <w:p w14:paraId="63C788E2">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8DB21BC">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09AA2F1F">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60DE7B9F">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523967EA">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F545E16">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62AA6947">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E95A93A">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0E89E725">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5B753E72">
      <w:pPr>
        <w:widowControl/>
        <w:spacing w:before="120"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＿＿＿＿＿＿＿公司（印章）</w:t>
      </w:r>
    </w:p>
    <w:p w14:paraId="3BE98A9C">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09774B6E">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40957CC0">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41DF97A9">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9C9F3EE">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139FBA85">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1C3379C">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69395DD2">
      <w:pPr>
        <w:widowControl/>
        <w:spacing w:before="120" w:line="400" w:lineRule="exact"/>
        <w:jc w:val="left"/>
        <w:rPr>
          <w:rFonts w:ascii="仿宋" w:hAnsi="仿宋" w:eastAsia="仿宋" w:cs="宋体"/>
          <w:color w:val="000000" w:themeColor="text1"/>
          <w:kern w:val="0"/>
          <w:sz w:val="24"/>
          <w14:textFill>
            <w14:solidFill>
              <w14:schemeClr w14:val="tx1"/>
            </w14:solidFill>
          </w14:textFill>
        </w:rPr>
      </w:pPr>
    </w:p>
    <w:p w14:paraId="58D12EC2">
      <w:pP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br w:type="page"/>
      </w:r>
    </w:p>
    <w:p w14:paraId="6BFBB0C6">
      <w:pPr>
        <w:widowControl/>
        <w:spacing w:line="400" w:lineRule="exact"/>
        <w:jc w:val="left"/>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附件二</w:t>
      </w:r>
    </w:p>
    <w:p w14:paraId="31B99624">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7C1A072">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A350630">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7F3B31EE">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乙方投标书</w:t>
      </w:r>
    </w:p>
    <w:p w14:paraId="1CF77724">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（文本另附，本页盖章即可）</w:t>
      </w:r>
    </w:p>
    <w:p w14:paraId="5CA26755">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D631E1D">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E873080">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635C82E7">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6F16C10A">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6F896C4">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9BCBA0B">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7839ED7E">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6158EF23">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2BDAEF01">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90FB250">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A385C56">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F3B2EB4">
      <w:pPr>
        <w:widowControl/>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C7B729A">
      <w:pPr>
        <w:widowControl/>
        <w:spacing w:before="120"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＿＿＿＿＿＿＿公司（印章）</w:t>
      </w:r>
    </w:p>
    <w:p w14:paraId="66E85529">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A17F037">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03676485">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0880395">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6CFE269F">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6D1C8424">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7A0645F2">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5DB65245">
      <w:pPr>
        <w:widowControl/>
        <w:spacing w:before="120" w:line="400" w:lineRule="exact"/>
        <w:ind w:firstLine="480" w:firstLineChars="200"/>
        <w:jc w:val="left"/>
        <w:rPr>
          <w:rFonts w:ascii="仿宋" w:hAnsi="仿宋" w:eastAsia="仿宋" w:cs="宋体"/>
          <w:color w:val="000000" w:themeColor="text1"/>
          <w:kern w:val="0"/>
          <w:sz w:val="24"/>
          <w14:textFill>
            <w14:solidFill>
              <w14:schemeClr w14:val="tx1"/>
            </w14:solidFill>
          </w14:textFill>
        </w:rPr>
      </w:pPr>
    </w:p>
    <w:p w14:paraId="367EF68F">
      <w:pP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br w:type="page"/>
      </w:r>
    </w:p>
    <w:p w14:paraId="3FC5AF74">
      <w:pPr>
        <w:widowControl/>
        <w:snapToGrid w:val="0"/>
        <w:spacing w:line="400" w:lineRule="exact"/>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附件三</w:t>
      </w:r>
    </w:p>
    <w:p w14:paraId="1DE8D760">
      <w:pPr>
        <w:widowControl/>
        <w:snapToGrid w:val="0"/>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p w14:paraId="089B3660">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技术支持与售后服务方案（技术培训应包含培训人数、培训天数、培训次数、培训内容、培训目的等）</w:t>
      </w:r>
    </w:p>
    <w:p w14:paraId="4581B2B4">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BB17537">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1EA7FF3">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C3B2CE6">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25364010">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2D445B63">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272B9EF">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7653DEE9">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A9B8FBA">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CE58872">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CB047E4">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71C2E4CB">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CD04052">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3C407E4E">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113A3B20">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1FAE45D">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w:t>
      </w:r>
      <w:r>
        <w:rPr>
          <w:rFonts w:ascii="仿宋" w:hAnsi="仿宋" w:eastAsia="仿宋" w:cs="宋体"/>
          <w:color w:val="000000" w:themeColor="text1"/>
          <w:kern w:val="0"/>
          <w:sz w:val="24"/>
          <w14:textFill>
            <w14:solidFill>
              <w14:schemeClr w14:val="tx1"/>
            </w14:solidFill>
          </w14:textFill>
        </w:rPr>
        <w:t>＿＿＿公司（印章）</w:t>
      </w:r>
    </w:p>
    <w:p w14:paraId="11177DEF">
      <w:pPr>
        <w:widowControl/>
        <w:snapToGrid w:val="0"/>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p w14:paraId="4D46EB81">
      <w:pPr>
        <w:widowControl/>
        <w:snapToGrid w:val="0"/>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p w14:paraId="34C58EC1">
      <w:pPr>
        <w:widowControl/>
        <w:snapToGrid w:val="0"/>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p w14:paraId="1A024241">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63B47DAB">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1E4602F5">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7EEC31D0">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463FFD56">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1FE6A0FD">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6DBACE18">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328153CC">
      <w:pPr>
        <w:widowControl/>
        <w:snapToGrid w:val="0"/>
        <w:spacing w:line="400" w:lineRule="exact"/>
        <w:rPr>
          <w:rFonts w:ascii="仿宋" w:hAnsi="仿宋" w:eastAsia="仿宋" w:cs="宋体"/>
          <w:color w:val="000000" w:themeColor="text1"/>
          <w:kern w:val="0"/>
          <w:sz w:val="24"/>
          <w14:textFill>
            <w14:solidFill>
              <w14:schemeClr w14:val="tx1"/>
            </w14:solidFill>
          </w14:textFill>
        </w:rPr>
      </w:pPr>
    </w:p>
    <w:p w14:paraId="2678944D">
      <w:pPr>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br w:type="page"/>
      </w:r>
    </w:p>
    <w:p w14:paraId="7ADE039E">
      <w:pPr>
        <w:widowControl/>
        <w:snapToGrid w:val="0"/>
        <w:spacing w:line="400" w:lineRule="exact"/>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附件四</w:t>
      </w:r>
    </w:p>
    <w:p w14:paraId="323DC6B3">
      <w:pPr>
        <w:pStyle w:val="44"/>
        <w:spacing w:line="240" w:lineRule="auto"/>
        <w:ind w:firstLine="0" w:firstLineChars="0"/>
        <w:jc w:val="both"/>
        <w:rPr>
          <w:rFonts w:ascii="方正小标宋简体" w:eastAsia="方正小标宋简体"/>
          <w:color w:val="000000" w:themeColor="text1"/>
          <w:sz w:val="44"/>
          <w:szCs w:val="44"/>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验收主要指标和标准（参考格式）</w:t>
      </w:r>
    </w:p>
    <w:p w14:paraId="06FC9613">
      <w:pPr>
        <w:widowControl/>
        <w:snapToGrid w:val="0"/>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876"/>
        <w:gridCol w:w="2585"/>
        <w:gridCol w:w="829"/>
        <w:gridCol w:w="1257"/>
        <w:gridCol w:w="1260"/>
        <w:gridCol w:w="1007"/>
      </w:tblGrid>
      <w:tr w14:paraId="17880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23161099">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序号</w:t>
            </w:r>
          </w:p>
        </w:tc>
        <w:tc>
          <w:tcPr>
            <w:tcW w:w="876" w:type="dxa"/>
            <w:vAlign w:val="center"/>
          </w:tcPr>
          <w:p w14:paraId="2087922E">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名称</w:t>
            </w:r>
          </w:p>
        </w:tc>
        <w:tc>
          <w:tcPr>
            <w:tcW w:w="2585" w:type="dxa"/>
            <w:vAlign w:val="center"/>
          </w:tcPr>
          <w:p w14:paraId="0BFFA4F6">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货物型号规格、标准及配置等（或服务内容、标准）</w:t>
            </w:r>
          </w:p>
        </w:tc>
        <w:tc>
          <w:tcPr>
            <w:tcW w:w="829" w:type="dxa"/>
            <w:vAlign w:val="center"/>
          </w:tcPr>
          <w:p w14:paraId="69683852">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数量</w:t>
            </w:r>
          </w:p>
        </w:tc>
        <w:tc>
          <w:tcPr>
            <w:tcW w:w="1257" w:type="dxa"/>
            <w:vAlign w:val="center"/>
          </w:tcPr>
          <w:p w14:paraId="5E45A284">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单价</w:t>
            </w:r>
          </w:p>
        </w:tc>
        <w:tc>
          <w:tcPr>
            <w:tcW w:w="1260" w:type="dxa"/>
            <w:vAlign w:val="center"/>
          </w:tcPr>
          <w:p w14:paraId="30787E0B">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金额</w:t>
            </w:r>
          </w:p>
        </w:tc>
        <w:tc>
          <w:tcPr>
            <w:tcW w:w="1007" w:type="dxa"/>
            <w:vAlign w:val="center"/>
          </w:tcPr>
          <w:p w14:paraId="1988288A">
            <w:p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备注</w:t>
            </w:r>
          </w:p>
        </w:tc>
      </w:tr>
      <w:tr w14:paraId="511C3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5880A4A6">
            <w:pPr>
              <w:jc w:val="center"/>
              <w:rPr>
                <w:rFonts w:ascii="仿宋" w:hAnsi="仿宋" w:eastAsia="仿宋" w:cs="仿宋"/>
                <w:color w:val="000000" w:themeColor="text1"/>
                <w:sz w:val="24"/>
                <w14:textFill>
                  <w14:solidFill>
                    <w14:schemeClr w14:val="tx1"/>
                  </w14:solidFill>
                </w14:textFill>
              </w:rPr>
            </w:pPr>
          </w:p>
        </w:tc>
        <w:tc>
          <w:tcPr>
            <w:tcW w:w="876" w:type="dxa"/>
            <w:vAlign w:val="center"/>
          </w:tcPr>
          <w:p w14:paraId="5A39497F">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62C57B21">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4D1193B4">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365C3DC1">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0BB9D508">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732E450E">
            <w:pPr>
              <w:jc w:val="center"/>
              <w:rPr>
                <w:rFonts w:ascii="仿宋" w:hAnsi="仿宋" w:eastAsia="仿宋" w:cs="仿宋"/>
                <w:color w:val="000000" w:themeColor="text1"/>
                <w:sz w:val="24"/>
                <w14:textFill>
                  <w14:solidFill>
                    <w14:schemeClr w14:val="tx1"/>
                  </w14:solidFill>
                </w14:textFill>
              </w:rPr>
            </w:pPr>
          </w:p>
        </w:tc>
      </w:tr>
      <w:tr w14:paraId="46414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41752049">
            <w:pPr>
              <w:jc w:val="center"/>
              <w:rPr>
                <w:rFonts w:ascii="仿宋" w:hAnsi="仿宋" w:eastAsia="仿宋" w:cs="仿宋"/>
                <w:color w:val="000000" w:themeColor="text1"/>
                <w:sz w:val="24"/>
                <w14:textFill>
                  <w14:solidFill>
                    <w14:schemeClr w14:val="tx1"/>
                  </w14:solidFill>
                </w14:textFill>
              </w:rPr>
            </w:pPr>
          </w:p>
        </w:tc>
        <w:tc>
          <w:tcPr>
            <w:tcW w:w="876" w:type="dxa"/>
            <w:vAlign w:val="center"/>
          </w:tcPr>
          <w:p w14:paraId="45645A19">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35E15929">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212638D6">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525F3365">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294398BD">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2147457B">
            <w:pPr>
              <w:jc w:val="center"/>
              <w:rPr>
                <w:rFonts w:ascii="仿宋" w:hAnsi="仿宋" w:eastAsia="仿宋" w:cs="仿宋"/>
                <w:color w:val="000000" w:themeColor="text1"/>
                <w:sz w:val="24"/>
                <w14:textFill>
                  <w14:solidFill>
                    <w14:schemeClr w14:val="tx1"/>
                  </w14:solidFill>
                </w14:textFill>
              </w:rPr>
            </w:pPr>
          </w:p>
        </w:tc>
      </w:tr>
      <w:tr w14:paraId="05B1B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51B5B6A3">
            <w:pPr>
              <w:jc w:val="center"/>
              <w:rPr>
                <w:rFonts w:ascii="仿宋" w:hAnsi="仿宋" w:eastAsia="仿宋" w:cs="仿宋"/>
                <w:color w:val="000000" w:themeColor="text1"/>
                <w:sz w:val="24"/>
                <w14:textFill>
                  <w14:solidFill>
                    <w14:schemeClr w14:val="tx1"/>
                  </w14:solidFill>
                </w14:textFill>
              </w:rPr>
            </w:pPr>
          </w:p>
        </w:tc>
        <w:tc>
          <w:tcPr>
            <w:tcW w:w="876" w:type="dxa"/>
            <w:vAlign w:val="center"/>
          </w:tcPr>
          <w:p w14:paraId="432C7E28">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1CF09070">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53E1CC3D">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186518CE">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797545BD">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230158A0">
            <w:pPr>
              <w:rPr>
                <w:rFonts w:ascii="仿宋" w:hAnsi="仿宋" w:eastAsia="仿宋" w:cs="仿宋"/>
                <w:color w:val="000000" w:themeColor="text1"/>
                <w:sz w:val="24"/>
                <w14:textFill>
                  <w14:solidFill>
                    <w14:schemeClr w14:val="tx1"/>
                  </w14:solidFill>
                </w14:textFill>
              </w:rPr>
            </w:pPr>
          </w:p>
        </w:tc>
      </w:tr>
      <w:tr w14:paraId="13E96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0E49F2AB">
            <w:pPr>
              <w:rPr>
                <w:rFonts w:ascii="仿宋" w:hAnsi="仿宋" w:eastAsia="仿宋" w:cs="仿宋"/>
                <w:color w:val="000000" w:themeColor="text1"/>
                <w:sz w:val="24"/>
                <w14:textFill>
                  <w14:solidFill>
                    <w14:schemeClr w14:val="tx1"/>
                  </w14:solidFill>
                </w14:textFill>
              </w:rPr>
            </w:pPr>
          </w:p>
        </w:tc>
        <w:tc>
          <w:tcPr>
            <w:tcW w:w="876" w:type="dxa"/>
            <w:vAlign w:val="center"/>
          </w:tcPr>
          <w:p w14:paraId="45EF4264">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06D2DFFB">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62E75801">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60280490">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7A43FF38">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1DA311AA">
            <w:pPr>
              <w:rPr>
                <w:rFonts w:ascii="仿宋" w:hAnsi="仿宋" w:eastAsia="仿宋" w:cs="仿宋"/>
                <w:color w:val="000000" w:themeColor="text1"/>
                <w:sz w:val="24"/>
                <w14:textFill>
                  <w14:solidFill>
                    <w14:schemeClr w14:val="tx1"/>
                  </w14:solidFill>
                </w14:textFill>
              </w:rPr>
            </w:pPr>
          </w:p>
        </w:tc>
      </w:tr>
      <w:tr w14:paraId="6B877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7C036CC6">
            <w:pPr>
              <w:rPr>
                <w:rFonts w:ascii="仿宋" w:hAnsi="仿宋" w:eastAsia="仿宋" w:cs="仿宋"/>
                <w:color w:val="000000" w:themeColor="text1"/>
                <w:sz w:val="24"/>
                <w14:textFill>
                  <w14:solidFill>
                    <w14:schemeClr w14:val="tx1"/>
                  </w14:solidFill>
                </w14:textFill>
              </w:rPr>
            </w:pPr>
          </w:p>
        </w:tc>
        <w:tc>
          <w:tcPr>
            <w:tcW w:w="876" w:type="dxa"/>
            <w:vAlign w:val="center"/>
          </w:tcPr>
          <w:p w14:paraId="2A70E07E">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4760FF4A">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6F2E9897">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69A0C978">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585E0118">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295CE344">
            <w:pPr>
              <w:rPr>
                <w:rFonts w:ascii="仿宋" w:hAnsi="仿宋" w:eastAsia="仿宋" w:cs="仿宋"/>
                <w:color w:val="000000" w:themeColor="text1"/>
                <w:sz w:val="24"/>
                <w14:textFill>
                  <w14:solidFill>
                    <w14:schemeClr w14:val="tx1"/>
                  </w14:solidFill>
                </w14:textFill>
              </w:rPr>
            </w:pPr>
          </w:p>
        </w:tc>
      </w:tr>
      <w:tr w14:paraId="3FE0A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45F7E065">
            <w:pPr>
              <w:rPr>
                <w:rFonts w:ascii="仿宋" w:hAnsi="仿宋" w:eastAsia="仿宋" w:cs="仿宋"/>
                <w:color w:val="000000" w:themeColor="text1"/>
                <w:sz w:val="24"/>
                <w14:textFill>
                  <w14:solidFill>
                    <w14:schemeClr w14:val="tx1"/>
                  </w14:solidFill>
                </w14:textFill>
              </w:rPr>
            </w:pPr>
          </w:p>
        </w:tc>
        <w:tc>
          <w:tcPr>
            <w:tcW w:w="876" w:type="dxa"/>
            <w:vAlign w:val="center"/>
          </w:tcPr>
          <w:p w14:paraId="516866B8">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2D398D7E">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13F5DCCA">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5A23E5D5">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2E34FBEA">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41B10A30">
            <w:pPr>
              <w:rPr>
                <w:rFonts w:ascii="仿宋" w:hAnsi="仿宋" w:eastAsia="仿宋" w:cs="仿宋"/>
                <w:color w:val="000000" w:themeColor="text1"/>
                <w:sz w:val="24"/>
                <w14:textFill>
                  <w14:solidFill>
                    <w14:schemeClr w14:val="tx1"/>
                  </w14:solidFill>
                </w14:textFill>
              </w:rPr>
            </w:pPr>
          </w:p>
        </w:tc>
      </w:tr>
      <w:tr w14:paraId="7291D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28619A1B">
            <w:pPr>
              <w:rPr>
                <w:rFonts w:ascii="仿宋" w:hAnsi="仿宋" w:eastAsia="仿宋" w:cs="仿宋"/>
                <w:color w:val="000000" w:themeColor="text1"/>
                <w:sz w:val="24"/>
                <w14:textFill>
                  <w14:solidFill>
                    <w14:schemeClr w14:val="tx1"/>
                  </w14:solidFill>
                </w14:textFill>
              </w:rPr>
            </w:pPr>
          </w:p>
        </w:tc>
        <w:tc>
          <w:tcPr>
            <w:tcW w:w="876" w:type="dxa"/>
            <w:vAlign w:val="center"/>
          </w:tcPr>
          <w:p w14:paraId="4361CA76">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19A0E3BE">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4C4D9F74">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58EAFE27">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4A251647">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0BD48227">
            <w:pPr>
              <w:rPr>
                <w:rFonts w:ascii="仿宋" w:hAnsi="仿宋" w:eastAsia="仿宋" w:cs="仿宋"/>
                <w:color w:val="000000" w:themeColor="text1"/>
                <w:sz w:val="24"/>
                <w14:textFill>
                  <w14:solidFill>
                    <w14:schemeClr w14:val="tx1"/>
                  </w14:solidFill>
                </w14:textFill>
              </w:rPr>
            </w:pPr>
          </w:p>
        </w:tc>
      </w:tr>
      <w:tr w14:paraId="6CBBB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60BC358E">
            <w:pPr>
              <w:rPr>
                <w:rFonts w:ascii="仿宋" w:hAnsi="仿宋" w:eastAsia="仿宋" w:cs="仿宋"/>
                <w:color w:val="000000" w:themeColor="text1"/>
                <w:sz w:val="24"/>
                <w14:textFill>
                  <w14:solidFill>
                    <w14:schemeClr w14:val="tx1"/>
                  </w14:solidFill>
                </w14:textFill>
              </w:rPr>
            </w:pPr>
          </w:p>
        </w:tc>
        <w:tc>
          <w:tcPr>
            <w:tcW w:w="876" w:type="dxa"/>
            <w:vAlign w:val="center"/>
          </w:tcPr>
          <w:p w14:paraId="2F5F7768">
            <w:pPr>
              <w:jc w:val="center"/>
              <w:rPr>
                <w:rFonts w:ascii="仿宋" w:hAnsi="仿宋" w:eastAsia="仿宋" w:cs="仿宋"/>
                <w:color w:val="000000" w:themeColor="text1"/>
                <w:sz w:val="24"/>
                <w14:textFill>
                  <w14:solidFill>
                    <w14:schemeClr w14:val="tx1"/>
                  </w14:solidFill>
                </w14:textFill>
              </w:rPr>
            </w:pPr>
          </w:p>
        </w:tc>
        <w:tc>
          <w:tcPr>
            <w:tcW w:w="2585" w:type="dxa"/>
            <w:vAlign w:val="center"/>
          </w:tcPr>
          <w:p w14:paraId="7C749D0E">
            <w:pPr>
              <w:jc w:val="center"/>
              <w:rPr>
                <w:rFonts w:ascii="仿宋" w:hAnsi="仿宋" w:eastAsia="仿宋" w:cs="仿宋"/>
                <w:color w:val="000000" w:themeColor="text1"/>
                <w:sz w:val="24"/>
                <w14:textFill>
                  <w14:solidFill>
                    <w14:schemeClr w14:val="tx1"/>
                  </w14:solidFill>
                </w14:textFill>
              </w:rPr>
            </w:pPr>
          </w:p>
        </w:tc>
        <w:tc>
          <w:tcPr>
            <w:tcW w:w="829" w:type="dxa"/>
            <w:vAlign w:val="center"/>
          </w:tcPr>
          <w:p w14:paraId="20BA1ED8">
            <w:pPr>
              <w:jc w:val="center"/>
              <w:rPr>
                <w:rFonts w:ascii="仿宋" w:hAnsi="仿宋" w:eastAsia="仿宋" w:cs="仿宋"/>
                <w:color w:val="000000" w:themeColor="text1"/>
                <w:sz w:val="24"/>
                <w14:textFill>
                  <w14:solidFill>
                    <w14:schemeClr w14:val="tx1"/>
                  </w14:solidFill>
                </w14:textFill>
              </w:rPr>
            </w:pPr>
          </w:p>
        </w:tc>
        <w:tc>
          <w:tcPr>
            <w:tcW w:w="1257" w:type="dxa"/>
            <w:vAlign w:val="center"/>
          </w:tcPr>
          <w:p w14:paraId="1F3E0895">
            <w:pPr>
              <w:jc w:val="center"/>
              <w:rPr>
                <w:rFonts w:ascii="仿宋" w:hAnsi="仿宋" w:eastAsia="仿宋" w:cs="仿宋"/>
                <w:color w:val="000000" w:themeColor="text1"/>
                <w:sz w:val="24"/>
                <w14:textFill>
                  <w14:solidFill>
                    <w14:schemeClr w14:val="tx1"/>
                  </w14:solidFill>
                </w14:textFill>
              </w:rPr>
            </w:pPr>
          </w:p>
        </w:tc>
        <w:tc>
          <w:tcPr>
            <w:tcW w:w="1260" w:type="dxa"/>
            <w:vAlign w:val="center"/>
          </w:tcPr>
          <w:p w14:paraId="29DBF3E1">
            <w:pPr>
              <w:jc w:val="center"/>
              <w:rPr>
                <w:rFonts w:ascii="仿宋" w:hAnsi="仿宋" w:eastAsia="仿宋" w:cs="仿宋"/>
                <w:color w:val="000000" w:themeColor="text1"/>
                <w:sz w:val="24"/>
                <w14:textFill>
                  <w14:solidFill>
                    <w14:schemeClr w14:val="tx1"/>
                  </w14:solidFill>
                </w14:textFill>
              </w:rPr>
            </w:pPr>
          </w:p>
        </w:tc>
        <w:tc>
          <w:tcPr>
            <w:tcW w:w="1007" w:type="dxa"/>
            <w:vAlign w:val="center"/>
          </w:tcPr>
          <w:p w14:paraId="7627B79B">
            <w:pPr>
              <w:rPr>
                <w:rFonts w:ascii="仿宋" w:hAnsi="仿宋" w:eastAsia="仿宋" w:cs="仿宋"/>
                <w:color w:val="000000" w:themeColor="text1"/>
                <w:sz w:val="24"/>
                <w14:textFill>
                  <w14:solidFill>
                    <w14:schemeClr w14:val="tx1"/>
                  </w14:solidFill>
                </w14:textFill>
              </w:rPr>
            </w:pPr>
          </w:p>
        </w:tc>
      </w:tr>
    </w:tbl>
    <w:p w14:paraId="7768DD55">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0CFFFD18">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39D34E5">
      <w:pPr>
        <w:widowControl/>
        <w:snapToGrid w:val="0"/>
        <w:spacing w:line="400" w:lineRule="exact"/>
        <w:ind w:firstLine="480" w:firstLineChars="200"/>
        <w:jc w:val="center"/>
        <w:rPr>
          <w:rFonts w:ascii="仿宋" w:hAnsi="仿宋" w:eastAsia="仿宋" w:cs="宋体"/>
          <w:color w:val="000000" w:themeColor="text1"/>
          <w:kern w:val="0"/>
          <w:sz w:val="24"/>
          <w14:textFill>
            <w14:solidFill>
              <w14:schemeClr w14:val="tx1"/>
            </w14:solidFill>
          </w14:textFill>
        </w:rPr>
      </w:pPr>
    </w:p>
    <w:p w14:paraId="5103115A">
      <w:pPr>
        <w:spacing w:line="400" w:lineRule="exact"/>
        <w:ind w:firstLine="480" w:firstLineChars="200"/>
        <w:rPr>
          <w:rFonts w:ascii="仿宋" w:hAnsi="仿宋" w:eastAsia="仿宋" w:cs="黑体"/>
          <w:color w:val="000000" w:themeColor="text1"/>
          <w:sz w:val="24"/>
          <w14:textFill>
            <w14:solidFill>
              <w14:schemeClr w14:val="tx1"/>
            </w14:solidFill>
          </w14:textFill>
        </w:rPr>
      </w:pPr>
    </w:p>
    <w:p w14:paraId="7DBD9391">
      <w:pPr>
        <w:spacing w:line="400" w:lineRule="exact"/>
        <w:ind w:firstLine="480" w:firstLineChars="200"/>
        <w:rPr>
          <w:rFonts w:ascii="仿宋" w:hAnsi="仿宋" w:eastAsia="仿宋" w:cs="黑体"/>
          <w:color w:val="000000" w:themeColor="text1"/>
          <w:sz w:val="24"/>
          <w14:textFill>
            <w14:solidFill>
              <w14:schemeClr w14:val="tx1"/>
            </w14:solidFill>
          </w14:textFill>
        </w:rPr>
      </w:pPr>
    </w:p>
    <w:p w14:paraId="6CD314C3">
      <w:pPr>
        <w:spacing w:line="400" w:lineRule="exact"/>
        <w:rPr>
          <w:rFonts w:ascii="仿宋" w:hAnsi="仿宋" w:eastAsia="仿宋" w:cs="黑体"/>
          <w:color w:val="000000" w:themeColor="text1"/>
          <w:sz w:val="24"/>
          <w:u w:val="single"/>
          <w14:textFill>
            <w14:solidFill>
              <w14:schemeClr w14:val="tx1"/>
            </w14:solidFill>
          </w14:textFill>
        </w:rPr>
      </w:pPr>
      <w:r>
        <w:rPr>
          <w:rFonts w:hint="eastAsia" w:ascii="仿宋" w:hAnsi="仿宋" w:eastAsia="仿宋" w:cs="黑体"/>
          <w:color w:val="000000" w:themeColor="text1"/>
          <w:sz w:val="24"/>
          <w14:textFill>
            <w14:solidFill>
              <w14:schemeClr w14:val="tx1"/>
            </w14:solidFill>
          </w14:textFill>
        </w:rPr>
        <w:t>验收补充要求（如有）：</w:t>
      </w:r>
      <w:r>
        <w:rPr>
          <w:rFonts w:hint="eastAsia" w:ascii="仿宋" w:hAnsi="仿宋" w:eastAsia="仿宋" w:cs="黑体"/>
          <w:color w:val="000000" w:themeColor="text1"/>
          <w:sz w:val="24"/>
          <w:u w:val="single"/>
          <w14:textFill>
            <w14:solidFill>
              <w14:schemeClr w14:val="tx1"/>
            </w14:solidFill>
          </w14:textFill>
        </w:rPr>
        <w:t xml:space="preserve"> </w:t>
      </w:r>
      <w:r>
        <w:rPr>
          <w:rFonts w:ascii="仿宋" w:hAnsi="仿宋" w:eastAsia="仿宋" w:cs="黑体"/>
          <w:color w:val="000000" w:themeColor="text1"/>
          <w:sz w:val="24"/>
          <w:u w:val="single"/>
          <w14:textFill>
            <w14:solidFill>
              <w14:schemeClr w14:val="tx1"/>
            </w14:solidFill>
          </w14:textFill>
        </w:rPr>
        <w:t xml:space="preserve">                                           </w:t>
      </w:r>
    </w:p>
    <w:p w14:paraId="78D07D0A">
      <w:pPr>
        <w:rPr>
          <w:color w:val="000000" w:themeColor="text1"/>
          <w14:textFill>
            <w14:solidFill>
              <w14:schemeClr w14:val="tx1"/>
            </w14:solidFill>
          </w14:textFill>
        </w:rPr>
      </w:pPr>
    </w:p>
    <w:p w14:paraId="7159E0BD">
      <w:pPr>
        <w:rPr>
          <w:color w:val="000000" w:themeColor="text1"/>
          <w14:textFill>
            <w14:solidFill>
              <w14:schemeClr w14:val="tx1"/>
            </w14:solidFill>
          </w14:textFill>
        </w:rPr>
      </w:pPr>
    </w:p>
    <w:p w14:paraId="200FB975">
      <w:pPr>
        <w:rPr>
          <w:color w:val="000000" w:themeColor="text1"/>
          <w14:textFill>
            <w14:solidFill>
              <w14:schemeClr w14:val="tx1"/>
            </w14:solidFill>
          </w14:textFill>
        </w:rPr>
      </w:pPr>
    </w:p>
    <w:p w14:paraId="164A8EA7">
      <w:pPr>
        <w:rPr>
          <w:color w:val="000000" w:themeColor="text1"/>
          <w14:textFill>
            <w14:solidFill>
              <w14:schemeClr w14:val="tx1"/>
            </w14:solidFill>
          </w14:textFill>
        </w:rPr>
      </w:pPr>
    </w:p>
    <w:p w14:paraId="454F6BA4">
      <w:pPr>
        <w:spacing w:line="400" w:lineRule="exact"/>
        <w:rPr>
          <w:rFonts w:ascii="仿宋" w:hAnsi="仿宋" w:eastAsia="仿宋" w:cs="黑体"/>
          <w:color w:val="000000" w:themeColor="text1"/>
          <w:sz w:val="24"/>
          <w14:textFill>
            <w14:solidFill>
              <w14:schemeClr w14:val="tx1"/>
            </w14:solidFill>
          </w14:textFill>
        </w:rPr>
      </w:pPr>
    </w:p>
    <w:p w14:paraId="12E15DA7">
      <w:pPr>
        <w:spacing w:line="400" w:lineRule="exact"/>
        <w:rPr>
          <w:rFonts w:ascii="仿宋" w:hAnsi="仿宋" w:eastAsia="仿宋" w:cs="黑体"/>
          <w:color w:val="000000" w:themeColor="text1"/>
          <w:sz w:val="24"/>
          <w14:textFill>
            <w14:solidFill>
              <w14:schemeClr w14:val="tx1"/>
            </w14:solidFill>
          </w14:textFill>
        </w:rPr>
      </w:pPr>
    </w:p>
    <w:p w14:paraId="6AD298CC">
      <w:pPr>
        <w:rPr>
          <w:rFonts w:ascii="仿宋" w:hAnsi="仿宋" w:eastAsia="仿宋" w:cs="黑体"/>
          <w:color w:val="000000" w:themeColor="text1"/>
          <w:sz w:val="24"/>
          <w14:textFill>
            <w14:solidFill>
              <w14:schemeClr w14:val="tx1"/>
            </w14:solidFill>
          </w14:textFill>
        </w:rPr>
      </w:pPr>
      <w:r>
        <w:rPr>
          <w:rFonts w:hint="eastAsia" w:ascii="仿宋" w:hAnsi="仿宋" w:eastAsia="仿宋" w:cs="黑体"/>
          <w:color w:val="000000" w:themeColor="text1"/>
          <w:sz w:val="24"/>
          <w14:textFill>
            <w14:solidFill>
              <w14:schemeClr w14:val="tx1"/>
            </w14:solidFill>
          </w14:textFill>
        </w:rPr>
        <w:br w:type="page"/>
      </w:r>
    </w:p>
    <w:p w14:paraId="2C3CAEBD">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s="黑体"/>
          <w:color w:val="000000" w:themeColor="text1"/>
          <w:sz w:val="24"/>
          <w14:textFill>
            <w14:solidFill>
              <w14:schemeClr w14:val="tx1"/>
            </w14:solidFill>
          </w14:textFill>
        </w:rPr>
        <w:t>附件五：项目管理小组成员</w:t>
      </w:r>
      <w:r>
        <w:rPr>
          <w:rFonts w:hint="eastAsia" w:ascii="仿宋" w:hAnsi="仿宋" w:eastAsia="仿宋"/>
          <w:color w:val="000000" w:themeColor="text1"/>
          <w:sz w:val="24"/>
          <w14:textFill>
            <w14:solidFill>
              <w14:schemeClr w14:val="tx1"/>
            </w14:solidFill>
          </w14:textFill>
        </w:rPr>
        <w:t xml:space="preserve"> </w:t>
      </w:r>
    </w:p>
    <w:p w14:paraId="2F086067">
      <w:pPr>
        <w:spacing w:line="400" w:lineRule="exact"/>
        <w:ind w:firstLine="480" w:firstLineChars="200"/>
        <w:rPr>
          <w:rFonts w:ascii="仿宋" w:hAnsi="仿宋" w:eastAsia="仿宋"/>
          <w:color w:val="000000" w:themeColor="text1"/>
          <w:sz w:val="24"/>
          <w14:textFill>
            <w14:solidFill>
              <w14:schemeClr w14:val="tx1"/>
            </w14:solidFill>
          </w14:textFill>
        </w:rPr>
      </w:pPr>
    </w:p>
    <w:p w14:paraId="6F671DCA">
      <w:pPr>
        <w:spacing w:line="400" w:lineRule="exact"/>
        <w:ind w:firstLine="480" w:firstLineChars="200"/>
        <w:rPr>
          <w:rFonts w:ascii="仿宋" w:hAnsi="仿宋" w:eastAsia="仿宋"/>
          <w:color w:val="000000" w:themeColor="text1"/>
          <w:sz w:val="24"/>
          <w14:textFill>
            <w14:solidFill>
              <w14:schemeClr w14:val="tx1"/>
            </w14:solidFill>
          </w14:textFill>
        </w:rPr>
      </w:pPr>
    </w:p>
    <w:p w14:paraId="61EECE6F">
      <w:pPr>
        <w:numPr>
          <w:ilvl w:val="0"/>
          <w:numId w:val="5"/>
        </w:num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 xml:space="preserve">甲方成员：   </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1"/>
        <w:gridCol w:w="1531"/>
        <w:gridCol w:w="1531"/>
        <w:gridCol w:w="1531"/>
        <w:gridCol w:w="1532"/>
      </w:tblGrid>
      <w:tr w14:paraId="7229D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21726280">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序号</w:t>
            </w:r>
          </w:p>
        </w:tc>
        <w:tc>
          <w:tcPr>
            <w:tcW w:w="1531" w:type="dxa"/>
          </w:tcPr>
          <w:p w14:paraId="3C398ABD">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姓名</w:t>
            </w:r>
          </w:p>
        </w:tc>
        <w:tc>
          <w:tcPr>
            <w:tcW w:w="1531" w:type="dxa"/>
          </w:tcPr>
          <w:p w14:paraId="068C3E05">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职务/职称</w:t>
            </w:r>
          </w:p>
        </w:tc>
        <w:tc>
          <w:tcPr>
            <w:tcW w:w="1531" w:type="dxa"/>
          </w:tcPr>
          <w:p w14:paraId="4D33F2A0">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负责内容</w:t>
            </w:r>
          </w:p>
        </w:tc>
        <w:tc>
          <w:tcPr>
            <w:tcW w:w="1532" w:type="dxa"/>
          </w:tcPr>
          <w:p w14:paraId="5CEFAF6D">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联系方式</w:t>
            </w:r>
          </w:p>
        </w:tc>
      </w:tr>
      <w:tr w14:paraId="2479C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4A3CD005">
            <w:pPr>
              <w:spacing w:line="400" w:lineRule="exact"/>
              <w:rPr>
                <w:rFonts w:ascii="仿宋" w:hAnsi="仿宋" w:eastAsia="仿宋"/>
                <w:color w:val="000000" w:themeColor="text1"/>
                <w:sz w:val="24"/>
                <w14:textFill>
                  <w14:solidFill>
                    <w14:schemeClr w14:val="tx1"/>
                  </w14:solidFill>
                </w14:textFill>
              </w:rPr>
            </w:pPr>
          </w:p>
        </w:tc>
        <w:tc>
          <w:tcPr>
            <w:tcW w:w="1531" w:type="dxa"/>
          </w:tcPr>
          <w:p w14:paraId="1A05222A">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1FC70A3">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C79ECB6">
            <w:pPr>
              <w:spacing w:line="400" w:lineRule="exact"/>
              <w:rPr>
                <w:rFonts w:ascii="仿宋" w:hAnsi="仿宋" w:eastAsia="仿宋"/>
                <w:color w:val="000000" w:themeColor="text1"/>
                <w:sz w:val="24"/>
                <w14:textFill>
                  <w14:solidFill>
                    <w14:schemeClr w14:val="tx1"/>
                  </w14:solidFill>
                </w14:textFill>
              </w:rPr>
            </w:pPr>
          </w:p>
        </w:tc>
        <w:tc>
          <w:tcPr>
            <w:tcW w:w="1532" w:type="dxa"/>
          </w:tcPr>
          <w:p w14:paraId="4C7AF79B">
            <w:pPr>
              <w:spacing w:line="400" w:lineRule="exact"/>
              <w:rPr>
                <w:rFonts w:ascii="仿宋" w:hAnsi="仿宋" w:eastAsia="仿宋"/>
                <w:color w:val="000000" w:themeColor="text1"/>
                <w:sz w:val="24"/>
                <w14:textFill>
                  <w14:solidFill>
                    <w14:schemeClr w14:val="tx1"/>
                  </w14:solidFill>
                </w14:textFill>
              </w:rPr>
            </w:pPr>
          </w:p>
        </w:tc>
      </w:tr>
      <w:tr w14:paraId="76496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6EF8C2E4">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8598A34">
            <w:pPr>
              <w:spacing w:line="400" w:lineRule="exact"/>
              <w:rPr>
                <w:rFonts w:ascii="仿宋" w:hAnsi="仿宋" w:eastAsia="仿宋"/>
                <w:color w:val="000000" w:themeColor="text1"/>
                <w:sz w:val="24"/>
                <w14:textFill>
                  <w14:solidFill>
                    <w14:schemeClr w14:val="tx1"/>
                  </w14:solidFill>
                </w14:textFill>
              </w:rPr>
            </w:pPr>
          </w:p>
        </w:tc>
        <w:tc>
          <w:tcPr>
            <w:tcW w:w="1531" w:type="dxa"/>
          </w:tcPr>
          <w:p w14:paraId="7E17E3F3">
            <w:pPr>
              <w:spacing w:line="400" w:lineRule="exact"/>
              <w:rPr>
                <w:rFonts w:ascii="仿宋" w:hAnsi="仿宋" w:eastAsia="仿宋"/>
                <w:color w:val="000000" w:themeColor="text1"/>
                <w:sz w:val="24"/>
                <w14:textFill>
                  <w14:solidFill>
                    <w14:schemeClr w14:val="tx1"/>
                  </w14:solidFill>
                </w14:textFill>
              </w:rPr>
            </w:pPr>
          </w:p>
        </w:tc>
        <w:tc>
          <w:tcPr>
            <w:tcW w:w="1531" w:type="dxa"/>
          </w:tcPr>
          <w:p w14:paraId="7590D32A">
            <w:pPr>
              <w:spacing w:line="400" w:lineRule="exact"/>
              <w:rPr>
                <w:rFonts w:ascii="仿宋" w:hAnsi="仿宋" w:eastAsia="仿宋"/>
                <w:color w:val="000000" w:themeColor="text1"/>
                <w:sz w:val="24"/>
                <w14:textFill>
                  <w14:solidFill>
                    <w14:schemeClr w14:val="tx1"/>
                  </w14:solidFill>
                </w14:textFill>
              </w:rPr>
            </w:pPr>
          </w:p>
        </w:tc>
        <w:tc>
          <w:tcPr>
            <w:tcW w:w="1532" w:type="dxa"/>
          </w:tcPr>
          <w:p w14:paraId="5001F60E">
            <w:pPr>
              <w:spacing w:line="400" w:lineRule="exact"/>
              <w:rPr>
                <w:rFonts w:ascii="仿宋" w:hAnsi="仿宋" w:eastAsia="仿宋"/>
                <w:color w:val="000000" w:themeColor="text1"/>
                <w:sz w:val="24"/>
                <w14:textFill>
                  <w14:solidFill>
                    <w14:schemeClr w14:val="tx1"/>
                  </w14:solidFill>
                </w14:textFill>
              </w:rPr>
            </w:pPr>
          </w:p>
        </w:tc>
      </w:tr>
      <w:tr w14:paraId="437EA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789DC424">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77A9BAD">
            <w:pPr>
              <w:spacing w:line="400" w:lineRule="exact"/>
              <w:rPr>
                <w:rFonts w:ascii="仿宋" w:hAnsi="仿宋" w:eastAsia="仿宋"/>
                <w:color w:val="000000" w:themeColor="text1"/>
                <w:sz w:val="24"/>
                <w14:textFill>
                  <w14:solidFill>
                    <w14:schemeClr w14:val="tx1"/>
                  </w14:solidFill>
                </w14:textFill>
              </w:rPr>
            </w:pPr>
          </w:p>
        </w:tc>
        <w:tc>
          <w:tcPr>
            <w:tcW w:w="1531" w:type="dxa"/>
          </w:tcPr>
          <w:p w14:paraId="15B32CC4">
            <w:pPr>
              <w:spacing w:line="400" w:lineRule="exact"/>
              <w:rPr>
                <w:rFonts w:ascii="仿宋" w:hAnsi="仿宋" w:eastAsia="仿宋"/>
                <w:color w:val="000000" w:themeColor="text1"/>
                <w:sz w:val="24"/>
                <w14:textFill>
                  <w14:solidFill>
                    <w14:schemeClr w14:val="tx1"/>
                  </w14:solidFill>
                </w14:textFill>
              </w:rPr>
            </w:pPr>
          </w:p>
        </w:tc>
        <w:tc>
          <w:tcPr>
            <w:tcW w:w="1531" w:type="dxa"/>
          </w:tcPr>
          <w:p w14:paraId="15C92AC8">
            <w:pPr>
              <w:spacing w:line="400" w:lineRule="exact"/>
              <w:rPr>
                <w:rFonts w:ascii="仿宋" w:hAnsi="仿宋" w:eastAsia="仿宋"/>
                <w:color w:val="000000" w:themeColor="text1"/>
                <w:sz w:val="24"/>
                <w14:textFill>
                  <w14:solidFill>
                    <w14:schemeClr w14:val="tx1"/>
                  </w14:solidFill>
                </w14:textFill>
              </w:rPr>
            </w:pPr>
          </w:p>
        </w:tc>
        <w:tc>
          <w:tcPr>
            <w:tcW w:w="1532" w:type="dxa"/>
          </w:tcPr>
          <w:p w14:paraId="617AEA62">
            <w:pPr>
              <w:spacing w:line="400" w:lineRule="exact"/>
              <w:rPr>
                <w:rFonts w:ascii="仿宋" w:hAnsi="仿宋" w:eastAsia="仿宋"/>
                <w:color w:val="000000" w:themeColor="text1"/>
                <w:sz w:val="24"/>
                <w14:textFill>
                  <w14:solidFill>
                    <w14:schemeClr w14:val="tx1"/>
                  </w14:solidFill>
                </w14:textFill>
              </w:rPr>
            </w:pPr>
          </w:p>
        </w:tc>
      </w:tr>
    </w:tbl>
    <w:p w14:paraId="6CC5F109">
      <w:pPr>
        <w:spacing w:line="400" w:lineRule="exact"/>
        <w:rPr>
          <w:rFonts w:ascii="仿宋" w:hAnsi="仿宋" w:eastAsia="仿宋"/>
          <w:color w:val="000000" w:themeColor="text1"/>
          <w:sz w:val="24"/>
          <w14:textFill>
            <w14:solidFill>
              <w14:schemeClr w14:val="tx1"/>
            </w14:solidFill>
          </w14:textFill>
        </w:rPr>
      </w:pPr>
    </w:p>
    <w:p w14:paraId="00BCC821">
      <w:pPr>
        <w:spacing w:line="400" w:lineRule="exact"/>
        <w:ind w:left="48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（二）乙方成员：</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1"/>
        <w:gridCol w:w="1531"/>
        <w:gridCol w:w="1531"/>
        <w:gridCol w:w="1531"/>
        <w:gridCol w:w="1532"/>
      </w:tblGrid>
      <w:tr w14:paraId="33F95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65565627">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序号</w:t>
            </w:r>
          </w:p>
        </w:tc>
        <w:tc>
          <w:tcPr>
            <w:tcW w:w="1531" w:type="dxa"/>
          </w:tcPr>
          <w:p w14:paraId="3C3410E7">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姓名</w:t>
            </w:r>
          </w:p>
        </w:tc>
        <w:tc>
          <w:tcPr>
            <w:tcW w:w="1531" w:type="dxa"/>
          </w:tcPr>
          <w:p w14:paraId="34794117">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职务/职称</w:t>
            </w:r>
          </w:p>
        </w:tc>
        <w:tc>
          <w:tcPr>
            <w:tcW w:w="1531" w:type="dxa"/>
          </w:tcPr>
          <w:p w14:paraId="2AC2DAA9">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负责内容</w:t>
            </w:r>
          </w:p>
        </w:tc>
        <w:tc>
          <w:tcPr>
            <w:tcW w:w="1532" w:type="dxa"/>
          </w:tcPr>
          <w:p w14:paraId="104B4DEE">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联系方式</w:t>
            </w:r>
          </w:p>
        </w:tc>
      </w:tr>
      <w:tr w14:paraId="74A9C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7E8C123D">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EA498EE">
            <w:pPr>
              <w:spacing w:line="400" w:lineRule="exact"/>
              <w:rPr>
                <w:rFonts w:ascii="仿宋" w:hAnsi="仿宋" w:eastAsia="仿宋"/>
                <w:color w:val="000000" w:themeColor="text1"/>
                <w:sz w:val="24"/>
                <w14:textFill>
                  <w14:solidFill>
                    <w14:schemeClr w14:val="tx1"/>
                  </w14:solidFill>
                </w14:textFill>
              </w:rPr>
            </w:pPr>
          </w:p>
        </w:tc>
        <w:tc>
          <w:tcPr>
            <w:tcW w:w="1531" w:type="dxa"/>
          </w:tcPr>
          <w:p w14:paraId="6B8BDC84">
            <w:pPr>
              <w:spacing w:line="400" w:lineRule="exact"/>
              <w:rPr>
                <w:rFonts w:ascii="仿宋" w:hAnsi="仿宋" w:eastAsia="仿宋"/>
                <w:color w:val="000000" w:themeColor="text1"/>
                <w:sz w:val="24"/>
                <w14:textFill>
                  <w14:solidFill>
                    <w14:schemeClr w14:val="tx1"/>
                  </w14:solidFill>
                </w14:textFill>
              </w:rPr>
            </w:pPr>
          </w:p>
        </w:tc>
        <w:tc>
          <w:tcPr>
            <w:tcW w:w="1531" w:type="dxa"/>
          </w:tcPr>
          <w:p w14:paraId="6F97B008">
            <w:pPr>
              <w:spacing w:line="400" w:lineRule="exact"/>
              <w:rPr>
                <w:rFonts w:ascii="仿宋" w:hAnsi="仿宋" w:eastAsia="仿宋"/>
                <w:color w:val="000000" w:themeColor="text1"/>
                <w:sz w:val="24"/>
                <w14:textFill>
                  <w14:solidFill>
                    <w14:schemeClr w14:val="tx1"/>
                  </w14:solidFill>
                </w14:textFill>
              </w:rPr>
            </w:pPr>
          </w:p>
        </w:tc>
        <w:tc>
          <w:tcPr>
            <w:tcW w:w="1532" w:type="dxa"/>
          </w:tcPr>
          <w:p w14:paraId="29491B51">
            <w:pPr>
              <w:spacing w:line="400" w:lineRule="exact"/>
              <w:rPr>
                <w:rFonts w:ascii="仿宋" w:hAnsi="仿宋" w:eastAsia="仿宋"/>
                <w:color w:val="000000" w:themeColor="text1"/>
                <w:sz w:val="24"/>
                <w14:textFill>
                  <w14:solidFill>
                    <w14:schemeClr w14:val="tx1"/>
                  </w14:solidFill>
                </w14:textFill>
              </w:rPr>
            </w:pPr>
          </w:p>
        </w:tc>
      </w:tr>
      <w:tr w14:paraId="62BD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3078A51A">
            <w:pPr>
              <w:spacing w:line="400" w:lineRule="exact"/>
              <w:rPr>
                <w:rFonts w:ascii="仿宋" w:hAnsi="仿宋" w:eastAsia="仿宋"/>
                <w:color w:val="000000" w:themeColor="text1"/>
                <w:sz w:val="24"/>
                <w14:textFill>
                  <w14:solidFill>
                    <w14:schemeClr w14:val="tx1"/>
                  </w14:solidFill>
                </w14:textFill>
              </w:rPr>
            </w:pPr>
          </w:p>
        </w:tc>
        <w:tc>
          <w:tcPr>
            <w:tcW w:w="1531" w:type="dxa"/>
          </w:tcPr>
          <w:p w14:paraId="1F62A01A">
            <w:pPr>
              <w:spacing w:line="400" w:lineRule="exact"/>
              <w:rPr>
                <w:rFonts w:ascii="仿宋" w:hAnsi="仿宋" w:eastAsia="仿宋"/>
                <w:color w:val="000000" w:themeColor="text1"/>
                <w:sz w:val="24"/>
                <w14:textFill>
                  <w14:solidFill>
                    <w14:schemeClr w14:val="tx1"/>
                  </w14:solidFill>
                </w14:textFill>
              </w:rPr>
            </w:pPr>
          </w:p>
        </w:tc>
        <w:tc>
          <w:tcPr>
            <w:tcW w:w="1531" w:type="dxa"/>
          </w:tcPr>
          <w:p w14:paraId="25A4CE21">
            <w:pPr>
              <w:spacing w:line="400" w:lineRule="exact"/>
              <w:rPr>
                <w:rFonts w:ascii="仿宋" w:hAnsi="仿宋" w:eastAsia="仿宋"/>
                <w:color w:val="000000" w:themeColor="text1"/>
                <w:sz w:val="24"/>
                <w14:textFill>
                  <w14:solidFill>
                    <w14:schemeClr w14:val="tx1"/>
                  </w14:solidFill>
                </w14:textFill>
              </w:rPr>
            </w:pPr>
          </w:p>
        </w:tc>
        <w:tc>
          <w:tcPr>
            <w:tcW w:w="1531" w:type="dxa"/>
          </w:tcPr>
          <w:p w14:paraId="3E8482CF">
            <w:pPr>
              <w:spacing w:line="400" w:lineRule="exact"/>
              <w:rPr>
                <w:rFonts w:ascii="仿宋" w:hAnsi="仿宋" w:eastAsia="仿宋"/>
                <w:color w:val="000000" w:themeColor="text1"/>
                <w:sz w:val="24"/>
                <w14:textFill>
                  <w14:solidFill>
                    <w14:schemeClr w14:val="tx1"/>
                  </w14:solidFill>
                </w14:textFill>
              </w:rPr>
            </w:pPr>
          </w:p>
        </w:tc>
        <w:tc>
          <w:tcPr>
            <w:tcW w:w="1532" w:type="dxa"/>
          </w:tcPr>
          <w:p w14:paraId="7C9B093A">
            <w:pPr>
              <w:spacing w:line="400" w:lineRule="exact"/>
              <w:rPr>
                <w:rFonts w:ascii="仿宋" w:hAnsi="仿宋" w:eastAsia="仿宋"/>
                <w:color w:val="000000" w:themeColor="text1"/>
                <w:sz w:val="24"/>
                <w14:textFill>
                  <w14:solidFill>
                    <w14:schemeClr w14:val="tx1"/>
                  </w14:solidFill>
                </w14:textFill>
              </w:rPr>
            </w:pPr>
          </w:p>
        </w:tc>
      </w:tr>
      <w:tr w14:paraId="78DE0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298450DF">
            <w:pPr>
              <w:spacing w:line="400" w:lineRule="exact"/>
              <w:rPr>
                <w:rFonts w:ascii="仿宋" w:hAnsi="仿宋" w:eastAsia="仿宋"/>
                <w:color w:val="000000" w:themeColor="text1"/>
                <w:sz w:val="24"/>
                <w14:textFill>
                  <w14:solidFill>
                    <w14:schemeClr w14:val="tx1"/>
                  </w14:solidFill>
                </w14:textFill>
              </w:rPr>
            </w:pPr>
          </w:p>
        </w:tc>
        <w:tc>
          <w:tcPr>
            <w:tcW w:w="1531" w:type="dxa"/>
          </w:tcPr>
          <w:p w14:paraId="541F4DE2">
            <w:pPr>
              <w:spacing w:line="400" w:lineRule="exact"/>
              <w:rPr>
                <w:rFonts w:ascii="仿宋" w:hAnsi="仿宋" w:eastAsia="仿宋"/>
                <w:color w:val="000000" w:themeColor="text1"/>
                <w:sz w:val="24"/>
                <w14:textFill>
                  <w14:solidFill>
                    <w14:schemeClr w14:val="tx1"/>
                  </w14:solidFill>
                </w14:textFill>
              </w:rPr>
            </w:pPr>
          </w:p>
        </w:tc>
        <w:tc>
          <w:tcPr>
            <w:tcW w:w="1531" w:type="dxa"/>
          </w:tcPr>
          <w:p w14:paraId="4FFBACE5">
            <w:pPr>
              <w:spacing w:line="400" w:lineRule="exact"/>
              <w:rPr>
                <w:rFonts w:ascii="仿宋" w:hAnsi="仿宋" w:eastAsia="仿宋"/>
                <w:color w:val="000000" w:themeColor="text1"/>
                <w:sz w:val="24"/>
                <w14:textFill>
                  <w14:solidFill>
                    <w14:schemeClr w14:val="tx1"/>
                  </w14:solidFill>
                </w14:textFill>
              </w:rPr>
            </w:pPr>
          </w:p>
        </w:tc>
        <w:tc>
          <w:tcPr>
            <w:tcW w:w="1531" w:type="dxa"/>
          </w:tcPr>
          <w:p w14:paraId="0524A636">
            <w:pPr>
              <w:spacing w:line="400" w:lineRule="exact"/>
              <w:rPr>
                <w:rFonts w:ascii="仿宋" w:hAnsi="仿宋" w:eastAsia="仿宋"/>
                <w:color w:val="000000" w:themeColor="text1"/>
                <w:sz w:val="24"/>
                <w14:textFill>
                  <w14:solidFill>
                    <w14:schemeClr w14:val="tx1"/>
                  </w14:solidFill>
                </w14:textFill>
              </w:rPr>
            </w:pPr>
          </w:p>
        </w:tc>
        <w:tc>
          <w:tcPr>
            <w:tcW w:w="1532" w:type="dxa"/>
          </w:tcPr>
          <w:p w14:paraId="6A091100">
            <w:pPr>
              <w:spacing w:line="400" w:lineRule="exact"/>
              <w:rPr>
                <w:rFonts w:ascii="仿宋" w:hAnsi="仿宋" w:eastAsia="仿宋"/>
                <w:color w:val="000000" w:themeColor="text1"/>
                <w:sz w:val="24"/>
                <w14:textFill>
                  <w14:solidFill>
                    <w14:schemeClr w14:val="tx1"/>
                  </w14:solidFill>
                </w14:textFill>
              </w:rPr>
            </w:pPr>
          </w:p>
        </w:tc>
      </w:tr>
    </w:tbl>
    <w:p w14:paraId="79B34C86">
      <w:pPr>
        <w:spacing w:line="400" w:lineRule="exact"/>
        <w:ind w:firstLine="480" w:firstLineChars="200"/>
        <w:rPr>
          <w:rFonts w:ascii="仿宋" w:hAnsi="仿宋" w:eastAsia="仿宋"/>
          <w:color w:val="000000" w:themeColor="text1"/>
          <w:sz w:val="24"/>
          <w14:textFill>
            <w14:solidFill>
              <w14:schemeClr w14:val="tx1"/>
            </w14:solidFill>
          </w14:textFill>
        </w:rPr>
      </w:pPr>
    </w:p>
    <w:p w14:paraId="6E8BA33E">
      <w:pPr>
        <w:spacing w:line="400" w:lineRule="exact"/>
        <w:rPr>
          <w:rFonts w:ascii="仿宋" w:hAnsi="仿宋" w:eastAsia="仿宋"/>
          <w:color w:val="000000" w:themeColor="text1"/>
          <w:sz w:val="24"/>
          <w14:textFill>
            <w14:solidFill>
              <w14:schemeClr w14:val="tx1"/>
            </w14:solidFill>
          </w14:textFill>
        </w:rPr>
      </w:pPr>
    </w:p>
    <w:p w14:paraId="7E027762">
      <w:pPr>
        <w:spacing w:line="400" w:lineRule="exact"/>
        <w:ind w:firstLine="480" w:firstLineChars="200"/>
        <w:rPr>
          <w:rFonts w:ascii="仿宋" w:hAnsi="仿宋" w:eastAsia="仿宋" w:cs="宋体"/>
          <w:color w:val="000000" w:themeColor="text1"/>
          <w:kern w:val="0"/>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（三）项目驻点人员情况（如有）：</w:t>
      </w:r>
    </w:p>
    <w:p w14:paraId="3FAAE02A">
      <w:pPr>
        <w:spacing w:line="400" w:lineRule="exact"/>
        <w:ind w:firstLine="480" w:firstLineChars="200"/>
        <w:rPr>
          <w:rFonts w:ascii="仿宋" w:hAnsi="仿宋" w:eastAsia="仿宋" w:cs="宋体"/>
          <w:color w:val="000000" w:themeColor="text1"/>
          <w:kern w:val="0"/>
          <w:sz w:val="24"/>
          <w14:textFill>
            <w14:solidFill>
              <w14:schemeClr w14:val="tx1"/>
            </w14:solidFill>
          </w14:textFill>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4"/>
        <w:gridCol w:w="1285"/>
        <w:gridCol w:w="1285"/>
        <w:gridCol w:w="1285"/>
        <w:gridCol w:w="1285"/>
        <w:gridCol w:w="1232"/>
      </w:tblGrid>
      <w:tr w14:paraId="0ECDD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196684F3">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序号</w:t>
            </w:r>
          </w:p>
        </w:tc>
        <w:tc>
          <w:tcPr>
            <w:tcW w:w="1285" w:type="dxa"/>
          </w:tcPr>
          <w:p w14:paraId="0D072204">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姓名</w:t>
            </w:r>
          </w:p>
        </w:tc>
        <w:tc>
          <w:tcPr>
            <w:tcW w:w="1285" w:type="dxa"/>
          </w:tcPr>
          <w:p w14:paraId="65B0AEB8">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职务/职称</w:t>
            </w:r>
          </w:p>
        </w:tc>
        <w:tc>
          <w:tcPr>
            <w:tcW w:w="1285" w:type="dxa"/>
          </w:tcPr>
          <w:p w14:paraId="462BBCAF">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负责内容</w:t>
            </w:r>
          </w:p>
        </w:tc>
        <w:tc>
          <w:tcPr>
            <w:tcW w:w="1285" w:type="dxa"/>
          </w:tcPr>
          <w:p w14:paraId="16F2585F">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联系方式</w:t>
            </w:r>
          </w:p>
        </w:tc>
        <w:tc>
          <w:tcPr>
            <w:tcW w:w="1232" w:type="dxa"/>
          </w:tcPr>
          <w:p w14:paraId="6A350356">
            <w:pPr>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驻点周期（年）</w:t>
            </w:r>
          </w:p>
        </w:tc>
      </w:tr>
      <w:tr w14:paraId="6376C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09CC759D">
            <w:pPr>
              <w:spacing w:line="400" w:lineRule="exact"/>
              <w:rPr>
                <w:rFonts w:ascii="仿宋" w:hAnsi="仿宋" w:eastAsia="仿宋"/>
                <w:color w:val="000000" w:themeColor="text1"/>
                <w:sz w:val="24"/>
                <w14:textFill>
                  <w14:solidFill>
                    <w14:schemeClr w14:val="tx1"/>
                  </w14:solidFill>
                </w14:textFill>
              </w:rPr>
            </w:pPr>
          </w:p>
        </w:tc>
        <w:tc>
          <w:tcPr>
            <w:tcW w:w="1285" w:type="dxa"/>
          </w:tcPr>
          <w:p w14:paraId="03C8C58E">
            <w:pPr>
              <w:spacing w:line="400" w:lineRule="exact"/>
              <w:rPr>
                <w:rFonts w:ascii="仿宋" w:hAnsi="仿宋" w:eastAsia="仿宋"/>
                <w:color w:val="000000" w:themeColor="text1"/>
                <w:sz w:val="24"/>
                <w14:textFill>
                  <w14:solidFill>
                    <w14:schemeClr w14:val="tx1"/>
                  </w14:solidFill>
                </w14:textFill>
              </w:rPr>
            </w:pPr>
          </w:p>
        </w:tc>
        <w:tc>
          <w:tcPr>
            <w:tcW w:w="1285" w:type="dxa"/>
          </w:tcPr>
          <w:p w14:paraId="484F90EF">
            <w:pPr>
              <w:spacing w:line="400" w:lineRule="exact"/>
              <w:rPr>
                <w:rFonts w:ascii="仿宋" w:hAnsi="仿宋" w:eastAsia="仿宋"/>
                <w:color w:val="000000" w:themeColor="text1"/>
                <w:sz w:val="24"/>
                <w14:textFill>
                  <w14:solidFill>
                    <w14:schemeClr w14:val="tx1"/>
                  </w14:solidFill>
                </w14:textFill>
              </w:rPr>
            </w:pPr>
          </w:p>
        </w:tc>
        <w:tc>
          <w:tcPr>
            <w:tcW w:w="1285" w:type="dxa"/>
          </w:tcPr>
          <w:p w14:paraId="2F77EB14">
            <w:pPr>
              <w:spacing w:line="400" w:lineRule="exact"/>
              <w:rPr>
                <w:rFonts w:ascii="仿宋" w:hAnsi="仿宋" w:eastAsia="仿宋"/>
                <w:color w:val="000000" w:themeColor="text1"/>
                <w:sz w:val="24"/>
                <w14:textFill>
                  <w14:solidFill>
                    <w14:schemeClr w14:val="tx1"/>
                  </w14:solidFill>
                </w14:textFill>
              </w:rPr>
            </w:pPr>
          </w:p>
        </w:tc>
        <w:tc>
          <w:tcPr>
            <w:tcW w:w="1285" w:type="dxa"/>
          </w:tcPr>
          <w:p w14:paraId="26823855">
            <w:pPr>
              <w:spacing w:line="400" w:lineRule="exact"/>
              <w:rPr>
                <w:rFonts w:ascii="仿宋" w:hAnsi="仿宋" w:eastAsia="仿宋"/>
                <w:color w:val="000000" w:themeColor="text1"/>
                <w:sz w:val="24"/>
                <w14:textFill>
                  <w14:solidFill>
                    <w14:schemeClr w14:val="tx1"/>
                  </w14:solidFill>
                </w14:textFill>
              </w:rPr>
            </w:pPr>
          </w:p>
        </w:tc>
        <w:tc>
          <w:tcPr>
            <w:tcW w:w="1232" w:type="dxa"/>
          </w:tcPr>
          <w:p w14:paraId="6CB7D517">
            <w:pPr>
              <w:spacing w:line="400" w:lineRule="exact"/>
              <w:rPr>
                <w:rFonts w:ascii="仿宋" w:hAnsi="仿宋" w:eastAsia="仿宋"/>
                <w:color w:val="000000" w:themeColor="text1"/>
                <w:sz w:val="24"/>
                <w14:textFill>
                  <w14:solidFill>
                    <w14:schemeClr w14:val="tx1"/>
                  </w14:solidFill>
                </w14:textFill>
              </w:rPr>
            </w:pPr>
          </w:p>
        </w:tc>
      </w:tr>
      <w:tr w14:paraId="39002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5EB35CBC">
            <w:pPr>
              <w:spacing w:line="400" w:lineRule="exact"/>
              <w:rPr>
                <w:rFonts w:ascii="仿宋" w:hAnsi="仿宋" w:eastAsia="仿宋"/>
                <w:color w:val="000000" w:themeColor="text1"/>
                <w:sz w:val="24"/>
                <w14:textFill>
                  <w14:solidFill>
                    <w14:schemeClr w14:val="tx1"/>
                  </w14:solidFill>
                </w14:textFill>
              </w:rPr>
            </w:pPr>
          </w:p>
        </w:tc>
        <w:tc>
          <w:tcPr>
            <w:tcW w:w="1285" w:type="dxa"/>
          </w:tcPr>
          <w:p w14:paraId="21F97FDA">
            <w:pPr>
              <w:spacing w:line="400" w:lineRule="exact"/>
              <w:rPr>
                <w:rFonts w:ascii="仿宋" w:hAnsi="仿宋" w:eastAsia="仿宋"/>
                <w:color w:val="000000" w:themeColor="text1"/>
                <w:sz w:val="24"/>
                <w14:textFill>
                  <w14:solidFill>
                    <w14:schemeClr w14:val="tx1"/>
                  </w14:solidFill>
                </w14:textFill>
              </w:rPr>
            </w:pPr>
          </w:p>
        </w:tc>
        <w:tc>
          <w:tcPr>
            <w:tcW w:w="1285" w:type="dxa"/>
          </w:tcPr>
          <w:p w14:paraId="7BAA82B7">
            <w:pPr>
              <w:spacing w:line="400" w:lineRule="exact"/>
              <w:rPr>
                <w:rFonts w:ascii="仿宋" w:hAnsi="仿宋" w:eastAsia="仿宋"/>
                <w:color w:val="000000" w:themeColor="text1"/>
                <w:sz w:val="24"/>
                <w14:textFill>
                  <w14:solidFill>
                    <w14:schemeClr w14:val="tx1"/>
                  </w14:solidFill>
                </w14:textFill>
              </w:rPr>
            </w:pPr>
          </w:p>
        </w:tc>
        <w:tc>
          <w:tcPr>
            <w:tcW w:w="1285" w:type="dxa"/>
          </w:tcPr>
          <w:p w14:paraId="5765B358">
            <w:pPr>
              <w:spacing w:line="400" w:lineRule="exact"/>
              <w:rPr>
                <w:rFonts w:ascii="仿宋" w:hAnsi="仿宋" w:eastAsia="仿宋"/>
                <w:color w:val="000000" w:themeColor="text1"/>
                <w:sz w:val="24"/>
                <w14:textFill>
                  <w14:solidFill>
                    <w14:schemeClr w14:val="tx1"/>
                  </w14:solidFill>
                </w14:textFill>
              </w:rPr>
            </w:pPr>
          </w:p>
        </w:tc>
        <w:tc>
          <w:tcPr>
            <w:tcW w:w="1285" w:type="dxa"/>
          </w:tcPr>
          <w:p w14:paraId="739E2363">
            <w:pPr>
              <w:spacing w:line="400" w:lineRule="exact"/>
              <w:rPr>
                <w:rFonts w:ascii="仿宋" w:hAnsi="仿宋" w:eastAsia="仿宋"/>
                <w:color w:val="000000" w:themeColor="text1"/>
                <w:sz w:val="24"/>
                <w14:textFill>
                  <w14:solidFill>
                    <w14:schemeClr w14:val="tx1"/>
                  </w14:solidFill>
                </w14:textFill>
              </w:rPr>
            </w:pPr>
          </w:p>
        </w:tc>
        <w:tc>
          <w:tcPr>
            <w:tcW w:w="1232" w:type="dxa"/>
          </w:tcPr>
          <w:p w14:paraId="14C086CD">
            <w:pPr>
              <w:spacing w:line="400" w:lineRule="exact"/>
              <w:rPr>
                <w:rFonts w:ascii="仿宋" w:hAnsi="仿宋" w:eastAsia="仿宋"/>
                <w:color w:val="000000" w:themeColor="text1"/>
                <w:sz w:val="24"/>
                <w14:textFill>
                  <w14:solidFill>
                    <w14:schemeClr w14:val="tx1"/>
                  </w14:solidFill>
                </w14:textFill>
              </w:rPr>
            </w:pPr>
          </w:p>
        </w:tc>
      </w:tr>
      <w:tr w14:paraId="3A79E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55F5B9AB">
            <w:pPr>
              <w:spacing w:line="400" w:lineRule="exact"/>
              <w:rPr>
                <w:rFonts w:ascii="仿宋" w:hAnsi="仿宋" w:eastAsia="仿宋"/>
                <w:color w:val="000000" w:themeColor="text1"/>
                <w:sz w:val="24"/>
                <w14:textFill>
                  <w14:solidFill>
                    <w14:schemeClr w14:val="tx1"/>
                  </w14:solidFill>
                </w14:textFill>
              </w:rPr>
            </w:pPr>
          </w:p>
        </w:tc>
        <w:tc>
          <w:tcPr>
            <w:tcW w:w="1285" w:type="dxa"/>
          </w:tcPr>
          <w:p w14:paraId="4EE0C7FC">
            <w:pPr>
              <w:spacing w:line="400" w:lineRule="exact"/>
              <w:rPr>
                <w:rFonts w:ascii="仿宋" w:hAnsi="仿宋" w:eastAsia="仿宋"/>
                <w:color w:val="000000" w:themeColor="text1"/>
                <w:sz w:val="24"/>
                <w14:textFill>
                  <w14:solidFill>
                    <w14:schemeClr w14:val="tx1"/>
                  </w14:solidFill>
                </w14:textFill>
              </w:rPr>
            </w:pPr>
          </w:p>
        </w:tc>
        <w:tc>
          <w:tcPr>
            <w:tcW w:w="1285" w:type="dxa"/>
          </w:tcPr>
          <w:p w14:paraId="2064F9D9">
            <w:pPr>
              <w:spacing w:line="400" w:lineRule="exact"/>
              <w:rPr>
                <w:rFonts w:ascii="仿宋" w:hAnsi="仿宋" w:eastAsia="仿宋"/>
                <w:color w:val="000000" w:themeColor="text1"/>
                <w:sz w:val="24"/>
                <w14:textFill>
                  <w14:solidFill>
                    <w14:schemeClr w14:val="tx1"/>
                  </w14:solidFill>
                </w14:textFill>
              </w:rPr>
            </w:pPr>
          </w:p>
        </w:tc>
        <w:tc>
          <w:tcPr>
            <w:tcW w:w="1285" w:type="dxa"/>
          </w:tcPr>
          <w:p w14:paraId="5CD1B181">
            <w:pPr>
              <w:spacing w:line="400" w:lineRule="exact"/>
              <w:rPr>
                <w:rFonts w:ascii="仿宋" w:hAnsi="仿宋" w:eastAsia="仿宋"/>
                <w:color w:val="000000" w:themeColor="text1"/>
                <w:sz w:val="24"/>
                <w14:textFill>
                  <w14:solidFill>
                    <w14:schemeClr w14:val="tx1"/>
                  </w14:solidFill>
                </w14:textFill>
              </w:rPr>
            </w:pPr>
          </w:p>
        </w:tc>
        <w:tc>
          <w:tcPr>
            <w:tcW w:w="1285" w:type="dxa"/>
          </w:tcPr>
          <w:p w14:paraId="73937A20">
            <w:pPr>
              <w:spacing w:line="400" w:lineRule="exact"/>
              <w:rPr>
                <w:rFonts w:ascii="仿宋" w:hAnsi="仿宋" w:eastAsia="仿宋"/>
                <w:color w:val="000000" w:themeColor="text1"/>
                <w:sz w:val="24"/>
                <w14:textFill>
                  <w14:solidFill>
                    <w14:schemeClr w14:val="tx1"/>
                  </w14:solidFill>
                </w14:textFill>
              </w:rPr>
            </w:pPr>
          </w:p>
        </w:tc>
        <w:tc>
          <w:tcPr>
            <w:tcW w:w="1232" w:type="dxa"/>
          </w:tcPr>
          <w:p w14:paraId="7BC11CC6">
            <w:pPr>
              <w:spacing w:line="400" w:lineRule="exact"/>
              <w:rPr>
                <w:rFonts w:ascii="仿宋" w:hAnsi="仿宋" w:eastAsia="仿宋"/>
                <w:color w:val="000000" w:themeColor="text1"/>
                <w:sz w:val="24"/>
                <w14:textFill>
                  <w14:solidFill>
                    <w14:schemeClr w14:val="tx1"/>
                  </w14:solidFill>
                </w14:textFill>
              </w:rPr>
            </w:pPr>
          </w:p>
        </w:tc>
      </w:tr>
    </w:tbl>
    <w:p w14:paraId="11D24764">
      <w:pPr>
        <w:spacing w:line="400" w:lineRule="exact"/>
        <w:ind w:firstLine="480" w:firstLineChars="200"/>
        <w:rPr>
          <w:rFonts w:ascii="仿宋" w:hAnsi="仿宋" w:eastAsia="仿宋" w:cs="宋体"/>
          <w:color w:val="000000" w:themeColor="text1"/>
          <w:kern w:val="0"/>
          <w:sz w:val="24"/>
          <w14:textFill>
            <w14:solidFill>
              <w14:schemeClr w14:val="tx1"/>
            </w14:solidFill>
          </w14:textFill>
        </w:rPr>
        <w:sectPr>
          <w:footerReference r:id="rId14" w:type="default"/>
          <w:pgSz w:w="12240" w:h="15840"/>
          <w:pgMar w:top="1440" w:right="1080" w:bottom="1440" w:left="1080" w:header="720" w:footer="720" w:gutter="0"/>
          <w:cols w:space="720" w:num="1"/>
        </w:sectPr>
      </w:pPr>
    </w:p>
    <w:p w14:paraId="661957A9">
      <w:pPr>
        <w:widowControl/>
        <w:snapToGrid w:val="0"/>
        <w:spacing w:line="400" w:lineRule="exact"/>
        <w:rPr>
          <w:rFonts w:ascii="仿宋" w:hAnsi="仿宋" w:eastAsia="仿宋"/>
          <w:color w:val="000000" w:themeColor="text1"/>
          <w:sz w:val="24"/>
          <w14:textFill>
            <w14:solidFill>
              <w14:schemeClr w14:val="tx1"/>
            </w14:solidFill>
          </w14:textFill>
        </w:rPr>
      </w:pPr>
      <w:r>
        <w:rPr>
          <w:rFonts w:hint="eastAsia" w:ascii="仿宋" w:hAnsi="仿宋" w:eastAsia="仿宋" w:cs="宋体"/>
          <w:color w:val="000000" w:themeColor="text1"/>
          <w:kern w:val="0"/>
          <w:sz w:val="24"/>
          <w14:textFill>
            <w14:solidFill>
              <w14:schemeClr w14:val="tx1"/>
            </w14:solidFill>
          </w14:textFill>
        </w:rPr>
        <w:t>附件六</w:t>
      </w:r>
    </w:p>
    <w:bookmarkEnd w:id="519"/>
    <w:p w14:paraId="7544E7B3">
      <w:pPr>
        <w:spacing w:line="500" w:lineRule="exact"/>
        <w:ind w:firstLine="643" w:firstLineChars="200"/>
        <w:jc w:val="center"/>
        <w:rPr>
          <w:rFonts w:ascii="仿宋" w:hAnsi="仿宋" w:eastAsia="仿宋" w:cs="仿宋"/>
          <w:b/>
          <w:bCs/>
          <w:color w:val="000000" w:themeColor="text1"/>
          <w:sz w:val="32"/>
          <w:szCs w:val="32"/>
          <w:lang w:bidi="zh-CN"/>
          <w14:textFill>
            <w14:solidFill>
              <w14:schemeClr w14:val="tx1"/>
            </w14:solidFill>
          </w14:textFill>
        </w:rPr>
      </w:pPr>
      <w:r>
        <w:rPr>
          <w:rFonts w:hint="eastAsia" w:ascii="仿宋" w:hAnsi="仿宋" w:eastAsia="仿宋" w:cs="仿宋"/>
          <w:b/>
          <w:bCs/>
          <w:color w:val="000000" w:themeColor="text1"/>
          <w:sz w:val="32"/>
          <w:szCs w:val="32"/>
          <w:lang w:bidi="zh-CN"/>
          <w14:textFill>
            <w14:solidFill>
              <w14:schemeClr w14:val="tx1"/>
            </w14:solidFill>
          </w14:textFill>
        </w:rPr>
        <w:t>温州市公安局建设运维项目</w:t>
      </w:r>
    </w:p>
    <w:p w14:paraId="6F79C126">
      <w:pPr>
        <w:spacing w:line="500" w:lineRule="exact"/>
        <w:ind w:firstLine="643" w:firstLineChars="200"/>
        <w:jc w:val="center"/>
        <w:rPr>
          <w:rFonts w:ascii="仿宋" w:hAnsi="仿宋" w:eastAsia="仿宋" w:cs="仿宋"/>
          <w:b/>
          <w:bCs/>
          <w:color w:val="000000" w:themeColor="text1"/>
          <w:sz w:val="32"/>
          <w:szCs w:val="32"/>
          <w:lang w:bidi="zh-CN"/>
          <w14:textFill>
            <w14:solidFill>
              <w14:schemeClr w14:val="tx1"/>
            </w14:solidFill>
          </w14:textFill>
        </w:rPr>
      </w:pPr>
      <w:r>
        <w:rPr>
          <w:rFonts w:hint="eastAsia" w:ascii="仿宋" w:hAnsi="仿宋" w:eastAsia="仿宋" w:cs="仿宋"/>
          <w:b/>
          <w:bCs/>
          <w:color w:val="000000" w:themeColor="text1"/>
          <w:sz w:val="32"/>
          <w:szCs w:val="32"/>
          <w:lang w:bidi="zh-CN"/>
          <w14:textFill>
            <w14:solidFill>
              <w14:schemeClr w14:val="tx1"/>
            </w14:solidFill>
          </w14:textFill>
        </w:rPr>
        <w:t>安全保密协议</w:t>
      </w:r>
    </w:p>
    <w:p w14:paraId="2CF3CA37">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p>
    <w:p w14:paraId="1FA159C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 xml:space="preserve">甲方（项目责任单位）： 温州市公安局     （部门）   </w:t>
      </w:r>
    </w:p>
    <w:p w14:paraId="0BFCF65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乙方（项目建设运维单位）：                  公司</w:t>
      </w:r>
    </w:p>
    <w:p w14:paraId="0282338F">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为做好“                    项目”（以下简称项目）的安全保密工作，确保国家秘密和警务工作秘密的安全，根据《中华人民共和国保守国家秘密法》《中华人民共和国数据安全法》《中华人民共和国网络安全法》，公安部、国家保密局关于《公安工作国家秘密范围的规定》（公通字〔2019〕3号）《公安机关警务工作秘密范围的规定》（公通字〔2019〕2号）等相关文件规定，甲乙双方就本项目有关安全保密事宜达成如下协议：</w:t>
      </w:r>
    </w:p>
    <w:p w14:paraId="580095EB">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一、本项目涉密等级为               。保密内容包括：本项目的各类信息数据、文件资料，以及公安内部网络信息和工作中接触到的其他需保密的信息。（下划线部分，系涉密涉敏项目需视情写明的内容，且需根据具体情况作调整）</w:t>
      </w:r>
    </w:p>
    <w:p w14:paraId="29842F38">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二、乙方应明确本项目的安全保密管理责任体系，公司法定代表人                 （姓名）为本项目安全保密管理第一责任人，具体承担项目事项的乙方部门主要负责人</w:t>
      </w:r>
    </w:p>
    <w:p w14:paraId="4F142F77">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 xml:space="preserve">                （姓名）                （职务）为本项目的安全保密管理直接责任人。</w:t>
      </w:r>
    </w:p>
    <w:p w14:paraId="546DC3F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三、乙方应遵守国家保密法律法规和公安机关有关信息化合作安全保密规定要求，履行安全保密义务与责任，并按年度提交本项目安全保密工作情况报告。</w:t>
      </w:r>
    </w:p>
    <w:p w14:paraId="1202DAFB">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四、甲方应当加强对乙方及参与本项目工作人员的安全保密监管和教育，及时督促乙方整改安全保密问题隐患。</w:t>
      </w:r>
    </w:p>
    <w:p w14:paraId="12978E47">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五、乙方应派遣符合甲方要求的工作人员参加项目工作，对项目工作人员登记造册，并承担法律上的担保责任。</w:t>
      </w:r>
    </w:p>
    <w:p w14:paraId="5B39EB05">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六、乙方应当建立安全保密管理制度，认真做好本项目建设运维期间的安全保密管理工作。</w:t>
      </w:r>
    </w:p>
    <w:p w14:paraId="57FA059E">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（一）工作人员管理方面</w:t>
      </w:r>
    </w:p>
    <w:p w14:paraId="2DB66055">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1.常态化开展工作人员的安全保密教育培训、安全保密检查、安全保密提醒谈话和保密岗位考核，掌握现实表现、思想动态，增强其安全保密法纪观念、责任意识、知识技能；</w:t>
      </w:r>
    </w:p>
    <w:p w14:paraId="489A5FDD">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2.集中登记保管工作人员的出国（境）证件，同时应在出国（境）前15个工作日报甲、监督方同意；</w:t>
      </w:r>
    </w:p>
    <w:p w14:paraId="655C89F5">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3.工作人员中途更换（需经甲方同意）或因工作完成而离岗的，要落实账号注销、授权取消、证件、信息设备、文件资料等清退，并做好保密提醒谈话、签订离岗承诺书等工作；</w:t>
      </w:r>
    </w:p>
    <w:p w14:paraId="2A2572B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4.参与涉密项目的工作人员，应为已向保密行政管理部门报备的涉密人员。（本条系涉密项目的要求）</w:t>
      </w:r>
    </w:p>
    <w:p w14:paraId="79ADBF59">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 xml:space="preserve">5.涉密项目应加强离岗的工作人员脱密期管理。（本条系涉密项目的要求）     </w:t>
      </w:r>
    </w:p>
    <w:p w14:paraId="1992AB60">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（二）场所载体管理方面</w:t>
      </w:r>
    </w:p>
    <w:p w14:paraId="2AC54709">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1.工作人员应在甲方指定的工作场所和设备环境下开展工作，使用甲方提供或指定的计算机等设备；未经甲方许可，不得以任何形式将公安信息、数据等传输或复制到其它计算机、信息设备、存储介质中。</w:t>
      </w:r>
    </w:p>
    <w:p w14:paraId="6D42F0D8">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2.未经甲方批准，不得擅自将计算机、信息设备、存储介质等带入甲方工作场所或者接入公安内部网络，确因工作需要经甲方审批而联入公安内部网络的计算机设备，应严格按照公安内部网络安全管理的要求，严禁“一机两用”，并不得擅自带离甲方工作场所。</w:t>
      </w:r>
    </w:p>
    <w:p w14:paraId="3C1E80BC">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（三）网络及数据安全管理方面</w:t>
      </w:r>
    </w:p>
    <w:p w14:paraId="793D8648">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1.不得使用无正规版权、无安全保障的开发工具、基础软件等，不得交付留有系统后门或带有恶意代码的应用软件，不得侵犯公安机关知识产权，不得隐匿、篡改或拒不提供开发文档、软件源代码； （本条系科技建设运维项目的要求）</w:t>
      </w:r>
    </w:p>
    <w:p w14:paraId="48557E2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2.不得在互联网环境下测试开发公安信息系统，不得以任何方式将公安信息、数据提供给第三方或用于其他商业目的，同时应根据项目进展，及时主动向甲方清退文件资料，当甲方要求乙方交回文件资料时，乙方应当立即交回，不以任何形式保留或擅自处理，不得将项目的具体内容或案例信息作为公司业绩对外宣传；</w:t>
      </w:r>
    </w:p>
    <w:p w14:paraId="12D48924">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3.不得通过公共社交软件、通联工具谈论或处理、传输可能涉密涉敏的本项目情况；</w:t>
      </w:r>
    </w:p>
    <w:p w14:paraId="7E9DD2B0">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4.不得入侵、篡改、泄露或擅自使用公安信息系统，不得擅自浏览、下载、泄露公安内部网络信息；</w:t>
      </w:r>
    </w:p>
    <w:p w14:paraId="07A89504">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5.不得私接网络边界通道或者未经审批超范围使用边界通道，不得跨网进行运行维护操作；</w:t>
      </w:r>
    </w:p>
    <w:p w14:paraId="69695D4B">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6.不得私自持有使用公安数据库权限，不得未经允许导出数据，不得在互联网、政务外网存储、处理未经脱密脱敏处理的公安信息数据；</w:t>
      </w:r>
    </w:p>
    <w:p w14:paraId="0A2CF1D9">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7.在项目建设运维过程中，应制定本项目的网络安全保障方案和网络安全事件应急预案，严格遵守公安有关信息系统建设开发及数据安全的操作规范，采取必要的技术、管理措施，确保公安信息系统及数据安全。（非科技建设运维项目无需制定应急预案）</w:t>
      </w:r>
    </w:p>
    <w:p w14:paraId="7946BF03">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（四）其他</w:t>
      </w:r>
    </w:p>
    <w:p w14:paraId="2A1AC43C">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1.在合同确定的服务范围内开展工作，不得涉及与本项目无关的业务及信息；</w:t>
      </w:r>
    </w:p>
    <w:p w14:paraId="5FE70C3C">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2.自愿接受甲方安全保密监管及检查，对于检查中发现的问题，在限定期间内落实整改；</w:t>
      </w:r>
    </w:p>
    <w:p w14:paraId="3DCD3CDA">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3.主动加强本项目的安全保密管理和技术管控措施，一旦发现网络安全事件或者存在失泄密风险隐患的，立即予以补救、整改，及时向甲方报告，为甲方提供查找失泄密原因的线索和证据，并开展批评教育、责任追究等工作；</w:t>
      </w:r>
    </w:p>
    <w:p w14:paraId="05A455FC">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4.不得有其他影响安全保密的行为。</w:t>
      </w:r>
    </w:p>
    <w:p w14:paraId="0C834F69">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七、乙方单位及人员违反本协议的，由甲方责令其立即整改；导致严重后果的，依据有关规定追究经济、行政等责任；构成犯罪的，依法追究刑事责任。</w:t>
      </w:r>
    </w:p>
    <w:p w14:paraId="248A1EBA">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 xml:space="preserve">    八、本协议双方签字盖章后生效。本协议一式三份，甲乙双方各执一份，甲方保密工作机构一份。乙方不得将本协议向第三方展示或提供给第三方，不得通过互联网等进行处理、传输。</w:t>
      </w:r>
    </w:p>
    <w:p w14:paraId="61C98628">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p>
    <w:p w14:paraId="0B2C9C67">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甲方代表签字：              乙方代表签字：</w:t>
      </w:r>
    </w:p>
    <w:p w14:paraId="4978D629">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单位盖章                      单位盖章</w:t>
      </w:r>
    </w:p>
    <w:p w14:paraId="3BBCCC52">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r>
        <w:rPr>
          <w:rFonts w:hint="eastAsia" w:ascii="仿宋" w:hAnsi="仿宋" w:eastAsia="仿宋" w:cs="仿宋"/>
          <w:color w:val="000000" w:themeColor="text1"/>
          <w:sz w:val="24"/>
          <w:lang w:bidi="zh-CN"/>
          <w14:textFill>
            <w14:solidFill>
              <w14:schemeClr w14:val="tx1"/>
            </w14:solidFill>
          </w14:textFill>
        </w:rPr>
        <w:t>日期：　　　　　　　　　　　　日期：</w:t>
      </w:r>
    </w:p>
    <w:p w14:paraId="54F72F11">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p>
    <w:p w14:paraId="29D591BE">
      <w:pPr>
        <w:spacing w:line="500" w:lineRule="exact"/>
        <w:ind w:firstLine="480" w:firstLineChars="200"/>
        <w:jc w:val="left"/>
        <w:rPr>
          <w:rFonts w:ascii="仿宋" w:hAnsi="仿宋" w:eastAsia="仿宋" w:cs="仿宋"/>
          <w:color w:val="000000" w:themeColor="text1"/>
          <w:sz w:val="24"/>
          <w:lang w:bidi="zh-CN"/>
          <w14:textFill>
            <w14:solidFill>
              <w14:schemeClr w14:val="tx1"/>
            </w14:solidFill>
          </w14:textFill>
        </w:rPr>
      </w:pPr>
    </w:p>
    <w:p w14:paraId="0144F574">
      <w:pPr>
        <w:spacing w:line="560" w:lineRule="exact"/>
        <w:ind w:left="-420" w:leftChars="-200" w:right="-420" w:rightChars="-200" w:firstLine="600" w:firstLineChars="200"/>
        <w:rPr>
          <w:rFonts w:ascii="仿宋" w:hAnsi="仿宋" w:eastAsia="仿宋" w:cs="仿宋"/>
          <w:color w:val="000000" w:themeColor="text1"/>
          <w:sz w:val="30"/>
          <w:szCs w:val="30"/>
          <w14:textFill>
            <w14:solidFill>
              <w14:schemeClr w14:val="tx1"/>
            </w14:solidFill>
          </w14:textFill>
        </w:rPr>
      </w:pPr>
    </w:p>
    <w:p w14:paraId="4D8904EF">
      <w:pPr>
        <w:spacing w:line="560" w:lineRule="exact"/>
        <w:ind w:left="-420" w:leftChars="-200" w:right="-420" w:rightChars="-200" w:firstLine="480" w:firstLineChars="200"/>
        <w:rPr>
          <w:rFonts w:ascii="仿宋" w:hAnsi="仿宋" w:eastAsia="仿宋" w:cs="仿宋"/>
          <w:color w:val="000000" w:themeColor="text1"/>
          <w:sz w:val="24"/>
          <w14:textFill>
            <w14:solidFill>
              <w14:schemeClr w14:val="tx1"/>
            </w14:solidFill>
          </w14:textFill>
        </w:rPr>
      </w:pPr>
    </w:p>
    <w:p w14:paraId="1C8F1B98">
      <w:pPr>
        <w:spacing w:line="560" w:lineRule="exact"/>
        <w:ind w:left="-420" w:leftChars="-200" w:right="-420" w:rightChars="-200" w:firstLine="480" w:firstLineChars="200"/>
        <w:rPr>
          <w:rFonts w:ascii="仿宋" w:hAnsi="仿宋" w:eastAsia="仿宋" w:cs="仿宋"/>
          <w:color w:val="000000" w:themeColor="text1"/>
          <w:sz w:val="24"/>
          <w14:textFill>
            <w14:solidFill>
              <w14:schemeClr w14:val="tx1"/>
            </w14:solidFill>
          </w14:textFill>
        </w:rPr>
      </w:pPr>
    </w:p>
    <w:p w14:paraId="39226232">
      <w:pPr>
        <w:rPr>
          <w:rFonts w:ascii="仿宋" w:hAnsi="仿宋" w:eastAsia="仿宋" w:cs="仿宋"/>
          <w:color w:val="000000" w:themeColor="text1"/>
          <w14:textFill>
            <w14:solidFill>
              <w14:schemeClr w14:val="tx1"/>
            </w14:solidFill>
          </w14:textFill>
        </w:rPr>
      </w:pPr>
      <w:bookmarkStart w:id="520" w:name="_Toc15892"/>
      <w:bookmarkStart w:id="521" w:name="_Toc326095767"/>
      <w:r>
        <w:rPr>
          <w:rFonts w:hint="eastAsia" w:ascii="仿宋" w:hAnsi="仿宋" w:eastAsia="仿宋" w:cs="仿宋"/>
          <w:color w:val="000000" w:themeColor="text1"/>
          <w14:textFill>
            <w14:solidFill>
              <w14:schemeClr w14:val="tx1"/>
            </w14:solidFill>
          </w14:textFill>
        </w:rPr>
        <w:br w:type="page"/>
      </w:r>
    </w:p>
    <w:p w14:paraId="771DF90B">
      <w:pPr>
        <w:pStyle w:val="2"/>
        <w:adjustRightInd/>
        <w:ind w:left="431" w:hanging="431"/>
        <w:jc w:val="center"/>
        <w:rPr>
          <w:rFonts w:ascii="仿宋" w:hAnsi="仿宋" w:eastAsia="仿宋" w:cs="仿宋"/>
          <w:color w:val="000000" w:themeColor="text1"/>
          <w14:textFill>
            <w14:solidFill>
              <w14:schemeClr w14:val="tx1"/>
            </w14:solidFill>
          </w14:textFill>
        </w:rPr>
      </w:pPr>
      <w:bookmarkStart w:id="522" w:name="_Toc11158"/>
      <w:r>
        <w:rPr>
          <w:rFonts w:hint="eastAsia" w:ascii="仿宋" w:hAnsi="仿宋" w:eastAsia="仿宋" w:cs="仿宋"/>
          <w:color w:val="000000" w:themeColor="text1"/>
          <w14:textFill>
            <w14:solidFill>
              <w14:schemeClr w14:val="tx1"/>
            </w14:solidFill>
          </w14:textFill>
        </w:rPr>
        <w:t>第六部分</w:t>
      </w:r>
      <w:bookmarkEnd w:id="514"/>
      <w:r>
        <w:rPr>
          <w:rFonts w:hint="eastAsia" w:ascii="仿宋" w:hAnsi="仿宋" w:eastAsia="仿宋" w:cs="仿宋"/>
          <w:color w:val="000000" w:themeColor="text1"/>
          <w14:textFill>
            <w14:solidFill>
              <w14:schemeClr w14:val="tx1"/>
            </w14:solidFill>
          </w14:textFill>
        </w:rPr>
        <w:t xml:space="preserve"> </w:t>
      </w:r>
      <w:bookmarkEnd w:id="515"/>
      <w:r>
        <w:rPr>
          <w:rFonts w:hint="eastAsia" w:ascii="仿宋" w:hAnsi="仿宋" w:eastAsia="仿宋" w:cs="仿宋"/>
          <w:color w:val="000000" w:themeColor="text1"/>
          <w14:textFill>
            <w14:solidFill>
              <w14:schemeClr w14:val="tx1"/>
            </w14:solidFill>
          </w14:textFill>
        </w:rPr>
        <w:t>应提交的有关格式范例</w:t>
      </w:r>
      <w:bookmarkEnd w:id="520"/>
      <w:bookmarkEnd w:id="521"/>
      <w:bookmarkEnd w:id="522"/>
    </w:p>
    <w:p w14:paraId="53E815E1">
      <w:pPr>
        <w:pStyle w:val="3"/>
        <w:jc w:val="center"/>
        <w:rPr>
          <w:rFonts w:ascii="仿宋" w:eastAsia="仿宋" w:cs="仿宋"/>
          <w:b w:val="0"/>
          <w:color w:val="000000" w:themeColor="text1"/>
          <w:kern w:val="0"/>
          <w:szCs w:val="36"/>
          <w14:textFill>
            <w14:solidFill>
              <w14:schemeClr w14:val="tx1"/>
            </w14:solidFill>
          </w14:textFill>
        </w:rPr>
      </w:pPr>
      <w:bookmarkStart w:id="523" w:name="_Toc313288825"/>
      <w:bookmarkStart w:id="524" w:name="_Toc26258"/>
      <w:bookmarkStart w:id="525" w:name="_Toc12589"/>
      <w:r>
        <w:rPr>
          <w:rFonts w:hint="eastAsia" w:ascii="仿宋" w:eastAsia="仿宋" w:cs="仿宋"/>
          <w:color w:val="000000" w:themeColor="text1"/>
          <w14:textFill>
            <w14:solidFill>
              <w14:schemeClr w14:val="tx1"/>
            </w14:solidFill>
          </w14:textFill>
        </w:rPr>
        <w:t>资格文件部分</w:t>
      </w:r>
      <w:bookmarkEnd w:id="523"/>
      <w:bookmarkEnd w:id="524"/>
      <w:bookmarkEnd w:id="525"/>
    </w:p>
    <w:p w14:paraId="099C2E63">
      <w:pPr>
        <w:spacing w:line="360" w:lineRule="auto"/>
        <w:jc w:val="center"/>
        <w:rPr>
          <w:rFonts w:ascii="仿宋" w:hAnsi="仿宋" w:eastAsia="仿宋" w:cs="仿宋"/>
          <w:b/>
          <w:color w:val="000000" w:themeColor="text1"/>
          <w:kern w:val="0"/>
          <w:sz w:val="36"/>
          <w:szCs w:val="36"/>
          <w14:textFill>
            <w14:solidFill>
              <w14:schemeClr w14:val="tx1"/>
            </w14:solidFill>
          </w14:textFill>
        </w:rPr>
      </w:pPr>
      <w:bookmarkStart w:id="526" w:name="_Toc3652"/>
      <w:bookmarkStart w:id="527" w:name="_Toc22497"/>
      <w:bookmarkStart w:id="528" w:name="_Toc19552"/>
      <w:r>
        <w:rPr>
          <w:rFonts w:hint="eastAsia" w:ascii="仿宋" w:hAnsi="仿宋" w:eastAsia="仿宋" w:cs="仿宋"/>
          <w:b/>
          <w:color w:val="000000" w:themeColor="text1"/>
          <w:kern w:val="0"/>
          <w:sz w:val="36"/>
          <w:szCs w:val="36"/>
          <w14:textFill>
            <w14:solidFill>
              <w14:schemeClr w14:val="tx1"/>
            </w14:solidFill>
          </w14:textFill>
        </w:rPr>
        <w:t>目录</w:t>
      </w:r>
      <w:bookmarkEnd w:id="526"/>
      <w:bookmarkEnd w:id="527"/>
      <w:bookmarkEnd w:id="528"/>
    </w:p>
    <w:p w14:paraId="47AC30AE">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（1）符合《中华人民共和国政府采购法》第二十二条规定的相关证明材料；</w:t>
      </w:r>
    </w:p>
    <w:p w14:paraId="33D45D33">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各供应商须在响应文件中出具对应证明材料。（商业信誉可提前自查，响应文件中可不提供）</w:t>
      </w:r>
    </w:p>
    <w:p w14:paraId="75084D22">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a.具有独立承担民事责任能力的证明材料；</w:t>
      </w:r>
    </w:p>
    <w:p w14:paraId="5A8408DC">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b.符合参与政府采购活动资格条件的承诺函；</w:t>
      </w:r>
    </w:p>
    <w:p w14:paraId="1654D556">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c.商业信誉：</w:t>
      </w:r>
    </w:p>
    <w:p w14:paraId="4F890FEB">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583495BE">
      <w:pPr>
        <w:pStyle w:val="26"/>
        <w:spacing w:line="360" w:lineRule="auto"/>
        <w:ind w:firstLine="4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对列入失信被执行人、重大税收违法案件当事人名单、政府采购严重违法失信行为记录名单的供应商，其磋商响应将作无效响应处理。</w:t>
      </w:r>
    </w:p>
    <w:p w14:paraId="74617F06">
      <w:pPr>
        <w:snapToGrid w:val="0"/>
        <w:spacing w:line="360" w:lineRule="auto"/>
        <w:ind w:firstLine="480" w:firstLineChars="200"/>
        <w:rPr>
          <w:rFonts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(2)落实政府采购政策需满足的资格要求</w:t>
      </w:r>
      <w:r>
        <w:rPr>
          <w:rFonts w:hint="eastAsia" w:ascii="仿宋" w:hAnsi="仿宋" w:eastAsia="仿宋" w:cs="仿宋"/>
          <w:color w:val="000000" w:themeColor="text1"/>
          <w:kern w:val="0"/>
          <w:sz w:val="24"/>
          <w:szCs w:val="20"/>
          <w:lang w:val="zh-CN"/>
          <w14:textFill>
            <w14:solidFill>
              <w14:schemeClr w14:val="tx1"/>
            </w14:solidFill>
          </w14:textFill>
        </w:rPr>
        <w:t>证明材料</w:t>
      </w:r>
      <w:r>
        <w:rPr>
          <w:rFonts w:hint="eastAsia" w:ascii="仿宋" w:hAnsi="仿宋" w:eastAsia="仿宋" w:cs="仿宋"/>
          <w:color w:val="000000" w:themeColor="text1"/>
          <w:kern w:val="0"/>
          <w:sz w:val="24"/>
          <w:szCs w:val="20"/>
          <w14:textFill>
            <w14:solidFill>
              <w14:schemeClr w14:val="tx1"/>
            </w14:solidFill>
          </w14:textFill>
        </w:rPr>
        <w:t>；</w:t>
      </w:r>
    </w:p>
    <w:p w14:paraId="5B5303B0">
      <w:pPr>
        <w:snapToGrid w:val="0"/>
        <w:spacing w:line="360" w:lineRule="auto"/>
        <w:ind w:firstLine="480" w:firstLineChars="200"/>
        <w:rPr>
          <w:rFonts w:ascii="仿宋" w:hAnsi="仿宋" w:eastAsia="仿宋" w:cs="仿宋"/>
          <w:color w:val="000000" w:themeColor="text1"/>
          <w:kern w:val="0"/>
          <w:sz w:val="24"/>
          <w:szCs w:val="20"/>
          <w:lang w:val="zh-CN"/>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(3)本项目的特定资格</w:t>
      </w:r>
      <w:r>
        <w:rPr>
          <w:rFonts w:hint="eastAsia" w:ascii="仿宋" w:hAnsi="仿宋" w:eastAsia="仿宋" w:cs="仿宋"/>
          <w:color w:val="000000" w:themeColor="text1"/>
          <w:kern w:val="0"/>
          <w:sz w:val="24"/>
          <w:szCs w:val="20"/>
          <w:lang w:val="zh-CN"/>
          <w14:textFill>
            <w14:solidFill>
              <w14:schemeClr w14:val="tx1"/>
            </w14:solidFill>
          </w14:textFill>
        </w:rPr>
        <w:t>证明材料。</w:t>
      </w:r>
    </w:p>
    <w:p w14:paraId="1AC1502E">
      <w:pPr>
        <w:snapToGrid w:val="0"/>
        <w:spacing w:line="360" w:lineRule="auto"/>
        <w:ind w:firstLine="480" w:firstLineChars="200"/>
        <w:rPr>
          <w:rFonts w:ascii="仿宋" w:hAnsi="仿宋" w:eastAsia="仿宋" w:cs="仿宋"/>
          <w:color w:val="000000" w:themeColor="text1"/>
          <w:kern w:val="0"/>
          <w:sz w:val="24"/>
          <w:szCs w:val="20"/>
          <w:lang w:val="zh-CN"/>
          <w14:textFill>
            <w14:solidFill>
              <w14:schemeClr w14:val="tx1"/>
            </w14:solidFill>
          </w14:textFill>
        </w:rPr>
      </w:pPr>
      <w:r>
        <w:rPr>
          <w:rFonts w:hint="eastAsia" w:ascii="仿宋" w:hAnsi="仿宋" w:eastAsia="仿宋" w:cs="仿宋"/>
          <w:color w:val="000000" w:themeColor="text1"/>
          <w:kern w:val="0"/>
          <w:sz w:val="24"/>
          <w:szCs w:val="20"/>
          <w14:textFill>
            <w14:solidFill>
              <w14:schemeClr w14:val="tx1"/>
            </w14:solidFill>
          </w14:textFill>
        </w:rPr>
        <w:t>(4)</w:t>
      </w:r>
      <w:r>
        <w:rPr>
          <w:rFonts w:hint="eastAsia" w:ascii="仿宋" w:hAnsi="仿宋" w:eastAsia="仿宋" w:cs="仿宋"/>
          <w:color w:val="000000" w:themeColor="text1"/>
          <w:kern w:val="0"/>
          <w:sz w:val="24"/>
          <w:szCs w:val="20"/>
          <w:lang w:val="zh-CN"/>
          <w14:textFill>
            <w14:solidFill>
              <w14:schemeClr w14:val="tx1"/>
            </w14:solidFill>
          </w14:textFill>
        </w:rPr>
        <w:t>政府采购活动现场确认声明书。</w:t>
      </w:r>
    </w:p>
    <w:p w14:paraId="052DB501">
      <w:pPr>
        <w:pStyle w:val="16"/>
        <w:tabs>
          <w:tab w:val="left" w:pos="630"/>
          <w:tab w:val="left" w:pos="840"/>
          <w:tab w:val="left" w:pos="1050"/>
        </w:tabs>
        <w:snapToGrid w:val="0"/>
        <w:spacing w:before="0" w:beforeAutospacing="0" w:after="0" w:afterAutospacing="0" w:line="360" w:lineRule="auto"/>
        <w:jc w:val="center"/>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lang w:val="zh-CN"/>
          <w14:textFill>
            <w14:solidFill>
              <w14:schemeClr w14:val="tx1"/>
            </w14:solidFill>
          </w14:textFill>
        </w:rPr>
        <w:br w:type="page"/>
      </w:r>
      <w:bookmarkStart w:id="529" w:name="_Toc14114"/>
      <w:bookmarkStart w:id="530" w:name="_Toc29209"/>
      <w:bookmarkStart w:id="531" w:name="_Toc1962862978"/>
      <w:r>
        <w:rPr>
          <w:rFonts w:hint="eastAsia" w:ascii="仿宋" w:hAnsi="仿宋" w:eastAsia="仿宋" w:cs="仿宋"/>
          <w:b/>
          <w:color w:val="000000" w:themeColor="text1"/>
          <w:sz w:val="32"/>
          <w:szCs w:val="32"/>
          <w14:textFill>
            <w14:solidFill>
              <w14:schemeClr w14:val="tx1"/>
            </w14:solidFill>
          </w14:textFill>
        </w:rPr>
        <w:t>一、</w:t>
      </w:r>
      <w:r>
        <w:rPr>
          <w:rFonts w:hint="eastAsia" w:ascii="仿宋" w:hAnsi="仿宋" w:eastAsia="仿宋" w:cs="仿宋"/>
          <w:b/>
          <w:color w:val="000000" w:themeColor="text1"/>
          <w:sz w:val="28"/>
          <w:szCs w:val="28"/>
          <w14:textFill>
            <w14:solidFill>
              <w14:schemeClr w14:val="tx1"/>
            </w14:solidFill>
          </w14:textFill>
        </w:rPr>
        <w:t>符合参与政府采购活动资格条件的承诺函：</w:t>
      </w:r>
      <w:bookmarkEnd w:id="529"/>
      <w:bookmarkEnd w:id="530"/>
      <w:bookmarkEnd w:id="531"/>
    </w:p>
    <w:p w14:paraId="458594FF">
      <w:pPr>
        <w:shd w:val="clear" w:color="auto" w:fill="FFFFFF"/>
        <w:snapToGrid w:val="0"/>
        <w:spacing w:line="440" w:lineRule="exact"/>
        <w:jc w:val="center"/>
        <w:rPr>
          <w:rFonts w:ascii="仿宋" w:hAnsi="仿宋" w:eastAsia="仿宋" w:cs="仿宋"/>
          <w:color w:val="000000" w:themeColor="text1"/>
          <w:sz w:val="28"/>
          <w:szCs w:val="36"/>
          <w14:textFill>
            <w14:solidFill>
              <w14:schemeClr w14:val="tx1"/>
            </w14:solidFill>
          </w14:textFill>
        </w:rPr>
      </w:pPr>
      <w:r>
        <w:rPr>
          <w:rFonts w:hint="eastAsia" w:ascii="仿宋" w:hAnsi="仿宋" w:eastAsia="仿宋" w:cs="仿宋"/>
          <w:color w:val="000000" w:themeColor="text1"/>
          <w:sz w:val="28"/>
          <w:szCs w:val="36"/>
          <w14:textFill>
            <w14:solidFill>
              <w14:schemeClr w14:val="tx1"/>
            </w14:solidFill>
          </w14:textFill>
        </w:rPr>
        <w:t>资格条件承诺函</w:t>
      </w:r>
    </w:p>
    <w:p w14:paraId="30B1C5DE">
      <w:pPr>
        <w:shd w:val="clear" w:color="auto" w:fill="FFFFFF"/>
        <w:snapToGrid w:val="0"/>
        <w:spacing w:line="4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温州市公安局</w:t>
      </w:r>
    </w:p>
    <w:p w14:paraId="2F009736">
      <w:pPr>
        <w:shd w:val="clear" w:color="auto" w:fill="FFFFFF"/>
        <w:snapToGrid w:val="0"/>
        <w:spacing w:line="4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温州历程招标有限公司：</w:t>
      </w:r>
    </w:p>
    <w:p w14:paraId="44B5C9FC">
      <w:pPr>
        <w:widowControl/>
        <w:spacing w:line="44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我方参与</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（采购项目名称、编号）磋商响应，现郑重承诺：</w:t>
      </w:r>
    </w:p>
    <w:p w14:paraId="0D129A72">
      <w:pPr>
        <w:widowControl/>
        <w:spacing w:line="44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1、我方符合《中华人民共和国政府采购法》第22条规定的资格条件，即</w:t>
      </w:r>
    </w:p>
    <w:p w14:paraId="1DBBCF59">
      <w:pPr>
        <w:widowControl/>
        <w:snapToGrid w:val="0"/>
        <w:spacing w:line="440" w:lineRule="exact"/>
        <w:ind w:left="420" w:left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（1）我方具有独立承担民事责任的能力；</w:t>
      </w:r>
    </w:p>
    <w:p w14:paraId="490E4B32">
      <w:pPr>
        <w:widowControl/>
        <w:snapToGrid w:val="0"/>
        <w:spacing w:line="440" w:lineRule="exact"/>
        <w:ind w:left="420" w:left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（2）我方具有良好的商业信誉和健全的财务会计制度；</w:t>
      </w:r>
    </w:p>
    <w:p w14:paraId="44678A0A">
      <w:pPr>
        <w:widowControl/>
        <w:snapToGrid w:val="0"/>
        <w:spacing w:line="440" w:lineRule="exact"/>
        <w:ind w:left="420" w:left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（3）我方具有履行合同所必需的设备和专业技术能力；</w:t>
      </w:r>
    </w:p>
    <w:p w14:paraId="53278968">
      <w:pPr>
        <w:widowControl/>
        <w:snapToGrid w:val="0"/>
        <w:spacing w:line="440" w:lineRule="exact"/>
        <w:ind w:left="420" w:left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（4）我方有依法缴纳税收和社会保障资金的良好记录；</w:t>
      </w:r>
    </w:p>
    <w:p w14:paraId="2ECF4A93">
      <w:pPr>
        <w:widowControl/>
        <w:snapToGrid w:val="0"/>
        <w:spacing w:line="440" w:lineRule="exact"/>
        <w:ind w:left="1020" w:leftChars="200" w:hanging="600" w:hangingChars="25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616CC38A">
      <w:pPr>
        <w:widowControl/>
        <w:spacing w:line="440" w:lineRule="exact"/>
        <w:ind w:left="283" w:hanging="283" w:hangingChars="118"/>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2、到本项目响应截止时间为止，我方未被“信用中国（</w:t>
      </w:r>
      <w:r>
        <w:fldChar w:fldCharType="begin"/>
      </w:r>
      <w:r>
        <w:instrText xml:space="preserve"> HYPERLINK "http://www.creditchina.gov.cn）、" </w:instrText>
      </w:r>
      <w:r>
        <w:fldChar w:fldCharType="separate"/>
      </w:r>
      <w:r>
        <w:rPr>
          <w:rStyle w:val="23"/>
          <w:rFonts w:hint="eastAsia" w:ascii="仿宋" w:hAnsi="仿宋" w:eastAsia="仿宋" w:cs="仿宋"/>
          <w:color w:val="000000" w:themeColor="text1"/>
          <w:sz w:val="24"/>
          <w14:textFill>
            <w14:solidFill>
              <w14:schemeClr w14:val="tx1"/>
            </w14:solidFill>
          </w14:textFill>
        </w:rPr>
        <w:t>www.creditchina.gov.cn）、</w:t>
      </w:r>
      <w:r>
        <w:rPr>
          <w:rStyle w:val="23"/>
          <w:rFonts w:hint="eastAsia" w:ascii="仿宋" w:hAnsi="仿宋" w:eastAsia="仿宋" w:cs="仿宋"/>
          <w:color w:val="000000" w:themeColor="text1"/>
          <w:sz w:val="24"/>
          <w14:textFill>
            <w14:solidFill>
              <w14:schemeClr w14:val="tx1"/>
            </w14:solidFill>
          </w14:textFill>
        </w:rPr>
        <w:fldChar w:fldCharType="end"/>
      </w:r>
      <w:r>
        <w:rPr>
          <w:rFonts w:hint="eastAsia" w:ascii="仿宋" w:hAnsi="仿宋" w:eastAsia="仿宋" w:cs="仿宋"/>
          <w:color w:val="000000" w:themeColor="text1"/>
          <w:kern w:val="0"/>
          <w:sz w:val="24"/>
          <w14:textFill>
            <w14:solidFill>
              <w14:schemeClr w14:val="tx1"/>
            </w14:solidFill>
          </w14:textFill>
        </w:rPr>
        <w:t xml:space="preserve"> 中国政府采购网（www.ccgp.gov.cn）”列入失信被执行人名单、重大税收违法案件当事人名单、政府采购严重违法失信行为记录名单。</w:t>
      </w:r>
    </w:p>
    <w:p w14:paraId="249672AE">
      <w:pPr>
        <w:widowControl/>
        <w:snapToGrid w:val="0"/>
        <w:spacing w:line="440" w:lineRule="exact"/>
        <w:ind w:firstLine="480" w:firstLineChars="200"/>
        <w:jc w:val="left"/>
        <w:rPr>
          <w:rFonts w:ascii="仿宋" w:hAnsi="仿宋" w:eastAsia="仿宋" w:cs="仿宋"/>
          <w:color w:val="000000" w:themeColor="text1"/>
          <w:kern w:val="0"/>
          <w:sz w:val="24"/>
          <w14:textFill>
            <w14:solidFill>
              <w14:schemeClr w14:val="tx1"/>
            </w14:solidFill>
          </w14:textFill>
        </w:rPr>
      </w:pPr>
    </w:p>
    <w:p w14:paraId="3ABA461E">
      <w:pPr>
        <w:widowControl/>
        <w:snapToGrid w:val="0"/>
        <w:spacing w:line="440" w:lineRule="exact"/>
        <w:ind w:left="210" w:leftChars="1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以上承诺如有虚假，</w:t>
      </w:r>
      <w:r>
        <w:rPr>
          <w:rFonts w:hint="eastAsia" w:ascii="仿宋" w:hAnsi="仿宋" w:eastAsia="仿宋" w:cs="仿宋"/>
          <w:color w:val="000000" w:themeColor="text1"/>
          <w:sz w:val="24"/>
          <w14:textFill>
            <w14:solidFill>
              <w14:schemeClr w14:val="tx1"/>
            </w14:solidFill>
          </w14:textFill>
        </w:rPr>
        <w:t>愿接受取消</w:t>
      </w:r>
      <w:r>
        <w:rPr>
          <w:rFonts w:hint="eastAsia" w:ascii="仿宋" w:hAnsi="仿宋" w:eastAsia="仿宋" w:cs="仿宋"/>
          <w:color w:val="000000" w:themeColor="text1"/>
          <w:kern w:val="0"/>
          <w:sz w:val="24"/>
          <w14:textFill>
            <w14:solidFill>
              <w14:schemeClr w14:val="tx1"/>
            </w14:solidFill>
          </w14:textFill>
        </w:rPr>
        <w:t>我方任何资格（磋商响应/成交/签订合同）</w:t>
      </w:r>
      <w:r>
        <w:rPr>
          <w:rFonts w:hint="eastAsia" w:ascii="仿宋" w:hAnsi="仿宋" w:eastAsia="仿宋" w:cs="仿宋"/>
          <w:color w:val="000000" w:themeColor="text1"/>
          <w:sz w:val="24"/>
          <w14:textFill>
            <w14:solidFill>
              <w14:schemeClr w14:val="tx1"/>
            </w14:solidFill>
          </w14:textFill>
        </w:rPr>
        <w:t>及其他任何形式的处理。</w:t>
      </w:r>
    </w:p>
    <w:p w14:paraId="1720BCA0">
      <w:pPr>
        <w:widowControl/>
        <w:snapToGrid w:val="0"/>
        <w:spacing w:line="440" w:lineRule="exact"/>
        <w:ind w:firstLine="480" w:firstLineChars="200"/>
        <w:jc w:val="left"/>
        <w:rPr>
          <w:rFonts w:ascii="仿宋" w:hAnsi="仿宋" w:eastAsia="仿宋" w:cs="仿宋"/>
          <w:color w:val="000000" w:themeColor="text1"/>
          <w:kern w:val="0"/>
          <w:sz w:val="24"/>
          <w14:textFill>
            <w14:solidFill>
              <w14:schemeClr w14:val="tx1"/>
            </w14:solidFill>
          </w14:textFill>
        </w:rPr>
      </w:pPr>
    </w:p>
    <w:p w14:paraId="5DF103CA">
      <w:pPr>
        <w:snapToGrid w:val="0"/>
        <w:spacing w:line="360" w:lineRule="auto"/>
        <w:ind w:firstLine="5520" w:firstLineChars="2300"/>
        <w:rPr>
          <w:rFonts w:ascii="仿宋" w:hAnsi="仿宋" w:eastAsia="仿宋" w:cs="仿宋"/>
          <w:color w:val="000000" w:themeColor="text1"/>
          <w:kern w:val="0"/>
          <w:sz w:val="24"/>
          <w:lang w:val="zh-CN"/>
          <w14:textFill>
            <w14:solidFill>
              <w14:schemeClr w14:val="tx1"/>
            </w14:solidFill>
          </w14:textFill>
        </w:rPr>
      </w:pPr>
    </w:p>
    <w:p w14:paraId="022B4908">
      <w:pPr>
        <w:tabs>
          <w:tab w:val="left" w:pos="5454"/>
        </w:tabs>
        <w:snapToGrid w:val="0"/>
        <w:spacing w:line="360" w:lineRule="auto"/>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供应商名称(电子签名)：</w:t>
      </w:r>
    </w:p>
    <w:p w14:paraId="519D79EB">
      <w:pPr>
        <w:snapToGrid w:val="0"/>
        <w:spacing w:line="360" w:lineRule="auto"/>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 xml:space="preserve">：  年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w:t>
      </w:r>
    </w:p>
    <w:p w14:paraId="215B0730">
      <w:pPr>
        <w:snapToGrid w:val="0"/>
        <w:spacing w:line="360" w:lineRule="auto"/>
        <w:ind w:right="480"/>
        <w:rPr>
          <w:rFonts w:ascii="仿宋" w:hAnsi="仿宋" w:eastAsia="仿宋" w:cs="仿宋"/>
          <w:b/>
          <w:color w:val="000000" w:themeColor="text1"/>
          <w:kern w:val="0"/>
          <w:sz w:val="32"/>
          <w:szCs w:val="32"/>
          <w14:textFill>
            <w14:solidFill>
              <w14:schemeClr w14:val="tx1"/>
            </w14:solidFill>
          </w14:textFill>
        </w:rPr>
      </w:pPr>
    </w:p>
    <w:p w14:paraId="3C2F8C9D">
      <w:pPr>
        <w:pStyle w:val="16"/>
        <w:tabs>
          <w:tab w:val="left" w:pos="630"/>
          <w:tab w:val="left" w:pos="840"/>
          <w:tab w:val="left" w:pos="1050"/>
        </w:tabs>
        <w:snapToGrid w:val="0"/>
        <w:spacing w:before="0" w:beforeAutospacing="0" w:after="0" w:afterAutospacing="0" w:line="360" w:lineRule="auto"/>
        <w:ind w:left="420"/>
        <w:rPr>
          <w:rFonts w:ascii="仿宋" w:hAnsi="仿宋" w:eastAsia="仿宋" w:cs="仿宋"/>
          <w:bCs/>
          <w:color w:val="000000" w:themeColor="text1"/>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br w:type="page"/>
      </w:r>
      <w:r>
        <w:rPr>
          <w:rFonts w:hint="eastAsia" w:ascii="仿宋" w:hAnsi="仿宋" w:eastAsia="仿宋" w:cs="仿宋"/>
          <w:color w:val="000000" w:themeColor="text1"/>
          <w:sz w:val="28"/>
          <w:szCs w:val="28"/>
          <w14:textFill>
            <w14:solidFill>
              <w14:schemeClr w14:val="tx1"/>
            </w14:solidFill>
          </w14:textFill>
        </w:rPr>
        <w:t xml:space="preserve">   </w:t>
      </w:r>
      <w:r>
        <w:rPr>
          <w:rFonts w:hint="eastAsia" w:ascii="仿宋" w:hAnsi="仿宋" w:eastAsia="仿宋" w:cs="仿宋"/>
          <w:bCs/>
          <w:color w:val="000000" w:themeColor="text1"/>
          <w14:textFill>
            <w14:solidFill>
              <w14:schemeClr w14:val="tx1"/>
            </w14:solidFill>
          </w14:textFill>
        </w:rPr>
        <w:t>供应商须在响应文件中出具符合以下情况的证明材料复印件（五选一）：</w:t>
      </w:r>
    </w:p>
    <w:p w14:paraId="07322427">
      <w:pPr>
        <w:pStyle w:val="16"/>
        <w:numPr>
          <w:ilvl w:val="0"/>
          <w:numId w:val="6"/>
        </w:numPr>
        <w:tabs>
          <w:tab w:val="left" w:pos="312"/>
        </w:tabs>
        <w:snapToGrid w:val="0"/>
        <w:spacing w:before="0" w:beforeAutospacing="0" w:after="0" w:afterAutospacing="0" w:line="360" w:lineRule="auto"/>
        <w:ind w:firstLine="48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如供应商是企业（包括合伙企业），提供在工商部门注册的有效“企业法人营业执照”或“营业执照”；</w:t>
      </w:r>
    </w:p>
    <w:p w14:paraId="29A199BA">
      <w:pPr>
        <w:pStyle w:val="16"/>
        <w:numPr>
          <w:ilvl w:val="0"/>
          <w:numId w:val="6"/>
        </w:numPr>
        <w:tabs>
          <w:tab w:val="left" w:pos="312"/>
        </w:tabs>
        <w:snapToGrid w:val="0"/>
        <w:spacing w:before="0" w:beforeAutospacing="0" w:after="0" w:afterAutospacing="0" w:line="360" w:lineRule="auto"/>
        <w:ind w:firstLine="48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如供应商是事业单位，提供有效的“事业单位法人证书”；</w:t>
      </w:r>
    </w:p>
    <w:p w14:paraId="379338D5">
      <w:pPr>
        <w:pStyle w:val="16"/>
        <w:numPr>
          <w:ilvl w:val="0"/>
          <w:numId w:val="6"/>
        </w:numPr>
        <w:tabs>
          <w:tab w:val="left" w:pos="312"/>
        </w:tabs>
        <w:snapToGrid w:val="0"/>
        <w:spacing w:before="0" w:beforeAutospacing="0" w:after="0" w:afterAutospacing="0" w:line="360" w:lineRule="auto"/>
        <w:ind w:firstLine="48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如供应商是非企业专业服务机构的，提供执业许可证等证明文件；</w:t>
      </w:r>
    </w:p>
    <w:p w14:paraId="25F80910">
      <w:pPr>
        <w:pStyle w:val="16"/>
        <w:numPr>
          <w:ilvl w:val="0"/>
          <w:numId w:val="6"/>
        </w:numPr>
        <w:tabs>
          <w:tab w:val="left" w:pos="312"/>
        </w:tabs>
        <w:snapToGrid w:val="0"/>
        <w:spacing w:before="0" w:beforeAutospacing="0" w:after="0" w:afterAutospacing="0" w:line="360" w:lineRule="auto"/>
        <w:ind w:firstLine="48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如供应商是个体工商户，提供有效的“个体工商户营业执照”；</w:t>
      </w:r>
    </w:p>
    <w:p w14:paraId="378081CE">
      <w:pPr>
        <w:pStyle w:val="16"/>
        <w:numPr>
          <w:ilvl w:val="0"/>
          <w:numId w:val="6"/>
        </w:numPr>
        <w:tabs>
          <w:tab w:val="left" w:pos="312"/>
        </w:tabs>
        <w:snapToGrid w:val="0"/>
        <w:spacing w:before="0" w:beforeAutospacing="0" w:after="0" w:afterAutospacing="0" w:line="360" w:lineRule="auto"/>
        <w:ind w:firstLine="480" w:firstLineChars="200"/>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如供应商是自然人，提供有效的自然人身份证明（居民身份证正反面或公安机关出具的临时居民身份证正反面或港澳台胞证或护照）。</w:t>
      </w:r>
    </w:p>
    <w:p w14:paraId="58009141">
      <w:pPr>
        <w:pStyle w:val="16"/>
        <w:tabs>
          <w:tab w:val="left" w:pos="312"/>
        </w:tabs>
        <w:snapToGrid w:val="0"/>
        <w:spacing w:before="0" w:beforeAutospacing="0" w:after="0" w:afterAutospacing="0" w:line="360" w:lineRule="auto"/>
        <w:rPr>
          <w:rFonts w:ascii="仿宋" w:hAnsi="仿宋" w:eastAsia="仿宋" w:cs="仿宋"/>
          <w:bCs/>
          <w:color w:val="000000" w:themeColor="text1"/>
          <w:sz w:val="21"/>
          <w:szCs w:val="21"/>
          <w14:textFill>
            <w14:solidFill>
              <w14:schemeClr w14:val="tx1"/>
            </w14:solidFill>
          </w14:textFill>
        </w:rPr>
      </w:pPr>
    </w:p>
    <w:p w14:paraId="28D14727">
      <w:pPr>
        <w:pStyle w:val="26"/>
        <w:spacing w:line="360" w:lineRule="auto"/>
        <w:ind w:firstLine="42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7FA36327">
      <w:pPr>
        <w:snapToGrid w:val="0"/>
        <w:spacing w:line="360" w:lineRule="auto"/>
        <w:jc w:val="left"/>
        <w:rPr>
          <w:rFonts w:ascii="仿宋" w:hAnsi="仿宋" w:eastAsia="仿宋" w:cs="仿宋"/>
          <w:b/>
          <w:color w:val="000000" w:themeColor="text1"/>
          <w:kern w:val="0"/>
          <w:sz w:val="32"/>
          <w:szCs w:val="32"/>
          <w14:textFill>
            <w14:solidFill>
              <w14:schemeClr w14:val="tx1"/>
            </w14:solidFill>
          </w14:textFill>
        </w:rPr>
      </w:pPr>
    </w:p>
    <w:p w14:paraId="3A1FD404">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7215793D">
      <w:pPr>
        <w:snapToGrid w:val="0"/>
        <w:spacing w:line="360" w:lineRule="auto"/>
        <w:ind w:right="482"/>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bookmarkStart w:id="532" w:name="_Toc17902"/>
      <w:bookmarkStart w:id="533" w:name="_Toc28040"/>
      <w:bookmarkStart w:id="534" w:name="_Toc194286032"/>
      <w:r>
        <w:rPr>
          <w:rFonts w:hint="eastAsia" w:ascii="仿宋" w:hAnsi="仿宋" w:eastAsia="仿宋" w:cs="仿宋"/>
          <w:b/>
          <w:color w:val="000000" w:themeColor="text1"/>
          <w:kern w:val="0"/>
          <w:sz w:val="32"/>
          <w:szCs w:val="32"/>
          <w14:textFill>
            <w14:solidFill>
              <w14:schemeClr w14:val="tx1"/>
            </w14:solidFill>
          </w14:textFill>
        </w:rPr>
        <w:t>二、落实政府采购政策需满足的资格要求证明材料</w:t>
      </w:r>
      <w:bookmarkEnd w:id="532"/>
      <w:bookmarkEnd w:id="533"/>
      <w:bookmarkEnd w:id="534"/>
    </w:p>
    <w:p w14:paraId="3CD9068E">
      <w:pPr>
        <w:spacing w:line="360" w:lineRule="auto"/>
        <w:jc w:val="center"/>
        <w:rPr>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（根据采购公告本项目的特定资格要求提供相应的材料）</w:t>
      </w:r>
    </w:p>
    <w:p w14:paraId="6CDD56EA">
      <w:pPr>
        <w:snapToGrid w:val="0"/>
        <w:spacing w:before="50" w:after="50" w:line="360" w:lineRule="auto"/>
        <w:ind w:firstLine="470" w:firstLineChars="196"/>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A.专</w:t>
      </w:r>
      <w:r>
        <w:rPr>
          <w:rFonts w:hint="eastAsia" w:ascii="仿宋" w:hAnsi="仿宋" w:eastAsia="仿宋" w:cs="仿宋"/>
          <w:color w:val="000000" w:themeColor="text1"/>
          <w:sz w:val="24"/>
          <w14:textFill>
            <w14:solidFill>
              <w14:schemeClr w14:val="tx1"/>
            </w14:solidFill>
          </w14:textFill>
        </w:rPr>
        <w:t xml:space="preserve">门面向中小企业，货物全部由符合政策要求的中小企业（或小微企业）制造或者服务全部由符合政策要求的中小企业（或小微企业）承接的，提供相应的中小企业声明函（附件5）。 </w:t>
      </w:r>
    </w:p>
    <w:p w14:paraId="025C4D57">
      <w:pPr>
        <w:widowControl/>
        <w:spacing w:line="360" w:lineRule="auto"/>
        <w:ind w:firstLine="470" w:firstLineChars="196"/>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B.</w:t>
      </w:r>
      <w:r>
        <w:rPr>
          <w:rFonts w:hint="eastAsia" w:ascii="仿宋" w:hAnsi="仿宋" w:eastAsia="仿宋" w:cs="仿宋"/>
          <w:color w:val="000000" w:themeColor="text1"/>
          <w:sz w:val="24"/>
          <w14:textFill>
            <w14:solidFill>
              <w14:schemeClr w14:val="tx1"/>
            </w14:solidFill>
          </w14:textFill>
        </w:rPr>
        <w:t>要求以联合体形式参加的，提供联合协议和中小企业声明函（附件5），联合协议中中小企业合同金额应当达到采购公告载明的比例；如果供应商本身提供所有标的均由中小企业制造或承接的，视同符合了资格条件，无需再与其他中小企业组成联合体参加政府采购活动，无需提供联合协议。</w:t>
      </w:r>
    </w:p>
    <w:p w14:paraId="2A0FBFAC">
      <w:pPr>
        <w:widowControl/>
        <w:spacing w:line="360" w:lineRule="auto"/>
        <w:ind w:firstLine="480"/>
        <w:jc w:val="left"/>
        <w:rPr>
          <w:rFonts w:ascii="仿宋" w:hAnsi="仿宋" w:eastAsia="仿宋" w:cs="仿宋"/>
          <w:color w:val="000000" w:themeColor="text1"/>
          <w:sz w:val="24"/>
          <w14:textFill>
            <w14:solidFill>
              <w14:schemeClr w14:val="tx1"/>
            </w14:solidFill>
          </w14:textFill>
        </w:rPr>
      </w:pPr>
    </w:p>
    <w:p w14:paraId="393904C0">
      <w:pPr>
        <w:snapToGrid w:val="0"/>
        <w:spacing w:before="50" w:after="50" w:line="360" w:lineRule="auto"/>
        <w:jc w:val="center"/>
        <w:rPr>
          <w:rFonts w:ascii="仿宋" w:hAnsi="仿宋" w:eastAsia="仿宋" w:cs="仿宋"/>
          <w:b/>
          <w:color w:val="000000" w:themeColor="text1"/>
          <w:kern w:val="0"/>
          <w:sz w:val="32"/>
          <w:szCs w:val="32"/>
          <w:lang w:val="zh-CN"/>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 xml:space="preserve">   </w:t>
      </w:r>
      <w:r>
        <w:rPr>
          <w:rFonts w:hint="eastAsia" w:ascii="仿宋" w:hAnsi="仿宋" w:eastAsia="仿宋" w:cs="仿宋"/>
          <w:b/>
          <w:color w:val="000000" w:themeColor="text1"/>
          <w:kern w:val="0"/>
          <w:sz w:val="32"/>
          <w:szCs w:val="32"/>
          <w:lang w:val="zh-CN"/>
          <w14:textFill>
            <w14:solidFill>
              <w14:schemeClr w14:val="tx1"/>
            </w14:solidFill>
          </w14:textFill>
        </w:rPr>
        <w:t>联合协议</w:t>
      </w:r>
    </w:p>
    <w:p w14:paraId="5B780D5E">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u w:val="single"/>
          <w14:textFill>
            <w14:solidFill>
              <w14:schemeClr w14:val="tx1"/>
            </w14:solidFill>
          </w14:textFill>
        </w:rPr>
        <w:t>（联合体所有成员名称）</w:t>
      </w:r>
      <w:r>
        <w:rPr>
          <w:rFonts w:hint="eastAsia" w:ascii="仿宋" w:hAnsi="仿宋" w:eastAsia="仿宋" w:cs="仿宋"/>
          <w:color w:val="000000" w:themeColor="text1"/>
          <w:kern w:val="0"/>
          <w:sz w:val="24"/>
          <w14:textFill>
            <w14:solidFill>
              <w14:schemeClr w14:val="tx1"/>
            </w14:solidFill>
          </w14:textFill>
        </w:rPr>
        <w:t>自愿</w:t>
      </w:r>
      <w:r>
        <w:rPr>
          <w:rFonts w:hint="eastAsia" w:ascii="仿宋" w:hAnsi="仿宋" w:eastAsia="仿宋" w:cs="仿宋"/>
          <w:color w:val="000000" w:themeColor="text1"/>
          <w:kern w:val="0"/>
          <w:sz w:val="24"/>
          <w:lang w:val="zh-CN"/>
          <w14:textFill>
            <w14:solidFill>
              <w14:schemeClr w14:val="tx1"/>
            </w14:solidFill>
          </w14:textFill>
        </w:rPr>
        <w:t>组成一个联合体，以一个供应商的身份</w:t>
      </w:r>
      <w:r>
        <w:rPr>
          <w:rFonts w:hint="eastAsia" w:ascii="仿宋" w:hAnsi="仿宋" w:eastAsia="仿宋" w:cs="仿宋"/>
          <w:color w:val="000000" w:themeColor="text1"/>
          <w:kern w:val="0"/>
          <w:sz w:val="24"/>
          <w14:textFill>
            <w14:solidFill>
              <w14:schemeClr w14:val="tx1"/>
            </w14:solidFill>
          </w14:textFill>
        </w:rPr>
        <w:t>参加</w:t>
      </w:r>
      <w:r>
        <w:rPr>
          <w:rFonts w:hint="eastAsia" w:ascii="仿宋" w:hAnsi="仿宋" w:eastAsia="仿宋" w:cs="仿宋"/>
          <w:color w:val="000000" w:themeColor="text1"/>
          <w:sz w:val="24"/>
          <w14:textFill>
            <w14:solidFill>
              <w14:schemeClr w14:val="tx1"/>
            </w14:solidFill>
          </w14:textFill>
        </w:rPr>
        <w:t>（项目名称）【招标编号：（采购编号）】</w:t>
      </w:r>
      <w:r>
        <w:rPr>
          <w:rFonts w:hint="eastAsia" w:ascii="仿宋" w:hAnsi="仿宋" w:eastAsia="仿宋" w:cs="仿宋"/>
          <w:color w:val="000000" w:themeColor="text1"/>
          <w:kern w:val="0"/>
          <w:sz w:val="24"/>
          <w:lang w:val="zh-CN"/>
          <w14:textFill>
            <w14:solidFill>
              <w14:schemeClr w14:val="tx1"/>
            </w14:solidFill>
          </w14:textFill>
        </w:rPr>
        <w:t xml:space="preserve">磋商响应。 </w:t>
      </w:r>
    </w:p>
    <w:p w14:paraId="27A5C443">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一、各方一致决定，</w:t>
      </w:r>
      <w:r>
        <w:rPr>
          <w:rFonts w:hint="eastAsia" w:ascii="仿宋" w:hAnsi="仿宋" w:eastAsia="仿宋" w:cs="仿宋"/>
          <w:color w:val="000000" w:themeColor="text1"/>
          <w:kern w:val="0"/>
          <w:sz w:val="24"/>
          <w:u w:val="single"/>
          <w14:textFill>
            <w14:solidFill>
              <w14:schemeClr w14:val="tx1"/>
            </w14:solidFill>
          </w14:textFill>
        </w:rPr>
        <w:t>（某联合体成员名称）</w:t>
      </w:r>
      <w:r>
        <w:rPr>
          <w:rFonts w:hint="eastAsia" w:ascii="仿宋" w:hAnsi="仿宋" w:eastAsia="仿宋" w:cs="仿宋"/>
          <w:color w:val="000000" w:themeColor="text1"/>
          <w:kern w:val="0"/>
          <w:sz w:val="24"/>
          <w14:textFill>
            <w14:solidFill>
              <w14:schemeClr w14:val="tx1"/>
            </w14:solidFill>
          </w14:textFill>
        </w:rPr>
        <w:t>为联合体</w:t>
      </w:r>
      <w:r>
        <w:rPr>
          <w:rFonts w:hint="eastAsia" w:ascii="仿宋" w:hAnsi="仿宋" w:eastAsia="仿宋" w:cs="仿宋"/>
          <w:color w:val="000000" w:themeColor="text1"/>
          <w:kern w:val="0"/>
          <w:sz w:val="24"/>
          <w:lang w:val="zh-CN"/>
          <w14:textFill>
            <w14:solidFill>
              <w14:schemeClr w14:val="tx1"/>
            </w14:solidFill>
          </w14:textFill>
        </w:rPr>
        <w:t>牵头人</w:t>
      </w:r>
      <w:r>
        <w:rPr>
          <w:rFonts w:hint="eastAsia" w:ascii="仿宋" w:hAnsi="仿宋" w:eastAsia="仿宋" w:cs="仿宋"/>
          <w:color w:val="000000" w:themeColor="text1"/>
          <w:sz w:val="24"/>
          <w14:textFill>
            <w14:solidFill>
              <w14:schemeClr w14:val="tx1"/>
            </w14:solidFill>
          </w14:textFill>
        </w:rPr>
        <w:t>，代表所有联合体成员负责磋商响应和合同实施阶段的主办、协调工作</w:t>
      </w:r>
      <w:r>
        <w:rPr>
          <w:rFonts w:hint="eastAsia" w:ascii="仿宋" w:hAnsi="仿宋" w:eastAsia="仿宋" w:cs="仿宋"/>
          <w:color w:val="000000" w:themeColor="text1"/>
          <w:kern w:val="0"/>
          <w:sz w:val="24"/>
          <w:lang w:val="zh-CN"/>
          <w14:textFill>
            <w14:solidFill>
              <w14:schemeClr w14:val="tx1"/>
            </w14:solidFill>
          </w14:textFill>
        </w:rPr>
        <w:t>。</w:t>
      </w:r>
    </w:p>
    <w:p w14:paraId="1D671483">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二、</w:t>
      </w:r>
      <w:r>
        <w:rPr>
          <w:rFonts w:hint="eastAsia" w:ascii="仿宋" w:hAnsi="仿宋" w:eastAsia="仿宋" w:cs="仿宋"/>
          <w:color w:val="000000" w:themeColor="text1"/>
          <w:sz w:val="24"/>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lang w:val="zh-CN"/>
          <w14:textFill>
            <w14:solidFill>
              <w14:schemeClr w14:val="tx1"/>
            </w14:solidFill>
          </w14:textFill>
        </w:rPr>
        <w:t>授权代表根据采购文件规定及磋商响应内容而对采购人、采购代理机构所作的任何合法承诺，包括书面澄清及相应等均对联合磋商响应各方产生约束力。</w:t>
      </w:r>
    </w:p>
    <w:p w14:paraId="168A94B9">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三、本次联合磋商响应中，分工如下：</w:t>
      </w:r>
      <w:r>
        <w:rPr>
          <w:rFonts w:hint="eastAsia" w:ascii="仿宋" w:hAnsi="仿宋" w:eastAsia="仿宋" w:cs="仿宋"/>
          <w:color w:val="000000" w:themeColor="text1"/>
          <w:kern w:val="0"/>
          <w:sz w:val="24"/>
          <w:u w:val="single"/>
          <w14:textFill>
            <w14:solidFill>
              <w14:schemeClr w14:val="tx1"/>
            </w14:solidFill>
          </w14:textFill>
        </w:rPr>
        <w:t>（联合体其中一方成员名称）</w:t>
      </w:r>
      <w:r>
        <w:rPr>
          <w:rFonts w:hint="eastAsia" w:ascii="仿宋" w:hAnsi="仿宋" w:eastAsia="仿宋" w:cs="仿宋"/>
          <w:color w:val="000000" w:themeColor="text1"/>
          <w:kern w:val="0"/>
          <w:sz w:val="24"/>
          <w:lang w:val="zh-CN"/>
          <w14:textFill>
            <w14:solidFill>
              <w14:schemeClr w14:val="tx1"/>
            </w14:solidFill>
          </w14:textFill>
        </w:rPr>
        <w:t>承担的工作和义务为：</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w:t>
      </w:r>
      <w:r>
        <w:rPr>
          <w:rFonts w:hint="eastAsia" w:ascii="仿宋" w:hAnsi="仿宋" w:eastAsia="仿宋" w:cs="仿宋"/>
          <w:color w:val="000000" w:themeColor="text1"/>
          <w:kern w:val="0"/>
          <w:sz w:val="24"/>
          <w:u w:val="single"/>
          <w14:textFill>
            <w14:solidFill>
              <w14:schemeClr w14:val="tx1"/>
            </w14:solidFill>
          </w14:textFill>
        </w:rPr>
        <w:t>（联合体其中一方成员名称）</w:t>
      </w:r>
      <w:r>
        <w:rPr>
          <w:rFonts w:hint="eastAsia" w:ascii="仿宋" w:hAnsi="仿宋" w:eastAsia="仿宋" w:cs="仿宋"/>
          <w:color w:val="000000" w:themeColor="text1"/>
          <w:kern w:val="0"/>
          <w:sz w:val="24"/>
          <w:lang w:val="zh-CN"/>
          <w14:textFill>
            <w14:solidFill>
              <w14:schemeClr w14:val="tx1"/>
            </w14:solidFill>
          </w14:textFill>
        </w:rPr>
        <w:t>承担的工作和义务为：</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 xml:space="preserve"> ；……。</w:t>
      </w:r>
    </w:p>
    <w:p w14:paraId="5D783A59">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bookmarkStart w:id="535" w:name="_Toc3122"/>
      <w:bookmarkStart w:id="536" w:name="_Toc5861"/>
      <w:r>
        <w:rPr>
          <w:rFonts w:hint="eastAsia" w:ascii="仿宋" w:hAnsi="仿宋" w:eastAsia="仿宋" w:cs="仿宋"/>
          <w:color w:val="000000" w:themeColor="text1"/>
          <w:kern w:val="0"/>
          <w:sz w:val="24"/>
          <w:lang w:val="zh-CN"/>
          <w14:textFill>
            <w14:solidFill>
              <w14:schemeClr w14:val="tx1"/>
            </w14:solidFill>
          </w14:textFill>
        </w:rPr>
        <w:t>四、</w:t>
      </w:r>
      <w:r>
        <w:rPr>
          <w:rFonts w:hint="eastAsia" w:ascii="仿宋" w:hAnsi="仿宋" w:eastAsia="仿宋" w:cs="仿宋"/>
          <w:color w:val="000000" w:themeColor="text1"/>
          <w:sz w:val="24"/>
          <w14:textFill>
            <w14:solidFill>
              <w14:schemeClr w14:val="tx1"/>
            </w14:solidFill>
          </w14:textFill>
        </w:rPr>
        <w:t>中小企业合同金额达到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%，小微企业合同金额达到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w:t>
      </w:r>
      <w:bookmarkEnd w:id="535"/>
      <w:bookmarkEnd w:id="536"/>
    </w:p>
    <w:p w14:paraId="68634A90">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五、如果成交，</w:t>
      </w:r>
      <w:r>
        <w:rPr>
          <w:rFonts w:hint="eastAsia" w:ascii="仿宋" w:hAnsi="仿宋" w:eastAsia="仿宋" w:cs="仿宋"/>
          <w:color w:val="000000" w:themeColor="text1"/>
          <w:sz w:val="24"/>
          <w14:textFill>
            <w14:solidFill>
              <w14:schemeClr w14:val="tx1"/>
            </w14:solidFill>
          </w14:textFill>
        </w:rPr>
        <w:t>联合体各成员方共同与采购人签订合同，并就采购合同约定的事项对采购人承担连带责任。</w:t>
      </w:r>
    </w:p>
    <w:p w14:paraId="4430552C">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bookmarkStart w:id="537" w:name="_Toc23187"/>
      <w:bookmarkStart w:id="538" w:name="_Toc28553"/>
      <w:r>
        <w:rPr>
          <w:rFonts w:hint="eastAsia" w:ascii="仿宋" w:hAnsi="仿宋" w:eastAsia="仿宋" w:cs="仿宋"/>
          <w:color w:val="000000" w:themeColor="text1"/>
          <w:kern w:val="0"/>
          <w:sz w:val="24"/>
          <w:lang w:val="zh-CN"/>
          <w14:textFill>
            <w14:solidFill>
              <w14:schemeClr w14:val="tx1"/>
            </w14:solidFill>
          </w14:textFill>
        </w:rPr>
        <w:t>六、有关本次联合磋商响应的其他事宜：</w:t>
      </w:r>
      <w:bookmarkEnd w:id="537"/>
      <w:bookmarkEnd w:id="538"/>
    </w:p>
    <w:p w14:paraId="0D40512E">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1、联合体各方不再单独参加或者与其他供应商另外组成联合体参加同一合同项下的政府采购活动。</w:t>
      </w:r>
    </w:p>
    <w:p w14:paraId="7776FD2B">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14:paraId="2ADB41F3">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3、本协议提交采购人、采购代理机构后，联合体各方不得以任何形式对上述内容进行修改或撤销。</w:t>
      </w:r>
    </w:p>
    <w:p w14:paraId="387DCD56">
      <w:pPr>
        <w:snapToGrid w:val="0"/>
        <w:spacing w:line="360" w:lineRule="auto"/>
        <w:ind w:firstLine="5040" w:firstLine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联合体成员名称(电子签名/公章)：</w:t>
      </w:r>
    </w:p>
    <w:p w14:paraId="4D3B2FB6">
      <w:pPr>
        <w:snapToGrid w:val="0"/>
        <w:spacing w:line="360" w:lineRule="auto"/>
        <w:ind w:firstLine="5040" w:firstLine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联合体成员名称(电子签名/公章)：</w:t>
      </w:r>
    </w:p>
    <w:p w14:paraId="72A2404A">
      <w:pPr>
        <w:snapToGrid w:val="0"/>
        <w:spacing w:line="360" w:lineRule="auto"/>
        <w:ind w:firstLine="5760" w:firstLineChars="2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w:t>
      </w:r>
    </w:p>
    <w:p w14:paraId="55895BA8">
      <w:pPr>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118E10C7">
      <w:pPr>
        <w:spacing w:line="360" w:lineRule="auto"/>
        <w:ind w:firstLine="482"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C、</w:t>
      </w:r>
      <w:r>
        <w:rPr>
          <w:rFonts w:hint="eastAsia" w:ascii="仿宋" w:hAnsi="仿宋" w:eastAsia="仿宋" w:cs="仿宋"/>
          <w:color w:val="000000" w:themeColor="text1"/>
          <w:sz w:val="24"/>
          <w14:textFill>
            <w14:solidFill>
              <w14:schemeClr w14:val="tx1"/>
            </w14:solidFill>
          </w14:textFill>
        </w:rPr>
        <w:t>要求合同分包的，提供分包意向协议和中小企业声明函（附件5），分包意向协议中中小企业合同金额应当达到采购公告载明的比例；如果供应商本身提供所有标的均由中小企业制造或承接，视同符合了资格条件，无需再向中小企业分包，无需提供分包意向协议。</w:t>
      </w:r>
    </w:p>
    <w:p w14:paraId="1226667B">
      <w:pPr>
        <w:snapToGrid w:val="0"/>
        <w:spacing w:line="360" w:lineRule="auto"/>
        <w:ind w:firstLine="3534" w:firstLineChars="1100"/>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t>分包意向协议</w:t>
      </w:r>
    </w:p>
    <w:p w14:paraId="66363B66">
      <w:pPr>
        <w:widowControl/>
        <w:spacing w:line="360" w:lineRule="auto"/>
        <w:ind w:firstLine="120" w:firstLineChars="5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b/>
          <w:color w:val="000000" w:themeColor="text1"/>
          <w:sz w:val="24"/>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ascii="仿宋" w:hAnsi="仿宋" w:eastAsia="仿宋" w:cs="仿宋"/>
          <w:color w:val="000000" w:themeColor="text1"/>
          <w:sz w:val="24"/>
          <w14:textFill>
            <w14:solidFill>
              <w14:schemeClr w14:val="tx1"/>
            </w14:solidFill>
          </w14:textFill>
        </w:rPr>
        <w:t>）</w:t>
      </w:r>
    </w:p>
    <w:p w14:paraId="4991932B">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u w:val="single"/>
          <w14:textFill>
            <w14:solidFill>
              <w14:schemeClr w14:val="tx1"/>
            </w14:solidFill>
          </w14:textFill>
        </w:rPr>
        <w:t>（供应商名称）</w:t>
      </w:r>
      <w:r>
        <w:rPr>
          <w:rFonts w:hint="eastAsia" w:ascii="仿宋" w:hAnsi="仿宋" w:eastAsia="仿宋" w:cs="仿宋"/>
          <w:color w:val="000000" w:themeColor="text1"/>
          <w:kern w:val="0"/>
          <w:sz w:val="24"/>
          <w:lang w:val="zh-CN"/>
          <w14:textFill>
            <w14:solidFill>
              <w14:schemeClr w14:val="tx1"/>
            </w14:solidFill>
          </w14:textFill>
        </w:rPr>
        <w:t>若成为</w:t>
      </w:r>
      <w:r>
        <w:rPr>
          <w:rFonts w:hint="eastAsia" w:ascii="仿宋" w:hAnsi="仿宋" w:eastAsia="仿宋" w:cs="仿宋"/>
          <w:color w:val="000000" w:themeColor="text1"/>
          <w:sz w:val="24"/>
          <w14:textFill>
            <w14:solidFill>
              <w14:schemeClr w14:val="tx1"/>
            </w14:solidFill>
          </w14:textFill>
        </w:rPr>
        <w:t>（项目名称）【招标编号：（采购编号）】</w:t>
      </w:r>
      <w:r>
        <w:rPr>
          <w:rFonts w:hint="eastAsia" w:ascii="仿宋" w:hAnsi="仿宋" w:eastAsia="仿宋" w:cs="仿宋"/>
          <w:color w:val="000000" w:themeColor="text1"/>
          <w:kern w:val="0"/>
          <w:sz w:val="24"/>
          <w:lang w:val="zh-CN"/>
          <w14:textFill>
            <w14:solidFill>
              <w14:schemeClr w14:val="tx1"/>
            </w14:solidFill>
          </w14:textFill>
        </w:rPr>
        <w:t>的成交供应商，将依法采取分包方式履行合同。</w:t>
      </w:r>
      <w:r>
        <w:rPr>
          <w:rFonts w:hint="eastAsia" w:ascii="仿宋" w:hAnsi="仿宋" w:eastAsia="仿宋" w:cs="仿宋"/>
          <w:color w:val="000000" w:themeColor="text1"/>
          <w:kern w:val="0"/>
          <w:sz w:val="24"/>
          <w:u w:val="single"/>
          <w14:textFill>
            <w14:solidFill>
              <w14:schemeClr w14:val="tx1"/>
            </w14:solidFill>
          </w14:textFill>
        </w:rPr>
        <w:t>（供应商名称）</w:t>
      </w:r>
      <w:r>
        <w:rPr>
          <w:rFonts w:hint="eastAsia" w:ascii="仿宋" w:hAnsi="仿宋" w:eastAsia="仿宋" w:cs="仿宋"/>
          <w:color w:val="000000" w:themeColor="text1"/>
          <w:kern w:val="0"/>
          <w:sz w:val="24"/>
          <w14:textFill>
            <w14:solidFill>
              <w14:schemeClr w14:val="tx1"/>
            </w14:solidFill>
          </w14:textFill>
        </w:rPr>
        <w:t>与</w:t>
      </w:r>
      <w:r>
        <w:rPr>
          <w:rFonts w:hint="eastAsia" w:ascii="仿宋" w:hAnsi="仿宋" w:eastAsia="仿宋" w:cs="仿宋"/>
          <w:color w:val="000000" w:themeColor="text1"/>
          <w:kern w:val="0"/>
          <w:sz w:val="24"/>
          <w:u w:val="single"/>
          <w14:textFill>
            <w14:solidFill>
              <w14:schemeClr w14:val="tx1"/>
            </w14:solidFill>
          </w14:textFill>
        </w:rPr>
        <w:t>（所有分包供应商名称）</w:t>
      </w:r>
      <w:r>
        <w:rPr>
          <w:rFonts w:hint="eastAsia" w:ascii="仿宋" w:hAnsi="仿宋" w:eastAsia="仿宋" w:cs="仿宋"/>
          <w:color w:val="000000" w:themeColor="text1"/>
          <w:kern w:val="0"/>
          <w:sz w:val="24"/>
          <w14:textFill>
            <w14:solidFill>
              <w14:schemeClr w14:val="tx1"/>
            </w14:solidFill>
          </w14:textFill>
        </w:rPr>
        <w:t>达成分包意向协议</w:t>
      </w:r>
      <w:r>
        <w:rPr>
          <w:rFonts w:hint="eastAsia" w:ascii="仿宋" w:hAnsi="仿宋" w:eastAsia="仿宋" w:cs="仿宋"/>
          <w:color w:val="000000" w:themeColor="text1"/>
          <w:kern w:val="0"/>
          <w:sz w:val="24"/>
          <w:lang w:val="zh-CN"/>
          <w14:textFill>
            <w14:solidFill>
              <w14:schemeClr w14:val="tx1"/>
            </w14:solidFill>
          </w14:textFill>
        </w:rPr>
        <w:t xml:space="preserve">。 </w:t>
      </w:r>
    </w:p>
    <w:p w14:paraId="70C7ADA9">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bookmarkStart w:id="539" w:name="_Toc12338"/>
      <w:bookmarkStart w:id="540" w:name="_Toc24707"/>
      <w:r>
        <w:rPr>
          <w:rFonts w:hint="eastAsia" w:ascii="仿宋" w:hAnsi="仿宋" w:eastAsia="仿宋" w:cs="仿宋"/>
          <w:color w:val="000000" w:themeColor="text1"/>
          <w:kern w:val="0"/>
          <w:sz w:val="24"/>
          <w:lang w:val="zh-CN"/>
          <w14:textFill>
            <w14:solidFill>
              <w14:schemeClr w14:val="tx1"/>
            </w14:solidFill>
          </w14:textFill>
        </w:rPr>
        <w:t>一、分包标的及数量</w:t>
      </w:r>
      <w:bookmarkEnd w:id="539"/>
      <w:bookmarkEnd w:id="540"/>
    </w:p>
    <w:p w14:paraId="375E32D1">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u w:val="single"/>
          <w14:textFill>
            <w14:solidFill>
              <w14:schemeClr w14:val="tx1"/>
            </w14:solidFill>
          </w14:textFill>
        </w:rPr>
        <w:t>（供应商名称）</w:t>
      </w:r>
      <w:r>
        <w:rPr>
          <w:rFonts w:hint="eastAsia" w:ascii="仿宋" w:hAnsi="仿宋" w:eastAsia="仿宋" w:cs="仿宋"/>
          <w:color w:val="000000" w:themeColor="text1"/>
          <w:kern w:val="0"/>
          <w:sz w:val="24"/>
          <w:lang w:val="zh-CN"/>
          <w14:textFill>
            <w14:solidFill>
              <w14:schemeClr w14:val="tx1"/>
            </w14:solidFill>
          </w14:textFill>
        </w:rPr>
        <w:t>将</w:t>
      </w:r>
      <w:r>
        <w:rPr>
          <w:rFonts w:hint="eastAsia" w:ascii="仿宋" w:hAnsi="仿宋" w:eastAsia="仿宋" w:cs="仿宋"/>
          <w:color w:val="000000" w:themeColor="text1"/>
          <w:u w:val="single"/>
          <w14:textFill>
            <w14:solidFill>
              <w14:schemeClr w14:val="tx1"/>
            </w14:solidFill>
          </w14:textFill>
        </w:rPr>
        <w:t xml:space="preserve">   XX工作内容   </w:t>
      </w:r>
      <w:r>
        <w:rPr>
          <w:rFonts w:hint="eastAsia" w:ascii="仿宋" w:hAnsi="仿宋" w:eastAsia="仿宋" w:cs="仿宋"/>
          <w:color w:val="000000" w:themeColor="text1"/>
          <w:sz w:val="24"/>
          <w14:textFill>
            <w14:solidFill>
              <w14:schemeClr w14:val="tx1"/>
            </w14:solidFill>
          </w14:textFill>
        </w:rPr>
        <w:t>分包给</w:t>
      </w:r>
      <w:r>
        <w:rPr>
          <w:rFonts w:hint="eastAsia" w:ascii="仿宋" w:hAnsi="仿宋" w:eastAsia="仿宋" w:cs="仿宋"/>
          <w:color w:val="000000" w:themeColor="text1"/>
          <w:kern w:val="0"/>
          <w:sz w:val="24"/>
          <w:u w:val="single"/>
          <w14:textFill>
            <w14:solidFill>
              <w14:schemeClr w14:val="tx1"/>
            </w14:solidFill>
          </w14:textFill>
        </w:rPr>
        <w:t>（某分包供应商名称）</w:t>
      </w:r>
      <w:r>
        <w:rPr>
          <w:rFonts w:hint="eastAsia" w:ascii="仿宋" w:hAnsi="仿宋" w:eastAsia="仿宋" w:cs="仿宋"/>
          <w:color w:val="000000" w:themeColor="text1"/>
          <w:kern w:val="0"/>
          <w:sz w:val="24"/>
          <w:lang w:val="zh-CN"/>
          <w14:textFill>
            <w14:solidFill>
              <w14:schemeClr w14:val="tx1"/>
            </w14:solidFill>
          </w14:textFill>
        </w:rPr>
        <w:t>，</w:t>
      </w:r>
      <w:r>
        <w:rPr>
          <w:rFonts w:hint="eastAsia" w:ascii="仿宋" w:hAnsi="仿宋" w:eastAsia="仿宋" w:cs="仿宋"/>
          <w:color w:val="000000" w:themeColor="text1"/>
          <w:kern w:val="0"/>
          <w:sz w:val="24"/>
          <w:u w:val="single"/>
          <w14:textFill>
            <w14:solidFill>
              <w14:schemeClr w14:val="tx1"/>
            </w14:solidFill>
          </w14:textFill>
        </w:rPr>
        <w:t>（某分包供应商名称），</w:t>
      </w:r>
      <w:r>
        <w:rPr>
          <w:rFonts w:hint="eastAsia" w:ascii="仿宋" w:hAnsi="仿宋" w:eastAsia="仿宋" w:cs="仿宋"/>
          <w:color w:val="000000" w:themeColor="text1"/>
          <w:kern w:val="0"/>
          <w:sz w:val="24"/>
          <w:lang w:val="zh-CN"/>
          <w14:textFill>
            <w14:solidFill>
              <w14:schemeClr w14:val="tx1"/>
            </w14:solidFill>
          </w14:textFill>
        </w:rPr>
        <w:t>具备承</w:t>
      </w:r>
      <w:r>
        <w:rPr>
          <w:rFonts w:hint="eastAsia" w:ascii="仿宋" w:hAnsi="仿宋" w:eastAsia="仿宋" w:cs="仿宋"/>
          <w:color w:val="000000" w:themeColor="text1"/>
          <w:kern w:val="0"/>
          <w:sz w:val="24"/>
          <w14:textFill>
            <w14:solidFill>
              <w14:schemeClr w14:val="tx1"/>
            </w14:solidFill>
          </w14:textFill>
        </w:rPr>
        <w:t>担</w:t>
      </w:r>
      <w:r>
        <w:rPr>
          <w:rFonts w:hint="eastAsia" w:ascii="仿宋" w:hAnsi="仿宋" w:eastAsia="仿宋" w:cs="仿宋"/>
          <w:color w:val="000000" w:themeColor="text1"/>
          <w:kern w:val="0"/>
          <w:sz w:val="24"/>
          <w:u w:val="single"/>
          <w:lang w:val="zh-CN"/>
          <w14:textFill>
            <w14:solidFill>
              <w14:schemeClr w14:val="tx1"/>
            </w14:solidFill>
          </w14:textFill>
        </w:rPr>
        <w:t>XX工作内容</w:t>
      </w:r>
      <w:r>
        <w:rPr>
          <w:rFonts w:hint="eastAsia" w:ascii="仿宋" w:hAnsi="仿宋" w:eastAsia="仿宋" w:cs="仿宋"/>
          <w:color w:val="000000" w:themeColor="text1"/>
          <w:kern w:val="0"/>
          <w:sz w:val="24"/>
          <w:lang w:val="zh-CN"/>
          <w14:textFill>
            <w14:solidFill>
              <w14:schemeClr w14:val="tx1"/>
            </w14:solidFill>
          </w14:textFill>
        </w:rPr>
        <w:t>相应资质条件且不得再次分包；</w:t>
      </w:r>
    </w:p>
    <w:p w14:paraId="33D050AC">
      <w:pPr>
        <w:tabs>
          <w:tab w:val="left" w:pos="432"/>
        </w:tabs>
        <w:ind w:left="664" w:leftChars="316" w:firstLine="228" w:firstLineChars="95"/>
        <w:rPr>
          <w:rFonts w:ascii="仿宋" w:eastAsia="仿宋" w:cs="仿宋"/>
          <w:color w:val="000000" w:themeColor="text1"/>
          <w14:textFill>
            <w14:solidFill>
              <w14:schemeClr w14:val="tx1"/>
            </w14:solidFill>
          </w14:textFill>
        </w:rPr>
      </w:pPr>
      <w:bookmarkStart w:id="541" w:name="_Toc17331"/>
      <w:bookmarkStart w:id="542" w:name="_Toc17715"/>
      <w:bookmarkStart w:id="543" w:name="_Toc8168"/>
      <w:r>
        <w:rPr>
          <w:rFonts w:hint="eastAsia" w:ascii="仿宋" w:eastAsia="仿宋" w:cs="仿宋"/>
          <w:color w:val="000000" w:themeColor="text1"/>
          <w:sz w:val="24"/>
          <w14:textFill>
            <w14:solidFill>
              <w14:schemeClr w14:val="tx1"/>
            </w14:solidFill>
          </w14:textFill>
        </w:rPr>
        <w:t>……</w:t>
      </w:r>
      <w:bookmarkEnd w:id="541"/>
      <w:bookmarkEnd w:id="542"/>
      <w:bookmarkEnd w:id="543"/>
    </w:p>
    <w:p w14:paraId="59B39AAB">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二、分包工作履行期限、地点、方式</w:t>
      </w:r>
    </w:p>
    <w:p w14:paraId="5A417733">
      <w:pPr>
        <w:snapToGrid w:val="0"/>
        <w:spacing w:line="360" w:lineRule="auto"/>
        <w:ind w:firstLine="576"/>
        <w:rPr>
          <w:rFonts w:ascii="仿宋" w:hAnsi="仿宋" w:eastAsia="仿宋" w:cs="仿宋"/>
          <w:color w:val="000000" w:themeColor="text1"/>
          <w:u w:val="single"/>
          <w14:textFill>
            <w14:solidFill>
              <w14:schemeClr w14:val="tx1"/>
            </w14:solidFill>
          </w14:textFill>
        </w:rPr>
      </w:pPr>
      <w:r>
        <w:rPr>
          <w:rFonts w:hint="eastAsia" w:ascii="仿宋" w:hAnsi="仿宋" w:eastAsia="仿宋" w:cs="仿宋"/>
          <w:color w:val="000000" w:themeColor="text1"/>
          <w:u w:val="single"/>
          <w14:textFill>
            <w14:solidFill>
              <w14:schemeClr w14:val="tx1"/>
            </w14:solidFill>
          </w14:textFill>
        </w:rPr>
        <w:t xml:space="preserve">                                                                                  </w:t>
      </w:r>
    </w:p>
    <w:p w14:paraId="1C86BAA5">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三、质量</w:t>
      </w:r>
    </w:p>
    <w:p w14:paraId="77B2FA9E">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u w:val="single"/>
          <w14:textFill>
            <w14:solidFill>
              <w14:schemeClr w14:val="tx1"/>
            </w14:solidFill>
          </w14:textFill>
        </w:rPr>
        <w:t xml:space="preserve">                                                                                       </w:t>
      </w:r>
    </w:p>
    <w:p w14:paraId="284585D2">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四、价款或者报酬</w:t>
      </w:r>
    </w:p>
    <w:p w14:paraId="0E2B9E09">
      <w:pPr>
        <w:snapToGrid w:val="0"/>
        <w:spacing w:line="360" w:lineRule="auto"/>
        <w:ind w:left="573" w:leftChars="273"/>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u w:val="single"/>
          <w14:textFill>
            <w14:solidFill>
              <w14:schemeClr w14:val="tx1"/>
            </w14:solidFill>
          </w14:textFill>
        </w:rPr>
        <w:t xml:space="preserve">                                                                                     </w:t>
      </w:r>
    </w:p>
    <w:p w14:paraId="3A5A8374">
      <w:pPr>
        <w:snapToGrid w:val="0"/>
        <w:spacing w:line="360" w:lineRule="auto"/>
        <w:ind w:left="573" w:leftChars="273"/>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五、违约责任</w:t>
      </w:r>
    </w:p>
    <w:p w14:paraId="3D71DE38">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u w:val="single"/>
          <w14:textFill>
            <w14:solidFill>
              <w14:schemeClr w14:val="tx1"/>
            </w14:solidFill>
          </w14:textFill>
        </w:rPr>
        <w:t xml:space="preserve">                                                                                     </w:t>
      </w:r>
    </w:p>
    <w:p w14:paraId="5466E575">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六、争议解决的办法</w:t>
      </w:r>
    </w:p>
    <w:p w14:paraId="0A7D8E8D">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u w:val="single"/>
          <w14:textFill>
            <w14:solidFill>
              <w14:schemeClr w14:val="tx1"/>
            </w14:solidFill>
          </w14:textFill>
        </w:rPr>
        <w:t xml:space="preserve">                                                                                  </w:t>
      </w:r>
    </w:p>
    <w:p w14:paraId="0DD270EC">
      <w:pPr>
        <w:snapToGrid w:val="0"/>
        <w:spacing w:line="360" w:lineRule="auto"/>
        <w:ind w:firstLine="576"/>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七、其他</w:t>
      </w:r>
    </w:p>
    <w:p w14:paraId="5D42BBF7">
      <w:pPr>
        <w:snapToGrid w:val="0"/>
        <w:spacing w:line="360" w:lineRule="auto"/>
        <w:ind w:left="5758" w:leftChars="342" w:hanging="5040" w:hangingChars="21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中小企业合同金额达到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%，小微企业合同金额达到</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                                           供应商名称(电子签名)：</w:t>
      </w:r>
    </w:p>
    <w:p w14:paraId="6431CF57">
      <w:pPr>
        <w:snapToGrid w:val="0"/>
        <w:spacing w:line="360" w:lineRule="auto"/>
        <w:ind w:firstLine="5880" w:firstLineChars="245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分包供应商名称：</w:t>
      </w:r>
    </w:p>
    <w:p w14:paraId="65EC29ED">
      <w:pPr>
        <w:snapToGrid w:val="0"/>
        <w:spacing w:line="360" w:lineRule="auto"/>
        <w:ind w:firstLine="5760" w:firstLineChars="2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w:t>
      </w:r>
    </w:p>
    <w:p w14:paraId="30114376">
      <w:pPr>
        <w:spacing w:line="360" w:lineRule="auto"/>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2155E1F5">
      <w:pPr>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76CA308B">
      <w:pPr>
        <w:widowControl/>
        <w:spacing w:line="360" w:lineRule="auto"/>
        <w:ind w:left="150"/>
        <w:jc w:val="center"/>
        <w:rPr>
          <w:rFonts w:ascii="仿宋" w:hAnsi="仿宋" w:eastAsia="仿宋" w:cs="仿宋"/>
          <w:b/>
          <w:color w:val="000000" w:themeColor="text1"/>
          <w:kern w:val="0"/>
          <w:sz w:val="32"/>
          <w:szCs w:val="32"/>
          <w14:textFill>
            <w14:solidFill>
              <w14:schemeClr w14:val="tx1"/>
            </w14:solidFill>
          </w14:textFill>
        </w:rPr>
      </w:pPr>
    </w:p>
    <w:p w14:paraId="45B53BB5">
      <w:pPr>
        <w:widowControl/>
        <w:spacing w:line="360" w:lineRule="auto"/>
        <w:ind w:left="147"/>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bookmarkStart w:id="544" w:name="_Toc1190196384"/>
      <w:bookmarkStart w:id="545" w:name="_Toc27364"/>
      <w:bookmarkStart w:id="546" w:name="_Toc18157"/>
      <w:r>
        <w:rPr>
          <w:rFonts w:hint="eastAsia" w:ascii="仿宋" w:hAnsi="仿宋" w:eastAsia="仿宋" w:cs="仿宋"/>
          <w:b/>
          <w:color w:val="000000" w:themeColor="text1"/>
          <w:kern w:val="0"/>
          <w:sz w:val="32"/>
          <w:szCs w:val="32"/>
          <w14:textFill>
            <w14:solidFill>
              <w14:schemeClr w14:val="tx1"/>
            </w14:solidFill>
          </w14:textFill>
        </w:rPr>
        <w:t>三、本项目的特定资格要求</w:t>
      </w:r>
      <w:bookmarkEnd w:id="544"/>
      <w:bookmarkEnd w:id="545"/>
      <w:bookmarkEnd w:id="546"/>
    </w:p>
    <w:p w14:paraId="54C0684B">
      <w:pPr>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（根据采购公告本项目的特定资格要求提供相应的材料；未要求，无需提供）</w:t>
      </w:r>
    </w:p>
    <w:p w14:paraId="746DE168">
      <w:pPr>
        <w:rPr>
          <w:rFonts w:ascii="仿宋" w:hAnsi="仿宋" w:eastAsia="仿宋" w:cs="仿宋"/>
          <w:color w:val="000000" w:themeColor="text1"/>
          <w14:textFill>
            <w14:solidFill>
              <w14:schemeClr w14:val="tx1"/>
            </w14:solidFill>
          </w14:textFill>
        </w:rPr>
      </w:pPr>
    </w:p>
    <w:p w14:paraId="366D3CA8">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17BCC5D6">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FFE5D30">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1C49C7FE">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558A0EAC">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2C61CD8D">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F1777BC">
      <w:pPr>
        <w:spacing w:line="360" w:lineRule="auto"/>
        <w:jc w:val="center"/>
        <w:rPr>
          <w:rFonts w:ascii="仿宋" w:hAnsi="仿宋" w:eastAsia="仿宋" w:cs="仿宋"/>
          <w:b/>
          <w:color w:val="000000" w:themeColor="text1"/>
          <w:kern w:val="0"/>
          <w:sz w:val="36"/>
          <w:szCs w:val="36"/>
          <w14:textFill>
            <w14:solidFill>
              <w14:schemeClr w14:val="tx1"/>
            </w14:solidFill>
          </w14:textFill>
        </w:rPr>
      </w:pPr>
    </w:p>
    <w:p w14:paraId="02593527">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358C214">
      <w:pPr>
        <w:spacing w:line="360" w:lineRule="auto"/>
        <w:jc w:val="center"/>
        <w:rPr>
          <w:rFonts w:ascii="仿宋" w:hAnsi="仿宋" w:eastAsia="仿宋" w:cs="仿宋"/>
          <w:b/>
          <w:color w:val="000000" w:themeColor="text1"/>
          <w:kern w:val="0"/>
          <w:sz w:val="36"/>
          <w:szCs w:val="36"/>
          <w14:textFill>
            <w14:solidFill>
              <w14:schemeClr w14:val="tx1"/>
            </w14:solidFill>
          </w14:textFill>
        </w:rPr>
      </w:pPr>
    </w:p>
    <w:p w14:paraId="6F1A59D9">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60F5CFD8">
      <w:pPr>
        <w:spacing w:line="360" w:lineRule="auto"/>
        <w:jc w:val="center"/>
        <w:rPr>
          <w:rFonts w:ascii="仿宋" w:hAnsi="仿宋" w:eastAsia="仿宋" w:cs="仿宋"/>
          <w:b/>
          <w:color w:val="000000" w:themeColor="text1"/>
          <w:kern w:val="0"/>
          <w:sz w:val="36"/>
          <w:szCs w:val="36"/>
          <w14:textFill>
            <w14:solidFill>
              <w14:schemeClr w14:val="tx1"/>
            </w14:solidFill>
          </w14:textFill>
        </w:rPr>
      </w:pPr>
    </w:p>
    <w:p w14:paraId="51336E9B">
      <w:pPr>
        <w:widowControl/>
        <w:spacing w:line="360" w:lineRule="auto"/>
        <w:ind w:left="147"/>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br w:type="page"/>
      </w:r>
      <w:bookmarkStart w:id="547" w:name="_Toc1967937730"/>
      <w:bookmarkStart w:id="548" w:name="_Toc3914"/>
      <w:bookmarkStart w:id="549" w:name="_Toc26849"/>
      <w:r>
        <w:rPr>
          <w:rFonts w:hint="eastAsia" w:ascii="仿宋" w:hAnsi="仿宋" w:eastAsia="仿宋" w:cs="仿宋"/>
          <w:b/>
          <w:color w:val="000000" w:themeColor="text1"/>
          <w:kern w:val="0"/>
          <w:sz w:val="32"/>
          <w:szCs w:val="32"/>
          <w14:textFill>
            <w14:solidFill>
              <w14:schemeClr w14:val="tx1"/>
            </w14:solidFill>
          </w14:textFill>
        </w:rPr>
        <w:t>四、政府采购活动现场确认声明书</w:t>
      </w:r>
      <w:bookmarkEnd w:id="547"/>
      <w:bookmarkEnd w:id="548"/>
      <w:bookmarkEnd w:id="549"/>
    </w:p>
    <w:p w14:paraId="3D2701AE">
      <w:pPr>
        <w:spacing w:line="460" w:lineRule="exact"/>
        <w:rPr>
          <w:rFonts w:ascii="仿宋" w:hAnsi="仿宋" w:eastAsia="仿宋" w:cs="仿宋"/>
          <w:b/>
          <w:bCs/>
          <w:color w:val="000000" w:themeColor="text1"/>
          <w:sz w:val="22"/>
          <w:szCs w:val="22"/>
          <w14:textFill>
            <w14:solidFill>
              <w14:schemeClr w14:val="tx1"/>
            </w14:solidFill>
          </w14:textFill>
        </w:rPr>
      </w:pPr>
    </w:p>
    <w:p w14:paraId="1C785418">
      <w:pPr>
        <w:spacing w:line="460" w:lineRule="exact"/>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温州历程招标有限公司：</w:t>
      </w:r>
    </w:p>
    <w:p w14:paraId="4F3ED510">
      <w:pPr>
        <w:spacing w:line="460" w:lineRule="exact"/>
        <w:ind w:firstLine="44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本人经由</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（供应商名称）负责人</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（姓名）合法授权参加</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项目（编号：</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）采购活动，经与本单位法人代表（负责人）联系确认，现就有关公平竞争事项郑重声明如下：</w:t>
      </w:r>
    </w:p>
    <w:p w14:paraId="3880B76E">
      <w:pPr>
        <w:numPr>
          <w:ilvl w:val="0"/>
          <w:numId w:val="7"/>
        </w:numPr>
        <w:spacing w:line="460" w:lineRule="exac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本单位与招标人之间 □不存在利害关系 □存在下列利害关系：</w:t>
      </w:r>
    </w:p>
    <w:p w14:paraId="3D09D106">
      <w:pPr>
        <w:numPr>
          <w:ilvl w:val="0"/>
          <w:numId w:val="7"/>
        </w:numPr>
        <w:spacing w:line="460" w:lineRule="exac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 xml:space="preserve">      A.投资关系    </w:t>
      </w:r>
    </w:p>
    <w:p w14:paraId="3CA4B9C2">
      <w:pPr>
        <w:spacing w:line="460" w:lineRule="exact"/>
        <w:ind w:firstLine="660" w:firstLineChars="3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 xml:space="preserve">B.行政隶属关系    </w:t>
      </w:r>
    </w:p>
    <w:p w14:paraId="16771481">
      <w:pPr>
        <w:spacing w:line="460" w:lineRule="exact"/>
        <w:ind w:firstLine="660" w:firstLineChars="3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 xml:space="preserve">C.业务指导关系  </w:t>
      </w:r>
    </w:p>
    <w:p w14:paraId="715A6836">
      <w:pPr>
        <w:spacing w:line="460" w:lineRule="exact"/>
        <w:ind w:firstLine="660" w:firstLineChars="300"/>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D.其他可能影响采购公正的利害关系</w:t>
      </w:r>
      <w:r>
        <w:rPr>
          <w:rStyle w:val="30"/>
          <w:rFonts w:hint="default"/>
          <w:color w:val="000000" w:themeColor="text1"/>
          <w:sz w:val="22"/>
          <w:szCs w:val="22"/>
          <w14:textFill>
            <w14:solidFill>
              <w14:schemeClr w14:val="tx1"/>
            </w14:solidFill>
          </w14:textFill>
        </w:rPr>
        <w:t xml:space="preserve">（如有，请如实说明）                 </w:t>
      </w:r>
      <w:r>
        <w:rPr>
          <w:rFonts w:hint="eastAsia" w:ascii="仿宋" w:hAnsi="仿宋" w:eastAsia="仿宋" w:cs="仿宋"/>
          <w:color w:val="000000" w:themeColor="text1"/>
          <w:kern w:val="0"/>
          <w:sz w:val="22"/>
          <w:szCs w:val="22"/>
          <w14:textFill>
            <w14:solidFill>
              <w14:schemeClr w14:val="tx1"/>
            </w14:solidFill>
          </w14:textFill>
        </w:rPr>
        <w:t>。</w:t>
      </w:r>
    </w:p>
    <w:p w14:paraId="345CC72B">
      <w:pPr>
        <w:numPr>
          <w:ilvl w:val="0"/>
          <w:numId w:val="7"/>
        </w:numPr>
        <w:spacing w:line="460" w:lineRule="exact"/>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 xml:space="preserve">现已清楚知道参加本项目采购活动的其他所有供应商名称，本单位 </w:t>
      </w:r>
    </w:p>
    <w:p w14:paraId="665197A8">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 xml:space="preserve">□与其他所有供应商之间均不存在利害关系 </w:t>
      </w:r>
    </w:p>
    <w:p w14:paraId="6333FC78">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□与</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供应商名称）之间存在下列利害关系</w:t>
      </w:r>
      <w:r>
        <w:rPr>
          <w:rFonts w:hint="eastAsia" w:ascii="仿宋" w:hAnsi="仿宋" w:eastAsia="仿宋" w:cs="仿宋"/>
          <w:color w:val="000000" w:themeColor="text1"/>
          <w:kern w:val="0"/>
          <w:sz w:val="22"/>
          <w:szCs w:val="22"/>
          <w:u w:val="single"/>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w:t>
      </w:r>
    </w:p>
    <w:p w14:paraId="5C696BC5">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A.法定代表人或负责人或实际控制人是同一人</w:t>
      </w:r>
    </w:p>
    <w:p w14:paraId="53585F26">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B.法定代表人或负责人或实际控制人是夫妻关系</w:t>
      </w:r>
    </w:p>
    <w:p w14:paraId="004714F1">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C.法定代表人或负责人或实际控制人是直系血亲关系</w:t>
      </w:r>
    </w:p>
    <w:p w14:paraId="41FB16C0">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D.法定代表人或负责人或实际控制人存在三代以内旁系血亲关系</w:t>
      </w:r>
    </w:p>
    <w:p w14:paraId="58A49C3E">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E.法定代表人或负责人或实际控制人存在近姻亲关系</w:t>
      </w:r>
    </w:p>
    <w:p w14:paraId="3E0ACC3E">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F.法定代表人或负责人或实际控制人存在股份控制或实际控制关系</w:t>
      </w:r>
    </w:p>
    <w:p w14:paraId="3F4A3892">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G.存在共同直接或间接投资设立子公司、联营企业和合营企业情况</w:t>
      </w:r>
    </w:p>
    <w:p w14:paraId="1D690EE9">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H.存在分级代理或代销关系、同一生产制造商关系、管理关系、重要业务（占主营业务收入50%以上）或重要财务往来关系（如融资）等其他实质性控制关系</w:t>
      </w:r>
    </w:p>
    <w:p w14:paraId="626DBA43">
      <w:pPr>
        <w:spacing w:line="460" w:lineRule="exact"/>
        <w:ind w:left="210" w:leftChars="10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I.其他利害关系情况</w:t>
      </w:r>
      <w:r>
        <w:rPr>
          <w:rFonts w:hint="eastAsia" w:ascii="仿宋" w:hAnsi="仿宋" w:eastAsia="仿宋" w:cs="仿宋"/>
          <w:color w:val="000000" w:themeColor="text1"/>
          <w:kern w:val="0"/>
          <w:sz w:val="22"/>
          <w:szCs w:val="22"/>
          <w:u w:val="single"/>
          <w14:textFill>
            <w14:solidFill>
              <w14:schemeClr w14:val="tx1"/>
            </w14:solidFill>
          </w14:textFill>
        </w:rPr>
        <w:t xml:space="preserve">                              。</w:t>
      </w:r>
    </w:p>
    <w:p w14:paraId="268F9055">
      <w:pPr>
        <w:pStyle w:val="9"/>
        <w:spacing w:line="460" w:lineRule="exact"/>
        <w:ind w:firstLine="0" w:firstLineChars="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（三）现已清楚知道并严格遵守政府采购法律法规和现场纪律</w:t>
      </w:r>
    </w:p>
    <w:p w14:paraId="6CA0C73F">
      <w:pPr>
        <w:pStyle w:val="9"/>
        <w:spacing w:line="460" w:lineRule="exact"/>
        <w:ind w:firstLine="0" w:firstLineChars="0"/>
        <w:rPr>
          <w:rFonts w:ascii="仿宋" w:hAnsi="仿宋" w:eastAsia="仿宋" w:cs="仿宋"/>
          <w:color w:val="000000" w:themeColor="text1"/>
          <w:kern w:val="0"/>
          <w:sz w:val="22"/>
          <w:szCs w:val="22"/>
          <w14:textFill>
            <w14:solidFill>
              <w14:schemeClr w14:val="tx1"/>
            </w14:solidFill>
          </w14:textFill>
        </w:rPr>
      </w:pPr>
      <w:r>
        <w:rPr>
          <w:rFonts w:hint="eastAsia" w:ascii="仿宋" w:hAnsi="仿宋" w:eastAsia="仿宋" w:cs="仿宋"/>
          <w:color w:val="000000" w:themeColor="text1"/>
          <w:kern w:val="0"/>
          <w:sz w:val="22"/>
          <w:szCs w:val="22"/>
          <w14:textFill>
            <w14:solidFill>
              <w14:schemeClr w14:val="tx1"/>
            </w14:solidFill>
          </w14:textFill>
        </w:rPr>
        <w:t>（四）我发现</w:t>
      </w:r>
      <w:r>
        <w:rPr>
          <w:rStyle w:val="30"/>
          <w:rFonts w:hint="default"/>
          <w:color w:val="000000" w:themeColor="text1"/>
          <w:sz w:val="22"/>
          <w:szCs w:val="22"/>
          <w14:textFill>
            <w14:solidFill>
              <w14:schemeClr w14:val="tx1"/>
            </w14:solidFill>
          </w14:textFill>
        </w:rPr>
        <w:t xml:space="preserve">                  与                  （供应商名称）</w:t>
      </w:r>
      <w:r>
        <w:rPr>
          <w:rFonts w:hint="eastAsia" w:ascii="仿宋" w:hAnsi="仿宋" w:eastAsia="仿宋" w:cs="仿宋"/>
          <w:color w:val="000000" w:themeColor="text1"/>
          <w:kern w:val="0"/>
          <w:sz w:val="22"/>
          <w:szCs w:val="22"/>
          <w14:textFill>
            <w14:solidFill>
              <w14:schemeClr w14:val="tx1"/>
            </w14:solidFill>
          </w14:textFill>
        </w:rPr>
        <w:t>之间存在或可能存在上述第二条第</w:t>
      </w:r>
      <w:r>
        <w:rPr>
          <w:rStyle w:val="30"/>
          <w:rFonts w:hint="default"/>
          <w:color w:val="000000" w:themeColor="text1"/>
          <w:sz w:val="22"/>
          <w:szCs w:val="22"/>
          <w14:textFill>
            <w14:solidFill>
              <w14:schemeClr w14:val="tx1"/>
            </w14:solidFill>
          </w14:textFill>
        </w:rPr>
        <w:t xml:space="preserve">        </w:t>
      </w:r>
      <w:r>
        <w:rPr>
          <w:rFonts w:hint="eastAsia" w:ascii="仿宋" w:hAnsi="仿宋" w:eastAsia="仿宋" w:cs="仿宋"/>
          <w:color w:val="000000" w:themeColor="text1"/>
          <w:kern w:val="0"/>
          <w:sz w:val="22"/>
          <w:szCs w:val="22"/>
          <w14:textFill>
            <w14:solidFill>
              <w14:schemeClr w14:val="tx1"/>
            </w14:solidFill>
          </w14:textFill>
        </w:rPr>
        <w:t>项利害关系。</w:t>
      </w:r>
    </w:p>
    <w:p w14:paraId="6F08A8D4">
      <w:pPr>
        <w:pStyle w:val="9"/>
        <w:spacing w:line="460" w:lineRule="exact"/>
        <w:ind w:firstLine="0" w:firstLineChars="0"/>
        <w:rPr>
          <w:rFonts w:ascii="仿宋" w:hAnsi="仿宋" w:eastAsia="仿宋" w:cs="仿宋"/>
          <w:b/>
          <w:color w:val="000000" w:themeColor="text1"/>
          <w:kern w:val="0"/>
          <w:sz w:val="22"/>
          <w:szCs w:val="22"/>
          <w14:textFill>
            <w14:solidFill>
              <w14:schemeClr w14:val="tx1"/>
            </w14:solidFill>
          </w14:textFill>
        </w:rPr>
      </w:pPr>
      <w:r>
        <w:rPr>
          <w:rFonts w:hint="eastAsia" w:ascii="仿宋" w:hAnsi="仿宋" w:eastAsia="仿宋" w:cs="仿宋"/>
          <w:b/>
          <w:color w:val="000000" w:themeColor="text1"/>
          <w:kern w:val="0"/>
          <w:sz w:val="22"/>
          <w:szCs w:val="22"/>
          <w14:textFill>
            <w14:solidFill>
              <w14:schemeClr w14:val="tx1"/>
            </w14:solidFill>
          </w14:textFill>
        </w:rPr>
        <w:t>供应商代表签名：</w:t>
      </w:r>
    </w:p>
    <w:p w14:paraId="0A0BA7DA">
      <w:pPr>
        <w:pStyle w:val="9"/>
        <w:spacing w:line="460" w:lineRule="exact"/>
        <w:ind w:firstLine="0" w:firstLineChars="0"/>
        <w:jc w:val="right"/>
        <w:rPr>
          <w:rFonts w:ascii="仿宋" w:hAnsi="仿宋" w:eastAsia="仿宋" w:cs="仿宋"/>
          <w:b/>
          <w:bCs/>
          <w:color w:val="000000" w:themeColor="text1"/>
          <w:sz w:val="22"/>
          <w:szCs w:val="22"/>
          <w14:textFill>
            <w14:solidFill>
              <w14:schemeClr w14:val="tx1"/>
            </w14:solidFill>
          </w14:textFill>
        </w:rPr>
      </w:pPr>
      <w:r>
        <w:rPr>
          <w:rFonts w:hint="eastAsia" w:ascii="仿宋" w:hAnsi="仿宋" w:eastAsia="仿宋" w:cs="仿宋"/>
          <w:b/>
          <w:color w:val="000000" w:themeColor="text1"/>
          <w:kern w:val="0"/>
          <w:sz w:val="22"/>
          <w:szCs w:val="22"/>
          <w14:textFill>
            <w14:solidFill>
              <w14:schemeClr w14:val="tx1"/>
            </w14:solidFill>
          </w14:textFill>
        </w:rPr>
        <w:t>日期：202</w:t>
      </w:r>
      <w:r>
        <w:rPr>
          <w:rFonts w:hint="eastAsia" w:ascii="仿宋" w:hAnsi="仿宋" w:eastAsia="仿宋" w:cs="仿宋"/>
          <w:b/>
          <w:color w:val="000000" w:themeColor="text1"/>
          <w:kern w:val="0"/>
          <w:sz w:val="22"/>
          <w:szCs w:val="22"/>
          <w:lang w:val="en-US" w:eastAsia="zh-CN"/>
          <w14:textFill>
            <w14:solidFill>
              <w14:schemeClr w14:val="tx1"/>
            </w14:solidFill>
          </w14:textFill>
        </w:rPr>
        <w:t>5</w:t>
      </w:r>
      <w:r>
        <w:rPr>
          <w:rFonts w:hint="eastAsia" w:ascii="仿宋" w:hAnsi="仿宋" w:eastAsia="仿宋" w:cs="仿宋"/>
          <w:b/>
          <w:color w:val="000000" w:themeColor="text1"/>
          <w:kern w:val="0"/>
          <w:sz w:val="22"/>
          <w:szCs w:val="22"/>
          <w14:textFill>
            <w14:solidFill>
              <w14:schemeClr w14:val="tx1"/>
            </w14:solidFill>
          </w14:textFill>
        </w:rPr>
        <w:t>年    月    日</w:t>
      </w:r>
    </w:p>
    <w:p w14:paraId="7C330F96">
      <w:pPr>
        <w:spacing w:line="360" w:lineRule="auto"/>
        <w:ind w:right="420" w:firstLine="3614" w:firstLineChars="1000"/>
        <w:outlineLvl w:val="1"/>
        <w:rPr>
          <w:rFonts w:ascii="仿宋" w:hAnsi="仿宋" w:eastAsia="仿宋" w:cs="仿宋"/>
          <w:b/>
          <w:color w:val="000000" w:themeColor="text1"/>
          <w:kern w:val="0"/>
          <w:sz w:val="36"/>
          <w:szCs w:val="36"/>
          <w14:textFill>
            <w14:solidFill>
              <w14:schemeClr w14:val="tx1"/>
            </w14:solidFill>
          </w14:textFill>
        </w:rPr>
      </w:pPr>
      <w:r>
        <w:rPr>
          <w:rFonts w:hint="eastAsia" w:ascii="仿宋" w:hAnsi="仿宋" w:eastAsia="仿宋" w:cs="仿宋"/>
          <w:b/>
          <w:color w:val="000000" w:themeColor="text1"/>
          <w:kern w:val="0"/>
          <w:sz w:val="36"/>
          <w:szCs w:val="36"/>
          <w14:textFill>
            <w14:solidFill>
              <w14:schemeClr w14:val="tx1"/>
            </w14:solidFill>
          </w14:textFill>
        </w:rPr>
        <w:br w:type="page"/>
      </w:r>
      <w:bookmarkStart w:id="550" w:name="_Toc1733780663"/>
      <w:bookmarkStart w:id="551" w:name="_Toc3191"/>
      <w:bookmarkStart w:id="552" w:name="_Toc640"/>
      <w:r>
        <w:rPr>
          <w:rStyle w:val="25"/>
          <w:rFonts w:hint="eastAsia" w:ascii="仿宋" w:eastAsia="仿宋" w:cs="仿宋"/>
          <w:color w:val="000000" w:themeColor="text1"/>
          <w14:textFill>
            <w14:solidFill>
              <w14:schemeClr w14:val="tx1"/>
            </w14:solidFill>
          </w14:textFill>
        </w:rPr>
        <w:t>商务技术文件部分</w:t>
      </w:r>
      <w:bookmarkEnd w:id="550"/>
      <w:bookmarkEnd w:id="551"/>
      <w:bookmarkEnd w:id="552"/>
    </w:p>
    <w:p w14:paraId="4DE9F2F0">
      <w:pPr>
        <w:spacing w:line="360" w:lineRule="auto"/>
        <w:jc w:val="center"/>
        <w:rPr>
          <w:rFonts w:ascii="仿宋" w:hAnsi="仿宋" w:eastAsia="仿宋" w:cs="仿宋"/>
          <w:b/>
          <w:color w:val="000000" w:themeColor="text1"/>
          <w:kern w:val="0"/>
          <w:sz w:val="24"/>
          <w14:textFill>
            <w14:solidFill>
              <w14:schemeClr w14:val="tx1"/>
            </w14:solidFill>
          </w14:textFill>
        </w:rPr>
      </w:pPr>
    </w:p>
    <w:p w14:paraId="2319CE5C">
      <w:pPr>
        <w:spacing w:line="360" w:lineRule="auto"/>
        <w:jc w:val="center"/>
        <w:rPr>
          <w:rFonts w:ascii="仿宋" w:hAnsi="仿宋" w:eastAsia="仿宋" w:cs="仿宋"/>
          <w:b/>
          <w:color w:val="000000" w:themeColor="text1"/>
          <w:kern w:val="0"/>
          <w:sz w:val="28"/>
          <w:szCs w:val="28"/>
          <w14:textFill>
            <w14:solidFill>
              <w14:schemeClr w14:val="tx1"/>
            </w14:solidFill>
          </w14:textFill>
        </w:rPr>
      </w:pPr>
      <w:bookmarkStart w:id="553" w:name="_Toc23620"/>
      <w:bookmarkStart w:id="554" w:name="_Toc23572"/>
      <w:bookmarkStart w:id="555" w:name="_Toc11049"/>
      <w:r>
        <w:rPr>
          <w:rFonts w:hint="eastAsia" w:ascii="仿宋" w:hAnsi="仿宋" w:eastAsia="仿宋" w:cs="仿宋"/>
          <w:b/>
          <w:color w:val="000000" w:themeColor="text1"/>
          <w:kern w:val="0"/>
          <w:sz w:val="28"/>
          <w:szCs w:val="28"/>
          <w14:textFill>
            <w14:solidFill>
              <w14:schemeClr w14:val="tx1"/>
            </w14:solidFill>
          </w14:textFill>
        </w:rPr>
        <w:t>目录</w:t>
      </w:r>
      <w:bookmarkEnd w:id="553"/>
      <w:bookmarkEnd w:id="554"/>
      <w:bookmarkEnd w:id="555"/>
    </w:p>
    <w:p w14:paraId="300E6BDA">
      <w:pPr>
        <w:numPr>
          <w:ilvl w:val="0"/>
          <w:numId w:val="8"/>
        </w:numPr>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报价声明函</w:t>
      </w:r>
      <w:r>
        <w:rPr>
          <w:rFonts w:hint="eastAsia" w:ascii="仿宋" w:hAnsi="仿宋" w:eastAsia="仿宋" w:cs="仿宋"/>
          <w:color w:val="000000" w:themeColor="text1"/>
          <w14:textFill>
            <w14:solidFill>
              <w14:schemeClr w14:val="tx1"/>
            </w14:solidFill>
          </w14:textFill>
        </w:rPr>
        <w:t>……………………………………………………………………………（页码）</w:t>
      </w:r>
    </w:p>
    <w:p w14:paraId="344C4829">
      <w:pPr>
        <w:numPr>
          <w:ilvl w:val="0"/>
          <w:numId w:val="8"/>
        </w:numPr>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授权委托书或法定代表人（单位负责人、自然人本人）身份证明</w:t>
      </w:r>
      <w:r>
        <w:rPr>
          <w:rFonts w:hint="eastAsia" w:ascii="仿宋" w:hAnsi="仿宋" w:eastAsia="仿宋" w:cs="仿宋"/>
          <w:color w:val="000000" w:themeColor="text1"/>
          <w14:textFill>
            <w14:solidFill>
              <w14:schemeClr w14:val="tx1"/>
            </w14:solidFill>
          </w14:textFill>
        </w:rPr>
        <w:t>………（页码）</w:t>
      </w:r>
    </w:p>
    <w:p w14:paraId="6D792F0C">
      <w:pPr>
        <w:snapToGrid w:val="0"/>
        <w:spacing w:line="360" w:lineRule="auto"/>
        <w:ind w:firstLine="480" w:firstLineChars="2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（3）符合性审查资料</w:t>
      </w:r>
      <w:r>
        <w:rPr>
          <w:rFonts w:hint="eastAsia" w:ascii="仿宋" w:hAnsi="仿宋" w:eastAsia="仿宋" w:cs="仿宋"/>
          <w:color w:val="000000" w:themeColor="text1"/>
          <w14:textFill>
            <w14:solidFill>
              <w14:schemeClr w14:val="tx1"/>
            </w14:solidFill>
          </w14:textFill>
        </w:rPr>
        <w:t>………………………………………………………………………（页码）</w:t>
      </w:r>
    </w:p>
    <w:p w14:paraId="5D0EDD9D">
      <w:pPr>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（4）评审标准相应的商务技术资料</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……………（页码）</w:t>
      </w:r>
    </w:p>
    <w:p w14:paraId="1E58AC6D">
      <w:pPr>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（5）商务技术偏离表</w:t>
      </w:r>
      <w:r>
        <w:rPr>
          <w:rFonts w:hint="eastAsia" w:ascii="仿宋" w:hAnsi="仿宋" w:eastAsia="仿宋" w:cs="仿宋"/>
          <w:color w:val="000000" w:themeColor="text1"/>
          <w14:textFill>
            <w14:solidFill>
              <w14:schemeClr w14:val="tx1"/>
            </w14:solidFill>
          </w14:textFill>
        </w:rPr>
        <w:t>………………………………………………………………………（页码）</w:t>
      </w:r>
    </w:p>
    <w:p w14:paraId="4ADB83A6">
      <w:pPr>
        <w:snapToGrid w:val="0"/>
        <w:spacing w:line="360" w:lineRule="auto"/>
        <w:ind w:left="479" w:leftChars="22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6</w:t>
      </w:r>
      <w:r>
        <w:rPr>
          <w:rFonts w:hint="eastAsia" w:ascii="仿宋" w:hAnsi="仿宋" w:eastAsia="仿宋" w:cs="仿宋"/>
          <w:color w:val="000000" w:themeColor="text1"/>
          <w:sz w:val="24"/>
          <w:lang w:val="zh-CN"/>
          <w14:textFill>
            <w14:solidFill>
              <w14:schemeClr w14:val="tx1"/>
            </w14:solidFill>
          </w14:textFill>
        </w:rPr>
        <w:t>）政府采购供应商廉洁自律承诺书</w:t>
      </w:r>
      <w:r>
        <w:rPr>
          <w:rFonts w:hint="eastAsia" w:ascii="仿宋" w:hAnsi="仿宋" w:eastAsia="仿宋" w:cs="仿宋"/>
          <w:color w:val="000000" w:themeColor="text1"/>
          <w14:textFill>
            <w14:solidFill>
              <w14:schemeClr w14:val="tx1"/>
            </w14:solidFill>
          </w14:textFill>
        </w:rPr>
        <w:t>…………………………………………………（页码）</w:t>
      </w:r>
    </w:p>
    <w:p w14:paraId="62565E08">
      <w:pPr>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266233DF">
      <w:pPr>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206CB91F">
      <w:pPr>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06069C34">
      <w:pPr>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46A3245F">
      <w:pPr>
        <w:snapToGrid w:val="0"/>
        <w:spacing w:line="360" w:lineRule="auto"/>
        <w:jc w:val="center"/>
        <w:rPr>
          <w:rFonts w:ascii="仿宋" w:hAnsi="仿宋" w:eastAsia="仿宋" w:cs="仿宋"/>
          <w:b/>
          <w:color w:val="000000" w:themeColor="text1"/>
          <w:kern w:val="0"/>
          <w:sz w:val="32"/>
          <w:szCs w:val="32"/>
          <w:lang w:val="zh-CN"/>
          <w14:textFill>
            <w14:solidFill>
              <w14:schemeClr w14:val="tx1"/>
            </w14:solidFill>
          </w14:textFill>
        </w:rPr>
      </w:pPr>
    </w:p>
    <w:p w14:paraId="7BB7342A">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3E591F6D">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7C176F49">
      <w:pPr>
        <w:rPr>
          <w:rFonts w:ascii="仿宋" w:hAnsi="仿宋" w:eastAsia="仿宋" w:cs="仿宋"/>
          <w:color w:val="000000" w:themeColor="text1"/>
          <w14:textFill>
            <w14:solidFill>
              <w14:schemeClr w14:val="tx1"/>
            </w14:solidFill>
          </w14:textFill>
        </w:rPr>
      </w:pPr>
    </w:p>
    <w:p w14:paraId="2A1549CB">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0DBCB768">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1BD4CF46">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4E2076A3">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4E742C9F">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59E0AEB2">
      <w:pPr>
        <w:snapToGrid w:val="0"/>
        <w:spacing w:line="360" w:lineRule="auto"/>
        <w:jc w:val="center"/>
        <w:rPr>
          <w:rFonts w:ascii="仿宋" w:hAnsi="仿宋" w:eastAsia="仿宋" w:cs="仿宋"/>
          <w:b/>
          <w:color w:val="000000" w:themeColor="text1"/>
          <w:kern w:val="0"/>
          <w:sz w:val="32"/>
          <w:szCs w:val="32"/>
          <w14:textFill>
            <w14:solidFill>
              <w14:schemeClr w14:val="tx1"/>
            </w14:solidFill>
          </w14:textFill>
        </w:rPr>
      </w:pPr>
    </w:p>
    <w:p w14:paraId="1B9AC1D3">
      <w:pPr>
        <w:snapToGrid w:val="0"/>
        <w:spacing w:line="360" w:lineRule="auto"/>
        <w:jc w:val="center"/>
        <w:rPr>
          <w:rFonts w:ascii="仿宋" w:hAnsi="仿宋" w:eastAsia="仿宋" w:cs="仿宋"/>
          <w:b/>
          <w:color w:val="000000" w:themeColor="text1"/>
          <w:sz w:val="32"/>
          <w:szCs w:val="32"/>
          <w14:textFill>
            <w14:solidFill>
              <w14:schemeClr w14:val="tx1"/>
            </w14:solidFill>
          </w14:textFill>
        </w:rPr>
      </w:pPr>
      <w:bookmarkStart w:id="556" w:name="_Toc25202"/>
      <w:bookmarkStart w:id="557" w:name="_Toc26161"/>
      <w:bookmarkStart w:id="558" w:name="_Toc21536"/>
      <w:r>
        <w:rPr>
          <w:rFonts w:hint="eastAsia" w:ascii="仿宋" w:hAnsi="仿宋" w:eastAsia="仿宋" w:cs="仿宋"/>
          <w:b/>
          <w:color w:val="000000" w:themeColor="text1"/>
          <w:kern w:val="0"/>
          <w:sz w:val="32"/>
          <w:szCs w:val="32"/>
          <w14:textFill>
            <w14:solidFill>
              <w14:schemeClr w14:val="tx1"/>
            </w14:solidFill>
          </w14:textFill>
        </w:rPr>
        <w:br w:type="page"/>
      </w:r>
      <w:bookmarkStart w:id="559" w:name="_Toc24144"/>
      <w:bookmarkStart w:id="560" w:name="_Toc31248"/>
      <w:bookmarkStart w:id="561" w:name="_Toc445996898"/>
      <w:r>
        <w:rPr>
          <w:rFonts w:hint="eastAsia" w:ascii="仿宋" w:hAnsi="仿宋" w:eastAsia="仿宋" w:cs="仿宋"/>
          <w:b/>
          <w:color w:val="000000" w:themeColor="text1"/>
          <w:kern w:val="0"/>
          <w:sz w:val="32"/>
          <w:szCs w:val="32"/>
          <w14:textFill>
            <w14:solidFill>
              <w14:schemeClr w14:val="tx1"/>
            </w14:solidFill>
          </w14:textFill>
        </w:rPr>
        <w:t>一、</w:t>
      </w:r>
      <w:bookmarkEnd w:id="556"/>
      <w:bookmarkEnd w:id="557"/>
      <w:bookmarkEnd w:id="558"/>
      <w:r>
        <w:rPr>
          <w:rFonts w:hint="eastAsia" w:ascii="仿宋" w:hAnsi="仿宋" w:eastAsia="仿宋" w:cs="仿宋"/>
          <w:b/>
          <w:color w:val="000000" w:themeColor="text1"/>
          <w:kern w:val="0"/>
          <w:sz w:val="32"/>
          <w:szCs w:val="32"/>
          <w14:textFill>
            <w14:solidFill>
              <w14:schemeClr w14:val="tx1"/>
            </w14:solidFill>
          </w14:textFill>
        </w:rPr>
        <w:t>报价声明函</w:t>
      </w:r>
      <w:bookmarkEnd w:id="559"/>
      <w:bookmarkEnd w:id="560"/>
      <w:bookmarkEnd w:id="561"/>
    </w:p>
    <w:p w14:paraId="1B0A895B">
      <w:pPr>
        <w:snapToGrid w:val="0"/>
        <w:spacing w:line="42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温州市公安局、温州历程招标有限公司：</w:t>
      </w:r>
    </w:p>
    <w:p w14:paraId="7E442965">
      <w:pPr>
        <w:snapToGrid w:val="0"/>
        <w:spacing w:line="42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我方参加你方组织的</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sz w:val="24"/>
          <w14:textFill>
            <w14:solidFill>
              <w14:schemeClr w14:val="tx1"/>
            </w14:solidFill>
          </w14:textFill>
        </w:rPr>
        <w:t>【招标编号：</w:t>
      </w:r>
      <w:r>
        <w:rPr>
          <w:rFonts w:hint="eastAsia" w:ascii="仿宋" w:hAnsi="仿宋" w:eastAsia="仿宋" w:cs="仿宋"/>
          <w:color w:val="000000" w:themeColor="text1"/>
          <w:sz w:val="24"/>
          <w:lang w:eastAsia="zh-CN"/>
          <w14:textFill>
            <w14:solidFill>
              <w14:schemeClr w14:val="tx1"/>
            </w14:solidFill>
          </w14:textFill>
        </w:rPr>
        <w:t>WZLCZB（W）-2025-03089</w:t>
      </w:r>
      <w:r>
        <w:rPr>
          <w:rFonts w:hint="eastAsia" w:ascii="仿宋" w:hAnsi="仿宋" w:eastAsia="仿宋" w:cs="仿宋"/>
          <w:color w:val="000000" w:themeColor="text1"/>
          <w:sz w:val="24"/>
          <w14:textFill>
            <w14:solidFill>
              <w14:schemeClr w14:val="tx1"/>
            </w14:solidFill>
          </w14:textFill>
        </w:rPr>
        <w:t>】招标的有关活动，并对此项目进行磋商响应。为此：</w:t>
      </w:r>
    </w:p>
    <w:p w14:paraId="17F4F085">
      <w:pPr>
        <w:snapToGrid w:val="0"/>
        <w:spacing w:line="42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1、我方承诺磋商有效期从提交响应文件的截止之日起</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天</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本响应文件在磋商有效期满之前均具有约束力。</w:t>
      </w:r>
    </w:p>
    <w:p w14:paraId="2ABBD64A">
      <w:pPr>
        <w:snapToGrid w:val="0"/>
        <w:spacing w:line="42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2、我方的响应文件包括以下内容：</w:t>
      </w:r>
    </w:p>
    <w:p w14:paraId="0318A2AA">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2.1资格文件：</w:t>
      </w:r>
    </w:p>
    <w:p w14:paraId="6324F5B3">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2.1.1承诺函；</w:t>
      </w:r>
    </w:p>
    <w:p w14:paraId="1BF2B8BC">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2.1.2落实政府采购政策需满足的资格要求（如果有）；</w:t>
      </w:r>
    </w:p>
    <w:p w14:paraId="49A5D392">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2.1.3本项目的特定资格要求（如果有）。</w:t>
      </w:r>
    </w:p>
    <w:p w14:paraId="79B2689E">
      <w:pPr>
        <w:snapToGrid w:val="0"/>
        <w:spacing w:line="420" w:lineRule="exact"/>
        <w:ind w:left="210" w:leftChars="100"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商务技术</w:t>
      </w:r>
      <w:r>
        <w:rPr>
          <w:rFonts w:hint="eastAsia" w:ascii="仿宋" w:hAnsi="仿宋" w:eastAsia="仿宋" w:cs="仿宋"/>
          <w:color w:val="000000" w:themeColor="text1"/>
          <w:sz w:val="24"/>
          <w:lang w:val="zh-CN"/>
          <w14:textFill>
            <w14:solidFill>
              <w14:schemeClr w14:val="tx1"/>
            </w14:solidFill>
          </w14:textFill>
        </w:rPr>
        <w:t>文件：</w:t>
      </w:r>
    </w:p>
    <w:p w14:paraId="4C647AC5">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2.2.1报价声明函；</w:t>
      </w:r>
      <w:r>
        <w:rPr>
          <w:rFonts w:hint="eastAsia" w:ascii="仿宋" w:hAnsi="仿宋" w:eastAsia="仿宋" w:cs="仿宋"/>
          <w:color w:val="000000" w:themeColor="text1"/>
          <w:sz w:val="24"/>
          <w:lang w:val="zh-CN"/>
          <w14:textFill>
            <w14:solidFill>
              <w14:schemeClr w14:val="tx1"/>
            </w14:solidFill>
          </w14:textFill>
        </w:rPr>
        <w:t xml:space="preserve"> </w:t>
      </w:r>
    </w:p>
    <w:p w14:paraId="45C6BDB2">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2.2.2授权委托书或法定代表人（单位负责人）身份证明；</w:t>
      </w:r>
    </w:p>
    <w:p w14:paraId="74681F3E">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2.2.3联合协议（如果有）；</w:t>
      </w:r>
    </w:p>
    <w:p w14:paraId="59837599">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2.2.4分包意向协议（如果有）；</w:t>
      </w:r>
    </w:p>
    <w:p w14:paraId="234353F6">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2.2.5符合性审查资料；</w:t>
      </w:r>
    </w:p>
    <w:p w14:paraId="68F8D4FD">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2.2.6评审标准相应的商务技术资料；</w:t>
      </w:r>
    </w:p>
    <w:p w14:paraId="2D0FD8D6">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2.2.7商务技术偏离表；</w:t>
      </w:r>
    </w:p>
    <w:p w14:paraId="53FE44EF">
      <w:pPr>
        <w:snapToGrid w:val="0"/>
        <w:spacing w:line="420" w:lineRule="exact"/>
        <w:ind w:left="420" w:leftChars="200" w:firstLine="480" w:firstLineChars="200"/>
        <w:rPr>
          <w:rFonts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8</w:t>
      </w:r>
      <w:r>
        <w:rPr>
          <w:rFonts w:hint="eastAsia" w:ascii="仿宋" w:hAnsi="仿宋" w:eastAsia="仿宋" w:cs="仿宋"/>
          <w:color w:val="000000" w:themeColor="text1"/>
          <w:sz w:val="24"/>
          <w:lang w:val="zh-CN"/>
          <w14:textFill>
            <w14:solidFill>
              <w14:schemeClr w14:val="tx1"/>
            </w14:solidFill>
          </w14:textFill>
        </w:rPr>
        <w:t>政府采购供应商廉洁自律承诺书；</w:t>
      </w:r>
    </w:p>
    <w:p w14:paraId="5CA771B2">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3报价文件</w:t>
      </w:r>
    </w:p>
    <w:p w14:paraId="1EC19095">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2.3.1报价一览表；</w:t>
      </w:r>
    </w:p>
    <w:p w14:paraId="02D47295">
      <w:pPr>
        <w:snapToGrid w:val="0"/>
        <w:spacing w:line="420" w:lineRule="exact"/>
        <w:ind w:left="420" w:leftChars="2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2.3.2中小企业声明函（如果有）。</w:t>
      </w:r>
    </w:p>
    <w:p w14:paraId="2B3C786D">
      <w:pPr>
        <w:snapToGrid w:val="0"/>
        <w:spacing w:line="42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3、我方承诺除商务技术偏离表列出的偏离外，我方响应采购文件的全部要求。</w:t>
      </w:r>
    </w:p>
    <w:p w14:paraId="49E4AD37">
      <w:pPr>
        <w:snapToGrid w:val="0"/>
        <w:spacing w:line="42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4、如我方成交，我方承诺：</w:t>
      </w:r>
    </w:p>
    <w:p w14:paraId="64D5E9A0">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4.1在收到成交通知书后，在成交通知书规定的期限内与你方签订合同； </w:t>
      </w:r>
    </w:p>
    <w:p w14:paraId="7D70865F">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4.2在签订合同时不向你方提出附加条件；  </w:t>
      </w:r>
    </w:p>
    <w:p w14:paraId="60DFF640">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4.3在合同约定的期限内完成合同规定的全部义务。 </w:t>
      </w:r>
    </w:p>
    <w:p w14:paraId="0AF6EC51">
      <w:pPr>
        <w:snapToGrid w:val="0"/>
        <w:spacing w:line="420" w:lineRule="exact"/>
        <w:ind w:left="210" w:leftChars="10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5、其他补充说明：</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w:t>
      </w:r>
    </w:p>
    <w:p w14:paraId="3DD48497">
      <w:pPr>
        <w:spacing w:line="420" w:lineRule="exact"/>
        <w:ind w:firstLine="3600" w:firstLineChars="15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供应商名称（电子签名）：                          </w:t>
      </w:r>
    </w:p>
    <w:p w14:paraId="1CEF724B">
      <w:pPr>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日期：  年   月   日</w:t>
      </w:r>
    </w:p>
    <w:p w14:paraId="29006E21">
      <w:pPr>
        <w:jc w:val="center"/>
        <w:rPr>
          <w:rFonts w:ascii="仿宋" w:hAnsi="仿宋" w:eastAsia="仿宋" w:cs="仿宋"/>
          <w:b/>
          <w:color w:val="000000" w:themeColor="text1"/>
          <w:kern w:val="0"/>
          <w:sz w:val="32"/>
          <w:szCs w:val="32"/>
          <w:lang w:val="zh-CN"/>
          <w14:textFill>
            <w14:solidFill>
              <w14:schemeClr w14:val="tx1"/>
            </w14:solidFill>
          </w14:textFill>
        </w:rPr>
      </w:pPr>
    </w:p>
    <w:p w14:paraId="108DBB63">
      <w:pPr>
        <w:jc w:val="center"/>
        <w:rPr>
          <w:rFonts w:ascii="仿宋" w:hAnsi="仿宋" w:eastAsia="仿宋" w:cs="仿宋"/>
          <w:b/>
          <w:color w:val="000000" w:themeColor="text1"/>
          <w:kern w:val="0"/>
          <w:sz w:val="32"/>
          <w:szCs w:val="32"/>
          <w:lang w:val="zh-CN"/>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br w:type="page"/>
      </w:r>
      <w:bookmarkStart w:id="562" w:name="_Toc1151936656"/>
      <w:bookmarkStart w:id="563" w:name="_Toc2182"/>
      <w:bookmarkStart w:id="564" w:name="_Toc26646"/>
      <w:r>
        <w:rPr>
          <w:rFonts w:hint="eastAsia" w:ascii="仿宋" w:hAnsi="仿宋" w:eastAsia="仿宋" w:cs="仿宋"/>
          <w:b/>
          <w:color w:val="000000" w:themeColor="text1"/>
          <w:kern w:val="0"/>
          <w:sz w:val="32"/>
          <w:szCs w:val="32"/>
          <w:lang w:val="zh-CN"/>
          <w14:textFill>
            <w14:solidFill>
              <w14:schemeClr w14:val="tx1"/>
            </w14:solidFill>
          </w14:textFill>
        </w:rPr>
        <w:t>二、授权委托书或法定代表人（单位负责人、自然人本人）身份证明</w:t>
      </w:r>
      <w:bookmarkEnd w:id="562"/>
      <w:bookmarkEnd w:id="563"/>
      <w:bookmarkEnd w:id="564"/>
    </w:p>
    <w:p w14:paraId="285A7ED0">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w:t>
      </w:r>
    </w:p>
    <w:p w14:paraId="32BFADBB">
      <w:pPr>
        <w:snapToGrid w:val="0"/>
        <w:spacing w:line="360" w:lineRule="auto"/>
        <w:ind w:firstLine="2872" w:firstLineChars="894"/>
        <w:rPr>
          <w:rFonts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授权委托书（适用于非联合体响应）</w:t>
      </w:r>
      <w:r>
        <w:rPr>
          <w:rFonts w:hint="eastAsia" w:ascii="仿宋" w:hAnsi="仿宋" w:eastAsia="仿宋" w:cs="仿宋"/>
          <w:color w:val="000000" w:themeColor="text1"/>
          <w14:textFill>
            <w14:solidFill>
              <w14:schemeClr w14:val="tx1"/>
            </w14:solidFill>
          </w14:textFill>
        </w:rPr>
        <w:t xml:space="preserve">                               </w:t>
      </w:r>
    </w:p>
    <w:p w14:paraId="7E78B34D">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温州市公安局、温州历程招标有限公司</w:t>
      </w:r>
      <w:r>
        <w:rPr>
          <w:rFonts w:hint="eastAsia" w:ascii="仿宋" w:hAnsi="仿宋" w:eastAsia="仿宋" w:cs="仿宋"/>
          <w:color w:val="000000" w:themeColor="text1"/>
          <w:kern w:val="0"/>
          <w:sz w:val="24"/>
          <w:lang w:val="zh-CN"/>
          <w14:textFill>
            <w14:solidFill>
              <w14:schemeClr w14:val="tx1"/>
            </w14:solidFill>
          </w14:textFill>
        </w:rPr>
        <w:t>：</w:t>
      </w:r>
    </w:p>
    <w:p w14:paraId="77837F0A">
      <w:pPr>
        <w:snapToGrid w:val="0"/>
        <w:spacing w:line="360" w:lineRule="auto"/>
        <w:ind w:firstLine="576"/>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现</w:t>
      </w:r>
      <w:r>
        <w:rPr>
          <w:rFonts w:hint="eastAsia" w:ascii="仿宋" w:hAnsi="仿宋" w:eastAsia="仿宋" w:cs="仿宋"/>
          <w:color w:val="000000" w:themeColor="text1"/>
          <w:kern w:val="0"/>
          <w:sz w:val="24"/>
          <w:lang w:val="zh-CN"/>
          <w14:textFill>
            <w14:solidFill>
              <w14:schemeClr w14:val="tx1"/>
            </w14:solidFill>
          </w14:textFill>
        </w:rPr>
        <w:t>委托</w:t>
      </w:r>
      <w:r>
        <w:rPr>
          <w:rFonts w:hint="eastAsia" w:ascii="仿宋" w:hAnsi="仿宋" w:eastAsia="仿宋" w:cs="仿宋"/>
          <w:color w:val="000000" w:themeColor="text1"/>
          <w:kern w:val="0"/>
          <w:sz w:val="24"/>
          <w:u w:val="single"/>
          <w:lang w:val="zh-CN"/>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u w:val="single"/>
          <w:lang w:val="zh-CN"/>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，手机：</w:t>
      </w:r>
      <w:r>
        <w:rPr>
          <w:rFonts w:hint="eastAsia" w:ascii="仿宋" w:hAnsi="仿宋" w:eastAsia="仿宋" w:cs="仿宋"/>
          <w:color w:val="000000" w:themeColor="text1"/>
          <w:kern w:val="0"/>
          <w:sz w:val="24"/>
          <w:u w:val="single"/>
          <w:lang w:val="zh-CN"/>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），以我方名义处理</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sz w:val="24"/>
          <w14:textFill>
            <w14:solidFill>
              <w14:schemeClr w14:val="tx1"/>
            </w14:solidFill>
          </w14:textFill>
        </w:rPr>
        <w:t>【招标编号：</w:t>
      </w:r>
      <w:r>
        <w:rPr>
          <w:rFonts w:hint="eastAsia" w:ascii="仿宋" w:hAnsi="仿宋" w:eastAsia="仿宋" w:cs="仿宋"/>
          <w:color w:val="000000" w:themeColor="text1"/>
          <w:sz w:val="24"/>
          <w:lang w:eastAsia="zh-CN"/>
          <w14:textFill>
            <w14:solidFill>
              <w14:schemeClr w14:val="tx1"/>
            </w14:solidFill>
          </w14:textFill>
        </w:rPr>
        <w:t>WZLCZB（W）-2025-03089</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政府采购磋商响应的一切事项，其法律后果由我方承担。</w:t>
      </w:r>
    </w:p>
    <w:p w14:paraId="0AAD9C65">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委托期限</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自</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日起至</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年</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日止。</w:t>
      </w:r>
    </w:p>
    <w:p w14:paraId="4155889C">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特此告知。</w:t>
      </w:r>
    </w:p>
    <w:p w14:paraId="0966B22D">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供应商名称(电子签名)：</w:t>
      </w:r>
    </w:p>
    <w:p w14:paraId="43CE123C">
      <w:pPr>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签发日期：  年  月   日</w:t>
      </w:r>
    </w:p>
    <w:p w14:paraId="539E4FE1">
      <w:pPr>
        <w:snapToGrid w:val="0"/>
        <w:spacing w:line="360" w:lineRule="auto"/>
        <w:rPr>
          <w:rFonts w:ascii="仿宋" w:hAnsi="仿宋" w:eastAsia="仿宋" w:cs="仿宋"/>
          <w:color w:val="000000" w:themeColor="text1"/>
          <w:sz w:val="24"/>
          <w14:textFill>
            <w14:solidFill>
              <w14:schemeClr w14:val="tx1"/>
            </w14:solidFill>
          </w14:textFill>
        </w:rPr>
      </w:pPr>
    </w:p>
    <w:p w14:paraId="7B6B3A89">
      <w:pPr>
        <w:snapToGrid w:val="0"/>
        <w:spacing w:line="360" w:lineRule="auto"/>
        <w:rPr>
          <w:rFonts w:ascii="仿宋" w:hAnsi="仿宋" w:eastAsia="仿宋" w:cs="仿宋"/>
          <w:color w:val="000000" w:themeColor="text1"/>
          <w:sz w:val="24"/>
          <w14:textFill>
            <w14:solidFill>
              <w14:schemeClr w14:val="tx1"/>
            </w14:solidFill>
          </w14:textFill>
        </w:rPr>
      </w:pPr>
    </w:p>
    <w:p w14:paraId="5BB184C4">
      <w:pPr>
        <w:snapToGrid w:val="0"/>
        <w:spacing w:line="360" w:lineRule="auto"/>
        <w:rPr>
          <w:rFonts w:ascii="仿宋" w:hAnsi="仿宋" w:eastAsia="仿宋" w:cs="仿宋"/>
          <w:color w:val="000000" w:themeColor="text1"/>
          <w:sz w:val="24"/>
          <w14:textFill>
            <w14:solidFill>
              <w14:schemeClr w14:val="tx1"/>
            </w14:solidFill>
          </w14:textFill>
        </w:rPr>
      </w:pPr>
    </w:p>
    <w:p w14:paraId="443F3BBA">
      <w:pPr>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 xml:space="preserve">      </w:t>
      </w:r>
    </w:p>
    <w:p w14:paraId="48E33752">
      <w:pPr>
        <w:autoSpaceDE w:val="0"/>
        <w:autoSpaceDN w:val="0"/>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br w:type="page"/>
      </w:r>
      <w:r>
        <w:rPr>
          <w:rFonts w:hint="eastAsia" w:ascii="仿宋" w:hAnsi="仿宋" w:eastAsia="仿宋" w:cs="仿宋"/>
          <w:b/>
          <w:color w:val="000000" w:themeColor="text1"/>
          <w:kern w:val="0"/>
          <w:sz w:val="32"/>
          <w:szCs w:val="32"/>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14:textFill>
            <w14:solidFill>
              <w14:schemeClr w14:val="tx1"/>
            </w14:solidFill>
          </w14:textFill>
        </w:rPr>
        <w:t>的身份证明（适用于法定代表人、单位负责人或者自然人本人代表供应商参加磋商响应）</w:t>
      </w:r>
    </w:p>
    <w:p w14:paraId="4FCE1C14">
      <w:pPr>
        <w:pStyle w:val="31"/>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身份证件扫描件：</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7B1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1181C8F">
            <w:pPr>
              <w:pStyle w:val="31"/>
              <w:adjustRightInd w:val="0"/>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正面：                                 反面：</w:t>
            </w:r>
          </w:p>
          <w:p w14:paraId="050C6601">
            <w:pPr>
              <w:pStyle w:val="31"/>
              <w:adjustRightInd w:val="0"/>
              <w:spacing w:line="360" w:lineRule="auto"/>
              <w:rPr>
                <w:rFonts w:ascii="仿宋" w:hAnsi="仿宋" w:eastAsia="仿宋" w:cs="仿宋"/>
                <w:bCs/>
                <w:color w:val="000000" w:themeColor="text1"/>
                <w:sz w:val="24"/>
                <w14:textFill>
                  <w14:solidFill>
                    <w14:schemeClr w14:val="tx1"/>
                  </w14:solidFill>
                </w14:textFill>
              </w:rPr>
            </w:pPr>
          </w:p>
        </w:tc>
      </w:tr>
    </w:tbl>
    <w:p w14:paraId="11317C99">
      <w:pPr>
        <w:snapToGrid w:val="0"/>
        <w:spacing w:line="360" w:lineRule="auto"/>
        <w:ind w:firstLine="576"/>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w:t>
      </w:r>
    </w:p>
    <w:p w14:paraId="3285A93D">
      <w:pPr>
        <w:snapToGrid w:val="0"/>
        <w:spacing w:line="360" w:lineRule="auto"/>
        <w:ind w:firstLine="576"/>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供应商名称(电子签名)：                              </w:t>
      </w:r>
    </w:p>
    <w:p w14:paraId="4CBA50B7">
      <w:pPr>
        <w:spacing w:line="360" w:lineRule="auto"/>
        <w:jc w:val="center"/>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  年  月  日</w:t>
      </w:r>
    </w:p>
    <w:p w14:paraId="22B7683B">
      <w:pPr>
        <w:jc w:val="center"/>
        <w:rPr>
          <w:rFonts w:ascii="仿宋" w:hAnsi="仿宋" w:eastAsia="仿宋" w:cs="仿宋"/>
          <w:b/>
          <w:color w:val="000000" w:themeColor="text1"/>
          <w:kern w:val="0"/>
          <w:sz w:val="32"/>
          <w:szCs w:val="32"/>
          <w14:textFill>
            <w14:solidFill>
              <w14:schemeClr w14:val="tx1"/>
            </w14:solidFill>
          </w14:textFill>
        </w:rPr>
      </w:pPr>
    </w:p>
    <w:p w14:paraId="71265A8D">
      <w:pPr>
        <w:jc w:val="center"/>
        <w:rPr>
          <w:rFonts w:ascii="仿宋" w:hAnsi="仿宋" w:eastAsia="仿宋" w:cs="仿宋"/>
          <w:b/>
          <w:color w:val="000000" w:themeColor="text1"/>
          <w:kern w:val="0"/>
          <w:sz w:val="32"/>
          <w:szCs w:val="32"/>
          <w14:textFill>
            <w14:solidFill>
              <w14:schemeClr w14:val="tx1"/>
            </w14:solidFill>
          </w14:textFill>
        </w:rPr>
      </w:pPr>
    </w:p>
    <w:p w14:paraId="676CB920">
      <w:pPr>
        <w:jc w:val="center"/>
        <w:rPr>
          <w:rFonts w:ascii="仿宋" w:hAnsi="仿宋" w:eastAsia="仿宋" w:cs="仿宋"/>
          <w:b/>
          <w:color w:val="000000" w:themeColor="text1"/>
          <w:kern w:val="0"/>
          <w:sz w:val="32"/>
          <w:szCs w:val="32"/>
          <w14:textFill>
            <w14:solidFill>
              <w14:schemeClr w14:val="tx1"/>
            </w14:solidFill>
          </w14:textFill>
        </w:rPr>
      </w:pPr>
    </w:p>
    <w:p w14:paraId="5106DBAA">
      <w:pPr>
        <w:jc w:val="center"/>
        <w:rPr>
          <w:rFonts w:ascii="仿宋" w:hAnsi="仿宋" w:eastAsia="仿宋" w:cs="仿宋"/>
          <w:b/>
          <w:color w:val="000000" w:themeColor="text1"/>
          <w:kern w:val="0"/>
          <w:sz w:val="32"/>
          <w:szCs w:val="32"/>
          <w14:textFill>
            <w14:solidFill>
              <w14:schemeClr w14:val="tx1"/>
            </w14:solidFill>
          </w14:textFill>
        </w:rPr>
      </w:pPr>
    </w:p>
    <w:p w14:paraId="0F25D6D6">
      <w:pPr>
        <w:jc w:val="center"/>
        <w:rPr>
          <w:rFonts w:ascii="仿宋" w:hAnsi="仿宋" w:eastAsia="仿宋" w:cs="仿宋"/>
          <w:b/>
          <w:color w:val="000000" w:themeColor="text1"/>
          <w:kern w:val="0"/>
          <w:sz w:val="32"/>
          <w:szCs w:val="32"/>
          <w14:textFill>
            <w14:solidFill>
              <w14:schemeClr w14:val="tx1"/>
            </w14:solidFill>
          </w14:textFill>
        </w:rPr>
      </w:pPr>
    </w:p>
    <w:p w14:paraId="39AF8D8F">
      <w:pPr>
        <w:jc w:val="center"/>
        <w:rPr>
          <w:rFonts w:ascii="仿宋" w:hAnsi="仿宋" w:eastAsia="仿宋" w:cs="仿宋"/>
          <w:b/>
          <w:color w:val="000000" w:themeColor="text1"/>
          <w:kern w:val="0"/>
          <w:sz w:val="32"/>
          <w:szCs w:val="32"/>
          <w14:textFill>
            <w14:solidFill>
              <w14:schemeClr w14:val="tx1"/>
            </w14:solidFill>
          </w14:textFill>
        </w:rPr>
      </w:pPr>
    </w:p>
    <w:p w14:paraId="1ED67B2C">
      <w:pPr>
        <w:jc w:val="center"/>
        <w:rPr>
          <w:rFonts w:ascii="仿宋" w:hAnsi="仿宋" w:eastAsia="仿宋" w:cs="仿宋"/>
          <w:b/>
          <w:color w:val="000000" w:themeColor="text1"/>
          <w:kern w:val="0"/>
          <w:sz w:val="32"/>
          <w:szCs w:val="32"/>
          <w14:textFill>
            <w14:solidFill>
              <w14:schemeClr w14:val="tx1"/>
            </w14:solidFill>
          </w14:textFill>
        </w:rPr>
      </w:pPr>
    </w:p>
    <w:p w14:paraId="254000C2">
      <w:pPr>
        <w:jc w:val="center"/>
        <w:rPr>
          <w:rFonts w:ascii="仿宋" w:hAnsi="仿宋" w:eastAsia="仿宋" w:cs="仿宋"/>
          <w:b/>
          <w:color w:val="000000" w:themeColor="text1"/>
          <w:kern w:val="0"/>
          <w:sz w:val="32"/>
          <w:szCs w:val="32"/>
          <w14:textFill>
            <w14:solidFill>
              <w14:schemeClr w14:val="tx1"/>
            </w14:solidFill>
          </w14:textFill>
        </w:rPr>
      </w:pPr>
    </w:p>
    <w:p w14:paraId="2369C7AD">
      <w:pPr>
        <w:jc w:val="center"/>
        <w:rPr>
          <w:rFonts w:ascii="仿宋" w:hAnsi="仿宋" w:eastAsia="仿宋" w:cs="仿宋"/>
          <w:b/>
          <w:color w:val="000000" w:themeColor="text1"/>
          <w:kern w:val="0"/>
          <w:sz w:val="32"/>
          <w:szCs w:val="32"/>
          <w14:textFill>
            <w14:solidFill>
              <w14:schemeClr w14:val="tx1"/>
            </w14:solidFill>
          </w14:textFill>
        </w:rPr>
      </w:pPr>
    </w:p>
    <w:p w14:paraId="2C1E1057">
      <w:pPr>
        <w:jc w:val="center"/>
        <w:rPr>
          <w:rFonts w:ascii="仿宋" w:hAnsi="仿宋" w:eastAsia="仿宋" w:cs="仿宋"/>
          <w:b/>
          <w:color w:val="000000" w:themeColor="text1"/>
          <w:kern w:val="0"/>
          <w:sz w:val="32"/>
          <w:szCs w:val="32"/>
          <w14:textFill>
            <w14:solidFill>
              <w14:schemeClr w14:val="tx1"/>
            </w14:solidFill>
          </w14:textFill>
        </w:rPr>
      </w:pPr>
    </w:p>
    <w:p w14:paraId="1865A0F1">
      <w:pPr>
        <w:jc w:val="center"/>
        <w:rPr>
          <w:rFonts w:ascii="仿宋" w:hAnsi="仿宋" w:eastAsia="仿宋" w:cs="仿宋"/>
          <w:b/>
          <w:color w:val="000000" w:themeColor="text1"/>
          <w:kern w:val="0"/>
          <w:sz w:val="32"/>
          <w:szCs w:val="32"/>
          <w14:textFill>
            <w14:solidFill>
              <w14:schemeClr w14:val="tx1"/>
            </w14:solidFill>
          </w14:textFill>
        </w:rPr>
      </w:pPr>
    </w:p>
    <w:p w14:paraId="0DDBEE08">
      <w:pPr>
        <w:jc w:val="center"/>
        <w:rPr>
          <w:rFonts w:ascii="仿宋" w:hAnsi="仿宋" w:eastAsia="仿宋" w:cs="仿宋"/>
          <w:b/>
          <w:color w:val="000000" w:themeColor="text1"/>
          <w:kern w:val="0"/>
          <w:sz w:val="32"/>
          <w:szCs w:val="32"/>
          <w14:textFill>
            <w14:solidFill>
              <w14:schemeClr w14:val="tx1"/>
            </w14:solidFill>
          </w14:textFill>
        </w:rPr>
      </w:pPr>
    </w:p>
    <w:p w14:paraId="49477063">
      <w:pPr>
        <w:jc w:val="center"/>
        <w:rPr>
          <w:rFonts w:ascii="仿宋" w:hAnsi="仿宋" w:eastAsia="仿宋" w:cs="仿宋"/>
          <w:b/>
          <w:color w:val="000000" w:themeColor="text1"/>
          <w:kern w:val="0"/>
          <w:sz w:val="32"/>
          <w:szCs w:val="32"/>
          <w14:textFill>
            <w14:solidFill>
              <w14:schemeClr w14:val="tx1"/>
            </w14:solidFill>
          </w14:textFill>
        </w:rPr>
      </w:pPr>
    </w:p>
    <w:p w14:paraId="54AF6ABE">
      <w:pPr>
        <w:jc w:val="center"/>
        <w:rPr>
          <w:rFonts w:ascii="仿宋" w:hAnsi="仿宋" w:eastAsia="仿宋" w:cs="仿宋"/>
          <w:b/>
          <w:color w:val="000000" w:themeColor="text1"/>
          <w:kern w:val="0"/>
          <w:sz w:val="32"/>
          <w:szCs w:val="32"/>
          <w14:textFill>
            <w14:solidFill>
              <w14:schemeClr w14:val="tx1"/>
            </w14:solidFill>
          </w14:textFill>
        </w:rPr>
      </w:pPr>
    </w:p>
    <w:p w14:paraId="689EE0A0">
      <w:pPr>
        <w:snapToGrid w:val="0"/>
        <w:spacing w:line="360" w:lineRule="auto"/>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r>
        <w:rPr>
          <w:rFonts w:hint="eastAsia" w:ascii="仿宋" w:hAnsi="仿宋" w:eastAsia="仿宋" w:cs="仿宋"/>
          <w:b/>
          <w:color w:val="000000" w:themeColor="text1"/>
          <w:kern w:val="0"/>
          <w:sz w:val="32"/>
          <w:szCs w:val="32"/>
          <w14:textFill>
            <w14:solidFill>
              <w14:schemeClr w14:val="tx1"/>
            </w14:solidFill>
          </w14:textFill>
        </w:rPr>
        <w:t xml:space="preserve">           </w:t>
      </w:r>
    </w:p>
    <w:p w14:paraId="321C3FA7">
      <w:pPr>
        <w:jc w:val="center"/>
        <w:rPr>
          <w:rFonts w:ascii="仿宋" w:hAnsi="仿宋" w:eastAsia="仿宋" w:cs="仿宋"/>
          <w:color w:val="000000" w:themeColor="text1"/>
          <w14:textFill>
            <w14:solidFill>
              <w14:schemeClr w14:val="tx1"/>
            </w14:solidFill>
          </w14:textFill>
        </w:rPr>
      </w:pPr>
      <w:bookmarkStart w:id="565" w:name="_Toc31363"/>
      <w:bookmarkStart w:id="566" w:name="_Toc30306"/>
      <w:bookmarkStart w:id="567" w:name="_Toc1034299687"/>
      <w:r>
        <w:rPr>
          <w:rFonts w:hint="eastAsia" w:ascii="仿宋" w:hAnsi="仿宋" w:eastAsia="仿宋" w:cs="仿宋"/>
          <w:b/>
          <w:color w:val="000000" w:themeColor="text1"/>
          <w:kern w:val="0"/>
          <w:sz w:val="32"/>
          <w:szCs w:val="32"/>
          <w14:textFill>
            <w14:solidFill>
              <w14:schemeClr w14:val="tx1"/>
            </w14:solidFill>
          </w14:textFill>
        </w:rPr>
        <w:t>三、评审标准相应的商务技术资料</w:t>
      </w:r>
      <w:bookmarkEnd w:id="565"/>
      <w:bookmarkEnd w:id="566"/>
      <w:bookmarkEnd w:id="567"/>
    </w:p>
    <w:p w14:paraId="00C2C83B">
      <w:pPr>
        <w:snapToGrid w:val="0"/>
        <w:spacing w:line="360" w:lineRule="auto"/>
        <w:jc w:val="left"/>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（按采购文件第四部分评审办法前附表中“响应文件中评审标准相应的商务技术资料目录”提供资料）</w:t>
      </w:r>
    </w:p>
    <w:p w14:paraId="4B883BC0">
      <w:pPr>
        <w:jc w:val="center"/>
        <w:rPr>
          <w:rFonts w:ascii="仿宋" w:hAnsi="仿宋" w:eastAsia="仿宋" w:cs="仿宋"/>
          <w:b/>
          <w:color w:val="000000" w:themeColor="text1"/>
          <w:kern w:val="0"/>
          <w:sz w:val="32"/>
          <w:szCs w:val="32"/>
          <w14:textFill>
            <w14:solidFill>
              <w14:schemeClr w14:val="tx1"/>
            </w14:solidFill>
          </w14:textFill>
        </w:rPr>
      </w:pPr>
    </w:p>
    <w:p w14:paraId="4469170F">
      <w:pPr>
        <w:jc w:val="center"/>
        <w:rPr>
          <w:rFonts w:ascii="仿宋" w:hAnsi="仿宋" w:eastAsia="仿宋" w:cs="仿宋"/>
          <w:b/>
          <w:color w:val="000000" w:themeColor="text1"/>
          <w:kern w:val="0"/>
          <w:sz w:val="32"/>
          <w:szCs w:val="32"/>
          <w14:textFill>
            <w14:solidFill>
              <w14:schemeClr w14:val="tx1"/>
            </w14:solidFill>
          </w14:textFill>
        </w:rPr>
      </w:pPr>
    </w:p>
    <w:p w14:paraId="0EA66561">
      <w:pPr>
        <w:jc w:val="center"/>
        <w:rPr>
          <w:rFonts w:ascii="仿宋" w:hAnsi="仿宋" w:eastAsia="仿宋" w:cs="仿宋"/>
          <w:b/>
          <w:color w:val="000000" w:themeColor="text1"/>
          <w:kern w:val="0"/>
          <w:sz w:val="32"/>
          <w:szCs w:val="32"/>
          <w14:textFill>
            <w14:solidFill>
              <w14:schemeClr w14:val="tx1"/>
            </w14:solidFill>
          </w14:textFill>
        </w:rPr>
      </w:pPr>
    </w:p>
    <w:p w14:paraId="208C064B">
      <w:pPr>
        <w:jc w:val="center"/>
        <w:rPr>
          <w:rFonts w:ascii="仿宋" w:hAnsi="仿宋" w:eastAsia="仿宋" w:cs="仿宋"/>
          <w:b/>
          <w:color w:val="000000" w:themeColor="text1"/>
          <w:kern w:val="0"/>
          <w:sz w:val="32"/>
          <w:szCs w:val="32"/>
          <w14:textFill>
            <w14:solidFill>
              <w14:schemeClr w14:val="tx1"/>
            </w14:solidFill>
          </w14:textFill>
        </w:rPr>
      </w:pPr>
    </w:p>
    <w:p w14:paraId="36DA2CBC">
      <w:pPr>
        <w:jc w:val="center"/>
        <w:rPr>
          <w:rFonts w:ascii="仿宋" w:hAnsi="仿宋" w:eastAsia="仿宋" w:cs="仿宋"/>
          <w:b/>
          <w:color w:val="000000" w:themeColor="text1"/>
          <w:kern w:val="0"/>
          <w:sz w:val="32"/>
          <w:szCs w:val="32"/>
          <w14:textFill>
            <w14:solidFill>
              <w14:schemeClr w14:val="tx1"/>
            </w14:solidFill>
          </w14:textFill>
        </w:rPr>
      </w:pPr>
    </w:p>
    <w:p w14:paraId="6AF2F8B1">
      <w:pPr>
        <w:jc w:val="center"/>
        <w:rPr>
          <w:rFonts w:ascii="仿宋" w:hAnsi="仿宋" w:eastAsia="仿宋" w:cs="仿宋"/>
          <w:b/>
          <w:color w:val="000000" w:themeColor="text1"/>
          <w:kern w:val="0"/>
          <w:sz w:val="32"/>
          <w:szCs w:val="32"/>
          <w14:textFill>
            <w14:solidFill>
              <w14:schemeClr w14:val="tx1"/>
            </w14:solidFill>
          </w14:textFill>
        </w:rPr>
      </w:pPr>
    </w:p>
    <w:p w14:paraId="063B9AB0">
      <w:pPr>
        <w:jc w:val="center"/>
        <w:rPr>
          <w:rFonts w:ascii="仿宋" w:hAnsi="仿宋" w:eastAsia="仿宋" w:cs="仿宋"/>
          <w:b/>
          <w:color w:val="000000" w:themeColor="text1"/>
          <w:kern w:val="0"/>
          <w:sz w:val="32"/>
          <w:szCs w:val="32"/>
          <w14:textFill>
            <w14:solidFill>
              <w14:schemeClr w14:val="tx1"/>
            </w14:solidFill>
          </w14:textFill>
        </w:rPr>
      </w:pPr>
    </w:p>
    <w:p w14:paraId="37A9F322">
      <w:pPr>
        <w:jc w:val="center"/>
        <w:rPr>
          <w:rFonts w:ascii="仿宋" w:hAnsi="仿宋" w:eastAsia="仿宋" w:cs="仿宋"/>
          <w:b/>
          <w:color w:val="000000" w:themeColor="text1"/>
          <w:kern w:val="0"/>
          <w:sz w:val="32"/>
          <w:szCs w:val="32"/>
          <w14:textFill>
            <w14:solidFill>
              <w14:schemeClr w14:val="tx1"/>
            </w14:solidFill>
          </w14:textFill>
        </w:rPr>
      </w:pPr>
    </w:p>
    <w:p w14:paraId="0DE124BD">
      <w:pPr>
        <w:jc w:val="center"/>
        <w:rPr>
          <w:rFonts w:ascii="仿宋" w:hAnsi="仿宋" w:eastAsia="仿宋" w:cs="仿宋"/>
          <w:b/>
          <w:color w:val="000000" w:themeColor="text1"/>
          <w:kern w:val="0"/>
          <w:sz w:val="32"/>
          <w:szCs w:val="32"/>
          <w14:textFill>
            <w14:solidFill>
              <w14:schemeClr w14:val="tx1"/>
            </w14:solidFill>
          </w14:textFill>
        </w:rPr>
      </w:pPr>
    </w:p>
    <w:p w14:paraId="114B21C8">
      <w:pPr>
        <w:jc w:val="center"/>
        <w:rPr>
          <w:rFonts w:ascii="仿宋" w:hAnsi="仿宋" w:eastAsia="仿宋" w:cs="仿宋"/>
          <w:b/>
          <w:color w:val="000000" w:themeColor="text1"/>
          <w:kern w:val="0"/>
          <w:sz w:val="32"/>
          <w:szCs w:val="32"/>
          <w14:textFill>
            <w14:solidFill>
              <w14:schemeClr w14:val="tx1"/>
            </w14:solidFill>
          </w14:textFill>
        </w:rPr>
      </w:pPr>
    </w:p>
    <w:p w14:paraId="0A5BB533">
      <w:pPr>
        <w:jc w:val="center"/>
        <w:rPr>
          <w:rFonts w:ascii="仿宋" w:hAnsi="仿宋" w:eastAsia="仿宋" w:cs="仿宋"/>
          <w:b/>
          <w:color w:val="000000" w:themeColor="text1"/>
          <w:kern w:val="0"/>
          <w:sz w:val="32"/>
          <w:szCs w:val="32"/>
          <w14:textFill>
            <w14:solidFill>
              <w14:schemeClr w14:val="tx1"/>
            </w14:solidFill>
          </w14:textFill>
        </w:rPr>
      </w:pPr>
    </w:p>
    <w:p w14:paraId="7B431A33">
      <w:pPr>
        <w:jc w:val="center"/>
        <w:rPr>
          <w:rFonts w:ascii="仿宋" w:hAnsi="仿宋" w:eastAsia="仿宋" w:cs="仿宋"/>
          <w:b/>
          <w:color w:val="000000" w:themeColor="text1"/>
          <w:kern w:val="0"/>
          <w:sz w:val="32"/>
          <w:szCs w:val="32"/>
          <w14:textFill>
            <w14:solidFill>
              <w14:schemeClr w14:val="tx1"/>
            </w14:solidFill>
          </w14:textFill>
        </w:rPr>
      </w:pPr>
    </w:p>
    <w:p w14:paraId="58510AF7">
      <w:pPr>
        <w:jc w:val="center"/>
        <w:rPr>
          <w:rFonts w:ascii="仿宋" w:hAnsi="仿宋" w:eastAsia="仿宋" w:cs="仿宋"/>
          <w:b/>
          <w:color w:val="000000" w:themeColor="text1"/>
          <w:kern w:val="0"/>
          <w:sz w:val="32"/>
          <w:szCs w:val="32"/>
          <w14:textFill>
            <w14:solidFill>
              <w14:schemeClr w14:val="tx1"/>
            </w14:solidFill>
          </w14:textFill>
        </w:rPr>
      </w:pPr>
    </w:p>
    <w:p w14:paraId="381E8A0F">
      <w:pPr>
        <w:jc w:val="center"/>
        <w:rPr>
          <w:rFonts w:ascii="仿宋" w:hAnsi="仿宋" w:eastAsia="仿宋" w:cs="仿宋"/>
          <w:b/>
          <w:color w:val="000000" w:themeColor="text1"/>
          <w:kern w:val="0"/>
          <w:sz w:val="32"/>
          <w:szCs w:val="32"/>
          <w14:textFill>
            <w14:solidFill>
              <w14:schemeClr w14:val="tx1"/>
            </w14:solidFill>
          </w14:textFill>
        </w:rPr>
      </w:pPr>
    </w:p>
    <w:p w14:paraId="06A3439C">
      <w:pPr>
        <w:jc w:val="center"/>
        <w:rPr>
          <w:rFonts w:ascii="仿宋" w:hAnsi="仿宋" w:eastAsia="仿宋" w:cs="仿宋"/>
          <w:b/>
          <w:color w:val="000000" w:themeColor="text1"/>
          <w:kern w:val="0"/>
          <w:sz w:val="32"/>
          <w:szCs w:val="32"/>
          <w14:textFill>
            <w14:solidFill>
              <w14:schemeClr w14:val="tx1"/>
            </w14:solidFill>
          </w14:textFill>
        </w:rPr>
      </w:pPr>
    </w:p>
    <w:p w14:paraId="40656933">
      <w:pPr>
        <w:jc w:val="center"/>
        <w:rPr>
          <w:rFonts w:ascii="仿宋" w:hAnsi="仿宋" w:eastAsia="仿宋" w:cs="仿宋"/>
          <w:b/>
          <w:color w:val="000000" w:themeColor="text1"/>
          <w:kern w:val="0"/>
          <w:sz w:val="32"/>
          <w:szCs w:val="32"/>
          <w14:textFill>
            <w14:solidFill>
              <w14:schemeClr w14:val="tx1"/>
            </w14:solidFill>
          </w14:textFill>
        </w:rPr>
      </w:pPr>
    </w:p>
    <w:p w14:paraId="0D81A5D8">
      <w:pPr>
        <w:jc w:val="center"/>
        <w:rPr>
          <w:rFonts w:ascii="仿宋" w:hAnsi="仿宋" w:eastAsia="仿宋" w:cs="仿宋"/>
          <w:b/>
          <w:color w:val="000000" w:themeColor="text1"/>
          <w:kern w:val="0"/>
          <w:sz w:val="32"/>
          <w:szCs w:val="32"/>
          <w14:textFill>
            <w14:solidFill>
              <w14:schemeClr w14:val="tx1"/>
            </w14:solidFill>
          </w14:textFill>
        </w:rPr>
      </w:pPr>
    </w:p>
    <w:p w14:paraId="41C3FA8E">
      <w:pPr>
        <w:jc w:val="center"/>
        <w:rPr>
          <w:rFonts w:ascii="仿宋" w:hAnsi="仿宋" w:eastAsia="仿宋" w:cs="仿宋"/>
          <w:b/>
          <w:color w:val="000000" w:themeColor="text1"/>
          <w:kern w:val="0"/>
          <w:sz w:val="32"/>
          <w:szCs w:val="32"/>
          <w14:textFill>
            <w14:solidFill>
              <w14:schemeClr w14:val="tx1"/>
            </w14:solidFill>
          </w14:textFill>
        </w:rPr>
      </w:pPr>
    </w:p>
    <w:p w14:paraId="166FDE13">
      <w:pPr>
        <w:jc w:val="center"/>
        <w:rPr>
          <w:rFonts w:ascii="仿宋" w:hAnsi="仿宋" w:eastAsia="仿宋" w:cs="仿宋"/>
          <w:b/>
          <w:color w:val="000000" w:themeColor="text1"/>
          <w:kern w:val="0"/>
          <w:sz w:val="32"/>
          <w:szCs w:val="32"/>
          <w14:textFill>
            <w14:solidFill>
              <w14:schemeClr w14:val="tx1"/>
            </w14:solidFill>
          </w14:textFill>
        </w:rPr>
      </w:pPr>
    </w:p>
    <w:p w14:paraId="5CA73320">
      <w:pPr>
        <w:jc w:val="center"/>
        <w:rPr>
          <w:rFonts w:ascii="仿宋" w:hAnsi="仿宋" w:eastAsia="仿宋" w:cs="仿宋"/>
          <w:b/>
          <w:color w:val="000000" w:themeColor="text1"/>
          <w:kern w:val="0"/>
          <w:sz w:val="32"/>
          <w:szCs w:val="32"/>
          <w14:textFill>
            <w14:solidFill>
              <w14:schemeClr w14:val="tx1"/>
            </w14:solidFill>
          </w14:textFill>
        </w:rPr>
      </w:pPr>
    </w:p>
    <w:p w14:paraId="1561439F">
      <w:pPr>
        <w:jc w:val="center"/>
        <w:rPr>
          <w:rFonts w:ascii="仿宋" w:hAnsi="仿宋" w:eastAsia="仿宋" w:cs="仿宋"/>
          <w:b/>
          <w:color w:val="000000" w:themeColor="text1"/>
          <w:kern w:val="0"/>
          <w:sz w:val="32"/>
          <w:szCs w:val="32"/>
          <w14:textFill>
            <w14:solidFill>
              <w14:schemeClr w14:val="tx1"/>
            </w14:solidFill>
          </w14:textFill>
        </w:rPr>
      </w:pPr>
    </w:p>
    <w:p w14:paraId="4F6BDAF1">
      <w:pPr>
        <w:jc w:val="center"/>
        <w:rPr>
          <w:rFonts w:ascii="仿宋" w:hAnsi="仿宋" w:eastAsia="仿宋" w:cs="仿宋"/>
          <w:b/>
          <w:color w:val="000000" w:themeColor="text1"/>
          <w:kern w:val="0"/>
          <w:sz w:val="32"/>
          <w:szCs w:val="32"/>
          <w14:textFill>
            <w14:solidFill>
              <w14:schemeClr w14:val="tx1"/>
            </w14:solidFill>
          </w14:textFill>
        </w:rPr>
      </w:pPr>
    </w:p>
    <w:p w14:paraId="77BB2185">
      <w:pPr>
        <w:jc w:val="center"/>
        <w:rPr>
          <w:rFonts w:ascii="仿宋" w:hAnsi="仿宋" w:eastAsia="仿宋" w:cs="仿宋"/>
          <w:b/>
          <w:color w:val="000000" w:themeColor="text1"/>
          <w:kern w:val="0"/>
          <w:sz w:val="32"/>
          <w:szCs w:val="32"/>
          <w14:textFill>
            <w14:solidFill>
              <w14:schemeClr w14:val="tx1"/>
            </w14:solidFill>
          </w14:textFill>
        </w:rPr>
      </w:pPr>
    </w:p>
    <w:p w14:paraId="6101E094">
      <w:pPr>
        <w:jc w:val="center"/>
        <w:rPr>
          <w:rFonts w:ascii="仿宋" w:hAnsi="仿宋" w:eastAsia="仿宋" w:cs="仿宋"/>
          <w:b/>
          <w:color w:val="000000" w:themeColor="text1"/>
          <w:kern w:val="0"/>
          <w:sz w:val="32"/>
          <w:szCs w:val="32"/>
          <w14:textFill>
            <w14:solidFill>
              <w14:schemeClr w14:val="tx1"/>
            </w14:solidFill>
          </w14:textFill>
        </w:rPr>
      </w:pPr>
    </w:p>
    <w:p w14:paraId="201171F2">
      <w:pPr>
        <w:jc w:val="center"/>
        <w:rPr>
          <w:rFonts w:ascii="仿宋" w:hAnsi="仿宋" w:eastAsia="仿宋" w:cs="仿宋"/>
          <w:b/>
          <w:color w:val="000000" w:themeColor="text1"/>
          <w:kern w:val="0"/>
          <w:sz w:val="32"/>
          <w:szCs w:val="32"/>
          <w14:textFill>
            <w14:solidFill>
              <w14:schemeClr w14:val="tx1"/>
            </w14:solidFill>
          </w14:textFill>
        </w:rPr>
      </w:pPr>
    </w:p>
    <w:p w14:paraId="584D2522">
      <w:pPr>
        <w:jc w:val="center"/>
        <w:rPr>
          <w:rFonts w:ascii="仿宋" w:hAnsi="仿宋" w:eastAsia="仿宋" w:cs="仿宋"/>
          <w:b/>
          <w:color w:val="000000" w:themeColor="text1"/>
          <w:kern w:val="0"/>
          <w:sz w:val="32"/>
          <w:szCs w:val="32"/>
          <w14:textFill>
            <w14:solidFill>
              <w14:schemeClr w14:val="tx1"/>
            </w14:solidFill>
          </w14:textFill>
        </w:rPr>
      </w:pPr>
    </w:p>
    <w:p w14:paraId="2296697D">
      <w:pPr>
        <w:jc w:val="center"/>
        <w:rPr>
          <w:rFonts w:ascii="仿宋" w:hAnsi="仿宋" w:eastAsia="仿宋" w:cs="仿宋"/>
          <w:b/>
          <w:color w:val="000000" w:themeColor="text1"/>
          <w:kern w:val="0"/>
          <w:sz w:val="32"/>
          <w:szCs w:val="32"/>
          <w14:textFill>
            <w14:solidFill>
              <w14:schemeClr w14:val="tx1"/>
            </w14:solidFill>
          </w14:textFill>
        </w:rPr>
      </w:pPr>
    </w:p>
    <w:p w14:paraId="7F59959B">
      <w:pPr>
        <w:jc w:val="center"/>
        <w:rPr>
          <w:rFonts w:ascii="仿宋" w:hAnsi="仿宋" w:eastAsia="仿宋" w:cs="仿宋"/>
          <w:b/>
          <w:color w:val="000000" w:themeColor="text1"/>
          <w:kern w:val="0"/>
          <w:sz w:val="32"/>
          <w:szCs w:val="32"/>
          <w14:textFill>
            <w14:solidFill>
              <w14:schemeClr w14:val="tx1"/>
            </w14:solidFill>
          </w14:textFill>
        </w:rPr>
      </w:pPr>
    </w:p>
    <w:p w14:paraId="2308C4AB">
      <w:pPr>
        <w:jc w:val="center"/>
        <w:rPr>
          <w:rFonts w:ascii="仿宋" w:hAnsi="仿宋" w:eastAsia="仿宋" w:cs="仿宋"/>
          <w:b/>
          <w:color w:val="000000" w:themeColor="text1"/>
          <w:kern w:val="0"/>
          <w:sz w:val="32"/>
          <w:szCs w:val="32"/>
          <w14:textFill>
            <w14:solidFill>
              <w14:schemeClr w14:val="tx1"/>
            </w14:solidFill>
          </w14:textFill>
        </w:rPr>
      </w:pPr>
      <w:r>
        <w:rPr>
          <w:rFonts w:hint="eastAsia" w:ascii="仿宋" w:hAnsi="仿宋" w:eastAsia="仿宋" w:cs="仿宋"/>
          <w:b/>
          <w:color w:val="000000" w:themeColor="text1"/>
          <w:kern w:val="0"/>
          <w:sz w:val="32"/>
          <w:szCs w:val="32"/>
          <w14:textFill>
            <w14:solidFill>
              <w14:schemeClr w14:val="tx1"/>
            </w14:solidFill>
          </w14:textFill>
        </w:rPr>
        <w:br w:type="page"/>
      </w:r>
      <w:bookmarkStart w:id="568" w:name="_Toc14086"/>
      <w:bookmarkStart w:id="569" w:name="_Toc27369"/>
      <w:bookmarkStart w:id="570" w:name="_Toc1742200591"/>
      <w:r>
        <w:rPr>
          <w:rFonts w:hint="eastAsia" w:ascii="仿宋" w:hAnsi="仿宋" w:eastAsia="仿宋" w:cs="仿宋"/>
          <w:b/>
          <w:color w:val="000000" w:themeColor="text1"/>
          <w:kern w:val="0"/>
          <w:sz w:val="32"/>
          <w:szCs w:val="32"/>
          <w14:textFill>
            <w14:solidFill>
              <w14:schemeClr w14:val="tx1"/>
            </w14:solidFill>
          </w14:textFill>
        </w:rPr>
        <w:t>四、商务技术偏离表</w:t>
      </w:r>
      <w:bookmarkEnd w:id="568"/>
      <w:bookmarkEnd w:id="569"/>
      <w:bookmarkEnd w:id="570"/>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56"/>
        <w:gridCol w:w="3219"/>
        <w:gridCol w:w="1822"/>
        <w:gridCol w:w="1735"/>
      </w:tblGrid>
      <w:tr w14:paraId="607A5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26D8B92">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序号</w:t>
            </w:r>
          </w:p>
        </w:tc>
        <w:tc>
          <w:tcPr>
            <w:tcW w:w="1656" w:type="dxa"/>
            <w:vAlign w:val="center"/>
          </w:tcPr>
          <w:p w14:paraId="5F902366">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采购文件要求</w:t>
            </w:r>
          </w:p>
        </w:tc>
        <w:tc>
          <w:tcPr>
            <w:tcW w:w="3219" w:type="dxa"/>
            <w:vAlign w:val="center"/>
          </w:tcPr>
          <w:p w14:paraId="37AAE535">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响应文件对应规范</w:t>
            </w:r>
          </w:p>
        </w:tc>
        <w:tc>
          <w:tcPr>
            <w:tcW w:w="1822" w:type="dxa"/>
            <w:vAlign w:val="center"/>
          </w:tcPr>
          <w:p w14:paraId="32280456">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是否偏离</w:t>
            </w:r>
          </w:p>
          <w:p w14:paraId="443B282A">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（提供说明）</w:t>
            </w:r>
          </w:p>
        </w:tc>
        <w:tc>
          <w:tcPr>
            <w:tcW w:w="1735" w:type="dxa"/>
            <w:vAlign w:val="center"/>
          </w:tcPr>
          <w:p w14:paraId="2C80B3B1">
            <w:pPr>
              <w:snapToGrid w:val="0"/>
              <w:spacing w:line="400" w:lineRule="exact"/>
              <w:jc w:val="center"/>
              <w:rPr>
                <w:rFonts w:ascii="仿宋" w:hAnsi="仿宋" w:eastAsia="仿宋" w:cs="仿宋"/>
                <w:b/>
                <w:color w:val="000000" w:themeColor="text1"/>
                <w:spacing w:val="-6"/>
                <w:sz w:val="24"/>
                <w14:textFill>
                  <w14:solidFill>
                    <w14:schemeClr w14:val="tx1"/>
                  </w14:solidFill>
                </w14:textFill>
              </w:rPr>
            </w:pPr>
            <w:r>
              <w:rPr>
                <w:rFonts w:hint="eastAsia" w:ascii="仿宋" w:hAnsi="仿宋" w:eastAsia="仿宋" w:cs="仿宋"/>
                <w:b/>
                <w:color w:val="000000" w:themeColor="text1"/>
                <w:spacing w:val="-6"/>
                <w:sz w:val="24"/>
                <w14:textFill>
                  <w14:solidFill>
                    <w14:schemeClr w14:val="tx1"/>
                  </w14:solidFill>
                </w14:textFill>
              </w:rPr>
              <w:t>要求提供的证明材料页码</w:t>
            </w:r>
          </w:p>
        </w:tc>
      </w:tr>
      <w:tr w14:paraId="35C2B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518350E1">
            <w:pPr>
              <w:snapToGrid w:val="0"/>
              <w:spacing w:line="400" w:lineRule="exact"/>
              <w:rPr>
                <w:rFonts w:ascii="仿宋" w:hAnsi="仿宋" w:eastAsia="仿宋" w:cs="仿宋"/>
                <w:color w:val="000000" w:themeColor="text1"/>
                <w:spacing w:val="-6"/>
                <w:sz w:val="24"/>
                <w14:textFill>
                  <w14:solidFill>
                    <w14:schemeClr w14:val="tx1"/>
                  </w14:solidFill>
                </w14:textFill>
              </w:rPr>
            </w:pPr>
            <w:r>
              <w:rPr>
                <w:rFonts w:hint="eastAsia" w:ascii="仿宋" w:hAnsi="仿宋" w:eastAsia="仿宋" w:cs="仿宋"/>
                <w:color w:val="000000" w:themeColor="text1"/>
                <w:spacing w:val="-6"/>
                <w:sz w:val="24"/>
                <w14:textFill>
                  <w14:solidFill>
                    <w14:schemeClr w14:val="tx1"/>
                  </w14:solidFill>
                </w14:textFill>
              </w:rPr>
              <w:t>商务部分</w:t>
            </w:r>
          </w:p>
        </w:tc>
      </w:tr>
      <w:tr w14:paraId="65616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9F0B795">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72BF90EA">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3A274D48">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10CC88C5">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11A7973B">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66DD4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483EDD5">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3447EE41">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468C005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03F5E373">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0B235E1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4438F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A1BCD3">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21D5DCC5">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24833D8C">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59DCDE61">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094C03C3">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00A12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9A0135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6D12CA98">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04F308D5">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7AA67E29">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6042E03B">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4CA51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0BB5E19">
            <w:pPr>
              <w:snapToGrid w:val="0"/>
              <w:spacing w:line="400" w:lineRule="exact"/>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6F15C178">
            <w:pPr>
              <w:snapToGrid w:val="0"/>
              <w:spacing w:line="400" w:lineRule="exact"/>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30ABFC79">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51018CBE">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4381263F">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152EC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741CEFF7">
            <w:pPr>
              <w:snapToGrid w:val="0"/>
              <w:spacing w:line="400" w:lineRule="exact"/>
              <w:rPr>
                <w:rFonts w:ascii="仿宋" w:hAnsi="仿宋" w:eastAsia="仿宋" w:cs="仿宋"/>
                <w:color w:val="000000" w:themeColor="text1"/>
                <w:spacing w:val="-6"/>
                <w:sz w:val="24"/>
                <w14:textFill>
                  <w14:solidFill>
                    <w14:schemeClr w14:val="tx1"/>
                  </w14:solidFill>
                </w14:textFill>
              </w:rPr>
            </w:pPr>
            <w:r>
              <w:rPr>
                <w:rFonts w:hint="eastAsia" w:ascii="仿宋" w:hAnsi="仿宋" w:eastAsia="仿宋" w:cs="仿宋"/>
                <w:color w:val="000000" w:themeColor="text1"/>
                <w:spacing w:val="-6"/>
                <w:sz w:val="24"/>
                <w14:textFill>
                  <w14:solidFill>
                    <w14:schemeClr w14:val="tx1"/>
                  </w14:solidFill>
                </w14:textFill>
              </w:rPr>
              <w:t>技术部分</w:t>
            </w:r>
          </w:p>
        </w:tc>
      </w:tr>
      <w:tr w14:paraId="62EDD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E85BCC4">
            <w:pPr>
              <w:snapToGrid w:val="0"/>
              <w:spacing w:line="400" w:lineRule="exact"/>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2BA7753C">
            <w:pPr>
              <w:snapToGrid w:val="0"/>
              <w:spacing w:line="400" w:lineRule="exact"/>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524943F4">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5FC0DA94">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048E5209">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421E5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9570EEE">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7BE495BA">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0B50F589">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3BE85113">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5A7B2A9B">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15B9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193B934">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3B34B7B6">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7078A751">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5FB7C556">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281A5846">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0A04E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E349D7D">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438AC596">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3DCAEB0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2CA735B9">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25C4CD4E">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r w14:paraId="45A0D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A1EAC22">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656" w:type="dxa"/>
            <w:vAlign w:val="center"/>
          </w:tcPr>
          <w:p w14:paraId="05BE8D9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3219" w:type="dxa"/>
            <w:vAlign w:val="center"/>
          </w:tcPr>
          <w:p w14:paraId="7A4A896F">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822" w:type="dxa"/>
            <w:vAlign w:val="center"/>
          </w:tcPr>
          <w:p w14:paraId="18874E47">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c>
          <w:tcPr>
            <w:tcW w:w="1735" w:type="dxa"/>
            <w:vAlign w:val="center"/>
          </w:tcPr>
          <w:p w14:paraId="19D2C373">
            <w:pPr>
              <w:snapToGrid w:val="0"/>
              <w:spacing w:line="400" w:lineRule="exact"/>
              <w:jc w:val="center"/>
              <w:rPr>
                <w:rFonts w:ascii="仿宋" w:hAnsi="仿宋" w:eastAsia="仿宋" w:cs="仿宋"/>
                <w:color w:val="000000" w:themeColor="text1"/>
                <w:spacing w:val="-6"/>
                <w:sz w:val="24"/>
                <w14:textFill>
                  <w14:solidFill>
                    <w14:schemeClr w14:val="tx1"/>
                  </w14:solidFill>
                </w14:textFill>
              </w:rPr>
            </w:pPr>
          </w:p>
        </w:tc>
      </w:tr>
    </w:tbl>
    <w:p w14:paraId="470FF8B0">
      <w:pPr>
        <w:jc w:val="left"/>
        <w:rPr>
          <w:rFonts w:ascii="仿宋" w:hAnsi="仿宋" w:eastAsia="仿宋" w:cs="仿宋"/>
          <w:color w:val="000000" w:themeColor="text1"/>
          <w:kern w:val="0"/>
          <w:sz w:val="24"/>
          <w14:textFill>
            <w14:solidFill>
              <w14:schemeClr w14:val="tx1"/>
            </w14:solidFill>
          </w14:textFill>
        </w:rPr>
      </w:pPr>
    </w:p>
    <w:p w14:paraId="4AC441F7">
      <w:pPr>
        <w:snapToGrid w:val="0"/>
        <w:spacing w:line="400" w:lineRule="exact"/>
        <w:jc w:val="left"/>
        <w:rPr>
          <w:rFonts w:ascii="仿宋" w:hAnsi="仿宋" w:eastAsia="仿宋" w:cs="仿宋"/>
          <w:b/>
          <w:bCs/>
          <w:color w:val="000000" w:themeColor="text1"/>
          <w:spacing w:val="-6"/>
          <w:sz w:val="24"/>
          <w14:textFill>
            <w14:solidFill>
              <w14:schemeClr w14:val="tx1"/>
            </w14:solidFill>
          </w14:textFill>
        </w:rPr>
      </w:pPr>
      <w:r>
        <w:rPr>
          <w:rFonts w:hint="eastAsia" w:ascii="仿宋" w:hAnsi="仿宋" w:eastAsia="仿宋" w:cs="仿宋"/>
          <w:b/>
          <w:bCs/>
          <w:color w:val="000000" w:themeColor="text1"/>
          <w:spacing w:val="-6"/>
          <w:sz w:val="24"/>
          <w14:textFill>
            <w14:solidFill>
              <w14:schemeClr w14:val="tx1"/>
            </w14:solidFill>
          </w14:textFill>
        </w:rPr>
        <w:t>注意：1.逐项按照采购文件要求填写响应规格；如不填写或留空，则视为完全响应采购文件的要求</w:t>
      </w:r>
      <w:r>
        <w:rPr>
          <w:rFonts w:hint="eastAsia" w:ascii="仿宋" w:hAnsi="仿宋" w:eastAsia="仿宋" w:cs="仿宋"/>
          <w:b/>
          <w:color w:val="000000" w:themeColor="text1"/>
          <w:spacing w:val="-6"/>
          <w:sz w:val="24"/>
          <w14:textFill>
            <w14:solidFill>
              <w14:schemeClr w14:val="tx1"/>
            </w14:solidFill>
          </w14:textFill>
        </w:rPr>
        <w:t>，自行承担磋商响应风险</w:t>
      </w:r>
      <w:r>
        <w:rPr>
          <w:rFonts w:hint="eastAsia" w:ascii="仿宋" w:hAnsi="仿宋" w:eastAsia="仿宋" w:cs="仿宋"/>
          <w:b/>
          <w:bCs/>
          <w:color w:val="000000" w:themeColor="text1"/>
          <w:spacing w:val="-6"/>
          <w:sz w:val="24"/>
          <w:szCs w:val="22"/>
          <w14:textFill>
            <w14:solidFill>
              <w14:schemeClr w14:val="tx1"/>
            </w14:solidFill>
          </w14:textFill>
        </w:rPr>
        <w:t>。</w:t>
      </w:r>
    </w:p>
    <w:p w14:paraId="66238C40">
      <w:pPr>
        <w:snapToGrid w:val="0"/>
        <w:spacing w:line="400" w:lineRule="exact"/>
        <w:ind w:firstLine="687" w:firstLineChars="300"/>
        <w:jc w:val="left"/>
        <w:rPr>
          <w:rFonts w:ascii="仿宋" w:hAnsi="仿宋" w:eastAsia="仿宋" w:cs="仿宋"/>
          <w:b/>
          <w:bCs/>
          <w:color w:val="000000" w:themeColor="text1"/>
          <w:spacing w:val="-6"/>
          <w:sz w:val="24"/>
          <w14:textFill>
            <w14:solidFill>
              <w14:schemeClr w14:val="tx1"/>
            </w14:solidFill>
          </w14:textFill>
        </w:rPr>
      </w:pPr>
      <w:r>
        <w:rPr>
          <w:rFonts w:hint="eastAsia" w:ascii="仿宋" w:hAnsi="仿宋" w:eastAsia="仿宋" w:cs="仿宋"/>
          <w:b/>
          <w:bCs/>
          <w:color w:val="000000" w:themeColor="text1"/>
          <w:spacing w:val="-6"/>
          <w:sz w:val="24"/>
          <w14:textFill>
            <w14:solidFill>
              <w14:schemeClr w14:val="tx1"/>
            </w14:solidFill>
          </w14:textFill>
        </w:rPr>
        <w:t>2.偏离说明是指对采购文件要求存在不同之处的解释说明。偏离系指：正偏离（高于采购需求）、负偏离（低于采购需求或未按采购需求提供相应证明材料的）、无偏离（满足采购需求）；</w:t>
      </w:r>
    </w:p>
    <w:p w14:paraId="7CC86630">
      <w:pPr>
        <w:snapToGrid w:val="0"/>
        <w:spacing w:line="400" w:lineRule="exact"/>
        <w:ind w:firstLine="687" w:firstLineChars="300"/>
        <w:jc w:val="left"/>
        <w:rPr>
          <w:rFonts w:ascii="仿宋" w:hAnsi="仿宋" w:eastAsia="仿宋" w:cs="仿宋"/>
          <w:b/>
          <w:bCs/>
          <w:color w:val="000000" w:themeColor="text1"/>
          <w:spacing w:val="-6"/>
          <w:sz w:val="24"/>
          <w14:textFill>
            <w14:solidFill>
              <w14:schemeClr w14:val="tx1"/>
            </w14:solidFill>
          </w14:textFill>
        </w:rPr>
      </w:pPr>
      <w:r>
        <w:rPr>
          <w:rFonts w:hint="eastAsia" w:ascii="仿宋" w:hAnsi="仿宋" w:eastAsia="仿宋" w:cs="仿宋"/>
          <w:b/>
          <w:bCs/>
          <w:color w:val="000000" w:themeColor="text1"/>
          <w:spacing w:val="-6"/>
          <w:sz w:val="24"/>
          <w14:textFill>
            <w14:solidFill>
              <w14:schemeClr w14:val="tx1"/>
            </w14:solidFill>
          </w14:textFill>
        </w:rPr>
        <w:t>3.建议供应商准备采购需求中要求的证明材料（如证书、检测报告等）条目索引，要求清晰提供的证明材料（如证书、检测报告等），由不清晰或者模糊造成无法判断证明材料是否符合要求的风险由供应商自行承担。</w:t>
      </w:r>
    </w:p>
    <w:p w14:paraId="2F0531B4">
      <w:pPr>
        <w:jc w:val="left"/>
        <w:rPr>
          <w:rFonts w:ascii="仿宋" w:hAnsi="仿宋" w:eastAsia="仿宋" w:cs="仿宋"/>
          <w:color w:val="000000" w:themeColor="text1"/>
          <w:kern w:val="0"/>
          <w:sz w:val="24"/>
          <w14:textFill>
            <w14:solidFill>
              <w14:schemeClr w14:val="tx1"/>
            </w14:solidFill>
          </w14:textFill>
        </w:rPr>
      </w:pPr>
    </w:p>
    <w:p w14:paraId="7550A060">
      <w:pPr>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供应商保证：除商务技术偏离表列出的偏离外，供应商响应采购文件的全部要求</w:t>
      </w:r>
    </w:p>
    <w:p w14:paraId="312588D9">
      <w:pPr>
        <w:jc w:val="center"/>
        <w:rPr>
          <w:rFonts w:ascii="仿宋" w:hAnsi="仿宋" w:eastAsia="仿宋" w:cs="仿宋"/>
          <w:b/>
          <w:color w:val="000000" w:themeColor="text1"/>
          <w:kern w:val="0"/>
          <w:sz w:val="32"/>
          <w:szCs w:val="32"/>
          <w14:textFill>
            <w14:solidFill>
              <w14:schemeClr w14:val="tx1"/>
            </w14:solidFill>
          </w14:textFill>
        </w:rPr>
      </w:pPr>
    </w:p>
    <w:p w14:paraId="07FFBDFC">
      <w:pPr>
        <w:jc w:val="center"/>
        <w:rPr>
          <w:rFonts w:ascii="仿宋" w:hAnsi="仿宋" w:eastAsia="仿宋" w:cs="仿宋"/>
          <w:b/>
          <w:color w:val="000000" w:themeColor="text1"/>
          <w:kern w:val="0"/>
          <w:sz w:val="32"/>
          <w:szCs w:val="32"/>
          <w14:textFill>
            <w14:solidFill>
              <w14:schemeClr w14:val="tx1"/>
            </w14:solidFill>
          </w14:textFill>
        </w:rPr>
      </w:pPr>
    </w:p>
    <w:p w14:paraId="79281528">
      <w:pPr>
        <w:jc w:val="center"/>
        <w:rPr>
          <w:rFonts w:ascii="仿宋" w:hAnsi="仿宋" w:eastAsia="仿宋" w:cs="仿宋"/>
          <w:b/>
          <w:color w:val="000000" w:themeColor="text1"/>
          <w:kern w:val="0"/>
          <w:sz w:val="32"/>
          <w:szCs w:val="32"/>
          <w14:textFill>
            <w14:solidFill>
              <w14:schemeClr w14:val="tx1"/>
            </w14:solidFill>
          </w14:textFill>
        </w:rPr>
      </w:pPr>
    </w:p>
    <w:p w14:paraId="11C08A9B">
      <w:pPr>
        <w:jc w:val="center"/>
        <w:rPr>
          <w:rFonts w:ascii="仿宋" w:hAnsi="仿宋" w:eastAsia="仿宋" w:cs="仿宋"/>
          <w:b/>
          <w:color w:val="000000" w:themeColor="text1"/>
          <w:kern w:val="0"/>
          <w:sz w:val="32"/>
          <w:szCs w:val="32"/>
          <w14:textFill>
            <w14:solidFill>
              <w14:schemeClr w14:val="tx1"/>
            </w14:solidFill>
          </w14:textFill>
        </w:rPr>
      </w:pPr>
    </w:p>
    <w:p w14:paraId="22922584">
      <w:pPr>
        <w:ind w:firstLine="2891" w:firstLineChars="900"/>
        <w:rPr>
          <w:rFonts w:ascii="仿宋" w:hAnsi="仿宋" w:eastAsia="仿宋" w:cs="仿宋"/>
          <w:b/>
          <w:color w:val="000000" w:themeColor="text1"/>
          <w:kern w:val="0"/>
          <w:sz w:val="32"/>
          <w:szCs w:val="32"/>
          <w14:textFill>
            <w14:solidFill>
              <w14:schemeClr w14:val="tx1"/>
            </w14:solidFill>
          </w14:textFill>
        </w:rPr>
      </w:pPr>
    </w:p>
    <w:p w14:paraId="5BB5FE2F">
      <w:pPr>
        <w:ind w:firstLine="1911" w:firstLineChars="595"/>
        <w:rPr>
          <w:rFonts w:ascii="仿宋" w:hAnsi="仿宋" w:eastAsia="仿宋" w:cs="仿宋"/>
          <w:b/>
          <w:color w:val="000000" w:themeColor="text1"/>
          <w:kern w:val="0"/>
          <w:sz w:val="32"/>
          <w:szCs w:val="32"/>
          <w14:textFill>
            <w14:solidFill>
              <w14:schemeClr w14:val="tx1"/>
            </w14:solidFill>
          </w14:textFill>
        </w:rPr>
      </w:pPr>
      <w:bookmarkStart w:id="571" w:name="_Toc225806092"/>
      <w:bookmarkStart w:id="572" w:name="_Toc5278"/>
      <w:bookmarkStart w:id="573" w:name="_Toc15841"/>
      <w:r>
        <w:rPr>
          <w:rFonts w:hint="eastAsia" w:ascii="仿宋" w:hAnsi="仿宋" w:eastAsia="仿宋" w:cs="仿宋"/>
          <w:b/>
          <w:color w:val="000000" w:themeColor="text1"/>
          <w:kern w:val="0"/>
          <w:sz w:val="32"/>
          <w:szCs w:val="32"/>
          <w14:textFill>
            <w14:solidFill>
              <w14:schemeClr w14:val="tx1"/>
            </w14:solidFill>
          </w14:textFill>
        </w:rPr>
        <w:t>五、</w:t>
      </w:r>
      <w:r>
        <w:rPr>
          <w:rFonts w:hint="eastAsia" w:ascii="仿宋" w:hAnsi="仿宋" w:eastAsia="仿宋" w:cs="仿宋"/>
          <w:b/>
          <w:color w:val="000000" w:themeColor="text1"/>
          <w:kern w:val="0"/>
          <w:sz w:val="32"/>
          <w:szCs w:val="32"/>
          <w:lang w:val="zh-CN"/>
          <w14:textFill>
            <w14:solidFill>
              <w14:schemeClr w14:val="tx1"/>
            </w14:solidFill>
          </w14:textFill>
        </w:rPr>
        <w:t>政府采购供应商廉洁自律承诺书</w:t>
      </w:r>
      <w:bookmarkEnd w:id="571"/>
      <w:bookmarkEnd w:id="572"/>
      <w:bookmarkEnd w:id="573"/>
    </w:p>
    <w:p w14:paraId="6FE54AFB">
      <w:pPr>
        <w:snapToGrid w:val="0"/>
        <w:spacing w:line="360" w:lineRule="auto"/>
        <w:rPr>
          <w:rFonts w:ascii="仿宋" w:hAnsi="仿宋" w:eastAsia="仿宋" w:cs="仿宋"/>
          <w:color w:val="000000" w:themeColor="text1"/>
          <w:sz w:val="24"/>
          <w14:textFill>
            <w14:solidFill>
              <w14:schemeClr w14:val="tx1"/>
            </w14:solidFill>
          </w14:textFill>
        </w:rPr>
      </w:pPr>
    </w:p>
    <w:p w14:paraId="4A7A6D54">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温州市公安局、温州历程招标有限公司</w:t>
      </w:r>
      <w:r>
        <w:rPr>
          <w:rFonts w:hint="eastAsia" w:ascii="仿宋" w:hAnsi="仿宋" w:eastAsia="仿宋" w:cs="仿宋"/>
          <w:color w:val="000000" w:themeColor="text1"/>
          <w:kern w:val="0"/>
          <w:sz w:val="24"/>
          <w:lang w:val="zh-CN"/>
          <w14:textFill>
            <w14:solidFill>
              <w14:schemeClr w14:val="tx1"/>
            </w14:solidFill>
          </w14:textFill>
        </w:rPr>
        <w:t>：</w:t>
      </w:r>
    </w:p>
    <w:p w14:paraId="55C109F4">
      <w:pPr>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我单位响应你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项目招标要求参加磋商响应。在这次磋商响应过程中和成交后，我们将严格遵守国家法律法规要求，并郑重承诺：</w:t>
      </w:r>
    </w:p>
    <w:p w14:paraId="69A7B8B2">
      <w:pPr>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14:paraId="62656372">
      <w:pPr>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二、不为项目有关人员及部门报销应由你方单位或个人支付的费用； </w:t>
      </w:r>
    </w:p>
    <w:p w14:paraId="66A503FF">
      <w:pPr>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14:paraId="639749F1">
      <w:pPr>
        <w:autoSpaceDE w:val="0"/>
        <w:autoSpaceDN w:val="0"/>
        <w:spacing w:line="360" w:lineRule="auto"/>
        <w:ind w:left="2" w:leftChars="1"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四、不为项目有关人员及部门出国（境）、旅游等提供方便；</w:t>
      </w:r>
    </w:p>
    <w:p w14:paraId="3DFC8981">
      <w:pPr>
        <w:autoSpaceDE w:val="0"/>
        <w:autoSpaceDN w:val="0"/>
        <w:spacing w:line="360" w:lineRule="auto"/>
        <w:ind w:left="481" w:leftChars="229"/>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五、不为项目有关人员个人装修住房、婚丧嫁娶、配偶子女工作安排等提供</w:t>
      </w:r>
    </w:p>
    <w:p w14:paraId="1C33E35F">
      <w:pPr>
        <w:autoSpaceDE w:val="0"/>
        <w:autoSpaceDN w:val="0"/>
        <w:spacing w:line="360" w:lineRule="auto"/>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好处；</w:t>
      </w:r>
    </w:p>
    <w:p w14:paraId="0DA66E42">
      <w:pPr>
        <w:autoSpaceDE w:val="0"/>
        <w:autoSpaceDN w:val="0"/>
        <w:spacing w:line="360" w:lineRule="auto"/>
        <w:ind w:left="481" w:leftChars="229"/>
        <w:jc w:val="left"/>
        <w:rPr>
          <w:rFonts w:ascii="仿宋" w:hAnsi="仿宋" w:eastAsia="仿宋" w:cs="仿宋"/>
          <w:color w:val="000000" w:themeColor="text1"/>
          <w:kern w:val="0"/>
          <w:sz w:val="24"/>
          <w:lang w:val="zh-CN"/>
          <w14:textFill>
            <w14:solidFill>
              <w14:schemeClr w14:val="tx1"/>
            </w14:solidFill>
          </w14:textFill>
        </w:rPr>
      </w:pPr>
      <w:bookmarkStart w:id="574" w:name="_Toc18160"/>
      <w:bookmarkStart w:id="575" w:name="_Toc8893"/>
      <w:r>
        <w:rPr>
          <w:rFonts w:hint="eastAsia" w:ascii="仿宋" w:hAnsi="仿宋" w:eastAsia="仿宋" w:cs="仿宋"/>
          <w:color w:val="000000" w:themeColor="text1"/>
          <w:kern w:val="0"/>
          <w:sz w:val="24"/>
          <w:lang w:val="zh-CN"/>
          <w14:textFill>
            <w14:solidFill>
              <w14:schemeClr w14:val="tx1"/>
            </w14:solidFill>
          </w14:textFill>
        </w:rPr>
        <w:t>六、严格遵守《</w:t>
      </w:r>
      <w:r>
        <w:rPr>
          <w:rFonts w:hint="eastAsia" w:ascii="仿宋" w:hAnsi="仿宋" w:eastAsia="仿宋" w:cs="仿宋"/>
          <w:color w:val="000000" w:themeColor="text1"/>
          <w:sz w:val="24"/>
          <w:lang w:val="zh-CN"/>
          <w14:textFill>
            <w14:solidFill>
              <w14:schemeClr w14:val="tx1"/>
            </w14:solidFill>
          </w14:textFill>
        </w:rPr>
        <w:t>中华人民共和国</w:t>
      </w:r>
      <w:r>
        <w:rPr>
          <w:rFonts w:hint="eastAsia" w:ascii="仿宋" w:hAnsi="仿宋" w:eastAsia="仿宋" w:cs="仿宋"/>
          <w:color w:val="000000" w:themeColor="text1"/>
          <w:kern w:val="0"/>
          <w:sz w:val="24"/>
          <w:lang w:val="zh-CN"/>
          <w14:textFill>
            <w14:solidFill>
              <w14:schemeClr w14:val="tx1"/>
            </w14:solidFill>
          </w14:textFill>
        </w:rPr>
        <w:t>政府采购法》《</w:t>
      </w:r>
      <w:r>
        <w:rPr>
          <w:rFonts w:hint="eastAsia" w:ascii="仿宋" w:hAnsi="仿宋" w:eastAsia="仿宋" w:cs="仿宋"/>
          <w:color w:val="000000" w:themeColor="text1"/>
          <w:sz w:val="24"/>
          <w:lang w:val="zh-CN"/>
          <w14:textFill>
            <w14:solidFill>
              <w14:schemeClr w14:val="tx1"/>
            </w14:solidFill>
          </w14:textFill>
        </w:rPr>
        <w:t>中华人民共和国</w:t>
      </w:r>
      <w:r>
        <w:rPr>
          <w:rFonts w:hint="eastAsia" w:ascii="仿宋" w:hAnsi="仿宋" w:eastAsia="仿宋" w:cs="仿宋"/>
          <w:color w:val="000000" w:themeColor="text1"/>
          <w:kern w:val="0"/>
          <w:sz w:val="24"/>
          <w:lang w:val="zh-CN"/>
          <w14:textFill>
            <w14:solidFill>
              <w14:schemeClr w14:val="tx1"/>
            </w14:solidFill>
          </w14:textFill>
        </w:rPr>
        <w:t>招标投标</w:t>
      </w:r>
      <w:bookmarkEnd w:id="574"/>
      <w:bookmarkEnd w:id="575"/>
    </w:p>
    <w:p w14:paraId="44E09D0A">
      <w:pPr>
        <w:autoSpaceDE w:val="0"/>
        <w:autoSpaceDN w:val="0"/>
        <w:spacing w:line="360" w:lineRule="auto"/>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法》</w:t>
      </w:r>
      <w:r>
        <w:rPr>
          <w:rFonts w:hint="eastAsia" w:ascii="仿宋" w:hAnsi="仿宋" w:eastAsia="仿宋" w:cs="仿宋"/>
          <w:color w:val="000000" w:themeColor="text1"/>
          <w:sz w:val="24"/>
          <w:lang w:val="zh-CN"/>
          <w14:textFill>
            <w14:solidFill>
              <w14:schemeClr w14:val="tx1"/>
            </w14:solidFill>
          </w14:textFill>
        </w:rPr>
        <w:t>《中华人民共和国民法典》</w:t>
      </w:r>
      <w:r>
        <w:rPr>
          <w:rFonts w:hint="eastAsia" w:ascii="仿宋" w:hAnsi="仿宋" w:eastAsia="仿宋" w:cs="仿宋"/>
          <w:color w:val="000000" w:themeColor="text1"/>
          <w:kern w:val="0"/>
          <w:sz w:val="24"/>
          <w:lang w:val="zh-CN"/>
          <w14:textFill>
            <w14:solidFill>
              <w14:schemeClr w14:val="tx1"/>
            </w14:solidFill>
          </w14:textFill>
        </w:rPr>
        <w:t xml:space="preserve">等法律法规，诚实守信，合法经营，坚决抵制各种违法违纪行为。 </w:t>
      </w:r>
    </w:p>
    <w:p w14:paraId="77F551E9">
      <w:pPr>
        <w:autoSpaceDE w:val="0"/>
        <w:autoSpaceDN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如违反上述承诺，你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有权立即取消我单位磋商响应、成交或在建项目的建设资格，有权拒绝我单位在一定时期内进入你</w:t>
      </w:r>
      <w:r>
        <w:rPr>
          <w:rFonts w:hint="eastAsia" w:ascii="仿宋" w:hAnsi="仿宋" w:eastAsia="仿宋" w:cs="仿宋"/>
          <w:color w:val="000000" w:themeColor="text1"/>
          <w:sz w:val="24"/>
          <w14:textFill>
            <w14:solidFill>
              <w14:schemeClr w14:val="tx1"/>
            </w14:solidFill>
          </w14:textFill>
        </w:rPr>
        <w:t>单位</w:t>
      </w:r>
      <w:r>
        <w:rPr>
          <w:rFonts w:hint="eastAsia" w:ascii="仿宋" w:hAnsi="仿宋" w:eastAsia="仿宋" w:cs="仿宋"/>
          <w:color w:val="000000" w:themeColor="text1"/>
          <w:kern w:val="0"/>
          <w:sz w:val="24"/>
          <w:lang w:val="zh-CN"/>
          <w14:textFill>
            <w14:solidFill>
              <w14:schemeClr w14:val="tx1"/>
            </w14:solidFill>
          </w14:textFill>
        </w:rPr>
        <w:t>进行项目建设或其他经营活动，并通报市财政局。由此引起的相应损失均由我单位承担。</w:t>
      </w:r>
    </w:p>
    <w:p w14:paraId="19544A36">
      <w:pPr>
        <w:autoSpaceDE w:val="0"/>
        <w:autoSpaceDN w:val="0"/>
        <w:spacing w:line="360" w:lineRule="auto"/>
        <w:ind w:left="2"/>
        <w:jc w:val="left"/>
        <w:rPr>
          <w:rFonts w:ascii="仿宋" w:hAnsi="仿宋" w:eastAsia="仿宋" w:cs="仿宋"/>
          <w:color w:val="000000" w:themeColor="text1"/>
          <w:kern w:val="0"/>
          <w:sz w:val="24"/>
          <w:lang w:val="zh-CN"/>
          <w14:textFill>
            <w14:solidFill>
              <w14:schemeClr w14:val="tx1"/>
            </w14:solidFill>
          </w14:textFill>
        </w:rPr>
      </w:pPr>
    </w:p>
    <w:p w14:paraId="51AFC91E">
      <w:pPr>
        <w:autoSpaceDE w:val="0"/>
        <w:autoSpaceDN w:val="0"/>
        <w:spacing w:line="360" w:lineRule="auto"/>
        <w:ind w:left="2"/>
        <w:jc w:val="left"/>
        <w:rPr>
          <w:rFonts w:ascii="仿宋" w:hAnsi="仿宋" w:eastAsia="仿宋" w:cs="仿宋"/>
          <w:color w:val="000000" w:themeColor="text1"/>
          <w:kern w:val="0"/>
          <w:sz w:val="24"/>
          <w:lang w:val="zh-CN"/>
          <w14:textFill>
            <w14:solidFill>
              <w14:schemeClr w14:val="tx1"/>
            </w14:solidFill>
          </w14:textFill>
        </w:rPr>
      </w:pPr>
    </w:p>
    <w:p w14:paraId="5FC35305">
      <w:pPr>
        <w:autoSpaceDE w:val="0"/>
        <w:autoSpaceDN w:val="0"/>
        <w:spacing w:line="360" w:lineRule="auto"/>
        <w:ind w:left="2"/>
        <w:jc w:val="left"/>
        <w:rPr>
          <w:rFonts w:ascii="仿宋" w:hAnsi="仿宋" w:eastAsia="仿宋" w:cs="仿宋"/>
          <w:color w:val="000000" w:themeColor="text1"/>
          <w:kern w:val="0"/>
          <w:sz w:val="24"/>
          <w:lang w:val="zh-CN"/>
          <w14:textFill>
            <w14:solidFill>
              <w14:schemeClr w14:val="tx1"/>
            </w14:solidFill>
          </w14:textFill>
        </w:rPr>
      </w:pPr>
    </w:p>
    <w:p w14:paraId="6354DFD3">
      <w:pPr>
        <w:autoSpaceDE w:val="0"/>
        <w:autoSpaceDN w:val="0"/>
        <w:spacing w:line="360" w:lineRule="auto"/>
        <w:ind w:left="2" w:leftChars="1" w:right="1120" w:firstLine="4560" w:firstLineChars="19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 xml:space="preserve">）：                                                                                                                                                                                                               </w:t>
      </w:r>
    </w:p>
    <w:p w14:paraId="4A1B88E7">
      <w:pPr>
        <w:spacing w:line="360" w:lineRule="auto"/>
        <w:ind w:left="4620" w:leftChars="2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1D5FEB4C">
      <w:pPr>
        <w:spacing w:line="360" w:lineRule="auto"/>
        <w:jc w:val="center"/>
        <w:rPr>
          <w:rFonts w:ascii="仿宋" w:hAnsi="仿宋" w:eastAsia="仿宋" w:cs="仿宋"/>
          <w:b/>
          <w:bCs/>
          <w:color w:val="000000" w:themeColor="text1"/>
          <w:sz w:val="24"/>
          <w14:textFill>
            <w14:solidFill>
              <w14:schemeClr w14:val="tx1"/>
            </w14:solidFill>
          </w14:textFill>
        </w:rPr>
      </w:pPr>
    </w:p>
    <w:p w14:paraId="077F3B26">
      <w:pPr>
        <w:spacing w:line="360" w:lineRule="auto"/>
        <w:jc w:val="center"/>
        <w:rPr>
          <w:rFonts w:ascii="仿宋" w:hAnsi="仿宋" w:eastAsia="仿宋" w:cs="仿宋"/>
          <w:b/>
          <w:bCs/>
          <w:color w:val="000000" w:themeColor="text1"/>
          <w:sz w:val="24"/>
          <w14:textFill>
            <w14:solidFill>
              <w14:schemeClr w14:val="tx1"/>
            </w14:solidFill>
          </w14:textFill>
        </w:rPr>
        <w:sectPr>
          <w:headerReference r:id="rId15" w:type="default"/>
          <w:footerReference r:id="rId16" w:type="default"/>
          <w:pgSz w:w="11906" w:h="16838"/>
          <w:pgMar w:top="1134" w:right="1134" w:bottom="1134" w:left="1134" w:header="851" w:footer="992" w:gutter="0"/>
          <w:cols w:space="720" w:num="1"/>
          <w:docGrid w:linePitch="312" w:charSpace="0"/>
        </w:sectPr>
      </w:pPr>
    </w:p>
    <w:p w14:paraId="4067295B">
      <w:pPr>
        <w:pStyle w:val="3"/>
        <w:jc w:val="center"/>
        <w:rPr>
          <w:rFonts w:ascii="仿宋" w:eastAsia="仿宋" w:cs="仿宋"/>
          <w:b w:val="0"/>
          <w:color w:val="000000" w:themeColor="text1"/>
          <w:kern w:val="0"/>
          <w:szCs w:val="36"/>
          <w14:textFill>
            <w14:solidFill>
              <w14:schemeClr w14:val="tx1"/>
            </w14:solidFill>
          </w14:textFill>
        </w:rPr>
      </w:pPr>
      <w:bookmarkStart w:id="576" w:name="_Toc6801"/>
      <w:bookmarkStart w:id="577" w:name="_Toc13144"/>
      <w:bookmarkStart w:id="578" w:name="_Toc519383995"/>
      <w:r>
        <w:rPr>
          <w:rFonts w:hint="eastAsia" w:ascii="仿宋" w:eastAsia="仿宋" w:cs="仿宋"/>
          <w:color w:val="000000" w:themeColor="text1"/>
          <w14:textFill>
            <w14:solidFill>
              <w14:schemeClr w14:val="tx1"/>
            </w14:solidFill>
          </w14:textFill>
        </w:rPr>
        <w:t>报价文件部分</w:t>
      </w:r>
      <w:bookmarkEnd w:id="576"/>
      <w:bookmarkEnd w:id="577"/>
      <w:bookmarkEnd w:id="578"/>
    </w:p>
    <w:p w14:paraId="50AA699D">
      <w:pPr>
        <w:spacing w:line="360" w:lineRule="auto"/>
        <w:jc w:val="center"/>
        <w:rPr>
          <w:rFonts w:ascii="仿宋" w:hAnsi="仿宋" w:eastAsia="仿宋" w:cs="仿宋"/>
          <w:b/>
          <w:color w:val="000000" w:themeColor="text1"/>
          <w:kern w:val="0"/>
          <w:sz w:val="36"/>
          <w:szCs w:val="36"/>
          <w14:textFill>
            <w14:solidFill>
              <w14:schemeClr w14:val="tx1"/>
            </w14:solidFill>
          </w14:textFill>
        </w:rPr>
      </w:pPr>
      <w:bookmarkStart w:id="579" w:name="_Toc14052"/>
      <w:bookmarkStart w:id="580" w:name="_Toc9713"/>
      <w:bookmarkStart w:id="581" w:name="_Toc24830"/>
      <w:r>
        <w:rPr>
          <w:rFonts w:hint="eastAsia" w:ascii="仿宋" w:hAnsi="仿宋" w:eastAsia="仿宋" w:cs="仿宋"/>
          <w:b/>
          <w:color w:val="000000" w:themeColor="text1"/>
          <w:kern w:val="0"/>
          <w:sz w:val="36"/>
          <w:szCs w:val="36"/>
          <w14:textFill>
            <w14:solidFill>
              <w14:schemeClr w14:val="tx1"/>
            </w14:solidFill>
          </w14:textFill>
        </w:rPr>
        <w:t>目录</w:t>
      </w:r>
      <w:bookmarkEnd w:id="579"/>
      <w:bookmarkEnd w:id="580"/>
      <w:bookmarkEnd w:id="581"/>
    </w:p>
    <w:p w14:paraId="34A298E8">
      <w:pPr>
        <w:spacing w:line="360" w:lineRule="auto"/>
        <w:jc w:val="center"/>
        <w:rPr>
          <w:rFonts w:ascii="仿宋" w:hAnsi="仿宋" w:eastAsia="仿宋" w:cs="仿宋"/>
          <w:b/>
          <w:color w:val="000000" w:themeColor="text1"/>
          <w:kern w:val="0"/>
          <w:sz w:val="36"/>
          <w:szCs w:val="36"/>
          <w14:textFill>
            <w14:solidFill>
              <w14:schemeClr w14:val="tx1"/>
            </w14:solidFill>
          </w14:textFill>
        </w:rPr>
      </w:pPr>
    </w:p>
    <w:p w14:paraId="5CD0D332">
      <w:pPr>
        <w:numPr>
          <w:ilvl w:val="0"/>
          <w:numId w:val="9"/>
        </w:num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报价一览表………………………………………………………（页码）</w:t>
      </w:r>
    </w:p>
    <w:p w14:paraId="524319FA">
      <w:pPr>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（2）分项报价表 ………………………………………………………（页码）</w:t>
      </w:r>
    </w:p>
    <w:p w14:paraId="73486C7A">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C766A4C">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25D8C7B1">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871A23A">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A694525">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38E4728">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44C6B2E">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2B8662F">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7734BB77">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D08AC62">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10CA0897">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1B84C4B">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06539F02">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5107C753">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32768C73">
      <w:pPr>
        <w:snapToGrid w:val="0"/>
        <w:spacing w:line="360" w:lineRule="auto"/>
        <w:ind w:right="480"/>
        <w:jc w:val="center"/>
        <w:rPr>
          <w:rFonts w:ascii="仿宋" w:hAnsi="仿宋" w:eastAsia="仿宋" w:cs="仿宋"/>
          <w:b/>
          <w:color w:val="000000" w:themeColor="text1"/>
          <w:kern w:val="0"/>
          <w:sz w:val="32"/>
          <w:szCs w:val="32"/>
          <w14:textFill>
            <w14:solidFill>
              <w14:schemeClr w14:val="tx1"/>
            </w14:solidFill>
          </w14:textFill>
        </w:rPr>
      </w:pPr>
    </w:p>
    <w:p w14:paraId="16DD1C38">
      <w:pPr>
        <w:pStyle w:val="33"/>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14:textFill>
            <w14:solidFill>
              <w14:schemeClr w14:val="tx1"/>
            </w14:solidFill>
          </w14:textFill>
        </w:rPr>
        <w:sectPr>
          <w:footerReference r:id="rId19" w:type="first"/>
          <w:headerReference r:id="rId17" w:type="default"/>
          <w:footerReference r:id="rId18" w:type="default"/>
          <w:pgSz w:w="11906" w:h="16838"/>
          <w:pgMar w:top="1440" w:right="1080" w:bottom="1440" w:left="1080" w:header="851" w:footer="992" w:gutter="0"/>
          <w:cols w:space="720" w:num="1"/>
          <w:titlePg/>
          <w:docGrid w:linePitch="312" w:charSpace="0"/>
        </w:sectPr>
      </w:pPr>
    </w:p>
    <w:p w14:paraId="0515E6C6">
      <w:pPr>
        <w:pStyle w:val="33"/>
        <w:keepNext w:val="0"/>
        <w:pageBreakBefore w:val="0"/>
        <w:tabs>
          <w:tab w:val="clear" w:pos="720"/>
        </w:tabs>
        <w:snapToGrid w:val="0"/>
        <w:spacing w:before="120" w:after="120"/>
        <w:ind w:firstLine="641"/>
        <w:outlineLvl w:val="9"/>
        <w:rPr>
          <w:rFonts w:ascii="仿宋" w:hAnsi="仿宋" w:eastAsia="仿宋" w:cs="仿宋"/>
          <w:color w:val="000000" w:themeColor="text1"/>
          <w:kern w:val="2"/>
          <w:sz w:val="32"/>
          <w:szCs w:val="32"/>
          <w14:textFill>
            <w14:solidFill>
              <w14:schemeClr w14:val="tx1"/>
            </w14:solidFill>
          </w14:textFill>
        </w:rPr>
      </w:pPr>
      <w:bookmarkStart w:id="582" w:name="_Toc17889"/>
      <w:bookmarkStart w:id="583" w:name="_Toc23337"/>
      <w:bookmarkStart w:id="584" w:name="_Toc24274"/>
      <w:bookmarkStart w:id="585" w:name="_Toc13615"/>
      <w:bookmarkStart w:id="586" w:name="_Toc1913262557"/>
      <w:bookmarkStart w:id="587" w:name="_Toc402"/>
      <w:r>
        <w:rPr>
          <w:rFonts w:hint="eastAsia" w:ascii="仿宋" w:hAnsi="仿宋" w:eastAsia="仿宋" w:cs="仿宋"/>
          <w:color w:val="000000" w:themeColor="text1"/>
          <w:kern w:val="2"/>
          <w:sz w:val="32"/>
          <w:szCs w:val="32"/>
          <w14:textFill>
            <w14:solidFill>
              <w14:schemeClr w14:val="tx1"/>
            </w14:solidFill>
          </w14:textFill>
        </w:rPr>
        <w:t>一、</w:t>
      </w:r>
      <w:bookmarkEnd w:id="582"/>
      <w:bookmarkEnd w:id="583"/>
      <w:bookmarkEnd w:id="584"/>
      <w:r>
        <w:rPr>
          <w:rFonts w:hint="eastAsia" w:ascii="仿宋" w:hAnsi="仿宋" w:eastAsia="仿宋" w:cs="仿宋"/>
          <w:color w:val="000000" w:themeColor="text1"/>
          <w:kern w:val="2"/>
          <w:sz w:val="32"/>
          <w:szCs w:val="32"/>
          <w14:textFill>
            <w14:solidFill>
              <w14:schemeClr w14:val="tx1"/>
            </w14:solidFill>
          </w14:textFill>
        </w:rPr>
        <w:t>报价一览表（初次报价）</w:t>
      </w:r>
      <w:bookmarkEnd w:id="585"/>
      <w:bookmarkEnd w:id="586"/>
      <w:bookmarkEnd w:id="587"/>
    </w:p>
    <w:p w14:paraId="3442DD72">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温州市公安局、温州历程招标有限公司</w:t>
      </w:r>
      <w:r>
        <w:rPr>
          <w:rFonts w:hint="eastAsia" w:ascii="仿宋" w:hAnsi="仿宋" w:eastAsia="仿宋" w:cs="仿宋"/>
          <w:color w:val="000000" w:themeColor="text1"/>
          <w:kern w:val="0"/>
          <w:sz w:val="24"/>
          <w:lang w:val="zh-CN"/>
          <w14:textFill>
            <w14:solidFill>
              <w14:schemeClr w14:val="tx1"/>
            </w14:solidFill>
          </w14:textFill>
        </w:rPr>
        <w:t>：</w:t>
      </w:r>
    </w:p>
    <w:p w14:paraId="04363C01">
      <w:pPr>
        <w:snapToGrid w:val="0"/>
        <w:spacing w:line="360" w:lineRule="auto"/>
        <w:ind w:firstLine="482"/>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按你方采购文件要求，我们，本响应文件签字方，谨此向你方发出要约如下：如你方接受本磋商响应，我方承诺按照如下报价一览表的价格完成</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kern w:val="0"/>
          <w:sz w:val="24"/>
          <w:lang w:val="zh-CN"/>
          <w14:textFill>
            <w14:solidFill>
              <w14:schemeClr w14:val="tx1"/>
            </w14:solidFill>
          </w14:textFill>
        </w:rPr>
        <w:t>【招标编号：</w:t>
      </w:r>
      <w:r>
        <w:rPr>
          <w:rFonts w:hint="eastAsia" w:ascii="仿宋" w:hAnsi="仿宋" w:eastAsia="仿宋" w:cs="仿宋"/>
          <w:color w:val="000000" w:themeColor="text1"/>
          <w:sz w:val="24"/>
          <w:lang w:eastAsia="zh-CN"/>
          <w14:textFill>
            <w14:solidFill>
              <w14:schemeClr w14:val="tx1"/>
            </w14:solidFill>
          </w14:textFill>
        </w:rPr>
        <w:t>WZLCZB（W）-2025-03089</w:t>
      </w:r>
      <w:r>
        <w:rPr>
          <w:rFonts w:hint="eastAsia" w:ascii="仿宋" w:hAnsi="仿宋" w:eastAsia="仿宋" w:cs="仿宋"/>
          <w:color w:val="000000" w:themeColor="text1"/>
          <w:sz w:val="24"/>
          <w14:textFill>
            <w14:solidFill>
              <w14:schemeClr w14:val="tx1"/>
            </w14:solidFill>
          </w14:textFill>
        </w:rPr>
        <w:t>】的实施</w:t>
      </w:r>
      <w:r>
        <w:rPr>
          <w:rFonts w:hint="eastAsia" w:ascii="仿宋" w:hAnsi="仿宋" w:eastAsia="仿宋" w:cs="仿宋"/>
          <w:color w:val="000000" w:themeColor="text1"/>
          <w:kern w:val="0"/>
          <w:sz w:val="24"/>
          <w:lang w:val="zh-CN"/>
          <w14:textFill>
            <w14:solidFill>
              <w14:schemeClr w14:val="tx1"/>
            </w14:solidFill>
          </w14:textFill>
        </w:rPr>
        <w:t>。</w:t>
      </w:r>
    </w:p>
    <w:tbl>
      <w:tblPr>
        <w:tblStyle w:val="20"/>
        <w:tblW w:w="0" w:type="auto"/>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986"/>
        <w:gridCol w:w="3236"/>
        <w:gridCol w:w="5671"/>
      </w:tblGrid>
      <w:tr w14:paraId="6D44735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59" w:hRule="atLeast"/>
        </w:trPr>
        <w:tc>
          <w:tcPr>
            <w:tcW w:w="986" w:type="dxa"/>
            <w:tcMar>
              <w:top w:w="0" w:type="dxa"/>
              <w:left w:w="108" w:type="dxa"/>
              <w:bottom w:w="0" w:type="dxa"/>
              <w:right w:w="108" w:type="dxa"/>
            </w:tcMar>
            <w:vAlign w:val="center"/>
          </w:tcPr>
          <w:p w14:paraId="2FA8A0D2">
            <w:pPr>
              <w:widowControl/>
              <w:spacing w:before="60" w:after="60"/>
              <w:ind w:left="60" w:right="60"/>
              <w:jc w:val="center"/>
              <w:rPr>
                <w:rFonts w:ascii="仿宋" w:hAnsi="仿宋" w:eastAsia="仿宋" w:cs="仿宋"/>
                <w:b/>
                <w:color w:val="000000" w:themeColor="text1"/>
                <w:kern w:val="0"/>
                <w:sz w:val="22"/>
                <w:szCs w:val="22"/>
                <w14:textFill>
                  <w14:solidFill>
                    <w14:schemeClr w14:val="tx1"/>
                  </w14:solidFill>
                </w14:textFill>
              </w:rPr>
            </w:pPr>
            <w:r>
              <w:rPr>
                <w:rFonts w:hint="eastAsia" w:ascii="仿宋" w:hAnsi="仿宋" w:eastAsia="仿宋" w:cs="仿宋"/>
                <w:b/>
                <w:color w:val="000000" w:themeColor="text1"/>
                <w:kern w:val="0"/>
                <w:sz w:val="22"/>
                <w:szCs w:val="22"/>
                <w14:textFill>
                  <w14:solidFill>
                    <w14:schemeClr w14:val="tx1"/>
                  </w14:solidFill>
                </w14:textFill>
              </w:rPr>
              <w:t>序号</w:t>
            </w:r>
          </w:p>
        </w:tc>
        <w:tc>
          <w:tcPr>
            <w:tcW w:w="3236" w:type="dxa"/>
            <w:tcMar>
              <w:top w:w="0" w:type="dxa"/>
              <w:left w:w="108" w:type="dxa"/>
              <w:bottom w:w="0" w:type="dxa"/>
              <w:right w:w="108" w:type="dxa"/>
            </w:tcMar>
            <w:vAlign w:val="center"/>
          </w:tcPr>
          <w:p w14:paraId="732E6370">
            <w:pPr>
              <w:widowControl/>
              <w:spacing w:before="60" w:after="60"/>
              <w:ind w:left="60" w:right="60"/>
              <w:jc w:val="center"/>
              <w:rPr>
                <w:rFonts w:ascii="仿宋" w:hAnsi="仿宋" w:eastAsia="仿宋" w:cs="仿宋"/>
                <w:b/>
                <w:color w:val="000000" w:themeColor="text1"/>
                <w:kern w:val="0"/>
                <w:sz w:val="22"/>
                <w:szCs w:val="22"/>
                <w14:textFill>
                  <w14:solidFill>
                    <w14:schemeClr w14:val="tx1"/>
                  </w14:solidFill>
                </w14:textFill>
              </w:rPr>
            </w:pPr>
            <w:r>
              <w:rPr>
                <w:rFonts w:hint="eastAsia" w:ascii="仿宋" w:hAnsi="仿宋" w:eastAsia="仿宋" w:cs="仿宋"/>
                <w:b/>
                <w:color w:val="000000" w:themeColor="text1"/>
                <w:kern w:val="0"/>
                <w:sz w:val="22"/>
                <w:szCs w:val="22"/>
                <w14:textFill>
                  <w14:solidFill>
                    <w14:schemeClr w14:val="tx1"/>
                  </w14:solidFill>
                </w14:textFill>
              </w:rPr>
              <w:t>内容</w:t>
            </w:r>
          </w:p>
        </w:tc>
        <w:tc>
          <w:tcPr>
            <w:tcW w:w="5671" w:type="dxa"/>
            <w:tcMar>
              <w:top w:w="0" w:type="dxa"/>
              <w:left w:w="108" w:type="dxa"/>
              <w:bottom w:w="0" w:type="dxa"/>
              <w:right w:w="108" w:type="dxa"/>
            </w:tcMar>
            <w:vAlign w:val="center"/>
          </w:tcPr>
          <w:p w14:paraId="55A9C702">
            <w:pPr>
              <w:widowControl/>
              <w:spacing w:before="60" w:after="60"/>
              <w:ind w:left="60" w:right="60"/>
              <w:jc w:val="center"/>
              <w:rPr>
                <w:rFonts w:ascii="仿宋" w:hAnsi="仿宋" w:eastAsia="仿宋" w:cs="仿宋"/>
                <w:b/>
                <w:color w:val="000000" w:themeColor="text1"/>
                <w:kern w:val="0"/>
                <w:sz w:val="22"/>
                <w:szCs w:val="22"/>
                <w14:textFill>
                  <w14:solidFill>
                    <w14:schemeClr w14:val="tx1"/>
                  </w14:solidFill>
                </w14:textFill>
              </w:rPr>
            </w:pPr>
            <w:r>
              <w:rPr>
                <w:rFonts w:hint="eastAsia" w:ascii="仿宋" w:hAnsi="仿宋" w:eastAsia="仿宋" w:cs="仿宋"/>
                <w:b/>
                <w:color w:val="000000" w:themeColor="text1"/>
                <w:kern w:val="0"/>
                <w:sz w:val="22"/>
                <w:szCs w:val="22"/>
                <w14:textFill>
                  <w14:solidFill>
                    <w14:schemeClr w14:val="tx1"/>
                  </w14:solidFill>
                </w14:textFill>
              </w:rPr>
              <w:t>报价</w:t>
            </w:r>
          </w:p>
        </w:tc>
      </w:tr>
      <w:tr w14:paraId="1A9CF22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16" w:hRule="atLeast"/>
        </w:trPr>
        <w:tc>
          <w:tcPr>
            <w:tcW w:w="986" w:type="dxa"/>
            <w:tcMar>
              <w:top w:w="0" w:type="dxa"/>
              <w:left w:w="108" w:type="dxa"/>
              <w:bottom w:w="0" w:type="dxa"/>
              <w:right w:w="108" w:type="dxa"/>
            </w:tcMar>
            <w:vAlign w:val="center"/>
          </w:tcPr>
          <w:p w14:paraId="760A963E">
            <w:pPr>
              <w:widowControl/>
              <w:spacing w:before="60" w:after="6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3236" w:type="dxa"/>
            <w:tcMar>
              <w:top w:w="0" w:type="dxa"/>
              <w:left w:w="108" w:type="dxa"/>
              <w:bottom w:w="0" w:type="dxa"/>
              <w:right w:w="108" w:type="dxa"/>
            </w:tcMar>
            <w:vAlign w:val="center"/>
          </w:tcPr>
          <w:p w14:paraId="0F32B240">
            <w:pPr>
              <w:widowControl/>
              <w:spacing w:before="60" w:after="60"/>
              <w:jc w:val="center"/>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 xml:space="preserve"> </w:t>
            </w:r>
          </w:p>
        </w:tc>
        <w:tc>
          <w:tcPr>
            <w:tcW w:w="5671" w:type="dxa"/>
            <w:tcMar>
              <w:top w:w="0" w:type="dxa"/>
              <w:left w:w="108" w:type="dxa"/>
              <w:bottom w:w="0" w:type="dxa"/>
              <w:right w:w="108" w:type="dxa"/>
            </w:tcMar>
            <w:vAlign w:val="center"/>
          </w:tcPr>
          <w:p w14:paraId="26ED001E">
            <w:pPr>
              <w:autoSpaceDE w:val="0"/>
              <w:autoSpaceDN w:val="0"/>
              <w:spacing w:line="380" w:lineRule="atLeast"/>
              <w:ind w:right="349"/>
              <w:jc w:val="left"/>
              <w:rPr>
                <w:rFonts w:ascii="仿宋" w:hAnsi="仿宋" w:eastAsia="仿宋" w:cs="仿宋"/>
                <w:b/>
                <w:bCs/>
                <w:color w:val="000000" w:themeColor="text1"/>
                <w:kern w:val="0"/>
                <w:sz w:val="22"/>
                <w:szCs w:val="22"/>
                <w14:textFill>
                  <w14:solidFill>
                    <w14:schemeClr w14:val="tx1"/>
                  </w14:solidFill>
                </w14:textFill>
              </w:rPr>
            </w:pPr>
            <w:r>
              <w:rPr>
                <w:rFonts w:hint="eastAsia" w:ascii="仿宋" w:hAnsi="仿宋" w:eastAsia="仿宋" w:cs="仿宋"/>
                <w:b/>
                <w:bCs/>
                <w:color w:val="000000" w:themeColor="text1"/>
                <w:kern w:val="0"/>
                <w:sz w:val="22"/>
                <w:szCs w:val="22"/>
                <w14:textFill>
                  <w14:solidFill>
                    <w14:schemeClr w14:val="tx1"/>
                  </w14:solidFill>
                </w14:textFill>
              </w:rPr>
              <w:t>（大写）：</w:t>
            </w:r>
          </w:p>
          <w:p w14:paraId="6D2A4195">
            <w:pPr>
              <w:autoSpaceDE w:val="0"/>
              <w:autoSpaceDN w:val="0"/>
              <w:spacing w:line="380" w:lineRule="atLeast"/>
              <w:ind w:right="349" w:firstLine="331"/>
              <w:jc w:val="left"/>
              <w:rPr>
                <w:rFonts w:ascii="仿宋" w:hAnsi="仿宋" w:eastAsia="仿宋" w:cs="仿宋"/>
                <w:b/>
                <w:bCs/>
                <w:color w:val="000000" w:themeColor="text1"/>
                <w:kern w:val="0"/>
                <w:sz w:val="22"/>
                <w:szCs w:val="22"/>
                <w14:textFill>
                  <w14:solidFill>
                    <w14:schemeClr w14:val="tx1"/>
                  </w14:solidFill>
                </w14:textFill>
              </w:rPr>
            </w:pPr>
          </w:p>
          <w:p w14:paraId="0922E44C">
            <w:pPr>
              <w:widowControl/>
              <w:spacing w:before="60" w:after="60"/>
              <w:rPr>
                <w:rFonts w:ascii="仿宋" w:hAnsi="仿宋" w:eastAsia="仿宋" w:cs="仿宋"/>
                <w:bCs/>
                <w:color w:val="000000" w:themeColor="text1"/>
                <w:kern w:val="0"/>
                <w:sz w:val="22"/>
                <w:szCs w:val="22"/>
                <w14:textFill>
                  <w14:solidFill>
                    <w14:schemeClr w14:val="tx1"/>
                  </w14:solidFill>
                </w14:textFill>
              </w:rPr>
            </w:pPr>
            <w:r>
              <w:rPr>
                <w:rFonts w:hint="eastAsia" w:ascii="仿宋" w:hAnsi="仿宋" w:eastAsia="仿宋" w:cs="仿宋"/>
                <w:b/>
                <w:bCs/>
                <w:color w:val="000000" w:themeColor="text1"/>
                <w:kern w:val="0"/>
                <w:sz w:val="22"/>
                <w:szCs w:val="22"/>
                <w14:textFill>
                  <w14:solidFill>
                    <w14:schemeClr w14:val="tx1"/>
                  </w14:solidFill>
                </w14:textFill>
              </w:rPr>
              <w:t>（小写）：¥</w:t>
            </w:r>
          </w:p>
        </w:tc>
      </w:tr>
    </w:tbl>
    <w:p w14:paraId="1201B083">
      <w:pPr>
        <w:overflowPunct w:val="0"/>
        <w:spacing w:line="380" w:lineRule="exact"/>
        <w:rPr>
          <w:rFonts w:ascii="仿宋" w:hAnsi="仿宋" w:eastAsia="仿宋" w:cs="仿宋"/>
          <w:bCs/>
          <w:color w:val="000000" w:themeColor="text1"/>
          <w:sz w:val="22"/>
          <w:szCs w:val="22"/>
          <w14:textFill>
            <w14:solidFill>
              <w14:schemeClr w14:val="tx1"/>
            </w14:solidFill>
          </w14:textFill>
        </w:rPr>
      </w:pPr>
    </w:p>
    <w:p w14:paraId="65DD40DE">
      <w:pPr>
        <w:overflowPunct w:val="0"/>
        <w:spacing w:line="460" w:lineRule="exact"/>
        <w:rPr>
          <w:rFonts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说明：</w:t>
      </w:r>
    </w:p>
    <w:p w14:paraId="740E7616">
      <w:pPr>
        <w:spacing w:line="380" w:lineRule="exact"/>
        <w:ind w:left="12" w:hanging="12" w:hangingChars="5"/>
        <w:rPr>
          <w:rFonts w:ascii="仿宋" w:hAnsi="仿宋" w:eastAsia="仿宋" w:cs="仿宋"/>
          <w:b/>
          <w:color w:val="000000" w:themeColor="text1"/>
          <w:sz w:val="22"/>
          <w:u w:val="thick"/>
          <w14:textFill>
            <w14:solidFill>
              <w14:schemeClr w14:val="tx1"/>
            </w14:solidFill>
          </w14:textFill>
        </w:rPr>
      </w:pPr>
      <w:r>
        <w:rPr>
          <w:rFonts w:hint="eastAsia" w:ascii="仿宋" w:hAnsi="仿宋" w:eastAsia="仿宋" w:cs="仿宋"/>
          <w:color w:val="000000" w:themeColor="text1"/>
          <w:sz w:val="24"/>
          <w:szCs w:val="20"/>
          <w:u w:val="thick"/>
          <w14:textFill>
            <w14:solidFill>
              <w14:schemeClr w14:val="tx1"/>
            </w14:solidFill>
          </w14:textFill>
        </w:rPr>
        <w:t>▲</w:t>
      </w:r>
      <w:r>
        <w:rPr>
          <w:rFonts w:hint="eastAsia" w:ascii="仿宋" w:hAnsi="仿宋" w:eastAsia="仿宋" w:cs="仿宋"/>
          <w:b/>
          <w:color w:val="000000" w:themeColor="text1"/>
          <w:sz w:val="22"/>
          <w:u w:val="thick"/>
          <w14:textFill>
            <w14:solidFill>
              <w14:schemeClr w14:val="tx1"/>
            </w14:solidFill>
          </w14:textFill>
        </w:rPr>
        <w:t>此栏内磋商总价应与“分项报价表”中磋商报价总价相一致。</w:t>
      </w:r>
    </w:p>
    <w:p w14:paraId="69D52A58">
      <w:pPr>
        <w:autoSpaceDE w:val="0"/>
        <w:autoSpaceDN w:val="0"/>
        <w:spacing w:line="360" w:lineRule="auto"/>
        <w:ind w:right="1120"/>
        <w:jc w:val="left"/>
        <w:rPr>
          <w:rFonts w:ascii="仿宋" w:hAnsi="仿宋" w:eastAsia="仿宋" w:cs="仿宋"/>
          <w:color w:val="000000" w:themeColor="text1"/>
          <w:kern w:val="0"/>
          <w:sz w:val="24"/>
          <w:u w:val="thick"/>
          <w:lang w:val="zh-CN"/>
          <w14:textFill>
            <w14:solidFill>
              <w14:schemeClr w14:val="tx1"/>
            </w14:solidFill>
          </w14:textFill>
        </w:rPr>
      </w:pPr>
    </w:p>
    <w:p w14:paraId="31C651A7">
      <w:pPr>
        <w:autoSpaceDE w:val="0"/>
        <w:autoSpaceDN w:val="0"/>
        <w:spacing w:line="360" w:lineRule="auto"/>
        <w:ind w:right="112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 xml:space="preserve">）：                                                                                                                                                                                                               </w:t>
      </w:r>
    </w:p>
    <w:p w14:paraId="20374BC9">
      <w:pPr>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046328E0">
      <w:pPr>
        <w:snapToGrid w:val="0"/>
        <w:spacing w:line="360" w:lineRule="auto"/>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br w:type="page"/>
      </w:r>
      <w:r>
        <w:rPr>
          <w:rFonts w:hint="eastAsia" w:ascii="仿宋" w:hAnsi="仿宋" w:eastAsia="仿宋" w:cs="仿宋"/>
          <w:color w:val="000000" w:themeColor="text1"/>
          <w:sz w:val="24"/>
          <w14:textFill>
            <w14:solidFill>
              <w14:schemeClr w14:val="tx1"/>
            </w14:solidFill>
          </w14:textFill>
        </w:rPr>
        <w:t>温州市公安局、温州历程招标有限公司</w:t>
      </w:r>
      <w:r>
        <w:rPr>
          <w:rFonts w:hint="eastAsia" w:ascii="仿宋" w:hAnsi="仿宋" w:eastAsia="仿宋" w:cs="仿宋"/>
          <w:color w:val="000000" w:themeColor="text1"/>
          <w:kern w:val="0"/>
          <w:sz w:val="24"/>
          <w:lang w:val="zh-CN"/>
          <w14:textFill>
            <w14:solidFill>
              <w14:schemeClr w14:val="tx1"/>
            </w14:solidFill>
          </w14:textFill>
        </w:rPr>
        <w:t>：</w:t>
      </w:r>
    </w:p>
    <w:p w14:paraId="6B23DE75">
      <w:pPr>
        <w:spacing w:line="360" w:lineRule="auto"/>
        <w:jc w:val="center"/>
        <w:rPr>
          <w:rFonts w:ascii="仿宋" w:hAnsi="仿宋" w:eastAsia="仿宋" w:cs="仿宋"/>
          <w:b/>
          <w:color w:val="000000" w:themeColor="text1"/>
          <w:kern w:val="0"/>
          <w:sz w:val="24"/>
          <w:lang w:val="zh-CN"/>
          <w14:textFill>
            <w14:solidFill>
              <w14:schemeClr w14:val="tx1"/>
            </w14:solidFill>
          </w14:textFill>
        </w:rPr>
      </w:pPr>
      <w:bookmarkStart w:id="588" w:name="_Toc16131"/>
      <w:bookmarkStart w:id="589" w:name="_Toc17399"/>
      <w:bookmarkStart w:id="590" w:name="_Toc1931148968"/>
      <w:r>
        <w:rPr>
          <w:rFonts w:hint="eastAsia" w:ascii="仿宋" w:hAnsi="仿宋" w:eastAsia="仿宋" w:cs="仿宋"/>
          <w:color w:val="000000" w:themeColor="text1"/>
          <w:sz w:val="32"/>
          <w:szCs w:val="32"/>
          <w14:textFill>
            <w14:solidFill>
              <w14:schemeClr w14:val="tx1"/>
            </w14:solidFill>
          </w14:textFill>
        </w:rPr>
        <w:t>二、分项报价表（适用货物、服务）</w:t>
      </w:r>
      <w:bookmarkEnd w:id="588"/>
      <w:bookmarkEnd w:id="589"/>
      <w:bookmarkEnd w:id="590"/>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363"/>
        <w:gridCol w:w="1237"/>
        <w:gridCol w:w="1600"/>
        <w:gridCol w:w="925"/>
        <w:gridCol w:w="788"/>
        <w:gridCol w:w="1025"/>
        <w:gridCol w:w="1425"/>
      </w:tblGrid>
      <w:tr w14:paraId="6755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5A1A1A79">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1363" w:type="dxa"/>
            <w:vAlign w:val="center"/>
          </w:tcPr>
          <w:p w14:paraId="36768A6B">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名称</w:t>
            </w:r>
          </w:p>
        </w:tc>
        <w:tc>
          <w:tcPr>
            <w:tcW w:w="1237" w:type="dxa"/>
          </w:tcPr>
          <w:p w14:paraId="7CA90B60">
            <w:pPr>
              <w:spacing w:line="360" w:lineRule="auto"/>
              <w:jc w:val="center"/>
              <w:rPr>
                <w:rFonts w:ascii="仿宋" w:hAnsi="仿宋" w:eastAsia="仿宋" w:cs="仿宋"/>
                <w:b/>
                <w:color w:val="000000" w:themeColor="text1"/>
                <w:sz w:val="24"/>
                <w14:textFill>
                  <w14:solidFill>
                    <w14:schemeClr w14:val="tx1"/>
                  </w14:solidFill>
                </w14:textFill>
              </w:rPr>
            </w:pPr>
          </w:p>
          <w:p w14:paraId="7C266047">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品牌（如果有）</w:t>
            </w:r>
          </w:p>
        </w:tc>
        <w:tc>
          <w:tcPr>
            <w:tcW w:w="1600" w:type="dxa"/>
            <w:vAlign w:val="center"/>
          </w:tcPr>
          <w:p w14:paraId="67486E1D">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规格型号（或具体服务）</w:t>
            </w:r>
          </w:p>
        </w:tc>
        <w:tc>
          <w:tcPr>
            <w:tcW w:w="925" w:type="dxa"/>
            <w:vAlign w:val="center"/>
          </w:tcPr>
          <w:p w14:paraId="60B54525">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数量</w:t>
            </w:r>
          </w:p>
        </w:tc>
        <w:tc>
          <w:tcPr>
            <w:tcW w:w="788" w:type="dxa"/>
            <w:vAlign w:val="center"/>
          </w:tcPr>
          <w:p w14:paraId="252A8AE3">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单价</w:t>
            </w:r>
          </w:p>
        </w:tc>
        <w:tc>
          <w:tcPr>
            <w:tcW w:w="1025" w:type="dxa"/>
            <w:vAlign w:val="center"/>
          </w:tcPr>
          <w:p w14:paraId="6C1EF643">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总价</w:t>
            </w:r>
          </w:p>
        </w:tc>
        <w:tc>
          <w:tcPr>
            <w:tcW w:w="1425" w:type="dxa"/>
            <w:vAlign w:val="center"/>
          </w:tcPr>
          <w:p w14:paraId="7ADA5356">
            <w:pPr>
              <w:spacing w:line="360" w:lineRule="auto"/>
              <w:jc w:val="center"/>
              <w:rPr>
                <w:rFonts w:ascii="仿宋" w:hAnsi="仿宋" w:eastAsia="仿宋" w:cs="仿宋"/>
                <w:b/>
                <w:color w:val="000000" w:themeColor="text1"/>
                <w:sz w:val="24"/>
                <w14:textFill>
                  <w14:solidFill>
                    <w14:schemeClr w14:val="tx1"/>
                  </w14:solidFill>
                </w14:textFill>
              </w:rPr>
            </w:pPr>
          </w:p>
          <w:p w14:paraId="24BBF2C5">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服务要求（年限）</w:t>
            </w:r>
          </w:p>
          <w:p w14:paraId="595D3207">
            <w:pPr>
              <w:spacing w:line="360" w:lineRule="auto"/>
              <w:jc w:val="center"/>
              <w:rPr>
                <w:rFonts w:ascii="仿宋" w:hAnsi="仿宋" w:eastAsia="仿宋" w:cs="仿宋"/>
                <w:b/>
                <w:color w:val="000000" w:themeColor="text1"/>
                <w:sz w:val="24"/>
                <w14:textFill>
                  <w14:solidFill>
                    <w14:schemeClr w14:val="tx1"/>
                  </w14:solidFill>
                </w14:textFill>
              </w:rPr>
            </w:pPr>
          </w:p>
        </w:tc>
      </w:tr>
      <w:tr w14:paraId="37BFA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460BE9A5">
            <w:pPr>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1363" w:type="dxa"/>
            <w:vAlign w:val="center"/>
          </w:tcPr>
          <w:p w14:paraId="520F2B5E">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237" w:type="dxa"/>
            <w:vAlign w:val="center"/>
          </w:tcPr>
          <w:p w14:paraId="2AFF997B">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600" w:type="dxa"/>
            <w:vAlign w:val="center"/>
          </w:tcPr>
          <w:p w14:paraId="2AAFBF7A">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925" w:type="dxa"/>
            <w:vAlign w:val="center"/>
          </w:tcPr>
          <w:p w14:paraId="33518336">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788" w:type="dxa"/>
            <w:vAlign w:val="center"/>
          </w:tcPr>
          <w:p w14:paraId="59238AED">
            <w:pPr>
              <w:spacing w:line="360" w:lineRule="auto"/>
              <w:jc w:val="center"/>
              <w:rPr>
                <w:rFonts w:ascii="仿宋" w:hAnsi="仿宋" w:eastAsia="仿宋" w:cs="仿宋"/>
                <w:color w:val="000000" w:themeColor="text1"/>
                <w:sz w:val="24"/>
                <w14:textFill>
                  <w14:solidFill>
                    <w14:schemeClr w14:val="tx1"/>
                  </w14:solidFill>
                </w14:textFill>
              </w:rPr>
            </w:pPr>
          </w:p>
        </w:tc>
        <w:tc>
          <w:tcPr>
            <w:tcW w:w="1025" w:type="dxa"/>
            <w:vAlign w:val="center"/>
          </w:tcPr>
          <w:p w14:paraId="43959DE8">
            <w:pPr>
              <w:spacing w:line="360" w:lineRule="auto"/>
              <w:jc w:val="center"/>
              <w:rPr>
                <w:rFonts w:ascii="仿宋" w:hAnsi="仿宋" w:eastAsia="仿宋" w:cs="仿宋"/>
                <w:color w:val="000000" w:themeColor="text1"/>
                <w:sz w:val="24"/>
                <w14:textFill>
                  <w14:solidFill>
                    <w14:schemeClr w14:val="tx1"/>
                  </w14:solidFill>
                </w14:textFill>
              </w:rPr>
            </w:pPr>
          </w:p>
        </w:tc>
        <w:tc>
          <w:tcPr>
            <w:tcW w:w="1425" w:type="dxa"/>
            <w:vAlign w:val="center"/>
          </w:tcPr>
          <w:p w14:paraId="5DD7B821">
            <w:pPr>
              <w:spacing w:line="360" w:lineRule="auto"/>
              <w:jc w:val="center"/>
              <w:rPr>
                <w:rFonts w:ascii="仿宋" w:hAnsi="仿宋" w:eastAsia="仿宋" w:cs="仿宋"/>
                <w:color w:val="000000" w:themeColor="text1"/>
                <w:sz w:val="24"/>
                <w14:textFill>
                  <w14:solidFill>
                    <w14:schemeClr w14:val="tx1"/>
                  </w14:solidFill>
                </w14:textFill>
              </w:rPr>
            </w:pPr>
          </w:p>
        </w:tc>
      </w:tr>
      <w:tr w14:paraId="33A92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4E198C65">
            <w:pPr>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1363" w:type="dxa"/>
            <w:vAlign w:val="center"/>
          </w:tcPr>
          <w:p w14:paraId="452BD53C">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237" w:type="dxa"/>
            <w:vAlign w:val="center"/>
          </w:tcPr>
          <w:p w14:paraId="3DA030C5">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600" w:type="dxa"/>
            <w:vAlign w:val="center"/>
          </w:tcPr>
          <w:p w14:paraId="457BC477">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925" w:type="dxa"/>
            <w:vAlign w:val="center"/>
          </w:tcPr>
          <w:p w14:paraId="382CED56">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788" w:type="dxa"/>
            <w:vAlign w:val="center"/>
          </w:tcPr>
          <w:p w14:paraId="2E99C97F">
            <w:pPr>
              <w:spacing w:line="360" w:lineRule="auto"/>
              <w:jc w:val="center"/>
              <w:rPr>
                <w:rFonts w:ascii="仿宋" w:hAnsi="仿宋" w:eastAsia="仿宋" w:cs="仿宋"/>
                <w:color w:val="000000" w:themeColor="text1"/>
                <w:sz w:val="24"/>
                <w14:textFill>
                  <w14:solidFill>
                    <w14:schemeClr w14:val="tx1"/>
                  </w14:solidFill>
                </w14:textFill>
              </w:rPr>
            </w:pPr>
          </w:p>
        </w:tc>
        <w:tc>
          <w:tcPr>
            <w:tcW w:w="1025" w:type="dxa"/>
            <w:vAlign w:val="center"/>
          </w:tcPr>
          <w:p w14:paraId="5CD3CB07">
            <w:pPr>
              <w:spacing w:line="360" w:lineRule="auto"/>
              <w:jc w:val="center"/>
              <w:rPr>
                <w:rFonts w:ascii="仿宋" w:hAnsi="仿宋" w:eastAsia="仿宋" w:cs="仿宋"/>
                <w:color w:val="000000" w:themeColor="text1"/>
                <w:sz w:val="24"/>
                <w14:textFill>
                  <w14:solidFill>
                    <w14:schemeClr w14:val="tx1"/>
                  </w14:solidFill>
                </w14:textFill>
              </w:rPr>
            </w:pPr>
          </w:p>
        </w:tc>
        <w:tc>
          <w:tcPr>
            <w:tcW w:w="1425" w:type="dxa"/>
            <w:vAlign w:val="center"/>
          </w:tcPr>
          <w:p w14:paraId="4420A6BB">
            <w:pPr>
              <w:spacing w:line="360" w:lineRule="auto"/>
              <w:jc w:val="center"/>
              <w:rPr>
                <w:rFonts w:ascii="仿宋" w:hAnsi="仿宋" w:eastAsia="仿宋" w:cs="仿宋"/>
                <w:color w:val="000000" w:themeColor="text1"/>
                <w:sz w:val="24"/>
                <w14:textFill>
                  <w14:solidFill>
                    <w14:schemeClr w14:val="tx1"/>
                  </w14:solidFill>
                </w14:textFill>
              </w:rPr>
            </w:pPr>
          </w:p>
        </w:tc>
      </w:tr>
      <w:tr w14:paraId="42F8E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7CA132D9">
            <w:pPr>
              <w:spacing w:line="360"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tc>
        <w:tc>
          <w:tcPr>
            <w:tcW w:w="1363" w:type="dxa"/>
            <w:vAlign w:val="center"/>
          </w:tcPr>
          <w:p w14:paraId="4F28AA2A">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237" w:type="dxa"/>
            <w:vAlign w:val="center"/>
          </w:tcPr>
          <w:p w14:paraId="6614E67F">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600" w:type="dxa"/>
            <w:vAlign w:val="center"/>
          </w:tcPr>
          <w:p w14:paraId="4ADB7CCA">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925" w:type="dxa"/>
            <w:vAlign w:val="center"/>
          </w:tcPr>
          <w:p w14:paraId="614F2560">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788" w:type="dxa"/>
            <w:vAlign w:val="center"/>
          </w:tcPr>
          <w:p w14:paraId="3459C578">
            <w:pPr>
              <w:spacing w:line="360" w:lineRule="auto"/>
              <w:jc w:val="center"/>
              <w:rPr>
                <w:rFonts w:ascii="仿宋" w:hAnsi="仿宋" w:eastAsia="仿宋" w:cs="仿宋"/>
                <w:color w:val="000000" w:themeColor="text1"/>
                <w:sz w:val="24"/>
                <w14:textFill>
                  <w14:solidFill>
                    <w14:schemeClr w14:val="tx1"/>
                  </w14:solidFill>
                </w14:textFill>
              </w:rPr>
            </w:pPr>
          </w:p>
        </w:tc>
        <w:tc>
          <w:tcPr>
            <w:tcW w:w="1025" w:type="dxa"/>
            <w:vAlign w:val="center"/>
          </w:tcPr>
          <w:p w14:paraId="72F94E27">
            <w:pPr>
              <w:spacing w:line="360" w:lineRule="auto"/>
              <w:jc w:val="center"/>
              <w:rPr>
                <w:rFonts w:ascii="仿宋" w:hAnsi="仿宋" w:eastAsia="仿宋" w:cs="仿宋"/>
                <w:color w:val="000000" w:themeColor="text1"/>
                <w:sz w:val="24"/>
                <w14:textFill>
                  <w14:solidFill>
                    <w14:schemeClr w14:val="tx1"/>
                  </w14:solidFill>
                </w14:textFill>
              </w:rPr>
            </w:pPr>
          </w:p>
        </w:tc>
        <w:tc>
          <w:tcPr>
            <w:tcW w:w="1425" w:type="dxa"/>
            <w:vAlign w:val="center"/>
          </w:tcPr>
          <w:p w14:paraId="61382BE5">
            <w:pPr>
              <w:spacing w:line="360" w:lineRule="auto"/>
              <w:jc w:val="center"/>
              <w:rPr>
                <w:rFonts w:ascii="仿宋" w:hAnsi="仿宋" w:eastAsia="仿宋" w:cs="仿宋"/>
                <w:color w:val="000000" w:themeColor="text1"/>
                <w:sz w:val="24"/>
                <w14:textFill>
                  <w14:solidFill>
                    <w14:schemeClr w14:val="tx1"/>
                  </w14:solidFill>
                </w14:textFill>
              </w:rPr>
            </w:pPr>
          </w:p>
        </w:tc>
      </w:tr>
      <w:tr w14:paraId="42CC3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620031D0">
            <w:pPr>
              <w:spacing w:line="360" w:lineRule="auto"/>
              <w:jc w:val="center"/>
              <w:rPr>
                <w:rFonts w:ascii="仿宋" w:hAnsi="仿宋" w:eastAsia="仿宋" w:cs="仿宋"/>
                <w:color w:val="000000" w:themeColor="text1"/>
                <w:sz w:val="24"/>
                <w14:textFill>
                  <w14:solidFill>
                    <w14:schemeClr w14:val="tx1"/>
                  </w14:solidFill>
                </w14:textFill>
              </w:rPr>
            </w:pPr>
          </w:p>
        </w:tc>
        <w:tc>
          <w:tcPr>
            <w:tcW w:w="1363" w:type="dxa"/>
            <w:vAlign w:val="center"/>
          </w:tcPr>
          <w:p w14:paraId="3C83D88C">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237" w:type="dxa"/>
            <w:vAlign w:val="center"/>
          </w:tcPr>
          <w:p w14:paraId="2917407D">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1600" w:type="dxa"/>
            <w:vAlign w:val="center"/>
          </w:tcPr>
          <w:p w14:paraId="7C11B5C7">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925" w:type="dxa"/>
            <w:vAlign w:val="center"/>
          </w:tcPr>
          <w:p w14:paraId="4E77803D">
            <w:pPr>
              <w:snapToGrid w:val="0"/>
              <w:spacing w:line="360" w:lineRule="auto"/>
              <w:jc w:val="center"/>
              <w:rPr>
                <w:rFonts w:ascii="仿宋" w:hAnsi="仿宋" w:eastAsia="仿宋" w:cs="仿宋"/>
                <w:color w:val="000000" w:themeColor="text1"/>
                <w:sz w:val="24"/>
                <w14:textFill>
                  <w14:solidFill>
                    <w14:schemeClr w14:val="tx1"/>
                  </w14:solidFill>
                </w14:textFill>
              </w:rPr>
            </w:pPr>
          </w:p>
        </w:tc>
        <w:tc>
          <w:tcPr>
            <w:tcW w:w="788" w:type="dxa"/>
            <w:vAlign w:val="center"/>
          </w:tcPr>
          <w:p w14:paraId="597F8232">
            <w:pPr>
              <w:spacing w:line="360" w:lineRule="auto"/>
              <w:jc w:val="center"/>
              <w:rPr>
                <w:rFonts w:ascii="仿宋" w:hAnsi="仿宋" w:eastAsia="仿宋" w:cs="仿宋"/>
                <w:color w:val="000000" w:themeColor="text1"/>
                <w:sz w:val="24"/>
                <w14:textFill>
                  <w14:solidFill>
                    <w14:schemeClr w14:val="tx1"/>
                  </w14:solidFill>
                </w14:textFill>
              </w:rPr>
            </w:pPr>
          </w:p>
        </w:tc>
        <w:tc>
          <w:tcPr>
            <w:tcW w:w="1025" w:type="dxa"/>
            <w:vAlign w:val="center"/>
          </w:tcPr>
          <w:p w14:paraId="0BB2906F">
            <w:pPr>
              <w:spacing w:line="360" w:lineRule="auto"/>
              <w:jc w:val="center"/>
              <w:rPr>
                <w:rFonts w:ascii="仿宋" w:hAnsi="仿宋" w:eastAsia="仿宋" w:cs="仿宋"/>
                <w:color w:val="000000" w:themeColor="text1"/>
                <w:sz w:val="24"/>
                <w14:textFill>
                  <w14:solidFill>
                    <w14:schemeClr w14:val="tx1"/>
                  </w14:solidFill>
                </w14:textFill>
              </w:rPr>
            </w:pPr>
          </w:p>
        </w:tc>
        <w:tc>
          <w:tcPr>
            <w:tcW w:w="1425" w:type="dxa"/>
            <w:vAlign w:val="center"/>
          </w:tcPr>
          <w:p w14:paraId="5C5BA4C0">
            <w:pPr>
              <w:spacing w:line="360" w:lineRule="auto"/>
              <w:jc w:val="center"/>
              <w:rPr>
                <w:rFonts w:ascii="仿宋" w:hAnsi="仿宋" w:eastAsia="仿宋" w:cs="仿宋"/>
                <w:color w:val="000000" w:themeColor="text1"/>
                <w:sz w:val="24"/>
                <w14:textFill>
                  <w14:solidFill>
                    <w14:schemeClr w14:val="tx1"/>
                  </w14:solidFill>
                </w14:textFill>
              </w:rPr>
            </w:pPr>
          </w:p>
        </w:tc>
      </w:tr>
      <w:tr w14:paraId="62305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030" w:type="dxa"/>
            <w:gridSpan w:val="4"/>
            <w:vAlign w:val="center"/>
          </w:tcPr>
          <w:p w14:paraId="304B495D">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磋商报价总价（小写）</w:t>
            </w:r>
          </w:p>
        </w:tc>
        <w:tc>
          <w:tcPr>
            <w:tcW w:w="4163" w:type="dxa"/>
            <w:gridSpan w:val="4"/>
            <w:vAlign w:val="center"/>
          </w:tcPr>
          <w:p w14:paraId="534A3DC4">
            <w:pPr>
              <w:spacing w:line="360" w:lineRule="auto"/>
              <w:jc w:val="center"/>
              <w:rPr>
                <w:rFonts w:ascii="仿宋" w:hAnsi="仿宋" w:eastAsia="仿宋" w:cs="仿宋"/>
                <w:color w:val="000000" w:themeColor="text1"/>
                <w:sz w:val="24"/>
                <w14:textFill>
                  <w14:solidFill>
                    <w14:schemeClr w14:val="tx1"/>
                  </w14:solidFill>
                </w14:textFill>
              </w:rPr>
            </w:pPr>
          </w:p>
        </w:tc>
      </w:tr>
      <w:tr w14:paraId="56439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030" w:type="dxa"/>
            <w:gridSpan w:val="4"/>
            <w:vAlign w:val="center"/>
          </w:tcPr>
          <w:p w14:paraId="74B55719">
            <w:pPr>
              <w:spacing w:line="360" w:lineRule="auto"/>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磋商报价总价（大写）</w:t>
            </w:r>
          </w:p>
        </w:tc>
        <w:tc>
          <w:tcPr>
            <w:tcW w:w="4163" w:type="dxa"/>
            <w:gridSpan w:val="4"/>
            <w:vAlign w:val="center"/>
          </w:tcPr>
          <w:p w14:paraId="6BDB471A">
            <w:pPr>
              <w:spacing w:line="360" w:lineRule="auto"/>
              <w:jc w:val="center"/>
              <w:rPr>
                <w:rFonts w:ascii="仿宋" w:hAnsi="仿宋" w:eastAsia="仿宋" w:cs="仿宋"/>
                <w:color w:val="000000" w:themeColor="text1"/>
                <w:sz w:val="24"/>
                <w14:textFill>
                  <w14:solidFill>
                    <w14:schemeClr w14:val="tx1"/>
                  </w14:solidFill>
                </w14:textFill>
              </w:rPr>
            </w:pPr>
          </w:p>
        </w:tc>
      </w:tr>
    </w:tbl>
    <w:p w14:paraId="79C6511F">
      <w:pPr>
        <w:snapToGrid w:val="0"/>
        <w:spacing w:line="360" w:lineRule="auto"/>
        <w:ind w:left="480"/>
        <w:rPr>
          <w:rFonts w:ascii="仿宋" w:hAnsi="仿宋" w:eastAsia="仿宋" w:cs="仿宋"/>
          <w:b/>
          <w:color w:val="000000" w:themeColor="text1"/>
          <w:kern w:val="0"/>
          <w:sz w:val="24"/>
          <w:lang w:val="zh-CN"/>
          <w14:textFill>
            <w14:solidFill>
              <w14:schemeClr w14:val="tx1"/>
            </w14:solidFill>
          </w14:textFill>
        </w:rPr>
      </w:pPr>
      <w:r>
        <w:rPr>
          <w:rFonts w:hint="eastAsia" w:ascii="仿宋" w:hAnsi="仿宋" w:eastAsia="仿宋" w:cs="仿宋"/>
          <w:b/>
          <w:color w:val="000000" w:themeColor="text1"/>
          <w:kern w:val="0"/>
          <w:sz w:val="24"/>
          <w:lang w:val="zh-CN"/>
          <w14:textFill>
            <w14:solidFill>
              <w14:schemeClr w14:val="tx1"/>
            </w14:solidFill>
          </w14:textFill>
        </w:rPr>
        <w:t>注：</w:t>
      </w:r>
    </w:p>
    <w:p w14:paraId="48231CE1">
      <w:pPr>
        <w:spacing w:line="360" w:lineRule="auto"/>
        <w:ind w:left="-2" w:leftChars="-1" w:firstLine="480" w:firstLineChars="200"/>
        <w:rPr>
          <w:rFonts w:ascii="仿宋" w:hAnsi="仿宋" w:eastAsia="仿宋" w:cs="仿宋"/>
          <w:color w:val="000000" w:themeColor="text1"/>
          <w:kern w:val="0"/>
          <w:sz w:val="24"/>
          <w:u w:val="thick"/>
          <w:lang w:val="zh-CN"/>
          <w14:textFill>
            <w14:solidFill>
              <w14:schemeClr w14:val="tx1"/>
            </w14:solidFill>
          </w14:textFill>
        </w:rPr>
      </w:pPr>
      <w:r>
        <w:rPr>
          <w:rFonts w:hint="eastAsia" w:ascii="仿宋" w:hAnsi="仿宋" w:eastAsia="仿宋" w:cs="仿宋"/>
          <w:color w:val="000000" w:themeColor="text1"/>
          <w:sz w:val="24"/>
          <w:szCs w:val="20"/>
          <w:u w:val="thick"/>
          <w14:textFill>
            <w14:solidFill>
              <w14:schemeClr w14:val="tx1"/>
            </w14:solidFill>
          </w14:textFill>
        </w:rPr>
        <w:t>▲</w:t>
      </w:r>
      <w:r>
        <w:rPr>
          <w:rFonts w:hint="eastAsia" w:ascii="仿宋" w:hAnsi="仿宋" w:eastAsia="仿宋" w:cs="仿宋"/>
          <w:color w:val="000000" w:themeColor="text1"/>
          <w:kern w:val="0"/>
          <w:sz w:val="24"/>
          <w:u w:val="thick"/>
          <w:lang w:val="zh-CN"/>
          <w14:textFill>
            <w14:solidFill>
              <w14:schemeClr w14:val="tx1"/>
            </w14:solidFill>
          </w14:textFill>
        </w:rPr>
        <w:t>1、不提供此表的报价，视为没有实质性响应采购文件要求。</w:t>
      </w:r>
    </w:p>
    <w:p w14:paraId="0617BF14">
      <w:pPr>
        <w:spacing w:line="360" w:lineRule="auto"/>
        <w:ind w:firstLine="480" w:firstLineChars="200"/>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2、有关本项目实施所涉及的一切费用均计入报价。</w:t>
      </w:r>
      <w:r>
        <w:rPr>
          <w:rFonts w:hint="eastAsia" w:ascii="仿宋" w:hAnsi="仿宋" w:eastAsia="仿宋" w:cs="仿宋"/>
          <w:b/>
          <w:color w:val="000000" w:themeColor="text1"/>
          <w:kern w:val="0"/>
          <w:sz w:val="24"/>
          <w:lang w:val="zh-CN"/>
          <w14:textFill>
            <w14:solidFill>
              <w14:schemeClr w14:val="tx1"/>
            </w14:solidFill>
          </w14:textFill>
        </w:rPr>
        <w:t>采购人将以合同形式有偿取得货物或服务，不接受供应商给予的赠品、回扣或者与采购无关的其他商品、服务</w:t>
      </w:r>
      <w:r>
        <w:rPr>
          <w:rFonts w:hint="eastAsia" w:ascii="仿宋" w:hAnsi="仿宋" w:eastAsia="仿宋" w:cs="仿宋"/>
          <w:color w:val="000000" w:themeColor="text1"/>
          <w:kern w:val="0"/>
          <w:sz w:val="24"/>
          <w:lang w:val="zh-CN"/>
          <w14:textFill>
            <w14:solidFill>
              <w14:schemeClr w14:val="tx1"/>
            </w14:solidFill>
          </w14:textFill>
        </w:rPr>
        <w:t>，</w:t>
      </w:r>
      <w:r>
        <w:rPr>
          <w:rFonts w:hint="eastAsia" w:ascii="仿宋" w:hAnsi="仿宋" w:eastAsia="仿宋" w:cs="仿宋"/>
          <w:b/>
          <w:color w:val="000000" w:themeColor="text1"/>
          <w:kern w:val="0"/>
          <w:sz w:val="24"/>
          <w:lang w:val="zh-CN"/>
          <w14:textFill>
            <w14:solidFill>
              <w14:schemeClr w14:val="tx1"/>
            </w14:solidFill>
          </w14:textFill>
        </w:rPr>
        <w:t>不得出现“0元”“免费赠送”等形式的无偿报价，</w:t>
      </w:r>
      <w:r>
        <w:rPr>
          <w:rFonts w:hint="eastAsia" w:ascii="仿宋" w:hAnsi="仿宋" w:eastAsia="仿宋" w:cs="仿宋"/>
          <w:b/>
          <w:color w:val="000000" w:themeColor="text1"/>
          <w:kern w:val="0"/>
          <w:sz w:val="24"/>
          <w14:textFill>
            <w14:solidFill>
              <w14:schemeClr w14:val="tx1"/>
            </w14:solidFill>
          </w14:textFill>
        </w:rPr>
        <w:t>否则视为</w:t>
      </w:r>
      <w:r>
        <w:rPr>
          <w:rFonts w:hint="eastAsia" w:ascii="仿宋" w:hAnsi="仿宋" w:eastAsia="仿宋" w:cs="仿宋"/>
          <w:b/>
          <w:color w:val="000000" w:themeColor="text1"/>
          <w:sz w:val="24"/>
          <w14:textFill>
            <w14:solidFill>
              <w14:schemeClr w14:val="tx1"/>
            </w14:solidFill>
          </w14:textFill>
        </w:rPr>
        <w:t>响应文件含有采购人不能接受的附加条件的，响应无效</w:t>
      </w:r>
      <w:r>
        <w:rPr>
          <w:rFonts w:hint="eastAsia" w:ascii="仿宋" w:hAnsi="仿宋" w:eastAsia="仿宋" w:cs="仿宋"/>
          <w:b/>
          <w:color w:val="000000" w:themeColor="text1"/>
          <w:kern w:val="0"/>
          <w:sz w:val="24"/>
          <w:lang w:val="zh-CN"/>
          <w14:textFill>
            <w14:solidFill>
              <w14:schemeClr w14:val="tx1"/>
            </w14:solidFill>
          </w14:textFill>
        </w:rPr>
        <w:t>。</w:t>
      </w:r>
    </w:p>
    <w:p w14:paraId="580A25DA">
      <w:pPr>
        <w:snapToGrid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3、以上表格要求细分项目及报价，在“规格型号（或具体服务）”一栏中，货物类项目填写规格型号，服务类项目填写具体服务。</w:t>
      </w:r>
    </w:p>
    <w:p w14:paraId="185AEFE5">
      <w:pPr>
        <w:snapToGrid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4、特别提示：采购代理机构将对项目名称和项目编号，成交供应商名称、地址和成交金额，主要成交标的的名称、规格型号、数量、单价、服务要求等予以公示。</w:t>
      </w:r>
    </w:p>
    <w:p w14:paraId="73B1D38B">
      <w:pPr>
        <w:snapToGrid w:val="0"/>
        <w:spacing w:line="360" w:lineRule="auto"/>
        <w:ind w:firstLine="480" w:firstLineChars="2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szCs w:val="22"/>
          <w:lang w:val="zh-CN"/>
          <w14:textFill>
            <w14:solidFill>
              <w14:schemeClr w14:val="tx1"/>
            </w14:solidFill>
          </w14:textFill>
        </w:rPr>
        <w:t>5、</w:t>
      </w:r>
      <w:r>
        <w:rPr>
          <w:rFonts w:hint="eastAsia" w:ascii="仿宋" w:hAnsi="仿宋" w:eastAsia="仿宋" w:cs="仿宋"/>
          <w:color w:val="000000" w:themeColor="text1"/>
          <w:kern w:val="0"/>
          <w:sz w:val="24"/>
          <w:lang w:val="zh-CN"/>
          <w14:textFill>
            <w14:solidFill>
              <w14:schemeClr w14:val="tx1"/>
            </w14:solidFill>
          </w14:textFill>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080D73E9">
      <w:pPr>
        <w:snapToGrid w:val="0"/>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6、本表可在不改变格式的情况下根据具体需要自行增减。</w:t>
      </w:r>
    </w:p>
    <w:p w14:paraId="0724613A">
      <w:pPr>
        <w:autoSpaceDE w:val="0"/>
        <w:autoSpaceDN w:val="0"/>
        <w:spacing w:line="360" w:lineRule="auto"/>
        <w:ind w:right="1120"/>
        <w:jc w:val="left"/>
        <w:rPr>
          <w:rFonts w:ascii="仿宋" w:hAnsi="仿宋" w:eastAsia="仿宋" w:cs="仿宋"/>
          <w:color w:val="000000" w:themeColor="text1"/>
          <w:kern w:val="0"/>
          <w:sz w:val="24"/>
          <w:lang w:val="zh-CN"/>
          <w14:textFill>
            <w14:solidFill>
              <w14:schemeClr w14:val="tx1"/>
            </w14:solidFill>
          </w14:textFill>
        </w:rPr>
      </w:pPr>
    </w:p>
    <w:p w14:paraId="19B2AEA9">
      <w:pPr>
        <w:autoSpaceDE w:val="0"/>
        <w:autoSpaceDN w:val="0"/>
        <w:spacing w:line="360" w:lineRule="auto"/>
        <w:ind w:right="112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 xml:space="preserve">）：                                                                                                                                                                                                               </w:t>
      </w:r>
    </w:p>
    <w:p w14:paraId="76E352E5">
      <w:pPr>
        <w:spacing w:line="360" w:lineRule="auto"/>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09F022AA">
      <w:pPr>
        <w:snapToGrid w:val="0"/>
        <w:spacing w:line="360" w:lineRule="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br w:type="page"/>
      </w:r>
    </w:p>
    <w:p w14:paraId="5C6E96D1">
      <w:pPr>
        <w:spacing w:line="360" w:lineRule="auto"/>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附件1：</w:t>
      </w:r>
    </w:p>
    <w:p w14:paraId="199CBF92">
      <w:pPr>
        <w:spacing w:line="360" w:lineRule="auto"/>
        <w:jc w:val="center"/>
        <w:rPr>
          <w:rFonts w:ascii="仿宋" w:hAnsi="仿宋" w:eastAsia="仿宋" w:cs="仿宋"/>
          <w:b/>
          <w:color w:val="000000" w:themeColor="text1"/>
          <w:spacing w:val="6"/>
          <w:sz w:val="32"/>
          <w:szCs w:val="32"/>
          <w14:textFill>
            <w14:solidFill>
              <w14:schemeClr w14:val="tx1"/>
            </w14:solidFill>
          </w14:textFill>
        </w:rPr>
      </w:pPr>
      <w:bookmarkStart w:id="591" w:name="_Toc11774"/>
      <w:bookmarkStart w:id="592" w:name="_Toc1519"/>
      <w:bookmarkStart w:id="593" w:name="OLE_LINK13"/>
      <w:bookmarkStart w:id="594" w:name="OLE_LINK14"/>
      <w:r>
        <w:rPr>
          <w:rFonts w:hint="eastAsia" w:ascii="仿宋" w:hAnsi="仿宋" w:eastAsia="仿宋" w:cs="仿宋"/>
          <w:b/>
          <w:color w:val="000000" w:themeColor="text1"/>
          <w:spacing w:val="6"/>
          <w:sz w:val="32"/>
          <w:szCs w:val="32"/>
          <w14:textFill>
            <w14:solidFill>
              <w14:schemeClr w14:val="tx1"/>
            </w14:solidFill>
          </w14:textFill>
        </w:rPr>
        <w:t>残疾人福利性单位声明函</w:t>
      </w:r>
      <w:bookmarkEnd w:id="591"/>
      <w:bookmarkEnd w:id="592"/>
    </w:p>
    <w:bookmarkEnd w:id="593"/>
    <w:bookmarkEnd w:id="594"/>
    <w:p w14:paraId="2D6E103E">
      <w:pPr>
        <w:spacing w:line="360" w:lineRule="auto"/>
        <w:rPr>
          <w:rFonts w:ascii="仿宋" w:hAnsi="仿宋" w:eastAsia="仿宋" w:cs="仿宋"/>
          <w:b/>
          <w:color w:val="000000" w:themeColor="text1"/>
          <w:spacing w:val="6"/>
          <w:sz w:val="30"/>
          <w:szCs w:val="30"/>
          <w14:textFill>
            <w14:solidFill>
              <w14:schemeClr w14:val="tx1"/>
            </w14:solidFill>
          </w14:textFill>
        </w:rPr>
      </w:pPr>
    </w:p>
    <w:p w14:paraId="7271E9F2">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728D770">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本单位对上述声明的真实性负责。如有虚假，将依法承担相应责任。</w:t>
      </w:r>
    </w:p>
    <w:p w14:paraId="14DD942B">
      <w:pPr>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1389FD1B">
      <w:pPr>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2FBFB33A">
      <w:pPr>
        <w:tabs>
          <w:tab w:val="left" w:pos="4860"/>
        </w:tabs>
        <w:spacing w:line="360" w:lineRule="auto"/>
        <w:ind w:right="1560"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供应商名称（电子签名）</w:t>
      </w:r>
      <w:r>
        <w:rPr>
          <w:rFonts w:hint="eastAsia" w:ascii="仿宋" w:hAnsi="仿宋" w:eastAsia="仿宋" w:cs="仿宋"/>
          <w:color w:val="000000" w:themeColor="text1"/>
          <w:sz w:val="24"/>
          <w14:textFill>
            <w14:solidFill>
              <w14:schemeClr w14:val="tx1"/>
            </w14:solidFill>
          </w14:textFill>
        </w:rPr>
        <w:t>：</w:t>
      </w:r>
    </w:p>
    <w:p w14:paraId="684B774F">
      <w:pPr>
        <w:tabs>
          <w:tab w:val="left" w:pos="4860"/>
        </w:tabs>
        <w:spacing w:line="360" w:lineRule="auto"/>
        <w:ind w:right="1560"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日  期：</w:t>
      </w:r>
    </w:p>
    <w:p w14:paraId="322CF73A">
      <w:pPr>
        <w:spacing w:line="360" w:lineRule="auto"/>
        <w:ind w:firstLine="480" w:firstLineChars="200"/>
        <w:rPr>
          <w:rFonts w:ascii="仿宋" w:hAnsi="仿宋" w:eastAsia="仿宋" w:cs="仿宋"/>
          <w:color w:val="000000" w:themeColor="text1"/>
          <w:sz w:val="24"/>
          <w14:textFill>
            <w14:solidFill>
              <w14:schemeClr w14:val="tx1"/>
            </w14:solidFill>
          </w14:textFill>
        </w:rPr>
      </w:pPr>
    </w:p>
    <w:p w14:paraId="02154AA2">
      <w:pPr>
        <w:spacing w:line="360" w:lineRule="auto"/>
        <w:ind w:firstLine="420" w:firstLineChars="200"/>
        <w:rPr>
          <w:rFonts w:ascii="仿宋" w:hAnsi="仿宋" w:eastAsia="仿宋" w:cs="仿宋"/>
          <w:color w:val="000000" w:themeColor="text1"/>
          <w14:textFill>
            <w14:solidFill>
              <w14:schemeClr w14:val="tx1"/>
            </w14:solidFill>
          </w14:textFill>
        </w:rPr>
      </w:pPr>
    </w:p>
    <w:p w14:paraId="05DCE52C">
      <w:pPr>
        <w:spacing w:line="360" w:lineRule="auto"/>
        <w:ind w:firstLine="420" w:firstLineChars="200"/>
        <w:rPr>
          <w:rFonts w:ascii="仿宋" w:hAnsi="仿宋" w:eastAsia="仿宋" w:cs="仿宋"/>
          <w:color w:val="000000" w:themeColor="text1"/>
          <w14:textFill>
            <w14:solidFill>
              <w14:schemeClr w14:val="tx1"/>
            </w14:solidFill>
          </w14:textFill>
        </w:rPr>
      </w:pPr>
    </w:p>
    <w:p w14:paraId="065084EF">
      <w:pPr>
        <w:spacing w:line="360" w:lineRule="auto"/>
        <w:ind w:firstLine="420" w:firstLineChars="200"/>
        <w:rPr>
          <w:rFonts w:ascii="仿宋" w:hAnsi="仿宋" w:eastAsia="仿宋" w:cs="仿宋"/>
          <w:color w:val="000000" w:themeColor="text1"/>
          <w14:textFill>
            <w14:solidFill>
              <w14:schemeClr w14:val="tx1"/>
            </w14:solidFill>
          </w14:textFill>
        </w:rPr>
      </w:pPr>
    </w:p>
    <w:p w14:paraId="5A0874EB">
      <w:pPr>
        <w:spacing w:line="360" w:lineRule="auto"/>
        <w:ind w:firstLine="420" w:firstLineChars="200"/>
        <w:rPr>
          <w:rFonts w:ascii="仿宋" w:hAnsi="仿宋" w:eastAsia="仿宋" w:cs="仿宋"/>
          <w:color w:val="000000" w:themeColor="text1"/>
          <w14:textFill>
            <w14:solidFill>
              <w14:schemeClr w14:val="tx1"/>
            </w14:solidFill>
          </w14:textFill>
        </w:rPr>
      </w:pPr>
    </w:p>
    <w:p w14:paraId="117A3D7C">
      <w:pPr>
        <w:spacing w:line="360" w:lineRule="auto"/>
        <w:rPr>
          <w:rFonts w:ascii="仿宋" w:hAnsi="仿宋" w:eastAsia="仿宋" w:cs="仿宋"/>
          <w:b/>
          <w:color w:val="000000" w:themeColor="text1"/>
          <w:sz w:val="24"/>
          <w14:textFill>
            <w14:solidFill>
              <w14:schemeClr w14:val="tx1"/>
            </w14:solidFill>
          </w14:textFill>
        </w:rPr>
      </w:pPr>
    </w:p>
    <w:p w14:paraId="19957007">
      <w:pPr>
        <w:spacing w:line="360" w:lineRule="auto"/>
        <w:rPr>
          <w:rFonts w:ascii="仿宋" w:hAnsi="仿宋" w:eastAsia="仿宋" w:cs="仿宋"/>
          <w:b/>
          <w:color w:val="000000" w:themeColor="text1"/>
          <w:sz w:val="24"/>
          <w14:textFill>
            <w14:solidFill>
              <w14:schemeClr w14:val="tx1"/>
            </w14:solidFill>
          </w14:textFill>
        </w:rPr>
      </w:pPr>
    </w:p>
    <w:p w14:paraId="14F775F1">
      <w:pPr>
        <w:spacing w:line="360" w:lineRule="auto"/>
        <w:rPr>
          <w:rFonts w:ascii="仿宋" w:hAnsi="仿宋" w:eastAsia="仿宋" w:cs="仿宋"/>
          <w:b/>
          <w:color w:val="000000" w:themeColor="text1"/>
          <w:sz w:val="24"/>
          <w14:textFill>
            <w14:solidFill>
              <w14:schemeClr w14:val="tx1"/>
            </w14:solidFill>
          </w14:textFill>
        </w:rPr>
      </w:pPr>
    </w:p>
    <w:p w14:paraId="74745745">
      <w:pPr>
        <w:spacing w:line="360" w:lineRule="auto"/>
        <w:rPr>
          <w:rFonts w:ascii="仿宋" w:hAnsi="仿宋" w:eastAsia="仿宋" w:cs="仿宋"/>
          <w:b/>
          <w:color w:val="000000" w:themeColor="text1"/>
          <w:sz w:val="24"/>
          <w14:textFill>
            <w14:solidFill>
              <w14:schemeClr w14:val="tx1"/>
            </w14:solidFill>
          </w14:textFill>
        </w:rPr>
      </w:pPr>
    </w:p>
    <w:p w14:paraId="2E44DF2A">
      <w:pPr>
        <w:spacing w:line="360" w:lineRule="auto"/>
        <w:rPr>
          <w:rFonts w:ascii="仿宋" w:hAnsi="仿宋" w:eastAsia="仿宋" w:cs="仿宋"/>
          <w:b/>
          <w:color w:val="000000" w:themeColor="text1"/>
          <w:sz w:val="24"/>
          <w14:textFill>
            <w14:solidFill>
              <w14:schemeClr w14:val="tx1"/>
            </w14:solidFill>
          </w14:textFill>
        </w:rPr>
      </w:pPr>
    </w:p>
    <w:p w14:paraId="233213B8">
      <w:pPr>
        <w:spacing w:line="360" w:lineRule="auto"/>
        <w:rPr>
          <w:rFonts w:ascii="仿宋" w:hAnsi="仿宋" w:eastAsia="仿宋" w:cs="仿宋"/>
          <w:b/>
          <w:color w:val="000000" w:themeColor="text1"/>
          <w:sz w:val="24"/>
          <w14:textFill>
            <w14:solidFill>
              <w14:schemeClr w14:val="tx1"/>
            </w14:solidFill>
          </w14:textFill>
        </w:rPr>
      </w:pPr>
    </w:p>
    <w:p w14:paraId="532B3BEE">
      <w:pPr>
        <w:spacing w:line="360" w:lineRule="auto"/>
        <w:rPr>
          <w:rFonts w:ascii="仿宋" w:hAnsi="仿宋" w:eastAsia="仿宋" w:cs="仿宋"/>
          <w:b/>
          <w:color w:val="000000" w:themeColor="text1"/>
          <w:sz w:val="24"/>
          <w14:textFill>
            <w14:solidFill>
              <w14:schemeClr w14:val="tx1"/>
            </w14:solidFill>
          </w14:textFill>
        </w:rPr>
      </w:pPr>
    </w:p>
    <w:p w14:paraId="3CA6FB3E">
      <w:pPr>
        <w:spacing w:line="360" w:lineRule="auto"/>
        <w:rPr>
          <w:rFonts w:ascii="仿宋" w:hAnsi="仿宋" w:eastAsia="仿宋" w:cs="仿宋"/>
          <w:b/>
          <w:color w:val="000000" w:themeColor="text1"/>
          <w:sz w:val="24"/>
          <w14:textFill>
            <w14:solidFill>
              <w14:schemeClr w14:val="tx1"/>
            </w14:solidFill>
          </w14:textFill>
        </w:rPr>
      </w:pPr>
    </w:p>
    <w:p w14:paraId="6D0154EF">
      <w:pPr>
        <w:spacing w:line="360" w:lineRule="auto"/>
        <w:rPr>
          <w:rFonts w:ascii="仿宋" w:hAnsi="仿宋" w:eastAsia="仿宋" w:cs="仿宋"/>
          <w:b/>
          <w:color w:val="000000" w:themeColor="text1"/>
          <w:sz w:val="24"/>
          <w14:textFill>
            <w14:solidFill>
              <w14:schemeClr w14:val="tx1"/>
            </w14:solidFill>
          </w14:textFill>
        </w:rPr>
      </w:pPr>
    </w:p>
    <w:p w14:paraId="672445BD">
      <w:pPr>
        <w:spacing w:line="360" w:lineRule="auto"/>
        <w:jc w:val="left"/>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br w:type="page"/>
      </w:r>
      <w:r>
        <w:rPr>
          <w:rFonts w:hint="eastAsia" w:ascii="仿宋" w:hAnsi="仿宋" w:eastAsia="仿宋" w:cs="仿宋"/>
          <w:b/>
          <w:color w:val="000000" w:themeColor="text1"/>
          <w:spacing w:val="6"/>
          <w:sz w:val="32"/>
          <w:szCs w:val="32"/>
          <w14:textFill>
            <w14:solidFill>
              <w14:schemeClr w14:val="tx1"/>
            </w14:solidFill>
          </w14:textFill>
        </w:rPr>
        <w:t>附件2：质疑函范本及制作说明</w:t>
      </w:r>
    </w:p>
    <w:p w14:paraId="759459AB">
      <w:pPr>
        <w:spacing w:line="360" w:lineRule="auto"/>
        <w:jc w:val="center"/>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质疑函范本</w:t>
      </w:r>
    </w:p>
    <w:p w14:paraId="5740F88B">
      <w:pPr>
        <w:snapToGrid w:val="0"/>
        <w:spacing w:before="240" w:beforeLines="100" w:line="360" w:lineRule="auto"/>
        <w:rPr>
          <w:rFonts w:ascii="仿宋" w:hAnsi="仿宋" w:eastAsia="仿宋" w:cs="仿宋"/>
          <w:bCs/>
          <w:color w:val="000000" w:themeColor="text1"/>
          <w:sz w:val="24"/>
          <w14:textFill>
            <w14:solidFill>
              <w14:schemeClr w14:val="tx1"/>
            </w14:solidFill>
          </w14:textFill>
        </w:rPr>
      </w:pPr>
      <w:bookmarkStart w:id="595" w:name="_Toc28581"/>
      <w:bookmarkStart w:id="596" w:name="_Toc29432"/>
      <w:r>
        <w:rPr>
          <w:rFonts w:hint="eastAsia" w:ascii="仿宋" w:hAnsi="仿宋" w:eastAsia="仿宋" w:cs="仿宋"/>
          <w:bCs/>
          <w:color w:val="000000" w:themeColor="text1"/>
          <w:sz w:val="24"/>
          <w14:textFill>
            <w14:solidFill>
              <w14:schemeClr w14:val="tx1"/>
            </w14:solidFill>
          </w14:textFill>
        </w:rPr>
        <w:t>一、质疑供应商基本信息</w:t>
      </w:r>
      <w:bookmarkEnd w:id="595"/>
      <w:bookmarkEnd w:id="596"/>
    </w:p>
    <w:p w14:paraId="728BDD69">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质疑供应商：</w:t>
      </w:r>
      <w:r>
        <w:rPr>
          <w:rFonts w:hint="eastAsia" w:ascii="仿宋" w:hAnsi="仿宋" w:eastAsia="仿宋" w:cs="仿宋"/>
          <w:color w:val="000000" w:themeColor="text1"/>
          <w:sz w:val="24"/>
          <w:u w:val="dotted"/>
          <w14:textFill>
            <w14:solidFill>
              <w14:schemeClr w14:val="tx1"/>
            </w14:solidFill>
          </w14:textFill>
        </w:rPr>
        <w:t xml:space="preserve">                                        </w:t>
      </w:r>
    </w:p>
    <w:p w14:paraId="7AB9FB14">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地址：</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p>
    <w:p w14:paraId="4BE22ADF">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联系人：</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p>
    <w:p w14:paraId="3E93898C">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授权代表：</w:t>
      </w:r>
      <w:r>
        <w:rPr>
          <w:rFonts w:hint="eastAsia" w:ascii="仿宋" w:hAnsi="仿宋" w:eastAsia="仿宋" w:cs="仿宋"/>
          <w:color w:val="000000" w:themeColor="text1"/>
          <w:sz w:val="24"/>
          <w:u w:val="dotted"/>
          <w14:textFill>
            <w14:solidFill>
              <w14:schemeClr w14:val="tx1"/>
            </w14:solidFill>
          </w14:textFill>
        </w:rPr>
        <w:t xml:space="preserve">                                          </w:t>
      </w:r>
    </w:p>
    <w:p w14:paraId="3D10A636">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p>
    <w:p w14:paraId="42C5441A">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地址： </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p>
    <w:p w14:paraId="24D27529">
      <w:pPr>
        <w:snapToGrid w:val="0"/>
        <w:spacing w:line="360" w:lineRule="auto"/>
        <w:rPr>
          <w:rFonts w:ascii="仿宋" w:hAnsi="仿宋" w:eastAsia="仿宋" w:cs="仿宋"/>
          <w:bCs/>
          <w:color w:val="000000" w:themeColor="text1"/>
          <w:sz w:val="24"/>
          <w14:textFill>
            <w14:solidFill>
              <w14:schemeClr w14:val="tx1"/>
            </w14:solidFill>
          </w14:textFill>
        </w:rPr>
      </w:pPr>
      <w:bookmarkStart w:id="597" w:name="_Toc29698"/>
      <w:bookmarkStart w:id="598" w:name="_Toc5838"/>
      <w:r>
        <w:rPr>
          <w:rFonts w:hint="eastAsia" w:ascii="仿宋" w:hAnsi="仿宋" w:eastAsia="仿宋" w:cs="仿宋"/>
          <w:bCs/>
          <w:color w:val="000000" w:themeColor="text1"/>
          <w:sz w:val="24"/>
          <w14:textFill>
            <w14:solidFill>
              <w14:schemeClr w14:val="tx1"/>
            </w14:solidFill>
          </w14:textFill>
        </w:rPr>
        <w:t>二、质疑项目基本情况</w:t>
      </w:r>
      <w:bookmarkEnd w:id="597"/>
      <w:bookmarkEnd w:id="598"/>
    </w:p>
    <w:p w14:paraId="38E565F5">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质疑项目的名称：</w:t>
      </w:r>
      <w:r>
        <w:rPr>
          <w:rFonts w:hint="eastAsia" w:ascii="仿宋" w:hAnsi="仿宋" w:eastAsia="仿宋" w:cs="仿宋"/>
          <w:color w:val="000000" w:themeColor="text1"/>
          <w:sz w:val="24"/>
          <w:u w:val="dotted"/>
          <w14:textFill>
            <w14:solidFill>
              <w14:schemeClr w14:val="tx1"/>
            </w14:solidFill>
          </w14:textFill>
        </w:rPr>
        <w:t xml:space="preserve">                                      </w:t>
      </w:r>
    </w:p>
    <w:p w14:paraId="53854D75">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质疑项目的编号：</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包号：</w:t>
      </w:r>
      <w:r>
        <w:rPr>
          <w:rFonts w:hint="eastAsia" w:ascii="仿宋" w:hAnsi="仿宋" w:eastAsia="仿宋" w:cs="仿宋"/>
          <w:color w:val="000000" w:themeColor="text1"/>
          <w:sz w:val="24"/>
          <w:u w:val="dotted"/>
          <w14:textFill>
            <w14:solidFill>
              <w14:schemeClr w14:val="tx1"/>
            </w14:solidFill>
          </w14:textFill>
        </w:rPr>
        <w:t xml:space="preserve">                 </w:t>
      </w:r>
    </w:p>
    <w:p w14:paraId="3BF95918">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采购人名称：</w:t>
      </w:r>
      <w:r>
        <w:rPr>
          <w:rFonts w:hint="eastAsia" w:ascii="仿宋" w:hAnsi="仿宋" w:eastAsia="仿宋" w:cs="仿宋"/>
          <w:color w:val="000000" w:themeColor="text1"/>
          <w:sz w:val="24"/>
          <w:u w:val="dotted"/>
          <w14:textFill>
            <w14:solidFill>
              <w14:schemeClr w14:val="tx1"/>
            </w14:solidFill>
          </w14:textFill>
        </w:rPr>
        <w:t xml:space="preserve">                                         </w:t>
      </w:r>
    </w:p>
    <w:p w14:paraId="67DBD485">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采购文件获取日期：</w:t>
      </w:r>
      <w:r>
        <w:rPr>
          <w:rFonts w:hint="eastAsia" w:ascii="仿宋" w:hAnsi="仿宋" w:eastAsia="仿宋" w:cs="仿宋"/>
          <w:color w:val="000000" w:themeColor="text1"/>
          <w:sz w:val="24"/>
          <w:u w:val="dotted"/>
          <w14:textFill>
            <w14:solidFill>
              <w14:schemeClr w14:val="tx1"/>
            </w14:solidFill>
          </w14:textFill>
        </w:rPr>
        <w:t xml:space="preserve">                                           </w:t>
      </w:r>
    </w:p>
    <w:p w14:paraId="7774D43F">
      <w:pPr>
        <w:snapToGrid w:val="0"/>
        <w:spacing w:line="360" w:lineRule="auto"/>
        <w:rPr>
          <w:rFonts w:ascii="仿宋" w:hAnsi="仿宋" w:eastAsia="仿宋" w:cs="仿宋"/>
          <w:bCs/>
          <w:color w:val="000000" w:themeColor="text1"/>
          <w:sz w:val="24"/>
          <w14:textFill>
            <w14:solidFill>
              <w14:schemeClr w14:val="tx1"/>
            </w14:solidFill>
          </w14:textFill>
        </w:rPr>
      </w:pPr>
      <w:bookmarkStart w:id="599" w:name="_Toc7980"/>
      <w:bookmarkStart w:id="600" w:name="_Toc27545"/>
      <w:r>
        <w:rPr>
          <w:rFonts w:hint="eastAsia" w:ascii="仿宋" w:hAnsi="仿宋" w:eastAsia="仿宋" w:cs="仿宋"/>
          <w:bCs/>
          <w:color w:val="000000" w:themeColor="text1"/>
          <w:sz w:val="24"/>
          <w14:textFill>
            <w14:solidFill>
              <w14:schemeClr w14:val="tx1"/>
            </w14:solidFill>
          </w14:textFill>
        </w:rPr>
        <w:t>三、质疑事项具体内容</w:t>
      </w:r>
      <w:bookmarkEnd w:id="599"/>
      <w:bookmarkEnd w:id="600"/>
    </w:p>
    <w:p w14:paraId="57FF5E3C">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质疑事项1：</w:t>
      </w:r>
      <w:r>
        <w:rPr>
          <w:rFonts w:hint="eastAsia" w:ascii="仿宋" w:hAnsi="仿宋" w:eastAsia="仿宋" w:cs="仿宋"/>
          <w:color w:val="000000" w:themeColor="text1"/>
          <w:sz w:val="24"/>
          <w:u w:val="dotted"/>
          <w14:textFill>
            <w14:solidFill>
              <w14:schemeClr w14:val="tx1"/>
            </w14:solidFill>
          </w14:textFill>
        </w:rPr>
        <w:t xml:space="preserve">                                         </w:t>
      </w:r>
    </w:p>
    <w:p w14:paraId="7ACF0C9E">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事实依据：</w:t>
      </w:r>
      <w:r>
        <w:rPr>
          <w:rFonts w:hint="eastAsia" w:ascii="仿宋" w:hAnsi="仿宋" w:eastAsia="仿宋" w:cs="仿宋"/>
          <w:color w:val="000000" w:themeColor="text1"/>
          <w:sz w:val="24"/>
          <w:u w:val="dotted"/>
          <w14:textFill>
            <w14:solidFill>
              <w14:schemeClr w14:val="tx1"/>
            </w14:solidFill>
          </w14:textFill>
        </w:rPr>
        <w:t xml:space="preserve">                                          </w:t>
      </w:r>
    </w:p>
    <w:p w14:paraId="74240E05">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 xml:space="preserve">                                                       </w:t>
      </w:r>
    </w:p>
    <w:p w14:paraId="263AC324">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法律依据：</w:t>
      </w:r>
      <w:r>
        <w:rPr>
          <w:rFonts w:hint="eastAsia" w:ascii="仿宋" w:hAnsi="仿宋" w:eastAsia="仿宋" w:cs="仿宋"/>
          <w:color w:val="000000" w:themeColor="text1"/>
          <w:sz w:val="24"/>
          <w:u w:val="dotted"/>
          <w14:textFill>
            <w14:solidFill>
              <w14:schemeClr w14:val="tx1"/>
            </w14:solidFill>
          </w14:textFill>
        </w:rPr>
        <w:t xml:space="preserve">                                          </w:t>
      </w:r>
    </w:p>
    <w:p w14:paraId="375CF027">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 xml:space="preserve">                                                     </w:t>
      </w:r>
    </w:p>
    <w:p w14:paraId="0375EB3A">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质疑事项2</w:t>
      </w:r>
    </w:p>
    <w:p w14:paraId="5DCDC87D">
      <w:pPr>
        <w:snapToGrid w:val="0"/>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p w14:paraId="3A915AFF">
      <w:pPr>
        <w:snapToGrid w:val="0"/>
        <w:spacing w:line="360" w:lineRule="auto"/>
        <w:rPr>
          <w:rFonts w:ascii="仿宋" w:hAnsi="仿宋" w:eastAsia="仿宋" w:cs="仿宋"/>
          <w:bCs/>
          <w:color w:val="000000" w:themeColor="text1"/>
          <w:sz w:val="24"/>
          <w14:textFill>
            <w14:solidFill>
              <w14:schemeClr w14:val="tx1"/>
            </w14:solidFill>
          </w14:textFill>
        </w:rPr>
      </w:pPr>
      <w:bookmarkStart w:id="601" w:name="_Toc1505"/>
      <w:bookmarkStart w:id="602" w:name="_Toc23354"/>
      <w:r>
        <w:rPr>
          <w:rFonts w:hint="eastAsia" w:ascii="仿宋" w:hAnsi="仿宋" w:eastAsia="仿宋" w:cs="仿宋"/>
          <w:bCs/>
          <w:color w:val="000000" w:themeColor="text1"/>
          <w:sz w:val="24"/>
          <w14:textFill>
            <w14:solidFill>
              <w14:schemeClr w14:val="tx1"/>
            </w14:solidFill>
          </w14:textFill>
        </w:rPr>
        <w:t>四、与质疑事项相关的质疑请求</w:t>
      </w:r>
      <w:bookmarkEnd w:id="601"/>
      <w:bookmarkEnd w:id="602"/>
    </w:p>
    <w:p w14:paraId="755CBE94">
      <w:pPr>
        <w:snapToGrid w:val="0"/>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请求：</w:t>
      </w:r>
      <w:r>
        <w:rPr>
          <w:rFonts w:hint="eastAsia" w:ascii="仿宋" w:hAnsi="仿宋" w:eastAsia="仿宋" w:cs="仿宋"/>
          <w:color w:val="000000" w:themeColor="text1"/>
          <w:sz w:val="24"/>
          <w:u w:val="dotted"/>
          <w14:textFill>
            <w14:solidFill>
              <w14:schemeClr w14:val="tx1"/>
            </w14:solidFill>
          </w14:textFill>
        </w:rPr>
        <w:t xml:space="preserve">                                               </w:t>
      </w:r>
    </w:p>
    <w:p w14:paraId="02081AB9">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签字(签章)：                   公章：                      </w:t>
      </w:r>
    </w:p>
    <w:p w14:paraId="0BF5CE80">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日期：    </w:t>
      </w:r>
    </w:p>
    <w:p w14:paraId="6FFFCD2E">
      <w:pPr>
        <w:spacing w:line="360" w:lineRule="auto"/>
        <w:jc w:val="center"/>
        <w:rPr>
          <w:rFonts w:ascii="仿宋" w:hAnsi="仿宋" w:eastAsia="仿宋" w:cs="仿宋"/>
          <w:b/>
          <w:bCs/>
          <w:color w:val="000000" w:themeColor="text1"/>
          <w:sz w:val="24"/>
          <w14:textFill>
            <w14:solidFill>
              <w14:schemeClr w14:val="tx1"/>
            </w14:solidFill>
          </w14:textFill>
        </w:rPr>
      </w:pPr>
    </w:p>
    <w:p w14:paraId="436F55E3">
      <w:pPr>
        <w:spacing w:line="360" w:lineRule="auto"/>
        <w:rPr>
          <w:rFonts w:ascii="仿宋" w:hAnsi="仿宋" w:eastAsia="仿宋" w:cs="仿宋"/>
          <w:b/>
          <w:color w:val="000000" w:themeColor="text1"/>
          <w:sz w:val="24"/>
          <w14:textFill>
            <w14:solidFill>
              <w14:schemeClr w14:val="tx1"/>
            </w14:solidFill>
          </w14:textFill>
        </w:rPr>
      </w:pPr>
    </w:p>
    <w:p w14:paraId="213EBDA8">
      <w:pPr>
        <w:spacing w:line="360" w:lineRule="auto"/>
        <w:rPr>
          <w:rFonts w:ascii="仿宋" w:hAnsi="仿宋" w:eastAsia="仿宋" w:cs="仿宋"/>
          <w:b/>
          <w:color w:val="000000" w:themeColor="text1"/>
          <w:sz w:val="24"/>
          <w14:textFill>
            <w14:solidFill>
              <w14:schemeClr w14:val="tx1"/>
            </w14:solidFill>
          </w14:textFill>
        </w:rPr>
      </w:pPr>
    </w:p>
    <w:p w14:paraId="7EFEA7D9">
      <w:pPr>
        <w:spacing w:line="360" w:lineRule="auto"/>
        <w:rPr>
          <w:rFonts w:ascii="仿宋" w:hAnsi="仿宋" w:eastAsia="仿宋" w:cs="仿宋"/>
          <w:b/>
          <w:color w:val="000000" w:themeColor="text1"/>
          <w:sz w:val="24"/>
          <w14:textFill>
            <w14:solidFill>
              <w14:schemeClr w14:val="tx1"/>
            </w14:solidFill>
          </w14:textFill>
        </w:rPr>
      </w:pPr>
    </w:p>
    <w:p w14:paraId="0A7A3D86">
      <w:pPr>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质疑函制作说明：</w:t>
      </w:r>
    </w:p>
    <w:p w14:paraId="0E9703BE">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1.供应商提出质疑时，应提交质疑函和必要的证明材料。</w:t>
      </w:r>
    </w:p>
    <w:p w14:paraId="52773D21">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14:textFill>
            <w14:solidFill>
              <w14:schemeClr w14:val="tx1"/>
            </w14:solidFill>
          </w14:textFill>
        </w:rPr>
        <w:t>供应商签署的授权委托书。授权委托书应载明代理人的姓名或者名称、代理事项、具体权限、期限和相关事项。</w:t>
      </w:r>
    </w:p>
    <w:p w14:paraId="4371022A">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3.质疑供应商若对项目的某一分包进行质疑，质疑函中应列明具体分包号。</w:t>
      </w:r>
    </w:p>
    <w:p w14:paraId="616CE3AA">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4.质疑函的质疑事项应具体、明确，并有必要的事实依据和法律依据。</w:t>
      </w:r>
    </w:p>
    <w:p w14:paraId="2966EBDE">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5.质疑函的质疑请求应与质疑事项相关。</w:t>
      </w:r>
    </w:p>
    <w:p w14:paraId="6C7367D5">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22633B76">
      <w:pPr>
        <w:pStyle w:val="18"/>
        <w:rPr>
          <w:rFonts w:ascii="仿宋" w:hAnsi="仿宋" w:eastAsia="仿宋" w:cs="仿宋"/>
          <w:color w:val="000000" w:themeColor="text1"/>
          <w:lang w:val="en-US"/>
          <w14:textFill>
            <w14:solidFill>
              <w14:schemeClr w14:val="tx1"/>
            </w14:solidFill>
          </w14:textFill>
        </w:rPr>
      </w:pPr>
      <w:r>
        <w:rPr>
          <w:rFonts w:hint="eastAsia" w:ascii="仿宋" w:hAnsi="仿宋" w:eastAsia="仿宋" w:cs="仿宋"/>
          <w:color w:val="000000" w:themeColor="text1"/>
          <w:lang w:val="en-US"/>
          <w14:textFill>
            <w14:solidFill>
              <w14:schemeClr w14:val="tx1"/>
            </w14:solidFill>
          </w14:textFill>
        </w:rPr>
        <w:t>7.以书面形式提交的，应按采购文件规定送达指定地点；以</w:t>
      </w:r>
      <w:r>
        <w:rPr>
          <w:rFonts w:hint="eastAsia" w:ascii="仿宋" w:hAnsi="仿宋" w:eastAsia="仿宋" w:cs="仿宋"/>
          <w:color w:val="000000" w:themeColor="text1"/>
          <w14:textFill>
            <w14:solidFill>
              <w14:schemeClr w14:val="tx1"/>
            </w14:solidFill>
          </w14:textFill>
        </w:rPr>
        <w:t>政采云平台</w:t>
      </w:r>
      <w:r>
        <w:rPr>
          <w:rFonts w:hint="eastAsia" w:ascii="仿宋" w:hAnsi="仿宋" w:eastAsia="仿宋" w:cs="仿宋"/>
          <w:color w:val="000000" w:themeColor="text1"/>
          <w:lang w:val="en-US"/>
          <w14:textFill>
            <w14:solidFill>
              <w14:schemeClr w14:val="tx1"/>
            </w14:solidFill>
          </w14:textFill>
        </w:rPr>
        <w:t>（https://www.zcygov.cn/）</w:t>
      </w:r>
      <w:r>
        <w:rPr>
          <w:rFonts w:hint="eastAsia" w:ascii="仿宋" w:hAnsi="仿宋" w:eastAsia="仿宋" w:cs="仿宋"/>
          <w:color w:val="000000" w:themeColor="text1"/>
          <w14:textFill>
            <w14:solidFill>
              <w14:schemeClr w14:val="tx1"/>
            </w14:solidFill>
          </w14:textFill>
        </w:rPr>
        <w:t>通过</w:t>
      </w:r>
      <w:r>
        <w:rPr>
          <w:rFonts w:hint="eastAsia" w:ascii="仿宋" w:hAnsi="仿宋" w:eastAsia="仿宋" w:cs="仿宋"/>
          <w:color w:val="000000" w:themeColor="text1"/>
          <w:lang w:val="en-US"/>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询问质疑投诉</w:t>
      </w:r>
      <w:r>
        <w:rPr>
          <w:rFonts w:hint="eastAsia" w:ascii="仿宋" w:hAnsi="仿宋" w:eastAsia="仿宋" w:cs="仿宋"/>
          <w:color w:val="000000" w:themeColor="text1"/>
          <w:lang w:val="en-US"/>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栏提交的</w:t>
      </w:r>
      <w:r>
        <w:rPr>
          <w:rFonts w:hint="eastAsia" w:ascii="仿宋" w:hAnsi="仿宋" w:eastAsia="仿宋" w:cs="仿宋"/>
          <w:color w:val="000000" w:themeColor="text1"/>
          <w:lang w:val="en-US"/>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应正确填写质疑供应商基本信息、被质疑人信息、质疑事项具体内容、质疑请求</w:t>
      </w:r>
      <w:r>
        <w:rPr>
          <w:rFonts w:hint="eastAsia" w:ascii="仿宋" w:hAnsi="仿宋" w:eastAsia="仿宋" w:cs="仿宋"/>
          <w:color w:val="000000" w:themeColor="text1"/>
          <w:lang w:val="en-US"/>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并上传书面质疑函扫描件。</w:t>
      </w:r>
    </w:p>
    <w:p w14:paraId="53ECD2B1">
      <w:pPr>
        <w:widowControl/>
        <w:spacing w:line="360" w:lineRule="auto"/>
        <w:ind w:firstLine="600" w:firstLineChars="200"/>
        <w:jc w:val="left"/>
        <w:rPr>
          <w:rFonts w:ascii="仿宋" w:hAnsi="仿宋" w:eastAsia="仿宋" w:cs="仿宋"/>
          <w:color w:val="000000" w:themeColor="text1"/>
          <w:sz w:val="30"/>
          <w:szCs w:val="30"/>
          <w14:textFill>
            <w14:solidFill>
              <w14:schemeClr w14:val="tx1"/>
            </w14:solidFill>
          </w14:textFill>
        </w:rPr>
      </w:pPr>
    </w:p>
    <w:p w14:paraId="3F5BAC50">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3AEE5500">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643FB5F8">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7B34C42E">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325717CA">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52387C9E">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5C11AA3D">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2CBCD521">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63492D33">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0957F20B">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0DED54C9">
      <w:pPr>
        <w:spacing w:line="360" w:lineRule="auto"/>
        <w:jc w:val="center"/>
        <w:rPr>
          <w:rFonts w:ascii="仿宋" w:hAnsi="仿宋" w:eastAsia="仿宋" w:cs="仿宋"/>
          <w:b/>
          <w:color w:val="000000" w:themeColor="text1"/>
          <w:spacing w:val="6"/>
          <w:sz w:val="32"/>
          <w:szCs w:val="32"/>
          <w14:textFill>
            <w14:solidFill>
              <w14:schemeClr w14:val="tx1"/>
            </w14:solidFill>
          </w14:textFill>
        </w:rPr>
      </w:pPr>
    </w:p>
    <w:p w14:paraId="64DA4CC1">
      <w:pPr>
        <w:spacing w:line="360" w:lineRule="auto"/>
        <w:jc w:val="left"/>
        <w:rPr>
          <w:rFonts w:ascii="仿宋" w:hAnsi="仿宋" w:eastAsia="仿宋" w:cs="仿宋"/>
          <w:b/>
          <w:color w:val="000000" w:themeColor="text1"/>
          <w:spacing w:val="6"/>
          <w:sz w:val="32"/>
          <w:szCs w:val="32"/>
          <w14:textFill>
            <w14:solidFill>
              <w14:schemeClr w14:val="tx1"/>
            </w14:solidFill>
          </w14:textFill>
        </w:rPr>
      </w:pPr>
      <w:bookmarkStart w:id="603" w:name="_Toc5"/>
      <w:bookmarkStart w:id="604" w:name="_Toc7128"/>
      <w:r>
        <w:rPr>
          <w:rFonts w:hint="eastAsia" w:ascii="仿宋" w:hAnsi="仿宋" w:eastAsia="仿宋" w:cs="仿宋"/>
          <w:b/>
          <w:color w:val="000000" w:themeColor="text1"/>
          <w:spacing w:val="6"/>
          <w:sz w:val="32"/>
          <w:szCs w:val="32"/>
          <w14:textFill>
            <w14:solidFill>
              <w14:schemeClr w14:val="tx1"/>
            </w14:solidFill>
          </w14:textFill>
        </w:rPr>
        <w:t>附件3：投诉书范本及制作说明</w:t>
      </w:r>
      <w:bookmarkEnd w:id="603"/>
      <w:bookmarkEnd w:id="604"/>
    </w:p>
    <w:p w14:paraId="25BF689F">
      <w:pPr>
        <w:spacing w:line="360" w:lineRule="auto"/>
        <w:jc w:val="center"/>
        <w:rPr>
          <w:rFonts w:ascii="仿宋" w:hAnsi="仿宋" w:eastAsia="仿宋" w:cs="仿宋"/>
          <w:b/>
          <w:color w:val="000000" w:themeColor="text1"/>
          <w:sz w:val="24"/>
          <w14:textFill>
            <w14:solidFill>
              <w14:schemeClr w14:val="tx1"/>
            </w14:solidFill>
          </w14:textFill>
        </w:rPr>
      </w:pPr>
    </w:p>
    <w:p w14:paraId="3B1D73CE">
      <w:pPr>
        <w:spacing w:line="360" w:lineRule="auto"/>
        <w:jc w:val="center"/>
        <w:rPr>
          <w:rFonts w:ascii="仿宋" w:hAnsi="仿宋" w:eastAsia="仿宋" w:cs="仿宋"/>
          <w:b/>
          <w:color w:val="000000" w:themeColor="text1"/>
          <w:spacing w:val="6"/>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t>投诉书范本</w:t>
      </w:r>
    </w:p>
    <w:p w14:paraId="73F069B8">
      <w:pPr>
        <w:spacing w:line="360" w:lineRule="auto"/>
        <w:rPr>
          <w:rFonts w:ascii="仿宋" w:hAnsi="仿宋" w:eastAsia="仿宋" w:cs="仿宋"/>
          <w:color w:val="000000" w:themeColor="text1"/>
          <w:sz w:val="24"/>
          <w14:textFill>
            <w14:solidFill>
              <w14:schemeClr w14:val="tx1"/>
            </w14:solidFill>
          </w14:textFill>
        </w:rPr>
      </w:pPr>
      <w:bookmarkStart w:id="605" w:name="_Toc15813"/>
      <w:bookmarkStart w:id="606" w:name="_Toc13163"/>
      <w:r>
        <w:rPr>
          <w:rFonts w:hint="eastAsia" w:ascii="仿宋" w:hAnsi="仿宋" w:eastAsia="仿宋" w:cs="仿宋"/>
          <w:color w:val="000000" w:themeColor="text1"/>
          <w:sz w:val="24"/>
          <w14:textFill>
            <w14:solidFill>
              <w14:schemeClr w14:val="tx1"/>
            </w14:solidFill>
          </w14:textFill>
        </w:rPr>
        <w:t>一、投诉相关主体基本情况</w:t>
      </w:r>
      <w:bookmarkEnd w:id="605"/>
      <w:bookmarkEnd w:id="606"/>
    </w:p>
    <w:p w14:paraId="6914A769">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投诉人：</w:t>
      </w:r>
      <w:r>
        <w:rPr>
          <w:rFonts w:hint="eastAsia" w:ascii="仿宋" w:hAnsi="仿宋" w:eastAsia="仿宋" w:cs="仿宋"/>
          <w:color w:val="000000" w:themeColor="text1"/>
          <w:sz w:val="24"/>
          <w:u w:val="dotted"/>
          <w14:textFill>
            <w14:solidFill>
              <w14:schemeClr w14:val="tx1"/>
            </w14:solidFill>
          </w14:textFill>
        </w:rPr>
        <w:t xml:space="preserve">                                               </w:t>
      </w:r>
    </w:p>
    <w:p w14:paraId="586752D1">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0EE0F671">
      <w:pPr>
        <w:tabs>
          <w:tab w:val="left" w:pos="6510"/>
        </w:tabs>
        <w:spacing w:line="360" w:lineRule="auto"/>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法定代表人/主要负责人：</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p>
    <w:p w14:paraId="675B10B5">
      <w:pPr>
        <w:tabs>
          <w:tab w:val="left" w:pos="6510"/>
        </w:tabs>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p>
    <w:p w14:paraId="2B9CF0C8">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授权代表：</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p>
    <w:p w14:paraId="3ECDFA41">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u w:val="dotted"/>
          <w14:textFill>
            <w14:solidFill>
              <w14:schemeClr w14:val="tx1"/>
            </w14:solidFill>
          </w14:textFill>
        </w:rPr>
        <w:t xml:space="preserve">                   </w:t>
      </w:r>
    </w:p>
    <w:p w14:paraId="7F066208">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被投诉人1：</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32EBC59E">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1A0909DB">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联系人：</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67CBC6A9">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被投诉人2</w:t>
      </w:r>
    </w:p>
    <w:p w14:paraId="0F9132C4">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p w14:paraId="505535DC">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相关供应商：</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70001CA6">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邮编：</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4F580371">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联系人：</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联系电话：</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7E88D8B1">
      <w:pPr>
        <w:spacing w:line="360" w:lineRule="auto"/>
        <w:rPr>
          <w:rFonts w:ascii="仿宋" w:hAnsi="仿宋" w:eastAsia="仿宋" w:cs="仿宋"/>
          <w:color w:val="000000" w:themeColor="text1"/>
          <w:sz w:val="24"/>
          <w14:textFill>
            <w14:solidFill>
              <w14:schemeClr w14:val="tx1"/>
            </w14:solidFill>
          </w14:textFill>
        </w:rPr>
      </w:pPr>
      <w:bookmarkStart w:id="607" w:name="_Toc6957"/>
      <w:bookmarkStart w:id="608" w:name="_Toc2206"/>
      <w:r>
        <w:rPr>
          <w:rFonts w:hint="eastAsia" w:ascii="仿宋" w:hAnsi="仿宋" w:eastAsia="仿宋" w:cs="仿宋"/>
          <w:color w:val="000000" w:themeColor="text1"/>
          <w:sz w:val="24"/>
          <w14:textFill>
            <w14:solidFill>
              <w14:schemeClr w14:val="tx1"/>
            </w14:solidFill>
          </w14:textFill>
        </w:rPr>
        <w:t>二、投诉项目基本情况</w:t>
      </w:r>
      <w:bookmarkEnd w:id="607"/>
      <w:bookmarkEnd w:id="608"/>
    </w:p>
    <w:p w14:paraId="62EE0BEA">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采购项目名称：</w:t>
      </w:r>
      <w:r>
        <w:rPr>
          <w:rFonts w:hint="eastAsia" w:ascii="仿宋" w:hAnsi="仿宋" w:eastAsia="仿宋" w:cs="仿宋"/>
          <w:color w:val="000000" w:themeColor="text1"/>
          <w:sz w:val="24"/>
          <w:u w:val="dotted"/>
          <w14:textFill>
            <w14:solidFill>
              <w14:schemeClr w14:val="tx1"/>
            </w14:solidFill>
          </w14:textFill>
        </w:rPr>
        <w:t xml:space="preserve">                                        </w:t>
      </w:r>
    </w:p>
    <w:p w14:paraId="614BF589">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采购项目编号：</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包号：</w:t>
      </w:r>
      <w:r>
        <w:rPr>
          <w:rFonts w:hint="eastAsia" w:ascii="仿宋" w:hAnsi="仿宋" w:eastAsia="仿宋" w:cs="仿宋"/>
          <w:color w:val="000000" w:themeColor="text1"/>
          <w:sz w:val="24"/>
          <w:u w:val="dotted"/>
          <w14:textFill>
            <w14:solidFill>
              <w14:schemeClr w14:val="tx1"/>
            </w14:solidFill>
          </w14:textFill>
        </w:rPr>
        <w:t xml:space="preserve">              </w:t>
      </w:r>
    </w:p>
    <w:p w14:paraId="3A176754">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采购人名称：</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 xml:space="preserve">  </w:t>
      </w:r>
    </w:p>
    <w:p w14:paraId="2EE3E433">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代理机构名称：</w:t>
      </w:r>
      <w:r>
        <w:rPr>
          <w:rFonts w:hint="eastAsia" w:ascii="仿宋" w:hAnsi="仿宋" w:eastAsia="仿宋" w:cs="仿宋"/>
          <w:color w:val="000000" w:themeColor="text1"/>
          <w:sz w:val="24"/>
          <w:u w:val="dotted"/>
          <w14:textFill>
            <w14:solidFill>
              <w14:schemeClr w14:val="tx1"/>
            </w14:solidFill>
          </w14:textFill>
        </w:rPr>
        <w:t xml:space="preserve">                                         </w:t>
      </w:r>
    </w:p>
    <w:p w14:paraId="77B63478">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采购文件公告：</w:t>
      </w:r>
      <w:r>
        <w:rPr>
          <w:rFonts w:hint="eastAsia" w:ascii="仿宋" w:hAnsi="仿宋" w:eastAsia="仿宋" w:cs="仿宋"/>
          <w:color w:val="000000" w:themeColor="text1"/>
          <w:sz w:val="24"/>
          <w:u w:val="dotted"/>
          <w14:textFill>
            <w14:solidFill>
              <w14:schemeClr w14:val="tx1"/>
            </w14:solidFill>
          </w14:textFill>
        </w:rPr>
        <w:t xml:space="preserve">是/否 </w:t>
      </w:r>
      <w:r>
        <w:rPr>
          <w:rFonts w:hint="eastAsia" w:ascii="仿宋" w:hAnsi="仿宋" w:eastAsia="仿宋" w:cs="仿宋"/>
          <w:color w:val="000000" w:themeColor="text1"/>
          <w:sz w:val="24"/>
          <w14:textFill>
            <w14:solidFill>
              <w14:schemeClr w14:val="tx1"/>
            </w14:solidFill>
          </w14:textFill>
        </w:rPr>
        <w:t>公告期限：</w:t>
      </w:r>
      <w:r>
        <w:rPr>
          <w:rFonts w:hint="eastAsia" w:ascii="仿宋" w:hAnsi="仿宋" w:eastAsia="仿宋" w:cs="仿宋"/>
          <w:color w:val="000000" w:themeColor="text1"/>
          <w:sz w:val="24"/>
          <w:u w:val="dotted"/>
          <w14:textFill>
            <w14:solidFill>
              <w14:schemeClr w14:val="tx1"/>
            </w14:solidFill>
          </w14:textFill>
        </w:rPr>
        <w:t xml:space="preserve">                                 </w:t>
      </w:r>
    </w:p>
    <w:p w14:paraId="2407C56C">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采购结果公告：</w:t>
      </w:r>
      <w:r>
        <w:rPr>
          <w:rFonts w:hint="eastAsia" w:ascii="仿宋" w:hAnsi="仿宋" w:eastAsia="仿宋" w:cs="仿宋"/>
          <w:color w:val="000000" w:themeColor="text1"/>
          <w:sz w:val="24"/>
          <w:u w:val="dotted"/>
          <w14:textFill>
            <w14:solidFill>
              <w14:schemeClr w14:val="tx1"/>
            </w14:solidFill>
          </w14:textFill>
        </w:rPr>
        <w:t xml:space="preserve">是/否 </w:t>
      </w:r>
      <w:r>
        <w:rPr>
          <w:rFonts w:hint="eastAsia" w:ascii="仿宋" w:hAnsi="仿宋" w:eastAsia="仿宋" w:cs="仿宋"/>
          <w:color w:val="000000" w:themeColor="text1"/>
          <w:sz w:val="24"/>
          <w14:textFill>
            <w14:solidFill>
              <w14:schemeClr w14:val="tx1"/>
            </w14:solidFill>
          </w14:textFill>
        </w:rPr>
        <w:t>公告期限：</w:t>
      </w:r>
      <w:r>
        <w:rPr>
          <w:rFonts w:hint="eastAsia" w:ascii="仿宋" w:hAnsi="仿宋" w:eastAsia="仿宋" w:cs="仿宋"/>
          <w:color w:val="000000" w:themeColor="text1"/>
          <w:sz w:val="24"/>
          <w:u w:val="dotted"/>
          <w14:textFill>
            <w14:solidFill>
              <w14:schemeClr w14:val="tx1"/>
            </w14:solidFill>
          </w14:textFill>
        </w:rPr>
        <w:t xml:space="preserve">                        </w:t>
      </w:r>
    </w:p>
    <w:p w14:paraId="592D9461">
      <w:pPr>
        <w:spacing w:line="360" w:lineRule="auto"/>
        <w:rPr>
          <w:rFonts w:ascii="仿宋" w:hAnsi="仿宋" w:eastAsia="仿宋" w:cs="仿宋"/>
          <w:color w:val="000000" w:themeColor="text1"/>
          <w:sz w:val="24"/>
          <w14:textFill>
            <w14:solidFill>
              <w14:schemeClr w14:val="tx1"/>
            </w14:solidFill>
          </w14:textFill>
        </w:rPr>
      </w:pPr>
      <w:bookmarkStart w:id="609" w:name="_Toc11628"/>
      <w:bookmarkStart w:id="610" w:name="_Toc31921"/>
      <w:r>
        <w:rPr>
          <w:rFonts w:hint="eastAsia" w:ascii="仿宋" w:hAnsi="仿宋" w:eastAsia="仿宋" w:cs="仿宋"/>
          <w:color w:val="000000" w:themeColor="text1"/>
          <w:sz w:val="24"/>
          <w14:textFill>
            <w14:solidFill>
              <w14:schemeClr w14:val="tx1"/>
            </w14:solidFill>
          </w14:textFill>
        </w:rPr>
        <w:t>三、质疑基本情况</w:t>
      </w:r>
      <w:bookmarkEnd w:id="609"/>
      <w:bookmarkEnd w:id="610"/>
    </w:p>
    <w:p w14:paraId="44A22667">
      <w:pPr>
        <w:spacing w:line="360" w:lineRule="auto"/>
        <w:ind w:firstLine="480" w:firstLineChars="200"/>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投诉人于</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日，向</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提出质疑，质疑事项为：</w:t>
      </w:r>
      <w:r>
        <w:rPr>
          <w:rFonts w:hint="eastAsia" w:ascii="仿宋" w:hAnsi="仿宋" w:eastAsia="仿宋" w:cs="仿宋"/>
          <w:color w:val="000000" w:themeColor="text1"/>
          <w:sz w:val="24"/>
          <w:u w:val="dotted"/>
          <w14:textFill>
            <w14:solidFill>
              <w14:schemeClr w14:val="tx1"/>
            </w14:solidFill>
          </w14:textFill>
        </w:rPr>
        <w:t xml:space="preserve">                                </w:t>
      </w:r>
    </w:p>
    <w:p w14:paraId="1BA81D1B">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p>
    <w:p w14:paraId="1B714690">
      <w:pPr>
        <w:spacing w:line="360" w:lineRule="auto"/>
        <w:ind w:firstLine="360" w:firstLineChars="15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采购人/代理机构</w:t>
      </w:r>
      <w:r>
        <w:rPr>
          <w:rFonts w:hint="eastAsia" w:ascii="仿宋" w:hAnsi="仿宋" w:eastAsia="仿宋" w:cs="仿宋"/>
          <w:color w:val="000000" w:themeColor="text1"/>
          <w:sz w:val="24"/>
          <w14:textFill>
            <w14:solidFill>
              <w14:schemeClr w14:val="tx1"/>
            </w14:solidFill>
          </w14:textFill>
        </w:rPr>
        <w:t>于</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日，就质疑事项作出了答复/没有在法定期限内作出答复。</w:t>
      </w:r>
    </w:p>
    <w:p w14:paraId="63ACCD2A">
      <w:pPr>
        <w:spacing w:line="360" w:lineRule="auto"/>
        <w:rPr>
          <w:rFonts w:ascii="仿宋" w:hAnsi="仿宋" w:eastAsia="仿宋" w:cs="仿宋"/>
          <w:color w:val="000000" w:themeColor="text1"/>
          <w:sz w:val="24"/>
          <w14:textFill>
            <w14:solidFill>
              <w14:schemeClr w14:val="tx1"/>
            </w14:solidFill>
          </w14:textFill>
        </w:rPr>
      </w:pPr>
      <w:bookmarkStart w:id="611" w:name="_Toc12060"/>
      <w:bookmarkStart w:id="612" w:name="_Toc27646"/>
      <w:r>
        <w:rPr>
          <w:rFonts w:hint="eastAsia" w:ascii="仿宋" w:hAnsi="仿宋" w:eastAsia="仿宋" w:cs="仿宋"/>
          <w:color w:val="000000" w:themeColor="text1"/>
          <w:sz w:val="24"/>
          <w14:textFill>
            <w14:solidFill>
              <w14:schemeClr w14:val="tx1"/>
            </w14:solidFill>
          </w14:textFill>
        </w:rPr>
        <w:t>四、投诉事项具体内容</w:t>
      </w:r>
      <w:bookmarkEnd w:id="611"/>
      <w:bookmarkEnd w:id="612"/>
    </w:p>
    <w:p w14:paraId="7747AFB4">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投诉事项 1：</w:t>
      </w:r>
      <w:r>
        <w:rPr>
          <w:rFonts w:hint="eastAsia" w:ascii="仿宋" w:hAnsi="仿宋" w:eastAsia="仿宋" w:cs="仿宋"/>
          <w:color w:val="000000" w:themeColor="text1"/>
          <w:sz w:val="24"/>
          <w:u w:val="dotted"/>
          <w14:textFill>
            <w14:solidFill>
              <w14:schemeClr w14:val="tx1"/>
            </w14:solidFill>
          </w14:textFill>
        </w:rPr>
        <w:t xml:space="preserve">                                       </w:t>
      </w:r>
    </w:p>
    <w:p w14:paraId="142C785E">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事实依据：</w:t>
      </w:r>
      <w:r>
        <w:rPr>
          <w:rFonts w:hint="eastAsia" w:ascii="仿宋" w:hAnsi="仿宋" w:eastAsia="仿宋" w:cs="仿宋"/>
          <w:color w:val="000000" w:themeColor="text1"/>
          <w:sz w:val="24"/>
          <w:u w:val="dotted"/>
          <w14:textFill>
            <w14:solidFill>
              <w14:schemeClr w14:val="tx1"/>
            </w14:solidFill>
          </w14:textFill>
        </w:rPr>
        <w:t xml:space="preserve">                                         </w:t>
      </w:r>
    </w:p>
    <w:p w14:paraId="091257E3">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 xml:space="preserve">                                                      </w:t>
      </w:r>
    </w:p>
    <w:p w14:paraId="1FC2599D">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法律依据：</w:t>
      </w:r>
      <w:r>
        <w:rPr>
          <w:rFonts w:hint="eastAsia" w:ascii="仿宋" w:hAnsi="仿宋" w:eastAsia="仿宋" w:cs="仿宋"/>
          <w:color w:val="000000" w:themeColor="text1"/>
          <w:sz w:val="24"/>
          <w:u w:val="dotted"/>
          <w14:textFill>
            <w14:solidFill>
              <w14:schemeClr w14:val="tx1"/>
            </w14:solidFill>
          </w14:textFill>
        </w:rPr>
        <w:t xml:space="preserve">                                          </w:t>
      </w:r>
    </w:p>
    <w:p w14:paraId="7DF48DB6">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u w:val="dotted"/>
          <w14:textFill>
            <w14:solidFill>
              <w14:schemeClr w14:val="tx1"/>
            </w14:solidFill>
          </w14:textFill>
        </w:rPr>
        <w:t xml:space="preserve">                                                      </w:t>
      </w:r>
    </w:p>
    <w:p w14:paraId="29ED695E">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投诉事项2</w:t>
      </w:r>
    </w:p>
    <w:p w14:paraId="13F00482">
      <w:pPr>
        <w:spacing w:line="360" w:lineRule="auto"/>
        <w:rPr>
          <w:rFonts w:ascii="仿宋" w:hAnsi="仿宋" w:eastAsia="仿宋" w:cs="仿宋"/>
          <w:color w:val="000000" w:themeColor="text1"/>
          <w:sz w:val="24"/>
          <w:u w:val="dotted"/>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p w14:paraId="79E99C08">
      <w:pPr>
        <w:spacing w:line="360" w:lineRule="auto"/>
        <w:rPr>
          <w:rFonts w:ascii="仿宋" w:hAnsi="仿宋" w:eastAsia="仿宋" w:cs="仿宋"/>
          <w:color w:val="000000" w:themeColor="text1"/>
          <w:sz w:val="24"/>
          <w14:textFill>
            <w14:solidFill>
              <w14:schemeClr w14:val="tx1"/>
            </w14:solidFill>
          </w14:textFill>
        </w:rPr>
      </w:pPr>
      <w:bookmarkStart w:id="613" w:name="_Toc12873"/>
      <w:bookmarkStart w:id="614" w:name="_Toc28384"/>
      <w:r>
        <w:rPr>
          <w:rFonts w:hint="eastAsia" w:ascii="仿宋" w:hAnsi="仿宋" w:eastAsia="仿宋" w:cs="仿宋"/>
          <w:color w:val="000000" w:themeColor="text1"/>
          <w:sz w:val="24"/>
          <w14:textFill>
            <w14:solidFill>
              <w14:schemeClr w14:val="tx1"/>
            </w14:solidFill>
          </w14:textFill>
        </w:rPr>
        <w:t>五、与投诉事项相关的投诉请求</w:t>
      </w:r>
      <w:bookmarkEnd w:id="613"/>
      <w:bookmarkEnd w:id="614"/>
    </w:p>
    <w:p w14:paraId="1213D093">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请求：</w:t>
      </w:r>
      <w:r>
        <w:rPr>
          <w:rFonts w:hint="eastAsia" w:ascii="仿宋" w:hAnsi="仿宋" w:eastAsia="仿宋" w:cs="仿宋"/>
          <w:color w:val="000000" w:themeColor="text1"/>
          <w:sz w:val="24"/>
          <w:u w:val="dotted"/>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p>
    <w:p w14:paraId="1D356003">
      <w:pPr>
        <w:spacing w:line="360" w:lineRule="auto"/>
        <w:rPr>
          <w:rFonts w:ascii="仿宋" w:hAnsi="仿宋" w:eastAsia="仿宋" w:cs="仿宋"/>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w:t>
      </w:r>
    </w:p>
    <w:p w14:paraId="23B106F1">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签字(签章)：                   公章：                      </w:t>
      </w:r>
    </w:p>
    <w:p w14:paraId="596419B3">
      <w:pPr>
        <w:spacing w:line="360" w:lineRule="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日期：    </w:t>
      </w:r>
    </w:p>
    <w:p w14:paraId="703AD32C">
      <w:pPr>
        <w:spacing w:line="360" w:lineRule="auto"/>
        <w:rPr>
          <w:rFonts w:ascii="仿宋" w:hAnsi="仿宋" w:eastAsia="仿宋" w:cs="仿宋"/>
          <w:b/>
          <w:color w:val="000000" w:themeColor="text1"/>
          <w:sz w:val="24"/>
          <w14:textFill>
            <w14:solidFill>
              <w14:schemeClr w14:val="tx1"/>
            </w14:solidFill>
          </w14:textFill>
        </w:rPr>
      </w:pPr>
    </w:p>
    <w:p w14:paraId="1BC43573">
      <w:pPr>
        <w:spacing w:line="360" w:lineRule="auto"/>
        <w:rPr>
          <w:rFonts w:ascii="仿宋" w:hAnsi="仿宋" w:eastAsia="仿宋" w:cs="仿宋"/>
          <w:b/>
          <w:color w:val="000000" w:themeColor="text1"/>
          <w:sz w:val="24"/>
          <w14:textFill>
            <w14:solidFill>
              <w14:schemeClr w14:val="tx1"/>
            </w14:solidFill>
          </w14:textFill>
        </w:rPr>
      </w:pPr>
    </w:p>
    <w:p w14:paraId="514336FF">
      <w:pPr>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投诉书制作说明：</w:t>
      </w:r>
    </w:p>
    <w:p w14:paraId="1AA1B3A6">
      <w:pPr>
        <w:widowControl/>
        <w:spacing w:line="360" w:lineRule="auto"/>
        <w:ind w:firstLine="480" w:firstLineChars="20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1.投诉人提起投诉时，应当提交投诉书和必要的证明材料，并按照被投诉人和与投诉事项有关的供应商数量提供投诉书副本。</w:t>
      </w:r>
    </w:p>
    <w:p w14:paraId="4875A712">
      <w:pPr>
        <w:widowControl/>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14:textFill>
            <w14:solidFill>
              <w14:schemeClr w14:val="tx1"/>
            </w14:solidFill>
          </w14:textFill>
        </w:rPr>
        <w:t>投诉人签署的授权委托书。授权委托书应当载明代理人的姓名或者名称、代理事项、具体权限、期限和相关事项。</w:t>
      </w:r>
    </w:p>
    <w:p w14:paraId="6497271E">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3.投诉人若对项目的某一分包进行投诉，投诉书应列明具体分包号。</w:t>
      </w:r>
    </w:p>
    <w:p w14:paraId="15C491FA">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4.投诉书应简要列明质疑事项，质疑函、质疑答复等作为附件材料提供。</w:t>
      </w:r>
    </w:p>
    <w:p w14:paraId="3120E2C3">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5.投诉书的投诉事项应具体、明确，并有必要的事实依据和法律依据。</w:t>
      </w:r>
    </w:p>
    <w:p w14:paraId="55A81C7E">
      <w:pPr>
        <w:widowControl/>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6.投诉书的投诉请求应与投诉事项相关。</w:t>
      </w:r>
    </w:p>
    <w:p w14:paraId="2D59FCD2">
      <w:pPr>
        <w:widowControl/>
        <w:spacing w:line="360" w:lineRule="auto"/>
        <w:ind w:firstLine="480" w:firstLineChars="200"/>
        <w:jc w:val="left"/>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044BF1B">
      <w:pPr>
        <w:spacing w:line="360" w:lineRule="auto"/>
        <w:rPr>
          <w:rFonts w:ascii="仿宋" w:hAnsi="仿宋" w:eastAsia="仿宋" w:cs="仿宋"/>
          <w:b/>
          <w:color w:val="000000" w:themeColor="text1"/>
          <w:sz w:val="24"/>
          <w14:textFill>
            <w14:solidFill>
              <w14:schemeClr w14:val="tx1"/>
            </w14:solidFill>
          </w14:textFill>
        </w:rPr>
      </w:pPr>
    </w:p>
    <w:p w14:paraId="18645F34">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5DA5130C">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20D8A64D">
      <w:pPr>
        <w:autoSpaceDE w:val="0"/>
        <w:autoSpaceDN w:val="0"/>
        <w:jc w:val="center"/>
        <w:rPr>
          <w:rFonts w:ascii="仿宋" w:hAnsi="仿宋" w:eastAsia="仿宋" w:cs="仿宋"/>
          <w:b/>
          <w:bCs/>
          <w:color w:val="000000" w:themeColor="text1"/>
          <w:sz w:val="32"/>
          <w:szCs w:val="32"/>
          <w14:textFill>
            <w14:solidFill>
              <w14:schemeClr w14:val="tx1"/>
            </w14:solidFill>
          </w14:textFill>
        </w:rPr>
      </w:pPr>
      <w:bookmarkStart w:id="615" w:name="_Toc25018"/>
      <w:bookmarkStart w:id="616" w:name="_Toc29590"/>
      <w:r>
        <w:rPr>
          <w:rFonts w:hint="eastAsia" w:ascii="仿宋" w:hAnsi="仿宋" w:eastAsia="仿宋" w:cs="仿宋"/>
          <w:b/>
          <w:color w:val="000000" w:themeColor="text1"/>
          <w:spacing w:val="6"/>
          <w:sz w:val="32"/>
          <w:szCs w:val="32"/>
          <w14:textFill>
            <w14:solidFill>
              <w14:schemeClr w14:val="tx1"/>
            </w14:solidFill>
          </w14:textFill>
        </w:rPr>
        <w:t>附件4：</w:t>
      </w:r>
      <w:r>
        <w:rPr>
          <w:rFonts w:hint="eastAsia" w:ascii="仿宋" w:hAnsi="仿宋" w:eastAsia="仿宋" w:cs="仿宋"/>
          <w:b/>
          <w:bCs/>
          <w:color w:val="000000" w:themeColor="text1"/>
          <w:sz w:val="32"/>
          <w:szCs w:val="32"/>
          <w14:textFill>
            <w14:solidFill>
              <w14:schemeClr w14:val="tx1"/>
            </w14:solidFill>
          </w14:textFill>
        </w:rPr>
        <w:t>业务专用章使用说明函</w:t>
      </w:r>
      <w:bookmarkEnd w:id="615"/>
      <w:bookmarkEnd w:id="616"/>
    </w:p>
    <w:p w14:paraId="3270A3E0">
      <w:pPr>
        <w:spacing w:line="360" w:lineRule="auto"/>
        <w:rPr>
          <w:rFonts w:ascii="仿宋" w:hAnsi="仿宋" w:eastAsia="仿宋" w:cs="仿宋"/>
          <w:color w:val="000000" w:themeColor="text1"/>
          <w:sz w:val="24"/>
          <w14:textFill>
            <w14:solidFill>
              <w14:schemeClr w14:val="tx1"/>
            </w14:solidFill>
          </w14:textFill>
        </w:rPr>
      </w:pPr>
      <w:bookmarkStart w:id="617" w:name="_Toc25748"/>
      <w:bookmarkStart w:id="618" w:name="_Toc3375"/>
      <w:r>
        <w:rPr>
          <w:rFonts w:hint="eastAsia" w:ascii="仿宋" w:hAnsi="仿宋" w:eastAsia="仿宋" w:cs="仿宋"/>
          <w:color w:val="000000" w:themeColor="text1"/>
          <w:sz w:val="24"/>
          <w:u w:val="single"/>
          <w14:textFill>
            <w14:solidFill>
              <w14:schemeClr w14:val="tx1"/>
            </w14:solidFill>
          </w14:textFill>
        </w:rPr>
        <w:t>温州市公安局、温州历程招标有限公司</w:t>
      </w:r>
      <w:bookmarkEnd w:id="617"/>
      <w:bookmarkEnd w:id="618"/>
    </w:p>
    <w:p w14:paraId="264BA24A">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我方</w:t>
      </w:r>
      <w:r>
        <w:rPr>
          <w:rFonts w:hint="eastAsia" w:ascii="仿宋" w:hAnsi="仿宋" w:eastAsia="仿宋" w:cs="仿宋"/>
          <w:color w:val="000000" w:themeColor="text1"/>
          <w:kern w:val="0"/>
          <w:sz w:val="24"/>
          <w:u w:val="single"/>
          <w:lang w:val="zh-CN"/>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(供应商全称)是中华人民共和国依法登记注册的合法企业，</w:t>
      </w:r>
      <w:r>
        <w:rPr>
          <w:rFonts w:hint="eastAsia" w:ascii="仿宋" w:hAnsi="仿宋" w:eastAsia="仿宋" w:cs="仿宋"/>
          <w:bCs/>
          <w:color w:val="000000" w:themeColor="text1"/>
          <w:sz w:val="24"/>
          <w14:textFill>
            <w14:solidFill>
              <w14:schemeClr w14:val="tx1"/>
            </w14:solidFill>
          </w14:textFill>
        </w:rPr>
        <w:t>在参加</w:t>
      </w:r>
      <w:r>
        <w:rPr>
          <w:rFonts w:hint="eastAsia" w:ascii="仿宋" w:hAnsi="仿宋" w:eastAsia="仿宋" w:cs="仿宋"/>
          <w:color w:val="000000" w:themeColor="text1"/>
          <w:sz w:val="24"/>
          <w14:textFill>
            <w14:solidFill>
              <w14:schemeClr w14:val="tx1"/>
            </w14:solidFill>
          </w14:textFill>
        </w:rPr>
        <w:t>你方组织的</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sz w:val="24"/>
          <w14:textFill>
            <w14:solidFill>
              <w14:schemeClr w14:val="tx1"/>
            </w14:solidFill>
          </w14:textFill>
        </w:rPr>
        <w:t>项目【招标编号：】</w:t>
      </w:r>
      <w:r>
        <w:rPr>
          <w:rFonts w:hint="eastAsia" w:ascii="仿宋" w:hAnsi="仿宋" w:eastAsia="仿宋" w:cs="仿宋"/>
          <w:bCs/>
          <w:color w:val="000000" w:themeColor="text1"/>
          <w:sz w:val="24"/>
          <w14:textFill>
            <w14:solidFill>
              <w14:schemeClr w14:val="tx1"/>
            </w14:solidFill>
          </w14:textFill>
        </w:rPr>
        <w:t>采购活动中作如下说明：</w:t>
      </w:r>
      <w:r>
        <w:rPr>
          <w:rFonts w:hint="eastAsia" w:ascii="仿宋" w:hAnsi="仿宋" w:eastAsia="仿宋" w:cs="仿宋"/>
          <w:color w:val="000000" w:themeColor="text1"/>
          <w:sz w:val="24"/>
          <w14:textFill>
            <w14:solidFill>
              <w14:schemeClr w14:val="tx1"/>
            </w14:solidFill>
          </w14:textFill>
        </w:rPr>
        <w:t xml:space="preserve">我方所使用的“XX专用章”与法定名称章具有同等的法律效力，对使用“XX专用章”的行为予以完全承认，并愿意承担相应责任。   </w:t>
      </w:r>
    </w:p>
    <w:p w14:paraId="3E9DC986">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特此说明。</w:t>
      </w:r>
    </w:p>
    <w:p w14:paraId="4648EEF3">
      <w:pPr>
        <w:spacing w:line="360" w:lineRule="auto"/>
        <w:ind w:firstLine="494"/>
        <w:rPr>
          <w:rFonts w:ascii="仿宋" w:hAnsi="仿宋" w:eastAsia="仿宋" w:cs="仿宋"/>
          <w:color w:val="000000" w:themeColor="text1"/>
          <w:sz w:val="24"/>
          <w14:textFill>
            <w14:solidFill>
              <w14:schemeClr w14:val="tx1"/>
            </w14:solidFill>
          </w14:textFill>
        </w:rPr>
      </w:pPr>
    </w:p>
    <w:p w14:paraId="7703AEE0">
      <w:pPr>
        <w:spacing w:line="360" w:lineRule="auto"/>
        <w:ind w:firstLine="494"/>
        <w:rPr>
          <w:rFonts w:ascii="仿宋" w:hAnsi="仿宋" w:eastAsia="仿宋" w:cs="仿宋"/>
          <w:color w:val="000000" w:themeColor="text1"/>
          <w:sz w:val="24"/>
          <w14:textFill>
            <w14:solidFill>
              <w14:schemeClr w14:val="tx1"/>
            </w14:solidFill>
          </w14:textFill>
        </w:rPr>
      </w:pPr>
    </w:p>
    <w:p w14:paraId="6358B5F8">
      <w:pPr>
        <w:spacing w:line="360" w:lineRule="auto"/>
        <w:ind w:firstLine="494"/>
        <w:rPr>
          <w:rFonts w:ascii="仿宋" w:hAnsi="仿宋" w:eastAsia="仿宋" w:cs="仿宋"/>
          <w:color w:val="000000" w:themeColor="text1"/>
          <w:sz w:val="24"/>
          <w14:textFill>
            <w14:solidFill>
              <w14:schemeClr w14:val="tx1"/>
            </w14:solidFill>
          </w14:textFill>
        </w:rPr>
      </w:pPr>
    </w:p>
    <w:p w14:paraId="5D49C8D4">
      <w:pPr>
        <w:spacing w:line="360" w:lineRule="auto"/>
        <w:ind w:firstLine="494"/>
        <w:rPr>
          <w:rFonts w:ascii="仿宋" w:hAnsi="仿宋" w:eastAsia="仿宋" w:cs="仿宋"/>
          <w:color w:val="000000" w:themeColor="text1"/>
          <w:sz w:val="24"/>
          <w14:textFill>
            <w14:solidFill>
              <w14:schemeClr w14:val="tx1"/>
            </w14:solidFill>
          </w14:textFill>
        </w:rPr>
      </w:pPr>
    </w:p>
    <w:p w14:paraId="72AA4FC5">
      <w:pPr>
        <w:spacing w:line="360" w:lineRule="auto"/>
        <w:ind w:right="480" w:firstLine="4080" w:firstLineChars="17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供应商（法定名称章）：</w:t>
      </w:r>
    </w:p>
    <w:p w14:paraId="0AC321D8">
      <w:pPr>
        <w:ind w:right="1440" w:firstLine="494"/>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日期：       年     月     日</w:t>
      </w:r>
    </w:p>
    <w:p w14:paraId="7AF616E2">
      <w:p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附：</w:t>
      </w:r>
    </w:p>
    <w:p w14:paraId="4DD8DDE0">
      <w:pPr>
        <w:spacing w:line="360" w:lineRule="auto"/>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2" name="矩形 12"/>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4wdgAAAAKAQAADwAAAAAAAAABACAAAAAiAAAAZHJzL2Rvd25yZXYu&#10;eG1sUEsBAhQAFAAAAAgAh07iQEuuphv7AQAAIQQAAA4AAAAAAAAAAQAgAAAAJwEAAGRycy9lMm9E&#10;b2MueG1sUEsFBgAAAAAGAAYAWQEAAJQFAAAAAA==&#10;">
                <v:fill on="t" focussize="0,0"/>
                <v:stroke color="#000000" joinstyle="miter"/>
                <v:imagedata o:title=""/>
                <o:lock v:ext="edit" aspectratio="f"/>
              </v:rect>
            </w:pict>
          </mc:Fallback>
        </mc:AlternateContent>
      </w:r>
      <w:r>
        <w:rPr>
          <w:rFonts w:hint="eastAsia" w:ascii="仿宋" w:hAnsi="仿宋" w:eastAsia="仿宋" w:cs="仿宋"/>
          <w:b/>
          <w:bCs/>
          <w:color w:val="000000" w:themeColor="text1"/>
          <w:sz w:val="24"/>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7" name="矩形 1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d07BY2AAAAAoBAAAPAAAAAAAAAAEAIAAAACIAAABkcnMvZG93bnJl&#10;di54bWxQSwECFAAUAAAACACHTuJAkILiaf0BAAAhBAAADgAAAAAAAAABACAAAAAnAQAAZHJzL2Uy&#10;b0RvYy54bWxQSwUGAAAAAAYABgBZAQAAlgUAAAAA&#10;">
                <v:fill on="t" focussize="0,0"/>
                <v:stroke color="#000000" joinstyle="miter"/>
                <v:imagedata o:title=""/>
                <o:lock v:ext="edit" aspectratio="f"/>
              </v:rect>
            </w:pict>
          </mc:Fallback>
        </mc:AlternateContent>
      </w:r>
      <w:r>
        <w:rPr>
          <w:rFonts w:hint="eastAsia" w:ascii="仿宋" w:hAnsi="仿宋" w:eastAsia="仿宋" w:cs="仿宋"/>
          <w:color w:val="000000" w:themeColor="text1"/>
          <w:sz w:val="24"/>
          <w14:textFill>
            <w14:solidFill>
              <w14:schemeClr w14:val="tx1"/>
            </w14:solidFill>
          </w14:textFill>
        </w:rPr>
        <w:t>供应商法定名称章（印模）                供应商“XX专用章”（印模）</w:t>
      </w:r>
    </w:p>
    <w:p w14:paraId="13C4CB4C">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7FB7CBD1">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49130D62">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7AF53733">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2C538E1F">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1C801900">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794BD164">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6CACD29A">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3D183FBA">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66519E0E">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642976F8">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25C5F9E9">
      <w:pPr>
        <w:autoSpaceDE w:val="0"/>
        <w:autoSpaceDN w:val="0"/>
        <w:jc w:val="center"/>
        <w:rPr>
          <w:rFonts w:ascii="仿宋" w:hAnsi="仿宋" w:eastAsia="仿宋" w:cs="仿宋"/>
          <w:b/>
          <w:color w:val="000000" w:themeColor="text1"/>
          <w:spacing w:val="6"/>
          <w:sz w:val="32"/>
          <w:szCs w:val="32"/>
          <w14:textFill>
            <w14:solidFill>
              <w14:schemeClr w14:val="tx1"/>
            </w14:solidFill>
          </w14:textFill>
        </w:rPr>
      </w:pPr>
    </w:p>
    <w:p w14:paraId="3711361D">
      <w:pPr>
        <w:autoSpaceDE w:val="0"/>
        <w:autoSpaceDN w:val="0"/>
        <w:jc w:val="center"/>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color w:val="000000" w:themeColor="text1"/>
          <w:spacing w:val="6"/>
          <w:sz w:val="32"/>
          <w:szCs w:val="32"/>
          <w14:textFill>
            <w14:solidFill>
              <w14:schemeClr w14:val="tx1"/>
            </w14:solidFill>
          </w14:textFill>
        </w:rPr>
        <w:br w:type="page"/>
      </w:r>
      <w:r>
        <w:rPr>
          <w:rFonts w:hint="eastAsia" w:ascii="仿宋" w:hAnsi="仿宋" w:eastAsia="仿宋" w:cs="仿宋"/>
          <w:b/>
          <w:color w:val="000000" w:themeColor="text1"/>
          <w:spacing w:val="6"/>
          <w:sz w:val="32"/>
          <w:szCs w:val="32"/>
          <w14:textFill>
            <w14:solidFill>
              <w14:schemeClr w14:val="tx1"/>
            </w14:solidFill>
          </w14:textFill>
        </w:rPr>
        <w:t>附件5：</w:t>
      </w:r>
      <w:r>
        <w:rPr>
          <w:rFonts w:hint="eastAsia" w:ascii="仿宋" w:hAnsi="仿宋" w:eastAsia="仿宋" w:cs="仿宋"/>
          <w:b/>
          <w:color w:val="000000" w:themeColor="text1"/>
          <w:sz w:val="32"/>
          <w:szCs w:val="32"/>
          <w14:textFill>
            <w14:solidFill>
              <w14:schemeClr w14:val="tx1"/>
            </w14:solidFill>
          </w14:textFill>
        </w:rPr>
        <w:t>中小企业声明函</w:t>
      </w:r>
    </w:p>
    <w:p w14:paraId="2A55C18A">
      <w:pPr>
        <w:spacing w:line="360" w:lineRule="auto"/>
        <w:jc w:val="center"/>
        <w:rPr>
          <w:rFonts w:ascii="仿宋" w:hAnsi="仿宋" w:eastAsia="仿宋" w:cs="仿宋"/>
          <w:color w:val="000000" w:themeColor="text1"/>
          <w:sz w:val="24"/>
          <w:u w:val="single"/>
          <w14:textFill>
            <w14:solidFill>
              <w14:schemeClr w14:val="tx1"/>
            </w14:solidFill>
          </w14:textFill>
        </w:rPr>
      </w:pPr>
    </w:p>
    <w:p w14:paraId="36EE9E27">
      <w:pPr>
        <w:spacing w:line="360" w:lineRule="auto"/>
        <w:jc w:val="center"/>
        <w:rPr>
          <w:rFonts w:ascii="仿宋" w:hAnsi="仿宋" w:eastAsia="仿宋" w:cs="仿宋"/>
          <w:b/>
          <w:color w:val="000000" w:themeColor="text1"/>
          <w:sz w:val="32"/>
          <w:szCs w:val="32"/>
          <w14:textFill>
            <w14:solidFill>
              <w14:schemeClr w14:val="tx1"/>
            </w14:solidFill>
          </w14:textFill>
        </w:rPr>
      </w:pPr>
      <w:bookmarkStart w:id="619" w:name="_Toc28531"/>
      <w:bookmarkStart w:id="620" w:name="_Toc24214"/>
      <w:r>
        <w:rPr>
          <w:rFonts w:hint="eastAsia" w:ascii="仿宋" w:hAnsi="仿宋" w:eastAsia="仿宋" w:cs="仿宋"/>
          <w:b/>
          <w:color w:val="000000" w:themeColor="text1"/>
          <w:sz w:val="32"/>
          <w:szCs w:val="32"/>
          <w14:textFill>
            <w14:solidFill>
              <w14:schemeClr w14:val="tx1"/>
            </w14:solidFill>
          </w14:textFill>
        </w:rPr>
        <w:t>中小企业声明函（货物）</w:t>
      </w:r>
      <w:bookmarkEnd w:id="619"/>
      <w:bookmarkEnd w:id="620"/>
    </w:p>
    <w:p w14:paraId="7B3621E5">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本公司（联合体）郑重声明，根据《政府采购促进中小企业发展管理办法》（财库﹝2020﹞46 号）的规定，本公司（联合体）参加 （单位名称） 的 </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sz w:val="24"/>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14:paraId="66BF4553">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（标的名称）</w:t>
      </w:r>
      <w:r>
        <w:rPr>
          <w:rFonts w:hint="eastAsia" w:ascii="仿宋" w:hAnsi="仿宋" w:eastAsia="仿宋" w:cs="仿宋"/>
          <w:color w:val="000000" w:themeColor="text1"/>
          <w:sz w:val="24"/>
          <w14:textFill>
            <w14:solidFill>
              <w14:schemeClr w14:val="tx1"/>
            </w14:solidFill>
          </w14:textFill>
        </w:rPr>
        <w:t xml:space="preserve"> ，属于 </w:t>
      </w:r>
      <w:r>
        <w:rPr>
          <w:rFonts w:hint="eastAsia" w:ascii="仿宋" w:hAnsi="仿宋" w:eastAsia="仿宋" w:cs="仿宋"/>
          <w:color w:val="000000" w:themeColor="text1"/>
          <w:sz w:val="24"/>
          <w:u w:val="single"/>
          <w14:textFill>
            <w14:solidFill>
              <w14:schemeClr w14:val="tx1"/>
            </w14:solidFill>
          </w14:textFill>
        </w:rPr>
        <w:t>（采购文件中明确的所属行业）</w:t>
      </w:r>
      <w:r>
        <w:rPr>
          <w:rFonts w:hint="eastAsia" w:ascii="仿宋" w:hAnsi="仿宋" w:eastAsia="仿宋" w:cs="仿宋"/>
          <w:color w:val="000000" w:themeColor="text1"/>
          <w:sz w:val="24"/>
          <w14:textFill>
            <w14:solidFill>
              <w14:schemeClr w14:val="tx1"/>
            </w14:solidFill>
          </w14:textFill>
        </w:rPr>
        <w:t>行业 ；制造商为</w:t>
      </w:r>
      <w:r>
        <w:rPr>
          <w:rFonts w:hint="eastAsia" w:ascii="仿宋" w:hAnsi="仿宋" w:eastAsia="仿宋" w:cs="仿宋"/>
          <w:color w:val="000000" w:themeColor="text1"/>
          <w:sz w:val="24"/>
          <w:u w:val="single"/>
          <w14:textFill>
            <w14:solidFill>
              <w14:schemeClr w14:val="tx1"/>
            </w14:solidFill>
          </w14:textFill>
        </w:rPr>
        <w:t xml:space="preserve"> （企业名称）</w:t>
      </w:r>
      <w:r>
        <w:rPr>
          <w:rFonts w:hint="eastAsia" w:ascii="仿宋" w:hAnsi="仿宋" w:eastAsia="仿宋" w:cs="仿宋"/>
          <w:color w:val="000000" w:themeColor="text1"/>
          <w:sz w:val="24"/>
          <w14:textFill>
            <w14:solidFill>
              <w14:schemeClr w14:val="tx1"/>
            </w14:solidFill>
          </w14:textFill>
        </w:rPr>
        <w:t xml:space="preserve"> ，从业人员</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人，营业收入为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万元，资产总额为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万元，属于</w:t>
      </w:r>
      <w:r>
        <w:rPr>
          <w:rFonts w:hint="eastAsia" w:ascii="仿宋" w:hAnsi="仿宋" w:eastAsia="仿宋" w:cs="仿宋"/>
          <w:color w:val="000000" w:themeColor="text1"/>
          <w:sz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14:textFill>
            <w14:solidFill>
              <w14:schemeClr w14:val="tx1"/>
            </w14:solidFill>
          </w14:textFill>
        </w:rPr>
        <w:t xml:space="preserve"> ；</w:t>
      </w:r>
    </w:p>
    <w:p w14:paraId="52D37A29">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（标的名称）</w:t>
      </w:r>
      <w:r>
        <w:rPr>
          <w:rFonts w:hint="eastAsia" w:ascii="仿宋" w:hAnsi="仿宋" w:eastAsia="仿宋" w:cs="仿宋"/>
          <w:color w:val="000000" w:themeColor="text1"/>
          <w:sz w:val="24"/>
          <w14:textFill>
            <w14:solidFill>
              <w14:schemeClr w14:val="tx1"/>
            </w14:solidFill>
          </w14:textFill>
        </w:rPr>
        <w:t xml:space="preserve"> ，属于 </w:t>
      </w:r>
      <w:r>
        <w:rPr>
          <w:rFonts w:hint="eastAsia" w:ascii="仿宋" w:hAnsi="仿宋" w:eastAsia="仿宋" w:cs="仿宋"/>
          <w:color w:val="000000" w:themeColor="text1"/>
          <w:sz w:val="24"/>
          <w:u w:val="single"/>
          <w14:textFill>
            <w14:solidFill>
              <w14:schemeClr w14:val="tx1"/>
            </w14:solidFill>
          </w14:textFill>
        </w:rPr>
        <w:t>（采购文件中明确的所属行业）</w:t>
      </w:r>
      <w:r>
        <w:rPr>
          <w:rFonts w:hint="eastAsia" w:ascii="仿宋" w:hAnsi="仿宋" w:eastAsia="仿宋" w:cs="仿宋"/>
          <w:color w:val="000000" w:themeColor="text1"/>
          <w:sz w:val="24"/>
          <w14:textFill>
            <w14:solidFill>
              <w14:schemeClr w14:val="tx1"/>
            </w14:solidFill>
          </w14:textFill>
        </w:rPr>
        <w:t>行业 ；制造商为</w:t>
      </w:r>
      <w:r>
        <w:rPr>
          <w:rFonts w:hint="eastAsia" w:ascii="仿宋" w:hAnsi="仿宋" w:eastAsia="仿宋" w:cs="仿宋"/>
          <w:color w:val="000000" w:themeColor="text1"/>
          <w:sz w:val="24"/>
          <w:u w:val="single"/>
          <w14:textFill>
            <w14:solidFill>
              <w14:schemeClr w14:val="tx1"/>
            </w14:solidFill>
          </w14:textFill>
        </w:rPr>
        <w:t xml:space="preserve"> （企业名称）</w:t>
      </w:r>
      <w:r>
        <w:rPr>
          <w:rFonts w:hint="eastAsia" w:ascii="仿宋" w:hAnsi="仿宋" w:eastAsia="仿宋" w:cs="仿宋"/>
          <w:color w:val="000000" w:themeColor="text1"/>
          <w:sz w:val="24"/>
          <w14:textFill>
            <w14:solidFill>
              <w14:schemeClr w14:val="tx1"/>
            </w14:solidFill>
          </w14:textFill>
        </w:rPr>
        <w:t xml:space="preserve"> ，从业人员</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人，营业收入为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万元，资产总额为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万元，属于</w:t>
      </w:r>
      <w:r>
        <w:rPr>
          <w:rFonts w:hint="eastAsia" w:ascii="仿宋" w:hAnsi="仿宋" w:eastAsia="仿宋" w:cs="仿宋"/>
          <w:color w:val="000000" w:themeColor="text1"/>
          <w:sz w:val="24"/>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14:textFill>
            <w14:solidFill>
              <w14:schemeClr w14:val="tx1"/>
            </w14:solidFill>
          </w14:textFill>
        </w:rPr>
        <w:t xml:space="preserve"> ；</w:t>
      </w:r>
    </w:p>
    <w:p w14:paraId="16025E26">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p w14:paraId="73E296D1">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14:paraId="56C0C6E9">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本企业对上述声明内容的真实性负责。如有虚假，将依法承担相应责任。</w:t>
      </w:r>
    </w:p>
    <w:p w14:paraId="3C9BC391">
      <w:pPr>
        <w:snapToGrid w:val="0"/>
        <w:spacing w:line="360" w:lineRule="auto"/>
        <w:ind w:firstLine="5160" w:firstLineChars="215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供应商名称(电子签名)：</w:t>
      </w:r>
    </w:p>
    <w:p w14:paraId="3EAA733C">
      <w:pPr>
        <w:snapToGrid w:val="0"/>
        <w:spacing w:line="360" w:lineRule="auto"/>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 xml:space="preserve">                                           日期</w:t>
      </w:r>
      <w:r>
        <w:rPr>
          <w:rFonts w:hint="eastAsia" w:ascii="仿宋" w:hAnsi="仿宋" w:eastAsia="仿宋" w:cs="仿宋"/>
          <w:color w:val="000000" w:themeColor="text1"/>
          <w:kern w:val="0"/>
          <w:sz w:val="24"/>
          <w14:textFill>
            <w14:solidFill>
              <w14:schemeClr w14:val="tx1"/>
            </w14:solidFill>
          </w14:textFill>
        </w:rPr>
        <w:t xml:space="preserve">：  年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w:t>
      </w:r>
    </w:p>
    <w:p w14:paraId="2C138B4E">
      <w:pPr>
        <w:spacing w:line="360" w:lineRule="auto"/>
        <w:jc w:val="left"/>
        <w:rPr>
          <w:rFonts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sz w:val="18"/>
          <w:szCs w:val="18"/>
          <w14:textFill>
            <w14:solidFill>
              <w14:schemeClr w14:val="tx1"/>
            </w14:solidFill>
          </w14:textFill>
        </w:rPr>
        <w:t>从业人员、营业收入、资产总额填报上一年度数据，无上一年度数据的新成立企业可不填报。</w:t>
      </w:r>
    </w:p>
    <w:p w14:paraId="04D40642">
      <w:pPr>
        <w:spacing w:line="360" w:lineRule="auto"/>
        <w:ind w:right="420"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5500BA10">
      <w:pPr>
        <w:spacing w:line="360" w:lineRule="auto"/>
        <w:jc w:val="center"/>
        <w:rPr>
          <w:rFonts w:ascii="仿宋" w:hAnsi="仿宋" w:eastAsia="仿宋" w:cs="仿宋"/>
          <w:b/>
          <w:color w:val="000000" w:themeColor="text1"/>
          <w:sz w:val="32"/>
          <w:szCs w:val="32"/>
          <w14:textFill>
            <w14:solidFill>
              <w14:schemeClr w14:val="tx1"/>
            </w14:solidFill>
          </w14:textFill>
        </w:rPr>
      </w:pPr>
    </w:p>
    <w:p w14:paraId="17EED879">
      <w:pPr>
        <w:spacing w:line="360" w:lineRule="auto"/>
        <w:jc w:val="center"/>
        <w:rPr>
          <w:rFonts w:ascii="仿宋" w:hAnsi="仿宋" w:eastAsia="仿宋" w:cs="仿宋"/>
          <w:b/>
          <w:color w:val="000000" w:themeColor="text1"/>
          <w:sz w:val="32"/>
          <w:szCs w:val="32"/>
          <w14:textFill>
            <w14:solidFill>
              <w14:schemeClr w14:val="tx1"/>
            </w14:solidFill>
          </w14:textFill>
        </w:rPr>
      </w:pPr>
    </w:p>
    <w:p w14:paraId="40F35992">
      <w:pPr>
        <w:spacing w:line="360" w:lineRule="auto"/>
        <w:jc w:val="center"/>
        <w:rPr>
          <w:rFonts w:ascii="仿宋" w:hAnsi="仿宋" w:eastAsia="仿宋" w:cs="仿宋"/>
          <w:b/>
          <w:color w:val="000000" w:themeColor="text1"/>
          <w:sz w:val="32"/>
          <w:szCs w:val="32"/>
          <w14:textFill>
            <w14:solidFill>
              <w14:schemeClr w14:val="tx1"/>
            </w14:solidFill>
          </w14:textFill>
        </w:rPr>
      </w:pPr>
    </w:p>
    <w:p w14:paraId="52C0180B">
      <w:pPr>
        <w:spacing w:line="360" w:lineRule="auto"/>
        <w:jc w:val="cente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br w:type="page"/>
      </w:r>
      <w:bookmarkStart w:id="621" w:name="_Toc2223"/>
      <w:bookmarkStart w:id="622" w:name="_Toc1681"/>
      <w:r>
        <w:rPr>
          <w:rFonts w:hint="eastAsia" w:ascii="仿宋" w:hAnsi="仿宋" w:eastAsia="仿宋" w:cs="仿宋"/>
          <w:b/>
          <w:color w:val="000000" w:themeColor="text1"/>
          <w:sz w:val="32"/>
          <w:szCs w:val="32"/>
          <w14:textFill>
            <w14:solidFill>
              <w14:schemeClr w14:val="tx1"/>
            </w14:solidFill>
          </w14:textFill>
        </w:rPr>
        <w:t>中小企业声明函（工程、服务）</w:t>
      </w:r>
      <w:bookmarkEnd w:id="621"/>
      <w:bookmarkEnd w:id="622"/>
    </w:p>
    <w:p w14:paraId="2E674E51">
      <w:pPr>
        <w:spacing w:line="360" w:lineRule="auto"/>
        <w:rPr>
          <w:rFonts w:ascii="仿宋" w:hAnsi="仿宋" w:eastAsia="仿宋" w:cs="仿宋"/>
          <w:color w:val="000000" w:themeColor="text1"/>
          <w14:textFill>
            <w14:solidFill>
              <w14:schemeClr w14:val="tx1"/>
            </w14:solidFill>
          </w14:textFill>
        </w:rPr>
      </w:pPr>
    </w:p>
    <w:p w14:paraId="4C34379E">
      <w:pPr>
        <w:spacing w:line="360" w:lineRule="auto"/>
        <w:ind w:firstLine="360" w:firstLineChars="15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本公司（联合体）郑重声明，根据《政府采购促进中小企业发展管理办法》（财库﹝2020﹞46 号）的规定，本公司（联合体）参加 （单位名称） 的 </w:t>
      </w:r>
      <w:r>
        <w:rPr>
          <w:rFonts w:hint="eastAsia" w:ascii="仿宋" w:hAnsi="仿宋" w:eastAsia="仿宋" w:cs="仿宋"/>
          <w:color w:val="000000" w:themeColor="text1"/>
          <w:sz w:val="24"/>
          <w:lang w:eastAsia="zh-CN"/>
          <w14:textFill>
            <w14:solidFill>
              <w14:schemeClr w14:val="tx1"/>
            </w14:solidFill>
          </w14:textFill>
        </w:rPr>
        <w:t>温州公安数据域数据处理服务平台</w:t>
      </w:r>
      <w:r>
        <w:rPr>
          <w:rFonts w:hint="eastAsia" w:ascii="仿宋" w:hAnsi="仿宋" w:eastAsia="仿宋" w:cs="仿宋"/>
          <w:color w:val="000000" w:themeColor="text1"/>
          <w:sz w:val="24"/>
          <w14:textFill>
            <w14:solidFill>
              <w14:schemeClr w14:val="tx1"/>
            </w14:solidFill>
          </w14:textFill>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0A46791A">
      <w:pPr>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（标的名称）</w:t>
      </w:r>
      <w:r>
        <w:rPr>
          <w:rFonts w:hint="eastAsia" w:ascii="仿宋" w:hAnsi="仿宋" w:eastAsia="仿宋" w:cs="仿宋"/>
          <w:color w:val="000000" w:themeColor="text1"/>
          <w:sz w:val="24"/>
          <w14:textFill>
            <w14:solidFill>
              <w14:schemeClr w14:val="tx1"/>
            </w14:solidFill>
          </w14:textFill>
        </w:rPr>
        <w:t xml:space="preserve">，属于 </w:t>
      </w:r>
      <w:r>
        <w:rPr>
          <w:rFonts w:hint="eastAsia" w:ascii="仿宋" w:hAnsi="仿宋" w:eastAsia="仿宋" w:cs="仿宋"/>
          <w:color w:val="000000" w:themeColor="text1"/>
          <w:sz w:val="24"/>
          <w:u w:val="single"/>
          <w14:textFill>
            <w14:solidFill>
              <w14:schemeClr w14:val="tx1"/>
            </w14:solidFill>
          </w14:textFill>
        </w:rPr>
        <w:t>（采购文件中明确的所属行业）</w:t>
      </w:r>
      <w:r>
        <w:rPr>
          <w:rFonts w:hint="eastAsia" w:ascii="仿宋" w:hAnsi="仿宋" w:eastAsia="仿宋" w:cs="仿宋"/>
          <w:color w:val="000000" w:themeColor="text1"/>
          <w:sz w:val="24"/>
          <w14:textFill>
            <w14:solidFill>
              <w14:schemeClr w14:val="tx1"/>
            </w14:solidFill>
          </w14:textFill>
        </w:rPr>
        <w:t xml:space="preserve"> ；承建（承接）企业为 </w:t>
      </w:r>
      <w:r>
        <w:rPr>
          <w:rFonts w:hint="eastAsia" w:ascii="仿宋" w:hAnsi="仿宋" w:eastAsia="仿宋" w:cs="仿宋"/>
          <w:color w:val="000000" w:themeColor="text1"/>
          <w:sz w:val="24"/>
          <w:u w:val="single"/>
          <w14:textFill>
            <w14:solidFill>
              <w14:schemeClr w14:val="tx1"/>
            </w14:solidFill>
          </w14:textFill>
        </w:rPr>
        <w:t>（企业名称）</w:t>
      </w:r>
      <w:r>
        <w:rPr>
          <w:rFonts w:hint="eastAsia" w:ascii="仿宋" w:hAnsi="仿宋" w:eastAsia="仿宋" w:cs="仿宋"/>
          <w:color w:val="000000" w:themeColor="text1"/>
          <w:sz w:val="24"/>
          <w14:textFill>
            <w14:solidFill>
              <w14:schemeClr w14:val="tx1"/>
            </w14:solidFill>
          </w14:textFill>
        </w:rPr>
        <w:t xml:space="preserve"> ，从业人员</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人，营业收入为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万元，资产总额为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万元属于</w:t>
      </w:r>
      <w:r>
        <w:rPr>
          <w:rFonts w:hint="eastAsia" w:ascii="仿宋" w:hAnsi="仿宋" w:eastAsia="仿宋" w:cs="仿宋"/>
          <w:color w:val="000000" w:themeColor="text1"/>
          <w:sz w:val="24"/>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14:textFill>
            <w14:solidFill>
              <w14:schemeClr w14:val="tx1"/>
            </w14:solidFill>
          </w14:textFill>
        </w:rPr>
        <w:t>；</w:t>
      </w:r>
    </w:p>
    <w:p w14:paraId="4CA07F9C">
      <w:pPr>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sz w:val="24"/>
          <w:u w:val="single"/>
          <w14:textFill>
            <w14:solidFill>
              <w14:schemeClr w14:val="tx1"/>
            </w14:solidFill>
          </w14:textFill>
        </w:rPr>
        <w:t>（标的名称）</w:t>
      </w:r>
      <w:r>
        <w:rPr>
          <w:rFonts w:hint="eastAsia" w:ascii="仿宋" w:hAnsi="仿宋" w:eastAsia="仿宋" w:cs="仿宋"/>
          <w:color w:val="000000" w:themeColor="text1"/>
          <w:sz w:val="24"/>
          <w14:textFill>
            <w14:solidFill>
              <w14:schemeClr w14:val="tx1"/>
            </w14:solidFill>
          </w14:textFill>
        </w:rPr>
        <w:t xml:space="preserve">，属于 </w:t>
      </w:r>
      <w:r>
        <w:rPr>
          <w:rFonts w:hint="eastAsia" w:ascii="仿宋" w:hAnsi="仿宋" w:eastAsia="仿宋" w:cs="仿宋"/>
          <w:color w:val="000000" w:themeColor="text1"/>
          <w:sz w:val="24"/>
          <w:u w:val="single"/>
          <w14:textFill>
            <w14:solidFill>
              <w14:schemeClr w14:val="tx1"/>
            </w14:solidFill>
          </w14:textFill>
        </w:rPr>
        <w:t>（采购文件中明确的所属行业）</w:t>
      </w:r>
      <w:r>
        <w:rPr>
          <w:rFonts w:hint="eastAsia" w:ascii="仿宋" w:hAnsi="仿宋" w:eastAsia="仿宋" w:cs="仿宋"/>
          <w:color w:val="000000" w:themeColor="text1"/>
          <w:sz w:val="24"/>
          <w14:textFill>
            <w14:solidFill>
              <w14:schemeClr w14:val="tx1"/>
            </w14:solidFill>
          </w14:textFill>
        </w:rPr>
        <w:t xml:space="preserve"> ；承建（承接）企业为 </w:t>
      </w:r>
      <w:r>
        <w:rPr>
          <w:rFonts w:hint="eastAsia" w:ascii="仿宋" w:hAnsi="仿宋" w:eastAsia="仿宋" w:cs="仿宋"/>
          <w:color w:val="000000" w:themeColor="text1"/>
          <w:sz w:val="24"/>
          <w:u w:val="single"/>
          <w14:textFill>
            <w14:solidFill>
              <w14:schemeClr w14:val="tx1"/>
            </w14:solidFill>
          </w14:textFill>
        </w:rPr>
        <w:t>（企业名称）</w:t>
      </w:r>
      <w:r>
        <w:rPr>
          <w:rFonts w:hint="eastAsia" w:ascii="仿宋" w:hAnsi="仿宋" w:eastAsia="仿宋" w:cs="仿宋"/>
          <w:color w:val="000000" w:themeColor="text1"/>
          <w:sz w:val="24"/>
          <w14:textFill>
            <w14:solidFill>
              <w14:schemeClr w14:val="tx1"/>
            </w14:solidFill>
          </w14:textFill>
        </w:rPr>
        <w:t xml:space="preserve"> ，从业人员</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人，营业收入为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万元，资产总额为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万元属于</w:t>
      </w:r>
      <w:r>
        <w:rPr>
          <w:rFonts w:hint="eastAsia" w:ascii="仿宋" w:hAnsi="仿宋" w:eastAsia="仿宋" w:cs="仿宋"/>
          <w:color w:val="000000" w:themeColor="text1"/>
          <w:sz w:val="24"/>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14:textFill>
            <w14:solidFill>
              <w14:schemeClr w14:val="tx1"/>
            </w14:solidFill>
          </w14:textFill>
        </w:rPr>
        <w:t>；</w:t>
      </w:r>
    </w:p>
    <w:p w14:paraId="444C611C">
      <w:pPr>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w:t>
      </w:r>
    </w:p>
    <w:p w14:paraId="4136360E">
      <w:pPr>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14:paraId="57C48A7B">
      <w:pPr>
        <w:spacing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本企业对上述声明内容的真实性负责。如有虚假，将依法承担相应责任。</w:t>
      </w:r>
    </w:p>
    <w:p w14:paraId="2A0170E5">
      <w:pPr>
        <w:spacing w:line="360" w:lineRule="auto"/>
        <w:ind w:right="1760"/>
        <w:jc w:val="righ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供应商名称（电子签名）：</w:t>
      </w:r>
    </w:p>
    <w:p w14:paraId="1454BD5D">
      <w:pPr>
        <w:spacing w:line="360" w:lineRule="auto"/>
        <w:ind w:right="1120" w:firstLine="4680" w:firstLineChars="195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日 期：</w:t>
      </w:r>
    </w:p>
    <w:p w14:paraId="11F146CB">
      <w:pPr>
        <w:spacing w:line="360" w:lineRule="auto"/>
        <w:ind w:firstLine="310" w:firstLineChars="147"/>
        <w:jc w:val="left"/>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从业人员、营业收入、资产总额填报上一年度数据，无上一年度数据的新成立企业可不填报。</w:t>
      </w:r>
    </w:p>
    <w:p w14:paraId="7035A173">
      <w:pPr>
        <w:spacing w:line="360" w:lineRule="auto"/>
        <w:ind w:right="420"/>
        <w:rPr>
          <w:rFonts w:ascii="仿宋" w:hAnsi="仿宋" w:eastAsia="仿宋" w:cs="仿宋"/>
          <w:color w:val="000000" w:themeColor="text1"/>
          <w:sz w:val="24"/>
          <w14:textFill>
            <w14:solidFill>
              <w14:schemeClr w14:val="tx1"/>
            </w14:solidFill>
          </w14:textFill>
        </w:rPr>
      </w:pPr>
    </w:p>
    <w:p w14:paraId="547FB276">
      <w:pPr>
        <w:spacing w:line="360" w:lineRule="auto"/>
        <w:ind w:right="42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1EE321B">
      <w:pPr>
        <w:tabs>
          <w:tab w:val="left" w:pos="432"/>
        </w:tabs>
        <w:rPr>
          <w:rFonts w:ascii="仿宋" w:eastAsia="仿宋" w:cs="仿宋"/>
          <w:color w:val="000000" w:themeColor="text1"/>
          <w14:textFill>
            <w14:solidFill>
              <w14:schemeClr w14:val="tx1"/>
            </w14:solidFill>
          </w14:textFill>
        </w:rPr>
      </w:pPr>
    </w:p>
    <w:p w14:paraId="6A051C75">
      <w:pPr>
        <w:spacing w:line="360" w:lineRule="auto"/>
        <w:ind w:right="420"/>
        <w:rPr>
          <w:rFonts w:ascii="仿宋" w:hAnsi="仿宋" w:eastAsia="仿宋" w:cs="仿宋"/>
          <w:color w:val="000000" w:themeColor="text1"/>
          <w14:textFill>
            <w14:solidFill>
              <w14:schemeClr w14:val="tx1"/>
            </w14:solidFill>
          </w14:textFill>
        </w:rPr>
      </w:pPr>
    </w:p>
    <w:p w14:paraId="6121AEDC">
      <w:pPr>
        <w:spacing w:line="360" w:lineRule="auto"/>
        <w:rPr>
          <w:rFonts w:ascii="仿宋" w:hAnsi="仿宋" w:eastAsia="仿宋" w:cs="仿宋"/>
          <w:bCs/>
          <w:color w:val="000000" w:themeColor="text1"/>
          <w:sz w:val="24"/>
          <w14:textFill>
            <w14:solidFill>
              <w14:schemeClr w14:val="tx1"/>
            </w14:solidFill>
          </w14:textFill>
        </w:rPr>
      </w:pPr>
    </w:p>
    <w:p w14:paraId="643E1F83">
      <w:pPr>
        <w:rPr>
          <w:color w:val="000000" w:themeColor="text1"/>
          <w14:textFill>
            <w14:solidFill>
              <w14:schemeClr w14:val="tx1"/>
            </w14:solidFill>
          </w14:textFill>
        </w:rPr>
      </w:pPr>
    </w:p>
    <w:sectPr>
      <w:footerReference r:id="rId23" w:type="first"/>
      <w:headerReference r:id="rId20" w:type="default"/>
      <w:footerReference r:id="rId21" w:type="default"/>
      <w:footerReference r:id="rId22" w:type="even"/>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71B65">
    <w:pPr>
      <w:pStyle w:val="12"/>
      <w:tabs>
        <w:tab w:val="center" w:pos="4873"/>
        <w:tab w:val="clear" w:pos="4153"/>
      </w:tabs>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0522B9">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F0522B9">
                    <w:pPr>
                      <w:pStyle w:val="12"/>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48E30">
    <w:pPr>
      <w:pStyle w:val="12"/>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ABD9D">
                          <w:pPr>
                            <w:pStyle w:val="12"/>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2F1ABD9D">
                    <w:pPr>
                      <w:pStyle w:val="12"/>
                    </w:pPr>
                    <w:r>
                      <w:fldChar w:fldCharType="begin"/>
                    </w:r>
                    <w:r>
                      <w:instrText xml:space="preserve"> PAGE  \* MERGEFORMAT </w:instrText>
                    </w:r>
                    <w:r>
                      <w:fldChar w:fldCharType="separate"/>
                    </w:r>
                    <w:r>
                      <w:t>21</w:t>
                    </w:r>
                    <w:r>
                      <w:fldChar w:fldCharType="end"/>
                    </w:r>
                  </w:p>
                </w:txbxContent>
              </v:textbox>
            </v:shape>
          </w:pict>
        </mc:Fallback>
      </mc:AlternateContent>
    </w:r>
  </w:p>
  <w:p w14:paraId="032FAE8B">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3CF44">
    <w:pPr>
      <w:pStyle w:val="12"/>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659621">
                          <w:pPr>
                            <w:pStyle w:val="12"/>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7659621">
                    <w:pPr>
                      <w:pStyle w:val="12"/>
                    </w:pPr>
                    <w:r>
                      <w:fldChar w:fldCharType="begin"/>
                    </w:r>
                    <w:r>
                      <w:instrText xml:space="preserve"> PAGE  \* MERGEFORMAT </w:instrText>
                    </w:r>
                    <w:r>
                      <w:fldChar w:fldCharType="separate"/>
                    </w:r>
                    <w:r>
                      <w:t>20</w:t>
                    </w:r>
                    <w:r>
                      <w:fldChar w:fldCharType="end"/>
                    </w:r>
                  </w:p>
                </w:txbxContent>
              </v:textbox>
            </v:shape>
          </w:pict>
        </mc:Fallback>
      </mc:AlternateContent>
    </w:r>
  </w:p>
  <w:p w14:paraId="256364E2">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BA69C">
    <w:pPr>
      <w:pStyle w:val="12"/>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67DE4C">
                          <w:pPr>
                            <w:pStyle w:val="12"/>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7967DE4C">
                    <w:pPr>
                      <w:pStyle w:val="12"/>
                    </w:pPr>
                    <w:r>
                      <w:fldChar w:fldCharType="begin"/>
                    </w:r>
                    <w:r>
                      <w:instrText xml:space="preserve"> PAGE  \* MERGEFORMAT </w:instrText>
                    </w:r>
                    <w:r>
                      <w:fldChar w:fldCharType="separate"/>
                    </w:r>
                    <w:r>
                      <w:t>34</w:t>
                    </w:r>
                    <w:r>
                      <w:fldChar w:fldCharType="end"/>
                    </w:r>
                  </w:p>
                </w:txbxContent>
              </v:textbox>
            </v:shape>
          </w:pict>
        </mc:Fallback>
      </mc:AlternateContent>
    </w:r>
  </w:p>
  <w:p w14:paraId="1A4381E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C0C5A">
    <w:pPr>
      <w:pStyle w:val="12"/>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D15A3A">
                          <w:pPr>
                            <w:pStyle w:val="12"/>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15D15A3A">
                    <w:pPr>
                      <w:pStyle w:val="12"/>
                    </w:pPr>
                    <w:r>
                      <w:fldChar w:fldCharType="begin"/>
                    </w:r>
                    <w:r>
                      <w:instrText xml:space="preserve"> PAGE  \* MERGEFORMAT </w:instrText>
                    </w:r>
                    <w:r>
                      <w:fldChar w:fldCharType="separate"/>
                    </w:r>
                    <w:r>
                      <w:t>21</w:t>
                    </w:r>
                    <w:r>
                      <w:fldChar w:fldCharType="end"/>
                    </w:r>
                  </w:p>
                </w:txbxContent>
              </v:textbox>
            </v:shape>
          </w:pict>
        </mc:Fallback>
      </mc:AlternateContent>
    </w:r>
  </w:p>
  <w:p w14:paraId="21E2AC5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10879">
    <w:pPr>
      <w:pStyle w:val="12"/>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9D31C2">
                          <w:pPr>
                            <w:pStyle w:val="1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369D31C2">
                    <w:pPr>
                      <w:pStyle w:val="1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58593A">
    <w:pPr>
      <w:pStyle w:val="12"/>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9E7082">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C9E7082">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6D119">
    <w:pPr>
      <w:pStyle w:val="12"/>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E415F6">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52E415F6">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93034">
    <w:pPr>
      <w:pStyle w:val="12"/>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B61C9">
                          <w:pPr>
                            <w:pStyle w:val="12"/>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004B61C9">
                    <w:pPr>
                      <w:pStyle w:val="12"/>
                    </w:pPr>
                    <w:r>
                      <w:fldChar w:fldCharType="begin"/>
                    </w:r>
                    <w:r>
                      <w:instrText xml:space="preserve"> PAGE  \* MERGEFORMAT </w:instrText>
                    </w:r>
                    <w:r>
                      <w:fldChar w:fldCharType="separate"/>
                    </w:r>
                    <w:r>
                      <w:t>56</w:t>
                    </w:r>
                    <w:r>
                      <w:fldChar w:fldCharType="end"/>
                    </w:r>
                  </w:p>
                </w:txbxContent>
              </v:textbox>
            </v:shape>
          </w:pict>
        </mc:Fallback>
      </mc:AlternateContent>
    </w:r>
  </w:p>
  <w:p w14:paraId="3DBB052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87B9D">
    <w:pPr>
      <w:pStyle w:val="12"/>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459733">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5F459733">
                    <w:pPr>
                      <w:pStyle w:val="12"/>
                    </w:pPr>
                    <w:r>
                      <w:fldChar w:fldCharType="begin"/>
                    </w:r>
                    <w:r>
                      <w:instrText xml:space="preserve"> PAGE  \* MERGEFORMAT </w:instrText>
                    </w:r>
                    <w:r>
                      <w:fldChar w:fldCharType="separate"/>
                    </w:r>
                    <w:r>
                      <w:t>1</w:t>
                    </w:r>
                    <w:r>
                      <w:fldChar w:fldCharType="end"/>
                    </w:r>
                  </w:p>
                </w:txbxContent>
              </v:textbox>
            </v:shape>
          </w:pict>
        </mc:Fallback>
      </mc:AlternateContent>
    </w:r>
  </w:p>
  <w:p w14:paraId="25CB1D97">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215BD">
    <w:pPr>
      <w:pStyle w:val="12"/>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D1C1E5">
                          <w:pPr>
                            <w:pStyle w:val="12"/>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13D1C1E5">
                    <w:pPr>
                      <w:pStyle w:val="12"/>
                    </w:pPr>
                    <w:r>
                      <w:fldChar w:fldCharType="begin"/>
                    </w:r>
                    <w:r>
                      <w:instrText xml:space="preserve"> PAGE  \* MERGEFORMAT </w:instrText>
                    </w:r>
                    <w:r>
                      <w:fldChar w:fldCharType="separate"/>
                    </w:r>
                    <w:r>
                      <w:t>76</w:t>
                    </w:r>
                    <w:r>
                      <w:fldChar w:fldCharType="end"/>
                    </w:r>
                  </w:p>
                </w:txbxContent>
              </v:textbox>
            </v:shape>
          </w:pict>
        </mc:Fallback>
      </mc:AlternateContent>
    </w:r>
  </w:p>
  <w:p w14:paraId="28B8E01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A464A">
    <w:pPr>
      <w:pStyle w:val="12"/>
      <w:jc w:val="center"/>
      <w:rPr>
        <w:rFonts w:ascii="仿宋_GB2312" w:eastAsia="仿宋_GB2312"/>
        <w:szCs w:val="24"/>
      </w:rPr>
    </w:pP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2C0798">
                          <w:pPr>
                            <w:pStyle w:val="12"/>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692C0798">
                    <w:pPr>
                      <w:pStyle w:val="12"/>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F87EA">
    <w:pPr>
      <w:pStyle w:val="12"/>
      <w:framePr w:wrap="around" w:vAnchor="text" w:hAnchor="margin" w:xAlign="right" w:y="1"/>
      <w:rPr>
        <w:rStyle w:val="22"/>
      </w:rPr>
    </w:pPr>
    <w:r>
      <w:fldChar w:fldCharType="begin"/>
    </w:r>
    <w:r>
      <w:rPr>
        <w:rStyle w:val="22"/>
      </w:rPr>
      <w:instrText xml:space="preserve">PAGE  </w:instrText>
    </w:r>
    <w:r>
      <w:fldChar w:fldCharType="end"/>
    </w:r>
  </w:p>
  <w:p w14:paraId="1E0DDCAD">
    <w:pPr>
      <w:pStyle w:val="12"/>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DD621">
    <w:pPr>
      <w:pStyle w:val="12"/>
      <w:jc w:val="center"/>
      <w:rPr>
        <w:rFonts w:ascii="仿宋_GB2312" w:eastAsia="仿宋_GB2312"/>
      </w:rP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36FEA1">
                          <w:pPr>
                            <w:pStyle w:val="12"/>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5336FEA1">
                    <w:pPr>
                      <w:pStyle w:val="12"/>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6B3B2">
    <w:pPr>
      <w:widowControl/>
      <w:adjustRightInd/>
      <w:spacing w:line="240" w:lineRule="atLeast"/>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8D29A">
    <w:pPr>
      <w:widowControl/>
      <w:adjustRightInd/>
      <w:spacing w:line="240" w:lineRule="atLeast"/>
    </w:pPr>
    <w:r>
      <w:rPr>
        <w:rFonts w:hint="eastAsia" w:ascii="楷体" w:hAnsi="楷体" w:eastAsia="楷体" w:cs="楷体"/>
        <w:color w:val="C00000"/>
        <w:sz w:val="36"/>
        <w:szCs w:val="36"/>
        <w:u w:val="thick"/>
      </w:rPr>
      <w:t xml:space="preserve">  </w:t>
    </w: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1D427">
    <w:pPr>
      <w:widowControl/>
      <w:adjustRightInd/>
      <w:spacing w:line="240" w:lineRule="atLeast"/>
      <w:ind w:left="2520" w:hanging="2520" w:hangingChars="700"/>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48A83">
    <w:pPr>
      <w:widowControl/>
      <w:adjustRightInd/>
      <w:spacing w:line="240" w:lineRule="atLeast"/>
      <w:ind w:left="2520" w:hanging="2520" w:hangingChars="700"/>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p w14:paraId="1C42BF73">
    <w:pPr>
      <w:pStyle w:val="13"/>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835A1">
    <w:pPr>
      <w:widowControl/>
      <w:adjustRightInd/>
      <w:spacing w:line="240" w:lineRule="atLeast"/>
      <w:rPr>
        <w:rFonts w:ascii="仿宋_GB2312" w:eastAsia="仿宋_GB2312"/>
        <w:b/>
        <w:i/>
        <w:sz w:val="18"/>
        <w:u w:val="single"/>
      </w:rPr>
    </w:pPr>
    <w:r>
      <w:rPr>
        <w:rFonts w:hint="eastAsia" w:ascii="楷体" w:hAnsi="楷体" w:eastAsia="楷体" w:cs="楷体"/>
        <w:sz w:val="28"/>
        <w:szCs w:val="28"/>
        <w:u w:val="thick" w:color="C9091E"/>
      </w:rPr>
      <w:t xml:space="preserve">                             温州市公安局政府采购竞争性磋商采购文件</w:t>
    </w:r>
  </w:p>
  <w:p w14:paraId="0FCE593A">
    <w:pPr>
      <w:pStyle w:val="13"/>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4D970">
    <w:pPr>
      <w:rPr>
        <w:rFonts w:ascii="仿宋_GB2312" w:eastAsia="仿宋_GB2312"/>
        <w:b/>
        <w:i/>
        <w:sz w:val="18"/>
        <w:u w:val="single"/>
      </w:rPr>
    </w:pP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EDB21">
    <w:pPr>
      <w:pStyle w:val="13"/>
      <w:jc w:val="right"/>
      <w:rPr>
        <w:rFonts w:ascii="仿宋_GB2312" w:eastAsia="仿宋_GB2312"/>
        <w:b/>
        <w:i/>
        <w:iCs/>
        <w:u w:val="single"/>
      </w:rPr>
    </w:pP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F9EC89"/>
    <w:multiLevelType w:val="singleLevel"/>
    <w:tmpl w:val="BAF9EC89"/>
    <w:lvl w:ilvl="0" w:tentative="0">
      <w:start w:val="1"/>
      <w:numFmt w:val="chineseCounting"/>
      <w:suff w:val="nothing"/>
      <w:lvlText w:val="（%1）"/>
      <w:lvlJc w:val="left"/>
      <w:rPr>
        <w:rFonts w:hint="eastAsia"/>
      </w:rPr>
    </w:lvl>
  </w:abstractNum>
  <w:abstractNum w:abstractNumId="1">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2">
    <w:nsid w:val="00796303"/>
    <w:multiLevelType w:val="multilevel"/>
    <w:tmpl w:val="00796303"/>
    <w:lvl w:ilvl="0" w:tentative="0">
      <w:start w:val="1"/>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152756F7"/>
    <w:multiLevelType w:val="singleLevel"/>
    <w:tmpl w:val="152756F7"/>
    <w:lvl w:ilvl="0" w:tentative="0">
      <w:start w:val="2"/>
      <w:numFmt w:val="chineseCounting"/>
      <w:suff w:val="space"/>
      <w:lvlText w:val="第%1部分"/>
      <w:lvlJc w:val="left"/>
      <w:rPr>
        <w:rFonts w:hint="eastAsia"/>
      </w:rPr>
    </w:lvl>
  </w:abstractNum>
  <w:abstractNum w:abstractNumId="4">
    <w:nsid w:val="3C8854FB"/>
    <w:multiLevelType w:val="singleLevel"/>
    <w:tmpl w:val="3C8854FB"/>
    <w:lvl w:ilvl="0" w:tentative="0">
      <w:start w:val="8"/>
      <w:numFmt w:val="chineseCounting"/>
      <w:suff w:val="nothing"/>
      <w:lvlText w:val="%1、"/>
      <w:lvlJc w:val="left"/>
      <w:rPr>
        <w:rFonts w:hint="eastAsia"/>
      </w:rPr>
    </w:lvl>
  </w:abstractNum>
  <w:abstractNum w:abstractNumId="5">
    <w:nsid w:val="58B55C79"/>
    <w:multiLevelType w:val="singleLevel"/>
    <w:tmpl w:val="58B55C79"/>
    <w:lvl w:ilvl="0" w:tentative="0">
      <w:start w:val="1"/>
      <w:numFmt w:val="decimal"/>
      <w:suff w:val="nothing"/>
      <w:lvlText w:val="（%1）"/>
      <w:lvlJc w:val="left"/>
    </w:lvl>
  </w:abstractNum>
  <w:abstractNum w:abstractNumId="6">
    <w:nsid w:val="634F0C85"/>
    <w:multiLevelType w:val="multilevel"/>
    <w:tmpl w:val="634F0C85"/>
    <w:lvl w:ilvl="0" w:tentative="0">
      <w:start w:val="1"/>
      <w:numFmt w:val="japaneseCounting"/>
      <w:lvlText w:val="（%1）"/>
      <w:lvlJc w:val="left"/>
      <w:pPr>
        <w:ind w:left="1430" w:hanging="720"/>
      </w:pPr>
      <w:rPr>
        <w:rFonts w:hint="default" w:ascii="新宋体" w:hAnsi="新宋体" w:eastAsia="新宋体" w:cs="宋体"/>
        <w:b w:val="0"/>
        <w:bCs/>
        <w:sz w:val="22"/>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abstractNum w:abstractNumId="7">
    <w:nsid w:val="6D91EDAE"/>
    <w:multiLevelType w:val="singleLevel"/>
    <w:tmpl w:val="6D91EDAE"/>
    <w:lvl w:ilvl="0" w:tentative="0">
      <w:start w:val="2"/>
      <w:numFmt w:val="decimal"/>
      <w:suff w:val="nothing"/>
      <w:lvlText w:val="（%1）"/>
      <w:lvlJc w:val="left"/>
    </w:lvl>
  </w:abstractNum>
  <w:abstractNum w:abstractNumId="8">
    <w:nsid w:val="7CC6DE25"/>
    <w:multiLevelType w:val="singleLevel"/>
    <w:tmpl w:val="7CC6DE25"/>
    <w:lvl w:ilvl="0" w:tentative="0">
      <w:start w:val="1"/>
      <w:numFmt w:val="decimal"/>
      <w:suff w:val="nothing"/>
      <w:lvlText w:val="（%1）"/>
      <w:lvlJc w:val="left"/>
    </w:lvl>
  </w:abstractNum>
  <w:num w:numId="1">
    <w:abstractNumId w:val="3"/>
  </w:num>
  <w:num w:numId="2">
    <w:abstractNumId w:val="7"/>
  </w:num>
  <w:num w:numId="3">
    <w:abstractNumId w:val="4"/>
  </w:num>
  <w:num w:numId="4">
    <w:abstractNumId w:val="6"/>
  </w:num>
  <w:num w:numId="5">
    <w:abstractNumId w:val="2"/>
  </w:num>
  <w:num w:numId="6">
    <w:abstractNumId w:val="1"/>
  </w:num>
  <w:num w:numId="7">
    <w:abstractNumId w:val="0"/>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 w:name="KSO_WPS_MARK_KEY" w:val="cb3963a4-61bd-4c05-ba51-130ca1afc7a8"/>
  </w:docVars>
  <w:rsids>
    <w:rsidRoot w:val="3F9D69D5"/>
    <w:rsid w:val="00187B03"/>
    <w:rsid w:val="001F1D2C"/>
    <w:rsid w:val="0021045A"/>
    <w:rsid w:val="0030239D"/>
    <w:rsid w:val="00452D46"/>
    <w:rsid w:val="004C6748"/>
    <w:rsid w:val="004D1DAA"/>
    <w:rsid w:val="004F50B9"/>
    <w:rsid w:val="00553166"/>
    <w:rsid w:val="005B01C0"/>
    <w:rsid w:val="005D379A"/>
    <w:rsid w:val="005E6A1F"/>
    <w:rsid w:val="005F0BCE"/>
    <w:rsid w:val="00641306"/>
    <w:rsid w:val="006E55F0"/>
    <w:rsid w:val="006F3CD2"/>
    <w:rsid w:val="007A7786"/>
    <w:rsid w:val="007D7136"/>
    <w:rsid w:val="008A3782"/>
    <w:rsid w:val="008B1911"/>
    <w:rsid w:val="008B3CEC"/>
    <w:rsid w:val="0094065C"/>
    <w:rsid w:val="00A45EDD"/>
    <w:rsid w:val="00A56A68"/>
    <w:rsid w:val="00A76A31"/>
    <w:rsid w:val="00AF3139"/>
    <w:rsid w:val="00AF619A"/>
    <w:rsid w:val="00BF3DF5"/>
    <w:rsid w:val="00C51292"/>
    <w:rsid w:val="00CC771C"/>
    <w:rsid w:val="00D26370"/>
    <w:rsid w:val="00EB5449"/>
    <w:rsid w:val="00EE0B71"/>
    <w:rsid w:val="00EE6D96"/>
    <w:rsid w:val="00F35712"/>
    <w:rsid w:val="00F44484"/>
    <w:rsid w:val="014A2DD9"/>
    <w:rsid w:val="0156352C"/>
    <w:rsid w:val="016845A8"/>
    <w:rsid w:val="01685CBB"/>
    <w:rsid w:val="023615AF"/>
    <w:rsid w:val="02AE7397"/>
    <w:rsid w:val="031175BF"/>
    <w:rsid w:val="0486237A"/>
    <w:rsid w:val="05EA06E6"/>
    <w:rsid w:val="06EE2458"/>
    <w:rsid w:val="098350DA"/>
    <w:rsid w:val="0B663D91"/>
    <w:rsid w:val="0BA40C32"/>
    <w:rsid w:val="0DA10224"/>
    <w:rsid w:val="0F2E3D3A"/>
    <w:rsid w:val="0FAE6C29"/>
    <w:rsid w:val="0FEE3876"/>
    <w:rsid w:val="10B4201D"/>
    <w:rsid w:val="10F878E7"/>
    <w:rsid w:val="11D06E01"/>
    <w:rsid w:val="120E3219"/>
    <w:rsid w:val="12D7291F"/>
    <w:rsid w:val="135D699C"/>
    <w:rsid w:val="13966697"/>
    <w:rsid w:val="13C6192D"/>
    <w:rsid w:val="1523454F"/>
    <w:rsid w:val="161A0B74"/>
    <w:rsid w:val="18A462CE"/>
    <w:rsid w:val="19B34C22"/>
    <w:rsid w:val="19D3557E"/>
    <w:rsid w:val="19E8099B"/>
    <w:rsid w:val="1A642D06"/>
    <w:rsid w:val="1AC437A4"/>
    <w:rsid w:val="1BAA4748"/>
    <w:rsid w:val="1C4C3A51"/>
    <w:rsid w:val="1D3E15EC"/>
    <w:rsid w:val="1DDC09A0"/>
    <w:rsid w:val="1E3E7843"/>
    <w:rsid w:val="1E4A3FC0"/>
    <w:rsid w:val="1E6828C2"/>
    <w:rsid w:val="1F006FE9"/>
    <w:rsid w:val="1F512138"/>
    <w:rsid w:val="1FC13DE7"/>
    <w:rsid w:val="202820DF"/>
    <w:rsid w:val="209C472E"/>
    <w:rsid w:val="20AB0D6F"/>
    <w:rsid w:val="215A09BE"/>
    <w:rsid w:val="216C7A31"/>
    <w:rsid w:val="219519F6"/>
    <w:rsid w:val="22BC5DEE"/>
    <w:rsid w:val="234768B7"/>
    <w:rsid w:val="23C30A9D"/>
    <w:rsid w:val="24200B5E"/>
    <w:rsid w:val="24B07ED2"/>
    <w:rsid w:val="24B764D3"/>
    <w:rsid w:val="255068F0"/>
    <w:rsid w:val="25553977"/>
    <w:rsid w:val="25F967EA"/>
    <w:rsid w:val="26B61228"/>
    <w:rsid w:val="27242053"/>
    <w:rsid w:val="291326FE"/>
    <w:rsid w:val="29791094"/>
    <w:rsid w:val="2B24658F"/>
    <w:rsid w:val="2B595A33"/>
    <w:rsid w:val="2B837FF9"/>
    <w:rsid w:val="2C0E2AFE"/>
    <w:rsid w:val="2C271DEC"/>
    <w:rsid w:val="2C306376"/>
    <w:rsid w:val="2C6941AB"/>
    <w:rsid w:val="2CD856CB"/>
    <w:rsid w:val="2D2C1188"/>
    <w:rsid w:val="2D3E29F7"/>
    <w:rsid w:val="2E036685"/>
    <w:rsid w:val="2E103EB0"/>
    <w:rsid w:val="2EF34F1F"/>
    <w:rsid w:val="2FE74E9A"/>
    <w:rsid w:val="301F34FF"/>
    <w:rsid w:val="30C776F3"/>
    <w:rsid w:val="34145DD9"/>
    <w:rsid w:val="3474091A"/>
    <w:rsid w:val="34CB0E9E"/>
    <w:rsid w:val="34F87CA3"/>
    <w:rsid w:val="36501E81"/>
    <w:rsid w:val="369D517D"/>
    <w:rsid w:val="37204DF7"/>
    <w:rsid w:val="375A4A01"/>
    <w:rsid w:val="38415FDC"/>
    <w:rsid w:val="3848667F"/>
    <w:rsid w:val="38C14209"/>
    <w:rsid w:val="39DF5AAD"/>
    <w:rsid w:val="3A2740A1"/>
    <w:rsid w:val="3BAF692F"/>
    <w:rsid w:val="3BCE26A9"/>
    <w:rsid w:val="3BEC625F"/>
    <w:rsid w:val="3BF03FA1"/>
    <w:rsid w:val="3C447E49"/>
    <w:rsid w:val="3C7F7255"/>
    <w:rsid w:val="3DD14D30"/>
    <w:rsid w:val="3F9D69D5"/>
    <w:rsid w:val="42405D57"/>
    <w:rsid w:val="433B0D21"/>
    <w:rsid w:val="43607C5E"/>
    <w:rsid w:val="43F4346F"/>
    <w:rsid w:val="44EB17AA"/>
    <w:rsid w:val="45745F2C"/>
    <w:rsid w:val="458D460F"/>
    <w:rsid w:val="46264576"/>
    <w:rsid w:val="47972F1C"/>
    <w:rsid w:val="480706A9"/>
    <w:rsid w:val="491B76E2"/>
    <w:rsid w:val="49394FDC"/>
    <w:rsid w:val="49AC4F55"/>
    <w:rsid w:val="4A3849A2"/>
    <w:rsid w:val="4A8D1239"/>
    <w:rsid w:val="4B757146"/>
    <w:rsid w:val="4E141D71"/>
    <w:rsid w:val="4EE93695"/>
    <w:rsid w:val="4F863D92"/>
    <w:rsid w:val="4FF45606"/>
    <w:rsid w:val="500D4898"/>
    <w:rsid w:val="509B6A64"/>
    <w:rsid w:val="526B5CD8"/>
    <w:rsid w:val="5406215C"/>
    <w:rsid w:val="545A4256"/>
    <w:rsid w:val="55403EC3"/>
    <w:rsid w:val="55651187"/>
    <w:rsid w:val="5827444F"/>
    <w:rsid w:val="59CE54CA"/>
    <w:rsid w:val="5A53410D"/>
    <w:rsid w:val="5A9C08C5"/>
    <w:rsid w:val="5AB93051"/>
    <w:rsid w:val="5C1E05C3"/>
    <w:rsid w:val="5C621EFA"/>
    <w:rsid w:val="5C6344E3"/>
    <w:rsid w:val="5D066D29"/>
    <w:rsid w:val="5EB6652D"/>
    <w:rsid w:val="5FC15189"/>
    <w:rsid w:val="608A5EC3"/>
    <w:rsid w:val="61581B1D"/>
    <w:rsid w:val="62970A67"/>
    <w:rsid w:val="62BB7C17"/>
    <w:rsid w:val="632B7515"/>
    <w:rsid w:val="64025D70"/>
    <w:rsid w:val="64303293"/>
    <w:rsid w:val="66234D8C"/>
    <w:rsid w:val="663E44D1"/>
    <w:rsid w:val="66800C9F"/>
    <w:rsid w:val="668F5FE1"/>
    <w:rsid w:val="69690D6B"/>
    <w:rsid w:val="69AA4EE0"/>
    <w:rsid w:val="6A8D40E1"/>
    <w:rsid w:val="6B6E1344"/>
    <w:rsid w:val="6BF608B1"/>
    <w:rsid w:val="6BFF1F3B"/>
    <w:rsid w:val="6C4F5042"/>
    <w:rsid w:val="6C587018"/>
    <w:rsid w:val="6CD015D5"/>
    <w:rsid w:val="6D3122E0"/>
    <w:rsid w:val="6DAA2C2C"/>
    <w:rsid w:val="6E76282C"/>
    <w:rsid w:val="70E61366"/>
    <w:rsid w:val="7142463B"/>
    <w:rsid w:val="71542301"/>
    <w:rsid w:val="718F6E95"/>
    <w:rsid w:val="71BD68F2"/>
    <w:rsid w:val="720930EC"/>
    <w:rsid w:val="7218332F"/>
    <w:rsid w:val="73093334"/>
    <w:rsid w:val="749A4754"/>
    <w:rsid w:val="754A25CC"/>
    <w:rsid w:val="75632293"/>
    <w:rsid w:val="759E3D9C"/>
    <w:rsid w:val="75BD2503"/>
    <w:rsid w:val="76844911"/>
    <w:rsid w:val="77640BFE"/>
    <w:rsid w:val="77FE6B23"/>
    <w:rsid w:val="78175E36"/>
    <w:rsid w:val="78926E9A"/>
    <w:rsid w:val="79A951B4"/>
    <w:rsid w:val="7A173ECC"/>
    <w:rsid w:val="7A6775F6"/>
    <w:rsid w:val="7A905722"/>
    <w:rsid w:val="7BB03BA3"/>
    <w:rsid w:val="7BFF096A"/>
    <w:rsid w:val="7D672BDD"/>
    <w:rsid w:val="7DAE6BA5"/>
    <w:rsid w:val="7EAD12A3"/>
    <w:rsid w:val="7F5706E1"/>
    <w:rsid w:val="CD92003D"/>
    <w:rsid w:val="FFBE3447"/>
    <w:rsid w:val="FFDF97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42"/>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4"/>
    <w:basedOn w:val="1"/>
    <w:next w:val="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6">
    <w:name w:val="caption"/>
    <w:basedOn w:val="1"/>
    <w:next w:val="1"/>
    <w:qFormat/>
    <w:uiPriority w:val="0"/>
    <w:rPr>
      <w:b/>
      <w:sz w:val="28"/>
      <w:szCs w:val="20"/>
    </w:rPr>
  </w:style>
  <w:style w:type="paragraph" w:styleId="7">
    <w:name w:val="annotation text"/>
    <w:basedOn w:val="1"/>
    <w:link w:val="40"/>
    <w:qFormat/>
    <w:uiPriority w:val="0"/>
    <w:pPr>
      <w:jc w:val="left"/>
    </w:pPr>
  </w:style>
  <w:style w:type="paragraph" w:styleId="8">
    <w:name w:val="Body Text"/>
    <w:basedOn w:val="1"/>
    <w:qFormat/>
    <w:uiPriority w:val="0"/>
    <w:pPr>
      <w:autoSpaceDE w:val="0"/>
      <w:autoSpaceDN w:val="0"/>
      <w:spacing w:line="360" w:lineRule="auto"/>
    </w:pPr>
    <w:rPr>
      <w:rFonts w:ascii="宋体" w:hAnsi="Arial" w:cs="Arial"/>
      <w:snapToGrid w:val="0"/>
      <w:sz w:val="24"/>
      <w:szCs w:val="21"/>
      <w:lang w:val="zh-CN"/>
    </w:rPr>
  </w:style>
  <w:style w:type="paragraph" w:styleId="9">
    <w:name w:val="Body Text Indent"/>
    <w:basedOn w:val="1"/>
    <w:next w:val="1"/>
    <w:qFormat/>
    <w:uiPriority w:val="0"/>
    <w:pPr>
      <w:spacing w:line="480" w:lineRule="exact"/>
      <w:ind w:firstLine="480" w:firstLineChars="200"/>
    </w:pPr>
    <w:rPr>
      <w:rFonts w:ascii="宋体" w:hAnsi="宋体"/>
      <w:sz w:val="24"/>
    </w:rPr>
  </w:style>
  <w:style w:type="paragraph" w:styleId="10">
    <w:name w:val="Plain Text"/>
    <w:basedOn w:val="1"/>
    <w:qFormat/>
    <w:uiPriority w:val="0"/>
    <w:rPr>
      <w:rFonts w:ascii="宋体" w:hAnsi="Courier New" w:cs="Arial"/>
      <w:snapToGrid w:val="0"/>
      <w:szCs w:val="21"/>
    </w:rPr>
  </w:style>
  <w:style w:type="paragraph" w:styleId="11">
    <w:name w:val="Balloon Text"/>
    <w:basedOn w:val="1"/>
    <w:link w:val="38"/>
    <w:qFormat/>
    <w:uiPriority w:val="0"/>
    <w:rPr>
      <w:sz w:val="18"/>
      <w:szCs w:val="18"/>
    </w:rPr>
  </w:style>
  <w:style w:type="paragraph" w:styleId="12">
    <w:name w:val="footer"/>
    <w:basedOn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style>
  <w:style w:type="paragraph" w:styleId="15">
    <w:name w:val="toc 2"/>
    <w:basedOn w:val="1"/>
    <w:next w:val="1"/>
    <w:qFormat/>
    <w:uiPriority w:val="0"/>
    <w:pPr>
      <w:ind w:left="420" w:leftChars="200"/>
    </w:pPr>
  </w:style>
  <w:style w:type="paragraph" w:styleId="16">
    <w:name w:val="Normal (Web)"/>
    <w:basedOn w:val="1"/>
    <w:qFormat/>
    <w:uiPriority w:val="99"/>
    <w:pPr>
      <w:widowControl/>
      <w:spacing w:before="100" w:beforeAutospacing="1" w:after="100" w:afterAutospacing="1"/>
      <w:jc w:val="left"/>
    </w:pPr>
    <w:rPr>
      <w:rFonts w:ascii="宋体" w:hAnsi="宋体"/>
      <w:kern w:val="0"/>
      <w:sz w:val="24"/>
    </w:rPr>
  </w:style>
  <w:style w:type="paragraph" w:styleId="17">
    <w:name w:val="annotation subject"/>
    <w:basedOn w:val="7"/>
    <w:next w:val="7"/>
    <w:link w:val="41"/>
    <w:qFormat/>
    <w:uiPriority w:val="0"/>
    <w:rPr>
      <w:b/>
      <w:bCs/>
    </w:rPr>
  </w:style>
  <w:style w:type="paragraph" w:styleId="18">
    <w:name w:val="Body Text First Indent"/>
    <w:basedOn w:val="8"/>
    <w:qFormat/>
    <w:uiPriority w:val="0"/>
    <w:pPr>
      <w:ind w:firstLine="420"/>
    </w:pPr>
    <w:rPr>
      <w:rFonts w:hAnsi="Calibri" w:cs="Times New Roman"/>
      <w:snapToGrid/>
      <w:szCs w:val="20"/>
    </w:rPr>
  </w:style>
  <w:style w:type="paragraph" w:styleId="19">
    <w:name w:val="Body Text First Indent 2"/>
    <w:basedOn w:val="9"/>
    <w:qFormat/>
    <w:uiPriority w:val="0"/>
    <w:pPr>
      <w:adjustRightInd/>
      <w:spacing w:after="120" w:line="240" w:lineRule="auto"/>
      <w:ind w:left="420" w:leftChars="200" w:firstLine="210"/>
    </w:pPr>
    <w:rPr>
      <w:sz w:val="21"/>
    </w:rPr>
  </w:style>
  <w:style w:type="character" w:styleId="22">
    <w:name w:val="page number"/>
    <w:qFormat/>
    <w:uiPriority w:val="0"/>
    <w:rPr>
      <w:rFonts w:ascii="Arial" w:hAnsi="Arial" w:eastAsia="黑体" w:cs="Arial"/>
      <w:snapToGrid w:val="0"/>
      <w:kern w:val="0"/>
      <w:szCs w:val="21"/>
    </w:rPr>
  </w:style>
  <w:style w:type="character" w:styleId="23">
    <w:name w:val="Hyperlink"/>
    <w:qFormat/>
    <w:uiPriority w:val="99"/>
    <w:rPr>
      <w:rFonts w:ascii="Arial" w:hAnsi="Arial" w:eastAsia="黑体" w:cs="Arial"/>
      <w:snapToGrid w:val="0"/>
      <w:color w:val="000000"/>
      <w:kern w:val="0"/>
      <w:sz w:val="18"/>
      <w:szCs w:val="18"/>
      <w:u w:val="none"/>
    </w:rPr>
  </w:style>
  <w:style w:type="character" w:styleId="24">
    <w:name w:val="annotation reference"/>
    <w:basedOn w:val="21"/>
    <w:qFormat/>
    <w:uiPriority w:val="0"/>
    <w:rPr>
      <w:sz w:val="21"/>
      <w:szCs w:val="21"/>
    </w:rPr>
  </w:style>
  <w:style w:type="character" w:customStyle="1" w:styleId="25">
    <w:name w:val="标题 2 字符"/>
    <w:qFormat/>
    <w:uiPriority w:val="0"/>
    <w:rPr>
      <w:rFonts w:ascii="仿宋_GB2312" w:hAnsi="仿宋" w:eastAsia="仿宋_GB2312"/>
      <w:b/>
      <w:bCs/>
      <w:sz w:val="32"/>
      <w:szCs w:val="32"/>
      <w:lang w:val="zh-CN"/>
    </w:rPr>
  </w:style>
  <w:style w:type="paragraph" w:customStyle="1" w:styleId="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27">
    <w:name w:val="正文2"/>
    <w:basedOn w:val="1"/>
    <w:qFormat/>
    <w:uiPriority w:val="0"/>
    <w:pPr>
      <w:spacing w:before="156" w:line="360" w:lineRule="auto"/>
      <w:ind w:firstLine="510" w:firstLineChars="200"/>
    </w:pPr>
    <w:rPr>
      <w:sz w:val="24"/>
      <w:szCs w:val="20"/>
    </w:rPr>
  </w:style>
  <w:style w:type="paragraph" w:customStyle="1" w:styleId="2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29">
    <w:name w:val="标题 1 字符"/>
    <w:link w:val="2"/>
    <w:qFormat/>
    <w:uiPriority w:val="9"/>
    <w:rPr>
      <w:b/>
      <w:bCs/>
      <w:kern w:val="44"/>
      <w:sz w:val="44"/>
      <w:szCs w:val="44"/>
    </w:rPr>
  </w:style>
  <w:style w:type="character" w:customStyle="1" w:styleId="30">
    <w:name w:val="font31"/>
    <w:basedOn w:val="21"/>
    <w:qFormat/>
    <w:uiPriority w:val="0"/>
    <w:rPr>
      <w:rFonts w:hint="eastAsia" w:ascii="仿宋" w:hAnsi="仿宋" w:eastAsia="仿宋" w:cs="仿宋"/>
      <w:color w:val="000000"/>
      <w:sz w:val="20"/>
      <w:szCs w:val="20"/>
      <w:u w:val="none"/>
    </w:rPr>
  </w:style>
  <w:style w:type="paragraph" w:customStyle="1" w:styleId="31">
    <w:name w:val="纯文本_0_0"/>
    <w:basedOn w:val="32"/>
    <w:qFormat/>
    <w:uiPriority w:val="0"/>
    <w:rPr>
      <w:rFonts w:ascii="宋体" w:hAnsi="Courier New"/>
      <w:szCs w:val="21"/>
    </w:rPr>
  </w:style>
  <w:style w:type="paragraph" w:customStyle="1" w:styleId="3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4">
    <w:name w:val="WPSOffice手动目录 1"/>
    <w:qFormat/>
    <w:uiPriority w:val="0"/>
    <w:rPr>
      <w:rFonts w:asciiTheme="minorHAnsi" w:hAnsiTheme="minorHAnsi" w:eastAsiaTheme="minorEastAsia" w:cstheme="minorBidi"/>
      <w:lang w:val="en-US" w:eastAsia="zh-CN" w:bidi="ar-SA"/>
    </w:rPr>
  </w:style>
  <w:style w:type="paragraph" w:customStyle="1" w:styleId="35">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7">
    <w:name w:val="列出段落2"/>
    <w:basedOn w:val="1"/>
    <w:qFormat/>
    <w:uiPriority w:val="34"/>
    <w:pPr>
      <w:spacing w:line="360" w:lineRule="auto"/>
      <w:ind w:firstLine="200" w:firstLineChars="200"/>
    </w:pPr>
    <w:rPr>
      <w:rFonts w:eastAsia="楷体_GB2312" w:cs="Lucida Sans"/>
      <w:sz w:val="24"/>
    </w:rPr>
  </w:style>
  <w:style w:type="character" w:customStyle="1" w:styleId="38">
    <w:name w:val="批注框文本 字符"/>
    <w:basedOn w:val="21"/>
    <w:link w:val="11"/>
    <w:qFormat/>
    <w:uiPriority w:val="0"/>
    <w:rPr>
      <w:kern w:val="2"/>
      <w:sz w:val="18"/>
      <w:szCs w:val="18"/>
    </w:rPr>
  </w:style>
  <w:style w:type="paragraph" w:styleId="39">
    <w:name w:val="List Paragraph"/>
    <w:basedOn w:val="1"/>
    <w:qFormat/>
    <w:uiPriority w:val="99"/>
    <w:pPr>
      <w:ind w:firstLine="420" w:firstLineChars="200"/>
    </w:pPr>
  </w:style>
  <w:style w:type="character" w:customStyle="1" w:styleId="40">
    <w:name w:val="批注文字 字符"/>
    <w:basedOn w:val="21"/>
    <w:link w:val="7"/>
    <w:qFormat/>
    <w:uiPriority w:val="0"/>
    <w:rPr>
      <w:kern w:val="2"/>
      <w:sz w:val="21"/>
      <w:szCs w:val="24"/>
    </w:rPr>
  </w:style>
  <w:style w:type="character" w:customStyle="1" w:styleId="41">
    <w:name w:val="批注主题 字符"/>
    <w:basedOn w:val="40"/>
    <w:link w:val="17"/>
    <w:qFormat/>
    <w:uiPriority w:val="0"/>
    <w:rPr>
      <w:b/>
      <w:bCs/>
      <w:kern w:val="2"/>
      <w:sz w:val="21"/>
      <w:szCs w:val="24"/>
    </w:rPr>
  </w:style>
  <w:style w:type="character" w:customStyle="1" w:styleId="42">
    <w:name w:val="标题 2 字符1"/>
    <w:link w:val="3"/>
    <w:qFormat/>
    <w:uiPriority w:val="0"/>
    <w:rPr>
      <w:rFonts w:ascii="仿宋_GB2312" w:hAnsi="仿宋_GB2312" w:eastAsia="仿宋_GB2312"/>
      <w:b/>
      <w:bCs/>
      <w:sz w:val="32"/>
      <w:szCs w:val="32"/>
      <w:lang w:val="zh-CN"/>
    </w:rPr>
  </w:style>
  <w:style w:type="character" w:customStyle="1" w:styleId="43">
    <w:name w:val="font21"/>
    <w:basedOn w:val="21"/>
    <w:qFormat/>
    <w:uiPriority w:val="0"/>
    <w:rPr>
      <w:rFonts w:hint="eastAsia" w:ascii="宋体" w:hAnsi="宋体" w:eastAsia="宋体"/>
      <w:kern w:val="2"/>
      <w:sz w:val="28"/>
      <w:szCs w:val="28"/>
      <w:lang w:val="en-US" w:eastAsia="zh-CN" w:bidi="ar-SA"/>
    </w:rPr>
  </w:style>
  <w:style w:type="paragraph" w:customStyle="1" w:styleId="44">
    <w:name w:val="l正文"/>
    <w:basedOn w:val="1"/>
    <w:qFormat/>
    <w:uiPriority w:val="0"/>
    <w:pPr>
      <w:spacing w:line="300" w:lineRule="auto"/>
      <w:ind w:firstLine="200" w:firstLineChars="200"/>
      <w:jc w:val="left"/>
    </w:pPr>
    <w:rPr>
      <w:rFonts w:ascii="楷体_GB2312" w:hAnsi="Times" w:eastAsia="楷体_GB2312" w:cs="等线"/>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footer" Target="footer12.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96</Pages>
  <Words>15554</Words>
  <Characters>16801</Characters>
  <Lines>432</Lines>
  <Paragraphs>121</Paragraphs>
  <TotalTime>9</TotalTime>
  <ScaleCrop>false</ScaleCrop>
  <LinksUpToDate>false</LinksUpToDate>
  <CharactersWithSpaces>17580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2024-12-06T01:16:00Z</dcterms:created>
  <dc:creator>历程</dc:creator>
  <cp:lastModifiedBy>历程招标</cp:lastModifiedBy>
  <cp:lastPrinted>2025-03-31T00:50:48Z</cp:lastPrinted>
  <dcterms:modified xsi:type="dcterms:W3CDTF">2025-03-31T00:51:51Z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8987096E1DBB4CADAC16C22E287AB5B8_13</vt:lpwstr>
  </property>
  <property fmtid="{D5CDD505-2E9C-101B-9397-08002B2CF9AE}" pid="4" name="KSOTemplateDocerSaveRecord">
    <vt:lpwstr>eyJoZGlkIjoiNTg3NGFkZWM5NThlZmRiMDI3MjA2Y2MyZGFiOGJhYTAiLCJ1c2VySWQiOiIxNDgxMzEyODcxIn0=</vt:lpwstr>
  </property>
</Properties>
</file>